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58542" w14:textId="77777777" w:rsidR="00754C9A" w:rsidRDefault="00754C9A" w:rsidP="00441B6F">
      <w:pPr>
        <w:pStyle w:val="Title"/>
        <w:spacing w:after="0"/>
        <w:jc w:val="both"/>
        <w:rPr>
          <w:rFonts w:ascii="Arial" w:hAnsi="Arial" w:cs="Arial"/>
        </w:rPr>
      </w:pPr>
    </w:p>
    <w:p w14:paraId="62F68FB2" w14:textId="73A28AF8" w:rsidR="00A258C3" w:rsidRPr="00731C34" w:rsidRDefault="001176B8" w:rsidP="00441B6F">
      <w:pPr>
        <w:pStyle w:val="Author"/>
        <w:spacing w:line="240" w:lineRule="auto"/>
        <w:jc w:val="both"/>
        <w:rPr>
          <w:rFonts w:ascii="Arial" w:hAnsi="Arial" w:cs="Arial"/>
          <w:bCs/>
          <w:iCs/>
          <w:kern w:val="28"/>
          <w:sz w:val="36"/>
        </w:rPr>
      </w:pPr>
      <w:r w:rsidRPr="00731C34">
        <w:rPr>
          <w:rFonts w:ascii="Arial" w:hAnsi="Arial" w:cs="Arial"/>
          <w:bCs/>
          <w:iCs/>
          <w:kern w:val="28"/>
          <w:sz w:val="36"/>
        </w:rPr>
        <w:t>Modulatory Effects of Ethanol-Derived Flaxseed (</w:t>
      </w:r>
      <w:r w:rsidRPr="00731C34">
        <w:rPr>
          <w:rFonts w:ascii="Arial" w:hAnsi="Arial" w:cs="Arial"/>
          <w:bCs/>
          <w:i/>
          <w:kern w:val="28"/>
          <w:sz w:val="36"/>
        </w:rPr>
        <w:t xml:space="preserve">Linum </w:t>
      </w:r>
      <w:proofErr w:type="spellStart"/>
      <w:r w:rsidRPr="00731C34">
        <w:rPr>
          <w:rFonts w:ascii="Arial" w:hAnsi="Arial" w:cs="Arial"/>
          <w:bCs/>
          <w:i/>
          <w:kern w:val="28"/>
          <w:sz w:val="36"/>
        </w:rPr>
        <w:t>usitatissimum</w:t>
      </w:r>
      <w:proofErr w:type="spellEnd"/>
      <w:r w:rsidRPr="00731C34">
        <w:rPr>
          <w:rFonts w:ascii="Arial" w:hAnsi="Arial" w:cs="Arial"/>
          <w:bCs/>
          <w:iCs/>
          <w:kern w:val="28"/>
          <w:sz w:val="36"/>
        </w:rPr>
        <w:t>) Extract on Hepatic Malondialdehyde Concentrations and Steatosis in Male Wistar Rats (</w:t>
      </w:r>
      <w:r w:rsidRPr="00731C34">
        <w:rPr>
          <w:rFonts w:ascii="Arial" w:hAnsi="Arial" w:cs="Arial"/>
          <w:bCs/>
          <w:i/>
          <w:kern w:val="28"/>
          <w:sz w:val="36"/>
        </w:rPr>
        <w:t>Rattus norvegicus</w:t>
      </w:r>
      <w:r w:rsidRPr="00731C34">
        <w:rPr>
          <w:rFonts w:ascii="Arial" w:hAnsi="Arial" w:cs="Arial"/>
          <w:bCs/>
          <w:iCs/>
          <w:kern w:val="28"/>
          <w:sz w:val="36"/>
        </w:rPr>
        <w:t>) Subjected to a High-Fat, High-Fructose Diet</w:t>
      </w:r>
    </w:p>
    <w:p w14:paraId="25563DFB" w14:textId="77777777" w:rsidR="003737CE" w:rsidRPr="00731C34" w:rsidRDefault="003737CE" w:rsidP="00441B6F">
      <w:pPr>
        <w:pStyle w:val="Author"/>
        <w:spacing w:line="240" w:lineRule="auto"/>
        <w:jc w:val="both"/>
        <w:rPr>
          <w:rFonts w:ascii="Arial" w:hAnsi="Arial" w:cs="Arial"/>
          <w:sz w:val="36"/>
        </w:rPr>
      </w:pPr>
    </w:p>
    <w:p w14:paraId="1338BEA4" w14:textId="4CA68C23" w:rsidR="00790ADA" w:rsidRPr="00731C34" w:rsidRDefault="00790ADA" w:rsidP="001C0F72">
      <w:pPr>
        <w:pStyle w:val="Affiliation"/>
        <w:spacing w:after="0" w:line="240" w:lineRule="auto"/>
        <w:rPr>
          <w:rFonts w:ascii="Arial" w:hAnsi="Arial" w:cs="Arial"/>
        </w:rPr>
      </w:pPr>
    </w:p>
    <w:p w14:paraId="02F6445E" w14:textId="77777777" w:rsidR="002C57D2" w:rsidRPr="00731C34" w:rsidRDefault="002C57D2" w:rsidP="00441B6F">
      <w:pPr>
        <w:pStyle w:val="Affiliation"/>
        <w:spacing w:after="0" w:line="240" w:lineRule="auto"/>
        <w:jc w:val="both"/>
        <w:rPr>
          <w:rFonts w:ascii="Arial" w:hAnsi="Arial" w:cs="Arial"/>
        </w:rPr>
      </w:pPr>
    </w:p>
    <w:p w14:paraId="06CA8FCC" w14:textId="77777777" w:rsidR="00B01FCD" w:rsidRPr="00731C34" w:rsidRDefault="00E41957" w:rsidP="00441B6F">
      <w:pPr>
        <w:pStyle w:val="Copyright"/>
        <w:spacing w:after="0" w:line="240" w:lineRule="auto"/>
        <w:jc w:val="both"/>
        <w:rPr>
          <w:rFonts w:ascii="Arial" w:hAnsi="Arial" w:cs="Arial"/>
        </w:rPr>
        <w:sectPr w:rsidR="00B01FCD" w:rsidRPr="00731C34" w:rsidSect="00027A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FB3F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731C34">
        <w:rPr>
          <w:rFonts w:ascii="Arial" w:hAnsi="Arial" w:cs="Arial"/>
        </w:rPr>
        <w:t>.</w:t>
      </w:r>
    </w:p>
    <w:p w14:paraId="2CA5A98A" w14:textId="24CEED34" w:rsidR="00B01FCD" w:rsidRPr="00731C34" w:rsidRDefault="00B01FCD" w:rsidP="00441B6F">
      <w:pPr>
        <w:pStyle w:val="AbstHead"/>
        <w:spacing w:after="0"/>
        <w:jc w:val="both"/>
        <w:rPr>
          <w:rFonts w:ascii="Arial" w:hAnsi="Arial" w:cs="Arial"/>
        </w:rPr>
      </w:pPr>
      <w:r w:rsidRPr="00731C34">
        <w:rPr>
          <w:rFonts w:ascii="Arial" w:hAnsi="Arial" w:cs="Arial"/>
        </w:rPr>
        <w:t>ABSTRACT</w:t>
      </w:r>
      <w:r w:rsidR="0066510A" w:rsidRPr="00731C34">
        <w:rPr>
          <w:rFonts w:ascii="Arial" w:hAnsi="Arial" w:cs="Arial"/>
        </w:rPr>
        <w:t xml:space="preserve"> </w:t>
      </w:r>
    </w:p>
    <w:p w14:paraId="6A65D837" w14:textId="77777777" w:rsidR="00790ADA" w:rsidRPr="00731C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31C34" w14:paraId="47BB8723" w14:textId="77777777" w:rsidTr="001E44FE">
        <w:tc>
          <w:tcPr>
            <w:tcW w:w="9576" w:type="dxa"/>
            <w:shd w:val="clear" w:color="auto" w:fill="F2F2F2"/>
          </w:tcPr>
          <w:p w14:paraId="2B59AE63" w14:textId="77777777" w:rsidR="00E3114E" w:rsidRPr="00731C34" w:rsidRDefault="00E3114E" w:rsidP="00441B6F">
            <w:pPr>
              <w:pStyle w:val="Body"/>
              <w:spacing w:after="0"/>
              <w:rPr>
                <w:rFonts w:ascii="Arial" w:eastAsia="Calibri" w:hAnsi="Arial" w:cs="Arial"/>
                <w:b/>
                <w:szCs w:val="22"/>
              </w:rPr>
            </w:pPr>
          </w:p>
          <w:p w14:paraId="2A83DB8A" w14:textId="24769AE6"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 xml:space="preserve">Aims: </w:t>
            </w:r>
            <w:r w:rsidR="00763CAA" w:rsidRPr="00731C34">
              <w:rPr>
                <w:rFonts w:ascii="Arial" w:eastAsia="Calibri" w:hAnsi="Arial" w:cs="Arial"/>
                <w:szCs w:val="22"/>
              </w:rPr>
              <w:t>This study evaluated the effects of flaxseed (</w:t>
            </w:r>
            <w:r w:rsidR="00763CAA" w:rsidRPr="00731C34">
              <w:rPr>
                <w:rFonts w:ascii="Arial" w:eastAsia="Calibri" w:hAnsi="Arial" w:cs="Arial"/>
                <w:i/>
                <w:iCs/>
                <w:szCs w:val="22"/>
              </w:rPr>
              <w:t xml:space="preserve">Linum </w:t>
            </w:r>
            <w:proofErr w:type="spellStart"/>
            <w:r w:rsidR="00763CAA" w:rsidRPr="00731C34">
              <w:rPr>
                <w:rFonts w:ascii="Arial" w:eastAsia="Calibri" w:hAnsi="Arial" w:cs="Arial"/>
                <w:i/>
                <w:iCs/>
                <w:szCs w:val="22"/>
              </w:rPr>
              <w:t>usitatissimum</w:t>
            </w:r>
            <w:proofErr w:type="spellEnd"/>
            <w:r w:rsidR="00763CAA" w:rsidRPr="00731C34">
              <w:rPr>
                <w:rFonts w:ascii="Arial" w:eastAsia="Calibri" w:hAnsi="Arial" w:cs="Arial"/>
                <w:szCs w:val="22"/>
              </w:rPr>
              <w:t>) ethanol extract on malondialdehyde (MDA) levels and fatty liver scores in male Wistar rats (</w:t>
            </w:r>
            <w:r w:rsidR="00763CAA" w:rsidRPr="00731C34">
              <w:rPr>
                <w:rFonts w:ascii="Arial" w:eastAsia="Calibri" w:hAnsi="Arial" w:cs="Arial"/>
                <w:i/>
                <w:iCs/>
                <w:szCs w:val="22"/>
              </w:rPr>
              <w:t>Rattus norvegicus</w:t>
            </w:r>
            <w:r w:rsidR="00763CAA" w:rsidRPr="00731C34">
              <w:rPr>
                <w:rFonts w:ascii="Arial" w:eastAsia="Calibri" w:hAnsi="Arial" w:cs="Arial"/>
                <w:szCs w:val="22"/>
              </w:rPr>
              <w:t>) induced with such a diet.</w:t>
            </w:r>
          </w:p>
          <w:p w14:paraId="1F8A133A" w14:textId="161AF7CE"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Study design:</w:t>
            </w:r>
            <w:r w:rsidRPr="00731C34">
              <w:rPr>
                <w:rFonts w:ascii="Arial" w:eastAsia="Calibri" w:hAnsi="Arial" w:cs="Arial"/>
                <w:szCs w:val="22"/>
              </w:rPr>
              <w:t xml:space="preserve">  </w:t>
            </w:r>
            <w:r w:rsidR="00CE56EF" w:rsidRPr="00731C34">
              <w:rPr>
                <w:rFonts w:ascii="Arial" w:eastAsia="Calibri" w:hAnsi="Arial" w:cs="Arial"/>
                <w:szCs w:val="22"/>
              </w:rPr>
              <w:t>This was a randomized post-test only control group design.</w:t>
            </w:r>
          </w:p>
          <w:p w14:paraId="0F106699" w14:textId="3AEEE6E5"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Place and Duration of Study:</w:t>
            </w:r>
            <w:r w:rsidRPr="00731C34">
              <w:rPr>
                <w:rFonts w:ascii="Arial" w:eastAsia="Calibri" w:hAnsi="Arial" w:cs="Arial"/>
                <w:szCs w:val="22"/>
              </w:rPr>
              <w:t xml:space="preserve"> </w:t>
            </w:r>
            <w:r w:rsidR="00B41F10" w:rsidRPr="00731C34">
              <w:rPr>
                <w:rFonts w:ascii="Arial" w:eastAsia="Calibri" w:hAnsi="Arial" w:cs="Arial"/>
                <w:szCs w:val="22"/>
              </w:rPr>
              <w:t>The study was conducted over seven months</w:t>
            </w:r>
            <w:r w:rsidR="00216E46" w:rsidRPr="00731C34">
              <w:rPr>
                <w:rFonts w:ascii="Arial" w:eastAsia="Calibri" w:hAnsi="Arial" w:cs="Arial"/>
                <w:szCs w:val="22"/>
              </w:rPr>
              <w:t xml:space="preserve"> at Integrated Biomedical Laboratory, Faculty of Medicine, Universitas Udayana, Denpasar.</w:t>
            </w:r>
          </w:p>
          <w:p w14:paraId="22AB082F" w14:textId="4EFD37FE" w:rsidR="00B702FD"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Methodology:</w:t>
            </w:r>
            <w:r w:rsidRPr="00731C34">
              <w:rPr>
                <w:rFonts w:ascii="Arial" w:eastAsia="Calibri" w:hAnsi="Arial" w:cs="Arial"/>
                <w:szCs w:val="22"/>
              </w:rPr>
              <w:t xml:space="preserve"> </w:t>
            </w:r>
            <w:r w:rsidR="00B702FD" w:rsidRPr="00731C34">
              <w:rPr>
                <w:rFonts w:ascii="Arial" w:eastAsia="Calibri" w:hAnsi="Arial" w:cs="Arial"/>
                <w:szCs w:val="22"/>
              </w:rPr>
              <w:t xml:space="preserve">Male </w:t>
            </w:r>
            <w:proofErr w:type="spellStart"/>
            <w:r w:rsidR="00B702FD" w:rsidRPr="00731C34">
              <w:rPr>
                <w:rFonts w:ascii="Arial" w:eastAsia="Calibri" w:hAnsi="Arial" w:cs="Arial"/>
                <w:szCs w:val="22"/>
              </w:rPr>
              <w:t>wistar</w:t>
            </w:r>
            <w:proofErr w:type="spellEnd"/>
            <w:r w:rsidR="00B702FD" w:rsidRPr="00731C34">
              <w:rPr>
                <w:rFonts w:ascii="Arial" w:eastAsia="Calibri" w:hAnsi="Arial" w:cs="Arial"/>
                <w:szCs w:val="22"/>
              </w:rPr>
              <w:t xml:space="preserve"> rat (</w:t>
            </w:r>
            <w:r w:rsidR="00B702FD" w:rsidRPr="00731C34">
              <w:rPr>
                <w:rFonts w:ascii="Arial" w:eastAsia="Calibri" w:hAnsi="Arial" w:cs="Arial"/>
                <w:i/>
                <w:iCs/>
                <w:szCs w:val="22"/>
              </w:rPr>
              <w:t>Ra</w:t>
            </w:r>
            <w:r w:rsidR="004E777C" w:rsidRPr="00731C34">
              <w:rPr>
                <w:rFonts w:ascii="Arial" w:eastAsia="Calibri" w:hAnsi="Arial" w:cs="Arial"/>
                <w:i/>
                <w:iCs/>
                <w:szCs w:val="22"/>
              </w:rPr>
              <w:t>t</w:t>
            </w:r>
            <w:r w:rsidR="00B702FD" w:rsidRPr="00731C34">
              <w:rPr>
                <w:rFonts w:ascii="Arial" w:eastAsia="Calibri" w:hAnsi="Arial" w:cs="Arial"/>
                <w:i/>
                <w:iCs/>
                <w:szCs w:val="22"/>
              </w:rPr>
              <w:t xml:space="preserve">tus </w:t>
            </w:r>
            <w:proofErr w:type="spellStart"/>
            <w:r w:rsidR="00B702FD" w:rsidRPr="00731C34">
              <w:rPr>
                <w:rFonts w:ascii="Arial" w:eastAsia="Calibri" w:hAnsi="Arial" w:cs="Arial"/>
                <w:i/>
                <w:iCs/>
                <w:szCs w:val="22"/>
              </w:rPr>
              <w:t>novergicus</w:t>
            </w:r>
            <w:proofErr w:type="spellEnd"/>
            <w:r w:rsidR="00B702FD" w:rsidRPr="00731C34">
              <w:rPr>
                <w:rFonts w:ascii="Arial" w:eastAsia="Calibri" w:hAnsi="Arial" w:cs="Arial"/>
                <w:szCs w:val="22"/>
              </w:rPr>
              <w:t xml:space="preserve">) age 2-3 months with body weight 180-220 grams were used as subjects. </w:t>
            </w:r>
            <w:r w:rsidR="0001684C" w:rsidRPr="00731C34">
              <w:rPr>
                <w:rFonts w:ascii="Arial" w:eastAsia="Calibri" w:hAnsi="Arial" w:cs="Arial"/>
                <w:szCs w:val="22"/>
              </w:rPr>
              <w:t>Twenty-five r</w:t>
            </w:r>
            <w:r w:rsidR="00B702FD" w:rsidRPr="00731C34">
              <w:rPr>
                <w:rFonts w:ascii="Arial" w:eastAsia="Calibri" w:hAnsi="Arial" w:cs="Arial"/>
                <w:szCs w:val="22"/>
              </w:rPr>
              <w:t>ats were divided into five groups: normal control (K), high-fat, high-fructose control (K1), and three treatment groups (P1, P2, P3) receiving flaxseed extract at 200, 400, and 800 mg/</w:t>
            </w:r>
            <w:proofErr w:type="spellStart"/>
            <w:r w:rsidR="00B702FD" w:rsidRPr="00731C34">
              <w:rPr>
                <w:rFonts w:ascii="Arial" w:eastAsia="Calibri" w:hAnsi="Arial" w:cs="Arial"/>
                <w:szCs w:val="22"/>
              </w:rPr>
              <w:t>kgBW</w:t>
            </w:r>
            <w:proofErr w:type="spellEnd"/>
            <w:r w:rsidR="00B702FD" w:rsidRPr="00731C34">
              <w:rPr>
                <w:rFonts w:ascii="Arial" w:eastAsia="Calibri" w:hAnsi="Arial" w:cs="Arial"/>
                <w:szCs w:val="22"/>
              </w:rPr>
              <w:t xml:space="preserve">, respectively, for 35 days. MDA levels (nmol/ml) and fatty liver scores (%) were assessed to evaluate oxidative stress and hepatic steatosis. Data were analyzed using the Kruskal-Wallis </w:t>
            </w:r>
            <w:r w:rsidR="005D3D29" w:rsidRPr="00731C34">
              <w:rPr>
                <w:rFonts w:ascii="Arial" w:eastAsia="Calibri" w:hAnsi="Arial" w:cs="Arial"/>
                <w:szCs w:val="22"/>
              </w:rPr>
              <w:t xml:space="preserve">and Dunn post hoc </w:t>
            </w:r>
            <w:r w:rsidR="00B702FD" w:rsidRPr="00731C34">
              <w:rPr>
                <w:rFonts w:ascii="Arial" w:eastAsia="Calibri" w:hAnsi="Arial" w:cs="Arial"/>
                <w:szCs w:val="22"/>
              </w:rPr>
              <w:t>test due to non-normal distribution.</w:t>
            </w:r>
          </w:p>
          <w:p w14:paraId="45EF0ECA" w14:textId="7653EEC0" w:rsidR="00911331"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Results:</w:t>
            </w:r>
            <w:r w:rsidRPr="00731C34">
              <w:rPr>
                <w:rFonts w:ascii="Arial" w:eastAsia="Calibri" w:hAnsi="Arial" w:cs="Arial"/>
                <w:szCs w:val="22"/>
              </w:rPr>
              <w:t xml:space="preserve"> </w:t>
            </w:r>
            <w:r w:rsidR="0001684C" w:rsidRPr="00731C34">
              <w:rPr>
                <w:rFonts w:ascii="Arial" w:eastAsia="Calibri" w:hAnsi="Arial" w:cs="Arial"/>
                <w:szCs w:val="22"/>
              </w:rPr>
              <w:t xml:space="preserve">Group K1 showed the highest mean MDA level (3.53 nmol/ml), while treatment groups P1, P2, and P3 showed reductions to 2.40, 2.09, and 1.16 nmol/ml, respectively. Similarly, fatty liver scores decreased from 66.60% in K1 to 53.33% (P1), 41.44% (P2), and 19.78% (P3). However, </w:t>
            </w:r>
            <w:r w:rsidR="009904CD" w:rsidRPr="00731C34">
              <w:rPr>
                <w:rFonts w:ascii="Arial" w:eastAsia="Calibri" w:hAnsi="Arial" w:cs="Arial"/>
                <w:szCs w:val="22"/>
              </w:rPr>
              <w:t>the MDA and fatty liver scores difference between treatment and control group were not significant (p&gt;0,05).</w:t>
            </w:r>
          </w:p>
          <w:p w14:paraId="2B571B35" w14:textId="4D2EBD19" w:rsidR="00505F06"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Conclusion:</w:t>
            </w:r>
            <w:r w:rsidRPr="00731C34">
              <w:rPr>
                <w:rFonts w:ascii="Arial" w:eastAsia="Calibri" w:hAnsi="Arial" w:cs="Arial"/>
                <w:szCs w:val="22"/>
              </w:rPr>
              <w:t xml:space="preserve"> </w:t>
            </w:r>
            <w:r w:rsidR="00D1267B" w:rsidRPr="00731C34">
              <w:rPr>
                <w:rFonts w:ascii="Arial" w:eastAsia="Calibri" w:hAnsi="Arial" w:cs="Arial"/>
                <w:szCs w:val="22"/>
              </w:rPr>
              <w:t>Flaxseed extract administration tended to lower oxidative stress and hepatic fat accumulation in rats fed a high-fat, high-fructose diet, though the effects were not statistically significant. Further studies are needed to confirm its therapeutic potential.</w:t>
            </w:r>
          </w:p>
        </w:tc>
      </w:tr>
    </w:tbl>
    <w:p w14:paraId="003C1D1D" w14:textId="77777777" w:rsidR="00636EB2" w:rsidRPr="00731C34" w:rsidRDefault="00636EB2" w:rsidP="00441B6F">
      <w:pPr>
        <w:pStyle w:val="Body"/>
        <w:spacing w:after="0"/>
        <w:rPr>
          <w:rFonts w:ascii="Arial" w:hAnsi="Arial" w:cs="Arial"/>
          <w:i/>
        </w:rPr>
      </w:pPr>
    </w:p>
    <w:p w14:paraId="1D359B62" w14:textId="5D3780B5" w:rsidR="00A24E7E" w:rsidRPr="00731C34" w:rsidRDefault="00A24E7E" w:rsidP="0052076C">
      <w:pPr>
        <w:pStyle w:val="Body"/>
        <w:spacing w:after="0"/>
        <w:rPr>
          <w:rFonts w:ascii="Arial" w:hAnsi="Arial" w:cs="Arial"/>
          <w:i/>
        </w:rPr>
      </w:pPr>
      <w:r w:rsidRPr="00731C34">
        <w:rPr>
          <w:rFonts w:ascii="Arial" w:hAnsi="Arial" w:cs="Arial"/>
          <w:i/>
        </w:rPr>
        <w:t xml:space="preserve">Keywords: </w:t>
      </w:r>
      <w:r w:rsidR="00190430" w:rsidRPr="00731C34">
        <w:rPr>
          <w:rFonts w:ascii="Arial" w:hAnsi="Arial" w:cs="Arial"/>
          <w:i/>
        </w:rPr>
        <w:t xml:space="preserve">flaxseed extract (Linum </w:t>
      </w:r>
      <w:proofErr w:type="spellStart"/>
      <w:r w:rsidR="00190430" w:rsidRPr="00731C34">
        <w:rPr>
          <w:rFonts w:ascii="Arial" w:hAnsi="Arial" w:cs="Arial"/>
          <w:i/>
        </w:rPr>
        <w:t>usitatissimum</w:t>
      </w:r>
      <w:proofErr w:type="spellEnd"/>
      <w:r w:rsidR="00190430" w:rsidRPr="00731C34">
        <w:rPr>
          <w:rFonts w:ascii="Arial" w:hAnsi="Arial" w:cs="Arial"/>
          <w:i/>
        </w:rPr>
        <w:t xml:space="preserve">), </w:t>
      </w:r>
      <w:r w:rsidR="0052076C" w:rsidRPr="00731C34">
        <w:rPr>
          <w:rFonts w:ascii="Arial" w:hAnsi="Arial" w:cs="Arial"/>
          <w:i/>
          <w:lang w:val="id"/>
        </w:rPr>
        <w:t>MDA, fatty liver, high-fat high-fructose diet</w:t>
      </w:r>
    </w:p>
    <w:p w14:paraId="34355984" w14:textId="77777777" w:rsidR="00505F06" w:rsidRPr="00731C34" w:rsidRDefault="00505F06" w:rsidP="00441B6F">
      <w:pPr>
        <w:pStyle w:val="Body"/>
        <w:spacing w:after="0"/>
        <w:rPr>
          <w:rFonts w:ascii="Arial" w:hAnsi="Arial" w:cs="Arial"/>
          <w:i/>
        </w:rPr>
      </w:pPr>
    </w:p>
    <w:p w14:paraId="7DB7EC26" w14:textId="4FC5710D" w:rsidR="007F7B32" w:rsidRPr="00731C34" w:rsidRDefault="00902823" w:rsidP="00441B6F">
      <w:pPr>
        <w:pStyle w:val="AbstHead"/>
        <w:spacing w:after="0"/>
        <w:jc w:val="both"/>
        <w:rPr>
          <w:rFonts w:ascii="Arial" w:hAnsi="Arial" w:cs="Arial"/>
        </w:rPr>
      </w:pPr>
      <w:r w:rsidRPr="00731C34">
        <w:rPr>
          <w:rFonts w:ascii="Arial" w:hAnsi="Arial" w:cs="Arial"/>
        </w:rPr>
        <w:t xml:space="preserve">1. </w:t>
      </w:r>
      <w:r w:rsidR="00B01FCD" w:rsidRPr="00731C34">
        <w:rPr>
          <w:rFonts w:ascii="Arial" w:hAnsi="Arial" w:cs="Arial"/>
        </w:rPr>
        <w:t>INTRODUCTION</w:t>
      </w:r>
      <w:r w:rsidR="007F7B32" w:rsidRPr="00731C34">
        <w:rPr>
          <w:rFonts w:ascii="Arial" w:hAnsi="Arial" w:cs="Arial"/>
        </w:rPr>
        <w:t xml:space="preserve"> </w:t>
      </w:r>
    </w:p>
    <w:p w14:paraId="13EB6DC9" w14:textId="77777777" w:rsidR="00790ADA" w:rsidRPr="00731C34" w:rsidRDefault="00790ADA" w:rsidP="00441B6F">
      <w:pPr>
        <w:pStyle w:val="AbstHead"/>
        <w:spacing w:after="0"/>
        <w:jc w:val="both"/>
        <w:rPr>
          <w:rFonts w:ascii="Arial" w:hAnsi="Arial" w:cs="Arial"/>
        </w:rPr>
      </w:pPr>
    </w:p>
    <w:p w14:paraId="59E4CDE7" w14:textId="4D0DE232" w:rsidR="005D1103" w:rsidRPr="00731C34" w:rsidRDefault="00C9339E" w:rsidP="00441B6F">
      <w:pPr>
        <w:pStyle w:val="Body"/>
        <w:spacing w:after="0"/>
        <w:rPr>
          <w:rFonts w:ascii="Arial" w:hAnsi="Arial" w:cs="Arial"/>
        </w:rPr>
      </w:pPr>
      <w:r w:rsidRPr="00731C34">
        <w:rPr>
          <w:rFonts w:ascii="Arial" w:hAnsi="Arial" w:cs="Arial"/>
        </w:rPr>
        <w:t>Fatty liver disease is a widel</w:t>
      </w:r>
      <w:r w:rsidR="005D1103" w:rsidRPr="00731C34">
        <w:rPr>
          <w:rFonts w:ascii="Arial" w:hAnsi="Arial" w:cs="Arial"/>
        </w:rPr>
        <w:t xml:space="preserve">y increasing disease, associated with </w:t>
      </w:r>
      <w:r w:rsidRPr="00731C34">
        <w:rPr>
          <w:rFonts w:ascii="Arial" w:hAnsi="Arial" w:cs="Arial"/>
        </w:rPr>
        <w:t>high-fat</w:t>
      </w:r>
      <w:r w:rsidR="005D1103" w:rsidRPr="00731C34">
        <w:rPr>
          <w:rFonts w:ascii="Arial" w:hAnsi="Arial" w:cs="Arial"/>
        </w:rPr>
        <w:t xml:space="preserve"> or high fructose disease</w:t>
      </w:r>
      <w:r w:rsidRPr="00731C34">
        <w:rPr>
          <w:rFonts w:ascii="Arial" w:hAnsi="Arial" w:cs="Arial"/>
        </w:rPr>
        <w:t xml:space="preserve">. Fatty liver disease can be caused by alcoholic fatty liver disease (AFLD) or non-alcoholic fatty liver disease (NAFLD) (Malnick </w:t>
      </w:r>
      <w:r w:rsidRPr="00731C34">
        <w:rPr>
          <w:rFonts w:ascii="Arial" w:hAnsi="Arial" w:cs="Arial"/>
          <w:i/>
          <w:iCs/>
        </w:rPr>
        <w:t>et al</w:t>
      </w:r>
      <w:r w:rsidRPr="00731C34">
        <w:rPr>
          <w:rFonts w:ascii="Arial" w:hAnsi="Arial" w:cs="Arial"/>
        </w:rPr>
        <w:t xml:space="preserve">., 2022). This condition is characterized by the accumulation of triglycerides and various other types of fat in liver cells. It is characterized by </w:t>
      </w:r>
      <w:proofErr w:type="spellStart"/>
      <w:r w:rsidRPr="00731C34">
        <w:rPr>
          <w:rFonts w:ascii="Arial" w:hAnsi="Arial" w:cs="Arial"/>
        </w:rPr>
        <w:t>macrovesicular</w:t>
      </w:r>
      <w:proofErr w:type="spellEnd"/>
      <w:r w:rsidRPr="00731C34">
        <w:rPr>
          <w:rFonts w:ascii="Arial" w:hAnsi="Arial" w:cs="Arial"/>
        </w:rPr>
        <w:t xml:space="preserve"> changes without inflammation (steatosis) or non-alcoholic steatohepatitis (NASH), which is caused by lobular inflammation without significant alcohol consumption (non-alcoholic fatty liver disease (NAFLD) (Antunes </w:t>
      </w:r>
      <w:r w:rsidRPr="00731C34">
        <w:rPr>
          <w:rFonts w:ascii="Arial" w:hAnsi="Arial" w:cs="Arial"/>
          <w:i/>
          <w:iCs/>
        </w:rPr>
        <w:t>et al</w:t>
      </w:r>
      <w:r w:rsidRPr="00731C34">
        <w:rPr>
          <w:rFonts w:ascii="Arial" w:hAnsi="Arial" w:cs="Arial"/>
        </w:rPr>
        <w:t>., 2023).</w:t>
      </w:r>
    </w:p>
    <w:p w14:paraId="53F6B984" w14:textId="613A3AE9" w:rsidR="00E838B8" w:rsidRPr="00731C34" w:rsidRDefault="005B0EC8" w:rsidP="00441B6F">
      <w:pPr>
        <w:pStyle w:val="Body"/>
        <w:spacing w:after="0"/>
      </w:pPr>
      <w:r w:rsidRPr="00731C34">
        <w:rPr>
          <w:rFonts w:ascii="Arial" w:hAnsi="Arial" w:cs="Arial"/>
        </w:rPr>
        <w:lastRenderedPageBreak/>
        <w:t xml:space="preserve">Alcoholic liver disease (ALD) is estimated to occur in 56.59% of the population with excessive alcohol consumption (Alkhouri </w:t>
      </w:r>
      <w:r w:rsidRPr="00731C34">
        <w:rPr>
          <w:rFonts w:ascii="Arial" w:hAnsi="Arial" w:cs="Arial"/>
          <w:i/>
          <w:iCs/>
        </w:rPr>
        <w:t>et al</w:t>
      </w:r>
      <w:r w:rsidRPr="00731C34">
        <w:rPr>
          <w:rFonts w:ascii="Arial" w:hAnsi="Arial" w:cs="Arial"/>
        </w:rPr>
        <w:t xml:space="preserve">., 2022). </w:t>
      </w:r>
      <w:r w:rsidR="00E838B8" w:rsidRPr="00731C34">
        <w:rPr>
          <w:rFonts w:ascii="Arial" w:hAnsi="Arial" w:cs="Arial"/>
        </w:rPr>
        <w:t>Meanwhile, NAFLD also showed high disease burden, with an estimation of 30% of global population is affected</w:t>
      </w:r>
      <w:r w:rsidR="001C114B" w:rsidRPr="00731C34">
        <w:rPr>
          <w:rFonts w:ascii="Arial" w:hAnsi="Arial" w:cs="Arial"/>
        </w:rPr>
        <w:t xml:space="preserve"> </w:t>
      </w:r>
      <w:r w:rsidR="001C114B" w:rsidRPr="00731C34">
        <w:t>(</w:t>
      </w:r>
      <w:proofErr w:type="spellStart"/>
      <w:r w:rsidR="001C114B" w:rsidRPr="00731C34">
        <w:t>Younossi</w:t>
      </w:r>
      <w:proofErr w:type="spellEnd"/>
      <w:r w:rsidR="001C114B" w:rsidRPr="00731C34">
        <w:t xml:space="preserve"> </w:t>
      </w:r>
      <w:r w:rsidR="001C114B" w:rsidRPr="00731C34">
        <w:rPr>
          <w:i/>
        </w:rPr>
        <w:t>et al</w:t>
      </w:r>
      <w:r w:rsidR="001C114B" w:rsidRPr="00731C34">
        <w:t>., 2023).</w:t>
      </w:r>
    </w:p>
    <w:p w14:paraId="53F86C69" w14:textId="1438B669" w:rsidR="001A79D2" w:rsidRPr="00731C34" w:rsidRDefault="00D03C70" w:rsidP="00441B6F">
      <w:pPr>
        <w:pStyle w:val="Body"/>
        <w:spacing w:after="0"/>
      </w:pPr>
      <w:r w:rsidRPr="00731C34">
        <w:t>O</w:t>
      </w:r>
      <w:r w:rsidR="005E324A" w:rsidRPr="00731C34">
        <w:t xml:space="preserve">xidative stress </w:t>
      </w:r>
      <w:r w:rsidR="00D0346C" w:rsidRPr="00731C34">
        <w:t>is a key player in fatty liver disease pathogenesis.</w:t>
      </w:r>
      <w:r w:rsidR="0094153F" w:rsidRPr="00731C34">
        <w:t xml:space="preserve"> Increased reactive oxygen species (ROS) production, </w:t>
      </w:r>
      <w:r w:rsidR="00B07052" w:rsidRPr="00731C34">
        <w:t xml:space="preserve">which is a marker for oxidative stress, </w:t>
      </w:r>
      <w:r w:rsidR="004D1508" w:rsidRPr="00731C34">
        <w:t>trigger</w:t>
      </w:r>
      <w:r w:rsidR="00225AAE" w:rsidRPr="00731C34">
        <w:t>s</w:t>
      </w:r>
      <w:r w:rsidR="004D1508" w:rsidRPr="00731C34">
        <w:t xml:space="preserve"> lipid peroxidation, </w:t>
      </w:r>
      <w:r w:rsidR="00225AAE" w:rsidRPr="00731C34">
        <w:t>corrupting</w:t>
      </w:r>
      <w:r w:rsidR="004D1508" w:rsidRPr="00731C34">
        <w:t xml:space="preserve"> unsaturated fats in cell membranes, and produce malondialdehyde (MDA)</w:t>
      </w:r>
      <w:r w:rsidR="00225AAE" w:rsidRPr="00731C34">
        <w:t xml:space="preserve">. </w:t>
      </w:r>
      <w:r w:rsidR="009A6312" w:rsidRPr="00731C34">
        <w:t xml:space="preserve">This phenomenon will cause fat accumulation in the liver, </w:t>
      </w:r>
      <w:r w:rsidR="001443DC" w:rsidRPr="00731C34">
        <w:t xml:space="preserve">that </w:t>
      </w:r>
      <w:r w:rsidR="009A6312" w:rsidRPr="00731C34">
        <w:t>occurs due to an imbalance between fat synthesis, triglyceride accumulation, and fat degradation through beta oxidation in the mitochondria.</w:t>
      </w:r>
      <w:r w:rsidR="00274B2E" w:rsidRPr="00731C34">
        <w:t xml:space="preserve"> </w:t>
      </w:r>
      <w:r w:rsidR="001A79D2" w:rsidRPr="00731C34">
        <w:t>MDA is a toxic compound with mutagenic effects. Malondialdehyde furthermore will be metabolized by enzymes or bind to proteins and nucleic acids, triggering biomolecule damage, proinflammatory gene expression, and activation of inflammatory signaling pathways such as NF-</w:t>
      </w:r>
      <w:proofErr w:type="spellStart"/>
      <w:r w:rsidR="001A79D2" w:rsidRPr="00731C34">
        <w:t>κB</w:t>
      </w:r>
      <w:proofErr w:type="spellEnd"/>
      <w:r w:rsidR="001A79D2" w:rsidRPr="00731C34">
        <w:t xml:space="preserve">, which trigger vicious cycle and aggravate tissue damage in liver (Cordiano </w:t>
      </w:r>
      <w:r w:rsidR="001A79D2" w:rsidRPr="00731C34">
        <w:rPr>
          <w:i/>
        </w:rPr>
        <w:t>et al</w:t>
      </w:r>
      <w:r w:rsidR="001A79D2" w:rsidRPr="00731C34">
        <w:t xml:space="preserve">., 2023; Nabih </w:t>
      </w:r>
      <w:r w:rsidR="001A79D2" w:rsidRPr="00731C34">
        <w:rPr>
          <w:i/>
        </w:rPr>
        <w:t>et al.</w:t>
      </w:r>
      <w:r w:rsidR="001A79D2" w:rsidRPr="00731C34">
        <w:t xml:space="preserve">, </w:t>
      </w:r>
      <w:r w:rsidR="001A79D2" w:rsidRPr="00731C34">
        <w:rPr>
          <w:spacing w:val="-2"/>
        </w:rPr>
        <w:t>2024).</w:t>
      </w:r>
    </w:p>
    <w:p w14:paraId="1D83975C" w14:textId="7A85B5A9" w:rsidR="00434FC2" w:rsidRPr="00731C34" w:rsidRDefault="00434FC2" w:rsidP="00441B6F">
      <w:pPr>
        <w:pStyle w:val="Body"/>
        <w:spacing w:after="0"/>
      </w:pPr>
      <w:r w:rsidRPr="00731C34">
        <w:t>Insulin resistance</w:t>
      </w:r>
      <w:r w:rsidR="00330FD7" w:rsidRPr="00731C34">
        <w:t xml:space="preserve"> also poses a risk for the disease progression. </w:t>
      </w:r>
      <w:r w:rsidR="00CB7C1C" w:rsidRPr="00731C34">
        <w:t>Insulin resistance</w:t>
      </w:r>
      <w:r w:rsidR="00330FD7" w:rsidRPr="00731C34">
        <w:t xml:space="preserve"> </w:t>
      </w:r>
      <w:r w:rsidR="00CB7C1C" w:rsidRPr="00731C34">
        <w:t>will increase f</w:t>
      </w:r>
      <w:r w:rsidRPr="00731C34">
        <w:t xml:space="preserve">atty acid absorption, while </w:t>
      </w:r>
      <w:r w:rsidR="00CB7C1C" w:rsidRPr="00731C34">
        <w:t xml:space="preserve">also </w:t>
      </w:r>
      <w:r w:rsidRPr="00731C34">
        <w:t>decrease</w:t>
      </w:r>
      <w:r w:rsidR="00CB7C1C" w:rsidRPr="00731C34">
        <w:t xml:space="preserve"> </w:t>
      </w:r>
      <w:r w:rsidR="001A79D2" w:rsidRPr="00731C34">
        <w:t>fat burning or lipolysis in the liver tissue</w:t>
      </w:r>
      <w:r w:rsidRPr="00731C34">
        <w:t xml:space="preserve">. Combined with fructose consumption, the liver </w:t>
      </w:r>
      <w:proofErr w:type="gramStart"/>
      <w:r w:rsidR="001A79D2" w:rsidRPr="00731C34">
        <w:t>undergo</w:t>
      </w:r>
      <w:proofErr w:type="gramEnd"/>
      <w:r w:rsidRPr="00731C34">
        <w:t xml:space="preserve"> excessive lipogenesis, ultimately leading to fatty liver disease</w:t>
      </w:r>
      <w:r w:rsidR="009A5437" w:rsidRPr="00731C34">
        <w:t xml:space="preserve"> (Tomic </w:t>
      </w:r>
      <w:r w:rsidR="009A5437" w:rsidRPr="00731C34">
        <w:rPr>
          <w:i/>
          <w:iCs/>
        </w:rPr>
        <w:t>et al.</w:t>
      </w:r>
      <w:r w:rsidR="009A5437" w:rsidRPr="00731C34">
        <w:t xml:space="preserve">, 2018; Antunes </w:t>
      </w:r>
      <w:r w:rsidR="009A5437" w:rsidRPr="00731C34">
        <w:rPr>
          <w:i/>
          <w:iCs/>
        </w:rPr>
        <w:t>et al.</w:t>
      </w:r>
      <w:r w:rsidR="009A5437" w:rsidRPr="00731C34">
        <w:t>, 2023).</w:t>
      </w:r>
    </w:p>
    <w:p w14:paraId="6F31751C" w14:textId="7A6B96E4" w:rsidR="00547C31" w:rsidRPr="00731C34" w:rsidRDefault="002633DD" w:rsidP="00441B6F">
      <w:pPr>
        <w:pStyle w:val="Body"/>
        <w:spacing w:after="0"/>
      </w:pPr>
      <w:r w:rsidRPr="00731C34">
        <w:t>Flaxseeds (</w:t>
      </w:r>
      <w:r w:rsidRPr="00731C34">
        <w:rPr>
          <w:i/>
          <w:iCs/>
        </w:rPr>
        <w:t xml:space="preserve">Linum </w:t>
      </w:r>
      <w:proofErr w:type="spellStart"/>
      <w:r w:rsidRPr="00731C34">
        <w:rPr>
          <w:i/>
          <w:iCs/>
        </w:rPr>
        <w:t>usitatissimum</w:t>
      </w:r>
      <w:proofErr w:type="spellEnd"/>
      <w:r w:rsidRPr="00731C34">
        <w:t>) contain active components such as alpha-linolenic acid, lignans, and dietary fiber, making them a "superfood" with significant health benefits. Flaxseed oil is rich in alpha-linolenic acid (53%), which has been shown to lower total cholesterol, low-density lipoprotein (LDL), and very low-density lipoprotein (VLDL) levels, and has hepatoprotective effects (</w:t>
      </w:r>
      <w:proofErr w:type="spellStart"/>
      <w:r w:rsidRPr="00731C34">
        <w:t>Gurumallu</w:t>
      </w:r>
      <w:proofErr w:type="spellEnd"/>
      <w:r w:rsidRPr="00731C34">
        <w:t xml:space="preserve"> </w:t>
      </w:r>
      <w:r w:rsidRPr="00731C34">
        <w:rPr>
          <w:i/>
          <w:iCs/>
        </w:rPr>
        <w:t>et al</w:t>
      </w:r>
      <w:r w:rsidRPr="00731C34">
        <w:t>., 202</w:t>
      </w:r>
      <w:r w:rsidR="00D13FB6" w:rsidRPr="00731C34">
        <w:t>2</w:t>
      </w:r>
      <w:r w:rsidRPr="00731C34">
        <w:t xml:space="preserve">; Nowak &amp; </w:t>
      </w:r>
      <w:proofErr w:type="spellStart"/>
      <w:r w:rsidRPr="00731C34">
        <w:t>Jeziorek</w:t>
      </w:r>
      <w:proofErr w:type="spellEnd"/>
      <w:r w:rsidRPr="00731C34">
        <w:t>, 2023).</w:t>
      </w:r>
      <w:r w:rsidR="00EE67A4" w:rsidRPr="00731C34">
        <w:t xml:space="preserve"> </w:t>
      </w:r>
    </w:p>
    <w:p w14:paraId="73D47FA7" w14:textId="71D76458" w:rsidR="00921FE9" w:rsidRPr="00731C34" w:rsidRDefault="00EE67A4" w:rsidP="00441B6F">
      <w:pPr>
        <w:pStyle w:val="Body"/>
        <w:spacing w:after="0"/>
      </w:pPr>
      <w:r w:rsidRPr="00731C34">
        <w:t xml:space="preserve">Previous research found that </w:t>
      </w:r>
      <w:r w:rsidR="008B4E38" w:rsidRPr="00731C34">
        <w:t xml:space="preserve">administration of </w:t>
      </w:r>
      <w:r w:rsidR="00F80B6A" w:rsidRPr="00731C34">
        <w:t>bioactive fatty acids from flaxseed against carbon tetrachloride (CCl4)-induced liver damage in rats</w:t>
      </w:r>
      <w:r w:rsidR="008C6EF8" w:rsidRPr="00731C34">
        <w:t xml:space="preserve"> significantly increased the activity of antioxidant enzymes in vivo such as catalase, superoxide dismutase (SOD), and peroxidase (POX) in </w:t>
      </w:r>
      <w:r w:rsidR="00510E96" w:rsidRPr="00731C34">
        <w:t xml:space="preserve">carbon tetrachloride (CCl4)-induced liver damage </w:t>
      </w:r>
      <w:r w:rsidR="008C6EF8" w:rsidRPr="00731C34">
        <w:t xml:space="preserve">rats </w:t>
      </w:r>
      <w:r w:rsidR="00ED4662" w:rsidRPr="00731C34">
        <w:t>(</w:t>
      </w:r>
      <w:r w:rsidR="00ED4662" w:rsidRPr="00731C34">
        <w:rPr>
          <w:i/>
          <w:iCs/>
        </w:rPr>
        <w:t xml:space="preserve">Rattus </w:t>
      </w:r>
      <w:proofErr w:type="spellStart"/>
      <w:r w:rsidR="00ED4662" w:rsidRPr="00731C34">
        <w:rPr>
          <w:i/>
          <w:iCs/>
        </w:rPr>
        <w:t>novergicus</w:t>
      </w:r>
      <w:proofErr w:type="spellEnd"/>
      <w:r w:rsidR="00ED4662" w:rsidRPr="00731C34">
        <w:t>)</w:t>
      </w:r>
      <w:r w:rsidR="005528AD" w:rsidRPr="00731C34">
        <w:t xml:space="preserve"> (</w:t>
      </w:r>
      <w:proofErr w:type="spellStart"/>
      <w:r w:rsidR="005528AD" w:rsidRPr="00731C34">
        <w:t>Gurumallu</w:t>
      </w:r>
      <w:proofErr w:type="spellEnd"/>
      <w:r w:rsidR="005528AD" w:rsidRPr="00731C34">
        <w:rPr>
          <w:spacing w:val="-15"/>
        </w:rPr>
        <w:t xml:space="preserve"> </w:t>
      </w:r>
      <w:r w:rsidR="005528AD" w:rsidRPr="00731C34">
        <w:rPr>
          <w:i/>
        </w:rPr>
        <w:t>et</w:t>
      </w:r>
      <w:r w:rsidR="005528AD" w:rsidRPr="00731C34">
        <w:rPr>
          <w:i/>
          <w:spacing w:val="-15"/>
        </w:rPr>
        <w:t xml:space="preserve"> </w:t>
      </w:r>
      <w:r w:rsidR="005528AD" w:rsidRPr="00731C34">
        <w:rPr>
          <w:i/>
        </w:rPr>
        <w:t>al</w:t>
      </w:r>
      <w:r w:rsidR="005528AD" w:rsidRPr="00731C34">
        <w:t>.,</w:t>
      </w:r>
      <w:r w:rsidR="005528AD" w:rsidRPr="00731C34">
        <w:rPr>
          <w:spacing w:val="-15"/>
        </w:rPr>
        <w:t xml:space="preserve"> </w:t>
      </w:r>
      <w:r w:rsidR="005528AD" w:rsidRPr="00731C34">
        <w:t>2022).</w:t>
      </w:r>
      <w:r w:rsidR="00CC7C4C" w:rsidRPr="00731C34">
        <w:t xml:space="preserve"> </w:t>
      </w:r>
      <w:r w:rsidR="00BE5598" w:rsidRPr="00731C34">
        <w:t xml:space="preserve">Currently, there are no studies reporting the effect of flaxseed extract as a potential </w:t>
      </w:r>
      <w:r w:rsidR="00921FE9" w:rsidRPr="00731C34">
        <w:t>therapy for</w:t>
      </w:r>
      <w:r w:rsidR="00BE5598" w:rsidRPr="00731C34">
        <w:t xml:space="preserve"> fatty liver diseas</w:t>
      </w:r>
      <w:r w:rsidR="00921FE9" w:rsidRPr="00731C34">
        <w:t xml:space="preserve">e. </w:t>
      </w:r>
      <w:r w:rsidR="00FE1B7A" w:rsidRPr="00731C34">
        <w:t xml:space="preserve">This study aimed to </w:t>
      </w:r>
      <w:r w:rsidR="00921FE9" w:rsidRPr="00731C34">
        <w:t xml:space="preserve">explore the effect of </w:t>
      </w:r>
      <w:r w:rsidR="00FE1B7A" w:rsidRPr="00731C34">
        <w:t xml:space="preserve">flaxseed </w:t>
      </w:r>
      <w:r w:rsidR="00921FE9" w:rsidRPr="00731C34">
        <w:t xml:space="preserve">extract </w:t>
      </w:r>
      <w:r w:rsidR="00FE1B7A" w:rsidRPr="00731C34">
        <w:t>(</w:t>
      </w:r>
      <w:r w:rsidR="00FE1B7A" w:rsidRPr="00731C34">
        <w:rPr>
          <w:i/>
          <w:iCs/>
        </w:rPr>
        <w:t xml:space="preserve">Linum </w:t>
      </w:r>
      <w:proofErr w:type="spellStart"/>
      <w:r w:rsidR="00FE1B7A" w:rsidRPr="00731C34">
        <w:rPr>
          <w:i/>
          <w:iCs/>
        </w:rPr>
        <w:t>usitatissimum</w:t>
      </w:r>
      <w:proofErr w:type="spellEnd"/>
      <w:r w:rsidR="00FE1B7A" w:rsidRPr="00731C34">
        <w:t xml:space="preserve">) </w:t>
      </w:r>
      <w:r w:rsidR="00921FE9" w:rsidRPr="00731C34">
        <w:t xml:space="preserve">for </w:t>
      </w:r>
      <w:r w:rsidR="00D770CA" w:rsidRPr="00731C34">
        <w:t>rat</w:t>
      </w:r>
      <w:r w:rsidR="00921FE9" w:rsidRPr="00731C34">
        <w:t xml:space="preserve"> </w:t>
      </w:r>
      <w:r w:rsidR="00D770CA" w:rsidRPr="00731C34">
        <w:t>(</w:t>
      </w:r>
      <w:r w:rsidR="00D770CA" w:rsidRPr="00731C34">
        <w:rPr>
          <w:i/>
          <w:iCs/>
        </w:rPr>
        <w:t xml:space="preserve">Rattus </w:t>
      </w:r>
      <w:proofErr w:type="spellStart"/>
      <w:r w:rsidR="00D770CA" w:rsidRPr="00731C34">
        <w:rPr>
          <w:i/>
          <w:iCs/>
        </w:rPr>
        <w:t>novergicus</w:t>
      </w:r>
      <w:proofErr w:type="spellEnd"/>
      <w:r w:rsidR="00D770CA" w:rsidRPr="00731C34">
        <w:t>)</w:t>
      </w:r>
      <w:r w:rsidR="00174EF4" w:rsidRPr="00731C34">
        <w:t xml:space="preserve"> induced with high-fat high fructose diet</w:t>
      </w:r>
      <w:r w:rsidR="00D770CA" w:rsidRPr="00731C34">
        <w:t>.</w:t>
      </w:r>
    </w:p>
    <w:p w14:paraId="0B9D5B7F" w14:textId="77777777" w:rsidR="00921FE9" w:rsidRPr="00731C34" w:rsidRDefault="00921FE9" w:rsidP="00441B6F">
      <w:pPr>
        <w:pStyle w:val="Body"/>
        <w:spacing w:after="0"/>
      </w:pPr>
    </w:p>
    <w:p w14:paraId="21437C24" w14:textId="355DC00E" w:rsidR="007F7B32" w:rsidRPr="00731C34" w:rsidRDefault="00902823" w:rsidP="00441B6F">
      <w:pPr>
        <w:pStyle w:val="AbstHead"/>
        <w:spacing w:after="0"/>
        <w:jc w:val="both"/>
        <w:rPr>
          <w:rFonts w:ascii="Arial" w:hAnsi="Arial" w:cs="Arial"/>
        </w:rPr>
      </w:pPr>
      <w:r w:rsidRPr="00731C34">
        <w:rPr>
          <w:rFonts w:ascii="Arial" w:hAnsi="Arial" w:cs="Arial"/>
        </w:rPr>
        <w:t xml:space="preserve">2. </w:t>
      </w:r>
      <w:r w:rsidR="00C8026C" w:rsidRPr="00731C34">
        <w:rPr>
          <w:rFonts w:ascii="Arial" w:hAnsi="Arial" w:cs="Arial"/>
        </w:rPr>
        <w:t>METHODS</w:t>
      </w:r>
    </w:p>
    <w:p w14:paraId="34FE260E" w14:textId="77777777" w:rsidR="00790ADA" w:rsidRPr="00731C34" w:rsidRDefault="00790ADA" w:rsidP="00441B6F">
      <w:pPr>
        <w:pStyle w:val="AbstHead"/>
        <w:spacing w:after="0"/>
        <w:jc w:val="both"/>
        <w:rPr>
          <w:rFonts w:ascii="Arial" w:hAnsi="Arial" w:cs="Arial"/>
        </w:rPr>
      </w:pPr>
    </w:p>
    <w:p w14:paraId="3BCE5C2E" w14:textId="5EAD1226" w:rsidR="00790ADA" w:rsidRPr="00731C34" w:rsidRDefault="00893DDC" w:rsidP="00441B6F">
      <w:pPr>
        <w:pStyle w:val="Body"/>
        <w:spacing w:after="0"/>
        <w:rPr>
          <w:rFonts w:ascii="Arial" w:hAnsi="Arial" w:cs="Arial"/>
          <w:b/>
          <w:bCs/>
          <w:sz w:val="22"/>
          <w:szCs w:val="22"/>
        </w:rPr>
      </w:pPr>
      <w:r w:rsidRPr="00731C34">
        <w:rPr>
          <w:rFonts w:ascii="Arial" w:hAnsi="Arial" w:cs="Arial"/>
          <w:b/>
          <w:bCs/>
          <w:sz w:val="22"/>
          <w:szCs w:val="22"/>
        </w:rPr>
        <w:t>2.1. Study Design</w:t>
      </w:r>
    </w:p>
    <w:p w14:paraId="32931FEA" w14:textId="7E4C82DE" w:rsidR="00893DDC" w:rsidRPr="00731C34" w:rsidRDefault="00893DDC" w:rsidP="00441B6F">
      <w:pPr>
        <w:pStyle w:val="Body"/>
        <w:spacing w:after="0"/>
        <w:rPr>
          <w:rFonts w:ascii="Arial" w:hAnsi="Arial" w:cs="Arial"/>
        </w:rPr>
      </w:pPr>
      <w:r w:rsidRPr="00731C34">
        <w:rPr>
          <w:rFonts w:ascii="Arial" w:hAnsi="Arial" w:cs="Arial"/>
        </w:rPr>
        <w:t xml:space="preserve">This study was conducted using a purely experimental research system with a randomized post-test only control group design on in vivo experimental animals (Flannelly </w:t>
      </w:r>
      <w:r w:rsidRPr="00731C34">
        <w:rPr>
          <w:rFonts w:ascii="Arial" w:hAnsi="Arial" w:cs="Arial"/>
          <w:i/>
          <w:iCs/>
        </w:rPr>
        <w:t>et al</w:t>
      </w:r>
      <w:r w:rsidRPr="00731C34">
        <w:rPr>
          <w:rFonts w:ascii="Arial" w:hAnsi="Arial" w:cs="Arial"/>
        </w:rPr>
        <w:t>., 2018). The experimental animals were randomly divided into five experimental groups. One group was the control group, and the remaining four groups were treated for a predetermined period.</w:t>
      </w:r>
    </w:p>
    <w:p w14:paraId="46A6AF21" w14:textId="29990CD8" w:rsidR="00EA32B6" w:rsidRPr="00731C34" w:rsidRDefault="00EA32B6" w:rsidP="00441B6F">
      <w:pPr>
        <w:pStyle w:val="Body"/>
        <w:spacing w:after="0"/>
        <w:rPr>
          <w:rFonts w:ascii="Arial" w:hAnsi="Arial" w:cs="Arial"/>
          <w:b/>
          <w:bCs/>
          <w:sz w:val="22"/>
          <w:szCs w:val="22"/>
        </w:rPr>
      </w:pPr>
      <w:r w:rsidRPr="00731C34">
        <w:rPr>
          <w:rFonts w:ascii="Arial" w:hAnsi="Arial" w:cs="Arial"/>
          <w:b/>
          <w:bCs/>
          <w:sz w:val="22"/>
          <w:szCs w:val="22"/>
        </w:rPr>
        <w:t xml:space="preserve">2.2. Location </w:t>
      </w:r>
    </w:p>
    <w:p w14:paraId="0D23199F" w14:textId="0404F583" w:rsidR="00B560E0" w:rsidRPr="00731C34" w:rsidRDefault="00F67F37" w:rsidP="00441B6F">
      <w:pPr>
        <w:pStyle w:val="Body"/>
        <w:spacing w:after="0"/>
        <w:rPr>
          <w:rFonts w:ascii="Arial" w:eastAsia="Calibri" w:hAnsi="Arial" w:cs="Arial"/>
          <w:szCs w:val="22"/>
        </w:rPr>
      </w:pPr>
      <w:r w:rsidRPr="00731C34">
        <w:rPr>
          <w:rFonts w:ascii="Arial" w:hAnsi="Arial" w:cs="Arial"/>
        </w:rPr>
        <w:t xml:space="preserve">This study took place at </w:t>
      </w:r>
      <w:proofErr w:type="spellStart"/>
      <w:r w:rsidRPr="00731C34">
        <w:rPr>
          <w:rFonts w:ascii="Arial" w:eastAsia="Calibri" w:hAnsi="Arial" w:cs="Arial"/>
          <w:szCs w:val="22"/>
        </w:rPr>
        <w:t>at</w:t>
      </w:r>
      <w:proofErr w:type="spellEnd"/>
      <w:r w:rsidRPr="00731C34">
        <w:rPr>
          <w:rFonts w:ascii="Arial" w:eastAsia="Calibri" w:hAnsi="Arial" w:cs="Arial"/>
          <w:szCs w:val="22"/>
        </w:rPr>
        <w:t xml:space="preserve"> Integrated Biomedical Laboratory, Faculty of Medicine, Universitas Udayana, Denpasar. </w:t>
      </w:r>
    </w:p>
    <w:p w14:paraId="30928E47" w14:textId="16B7BA50" w:rsidR="00F8297B" w:rsidRPr="00731C34" w:rsidRDefault="00EA32B6" w:rsidP="00441B6F">
      <w:pPr>
        <w:pStyle w:val="Body"/>
        <w:spacing w:after="0"/>
        <w:rPr>
          <w:rFonts w:ascii="Arial" w:hAnsi="Arial" w:cs="Arial"/>
          <w:b/>
          <w:bCs/>
          <w:sz w:val="22"/>
          <w:szCs w:val="22"/>
        </w:rPr>
      </w:pPr>
      <w:r w:rsidRPr="00731C34">
        <w:rPr>
          <w:rFonts w:ascii="Arial" w:hAnsi="Arial" w:cs="Arial"/>
          <w:b/>
          <w:bCs/>
          <w:sz w:val="22"/>
          <w:szCs w:val="22"/>
        </w:rPr>
        <w:t xml:space="preserve">2.3. </w:t>
      </w:r>
      <w:r w:rsidR="00465F89" w:rsidRPr="00731C34">
        <w:rPr>
          <w:rFonts w:ascii="Arial" w:hAnsi="Arial" w:cs="Arial"/>
          <w:b/>
          <w:bCs/>
          <w:sz w:val="22"/>
          <w:szCs w:val="22"/>
        </w:rPr>
        <w:t>S</w:t>
      </w:r>
      <w:r w:rsidR="00F8297B" w:rsidRPr="00731C34">
        <w:rPr>
          <w:rFonts w:ascii="Arial" w:hAnsi="Arial" w:cs="Arial"/>
          <w:b/>
          <w:bCs/>
          <w:sz w:val="22"/>
          <w:szCs w:val="22"/>
        </w:rPr>
        <w:t xml:space="preserve">ubject </w:t>
      </w:r>
      <w:proofErr w:type="spellStart"/>
      <w:r w:rsidR="00F8297B" w:rsidRPr="00731C34">
        <w:rPr>
          <w:rFonts w:ascii="Arial" w:hAnsi="Arial" w:cs="Arial"/>
          <w:b/>
          <w:bCs/>
          <w:sz w:val="22"/>
          <w:szCs w:val="22"/>
        </w:rPr>
        <w:t>Critera</w:t>
      </w:r>
      <w:proofErr w:type="spellEnd"/>
      <w:r w:rsidR="00F8297B" w:rsidRPr="00731C34">
        <w:rPr>
          <w:rFonts w:ascii="Arial" w:hAnsi="Arial" w:cs="Arial"/>
          <w:b/>
          <w:bCs/>
          <w:sz w:val="22"/>
          <w:szCs w:val="22"/>
        </w:rPr>
        <w:t xml:space="preserve"> </w:t>
      </w:r>
    </w:p>
    <w:p w14:paraId="3C0F265B" w14:textId="4DE88E71" w:rsidR="00F8297B" w:rsidRPr="00731C34" w:rsidRDefault="00465F89" w:rsidP="00441B6F">
      <w:pPr>
        <w:pStyle w:val="Body"/>
        <w:spacing w:after="0"/>
        <w:rPr>
          <w:rFonts w:ascii="Arial" w:hAnsi="Arial" w:cs="Arial"/>
        </w:rPr>
      </w:pPr>
      <w:r w:rsidRPr="00731C34">
        <w:rPr>
          <w:rFonts w:ascii="Arial" w:hAnsi="Arial" w:cs="Arial"/>
        </w:rPr>
        <w:t>The inclusion criteria for this study were adult male Wistar (</w:t>
      </w:r>
      <w:r w:rsidRPr="00731C34">
        <w:rPr>
          <w:rFonts w:ascii="Arial" w:hAnsi="Arial" w:cs="Arial"/>
          <w:i/>
          <w:iCs/>
        </w:rPr>
        <w:t xml:space="preserve">Rattus </w:t>
      </w:r>
      <w:proofErr w:type="spellStart"/>
      <w:r w:rsidRPr="00731C34">
        <w:rPr>
          <w:rFonts w:ascii="Arial" w:hAnsi="Arial" w:cs="Arial"/>
          <w:i/>
          <w:iCs/>
        </w:rPr>
        <w:t>novergicus</w:t>
      </w:r>
      <w:proofErr w:type="spellEnd"/>
      <w:r w:rsidRPr="00731C34">
        <w:rPr>
          <w:rFonts w:ascii="Arial" w:hAnsi="Arial" w:cs="Arial"/>
        </w:rPr>
        <w:t>) rats aged 2 to 3 months and weighing between 180 and 220 grams. Rats used were physiologically healthy, showing no signs of disease, and maintaining a stable diet and activity pattern during the one-week acclimatization period. Exclusion and dropout criteria included rats showing signs of illness, such as decreased activity, loss of appetite, or drastic weight loss, as well as rats that died before treatment was administered.</w:t>
      </w:r>
    </w:p>
    <w:p w14:paraId="1CE75A6F" w14:textId="5C116B7D" w:rsidR="00EA32B6" w:rsidRPr="00731C34" w:rsidRDefault="00F8297B" w:rsidP="00441B6F">
      <w:pPr>
        <w:pStyle w:val="Body"/>
        <w:spacing w:after="0"/>
        <w:rPr>
          <w:rFonts w:ascii="Arial" w:hAnsi="Arial" w:cs="Arial"/>
          <w:b/>
          <w:bCs/>
          <w:sz w:val="22"/>
          <w:szCs w:val="22"/>
        </w:rPr>
      </w:pPr>
      <w:r w:rsidRPr="00731C34">
        <w:rPr>
          <w:rFonts w:ascii="Arial" w:hAnsi="Arial" w:cs="Arial"/>
          <w:b/>
          <w:bCs/>
          <w:sz w:val="22"/>
          <w:szCs w:val="22"/>
        </w:rPr>
        <w:t>2.4. Sample</w:t>
      </w:r>
    </w:p>
    <w:p w14:paraId="3246A6F1" w14:textId="7F90DE75" w:rsidR="00AA44F9" w:rsidRPr="00731C34" w:rsidRDefault="006515AA" w:rsidP="00785546">
      <w:pPr>
        <w:pStyle w:val="Body"/>
        <w:spacing w:after="0"/>
        <w:rPr>
          <w:rFonts w:ascii="Arial" w:eastAsia="Calibri" w:hAnsi="Arial" w:cs="Arial"/>
          <w:szCs w:val="22"/>
        </w:rPr>
      </w:pPr>
      <w:r w:rsidRPr="00731C34">
        <w:rPr>
          <w:rFonts w:ascii="Arial" w:hAnsi="Arial" w:cs="Arial"/>
        </w:rPr>
        <w:t xml:space="preserve">The total number of mice used was 25, which were divided into 5 treatment groups which were </w:t>
      </w:r>
      <w:r w:rsidRPr="00731C34">
        <w:rPr>
          <w:rFonts w:ascii="Arial" w:eastAsia="Calibri" w:hAnsi="Arial" w:cs="Arial"/>
          <w:szCs w:val="22"/>
        </w:rPr>
        <w:t xml:space="preserve">normal control (K), high-fat, high-fructose control (K1), and three treatment groups (P1, </w:t>
      </w:r>
      <w:r w:rsidRPr="00731C34">
        <w:rPr>
          <w:rFonts w:ascii="Arial" w:eastAsia="Calibri" w:hAnsi="Arial" w:cs="Arial"/>
          <w:szCs w:val="22"/>
        </w:rPr>
        <w:lastRenderedPageBreak/>
        <w:t>P2, P3) receiving flaxseed extract at 200, 400, and 800 mg/</w:t>
      </w:r>
      <w:proofErr w:type="spellStart"/>
      <w:r w:rsidRPr="00731C34">
        <w:rPr>
          <w:rFonts w:ascii="Arial" w:eastAsia="Calibri" w:hAnsi="Arial" w:cs="Arial"/>
          <w:szCs w:val="22"/>
        </w:rPr>
        <w:t>kgBW</w:t>
      </w:r>
      <w:proofErr w:type="spellEnd"/>
      <w:r w:rsidRPr="00731C34">
        <w:rPr>
          <w:rFonts w:ascii="Arial" w:eastAsia="Calibri" w:hAnsi="Arial" w:cs="Arial"/>
          <w:szCs w:val="22"/>
        </w:rPr>
        <w:t xml:space="preserve">, respectively. </w:t>
      </w:r>
      <w:r w:rsidR="003809D7" w:rsidRPr="00731C34">
        <w:rPr>
          <w:rFonts w:ascii="Arial" w:eastAsia="Calibri" w:hAnsi="Arial" w:cs="Arial"/>
          <w:szCs w:val="22"/>
        </w:rPr>
        <w:t>The intervention was lasted for 35 days.</w:t>
      </w:r>
    </w:p>
    <w:p w14:paraId="196A91FC" w14:textId="1AD645B4" w:rsidR="00657D30" w:rsidRPr="00731C34" w:rsidRDefault="00076A46" w:rsidP="00785546">
      <w:pPr>
        <w:pStyle w:val="Body"/>
        <w:spacing w:after="0"/>
        <w:rPr>
          <w:rFonts w:ascii="Arial" w:eastAsia="Calibri" w:hAnsi="Arial" w:cs="Arial"/>
          <w:b/>
          <w:bCs/>
          <w:sz w:val="22"/>
          <w:szCs w:val="24"/>
        </w:rPr>
      </w:pPr>
      <w:r w:rsidRPr="00731C34">
        <w:rPr>
          <w:rFonts w:ascii="Arial" w:eastAsia="Calibri" w:hAnsi="Arial" w:cs="Arial"/>
          <w:b/>
          <w:bCs/>
          <w:sz w:val="22"/>
          <w:szCs w:val="24"/>
        </w:rPr>
        <w:t>2.</w:t>
      </w:r>
      <w:r w:rsidR="00AA44F9" w:rsidRPr="00731C34">
        <w:rPr>
          <w:rFonts w:ascii="Arial" w:eastAsia="Calibri" w:hAnsi="Arial" w:cs="Arial"/>
          <w:b/>
          <w:bCs/>
          <w:sz w:val="22"/>
          <w:szCs w:val="24"/>
        </w:rPr>
        <w:t>5</w:t>
      </w:r>
      <w:r w:rsidRPr="00731C34">
        <w:rPr>
          <w:rFonts w:ascii="Arial" w:eastAsia="Calibri" w:hAnsi="Arial" w:cs="Arial"/>
          <w:b/>
          <w:bCs/>
          <w:sz w:val="22"/>
          <w:szCs w:val="24"/>
        </w:rPr>
        <w:t xml:space="preserve">. </w:t>
      </w:r>
      <w:r w:rsidR="00725AD8" w:rsidRPr="00731C34">
        <w:rPr>
          <w:rFonts w:ascii="Arial" w:eastAsia="Calibri" w:hAnsi="Arial" w:cs="Arial"/>
          <w:b/>
          <w:bCs/>
          <w:sz w:val="22"/>
          <w:szCs w:val="24"/>
        </w:rPr>
        <w:t>Animal Model Development</w:t>
      </w:r>
    </w:p>
    <w:p w14:paraId="23526D61" w14:textId="771CDD54" w:rsidR="00725AD8" w:rsidRPr="00731C34" w:rsidRDefault="00490C36" w:rsidP="00785546">
      <w:pPr>
        <w:pStyle w:val="Body"/>
        <w:spacing w:after="0"/>
        <w:rPr>
          <w:rFonts w:ascii="Arial" w:eastAsia="Calibri" w:hAnsi="Arial" w:cs="Arial"/>
          <w:szCs w:val="22"/>
        </w:rPr>
      </w:pPr>
      <w:r w:rsidRPr="00731C34">
        <w:rPr>
          <w:rFonts w:ascii="Arial" w:eastAsia="Calibri" w:hAnsi="Arial" w:cs="Arial"/>
          <w:szCs w:val="22"/>
        </w:rPr>
        <w:t xml:space="preserve">Rats in group K1 and treatment groups (P1, P2, and P3) were fed with </w:t>
      </w:r>
      <w:r w:rsidR="001E4094" w:rsidRPr="00731C34">
        <w:rPr>
          <w:rFonts w:ascii="Arial" w:eastAsia="Calibri" w:hAnsi="Arial" w:cs="Arial"/>
          <w:szCs w:val="22"/>
        </w:rPr>
        <w:t xml:space="preserve">high fat </w:t>
      </w:r>
      <w:r w:rsidR="00890E99" w:rsidRPr="00731C34">
        <w:rPr>
          <w:rFonts w:ascii="Arial" w:eastAsia="Calibri" w:hAnsi="Arial" w:cs="Arial"/>
          <w:szCs w:val="22"/>
        </w:rPr>
        <w:t xml:space="preserve">suspension other than standard food which were given to all groups. </w:t>
      </w:r>
      <w:r w:rsidR="00DA2BC9" w:rsidRPr="00731C34">
        <w:rPr>
          <w:rFonts w:ascii="Arial" w:eastAsia="Calibri" w:hAnsi="Arial" w:cs="Arial"/>
          <w:szCs w:val="22"/>
        </w:rPr>
        <w:t>High-fat diet was prepared by melting 300 grams of lard and mixing it with 200 grams of duck egg yolk, which was then diluted with 100 ml of distilled water and 1 ml of 0.5% Carboxymethyl cellulose (CMC) as a stabilizer</w:t>
      </w:r>
      <w:r w:rsidR="00D94618">
        <w:rPr>
          <w:rFonts w:ascii="Arial" w:eastAsia="Calibri" w:hAnsi="Arial" w:cs="Arial"/>
          <w:szCs w:val="22"/>
        </w:rPr>
        <w:t xml:space="preserve"> (Harsa</w:t>
      </w:r>
      <w:r w:rsidR="00D94618">
        <w:rPr>
          <w:rFonts w:ascii="Arial" w:eastAsia="Calibri" w:hAnsi="Arial" w:cs="Arial"/>
          <w:i/>
          <w:iCs/>
          <w:szCs w:val="22"/>
        </w:rPr>
        <w:t xml:space="preserve">, </w:t>
      </w:r>
      <w:r w:rsidR="00D94618">
        <w:rPr>
          <w:rFonts w:ascii="Arial" w:eastAsia="Calibri" w:hAnsi="Arial" w:cs="Arial"/>
          <w:szCs w:val="22"/>
        </w:rPr>
        <w:t>2014)</w:t>
      </w:r>
      <w:r w:rsidR="00DA2BC9" w:rsidRPr="00731C34">
        <w:rPr>
          <w:rFonts w:ascii="Arial" w:eastAsia="Calibri" w:hAnsi="Arial" w:cs="Arial"/>
          <w:szCs w:val="22"/>
        </w:rPr>
        <w:t xml:space="preserve">. High-fructose </w:t>
      </w:r>
      <w:r w:rsidR="009B6CA5" w:rsidRPr="00731C34">
        <w:rPr>
          <w:rFonts w:ascii="Arial" w:eastAsia="Calibri" w:hAnsi="Arial" w:cs="Arial"/>
          <w:szCs w:val="22"/>
        </w:rPr>
        <w:t xml:space="preserve">diet were given through the drinking </w:t>
      </w:r>
      <w:r w:rsidR="00DA2BC9" w:rsidRPr="00731C34">
        <w:rPr>
          <w:rFonts w:ascii="Arial" w:eastAsia="Calibri" w:hAnsi="Arial" w:cs="Arial"/>
          <w:szCs w:val="22"/>
        </w:rPr>
        <w:t>water</w:t>
      </w:r>
      <w:r w:rsidR="009B6CA5" w:rsidRPr="00731C34">
        <w:rPr>
          <w:rFonts w:ascii="Arial" w:eastAsia="Calibri" w:hAnsi="Arial" w:cs="Arial"/>
          <w:szCs w:val="22"/>
        </w:rPr>
        <w:t xml:space="preserve">, which </w:t>
      </w:r>
      <w:r w:rsidR="00DA2BC9" w:rsidRPr="00731C34">
        <w:rPr>
          <w:rFonts w:ascii="Arial" w:eastAsia="Calibri" w:hAnsi="Arial" w:cs="Arial"/>
          <w:szCs w:val="22"/>
        </w:rPr>
        <w:t>was supplemented with 30% fructose syrup.</w:t>
      </w:r>
      <w:r w:rsidR="007B0985" w:rsidRPr="00731C34">
        <w:rPr>
          <w:rFonts w:ascii="Arial" w:eastAsia="Calibri" w:hAnsi="Arial" w:cs="Arial"/>
          <w:szCs w:val="22"/>
        </w:rPr>
        <w:t xml:space="preserve"> High-fat, high-fructose diet will be given </w:t>
      </w:r>
      <w:r w:rsidR="00301A4D" w:rsidRPr="00731C34">
        <w:rPr>
          <w:rFonts w:ascii="Arial" w:eastAsia="Calibri" w:hAnsi="Arial" w:cs="Arial"/>
          <w:szCs w:val="22"/>
        </w:rPr>
        <w:t xml:space="preserve">daily </w:t>
      </w:r>
      <w:r w:rsidR="007B0985" w:rsidRPr="00731C34">
        <w:rPr>
          <w:rFonts w:ascii="Arial" w:eastAsia="Calibri" w:hAnsi="Arial" w:cs="Arial"/>
          <w:szCs w:val="22"/>
        </w:rPr>
        <w:t>for 35 days</w:t>
      </w:r>
      <w:r w:rsidR="000648ED">
        <w:rPr>
          <w:rFonts w:ascii="Arial" w:eastAsia="Calibri" w:hAnsi="Arial" w:cs="Arial"/>
          <w:szCs w:val="22"/>
        </w:rPr>
        <w:t xml:space="preserve"> </w:t>
      </w:r>
      <w:r w:rsidR="000648ED" w:rsidRPr="00AA0848">
        <w:rPr>
          <w:rFonts w:ascii="Arial" w:eastAsia="Calibri" w:hAnsi="Arial" w:cs="Arial"/>
          <w:szCs w:val="22"/>
          <w:highlight w:val="yellow"/>
        </w:rPr>
        <w:t>(Abdelkareem &amp; Fadda, 20</w:t>
      </w:r>
      <w:r w:rsidR="00B930DA" w:rsidRPr="00AA0848">
        <w:rPr>
          <w:rFonts w:ascii="Arial" w:eastAsia="Calibri" w:hAnsi="Arial" w:cs="Arial"/>
          <w:szCs w:val="22"/>
          <w:highlight w:val="yellow"/>
        </w:rPr>
        <w:t>17)</w:t>
      </w:r>
      <w:r w:rsidR="007B0985" w:rsidRPr="00AA0848">
        <w:rPr>
          <w:rFonts w:ascii="Arial" w:eastAsia="Calibri" w:hAnsi="Arial" w:cs="Arial"/>
          <w:szCs w:val="22"/>
          <w:highlight w:val="yellow"/>
        </w:rPr>
        <w:t>.</w:t>
      </w:r>
    </w:p>
    <w:p w14:paraId="7F218367" w14:textId="68483360" w:rsidR="00B6480F" w:rsidRPr="00731C34" w:rsidRDefault="00725AD8" w:rsidP="00785546">
      <w:pPr>
        <w:pStyle w:val="Body"/>
        <w:spacing w:after="0"/>
        <w:rPr>
          <w:rFonts w:ascii="Arial" w:eastAsia="Calibri" w:hAnsi="Arial" w:cs="Arial"/>
          <w:szCs w:val="22"/>
        </w:rPr>
      </w:pPr>
      <w:r w:rsidRPr="00731C34">
        <w:rPr>
          <w:rFonts w:ascii="Arial" w:hAnsi="Arial" w:cs="Arial"/>
        </w:rPr>
        <w:t>Rats were sacrificed in day 36</w:t>
      </w:r>
      <w:r w:rsidRPr="00731C34">
        <w:rPr>
          <w:rFonts w:ascii="Arial" w:hAnsi="Arial" w:cs="Arial"/>
          <w:vertAlign w:val="superscript"/>
        </w:rPr>
        <w:t>th</w:t>
      </w:r>
      <w:r w:rsidRPr="00731C34">
        <w:rPr>
          <w:rFonts w:ascii="Arial" w:hAnsi="Arial" w:cs="Arial"/>
        </w:rPr>
        <w:t xml:space="preserve">. </w:t>
      </w:r>
      <w:r w:rsidR="007507E1" w:rsidRPr="00731C34">
        <w:rPr>
          <w:rFonts w:ascii="Arial" w:eastAsia="Calibri" w:hAnsi="Arial" w:cs="Arial"/>
          <w:szCs w:val="22"/>
        </w:rPr>
        <w:t>The rats were euthanized using 10% ketamine at a dose of 50 mg/kg body weight and 20 mg/kg body weight of xylazine intramuscularly. The livers were then removed and cut into 1x1x1 cm pieces.</w:t>
      </w:r>
    </w:p>
    <w:p w14:paraId="37D2D08C" w14:textId="77777777" w:rsidR="00725AD8" w:rsidRPr="00731C34" w:rsidRDefault="00725AD8" w:rsidP="00785546">
      <w:pPr>
        <w:pStyle w:val="Body"/>
        <w:spacing w:after="0"/>
        <w:rPr>
          <w:rFonts w:ascii="Arial" w:eastAsia="Calibri" w:hAnsi="Arial" w:cs="Arial"/>
          <w:szCs w:val="22"/>
        </w:rPr>
      </w:pPr>
    </w:p>
    <w:p w14:paraId="51DBEDC8" w14:textId="49E797C5" w:rsidR="00076A46" w:rsidRPr="00731C34" w:rsidRDefault="00657D30" w:rsidP="00785546">
      <w:pPr>
        <w:pStyle w:val="Body"/>
        <w:spacing w:after="0"/>
        <w:rPr>
          <w:rFonts w:ascii="Arial" w:hAnsi="Arial" w:cs="Arial"/>
          <w:b/>
          <w:bCs/>
          <w:sz w:val="22"/>
          <w:szCs w:val="22"/>
        </w:rPr>
      </w:pPr>
      <w:r w:rsidRPr="00731C34">
        <w:rPr>
          <w:rFonts w:ascii="Arial" w:eastAsia="Calibri" w:hAnsi="Arial" w:cs="Arial"/>
          <w:b/>
          <w:bCs/>
          <w:sz w:val="22"/>
          <w:szCs w:val="24"/>
        </w:rPr>
        <w:t>2.6. Flaxseed (</w:t>
      </w:r>
      <w:r w:rsidRPr="00731C34">
        <w:rPr>
          <w:rFonts w:ascii="Arial" w:eastAsia="Calibri" w:hAnsi="Arial" w:cs="Arial"/>
          <w:b/>
          <w:bCs/>
          <w:i/>
          <w:iCs/>
          <w:sz w:val="22"/>
          <w:szCs w:val="24"/>
        </w:rPr>
        <w:t xml:space="preserve">Linum </w:t>
      </w:r>
      <w:proofErr w:type="spellStart"/>
      <w:r w:rsidRPr="00731C34">
        <w:rPr>
          <w:rFonts w:ascii="Arial" w:eastAsia="Calibri" w:hAnsi="Arial" w:cs="Arial"/>
          <w:b/>
          <w:bCs/>
          <w:i/>
          <w:iCs/>
          <w:sz w:val="22"/>
          <w:szCs w:val="24"/>
        </w:rPr>
        <w:t>ussittatum</w:t>
      </w:r>
      <w:proofErr w:type="spellEnd"/>
      <w:r w:rsidRPr="00731C34">
        <w:rPr>
          <w:rFonts w:ascii="Arial" w:eastAsia="Calibri" w:hAnsi="Arial" w:cs="Arial"/>
          <w:b/>
          <w:bCs/>
          <w:sz w:val="22"/>
          <w:szCs w:val="24"/>
        </w:rPr>
        <w:t xml:space="preserve">) Extract </w:t>
      </w:r>
      <w:r w:rsidR="00076A46" w:rsidRPr="00731C34">
        <w:rPr>
          <w:rFonts w:ascii="Arial" w:eastAsia="Calibri" w:hAnsi="Arial" w:cs="Arial"/>
          <w:b/>
          <w:bCs/>
          <w:sz w:val="22"/>
          <w:szCs w:val="24"/>
        </w:rPr>
        <w:t xml:space="preserve"> </w:t>
      </w:r>
    </w:p>
    <w:p w14:paraId="51F43340" w14:textId="2F9281D9" w:rsidR="00785546" w:rsidRPr="00731C34" w:rsidRDefault="00DA6AC2" w:rsidP="00441B6F">
      <w:pPr>
        <w:pStyle w:val="Body"/>
        <w:spacing w:after="0"/>
        <w:rPr>
          <w:rFonts w:ascii="Arial" w:hAnsi="Arial" w:cs="Arial"/>
        </w:rPr>
      </w:pPr>
      <w:r w:rsidRPr="00731C34">
        <w:rPr>
          <w:rFonts w:ascii="Arial" w:hAnsi="Arial" w:cs="Arial"/>
        </w:rPr>
        <w:t>Flaxseed extract was prepared by grinding dried flaxseed using a grinder for 30 seconds to a powder, then weighed and extracted with 70% ethanol (ratio 1:10) by maceration at room temperature for 24–48 hours with daily stirring. The mixture was filtered and filtration was repeated if necessary to obtain a clear solution. The extract solution was then evaporated using a rotary evaporator at 40–50°C to form a concentrated extract, which was then weighed and formulated in doses of 200, 400, and 800 mg/</w:t>
      </w:r>
      <w:proofErr w:type="spellStart"/>
      <w:r w:rsidRPr="00731C34">
        <w:rPr>
          <w:rFonts w:ascii="Arial" w:hAnsi="Arial" w:cs="Arial"/>
        </w:rPr>
        <w:t>kgBW</w:t>
      </w:r>
      <w:proofErr w:type="spellEnd"/>
      <w:r w:rsidRPr="00731C34">
        <w:rPr>
          <w:rFonts w:ascii="Arial" w:hAnsi="Arial" w:cs="Arial"/>
        </w:rPr>
        <w:t xml:space="preserve"> using 0.5% CMC Na solution, then vortexed until homogeneous</w:t>
      </w:r>
      <w:r w:rsidR="005E4865">
        <w:rPr>
          <w:rFonts w:ascii="Arial" w:hAnsi="Arial" w:cs="Arial"/>
        </w:rPr>
        <w:t xml:space="preserve"> </w:t>
      </w:r>
      <w:r w:rsidR="005E4865" w:rsidRPr="00AA0848">
        <w:rPr>
          <w:rFonts w:ascii="Arial" w:hAnsi="Arial" w:cs="Arial"/>
          <w:highlight w:val="yellow"/>
        </w:rPr>
        <w:t>(</w:t>
      </w:r>
      <w:r w:rsidR="000C1DFE" w:rsidRPr="00AA0848">
        <w:rPr>
          <w:rFonts w:ascii="Arial" w:hAnsi="Arial" w:cs="Arial"/>
          <w:highlight w:val="yellow"/>
        </w:rPr>
        <w:t xml:space="preserve">Al-Ani </w:t>
      </w:r>
      <w:r w:rsidR="000C1DFE" w:rsidRPr="00AA0848">
        <w:rPr>
          <w:rFonts w:ascii="Arial" w:hAnsi="Arial" w:cs="Arial"/>
          <w:i/>
          <w:iCs/>
          <w:highlight w:val="yellow"/>
        </w:rPr>
        <w:t>et al</w:t>
      </w:r>
      <w:r w:rsidR="000C1DFE" w:rsidRPr="00AA0848">
        <w:rPr>
          <w:rFonts w:ascii="Arial" w:hAnsi="Arial" w:cs="Arial"/>
          <w:highlight w:val="yellow"/>
        </w:rPr>
        <w:t xml:space="preserve">., </w:t>
      </w:r>
      <w:r w:rsidR="00354A1F" w:rsidRPr="00AA0848">
        <w:rPr>
          <w:rFonts w:ascii="Arial" w:hAnsi="Arial" w:cs="Arial"/>
          <w:highlight w:val="yellow"/>
        </w:rPr>
        <w:t>2017)</w:t>
      </w:r>
      <w:r w:rsidRPr="00AA0848">
        <w:rPr>
          <w:rFonts w:ascii="Arial" w:hAnsi="Arial" w:cs="Arial"/>
          <w:highlight w:val="yellow"/>
        </w:rPr>
        <w:t>.</w:t>
      </w:r>
    </w:p>
    <w:p w14:paraId="3C9768AF" w14:textId="4426F957" w:rsidR="00B6480F" w:rsidRPr="00731C34" w:rsidRDefault="00B6480F" w:rsidP="00441B6F">
      <w:pPr>
        <w:pStyle w:val="Body"/>
        <w:spacing w:after="0"/>
        <w:rPr>
          <w:rFonts w:ascii="Arial" w:hAnsi="Arial" w:cs="Arial"/>
        </w:rPr>
      </w:pPr>
      <w:r w:rsidRPr="00731C34">
        <w:rPr>
          <w:rFonts w:ascii="Arial" w:hAnsi="Arial" w:cs="Arial"/>
        </w:rPr>
        <w:t xml:space="preserve">The flaxseed extract is dissolved in 200 ml of distilled water using 0.5% Carboxymethylcellulose sodium (CMC Na) as a suspending agent. The solution is prepared in a mortar and mixed thoroughly until homogeneous. To achieve concentrations of 200 mg/ml, 400 mg/ml, and 800 mg/ml, the required amount of extract is calculated based on the desired dose per milliliter of solution. </w:t>
      </w:r>
      <w:r w:rsidR="00CB10BF" w:rsidRPr="00731C34">
        <w:rPr>
          <w:rFonts w:ascii="Arial" w:hAnsi="Arial" w:cs="Arial"/>
        </w:rPr>
        <w:t>A</w:t>
      </w:r>
      <w:r w:rsidRPr="00731C34">
        <w:rPr>
          <w:rFonts w:ascii="Arial" w:hAnsi="Arial" w:cs="Arial"/>
        </w:rPr>
        <w:t xml:space="preserve"> 200 mg/ml dose requires 200 mg of extract per 1 ml, resulting in 40 g of extract for 200 ml of solution (200 mg × 200 ml = 40,000 mg = 40 g). Similarly, 400 mg/ml and 800 mg/ml doses require 80 g and 160 g of extract, respectively. After adding the extract, the mixture is vortexed to ensure even distribution and stability of the suspension.</w:t>
      </w:r>
      <w:r w:rsidR="009B2CB1" w:rsidRPr="00731C34">
        <w:rPr>
          <w:rFonts w:ascii="Arial" w:hAnsi="Arial" w:cs="Arial"/>
        </w:rPr>
        <w:t xml:space="preserve"> </w:t>
      </w:r>
      <w:r w:rsidR="00EF4614" w:rsidRPr="00731C34">
        <w:rPr>
          <w:rFonts w:ascii="Arial" w:hAnsi="Arial" w:cs="Arial"/>
        </w:rPr>
        <w:t>The rats were given 1 ml extract based with different dosage for each treatment group (P1, P2, and P3)</w:t>
      </w:r>
      <w:r w:rsidR="00A027A6">
        <w:rPr>
          <w:rFonts w:ascii="Arial" w:hAnsi="Arial" w:cs="Arial"/>
        </w:rPr>
        <w:t xml:space="preserve"> </w:t>
      </w:r>
      <w:r w:rsidR="00A027A6" w:rsidRPr="00AA0848">
        <w:rPr>
          <w:rFonts w:ascii="Arial" w:hAnsi="Arial" w:cs="Arial"/>
          <w:highlight w:val="yellow"/>
        </w:rPr>
        <w:t xml:space="preserve">(Al-Ani </w:t>
      </w:r>
      <w:r w:rsidR="00A027A6" w:rsidRPr="00AA0848">
        <w:rPr>
          <w:rFonts w:ascii="Arial" w:hAnsi="Arial" w:cs="Arial"/>
          <w:i/>
          <w:iCs/>
          <w:highlight w:val="yellow"/>
        </w:rPr>
        <w:t>et al</w:t>
      </w:r>
      <w:r w:rsidR="00A027A6" w:rsidRPr="00AA0848">
        <w:rPr>
          <w:rFonts w:ascii="Arial" w:hAnsi="Arial" w:cs="Arial"/>
          <w:highlight w:val="yellow"/>
        </w:rPr>
        <w:t>., 2017).</w:t>
      </w:r>
    </w:p>
    <w:p w14:paraId="48EC40E5" w14:textId="77777777" w:rsidR="00EF4614" w:rsidRPr="00731C34" w:rsidRDefault="00EF4614" w:rsidP="00441B6F">
      <w:pPr>
        <w:pStyle w:val="Body"/>
        <w:spacing w:after="0"/>
        <w:rPr>
          <w:rFonts w:ascii="Arial" w:hAnsi="Arial" w:cs="Arial"/>
        </w:rPr>
      </w:pPr>
    </w:p>
    <w:p w14:paraId="7A9185B8" w14:textId="4372FD23" w:rsidR="00416B7C" w:rsidRPr="00731C34" w:rsidRDefault="00416B7C" w:rsidP="00441B6F">
      <w:pPr>
        <w:pStyle w:val="Body"/>
        <w:spacing w:after="0"/>
        <w:rPr>
          <w:rFonts w:ascii="Arial" w:hAnsi="Arial" w:cs="Arial"/>
          <w:b/>
          <w:bCs/>
          <w:sz w:val="22"/>
          <w:szCs w:val="22"/>
        </w:rPr>
      </w:pPr>
      <w:r w:rsidRPr="00731C34">
        <w:rPr>
          <w:rFonts w:ascii="Arial" w:hAnsi="Arial" w:cs="Arial"/>
          <w:b/>
          <w:bCs/>
          <w:sz w:val="22"/>
          <w:szCs w:val="22"/>
        </w:rPr>
        <w:t xml:space="preserve">2.6. Malondialdehyde Level Measurement </w:t>
      </w:r>
    </w:p>
    <w:p w14:paraId="360AFB6E" w14:textId="63A65339" w:rsidR="006855BB" w:rsidRPr="00731C34" w:rsidRDefault="00124E26" w:rsidP="00441B6F">
      <w:pPr>
        <w:pStyle w:val="Body"/>
        <w:spacing w:after="0"/>
        <w:rPr>
          <w:rFonts w:ascii="Arial" w:hAnsi="Arial" w:cs="Arial"/>
        </w:rPr>
      </w:pPr>
      <w:r w:rsidRPr="00731C34">
        <w:rPr>
          <w:rFonts w:ascii="Arial" w:hAnsi="Arial" w:cs="Arial"/>
        </w:rPr>
        <w:t xml:space="preserve">Malondialdehyde (MDA) levels as an were measured using the TBARS method using rat liver tissue and blood serum. Fresh liver tissue was washed with PBS, weighed (±100 mg), homogenized in PBS pH 7.4, and then centrifuged at 10,000 rpm for 10 minutes at 4°C. Serum was obtained from orbital sinus venous blood centrifuged for 30 minutes at 3000 rpm. For the TBARS reaction, 100 </w:t>
      </w:r>
      <w:proofErr w:type="spellStart"/>
      <w:r w:rsidRPr="00731C34">
        <w:rPr>
          <w:rFonts w:ascii="Arial" w:hAnsi="Arial" w:cs="Arial"/>
        </w:rPr>
        <w:t>μl</w:t>
      </w:r>
      <w:proofErr w:type="spellEnd"/>
      <w:r w:rsidRPr="00731C34">
        <w:rPr>
          <w:rFonts w:ascii="Arial" w:hAnsi="Arial" w:cs="Arial"/>
        </w:rPr>
        <w:t xml:space="preserve"> of homogenate was mixed with 200 </w:t>
      </w:r>
      <w:proofErr w:type="spellStart"/>
      <w:r w:rsidRPr="00731C34">
        <w:rPr>
          <w:rFonts w:ascii="Arial" w:hAnsi="Arial" w:cs="Arial"/>
        </w:rPr>
        <w:t>μl</w:t>
      </w:r>
      <w:proofErr w:type="spellEnd"/>
      <w:r w:rsidRPr="00731C34">
        <w:rPr>
          <w:rFonts w:ascii="Arial" w:hAnsi="Arial" w:cs="Arial"/>
        </w:rPr>
        <w:t xml:space="preserve"> of 10% TCA and 200 </w:t>
      </w:r>
      <w:proofErr w:type="spellStart"/>
      <w:r w:rsidRPr="00731C34">
        <w:rPr>
          <w:rFonts w:ascii="Arial" w:hAnsi="Arial" w:cs="Arial"/>
        </w:rPr>
        <w:t>μl</w:t>
      </w:r>
      <w:proofErr w:type="spellEnd"/>
      <w:r w:rsidRPr="00731C34">
        <w:rPr>
          <w:rFonts w:ascii="Arial" w:hAnsi="Arial" w:cs="Arial"/>
        </w:rPr>
        <w:t xml:space="preserve"> of 0.67% TBA, vortexed, and incubated at 95°C for 60 minutes. After cooling, 1 ml of butanol was added, vortexed, and centrifuged for 10 minutes at 3000 rpm to separate the organic phase, which was then read for absorbance at 532 nm. MDA concentrations were calculated based on a standard curve (0–8 nmol/ml) and expressed as nmol MDA per mg protein or per gram tissue using the regression equation (y = mx + c)</w:t>
      </w:r>
      <w:r w:rsidR="00033EC4">
        <w:rPr>
          <w:rFonts w:ascii="Arial" w:hAnsi="Arial" w:cs="Arial"/>
        </w:rPr>
        <w:t xml:space="preserve"> </w:t>
      </w:r>
      <w:r w:rsidR="00033EC4" w:rsidRPr="00AA0848">
        <w:rPr>
          <w:rFonts w:ascii="Arial" w:hAnsi="Arial" w:cs="Arial"/>
          <w:highlight w:val="yellow"/>
        </w:rPr>
        <w:t>(</w:t>
      </w:r>
      <w:proofErr w:type="spellStart"/>
      <w:r w:rsidR="00033EC4" w:rsidRPr="00AA0848">
        <w:rPr>
          <w:rFonts w:ascii="Arial" w:hAnsi="Arial" w:cs="Arial"/>
          <w:highlight w:val="yellow"/>
        </w:rPr>
        <w:t>Esterbauer</w:t>
      </w:r>
      <w:proofErr w:type="spellEnd"/>
      <w:r w:rsidR="00033EC4" w:rsidRPr="00AA0848">
        <w:rPr>
          <w:rFonts w:ascii="Arial" w:hAnsi="Arial" w:cs="Arial"/>
          <w:highlight w:val="yellow"/>
        </w:rPr>
        <w:t xml:space="preserve"> &amp; Cheeseman, 1990)</w:t>
      </w:r>
      <w:r w:rsidRPr="00AA0848">
        <w:rPr>
          <w:rFonts w:ascii="Arial" w:hAnsi="Arial" w:cs="Arial"/>
          <w:highlight w:val="yellow"/>
        </w:rPr>
        <w:t>.</w:t>
      </w:r>
    </w:p>
    <w:p w14:paraId="7E3C750F" w14:textId="77777777" w:rsidR="00416B7C" w:rsidRPr="00731C34" w:rsidRDefault="00416B7C" w:rsidP="00441B6F">
      <w:pPr>
        <w:pStyle w:val="Body"/>
        <w:spacing w:after="0"/>
        <w:rPr>
          <w:rFonts w:ascii="Arial" w:hAnsi="Arial" w:cs="Arial"/>
        </w:rPr>
      </w:pPr>
    </w:p>
    <w:p w14:paraId="0DC32451" w14:textId="16D2F170" w:rsidR="00416B7C" w:rsidRPr="00731C34" w:rsidRDefault="00416B7C" w:rsidP="00441B6F">
      <w:pPr>
        <w:pStyle w:val="Body"/>
        <w:spacing w:after="0"/>
        <w:rPr>
          <w:rFonts w:ascii="Arial" w:hAnsi="Arial" w:cs="Arial"/>
          <w:b/>
          <w:bCs/>
          <w:sz w:val="22"/>
          <w:szCs w:val="22"/>
        </w:rPr>
      </w:pPr>
      <w:r w:rsidRPr="00731C34">
        <w:rPr>
          <w:rFonts w:ascii="Arial" w:hAnsi="Arial" w:cs="Arial"/>
          <w:b/>
          <w:bCs/>
          <w:sz w:val="22"/>
          <w:szCs w:val="22"/>
        </w:rPr>
        <w:t xml:space="preserve">2.7. </w:t>
      </w:r>
      <w:r w:rsidR="00F529B8" w:rsidRPr="00731C34">
        <w:rPr>
          <w:rFonts w:ascii="Arial" w:hAnsi="Arial" w:cs="Arial"/>
          <w:b/>
          <w:bCs/>
          <w:sz w:val="22"/>
          <w:szCs w:val="22"/>
        </w:rPr>
        <w:t xml:space="preserve">Liver </w:t>
      </w:r>
      <w:r w:rsidR="00B23977" w:rsidRPr="00731C34">
        <w:rPr>
          <w:rFonts w:ascii="Arial" w:hAnsi="Arial" w:cs="Arial"/>
          <w:b/>
          <w:bCs/>
          <w:sz w:val="22"/>
          <w:szCs w:val="22"/>
        </w:rPr>
        <w:t xml:space="preserve">Histology Examination and </w:t>
      </w:r>
      <w:r w:rsidR="00F529B8" w:rsidRPr="00731C34">
        <w:rPr>
          <w:rFonts w:ascii="Arial" w:hAnsi="Arial" w:cs="Arial"/>
          <w:b/>
          <w:bCs/>
          <w:sz w:val="22"/>
          <w:szCs w:val="22"/>
        </w:rPr>
        <w:t xml:space="preserve">Fat Scoring </w:t>
      </w:r>
    </w:p>
    <w:p w14:paraId="674E75C5" w14:textId="4BB5FF23" w:rsidR="006A2E7A" w:rsidRPr="00731C34" w:rsidRDefault="00167BB6" w:rsidP="00441B6F">
      <w:pPr>
        <w:pStyle w:val="Body"/>
        <w:spacing w:after="0"/>
        <w:rPr>
          <w:rFonts w:ascii="Arial" w:hAnsi="Arial" w:cs="Arial"/>
        </w:rPr>
      </w:pPr>
      <w:r w:rsidRPr="00731C34">
        <w:rPr>
          <w:rFonts w:ascii="Arial" w:hAnsi="Arial" w:cs="Arial"/>
        </w:rPr>
        <w:t xml:space="preserve">Rat liver histology slides were prepared using the paraffin embedding method followed by hematoxylin-eosin (HE) staining. Liver tissues were fixed in 10% neutral buffered formalin (NBF) for 24–48 hours, dehydrated through graded ethanol (70% to absolute), clarified with xylene, and embedded in paraffin at 60°C before hardening. Paraffin blocks were sectioned at 3–10 µm (typically 5 µm) using a microtome, floated in a 40–45°C water bath, and mounted on slides. HE staining involved deparaffinization, rehydration, hematoxylin staining, </w:t>
      </w:r>
      <w:r w:rsidRPr="00731C34">
        <w:rPr>
          <w:rFonts w:ascii="Arial" w:hAnsi="Arial" w:cs="Arial"/>
        </w:rPr>
        <w:lastRenderedPageBreak/>
        <w:t xml:space="preserve">differentiation, neutralization, eosin staining, dehydration, and final clarification with xylene. Slides were </w:t>
      </w:r>
      <w:proofErr w:type="spellStart"/>
      <w:r w:rsidRPr="00731C34">
        <w:rPr>
          <w:rFonts w:ascii="Arial" w:hAnsi="Arial" w:cs="Arial"/>
        </w:rPr>
        <w:t>coverslipped</w:t>
      </w:r>
      <w:proofErr w:type="spellEnd"/>
      <w:r w:rsidRPr="00731C34">
        <w:rPr>
          <w:rFonts w:ascii="Arial" w:hAnsi="Arial" w:cs="Arial"/>
        </w:rPr>
        <w:t xml:space="preserve"> and examined under a Zeiss light microscope at 10x or 20x magnification.</w:t>
      </w:r>
      <w:r w:rsidR="002A3CE0" w:rsidRPr="00731C34">
        <w:rPr>
          <w:rFonts w:ascii="Arial" w:hAnsi="Arial" w:cs="Arial"/>
        </w:rPr>
        <w:t xml:space="preserve"> </w:t>
      </w:r>
      <w:r w:rsidR="006A2E7A" w:rsidRPr="00731C34">
        <w:rPr>
          <w:rFonts w:ascii="Arial" w:hAnsi="Arial" w:cs="Arial"/>
        </w:rPr>
        <w:t xml:space="preserve">Liver fat </w:t>
      </w:r>
      <w:r w:rsidR="00811CE5" w:rsidRPr="00731C34">
        <w:rPr>
          <w:rFonts w:ascii="Arial" w:hAnsi="Arial" w:cs="Arial"/>
        </w:rPr>
        <w:t xml:space="preserve">was counted as </w:t>
      </w:r>
      <w:r w:rsidR="006A2E7A" w:rsidRPr="00731C34">
        <w:rPr>
          <w:rFonts w:ascii="Arial" w:hAnsi="Arial" w:cs="Arial"/>
        </w:rPr>
        <w:t>area</w:t>
      </w:r>
      <w:r w:rsidR="00811CE5" w:rsidRPr="00731C34">
        <w:rPr>
          <w:rFonts w:ascii="Arial" w:hAnsi="Arial" w:cs="Arial"/>
        </w:rPr>
        <w:t xml:space="preserve"> (</w:t>
      </w:r>
      <w:r w:rsidR="006A2E7A" w:rsidRPr="00731C34">
        <w:rPr>
          <w:rFonts w:ascii="Arial" w:hAnsi="Arial" w:cs="Arial"/>
        </w:rPr>
        <w:t>%</w:t>
      </w:r>
      <w:r w:rsidR="00811CE5" w:rsidRPr="00731C34">
        <w:rPr>
          <w:rFonts w:ascii="Arial" w:hAnsi="Arial" w:cs="Arial"/>
        </w:rPr>
        <w:t xml:space="preserve">) </w:t>
      </w:r>
      <w:r w:rsidR="006A2E7A" w:rsidRPr="00731C34">
        <w:rPr>
          <w:rFonts w:ascii="Arial" w:hAnsi="Arial" w:cs="Arial"/>
        </w:rPr>
        <w:t>in all groups</w:t>
      </w:r>
      <w:r w:rsidR="00885D31">
        <w:rPr>
          <w:rFonts w:ascii="Arial" w:hAnsi="Arial" w:cs="Arial"/>
        </w:rPr>
        <w:t xml:space="preserve"> </w:t>
      </w:r>
      <w:r w:rsidR="00885D31" w:rsidRPr="00AA0848">
        <w:rPr>
          <w:rFonts w:ascii="Arial" w:hAnsi="Arial" w:cs="Arial"/>
          <w:highlight w:val="yellow"/>
        </w:rPr>
        <w:t xml:space="preserve">(Liang </w:t>
      </w:r>
      <w:r w:rsidR="00885D31" w:rsidRPr="00AA0848">
        <w:rPr>
          <w:rFonts w:ascii="Arial" w:hAnsi="Arial" w:cs="Arial"/>
          <w:i/>
          <w:iCs/>
          <w:highlight w:val="yellow"/>
        </w:rPr>
        <w:t xml:space="preserve">et al., </w:t>
      </w:r>
      <w:r w:rsidR="00885D31" w:rsidRPr="00AA0848">
        <w:rPr>
          <w:rFonts w:ascii="Arial" w:hAnsi="Arial" w:cs="Arial"/>
          <w:highlight w:val="yellow"/>
        </w:rPr>
        <w:t>2014)</w:t>
      </w:r>
      <w:r w:rsidR="00811CE5" w:rsidRPr="00AA0848">
        <w:rPr>
          <w:rFonts w:ascii="Arial" w:hAnsi="Arial" w:cs="Arial"/>
          <w:highlight w:val="yellow"/>
        </w:rPr>
        <w:t>.</w:t>
      </w:r>
      <w:r w:rsidR="00811CE5" w:rsidRPr="00731C34">
        <w:rPr>
          <w:rFonts w:ascii="Arial" w:hAnsi="Arial" w:cs="Arial"/>
        </w:rPr>
        <w:t xml:space="preserve"> The percentage </w:t>
      </w:r>
      <w:r w:rsidR="006A2E7A" w:rsidRPr="00731C34">
        <w:rPr>
          <w:rFonts w:ascii="Arial" w:hAnsi="Arial" w:cs="Arial"/>
        </w:rPr>
        <w:t>were measured in image analysis system</w:t>
      </w:r>
      <w:r w:rsidR="002A3CE0" w:rsidRPr="00731C34">
        <w:rPr>
          <w:rFonts w:ascii="Arial" w:hAnsi="Arial" w:cs="Arial"/>
        </w:rPr>
        <w:t xml:space="preserve"> (Leica Qwin V3 program [Leica Microsystems] Switzerland. LTD).</w:t>
      </w:r>
    </w:p>
    <w:p w14:paraId="397B2D0E" w14:textId="77777777" w:rsidR="00EF4614" w:rsidRPr="00731C34" w:rsidRDefault="00EF4614" w:rsidP="00441B6F">
      <w:pPr>
        <w:pStyle w:val="Body"/>
        <w:spacing w:after="0"/>
        <w:rPr>
          <w:rFonts w:ascii="Arial" w:hAnsi="Arial" w:cs="Arial"/>
        </w:rPr>
      </w:pPr>
    </w:p>
    <w:p w14:paraId="3E1D8998" w14:textId="34D56BB3" w:rsidR="009C4BE1" w:rsidRPr="00731C34" w:rsidRDefault="009C4BE1" w:rsidP="00441B6F">
      <w:pPr>
        <w:pStyle w:val="Body"/>
        <w:spacing w:after="0"/>
        <w:rPr>
          <w:rFonts w:ascii="Arial" w:hAnsi="Arial" w:cs="Arial"/>
          <w:b/>
          <w:bCs/>
          <w:sz w:val="22"/>
          <w:szCs w:val="22"/>
        </w:rPr>
      </w:pPr>
      <w:r w:rsidRPr="00731C34">
        <w:rPr>
          <w:rFonts w:ascii="Arial" w:hAnsi="Arial" w:cs="Arial"/>
          <w:b/>
          <w:bCs/>
          <w:sz w:val="22"/>
          <w:szCs w:val="22"/>
        </w:rPr>
        <w:t xml:space="preserve">2.7. Data Analysis </w:t>
      </w:r>
    </w:p>
    <w:p w14:paraId="1A6ADA30" w14:textId="443143FC" w:rsidR="00353091" w:rsidRPr="00731C34" w:rsidRDefault="00353091" w:rsidP="00441B6F">
      <w:pPr>
        <w:pStyle w:val="Body"/>
        <w:spacing w:after="0"/>
        <w:rPr>
          <w:rFonts w:ascii="Arial" w:hAnsi="Arial" w:cs="Arial"/>
        </w:rPr>
      </w:pPr>
      <w:r w:rsidRPr="00541265">
        <w:rPr>
          <w:rFonts w:ascii="Arial" w:hAnsi="Arial" w:cs="Arial"/>
          <w:highlight w:val="yellow"/>
        </w:rPr>
        <w:t>Data were analyzed using SPSS version 25.0. The MDA level data were found to be non-normally distributed, whereas the liver steatosis scores followed a normal distribution (</w:t>
      </w:r>
      <w:proofErr w:type="spellStart"/>
      <w:r w:rsidRPr="00541265">
        <w:rPr>
          <w:rFonts w:ascii="Arial" w:hAnsi="Arial" w:cs="Arial"/>
          <w:highlight w:val="yellow"/>
        </w:rPr>
        <w:t>Nuryadi</w:t>
      </w:r>
      <w:proofErr w:type="spellEnd"/>
      <w:r w:rsidRPr="00541265">
        <w:rPr>
          <w:rFonts w:ascii="Arial" w:hAnsi="Arial" w:cs="Arial"/>
          <w:highlight w:val="yellow"/>
        </w:rPr>
        <w:t xml:space="preserve"> </w:t>
      </w:r>
      <w:r w:rsidRPr="00541265">
        <w:rPr>
          <w:rFonts w:ascii="Arial" w:hAnsi="Arial" w:cs="Arial"/>
          <w:i/>
          <w:iCs/>
          <w:highlight w:val="yellow"/>
        </w:rPr>
        <w:t>et al</w:t>
      </w:r>
      <w:r w:rsidRPr="00541265">
        <w:rPr>
          <w:rFonts w:ascii="Arial" w:hAnsi="Arial" w:cs="Arial"/>
          <w:highlight w:val="yellow"/>
        </w:rPr>
        <w:t>., 2017). Homogeneity of variance was then tested using Levene’s Test, revealing that MDA levels were homogeneous (p &gt; 0.05), while liver steatosis scores were not (p &lt; 0.05) (</w:t>
      </w:r>
      <w:proofErr w:type="spellStart"/>
      <w:r w:rsidRPr="00541265">
        <w:rPr>
          <w:rFonts w:ascii="Arial" w:hAnsi="Arial" w:cs="Arial"/>
          <w:highlight w:val="yellow"/>
        </w:rPr>
        <w:t>Nuryadi</w:t>
      </w:r>
      <w:proofErr w:type="spellEnd"/>
      <w:r w:rsidRPr="00541265">
        <w:rPr>
          <w:rFonts w:ascii="Arial" w:hAnsi="Arial" w:cs="Arial"/>
          <w:highlight w:val="yellow"/>
        </w:rPr>
        <w:t xml:space="preserve"> </w:t>
      </w:r>
      <w:r w:rsidRPr="00541265">
        <w:rPr>
          <w:rFonts w:ascii="Arial" w:hAnsi="Arial" w:cs="Arial"/>
          <w:i/>
          <w:iCs/>
          <w:highlight w:val="yellow"/>
        </w:rPr>
        <w:t>et al</w:t>
      </w:r>
      <w:r w:rsidRPr="00541265">
        <w:rPr>
          <w:rFonts w:ascii="Arial" w:hAnsi="Arial" w:cs="Arial"/>
          <w:highlight w:val="yellow"/>
        </w:rPr>
        <w:t xml:space="preserve">., 2017). </w:t>
      </w:r>
      <w:r w:rsidR="00541265" w:rsidRPr="00541265">
        <w:rPr>
          <w:rFonts w:ascii="Arial" w:hAnsi="Arial" w:cs="Arial"/>
          <w:highlight w:val="yellow"/>
        </w:rPr>
        <w:t>Comparability</w:t>
      </w:r>
      <w:r w:rsidRPr="00541265">
        <w:rPr>
          <w:rFonts w:ascii="Arial" w:hAnsi="Arial" w:cs="Arial"/>
          <w:highlight w:val="yellow"/>
        </w:rPr>
        <w:t xml:space="preserve"> testing was performed using the Kruskal-</w:t>
      </w:r>
      <w:proofErr w:type="gramStart"/>
      <w:r w:rsidRPr="00541265">
        <w:rPr>
          <w:rFonts w:ascii="Arial" w:hAnsi="Arial" w:cs="Arial"/>
          <w:highlight w:val="yellow"/>
        </w:rPr>
        <w:t>Wallis</w:t>
      </w:r>
      <w:proofErr w:type="gramEnd"/>
      <w:r w:rsidRPr="00541265">
        <w:rPr>
          <w:rFonts w:ascii="Arial" w:hAnsi="Arial" w:cs="Arial"/>
          <w:highlight w:val="yellow"/>
        </w:rPr>
        <w:t xml:space="preserve"> test, as both MDA levels and liver steatosis scores did not meet the assumptions for parametric testing. Post hoc analysis for both variables was conducted using Dunn’s method (</w:t>
      </w:r>
      <w:proofErr w:type="spellStart"/>
      <w:r w:rsidRPr="00541265">
        <w:rPr>
          <w:rFonts w:ascii="Arial" w:hAnsi="Arial" w:cs="Arial"/>
          <w:highlight w:val="yellow"/>
        </w:rPr>
        <w:t>Nuryadi</w:t>
      </w:r>
      <w:proofErr w:type="spellEnd"/>
      <w:r w:rsidRPr="00541265">
        <w:rPr>
          <w:rFonts w:ascii="Arial" w:hAnsi="Arial" w:cs="Arial"/>
          <w:highlight w:val="yellow"/>
        </w:rPr>
        <w:t xml:space="preserve"> </w:t>
      </w:r>
      <w:r w:rsidRPr="00541265">
        <w:rPr>
          <w:rFonts w:ascii="Arial" w:hAnsi="Arial" w:cs="Arial"/>
          <w:i/>
          <w:iCs/>
          <w:highlight w:val="yellow"/>
        </w:rPr>
        <w:t>et al</w:t>
      </w:r>
      <w:r w:rsidRPr="00541265">
        <w:rPr>
          <w:rFonts w:ascii="Arial" w:hAnsi="Arial" w:cs="Arial"/>
          <w:highlight w:val="yellow"/>
        </w:rPr>
        <w:t>., 2017).</w:t>
      </w:r>
    </w:p>
    <w:p w14:paraId="7FB48FC5" w14:textId="77777777" w:rsidR="009C4BE1" w:rsidRPr="00731C34" w:rsidRDefault="009C4BE1" w:rsidP="00441B6F">
      <w:pPr>
        <w:pStyle w:val="Body"/>
        <w:spacing w:after="0"/>
        <w:rPr>
          <w:rFonts w:ascii="Arial" w:hAnsi="Arial" w:cs="Arial"/>
        </w:rPr>
      </w:pPr>
    </w:p>
    <w:p w14:paraId="6E1DE62E" w14:textId="77777777" w:rsidR="00790ADA" w:rsidRPr="00731C34" w:rsidRDefault="00790ADA" w:rsidP="00441B6F">
      <w:pPr>
        <w:pStyle w:val="Body"/>
        <w:spacing w:after="0"/>
        <w:rPr>
          <w:rFonts w:ascii="Arial" w:hAnsi="Arial" w:cs="Arial"/>
        </w:rPr>
      </w:pPr>
    </w:p>
    <w:p w14:paraId="0372FBD5" w14:textId="3FC9250E" w:rsidR="00790ADA" w:rsidRPr="00731C34" w:rsidRDefault="00000F8F" w:rsidP="00441B6F">
      <w:pPr>
        <w:pStyle w:val="Head1"/>
        <w:spacing w:after="0"/>
        <w:jc w:val="both"/>
        <w:rPr>
          <w:rFonts w:ascii="Arial" w:hAnsi="Arial" w:cs="Arial"/>
        </w:rPr>
      </w:pPr>
      <w:r w:rsidRPr="00731C34">
        <w:rPr>
          <w:rFonts w:ascii="Arial" w:hAnsi="Arial" w:cs="Arial"/>
        </w:rPr>
        <w:t>3</w:t>
      </w:r>
      <w:r w:rsidR="00902823" w:rsidRPr="00731C34">
        <w:rPr>
          <w:rFonts w:ascii="Arial" w:hAnsi="Arial" w:cs="Arial"/>
        </w:rPr>
        <w:t xml:space="preserve">. </w:t>
      </w:r>
      <w:r w:rsidRPr="00731C34">
        <w:rPr>
          <w:rFonts w:ascii="Arial" w:hAnsi="Arial" w:cs="Arial"/>
        </w:rPr>
        <w:t>results and discussion</w:t>
      </w:r>
    </w:p>
    <w:p w14:paraId="33DED3CF" w14:textId="53396C45" w:rsidR="00E053D0" w:rsidRPr="00731C34" w:rsidRDefault="00F85A70" w:rsidP="00441B6F">
      <w:pPr>
        <w:pStyle w:val="Body"/>
        <w:spacing w:after="0"/>
        <w:rPr>
          <w:rFonts w:ascii="Arial" w:hAnsi="Arial" w:cs="Arial"/>
        </w:rPr>
      </w:pPr>
      <w:r w:rsidRPr="00731C34">
        <w:rPr>
          <w:rFonts w:ascii="Arial" w:hAnsi="Arial" w:cs="Arial"/>
        </w:rPr>
        <w:t>During the research process, 6 subjects dropped out due to death in the experimental animals. Deaths were recorded in groups P1, P2, and P3, each with 2 animals. Deaths in group P1 occurred on days 3 and 13 of the study. Deaths in group P2 occurred on days 10 and 27. Deaths in group P3 occurred on days 18 and 21 of the study. Deaths can be caused by stress and trauma due to inappropriate probes. The number of subjects who survived until the end of the study was 19 animals.</w:t>
      </w:r>
    </w:p>
    <w:p w14:paraId="7D7B8DF0" w14:textId="7DA3210F" w:rsidR="00FF4F5C" w:rsidRPr="00731C34" w:rsidRDefault="00D2499B" w:rsidP="00441B6F">
      <w:pPr>
        <w:pStyle w:val="Body"/>
        <w:spacing w:after="0"/>
        <w:rPr>
          <w:rFonts w:ascii="Arial" w:hAnsi="Arial" w:cs="Arial"/>
        </w:rPr>
      </w:pPr>
      <w:r w:rsidRPr="00731C34">
        <w:rPr>
          <w:rFonts w:ascii="Arial" w:hAnsi="Arial" w:cs="Arial"/>
        </w:rPr>
        <w:t>Feeding laboratory rats via oral gavage can induce significant stress and trauma, comparable to injection procedures, as evidenced by elevated blood corticosterone level</w:t>
      </w:r>
      <w:r w:rsidR="00525789">
        <w:rPr>
          <w:rFonts w:ascii="Arial" w:hAnsi="Arial" w:cs="Arial"/>
        </w:rPr>
        <w:t xml:space="preserve">s, which indicated </w:t>
      </w:r>
      <w:r w:rsidRPr="00731C34">
        <w:rPr>
          <w:rFonts w:ascii="Arial" w:hAnsi="Arial" w:cs="Arial"/>
        </w:rPr>
        <w:t xml:space="preserve">a physiological stress marker (Ely </w:t>
      </w:r>
      <w:r w:rsidRPr="00731C34">
        <w:rPr>
          <w:rFonts w:ascii="Arial" w:hAnsi="Arial" w:cs="Arial"/>
          <w:i/>
          <w:iCs/>
        </w:rPr>
        <w:t>et al.</w:t>
      </w:r>
      <w:r w:rsidRPr="00731C34">
        <w:rPr>
          <w:rFonts w:ascii="Arial" w:hAnsi="Arial" w:cs="Arial"/>
        </w:rPr>
        <w:t xml:space="preserve">, 1997). Although non-invasive, improper handling during gavage may trigger defensive responses, chronic stress, esophageal irritation, and behavioral changes such as altered feeding patterns and increased anxiety-like behaviors (Larcombe </w:t>
      </w:r>
      <w:r w:rsidRPr="00731C34">
        <w:rPr>
          <w:rFonts w:ascii="Arial" w:hAnsi="Arial" w:cs="Arial"/>
          <w:i/>
          <w:iCs/>
        </w:rPr>
        <w:t>et al.</w:t>
      </w:r>
      <w:r w:rsidRPr="00731C34">
        <w:rPr>
          <w:rFonts w:ascii="Arial" w:hAnsi="Arial" w:cs="Arial"/>
        </w:rPr>
        <w:t>, 2019).</w:t>
      </w:r>
    </w:p>
    <w:p w14:paraId="05D5C89E" w14:textId="1FD73AE5" w:rsidR="00AA0848" w:rsidRDefault="00743E91" w:rsidP="00441B6F">
      <w:pPr>
        <w:pStyle w:val="Body"/>
        <w:spacing w:after="0"/>
        <w:rPr>
          <w:rFonts w:ascii="Arial" w:hAnsi="Arial" w:cs="Arial"/>
        </w:rPr>
      </w:pPr>
      <w:r w:rsidRPr="00731C34">
        <w:rPr>
          <w:rFonts w:ascii="Arial" w:hAnsi="Arial" w:cs="Arial"/>
        </w:rPr>
        <w:t xml:space="preserve">The MDA levels in the </w:t>
      </w:r>
      <w:r w:rsidR="004F7D70">
        <w:rPr>
          <w:rFonts w:ascii="Arial" w:hAnsi="Arial" w:cs="Arial"/>
        </w:rPr>
        <w:t>group K</w:t>
      </w:r>
      <w:r w:rsidRPr="00731C34">
        <w:rPr>
          <w:rFonts w:ascii="Arial" w:hAnsi="Arial" w:cs="Arial"/>
        </w:rPr>
        <w:t xml:space="preserve"> showed the lowest average among all treatment groups. Meanwhile, in the group</w:t>
      </w:r>
      <w:r w:rsidR="004F7D70">
        <w:rPr>
          <w:rFonts w:ascii="Arial" w:hAnsi="Arial" w:cs="Arial"/>
        </w:rPr>
        <w:t>s</w:t>
      </w:r>
      <w:r w:rsidRPr="00731C34">
        <w:rPr>
          <w:rFonts w:ascii="Arial" w:hAnsi="Arial" w:cs="Arial"/>
        </w:rPr>
        <w:t xml:space="preserve"> receiving a high-fat, high-fructose diet, </w:t>
      </w:r>
      <w:r w:rsidR="004F7D70">
        <w:rPr>
          <w:rFonts w:ascii="Arial" w:hAnsi="Arial" w:cs="Arial"/>
        </w:rPr>
        <w:t>K1</w:t>
      </w:r>
      <w:r w:rsidRPr="00731C34">
        <w:rPr>
          <w:rFonts w:ascii="Arial" w:hAnsi="Arial" w:cs="Arial"/>
        </w:rPr>
        <w:t xml:space="preserve"> group had the highest average (3.53 nmol/ml) and the P3 group had the lowest MDA levels (1.16 nmol/ml). The difference in the averages between the groups was statistically significant (p &lt; 0.05)</w:t>
      </w:r>
      <w:r w:rsidR="00A914A4" w:rsidRPr="00731C34">
        <w:rPr>
          <w:rFonts w:ascii="Arial" w:hAnsi="Arial" w:cs="Arial"/>
        </w:rPr>
        <w:t xml:space="preserve"> (Table 1)</w:t>
      </w:r>
      <w:r w:rsidRPr="00731C34">
        <w:rPr>
          <w:rFonts w:ascii="Arial" w:hAnsi="Arial" w:cs="Arial"/>
        </w:rPr>
        <w:t>.</w:t>
      </w:r>
    </w:p>
    <w:p w14:paraId="00551D79" w14:textId="77777777" w:rsidR="00AA0848" w:rsidRPr="00731C34" w:rsidRDefault="00AA0848" w:rsidP="00441B6F">
      <w:pPr>
        <w:pStyle w:val="Body"/>
        <w:spacing w:after="0"/>
        <w:rPr>
          <w:rFonts w:ascii="Arial" w:hAnsi="Arial" w:cs="Arial"/>
        </w:rPr>
      </w:pPr>
    </w:p>
    <w:p w14:paraId="48869666" w14:textId="71D7F589" w:rsidR="009F509E" w:rsidRPr="00731C34" w:rsidRDefault="009F509E" w:rsidP="00571E55">
      <w:pPr>
        <w:pStyle w:val="Body"/>
        <w:spacing w:after="0"/>
        <w:jc w:val="center"/>
        <w:rPr>
          <w:rFonts w:ascii="Arial" w:hAnsi="Arial" w:cs="Arial"/>
          <w:b/>
          <w:bCs/>
        </w:rPr>
      </w:pPr>
      <w:r w:rsidRPr="00731C34">
        <w:rPr>
          <w:rFonts w:ascii="Arial" w:hAnsi="Arial" w:cs="Arial"/>
          <w:b/>
          <w:bCs/>
        </w:rPr>
        <w:t xml:space="preserve">Table 1. </w:t>
      </w:r>
      <w:r w:rsidR="0008009E" w:rsidRPr="00731C34">
        <w:rPr>
          <w:rFonts w:ascii="Arial" w:hAnsi="Arial" w:cs="Arial"/>
          <w:b/>
          <w:bCs/>
        </w:rPr>
        <w:t>MDA level compar</w:t>
      </w:r>
      <w:r w:rsidR="000D1AEB" w:rsidRPr="00731C34">
        <w:rPr>
          <w:rFonts w:ascii="Arial" w:hAnsi="Arial" w:cs="Arial"/>
          <w:b/>
          <w:bCs/>
        </w:rPr>
        <w:t>ation from all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452"/>
        <w:gridCol w:w="1634"/>
        <w:gridCol w:w="1634"/>
        <w:gridCol w:w="1549"/>
      </w:tblGrid>
      <w:tr w:rsidR="009B6DE0" w:rsidRPr="00731C34" w14:paraId="36E83DC1" w14:textId="77777777" w:rsidTr="006F2498">
        <w:tc>
          <w:tcPr>
            <w:tcW w:w="1672" w:type="dxa"/>
            <w:tcBorders>
              <w:top w:val="single" w:sz="4" w:space="0" w:color="auto"/>
              <w:bottom w:val="single" w:sz="4" w:space="0" w:color="auto"/>
            </w:tcBorders>
            <w:vAlign w:val="center"/>
          </w:tcPr>
          <w:p w14:paraId="7FDA9171" w14:textId="29BF8CD8"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52" w:type="dxa"/>
            <w:tcBorders>
              <w:top w:val="single" w:sz="4" w:space="0" w:color="auto"/>
              <w:bottom w:val="single" w:sz="4" w:space="0" w:color="auto"/>
            </w:tcBorders>
            <w:vAlign w:val="center"/>
          </w:tcPr>
          <w:p w14:paraId="7F0A87B8" w14:textId="77777777" w:rsidR="009B6DE0" w:rsidRPr="00731C34" w:rsidRDefault="009B6DE0" w:rsidP="006F2498">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34" w:type="dxa"/>
            <w:tcBorders>
              <w:top w:val="single" w:sz="4" w:space="0" w:color="auto"/>
              <w:bottom w:val="single" w:sz="4" w:space="0" w:color="auto"/>
            </w:tcBorders>
            <w:vAlign w:val="center"/>
          </w:tcPr>
          <w:p w14:paraId="52059ECB" w14:textId="55AC3423"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MDA level</w:t>
            </w:r>
            <w:r w:rsidR="009B6DE0" w:rsidRPr="00731C34">
              <w:rPr>
                <w:rFonts w:ascii="Arial" w:hAnsi="Arial" w:cs="Arial"/>
                <w:b/>
                <w:bCs/>
                <w:sz w:val="20"/>
                <w:szCs w:val="20"/>
              </w:rPr>
              <w:t xml:space="preserve"> (nmol/L)</w:t>
            </w:r>
            <w:r w:rsidRPr="00731C34">
              <w:rPr>
                <w:rFonts w:ascii="Arial" w:hAnsi="Arial" w:cs="Arial"/>
                <w:b/>
                <w:bCs/>
                <w:sz w:val="20"/>
                <w:szCs w:val="20"/>
              </w:rPr>
              <w:t xml:space="preserve"> mean (and SD)</w:t>
            </w:r>
          </w:p>
        </w:tc>
        <w:tc>
          <w:tcPr>
            <w:tcW w:w="1634" w:type="dxa"/>
            <w:tcBorders>
              <w:top w:val="single" w:sz="4" w:space="0" w:color="auto"/>
              <w:bottom w:val="single" w:sz="4" w:space="0" w:color="auto"/>
            </w:tcBorders>
            <w:vAlign w:val="center"/>
          </w:tcPr>
          <w:p w14:paraId="3CA9C2D0" w14:textId="4E7E247B"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MDA level (nmol/L) median</w:t>
            </w:r>
          </w:p>
        </w:tc>
        <w:tc>
          <w:tcPr>
            <w:tcW w:w="1549" w:type="dxa"/>
            <w:tcBorders>
              <w:top w:val="single" w:sz="4" w:space="0" w:color="auto"/>
              <w:bottom w:val="single" w:sz="4" w:space="0" w:color="auto"/>
            </w:tcBorders>
            <w:vAlign w:val="center"/>
          </w:tcPr>
          <w:p w14:paraId="57A38312" w14:textId="56092375" w:rsidR="009B6DE0" w:rsidRPr="00731C34" w:rsidRDefault="001C4F8E"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9B6DE0" w:rsidRPr="00731C34" w14:paraId="70664097" w14:textId="77777777" w:rsidTr="006F2498">
        <w:tc>
          <w:tcPr>
            <w:tcW w:w="1672" w:type="dxa"/>
            <w:tcBorders>
              <w:top w:val="single" w:sz="4" w:space="0" w:color="auto"/>
            </w:tcBorders>
          </w:tcPr>
          <w:p w14:paraId="0695E464"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K</w:t>
            </w:r>
          </w:p>
        </w:tc>
        <w:tc>
          <w:tcPr>
            <w:tcW w:w="1452" w:type="dxa"/>
            <w:tcBorders>
              <w:top w:val="single" w:sz="4" w:space="0" w:color="auto"/>
            </w:tcBorders>
          </w:tcPr>
          <w:p w14:paraId="3F678A8C"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5</w:t>
            </w:r>
          </w:p>
        </w:tc>
        <w:tc>
          <w:tcPr>
            <w:tcW w:w="1634" w:type="dxa"/>
            <w:tcBorders>
              <w:top w:val="single" w:sz="4" w:space="0" w:color="auto"/>
            </w:tcBorders>
          </w:tcPr>
          <w:p w14:paraId="023AFBDF" w14:textId="31867F31"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 xml:space="preserve">0,727 </w:t>
            </w:r>
            <w:r w:rsidR="008B507A" w:rsidRPr="722E3156">
              <w:rPr>
                <w:rFonts w:ascii="Arial" w:hAnsi="Arial" w:cs="Arial"/>
                <w:sz w:val="20"/>
                <w:szCs w:val="20"/>
              </w:rPr>
              <w:t>±</w:t>
            </w:r>
            <w:r w:rsidR="008B507A" w:rsidRPr="00731C34">
              <w:rPr>
                <w:rFonts w:ascii="Arial" w:hAnsi="Arial" w:cs="Arial"/>
                <w:sz w:val="20"/>
                <w:szCs w:val="20"/>
              </w:rPr>
              <w:t xml:space="preserve"> </w:t>
            </w:r>
            <w:r w:rsidRPr="00731C34">
              <w:rPr>
                <w:rFonts w:ascii="Arial" w:hAnsi="Arial" w:cs="Arial"/>
                <w:sz w:val="20"/>
                <w:szCs w:val="20"/>
              </w:rPr>
              <w:t>0,057</w:t>
            </w:r>
          </w:p>
        </w:tc>
        <w:tc>
          <w:tcPr>
            <w:tcW w:w="1634" w:type="dxa"/>
            <w:tcBorders>
              <w:top w:val="single" w:sz="4" w:space="0" w:color="auto"/>
            </w:tcBorders>
          </w:tcPr>
          <w:p w14:paraId="2BDD59C7"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0,75</w:t>
            </w:r>
          </w:p>
        </w:tc>
        <w:tc>
          <w:tcPr>
            <w:tcW w:w="1549" w:type="dxa"/>
            <w:vMerge w:val="restart"/>
            <w:tcBorders>
              <w:top w:val="single" w:sz="4" w:space="0" w:color="auto"/>
              <w:bottom w:val="single" w:sz="4" w:space="0" w:color="auto"/>
            </w:tcBorders>
            <w:vAlign w:val="center"/>
          </w:tcPr>
          <w:p w14:paraId="65C9F0DF"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0,002</w:t>
            </w:r>
          </w:p>
          <w:p w14:paraId="0F2A9A18" w14:textId="77777777" w:rsidR="009B6DE0" w:rsidRPr="00731C34" w:rsidRDefault="009B6DE0" w:rsidP="006F2498">
            <w:pPr>
              <w:tabs>
                <w:tab w:val="left" w:pos="2472"/>
              </w:tabs>
              <w:jc w:val="center"/>
              <w:rPr>
                <w:rFonts w:ascii="Arial" w:hAnsi="Arial" w:cs="Arial"/>
                <w:sz w:val="20"/>
                <w:szCs w:val="20"/>
              </w:rPr>
            </w:pPr>
          </w:p>
        </w:tc>
      </w:tr>
      <w:tr w:rsidR="009B6DE0" w:rsidRPr="00731C34" w14:paraId="502E4EAE" w14:textId="77777777" w:rsidTr="006F2498">
        <w:tc>
          <w:tcPr>
            <w:tcW w:w="1672" w:type="dxa"/>
          </w:tcPr>
          <w:p w14:paraId="1DC8D1B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lang w:val="en-ID"/>
              </w:rPr>
              <w:t>K1</w:t>
            </w:r>
          </w:p>
        </w:tc>
        <w:tc>
          <w:tcPr>
            <w:tcW w:w="1452" w:type="dxa"/>
          </w:tcPr>
          <w:p w14:paraId="3C2188C9"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5</w:t>
            </w:r>
          </w:p>
        </w:tc>
        <w:tc>
          <w:tcPr>
            <w:tcW w:w="1634" w:type="dxa"/>
          </w:tcPr>
          <w:p w14:paraId="6D8948CE" w14:textId="46AD1895"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 xml:space="preserve">3,53 </w:t>
            </w:r>
            <w:r w:rsidR="008B507A" w:rsidRPr="722E3156">
              <w:rPr>
                <w:rFonts w:ascii="Arial" w:hAnsi="Arial" w:cs="Arial"/>
                <w:sz w:val="20"/>
                <w:szCs w:val="20"/>
              </w:rPr>
              <w:t>±</w:t>
            </w:r>
            <w:r w:rsidR="008B507A">
              <w:rPr>
                <w:rFonts w:ascii="Arial" w:hAnsi="Arial" w:cs="Arial"/>
                <w:sz w:val="20"/>
                <w:szCs w:val="20"/>
              </w:rPr>
              <w:t xml:space="preserve"> </w:t>
            </w:r>
            <w:r w:rsidRPr="00731C34">
              <w:rPr>
                <w:rFonts w:ascii="Arial" w:hAnsi="Arial" w:cs="Arial"/>
                <w:sz w:val="20"/>
                <w:szCs w:val="20"/>
              </w:rPr>
              <w:t>0,133</w:t>
            </w:r>
          </w:p>
        </w:tc>
        <w:tc>
          <w:tcPr>
            <w:tcW w:w="1634" w:type="dxa"/>
          </w:tcPr>
          <w:p w14:paraId="46BAF31B"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3,58</w:t>
            </w:r>
          </w:p>
        </w:tc>
        <w:tc>
          <w:tcPr>
            <w:tcW w:w="1549" w:type="dxa"/>
            <w:vMerge/>
            <w:tcBorders>
              <w:bottom w:val="single" w:sz="4" w:space="0" w:color="auto"/>
            </w:tcBorders>
          </w:tcPr>
          <w:p w14:paraId="0D0D3EC9" w14:textId="77777777" w:rsidR="009B6DE0" w:rsidRPr="00731C34" w:rsidRDefault="009B6DE0" w:rsidP="006F2498">
            <w:pPr>
              <w:tabs>
                <w:tab w:val="left" w:pos="2472"/>
              </w:tabs>
              <w:jc w:val="both"/>
              <w:rPr>
                <w:rFonts w:ascii="Arial" w:hAnsi="Arial" w:cs="Arial"/>
                <w:sz w:val="20"/>
                <w:szCs w:val="20"/>
              </w:rPr>
            </w:pPr>
          </w:p>
        </w:tc>
      </w:tr>
      <w:tr w:rsidR="009B6DE0" w:rsidRPr="00731C34" w14:paraId="5A9D886A" w14:textId="77777777" w:rsidTr="006F2498">
        <w:tc>
          <w:tcPr>
            <w:tcW w:w="1672" w:type="dxa"/>
          </w:tcPr>
          <w:p w14:paraId="1B8D42C1"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52" w:type="dxa"/>
          </w:tcPr>
          <w:p w14:paraId="15469BEA"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Pr>
          <w:p w14:paraId="50D82384" w14:textId="439C7D41"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 xml:space="preserve">2,4 </w:t>
            </w:r>
            <w:r w:rsidR="008B507A" w:rsidRPr="722E3156">
              <w:rPr>
                <w:rFonts w:ascii="Arial" w:hAnsi="Arial" w:cs="Arial"/>
                <w:sz w:val="20"/>
                <w:szCs w:val="20"/>
              </w:rPr>
              <w:t>±</w:t>
            </w:r>
            <w:r w:rsidR="008B507A">
              <w:rPr>
                <w:rFonts w:ascii="Arial" w:hAnsi="Arial" w:cs="Arial"/>
                <w:sz w:val="20"/>
                <w:szCs w:val="20"/>
              </w:rPr>
              <w:t xml:space="preserve"> </w:t>
            </w:r>
            <w:r w:rsidRPr="00731C34">
              <w:rPr>
                <w:rFonts w:ascii="Arial" w:hAnsi="Arial" w:cs="Arial"/>
                <w:sz w:val="20"/>
                <w:szCs w:val="20"/>
              </w:rPr>
              <w:t>0,08</w:t>
            </w:r>
          </w:p>
        </w:tc>
        <w:tc>
          <w:tcPr>
            <w:tcW w:w="1634" w:type="dxa"/>
          </w:tcPr>
          <w:p w14:paraId="0ED7720C"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2,37</w:t>
            </w:r>
          </w:p>
        </w:tc>
        <w:tc>
          <w:tcPr>
            <w:tcW w:w="1549" w:type="dxa"/>
            <w:vMerge/>
            <w:tcBorders>
              <w:bottom w:val="single" w:sz="4" w:space="0" w:color="auto"/>
            </w:tcBorders>
          </w:tcPr>
          <w:p w14:paraId="7A3EE9D5" w14:textId="77777777" w:rsidR="009B6DE0" w:rsidRPr="00731C34" w:rsidRDefault="009B6DE0" w:rsidP="006F2498">
            <w:pPr>
              <w:tabs>
                <w:tab w:val="left" w:pos="2472"/>
              </w:tabs>
              <w:jc w:val="both"/>
              <w:rPr>
                <w:rFonts w:ascii="Arial" w:hAnsi="Arial" w:cs="Arial"/>
                <w:sz w:val="20"/>
                <w:szCs w:val="20"/>
              </w:rPr>
            </w:pPr>
          </w:p>
        </w:tc>
      </w:tr>
      <w:tr w:rsidR="009B6DE0" w:rsidRPr="00731C34" w14:paraId="0D0EEBC7" w14:textId="77777777" w:rsidTr="006F2498">
        <w:tc>
          <w:tcPr>
            <w:tcW w:w="1672" w:type="dxa"/>
          </w:tcPr>
          <w:p w14:paraId="6887240C"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t>P2</w:t>
            </w:r>
          </w:p>
        </w:tc>
        <w:tc>
          <w:tcPr>
            <w:tcW w:w="1452" w:type="dxa"/>
          </w:tcPr>
          <w:p w14:paraId="237EBC86"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Pr>
          <w:p w14:paraId="50132430" w14:textId="4DE3106F"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 xml:space="preserve">2,09 </w:t>
            </w:r>
            <w:r w:rsidR="008B507A" w:rsidRPr="722E3156">
              <w:rPr>
                <w:rFonts w:ascii="Arial" w:hAnsi="Arial" w:cs="Arial"/>
                <w:sz w:val="20"/>
                <w:szCs w:val="20"/>
              </w:rPr>
              <w:t>±</w:t>
            </w:r>
            <w:r w:rsidR="008B507A">
              <w:rPr>
                <w:rFonts w:ascii="Arial" w:hAnsi="Arial" w:cs="Arial"/>
                <w:sz w:val="20"/>
                <w:szCs w:val="20"/>
              </w:rPr>
              <w:t xml:space="preserve"> </w:t>
            </w:r>
            <w:r w:rsidRPr="00731C34">
              <w:rPr>
                <w:rFonts w:ascii="Arial" w:hAnsi="Arial" w:cs="Arial"/>
                <w:sz w:val="20"/>
                <w:szCs w:val="20"/>
              </w:rPr>
              <w:t>0,006</w:t>
            </w:r>
          </w:p>
        </w:tc>
        <w:tc>
          <w:tcPr>
            <w:tcW w:w="1634" w:type="dxa"/>
          </w:tcPr>
          <w:p w14:paraId="09603888"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2,08</w:t>
            </w:r>
          </w:p>
        </w:tc>
        <w:tc>
          <w:tcPr>
            <w:tcW w:w="1549" w:type="dxa"/>
            <w:vMerge/>
            <w:tcBorders>
              <w:bottom w:val="single" w:sz="4" w:space="0" w:color="auto"/>
            </w:tcBorders>
          </w:tcPr>
          <w:p w14:paraId="4B656CE2" w14:textId="77777777" w:rsidR="009B6DE0" w:rsidRPr="00731C34" w:rsidRDefault="009B6DE0" w:rsidP="006F2498">
            <w:pPr>
              <w:tabs>
                <w:tab w:val="left" w:pos="2472"/>
              </w:tabs>
              <w:jc w:val="both"/>
              <w:rPr>
                <w:rFonts w:ascii="Arial" w:hAnsi="Arial" w:cs="Arial"/>
                <w:sz w:val="20"/>
                <w:szCs w:val="20"/>
              </w:rPr>
            </w:pPr>
          </w:p>
        </w:tc>
      </w:tr>
      <w:tr w:rsidR="009B6DE0" w:rsidRPr="00731C34" w14:paraId="78DBD9F1" w14:textId="77777777" w:rsidTr="006F2498">
        <w:tc>
          <w:tcPr>
            <w:tcW w:w="1672" w:type="dxa"/>
            <w:tcBorders>
              <w:bottom w:val="single" w:sz="4" w:space="0" w:color="auto"/>
            </w:tcBorders>
          </w:tcPr>
          <w:p w14:paraId="1077E45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52" w:type="dxa"/>
            <w:tcBorders>
              <w:bottom w:val="single" w:sz="4" w:space="0" w:color="auto"/>
            </w:tcBorders>
          </w:tcPr>
          <w:p w14:paraId="627EEC0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Borders>
              <w:bottom w:val="single" w:sz="4" w:space="0" w:color="auto"/>
            </w:tcBorders>
          </w:tcPr>
          <w:p w14:paraId="3A312135" w14:textId="32042C60"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1,16</w:t>
            </w:r>
            <w:r w:rsidR="008B507A">
              <w:rPr>
                <w:rFonts w:ascii="Arial" w:hAnsi="Arial" w:cs="Arial"/>
                <w:sz w:val="20"/>
                <w:szCs w:val="20"/>
              </w:rPr>
              <w:t xml:space="preserve"> </w:t>
            </w:r>
            <w:r w:rsidR="008B507A" w:rsidRPr="722E3156">
              <w:rPr>
                <w:rFonts w:ascii="Arial" w:hAnsi="Arial" w:cs="Arial"/>
                <w:sz w:val="20"/>
                <w:szCs w:val="20"/>
              </w:rPr>
              <w:t>±</w:t>
            </w:r>
            <w:r w:rsidR="008B507A">
              <w:rPr>
                <w:rFonts w:ascii="Arial" w:hAnsi="Arial" w:cs="Arial"/>
                <w:sz w:val="20"/>
                <w:szCs w:val="20"/>
              </w:rPr>
              <w:t xml:space="preserve"> </w:t>
            </w:r>
            <w:r w:rsidRPr="00731C34">
              <w:rPr>
                <w:rFonts w:ascii="Arial" w:hAnsi="Arial" w:cs="Arial"/>
                <w:sz w:val="20"/>
                <w:szCs w:val="20"/>
              </w:rPr>
              <w:t>0,019</w:t>
            </w:r>
          </w:p>
        </w:tc>
        <w:tc>
          <w:tcPr>
            <w:tcW w:w="1634" w:type="dxa"/>
            <w:tcBorders>
              <w:bottom w:val="single" w:sz="4" w:space="0" w:color="auto"/>
            </w:tcBorders>
          </w:tcPr>
          <w:p w14:paraId="09D3BA3C"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1,17</w:t>
            </w:r>
          </w:p>
        </w:tc>
        <w:tc>
          <w:tcPr>
            <w:tcW w:w="1549" w:type="dxa"/>
            <w:vMerge/>
            <w:tcBorders>
              <w:bottom w:val="single" w:sz="4" w:space="0" w:color="auto"/>
            </w:tcBorders>
          </w:tcPr>
          <w:p w14:paraId="1A9C4A52" w14:textId="77777777" w:rsidR="009B6DE0" w:rsidRPr="00731C34" w:rsidRDefault="009B6DE0" w:rsidP="006F2498">
            <w:pPr>
              <w:tabs>
                <w:tab w:val="left" w:pos="2472"/>
              </w:tabs>
              <w:jc w:val="both"/>
              <w:rPr>
                <w:rFonts w:ascii="Arial" w:hAnsi="Arial" w:cs="Arial"/>
                <w:sz w:val="20"/>
                <w:szCs w:val="20"/>
              </w:rPr>
            </w:pPr>
          </w:p>
        </w:tc>
      </w:tr>
    </w:tbl>
    <w:p w14:paraId="2378814D" w14:textId="47BA3CA6" w:rsidR="008355ED" w:rsidRPr="00731C34" w:rsidRDefault="001C4F8E" w:rsidP="00441B6F">
      <w:pPr>
        <w:pStyle w:val="Body"/>
        <w:spacing w:after="0"/>
        <w:rPr>
          <w:rFonts w:ascii="Arial" w:hAnsi="Arial" w:cs="Arial"/>
          <w:sz w:val="16"/>
          <w:szCs w:val="16"/>
        </w:rPr>
      </w:pPr>
      <w:r w:rsidRPr="00731C34">
        <w:rPr>
          <w:rFonts w:ascii="Arial" w:hAnsi="Arial" w:cs="Arial"/>
          <w:sz w:val="16"/>
          <w:szCs w:val="16"/>
        </w:rPr>
        <w:t>P = significance of Kruskal-Wallis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06707568" w14:textId="0BBCB5C9" w:rsidR="00790ADA" w:rsidRPr="00731C34" w:rsidRDefault="00790ADA" w:rsidP="00441B6F">
      <w:pPr>
        <w:pStyle w:val="Body"/>
        <w:spacing w:after="0"/>
        <w:rPr>
          <w:rFonts w:ascii="Arial" w:hAnsi="Arial" w:cs="Arial"/>
        </w:rPr>
      </w:pPr>
    </w:p>
    <w:p w14:paraId="23C89126" w14:textId="0F37BBD3" w:rsidR="00597EBF" w:rsidRPr="00731C34" w:rsidRDefault="00A914A4" w:rsidP="00441B6F">
      <w:pPr>
        <w:pStyle w:val="Body"/>
        <w:spacing w:after="0"/>
        <w:rPr>
          <w:rFonts w:ascii="Arial" w:hAnsi="Arial" w:cs="Arial"/>
        </w:rPr>
      </w:pPr>
      <w:r w:rsidRPr="00731C34">
        <w:rPr>
          <w:rFonts w:ascii="Arial" w:hAnsi="Arial" w:cs="Arial"/>
        </w:rPr>
        <w:t>Figure 1 showed h</w:t>
      </w:r>
      <w:r w:rsidR="0067255A" w:rsidRPr="00731C34">
        <w:rPr>
          <w:rFonts w:ascii="Arial" w:hAnsi="Arial" w:cs="Arial"/>
        </w:rPr>
        <w:t>istolog</w:t>
      </w:r>
      <w:r w:rsidR="00580CDF" w:rsidRPr="00731C34">
        <w:rPr>
          <w:rFonts w:ascii="Arial" w:hAnsi="Arial" w:cs="Arial"/>
        </w:rPr>
        <w:t xml:space="preserve">ic liver preparate </w:t>
      </w:r>
      <w:r w:rsidRPr="00731C34">
        <w:rPr>
          <w:rFonts w:ascii="Arial" w:hAnsi="Arial" w:cs="Arial"/>
        </w:rPr>
        <w:t>with</w:t>
      </w:r>
      <w:r w:rsidR="00580CDF" w:rsidRPr="00731C34">
        <w:rPr>
          <w:rFonts w:ascii="Arial" w:hAnsi="Arial" w:cs="Arial"/>
        </w:rPr>
        <w:t xml:space="preserve"> different </w:t>
      </w:r>
      <w:r w:rsidRPr="00731C34">
        <w:rPr>
          <w:rFonts w:ascii="Arial" w:hAnsi="Arial" w:cs="Arial"/>
        </w:rPr>
        <w:t>count of fat cells</w:t>
      </w:r>
      <w:r w:rsidR="00656E9C">
        <w:rPr>
          <w:rFonts w:ascii="Arial" w:hAnsi="Arial" w:cs="Arial"/>
        </w:rPr>
        <w:t xml:space="preserve"> (indicated with white arrow)</w:t>
      </w:r>
      <w:r w:rsidR="00580CDF" w:rsidRPr="00731C34">
        <w:rPr>
          <w:rFonts w:ascii="Arial" w:hAnsi="Arial" w:cs="Arial"/>
        </w:rPr>
        <w:t xml:space="preserve">. </w:t>
      </w:r>
      <w:r w:rsidR="00656E9C">
        <w:rPr>
          <w:rFonts w:ascii="Arial" w:hAnsi="Arial" w:cs="Arial"/>
        </w:rPr>
        <w:t>Group K</w:t>
      </w:r>
      <w:r w:rsidR="00580CDF" w:rsidRPr="00731C34">
        <w:rPr>
          <w:rFonts w:ascii="Arial" w:hAnsi="Arial" w:cs="Arial"/>
        </w:rPr>
        <w:t xml:space="preserve"> only showed minimum fat cells. </w:t>
      </w:r>
      <w:r w:rsidR="00656E9C">
        <w:rPr>
          <w:rFonts w:ascii="Arial" w:hAnsi="Arial" w:cs="Arial"/>
        </w:rPr>
        <w:t xml:space="preserve">Group </w:t>
      </w:r>
      <w:r w:rsidR="00A61B02" w:rsidRPr="00731C34">
        <w:rPr>
          <w:rFonts w:ascii="Arial" w:hAnsi="Arial" w:cs="Arial"/>
        </w:rPr>
        <w:t xml:space="preserve">K1 showed the highest </w:t>
      </w:r>
      <w:r w:rsidR="00656E9C">
        <w:rPr>
          <w:rFonts w:ascii="Arial" w:hAnsi="Arial" w:cs="Arial"/>
        </w:rPr>
        <w:t>count</w:t>
      </w:r>
      <w:r w:rsidR="00A61B02" w:rsidRPr="00731C34">
        <w:rPr>
          <w:rFonts w:ascii="Arial" w:hAnsi="Arial" w:cs="Arial"/>
        </w:rPr>
        <w:t xml:space="preserve"> of fat cells. Meanwhile the treatment groups</w:t>
      </w:r>
      <w:r w:rsidR="00656E9C">
        <w:rPr>
          <w:rFonts w:ascii="Arial" w:hAnsi="Arial" w:cs="Arial"/>
        </w:rPr>
        <w:t xml:space="preserve"> (P1, P2, and P3)</w:t>
      </w:r>
      <w:r w:rsidR="00A61B02" w:rsidRPr="00731C34">
        <w:rPr>
          <w:rFonts w:ascii="Arial" w:hAnsi="Arial" w:cs="Arial"/>
        </w:rPr>
        <w:t xml:space="preserve"> showed </w:t>
      </w:r>
      <w:r w:rsidR="003920DF">
        <w:rPr>
          <w:rFonts w:ascii="Arial" w:hAnsi="Arial" w:cs="Arial"/>
        </w:rPr>
        <w:t>lower</w:t>
      </w:r>
      <w:r w:rsidR="00A61B02" w:rsidRPr="00731C34">
        <w:rPr>
          <w:rFonts w:ascii="Arial" w:hAnsi="Arial" w:cs="Arial"/>
        </w:rPr>
        <w:t xml:space="preserve"> fat cells count compared </w:t>
      </w:r>
      <w:r w:rsidR="003920DF">
        <w:rPr>
          <w:rFonts w:ascii="Arial" w:hAnsi="Arial" w:cs="Arial"/>
        </w:rPr>
        <w:t>to</w:t>
      </w:r>
      <w:r w:rsidR="00A61B02" w:rsidRPr="00731C34">
        <w:rPr>
          <w:rFonts w:ascii="Arial" w:hAnsi="Arial" w:cs="Arial"/>
        </w:rPr>
        <w:t xml:space="preserve"> the </w:t>
      </w:r>
      <w:r w:rsidR="000F2D40" w:rsidRPr="00731C34">
        <w:rPr>
          <w:rFonts w:ascii="Arial" w:hAnsi="Arial" w:cs="Arial"/>
        </w:rPr>
        <w:t>K1.</w:t>
      </w:r>
    </w:p>
    <w:p w14:paraId="221D0C7A" w14:textId="054CE43E" w:rsidR="005366B3" w:rsidRPr="00731C34" w:rsidRDefault="00D747EC" w:rsidP="00441B6F">
      <w:pPr>
        <w:pStyle w:val="Body"/>
        <w:spacing w:after="0"/>
        <w:rPr>
          <w:rFonts w:ascii="Arial" w:hAnsi="Arial" w:cs="Arial"/>
        </w:rPr>
      </w:pPr>
      <w:r w:rsidRPr="00731C34">
        <w:rPr>
          <w:noProof/>
        </w:rPr>
        <w:lastRenderedPageBreak/>
        <w:drawing>
          <wp:anchor distT="0" distB="0" distL="114300" distR="114300" simplePos="0" relativeHeight="251659264" behindDoc="1" locked="0" layoutInCell="1" allowOverlap="1" wp14:anchorId="2C48E923" wp14:editId="52821F8B">
            <wp:simplePos x="0" y="0"/>
            <wp:positionH relativeFrom="column">
              <wp:posOffset>1164590</wp:posOffset>
            </wp:positionH>
            <wp:positionV relativeFrom="paragraph">
              <wp:posOffset>74930</wp:posOffset>
            </wp:positionV>
            <wp:extent cx="2997200" cy="3351530"/>
            <wp:effectExtent l="0" t="0" r="0" b="0"/>
            <wp:wrapTight wrapText="bothSides">
              <wp:wrapPolygon edited="0">
                <wp:start x="0" y="0"/>
                <wp:lineTo x="0" y="21485"/>
                <wp:lineTo x="21417" y="21485"/>
                <wp:lineTo x="21417" y="0"/>
                <wp:lineTo x="0" y="0"/>
              </wp:wrapPolygon>
            </wp:wrapTight>
            <wp:docPr id="118008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89492" name=""/>
                    <pic:cNvPicPr/>
                  </pic:nvPicPr>
                  <pic:blipFill>
                    <a:blip r:embed="rId14">
                      <a:extLst>
                        <a:ext uri="{28A0092B-C50C-407E-A947-70E740481C1C}">
                          <a14:useLocalDpi xmlns:a14="http://schemas.microsoft.com/office/drawing/2010/main" val="0"/>
                        </a:ext>
                      </a:extLst>
                    </a:blip>
                    <a:stretch>
                      <a:fillRect/>
                    </a:stretch>
                  </pic:blipFill>
                  <pic:spPr>
                    <a:xfrm>
                      <a:off x="0" y="0"/>
                      <a:ext cx="2997200" cy="3351530"/>
                    </a:xfrm>
                    <a:prstGeom prst="rect">
                      <a:avLst/>
                    </a:prstGeom>
                  </pic:spPr>
                </pic:pic>
              </a:graphicData>
            </a:graphic>
            <wp14:sizeRelH relativeFrom="margin">
              <wp14:pctWidth>0</wp14:pctWidth>
            </wp14:sizeRelH>
            <wp14:sizeRelV relativeFrom="margin">
              <wp14:pctHeight>0</wp14:pctHeight>
            </wp14:sizeRelV>
          </wp:anchor>
        </w:drawing>
      </w:r>
    </w:p>
    <w:p w14:paraId="24B73DE9" w14:textId="35119076" w:rsidR="00D747EC" w:rsidRPr="00731C34" w:rsidRDefault="00D747EC" w:rsidP="00441B6F">
      <w:pPr>
        <w:pStyle w:val="Body"/>
        <w:spacing w:after="0"/>
        <w:rPr>
          <w:rFonts w:ascii="Arial" w:hAnsi="Arial" w:cs="Arial"/>
        </w:rPr>
      </w:pPr>
    </w:p>
    <w:p w14:paraId="733FD195" w14:textId="369731BE" w:rsidR="00D747EC" w:rsidRPr="00731C34" w:rsidRDefault="00D747EC" w:rsidP="00441B6F">
      <w:pPr>
        <w:pStyle w:val="Body"/>
        <w:spacing w:after="0"/>
        <w:rPr>
          <w:rFonts w:ascii="Arial" w:hAnsi="Arial" w:cs="Arial"/>
        </w:rPr>
      </w:pPr>
    </w:p>
    <w:p w14:paraId="79BE8428" w14:textId="1C06FD56" w:rsidR="00D747EC" w:rsidRPr="00731C34" w:rsidRDefault="00D747EC" w:rsidP="00441B6F">
      <w:pPr>
        <w:pStyle w:val="Body"/>
        <w:spacing w:after="0"/>
        <w:rPr>
          <w:rFonts w:ascii="Arial" w:hAnsi="Arial" w:cs="Arial"/>
        </w:rPr>
      </w:pPr>
    </w:p>
    <w:p w14:paraId="1A94D33F" w14:textId="53DC8EA1" w:rsidR="00D747EC" w:rsidRPr="00731C34" w:rsidRDefault="00D747EC" w:rsidP="00441B6F">
      <w:pPr>
        <w:pStyle w:val="Body"/>
        <w:spacing w:after="0"/>
        <w:rPr>
          <w:rFonts w:ascii="Arial" w:hAnsi="Arial" w:cs="Arial"/>
        </w:rPr>
      </w:pPr>
    </w:p>
    <w:p w14:paraId="573FB585" w14:textId="03BC9F6A" w:rsidR="00D747EC" w:rsidRPr="00731C34" w:rsidRDefault="00D747EC" w:rsidP="00441B6F">
      <w:pPr>
        <w:pStyle w:val="Body"/>
        <w:spacing w:after="0"/>
        <w:rPr>
          <w:rFonts w:ascii="Arial" w:hAnsi="Arial" w:cs="Arial"/>
        </w:rPr>
      </w:pPr>
    </w:p>
    <w:p w14:paraId="179C62FE" w14:textId="725E3709" w:rsidR="00D747EC" w:rsidRPr="00731C34" w:rsidRDefault="00D747EC" w:rsidP="00441B6F">
      <w:pPr>
        <w:pStyle w:val="Body"/>
        <w:spacing w:after="0"/>
        <w:rPr>
          <w:rFonts w:ascii="Arial" w:hAnsi="Arial" w:cs="Arial"/>
        </w:rPr>
      </w:pPr>
    </w:p>
    <w:p w14:paraId="68596B81" w14:textId="30CEB6F0" w:rsidR="00D747EC" w:rsidRPr="00731C34" w:rsidRDefault="00D747EC" w:rsidP="00441B6F">
      <w:pPr>
        <w:pStyle w:val="Body"/>
        <w:spacing w:after="0"/>
        <w:rPr>
          <w:rFonts w:ascii="Arial" w:hAnsi="Arial" w:cs="Arial"/>
        </w:rPr>
      </w:pPr>
    </w:p>
    <w:p w14:paraId="03AEC2B5" w14:textId="4307BD13" w:rsidR="00D747EC" w:rsidRPr="00731C34" w:rsidRDefault="00D747EC" w:rsidP="00441B6F">
      <w:pPr>
        <w:pStyle w:val="Body"/>
        <w:spacing w:after="0"/>
        <w:rPr>
          <w:rFonts w:ascii="Arial" w:hAnsi="Arial" w:cs="Arial"/>
        </w:rPr>
      </w:pPr>
    </w:p>
    <w:p w14:paraId="38914BA5" w14:textId="77777777" w:rsidR="00D747EC" w:rsidRPr="00731C34" w:rsidRDefault="00D747EC" w:rsidP="00441B6F">
      <w:pPr>
        <w:pStyle w:val="Body"/>
        <w:spacing w:after="0"/>
        <w:rPr>
          <w:rFonts w:ascii="Arial" w:hAnsi="Arial" w:cs="Arial"/>
        </w:rPr>
      </w:pPr>
    </w:p>
    <w:p w14:paraId="1325A126" w14:textId="77777777" w:rsidR="00D747EC" w:rsidRPr="00731C34" w:rsidRDefault="00D747EC" w:rsidP="00441B6F">
      <w:pPr>
        <w:pStyle w:val="Body"/>
        <w:spacing w:after="0"/>
        <w:rPr>
          <w:rFonts w:ascii="Arial" w:hAnsi="Arial" w:cs="Arial"/>
        </w:rPr>
      </w:pPr>
    </w:p>
    <w:p w14:paraId="542D7E5D" w14:textId="77777777" w:rsidR="00D747EC" w:rsidRPr="00731C34" w:rsidRDefault="00D747EC" w:rsidP="00441B6F">
      <w:pPr>
        <w:pStyle w:val="Body"/>
        <w:spacing w:after="0"/>
        <w:rPr>
          <w:rFonts w:ascii="Arial" w:hAnsi="Arial" w:cs="Arial"/>
        </w:rPr>
      </w:pPr>
    </w:p>
    <w:p w14:paraId="7CF19BA9" w14:textId="77777777" w:rsidR="00D747EC" w:rsidRPr="00731C34" w:rsidRDefault="00D747EC" w:rsidP="00441B6F">
      <w:pPr>
        <w:pStyle w:val="Body"/>
        <w:spacing w:after="0"/>
        <w:rPr>
          <w:rFonts w:ascii="Arial" w:hAnsi="Arial" w:cs="Arial"/>
        </w:rPr>
      </w:pPr>
    </w:p>
    <w:p w14:paraId="033A5BA0" w14:textId="77777777" w:rsidR="00D747EC" w:rsidRPr="00731C34" w:rsidRDefault="00D747EC" w:rsidP="00441B6F">
      <w:pPr>
        <w:pStyle w:val="Body"/>
        <w:spacing w:after="0"/>
        <w:rPr>
          <w:rFonts w:ascii="Arial" w:hAnsi="Arial" w:cs="Arial"/>
        </w:rPr>
      </w:pPr>
    </w:p>
    <w:p w14:paraId="184F562C" w14:textId="77777777" w:rsidR="00D747EC" w:rsidRPr="00731C34" w:rsidRDefault="00D747EC" w:rsidP="00441B6F">
      <w:pPr>
        <w:pStyle w:val="Body"/>
        <w:spacing w:after="0"/>
        <w:rPr>
          <w:rFonts w:ascii="Arial" w:hAnsi="Arial" w:cs="Arial"/>
        </w:rPr>
      </w:pPr>
    </w:p>
    <w:p w14:paraId="3F259CE4" w14:textId="77777777" w:rsidR="00D747EC" w:rsidRPr="00731C34" w:rsidRDefault="00D747EC" w:rsidP="00441B6F">
      <w:pPr>
        <w:pStyle w:val="Body"/>
        <w:spacing w:after="0"/>
        <w:rPr>
          <w:rFonts w:ascii="Arial" w:hAnsi="Arial" w:cs="Arial"/>
        </w:rPr>
      </w:pPr>
    </w:p>
    <w:p w14:paraId="38E3CDC0" w14:textId="77777777" w:rsidR="00D747EC" w:rsidRPr="00731C34" w:rsidRDefault="00D747EC" w:rsidP="00441B6F">
      <w:pPr>
        <w:pStyle w:val="Body"/>
        <w:spacing w:after="0"/>
        <w:rPr>
          <w:rFonts w:ascii="Arial" w:hAnsi="Arial" w:cs="Arial"/>
        </w:rPr>
      </w:pPr>
    </w:p>
    <w:p w14:paraId="4B7856A0" w14:textId="77777777" w:rsidR="00D747EC" w:rsidRPr="00731C34" w:rsidRDefault="00D747EC" w:rsidP="00441B6F">
      <w:pPr>
        <w:pStyle w:val="Body"/>
        <w:spacing w:after="0"/>
        <w:rPr>
          <w:rFonts w:ascii="Arial" w:hAnsi="Arial" w:cs="Arial"/>
        </w:rPr>
      </w:pPr>
    </w:p>
    <w:p w14:paraId="5E7A22AB" w14:textId="77777777" w:rsidR="00D747EC" w:rsidRPr="00731C34" w:rsidRDefault="00D747EC" w:rsidP="00441B6F">
      <w:pPr>
        <w:pStyle w:val="Body"/>
        <w:spacing w:after="0"/>
        <w:rPr>
          <w:rFonts w:ascii="Arial" w:hAnsi="Arial" w:cs="Arial"/>
        </w:rPr>
      </w:pPr>
    </w:p>
    <w:p w14:paraId="6061FF39" w14:textId="77777777" w:rsidR="00D747EC" w:rsidRPr="00731C34" w:rsidRDefault="00D747EC" w:rsidP="00441B6F">
      <w:pPr>
        <w:pStyle w:val="Body"/>
        <w:spacing w:after="0"/>
        <w:rPr>
          <w:rFonts w:ascii="Arial" w:hAnsi="Arial" w:cs="Arial"/>
        </w:rPr>
      </w:pPr>
    </w:p>
    <w:p w14:paraId="1589512A" w14:textId="77777777" w:rsidR="00D747EC" w:rsidRPr="00731C34" w:rsidRDefault="00D747EC" w:rsidP="00441B6F">
      <w:pPr>
        <w:pStyle w:val="Body"/>
        <w:spacing w:after="0"/>
        <w:rPr>
          <w:rFonts w:ascii="Arial" w:hAnsi="Arial" w:cs="Arial"/>
        </w:rPr>
      </w:pPr>
    </w:p>
    <w:p w14:paraId="52F7679C" w14:textId="77777777" w:rsidR="00D747EC" w:rsidRPr="00731C34" w:rsidRDefault="00D747EC" w:rsidP="00441B6F">
      <w:pPr>
        <w:pStyle w:val="Body"/>
        <w:spacing w:after="0"/>
        <w:rPr>
          <w:rFonts w:ascii="Arial" w:hAnsi="Arial" w:cs="Arial"/>
        </w:rPr>
      </w:pPr>
    </w:p>
    <w:p w14:paraId="24612FB0" w14:textId="77777777" w:rsidR="00D747EC" w:rsidRPr="00731C34" w:rsidRDefault="00D747EC" w:rsidP="00441B6F">
      <w:pPr>
        <w:pStyle w:val="Body"/>
        <w:spacing w:after="0"/>
        <w:rPr>
          <w:rFonts w:ascii="Arial" w:hAnsi="Arial" w:cs="Arial"/>
        </w:rPr>
      </w:pPr>
    </w:p>
    <w:p w14:paraId="38A8AE2F" w14:textId="77777777" w:rsidR="00D747EC" w:rsidRPr="00731C34" w:rsidRDefault="00D747EC" w:rsidP="00441B6F">
      <w:pPr>
        <w:pStyle w:val="Body"/>
        <w:spacing w:after="0"/>
        <w:rPr>
          <w:rFonts w:ascii="Arial" w:hAnsi="Arial" w:cs="Arial"/>
        </w:rPr>
      </w:pPr>
    </w:p>
    <w:p w14:paraId="3695D997" w14:textId="591678BC" w:rsidR="005E33FC" w:rsidRPr="00731C34" w:rsidRDefault="009F52C1" w:rsidP="005E33FC">
      <w:pPr>
        <w:pStyle w:val="Body"/>
        <w:spacing w:after="0"/>
        <w:jc w:val="center"/>
        <w:rPr>
          <w:rFonts w:ascii="Arial" w:hAnsi="Arial" w:cs="Arial"/>
          <w:b/>
          <w:bCs/>
        </w:rPr>
      </w:pPr>
      <w:r w:rsidRPr="00731C34">
        <w:rPr>
          <w:rFonts w:ascii="Arial" w:hAnsi="Arial" w:cs="Arial"/>
          <w:b/>
          <w:bCs/>
        </w:rPr>
        <w:t xml:space="preserve">Fig 1. </w:t>
      </w:r>
      <w:r w:rsidR="009851D0" w:rsidRPr="00731C34">
        <w:rPr>
          <w:rFonts w:ascii="Arial" w:hAnsi="Arial" w:cs="Arial"/>
          <w:b/>
          <w:bCs/>
        </w:rPr>
        <w:t>Histopathological Examination Results of Liver Tissue at 200x magnification.</w:t>
      </w:r>
    </w:p>
    <w:p w14:paraId="6A3DA078" w14:textId="13962D97" w:rsidR="00D747EC" w:rsidRPr="00731C34" w:rsidRDefault="009851D0" w:rsidP="00441B6F">
      <w:pPr>
        <w:pStyle w:val="Body"/>
        <w:spacing w:after="0"/>
        <w:rPr>
          <w:rFonts w:ascii="Arial" w:hAnsi="Arial" w:cs="Arial"/>
          <w:i/>
          <w:iCs/>
          <w:sz w:val="18"/>
          <w:szCs w:val="18"/>
        </w:rPr>
      </w:pPr>
      <w:r w:rsidRPr="00731C34">
        <w:rPr>
          <w:rFonts w:ascii="Arial" w:hAnsi="Arial" w:cs="Arial"/>
          <w:i/>
          <w:iCs/>
          <w:sz w:val="18"/>
          <w:szCs w:val="18"/>
        </w:rPr>
        <w:t>Fat cells are transparent with nuclei at the edges (marked with white arrows).</w:t>
      </w:r>
      <w:r w:rsidR="0055383B" w:rsidRPr="0055383B">
        <w:rPr>
          <w:rFonts w:ascii="Arial" w:hAnsi="Arial" w:cs="Arial"/>
          <w:i/>
          <w:iCs/>
          <w:sz w:val="18"/>
          <w:szCs w:val="18"/>
        </w:rPr>
        <w:t xml:space="preserve"> </w:t>
      </w:r>
      <w:r w:rsidR="0055383B">
        <w:rPr>
          <w:rFonts w:ascii="Arial" w:hAnsi="Arial" w:cs="Arial"/>
          <w:i/>
          <w:iCs/>
          <w:sz w:val="18"/>
          <w:szCs w:val="18"/>
        </w:rPr>
        <w:t>Treatment groups (P1, P2, and P3) showed lower fat cells count compared to group K1.</w:t>
      </w:r>
      <w:r w:rsidR="007228EB" w:rsidRPr="00731C34">
        <w:rPr>
          <w:rFonts w:ascii="Arial" w:hAnsi="Arial" w:cs="Arial"/>
          <w:i/>
          <w:iCs/>
          <w:sz w:val="18"/>
          <w:szCs w:val="18"/>
        </w:rPr>
        <w:t xml:space="preserve"> </w:t>
      </w:r>
      <w:r w:rsidR="00673EF8" w:rsidRPr="00731C34">
        <w:rPr>
          <w:rFonts w:ascii="Arial" w:hAnsi="Arial" w:cs="Arial"/>
          <w:i/>
          <w:iCs/>
          <w:sz w:val="18"/>
          <w:szCs w:val="18"/>
        </w:rPr>
        <w:t xml:space="preserve">(A) </w:t>
      </w:r>
      <w:r w:rsidR="007228EB" w:rsidRPr="00731C34">
        <w:rPr>
          <w:rFonts w:ascii="Arial" w:hAnsi="Arial" w:cs="Arial"/>
          <w:i/>
          <w:iCs/>
          <w:sz w:val="18"/>
          <w:szCs w:val="18"/>
        </w:rPr>
        <w:t>Control group</w:t>
      </w:r>
      <w:r w:rsidR="00673EF8" w:rsidRPr="00731C34">
        <w:rPr>
          <w:rFonts w:ascii="Arial" w:hAnsi="Arial" w:cs="Arial"/>
          <w:i/>
          <w:iCs/>
          <w:sz w:val="18"/>
          <w:szCs w:val="18"/>
        </w:rPr>
        <w:t xml:space="preserve"> [K]. (B) </w:t>
      </w:r>
      <w:r w:rsidR="00D76FC4" w:rsidRPr="00731C34">
        <w:rPr>
          <w:rFonts w:ascii="Arial" w:hAnsi="Arial" w:cs="Arial"/>
          <w:i/>
          <w:iCs/>
          <w:sz w:val="18"/>
          <w:szCs w:val="18"/>
        </w:rPr>
        <w:t xml:space="preserve">High-fat high fructose diet only group [K1]. </w:t>
      </w:r>
      <w:r w:rsidR="00AC10A9" w:rsidRPr="00731C34">
        <w:rPr>
          <w:rFonts w:ascii="Arial" w:hAnsi="Arial" w:cs="Arial"/>
          <w:i/>
          <w:iCs/>
          <w:sz w:val="18"/>
          <w:szCs w:val="18"/>
        </w:rPr>
        <w:t>(C) Treatment group</w:t>
      </w:r>
      <w:r w:rsidR="005E1F73" w:rsidRPr="00731C34">
        <w:rPr>
          <w:rFonts w:ascii="Arial" w:hAnsi="Arial" w:cs="Arial"/>
          <w:i/>
          <w:iCs/>
          <w:sz w:val="18"/>
          <w:szCs w:val="18"/>
        </w:rPr>
        <w:t xml:space="preserve"> 200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w:t>
      </w:r>
      <w:r w:rsidR="00AC10A9" w:rsidRPr="00731C34">
        <w:rPr>
          <w:rFonts w:ascii="Arial" w:hAnsi="Arial" w:cs="Arial"/>
          <w:i/>
          <w:iCs/>
          <w:sz w:val="18"/>
          <w:szCs w:val="18"/>
        </w:rPr>
        <w:t xml:space="preserve"> </w:t>
      </w:r>
      <w:r w:rsidR="005E1F73" w:rsidRPr="00731C34">
        <w:rPr>
          <w:rFonts w:ascii="Arial" w:hAnsi="Arial" w:cs="Arial"/>
          <w:i/>
          <w:iCs/>
          <w:sz w:val="18"/>
          <w:szCs w:val="18"/>
        </w:rPr>
        <w:t>[P1]. (D) Treatment group 400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 [P2]. (E) Treatment group 800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 [P3].</w:t>
      </w:r>
      <w:r w:rsidR="00673EF8" w:rsidRPr="00731C34">
        <w:rPr>
          <w:rFonts w:ascii="Arial" w:hAnsi="Arial" w:cs="Arial"/>
          <w:i/>
          <w:iCs/>
          <w:sz w:val="18"/>
          <w:szCs w:val="18"/>
        </w:rPr>
        <w:t xml:space="preserve"> </w:t>
      </w:r>
    </w:p>
    <w:p w14:paraId="1B9E9BB1" w14:textId="77777777" w:rsidR="00D747EC" w:rsidRPr="00731C34" w:rsidRDefault="00D747EC" w:rsidP="00441B6F">
      <w:pPr>
        <w:pStyle w:val="Body"/>
        <w:spacing w:after="0"/>
        <w:rPr>
          <w:rFonts w:ascii="Arial" w:hAnsi="Arial" w:cs="Arial"/>
        </w:rPr>
      </w:pPr>
    </w:p>
    <w:p w14:paraId="09D7326D" w14:textId="04875DA7" w:rsidR="00D747EC" w:rsidRPr="00731C34" w:rsidRDefault="00597EBF" w:rsidP="00441B6F">
      <w:pPr>
        <w:pStyle w:val="Body"/>
        <w:spacing w:after="0"/>
        <w:rPr>
          <w:rFonts w:ascii="Arial" w:hAnsi="Arial" w:cs="Arial"/>
        </w:rPr>
      </w:pPr>
      <w:r w:rsidRPr="00731C34">
        <w:rPr>
          <w:rFonts w:ascii="Arial" w:hAnsi="Arial" w:cs="Arial"/>
        </w:rPr>
        <w:t xml:space="preserve">The </w:t>
      </w:r>
      <w:r w:rsidR="00DE5C7C">
        <w:rPr>
          <w:rFonts w:ascii="Arial" w:hAnsi="Arial" w:cs="Arial"/>
        </w:rPr>
        <w:t>K</w:t>
      </w:r>
      <w:r w:rsidRPr="00731C34">
        <w:rPr>
          <w:rFonts w:ascii="Arial" w:hAnsi="Arial" w:cs="Arial"/>
        </w:rPr>
        <w:t xml:space="preserve"> group had the lowest average fatty liver score compared to the other groups (4.22%). The </w:t>
      </w:r>
      <w:r w:rsidR="00DE5C7C">
        <w:rPr>
          <w:rFonts w:ascii="Arial" w:hAnsi="Arial" w:cs="Arial"/>
        </w:rPr>
        <w:t>K1</w:t>
      </w:r>
      <w:r w:rsidRPr="00731C34">
        <w:rPr>
          <w:rFonts w:ascii="Arial" w:hAnsi="Arial" w:cs="Arial"/>
        </w:rPr>
        <w:t xml:space="preserve">, and the treatment </w:t>
      </w:r>
      <w:r w:rsidR="00DE5C7C">
        <w:rPr>
          <w:rFonts w:ascii="Arial" w:hAnsi="Arial" w:cs="Arial"/>
        </w:rPr>
        <w:t xml:space="preserve">groups </w:t>
      </w:r>
      <w:r w:rsidRPr="00731C34">
        <w:rPr>
          <w:rFonts w:ascii="Arial" w:hAnsi="Arial" w:cs="Arial"/>
        </w:rPr>
        <w:t>(P1</w:t>
      </w:r>
      <w:r w:rsidR="00DE5C7C">
        <w:rPr>
          <w:rFonts w:ascii="Arial" w:hAnsi="Arial" w:cs="Arial"/>
        </w:rPr>
        <w:t xml:space="preserve">, P2, and </w:t>
      </w:r>
      <w:r w:rsidRPr="00731C34">
        <w:rPr>
          <w:rFonts w:ascii="Arial" w:hAnsi="Arial" w:cs="Arial"/>
        </w:rPr>
        <w:t>P3) had higher average</w:t>
      </w:r>
      <w:r w:rsidR="00DE5C7C">
        <w:rPr>
          <w:rFonts w:ascii="Arial" w:hAnsi="Arial" w:cs="Arial"/>
        </w:rPr>
        <w:t>s of</w:t>
      </w:r>
      <w:r w:rsidRPr="00731C34">
        <w:rPr>
          <w:rFonts w:ascii="Arial" w:hAnsi="Arial" w:cs="Arial"/>
        </w:rPr>
        <w:t xml:space="preserve"> fatty liver score compared to the normal control. </w:t>
      </w:r>
      <w:r w:rsidR="00DE5C7C">
        <w:rPr>
          <w:rFonts w:ascii="Arial" w:hAnsi="Arial" w:cs="Arial"/>
        </w:rPr>
        <w:t>K1 group</w:t>
      </w:r>
      <w:r w:rsidRPr="00731C34">
        <w:rPr>
          <w:rFonts w:ascii="Arial" w:hAnsi="Arial" w:cs="Arial"/>
        </w:rPr>
        <w:t xml:space="preserve"> recorded the highest average fatty liver score (66.67%). Meanwhile, the P3 group recorded the lowest average fatty liver score compared to the other groups that received a high-fat, high-fructose diet (19.78%). The difference in the average fatty liver score between the groups was statistically significant (p &lt; 0.05)</w:t>
      </w:r>
      <w:r w:rsidR="00A914A4" w:rsidRPr="00731C34">
        <w:rPr>
          <w:rFonts w:ascii="Arial" w:hAnsi="Arial" w:cs="Arial"/>
        </w:rPr>
        <w:t xml:space="preserve"> (Table 2)</w:t>
      </w:r>
      <w:r w:rsidRPr="00731C34">
        <w:rPr>
          <w:rFonts w:ascii="Arial" w:hAnsi="Arial" w:cs="Arial"/>
        </w:rPr>
        <w:t>.</w:t>
      </w:r>
    </w:p>
    <w:p w14:paraId="5DA690A9" w14:textId="5A65E82E" w:rsidR="00D747EC" w:rsidRPr="00731C34" w:rsidRDefault="00D747EC" w:rsidP="00441B6F">
      <w:pPr>
        <w:pStyle w:val="Body"/>
        <w:spacing w:after="0"/>
        <w:rPr>
          <w:rFonts w:ascii="Arial" w:hAnsi="Arial" w:cs="Arial"/>
        </w:rPr>
      </w:pPr>
    </w:p>
    <w:p w14:paraId="0885312F" w14:textId="762E8BEF" w:rsidR="005366B3" w:rsidRPr="00731C34" w:rsidRDefault="001775FC" w:rsidP="00571E55">
      <w:pPr>
        <w:pStyle w:val="Body"/>
        <w:spacing w:after="0"/>
        <w:jc w:val="center"/>
        <w:rPr>
          <w:rFonts w:ascii="Arial" w:hAnsi="Arial" w:cs="Arial"/>
          <w:b/>
          <w:bCs/>
        </w:rPr>
      </w:pPr>
      <w:r w:rsidRPr="00731C34">
        <w:rPr>
          <w:rFonts w:ascii="Arial" w:hAnsi="Arial" w:cs="Arial"/>
          <w:b/>
          <w:bCs/>
        </w:rPr>
        <w:t xml:space="preserve">Table 2. </w:t>
      </w:r>
      <w:r w:rsidR="00571E55" w:rsidRPr="00731C34">
        <w:rPr>
          <w:rFonts w:ascii="Arial" w:hAnsi="Arial" w:cs="Arial"/>
          <w:b/>
          <w:bCs/>
        </w:rPr>
        <w:t>Fatty liver score comparation from all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405"/>
        <w:gridCol w:w="1684"/>
        <w:gridCol w:w="1684"/>
        <w:gridCol w:w="1514"/>
      </w:tblGrid>
      <w:tr w:rsidR="00D747EC" w:rsidRPr="00731C34" w14:paraId="539628D6" w14:textId="77777777" w:rsidTr="006F2498">
        <w:tc>
          <w:tcPr>
            <w:tcW w:w="1654" w:type="dxa"/>
            <w:tcBorders>
              <w:top w:val="single" w:sz="4" w:space="0" w:color="auto"/>
              <w:bottom w:val="single" w:sz="4" w:space="0" w:color="auto"/>
            </w:tcBorders>
            <w:vAlign w:val="center"/>
          </w:tcPr>
          <w:p w14:paraId="05CF77FF" w14:textId="21F6CB29" w:rsidR="006A1EA6" w:rsidRPr="00731C34" w:rsidRDefault="006A1EA6"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05" w:type="dxa"/>
            <w:tcBorders>
              <w:top w:val="single" w:sz="4" w:space="0" w:color="auto"/>
              <w:bottom w:val="single" w:sz="4" w:space="0" w:color="auto"/>
            </w:tcBorders>
            <w:vAlign w:val="center"/>
          </w:tcPr>
          <w:p w14:paraId="033B1349" w14:textId="77777777" w:rsidR="006A1EA6" w:rsidRPr="00731C34" w:rsidRDefault="006A1EA6" w:rsidP="006F2498">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84" w:type="dxa"/>
            <w:tcBorders>
              <w:top w:val="single" w:sz="4" w:space="0" w:color="auto"/>
              <w:bottom w:val="single" w:sz="4" w:space="0" w:color="auto"/>
            </w:tcBorders>
            <w:vAlign w:val="center"/>
          </w:tcPr>
          <w:p w14:paraId="0C5F79FD" w14:textId="7FCDD812"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Fatty liver score (%) mean</w:t>
            </w:r>
            <w:r w:rsidR="006A1EA6" w:rsidRPr="00731C34">
              <w:rPr>
                <w:rFonts w:ascii="Arial" w:hAnsi="Arial" w:cs="Arial"/>
                <w:b/>
                <w:bCs/>
                <w:sz w:val="20"/>
                <w:szCs w:val="20"/>
              </w:rPr>
              <w:t xml:space="preserve"> (SD) </w:t>
            </w:r>
          </w:p>
        </w:tc>
        <w:tc>
          <w:tcPr>
            <w:tcW w:w="1684" w:type="dxa"/>
            <w:tcBorders>
              <w:top w:val="single" w:sz="4" w:space="0" w:color="auto"/>
              <w:bottom w:val="single" w:sz="4" w:space="0" w:color="auto"/>
            </w:tcBorders>
            <w:vAlign w:val="center"/>
          </w:tcPr>
          <w:p w14:paraId="45D7A7AB" w14:textId="3CE40990"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Fatty liver score (%) median</w:t>
            </w:r>
          </w:p>
        </w:tc>
        <w:tc>
          <w:tcPr>
            <w:tcW w:w="1514" w:type="dxa"/>
            <w:tcBorders>
              <w:top w:val="single" w:sz="4" w:space="0" w:color="auto"/>
              <w:bottom w:val="single" w:sz="4" w:space="0" w:color="auto"/>
            </w:tcBorders>
            <w:vAlign w:val="center"/>
          </w:tcPr>
          <w:p w14:paraId="7D4823E6" w14:textId="734B1454"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D747EC" w:rsidRPr="00731C34" w14:paraId="312456E1" w14:textId="77777777" w:rsidTr="006F2498">
        <w:tc>
          <w:tcPr>
            <w:tcW w:w="1654" w:type="dxa"/>
            <w:tcBorders>
              <w:top w:val="single" w:sz="4" w:space="0" w:color="auto"/>
            </w:tcBorders>
          </w:tcPr>
          <w:p w14:paraId="42A9845E"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K</w:t>
            </w:r>
          </w:p>
        </w:tc>
        <w:tc>
          <w:tcPr>
            <w:tcW w:w="1405" w:type="dxa"/>
            <w:tcBorders>
              <w:top w:val="single" w:sz="4" w:space="0" w:color="auto"/>
            </w:tcBorders>
          </w:tcPr>
          <w:p w14:paraId="7C47CFD4"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5</w:t>
            </w:r>
          </w:p>
        </w:tc>
        <w:tc>
          <w:tcPr>
            <w:tcW w:w="1684" w:type="dxa"/>
            <w:tcBorders>
              <w:top w:val="single" w:sz="4" w:space="0" w:color="auto"/>
            </w:tcBorders>
          </w:tcPr>
          <w:p w14:paraId="69FCF55E" w14:textId="7BA154AA"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 xml:space="preserve">4,13 </w:t>
            </w:r>
            <w:r w:rsidR="00787CE7" w:rsidRPr="722E3156">
              <w:rPr>
                <w:rFonts w:ascii="Arial" w:hAnsi="Arial" w:cs="Arial"/>
                <w:sz w:val="20"/>
                <w:szCs w:val="20"/>
              </w:rPr>
              <w:t>±</w:t>
            </w:r>
            <w:r w:rsidR="00787CE7">
              <w:rPr>
                <w:rFonts w:ascii="Arial" w:hAnsi="Arial" w:cs="Arial"/>
                <w:sz w:val="20"/>
                <w:szCs w:val="20"/>
              </w:rPr>
              <w:t xml:space="preserve"> </w:t>
            </w:r>
            <w:r w:rsidRPr="00731C34">
              <w:rPr>
                <w:rFonts w:ascii="Arial" w:hAnsi="Arial" w:cs="Arial"/>
                <w:sz w:val="20"/>
                <w:szCs w:val="20"/>
              </w:rPr>
              <w:t>2,81</w:t>
            </w:r>
          </w:p>
        </w:tc>
        <w:tc>
          <w:tcPr>
            <w:tcW w:w="1684" w:type="dxa"/>
            <w:tcBorders>
              <w:top w:val="single" w:sz="4" w:space="0" w:color="auto"/>
            </w:tcBorders>
          </w:tcPr>
          <w:p w14:paraId="285E1302"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4,33</w:t>
            </w:r>
          </w:p>
        </w:tc>
        <w:tc>
          <w:tcPr>
            <w:tcW w:w="1514" w:type="dxa"/>
            <w:vMerge w:val="restart"/>
            <w:tcBorders>
              <w:top w:val="single" w:sz="4" w:space="0" w:color="auto"/>
              <w:bottom w:val="single" w:sz="4" w:space="0" w:color="auto"/>
            </w:tcBorders>
            <w:vAlign w:val="center"/>
          </w:tcPr>
          <w:p w14:paraId="3C0BF0DE"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0,002</w:t>
            </w:r>
          </w:p>
        </w:tc>
      </w:tr>
      <w:tr w:rsidR="00D747EC" w:rsidRPr="00731C34" w14:paraId="342953C1" w14:textId="77777777" w:rsidTr="006F2498">
        <w:tc>
          <w:tcPr>
            <w:tcW w:w="1654" w:type="dxa"/>
          </w:tcPr>
          <w:p w14:paraId="5A25D499"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lang w:val="en-ID"/>
              </w:rPr>
              <w:t>K1</w:t>
            </w:r>
          </w:p>
        </w:tc>
        <w:tc>
          <w:tcPr>
            <w:tcW w:w="1405" w:type="dxa"/>
          </w:tcPr>
          <w:p w14:paraId="7859C9C5"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5</w:t>
            </w:r>
          </w:p>
        </w:tc>
        <w:tc>
          <w:tcPr>
            <w:tcW w:w="1684" w:type="dxa"/>
          </w:tcPr>
          <w:p w14:paraId="279E82C1" w14:textId="184A3059"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 xml:space="preserve">66,6 </w:t>
            </w:r>
            <w:r w:rsidR="00787CE7" w:rsidRPr="722E3156">
              <w:rPr>
                <w:rFonts w:ascii="Arial" w:hAnsi="Arial" w:cs="Arial"/>
                <w:sz w:val="20"/>
                <w:szCs w:val="20"/>
              </w:rPr>
              <w:t>±</w:t>
            </w:r>
            <w:r w:rsidR="00787CE7">
              <w:rPr>
                <w:rFonts w:ascii="Arial" w:hAnsi="Arial" w:cs="Arial"/>
                <w:sz w:val="20"/>
                <w:szCs w:val="20"/>
              </w:rPr>
              <w:t xml:space="preserve"> </w:t>
            </w:r>
            <w:r w:rsidRPr="00731C34">
              <w:rPr>
                <w:rFonts w:ascii="Arial" w:hAnsi="Arial" w:cs="Arial"/>
                <w:sz w:val="20"/>
                <w:szCs w:val="20"/>
              </w:rPr>
              <w:t>9,39</w:t>
            </w:r>
          </w:p>
        </w:tc>
        <w:tc>
          <w:tcPr>
            <w:tcW w:w="1684" w:type="dxa"/>
          </w:tcPr>
          <w:p w14:paraId="070AE714"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63,67</w:t>
            </w:r>
          </w:p>
        </w:tc>
        <w:tc>
          <w:tcPr>
            <w:tcW w:w="1514" w:type="dxa"/>
            <w:vMerge/>
            <w:tcBorders>
              <w:bottom w:val="single" w:sz="4" w:space="0" w:color="auto"/>
            </w:tcBorders>
          </w:tcPr>
          <w:p w14:paraId="484FB040" w14:textId="77777777" w:rsidR="006A1EA6" w:rsidRPr="00731C34" w:rsidRDefault="006A1EA6" w:rsidP="006F2498">
            <w:pPr>
              <w:tabs>
                <w:tab w:val="left" w:pos="2472"/>
              </w:tabs>
              <w:jc w:val="both"/>
              <w:rPr>
                <w:rFonts w:ascii="Arial" w:hAnsi="Arial" w:cs="Arial"/>
                <w:sz w:val="20"/>
                <w:szCs w:val="20"/>
              </w:rPr>
            </w:pPr>
          </w:p>
        </w:tc>
      </w:tr>
      <w:tr w:rsidR="00D747EC" w:rsidRPr="00731C34" w14:paraId="134877DF" w14:textId="77777777" w:rsidTr="006F2498">
        <w:tc>
          <w:tcPr>
            <w:tcW w:w="1654" w:type="dxa"/>
          </w:tcPr>
          <w:p w14:paraId="307ED80C"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05" w:type="dxa"/>
          </w:tcPr>
          <w:p w14:paraId="0D332266"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Pr>
          <w:p w14:paraId="7DBB54F4" w14:textId="1448A08F"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 xml:space="preserve">53,33 </w:t>
            </w:r>
            <w:r w:rsidR="00787CE7" w:rsidRPr="722E3156">
              <w:rPr>
                <w:rFonts w:ascii="Arial" w:hAnsi="Arial" w:cs="Arial"/>
                <w:sz w:val="20"/>
                <w:szCs w:val="20"/>
              </w:rPr>
              <w:t>±</w:t>
            </w:r>
            <w:r w:rsidR="00787CE7">
              <w:rPr>
                <w:rFonts w:ascii="Arial" w:hAnsi="Arial" w:cs="Arial"/>
                <w:sz w:val="20"/>
                <w:szCs w:val="20"/>
              </w:rPr>
              <w:t xml:space="preserve"> </w:t>
            </w:r>
            <w:r w:rsidRPr="00731C34">
              <w:rPr>
                <w:rFonts w:ascii="Arial" w:hAnsi="Arial" w:cs="Arial"/>
                <w:sz w:val="20"/>
                <w:szCs w:val="20"/>
              </w:rPr>
              <w:t>2,72</w:t>
            </w:r>
          </w:p>
        </w:tc>
        <w:tc>
          <w:tcPr>
            <w:tcW w:w="1684" w:type="dxa"/>
          </w:tcPr>
          <w:p w14:paraId="16B713CC"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52,67</w:t>
            </w:r>
          </w:p>
        </w:tc>
        <w:tc>
          <w:tcPr>
            <w:tcW w:w="1514" w:type="dxa"/>
            <w:vMerge/>
            <w:tcBorders>
              <w:bottom w:val="single" w:sz="4" w:space="0" w:color="auto"/>
            </w:tcBorders>
          </w:tcPr>
          <w:p w14:paraId="087F3608" w14:textId="77777777" w:rsidR="006A1EA6" w:rsidRPr="00731C34" w:rsidRDefault="006A1EA6" w:rsidP="006F2498">
            <w:pPr>
              <w:tabs>
                <w:tab w:val="left" w:pos="2472"/>
              </w:tabs>
              <w:jc w:val="both"/>
              <w:rPr>
                <w:rFonts w:ascii="Arial" w:hAnsi="Arial" w:cs="Arial"/>
                <w:sz w:val="20"/>
                <w:szCs w:val="20"/>
              </w:rPr>
            </w:pPr>
          </w:p>
        </w:tc>
      </w:tr>
      <w:tr w:rsidR="00D747EC" w:rsidRPr="00731C34" w14:paraId="0DD83C06" w14:textId="77777777" w:rsidTr="006F2498">
        <w:tc>
          <w:tcPr>
            <w:tcW w:w="1654" w:type="dxa"/>
          </w:tcPr>
          <w:p w14:paraId="5E2B6ADF"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P2</w:t>
            </w:r>
          </w:p>
        </w:tc>
        <w:tc>
          <w:tcPr>
            <w:tcW w:w="1405" w:type="dxa"/>
          </w:tcPr>
          <w:p w14:paraId="42AFC414"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Pr>
          <w:p w14:paraId="6C020FA6" w14:textId="0F283A8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 xml:space="preserve">41,44 </w:t>
            </w:r>
            <w:r w:rsidR="00787CE7" w:rsidRPr="722E3156">
              <w:rPr>
                <w:rFonts w:ascii="Arial" w:hAnsi="Arial" w:cs="Arial"/>
                <w:sz w:val="20"/>
                <w:szCs w:val="20"/>
              </w:rPr>
              <w:t>±</w:t>
            </w:r>
            <w:r w:rsidR="00787CE7">
              <w:rPr>
                <w:rFonts w:ascii="Arial" w:hAnsi="Arial" w:cs="Arial"/>
                <w:sz w:val="20"/>
                <w:szCs w:val="20"/>
              </w:rPr>
              <w:t xml:space="preserve"> </w:t>
            </w:r>
            <w:r w:rsidRPr="00731C34">
              <w:rPr>
                <w:rFonts w:ascii="Arial" w:hAnsi="Arial" w:cs="Arial"/>
                <w:sz w:val="20"/>
                <w:szCs w:val="20"/>
              </w:rPr>
              <w:t>2,45</w:t>
            </w:r>
          </w:p>
        </w:tc>
        <w:tc>
          <w:tcPr>
            <w:tcW w:w="1684" w:type="dxa"/>
          </w:tcPr>
          <w:p w14:paraId="261F5216"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42,33</w:t>
            </w:r>
          </w:p>
        </w:tc>
        <w:tc>
          <w:tcPr>
            <w:tcW w:w="1514" w:type="dxa"/>
            <w:vMerge/>
            <w:tcBorders>
              <w:bottom w:val="single" w:sz="4" w:space="0" w:color="auto"/>
            </w:tcBorders>
          </w:tcPr>
          <w:p w14:paraId="1A9CD65C" w14:textId="77777777" w:rsidR="006A1EA6" w:rsidRPr="00731C34" w:rsidRDefault="006A1EA6" w:rsidP="006F2498">
            <w:pPr>
              <w:tabs>
                <w:tab w:val="left" w:pos="2472"/>
              </w:tabs>
              <w:jc w:val="both"/>
              <w:rPr>
                <w:rFonts w:ascii="Arial" w:hAnsi="Arial" w:cs="Arial"/>
                <w:sz w:val="20"/>
                <w:szCs w:val="20"/>
              </w:rPr>
            </w:pPr>
          </w:p>
        </w:tc>
      </w:tr>
      <w:tr w:rsidR="00D747EC" w:rsidRPr="00731C34" w14:paraId="4D80EB06" w14:textId="77777777" w:rsidTr="006F2498">
        <w:tc>
          <w:tcPr>
            <w:tcW w:w="1654" w:type="dxa"/>
            <w:tcBorders>
              <w:bottom w:val="single" w:sz="4" w:space="0" w:color="auto"/>
            </w:tcBorders>
          </w:tcPr>
          <w:p w14:paraId="3B83794A"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05" w:type="dxa"/>
            <w:tcBorders>
              <w:bottom w:val="single" w:sz="4" w:space="0" w:color="auto"/>
            </w:tcBorders>
          </w:tcPr>
          <w:p w14:paraId="3DD0CDD2"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Borders>
              <w:bottom w:val="single" w:sz="4" w:space="0" w:color="auto"/>
            </w:tcBorders>
          </w:tcPr>
          <w:p w14:paraId="0E74C523" w14:textId="5E77D976"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 xml:space="preserve">19,78 </w:t>
            </w:r>
            <w:r w:rsidR="00787CE7" w:rsidRPr="722E3156">
              <w:rPr>
                <w:rFonts w:ascii="Arial" w:hAnsi="Arial" w:cs="Arial"/>
                <w:sz w:val="20"/>
                <w:szCs w:val="20"/>
              </w:rPr>
              <w:t>±</w:t>
            </w:r>
            <w:r w:rsidR="00787CE7">
              <w:rPr>
                <w:rFonts w:ascii="Arial" w:hAnsi="Arial" w:cs="Arial"/>
                <w:sz w:val="20"/>
                <w:szCs w:val="20"/>
              </w:rPr>
              <w:t xml:space="preserve"> </w:t>
            </w:r>
            <w:r w:rsidRPr="00731C34">
              <w:rPr>
                <w:rFonts w:ascii="Arial" w:hAnsi="Arial" w:cs="Arial"/>
                <w:sz w:val="20"/>
                <w:szCs w:val="20"/>
              </w:rPr>
              <w:t>8,75</w:t>
            </w:r>
          </w:p>
        </w:tc>
        <w:tc>
          <w:tcPr>
            <w:tcW w:w="1684" w:type="dxa"/>
            <w:tcBorders>
              <w:bottom w:val="single" w:sz="4" w:space="0" w:color="auto"/>
            </w:tcBorders>
          </w:tcPr>
          <w:p w14:paraId="30BB8D02"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16,67</w:t>
            </w:r>
          </w:p>
        </w:tc>
        <w:tc>
          <w:tcPr>
            <w:tcW w:w="1514" w:type="dxa"/>
            <w:vMerge/>
            <w:tcBorders>
              <w:bottom w:val="single" w:sz="4" w:space="0" w:color="auto"/>
            </w:tcBorders>
          </w:tcPr>
          <w:p w14:paraId="261D4F88" w14:textId="77777777" w:rsidR="006A1EA6" w:rsidRPr="00731C34" w:rsidRDefault="006A1EA6" w:rsidP="006F2498">
            <w:pPr>
              <w:tabs>
                <w:tab w:val="left" w:pos="2472"/>
              </w:tabs>
              <w:jc w:val="both"/>
              <w:rPr>
                <w:rFonts w:ascii="Arial" w:hAnsi="Arial" w:cs="Arial"/>
                <w:sz w:val="20"/>
                <w:szCs w:val="20"/>
              </w:rPr>
            </w:pPr>
          </w:p>
        </w:tc>
      </w:tr>
    </w:tbl>
    <w:p w14:paraId="28485C0A" w14:textId="77777777" w:rsidR="00971303" w:rsidRPr="00731C34" w:rsidRDefault="00971303" w:rsidP="00971303">
      <w:pPr>
        <w:pStyle w:val="Body"/>
        <w:spacing w:after="0"/>
        <w:rPr>
          <w:rFonts w:ascii="Arial" w:hAnsi="Arial" w:cs="Arial"/>
          <w:sz w:val="16"/>
          <w:szCs w:val="16"/>
        </w:rPr>
      </w:pPr>
      <w:r w:rsidRPr="00731C34">
        <w:rPr>
          <w:rFonts w:ascii="Arial" w:hAnsi="Arial" w:cs="Arial"/>
          <w:sz w:val="16"/>
          <w:szCs w:val="16"/>
        </w:rPr>
        <w:t>P = significance of Kruskal-Wallis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6F0A7867" w14:textId="77777777" w:rsidR="006A1EA6" w:rsidRPr="00731C34" w:rsidRDefault="006A1EA6" w:rsidP="00441B6F">
      <w:pPr>
        <w:pStyle w:val="Body"/>
        <w:spacing w:after="0"/>
        <w:rPr>
          <w:rFonts w:ascii="Arial" w:hAnsi="Arial" w:cs="Arial"/>
        </w:rPr>
      </w:pPr>
    </w:p>
    <w:p w14:paraId="0D4A789F" w14:textId="5AE93E66" w:rsidR="00236207" w:rsidRPr="00731C34" w:rsidRDefault="00236207" w:rsidP="00236207">
      <w:pPr>
        <w:pStyle w:val="Body"/>
        <w:rPr>
          <w:rFonts w:ascii="Arial" w:hAnsi="Arial" w:cs="Arial"/>
        </w:rPr>
      </w:pPr>
      <w:r w:rsidRPr="00731C34">
        <w:rPr>
          <w:rFonts w:ascii="Arial" w:hAnsi="Arial" w:cs="Arial"/>
        </w:rPr>
        <w:t xml:space="preserve">Rats fed a high-fat, high-fructose diet in this study had higher MDA levels and fatty liver scores than the treatment groups, especially the high-fat, high-fructose control (K1). The </w:t>
      </w:r>
      <w:r w:rsidRPr="00731C34">
        <w:rPr>
          <w:rFonts w:ascii="Arial" w:hAnsi="Arial" w:cs="Arial"/>
        </w:rPr>
        <w:lastRenderedPageBreak/>
        <w:t xml:space="preserve">differences in MDA levels and fatty liver scores between groups were statistically significant (p &lt; 0.05). The findings of this study align with other studies. Providing a high-fat diet resulted in higher MDA levels in rats compared to the group fed a standard diet (Harsa, 2014). Recent studies have also consistently shown that a high-fat diet induces oxidative stress in male Wistar rats. This is evidenced by increased malondialdehyde (MDA) levels, a key marker of lipid peroxidation. In a controlled experiment by </w:t>
      </w:r>
      <w:proofErr w:type="spellStart"/>
      <w:r w:rsidRPr="00731C34">
        <w:rPr>
          <w:rFonts w:ascii="Arial" w:hAnsi="Arial" w:cs="Arial"/>
        </w:rPr>
        <w:t>Kusumaningrat</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xml:space="preserve"> (2023), rats fed a high-fat diet for four weeks showed significantly increased serum MDA concentrations compared to controls, indicating increased free radical scavenging activity and membrane lipid damage (</w:t>
      </w:r>
      <w:proofErr w:type="spellStart"/>
      <w:r w:rsidRPr="00731C34">
        <w:rPr>
          <w:rFonts w:ascii="Arial" w:hAnsi="Arial" w:cs="Arial"/>
        </w:rPr>
        <w:t>Kusumaningrat</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xml:space="preserve">, 2023; Hikmah &amp; </w:t>
      </w:r>
      <w:proofErr w:type="spellStart"/>
      <w:r w:rsidRPr="00731C34">
        <w:rPr>
          <w:rFonts w:ascii="Arial" w:hAnsi="Arial" w:cs="Arial"/>
        </w:rPr>
        <w:t>Annajwa</w:t>
      </w:r>
      <w:proofErr w:type="spellEnd"/>
      <w:r w:rsidRPr="00731C34">
        <w:rPr>
          <w:rFonts w:ascii="Arial" w:hAnsi="Arial" w:cs="Arial"/>
        </w:rPr>
        <w:t>, 2024).</w:t>
      </w:r>
    </w:p>
    <w:p w14:paraId="777CC9E8" w14:textId="5B02827A" w:rsidR="00BC14C1" w:rsidRPr="00731C34" w:rsidRDefault="00BC14C1" w:rsidP="00236207">
      <w:pPr>
        <w:pStyle w:val="Body"/>
        <w:rPr>
          <w:rFonts w:ascii="Arial" w:hAnsi="Arial" w:cs="Arial"/>
        </w:rPr>
      </w:pPr>
      <w:r w:rsidRPr="00731C34">
        <w:rPr>
          <w:rFonts w:ascii="Arial" w:hAnsi="Arial" w:cs="Arial"/>
        </w:rPr>
        <w:t xml:space="preserve">The findings of this study also align with </w:t>
      </w:r>
      <w:r w:rsidR="001403C6" w:rsidRPr="00731C34">
        <w:rPr>
          <w:rFonts w:ascii="Arial" w:hAnsi="Arial" w:cs="Arial"/>
        </w:rPr>
        <w:t>previous</w:t>
      </w:r>
      <w:r w:rsidRPr="00731C34">
        <w:rPr>
          <w:rFonts w:ascii="Arial" w:hAnsi="Arial" w:cs="Arial"/>
        </w:rPr>
        <w:t xml:space="preserve"> research. A study by Salma </w:t>
      </w:r>
      <w:r w:rsidRPr="00731C34">
        <w:rPr>
          <w:rFonts w:ascii="Arial" w:hAnsi="Arial" w:cs="Arial"/>
          <w:i/>
          <w:iCs/>
        </w:rPr>
        <w:t>et al.</w:t>
      </w:r>
      <w:r w:rsidRPr="00731C34">
        <w:rPr>
          <w:rFonts w:ascii="Arial" w:hAnsi="Arial" w:cs="Arial"/>
        </w:rPr>
        <w:t xml:space="preserve"> (2019), which examined a fatty liver model using male Wistar rats, reported significantly lower MDA levels in the group given flaxseed extract. Another study by Han </w:t>
      </w:r>
      <w:r w:rsidRPr="00731C34">
        <w:rPr>
          <w:rFonts w:ascii="Arial" w:hAnsi="Arial" w:cs="Arial"/>
          <w:i/>
          <w:iCs/>
        </w:rPr>
        <w:t>et al.</w:t>
      </w:r>
      <w:r w:rsidRPr="00731C34">
        <w:rPr>
          <w:rFonts w:ascii="Arial" w:hAnsi="Arial" w:cs="Arial"/>
        </w:rPr>
        <w:t xml:space="preserve"> (2017) also reported that flaxseed extract resulted in lower MDA levels and liver damage in rats fed a high-fat diet.</w:t>
      </w:r>
    </w:p>
    <w:p w14:paraId="0FCD4B43" w14:textId="2ACAE704" w:rsidR="00236207" w:rsidRPr="00731C34" w:rsidRDefault="00040075" w:rsidP="005D6F7C">
      <w:pPr>
        <w:pStyle w:val="Body"/>
        <w:rPr>
          <w:rFonts w:ascii="Arial" w:hAnsi="Arial" w:cs="Arial"/>
        </w:rPr>
      </w:pPr>
      <w:r w:rsidRPr="00731C34">
        <w:rPr>
          <w:rFonts w:ascii="Arial" w:hAnsi="Arial" w:cs="Arial"/>
        </w:rPr>
        <w:t xml:space="preserve">Feeding a high-fat diet to rats inhibits normal lipid metabolism pathways, leading to triglyceride deposition in hepatocytes and the development of NAFLD. Previous proteomic analysis revealed that rats fed a high-fat diet exhibited upregulation of proteins involved in lipid transport and storage, accompanied by downregulation of fatty acid oxidation enzymes, contributing to intracellular fat accumulation (Sang et al., 2019). A high-fat diet not only exacerbates liver fat accumulation but also promotes the development of fibrotic and precancerous changes, even without prior liver damage (Taguchi </w:t>
      </w:r>
      <w:r w:rsidRPr="00731C34">
        <w:rPr>
          <w:rFonts w:ascii="Arial" w:hAnsi="Arial" w:cs="Arial"/>
          <w:i/>
          <w:iCs/>
        </w:rPr>
        <w:t>et al</w:t>
      </w:r>
      <w:r w:rsidRPr="00731C34">
        <w:rPr>
          <w:rFonts w:ascii="Arial" w:hAnsi="Arial" w:cs="Arial"/>
        </w:rPr>
        <w:t>., 2024).</w:t>
      </w:r>
    </w:p>
    <w:p w14:paraId="145A7754" w14:textId="0DD967D3" w:rsidR="007A402C" w:rsidRPr="00731C34" w:rsidRDefault="007A402C" w:rsidP="005D6F7C">
      <w:pPr>
        <w:pStyle w:val="Body"/>
        <w:rPr>
          <w:rFonts w:ascii="Arial" w:hAnsi="Arial" w:cs="Arial"/>
        </w:rPr>
      </w:pPr>
      <w:r w:rsidRPr="00731C34">
        <w:rPr>
          <w:rFonts w:ascii="Arial" w:hAnsi="Arial" w:cs="Arial"/>
        </w:rPr>
        <w:t xml:space="preserve">High-fructose diets have been widely used in animal models to mimic dietary patterns associated with metabolic syndrome and oxidative stress. In mice, chronic intake of a high-fructose diet, either through drinking water or formula feed, has been shown to significantly increase MDA levels in plasma and liver. One study examining fructose feeding in mice reported a consistent downregulation of antioxidant enzymes such as superoxide dismutase (SOD) and catalase, in addition to increased MDA concentrations, indicating a shift toward a pro-oxidative state (Mirzaei </w:t>
      </w:r>
      <w:r w:rsidRPr="00731C34">
        <w:rPr>
          <w:rFonts w:ascii="Arial" w:hAnsi="Arial" w:cs="Arial"/>
          <w:i/>
          <w:iCs/>
        </w:rPr>
        <w:t>et al</w:t>
      </w:r>
      <w:r w:rsidRPr="00731C34">
        <w:rPr>
          <w:rFonts w:ascii="Arial" w:hAnsi="Arial" w:cs="Arial"/>
        </w:rPr>
        <w:t xml:space="preserve">., 2023). Other studies have found that increased MDA levels correlate with histopathological changes in liver architecture, including steatosis and inflammatory infiltration (Chan </w:t>
      </w:r>
      <w:r w:rsidRPr="00731C34">
        <w:rPr>
          <w:rFonts w:ascii="Arial" w:hAnsi="Arial" w:cs="Arial"/>
          <w:i/>
          <w:iCs/>
        </w:rPr>
        <w:t>et al</w:t>
      </w:r>
      <w:r w:rsidRPr="00731C34">
        <w:rPr>
          <w:rFonts w:ascii="Arial" w:hAnsi="Arial" w:cs="Arial"/>
        </w:rPr>
        <w:t>., 2021).</w:t>
      </w:r>
    </w:p>
    <w:p w14:paraId="3BFF2FA4" w14:textId="77777777" w:rsidR="00BC14C1" w:rsidRPr="00731C34" w:rsidRDefault="00BC14C1" w:rsidP="00BC14C1">
      <w:pPr>
        <w:pStyle w:val="Body"/>
        <w:spacing w:after="0"/>
        <w:rPr>
          <w:rFonts w:ascii="Arial" w:hAnsi="Arial" w:cs="Arial"/>
        </w:rPr>
      </w:pPr>
      <w:r w:rsidRPr="00731C34">
        <w:rPr>
          <w:rFonts w:ascii="Arial" w:hAnsi="Arial" w:cs="Arial"/>
        </w:rPr>
        <w:t xml:space="preserve">The effect of flaxseed extract on MDA levels and fatty liver is attributed to the rich bioactive compound profile of flaxseed, including alpha-linolenic acid, lignans, and polyphenols, which enhance endogenous antioxidant defenses such as superoxide dismutase (SOD) and glutathione (GSH) (De Smet </w:t>
      </w:r>
      <w:r w:rsidRPr="00731C34">
        <w:rPr>
          <w:rFonts w:ascii="Arial" w:hAnsi="Arial" w:cs="Arial"/>
          <w:i/>
          <w:iCs/>
        </w:rPr>
        <w:t>et al</w:t>
      </w:r>
      <w:r w:rsidRPr="00731C34">
        <w:rPr>
          <w:rFonts w:ascii="Arial" w:hAnsi="Arial" w:cs="Arial"/>
        </w:rPr>
        <w:t xml:space="preserve">., 1997). Lower MDA levels in treatment groups P1, P2, and P3 that received flaxseed ethanol extract, indicate the potential for preventing hepatocellular injury mediated by reactive oxygen species (ROS), thus potentially slowing the progression of steatosis to steatohepatitis (Merenda </w:t>
      </w:r>
      <w:r w:rsidRPr="00731C34">
        <w:rPr>
          <w:rFonts w:ascii="Arial" w:hAnsi="Arial" w:cs="Arial"/>
          <w:i/>
          <w:iCs/>
        </w:rPr>
        <w:t>et al.</w:t>
      </w:r>
      <w:r w:rsidRPr="00731C34">
        <w:rPr>
          <w:rFonts w:ascii="Arial" w:hAnsi="Arial" w:cs="Arial"/>
        </w:rPr>
        <w:t>, 2024).</w:t>
      </w:r>
    </w:p>
    <w:p w14:paraId="3FF5A8D9" w14:textId="2E94715A" w:rsidR="005D6F7C" w:rsidRPr="00731C34" w:rsidRDefault="005D6F7C" w:rsidP="005D6F7C">
      <w:pPr>
        <w:pStyle w:val="Body"/>
        <w:rPr>
          <w:rFonts w:ascii="Arial" w:hAnsi="Arial" w:cs="Arial"/>
        </w:rPr>
      </w:pPr>
      <w:r w:rsidRPr="00731C34">
        <w:rPr>
          <w:rFonts w:ascii="Arial" w:hAnsi="Arial" w:cs="Arial"/>
        </w:rPr>
        <w:t>Based on the results of the post-hoc test using the Dunn method, a statistically significant mean difference (</w:t>
      </w:r>
      <w:r w:rsidR="00AB2D61" w:rsidRPr="00731C34">
        <w:rPr>
          <w:rFonts w:ascii="Arial" w:hAnsi="Arial" w:cs="Arial"/>
        </w:rPr>
        <w:t>P</w:t>
      </w:r>
      <w:r w:rsidRPr="00731C34">
        <w:rPr>
          <w:rFonts w:ascii="Arial" w:hAnsi="Arial" w:cs="Arial"/>
        </w:rPr>
        <w:t xml:space="preserve"> &lt; 0.05) was only reported between the normal control group (K) and the high-fat, high-fructose control group (K1). The mean difference in MDA levels between the two groups reached 2.803 nmol/ml (</w:t>
      </w:r>
      <w:r w:rsidR="00AB2D61" w:rsidRPr="00731C34">
        <w:rPr>
          <w:rFonts w:ascii="Arial" w:hAnsi="Arial" w:cs="Arial"/>
        </w:rPr>
        <w:t>P</w:t>
      </w:r>
      <w:r w:rsidRPr="00731C34">
        <w:rPr>
          <w:rFonts w:ascii="Arial" w:hAnsi="Arial" w:cs="Arial"/>
        </w:rPr>
        <w:t xml:space="preserve"> = 0.016). The difference in mean MDA levels between the other groups did not show statistically significant differences</w:t>
      </w:r>
      <w:r w:rsidR="00AB2D61" w:rsidRPr="00731C34">
        <w:rPr>
          <w:rFonts w:ascii="Arial" w:hAnsi="Arial" w:cs="Arial"/>
        </w:rPr>
        <w:t xml:space="preserve"> (P&gt;0,05)</w:t>
      </w:r>
      <w:r w:rsidRPr="00731C34">
        <w:rPr>
          <w:rFonts w:ascii="Arial" w:hAnsi="Arial" w:cs="Arial"/>
        </w:rPr>
        <w:t>.</w:t>
      </w:r>
    </w:p>
    <w:p w14:paraId="36D95228" w14:textId="1D2A4C7D" w:rsidR="00743E91" w:rsidRPr="00731C34" w:rsidRDefault="005D6F7C" w:rsidP="005D6F7C">
      <w:pPr>
        <w:pStyle w:val="Body"/>
        <w:spacing w:after="0"/>
        <w:rPr>
          <w:rFonts w:ascii="Arial" w:hAnsi="Arial" w:cs="Arial"/>
        </w:rPr>
      </w:pPr>
      <w:r w:rsidRPr="00731C34">
        <w:rPr>
          <w:rFonts w:ascii="Arial" w:hAnsi="Arial" w:cs="Arial"/>
        </w:rPr>
        <w:t>Similar results were also obtained from the post-hoc test for fatty liver scores.</w:t>
      </w:r>
      <w:r w:rsidR="00AB2D61" w:rsidRPr="00731C34">
        <w:rPr>
          <w:rFonts w:ascii="Arial" w:hAnsi="Arial" w:cs="Arial"/>
        </w:rPr>
        <w:t xml:space="preserve"> S</w:t>
      </w:r>
      <w:r w:rsidRPr="00731C34">
        <w:rPr>
          <w:rFonts w:ascii="Arial" w:hAnsi="Arial" w:cs="Arial"/>
        </w:rPr>
        <w:t>tatistically significant mean difference (p &lt; 0.05) was only reported between the normal control group (K) and the high-fat, high-fructose control group (K1). The mean difference in fatty liver scores between the two groups reached 62.46% (p = 0.001). The mean difference in fatty liver scores between the other groups did not show statistically significant differences.</w:t>
      </w:r>
    </w:p>
    <w:p w14:paraId="6FB19093" w14:textId="77777777" w:rsidR="00A82ABB" w:rsidRPr="00731C34" w:rsidRDefault="00A82ABB" w:rsidP="005D6F7C">
      <w:pPr>
        <w:pStyle w:val="Body"/>
        <w:spacing w:after="0"/>
        <w:rPr>
          <w:rFonts w:ascii="Arial" w:hAnsi="Arial" w:cs="Arial"/>
        </w:rPr>
      </w:pPr>
    </w:p>
    <w:p w14:paraId="11D357A1" w14:textId="410769A9" w:rsidR="00A82ABB" w:rsidRPr="00731C34" w:rsidRDefault="00E76146" w:rsidP="005D6F7C">
      <w:pPr>
        <w:pStyle w:val="Body"/>
        <w:spacing w:after="0"/>
        <w:rPr>
          <w:rFonts w:ascii="Arial" w:hAnsi="Arial" w:cs="Arial"/>
          <w:b/>
          <w:bCs/>
        </w:rPr>
      </w:pPr>
      <w:r w:rsidRPr="00731C34">
        <w:rPr>
          <w:rFonts w:ascii="Arial" w:hAnsi="Arial" w:cs="Arial"/>
          <w:b/>
          <w:bCs/>
        </w:rPr>
        <w:lastRenderedPageBreak/>
        <w:t xml:space="preserve">Table 3. Post Hoc analysis </w:t>
      </w:r>
      <w:r w:rsidR="00A001C7" w:rsidRPr="00731C34">
        <w:rPr>
          <w:rFonts w:ascii="Arial" w:hAnsi="Arial" w:cs="Arial"/>
          <w:b/>
          <w:bCs/>
        </w:rPr>
        <w:t>of MDA level and fatty liver score</w:t>
      </w:r>
      <w:r w:rsidR="00482E91" w:rsidRPr="00731C34">
        <w:rPr>
          <w:rFonts w:ascii="Arial" w:hAnsi="Arial" w:cs="Arial"/>
          <w:b/>
          <w:bCs/>
        </w:rPr>
        <w:t xml:space="preserve"> between experiment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2223"/>
        <w:gridCol w:w="1810"/>
        <w:gridCol w:w="1919"/>
      </w:tblGrid>
      <w:tr w:rsidR="00A82ABB" w:rsidRPr="00731C34" w14:paraId="40F99DBA" w14:textId="77777777" w:rsidTr="006F2498">
        <w:trPr>
          <w:trHeight w:val="20"/>
        </w:trPr>
        <w:tc>
          <w:tcPr>
            <w:tcW w:w="1989" w:type="dxa"/>
            <w:tcBorders>
              <w:top w:val="single" w:sz="4" w:space="0" w:color="auto"/>
              <w:bottom w:val="single" w:sz="4" w:space="0" w:color="auto"/>
            </w:tcBorders>
          </w:tcPr>
          <w:p w14:paraId="2CB550F4" w14:textId="1FCCB032"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 xml:space="preserve">Variable </w:t>
            </w:r>
          </w:p>
        </w:tc>
        <w:tc>
          <w:tcPr>
            <w:tcW w:w="2223" w:type="dxa"/>
            <w:tcBorders>
              <w:top w:val="single" w:sz="4" w:space="0" w:color="auto"/>
              <w:bottom w:val="single" w:sz="4" w:space="0" w:color="auto"/>
            </w:tcBorders>
          </w:tcPr>
          <w:p w14:paraId="42EF7217" w14:textId="51B39076"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810" w:type="dxa"/>
            <w:tcBorders>
              <w:top w:val="single" w:sz="4" w:space="0" w:color="auto"/>
              <w:bottom w:val="single" w:sz="4" w:space="0" w:color="auto"/>
            </w:tcBorders>
          </w:tcPr>
          <w:p w14:paraId="76F8B7D7" w14:textId="4CDCBBA8"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 xml:space="preserve">Mean Difference </w:t>
            </w:r>
          </w:p>
        </w:tc>
        <w:tc>
          <w:tcPr>
            <w:tcW w:w="1919" w:type="dxa"/>
            <w:tcBorders>
              <w:top w:val="single" w:sz="4" w:space="0" w:color="auto"/>
              <w:bottom w:val="single" w:sz="4" w:space="0" w:color="auto"/>
            </w:tcBorders>
          </w:tcPr>
          <w:p w14:paraId="3EB1AAFE" w14:textId="3ACDA858"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A82ABB" w:rsidRPr="00731C34" w14:paraId="178D4993" w14:textId="77777777" w:rsidTr="006F2498">
        <w:trPr>
          <w:trHeight w:val="20"/>
        </w:trPr>
        <w:tc>
          <w:tcPr>
            <w:tcW w:w="1989" w:type="dxa"/>
            <w:vMerge w:val="restart"/>
            <w:tcBorders>
              <w:top w:val="single" w:sz="4" w:space="0" w:color="auto"/>
              <w:bottom w:val="single" w:sz="4" w:space="0" w:color="auto"/>
            </w:tcBorders>
            <w:vAlign w:val="center"/>
          </w:tcPr>
          <w:p w14:paraId="4324BF0A" w14:textId="37E5FD32"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MDA level (nmol/L)</w:t>
            </w:r>
          </w:p>
          <w:p w14:paraId="73C1ADA2" w14:textId="77777777" w:rsidR="00A82ABB" w:rsidRPr="00731C34" w:rsidRDefault="00A82ABB" w:rsidP="006F2498">
            <w:pPr>
              <w:tabs>
                <w:tab w:val="left" w:pos="2472"/>
              </w:tabs>
              <w:jc w:val="center"/>
              <w:rPr>
                <w:rFonts w:ascii="Arial" w:hAnsi="Arial" w:cs="Arial"/>
                <w:sz w:val="20"/>
                <w:szCs w:val="20"/>
              </w:rPr>
            </w:pPr>
          </w:p>
        </w:tc>
        <w:tc>
          <w:tcPr>
            <w:tcW w:w="2223" w:type="dxa"/>
            <w:tcBorders>
              <w:top w:val="single" w:sz="4" w:space="0" w:color="auto"/>
            </w:tcBorders>
          </w:tcPr>
          <w:p w14:paraId="682F193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sz="4" w:space="0" w:color="auto"/>
            </w:tcBorders>
          </w:tcPr>
          <w:p w14:paraId="71E7F68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2,80</w:t>
            </w:r>
          </w:p>
        </w:tc>
        <w:tc>
          <w:tcPr>
            <w:tcW w:w="1919" w:type="dxa"/>
            <w:tcBorders>
              <w:top w:val="single" w:sz="4" w:space="0" w:color="auto"/>
            </w:tcBorders>
          </w:tcPr>
          <w:p w14:paraId="6AE969D0" w14:textId="77777777"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0,016*</w:t>
            </w:r>
          </w:p>
        </w:tc>
      </w:tr>
      <w:tr w:rsidR="00A82ABB" w:rsidRPr="00731C34" w14:paraId="7BFF6ACE" w14:textId="77777777" w:rsidTr="006F2498">
        <w:trPr>
          <w:trHeight w:val="20"/>
        </w:trPr>
        <w:tc>
          <w:tcPr>
            <w:tcW w:w="1989" w:type="dxa"/>
            <w:vMerge/>
            <w:tcBorders>
              <w:bottom w:val="single" w:sz="4" w:space="0" w:color="auto"/>
            </w:tcBorders>
          </w:tcPr>
          <w:p w14:paraId="224C4D5E"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440D521"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Pr>
          <w:p w14:paraId="263D45D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1,67</w:t>
            </w:r>
          </w:p>
        </w:tc>
        <w:tc>
          <w:tcPr>
            <w:tcW w:w="1919" w:type="dxa"/>
          </w:tcPr>
          <w:p w14:paraId="17ADA77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0DC4356" w14:textId="77777777" w:rsidTr="006F2498">
        <w:trPr>
          <w:trHeight w:val="20"/>
        </w:trPr>
        <w:tc>
          <w:tcPr>
            <w:tcW w:w="1989" w:type="dxa"/>
            <w:vMerge/>
            <w:tcBorders>
              <w:bottom w:val="single" w:sz="4" w:space="0" w:color="auto"/>
            </w:tcBorders>
          </w:tcPr>
          <w:p w14:paraId="10B15F78"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FA8312B" w14:textId="77777777" w:rsidR="00A82ABB" w:rsidRPr="00731C34" w:rsidRDefault="00A82ABB" w:rsidP="006F2498">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Pr>
          <w:p w14:paraId="72732FC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1,36</w:t>
            </w:r>
          </w:p>
        </w:tc>
        <w:tc>
          <w:tcPr>
            <w:tcW w:w="1919" w:type="dxa"/>
          </w:tcPr>
          <w:p w14:paraId="47FC3078"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51886F76" w14:textId="77777777" w:rsidTr="006F2498">
        <w:trPr>
          <w:trHeight w:val="20"/>
        </w:trPr>
        <w:tc>
          <w:tcPr>
            <w:tcW w:w="1989" w:type="dxa"/>
            <w:vMerge/>
            <w:tcBorders>
              <w:bottom w:val="single" w:sz="4" w:space="0" w:color="auto"/>
            </w:tcBorders>
          </w:tcPr>
          <w:p w14:paraId="0D10089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B276F17"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Pr>
          <w:p w14:paraId="72DD891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0,43</w:t>
            </w:r>
          </w:p>
        </w:tc>
        <w:tc>
          <w:tcPr>
            <w:tcW w:w="1919" w:type="dxa"/>
          </w:tcPr>
          <w:p w14:paraId="37E118F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7CDB12FC" w14:textId="77777777" w:rsidTr="006F2498">
        <w:trPr>
          <w:trHeight w:val="20"/>
        </w:trPr>
        <w:tc>
          <w:tcPr>
            <w:tcW w:w="1989" w:type="dxa"/>
            <w:vMerge/>
            <w:tcBorders>
              <w:bottom w:val="single" w:sz="4" w:space="0" w:color="auto"/>
            </w:tcBorders>
          </w:tcPr>
          <w:p w14:paraId="7A28DBA1" w14:textId="77777777" w:rsidR="00A82ABB" w:rsidRPr="00731C34" w:rsidRDefault="00A82ABB" w:rsidP="006F2498">
            <w:pPr>
              <w:tabs>
                <w:tab w:val="left" w:pos="2472"/>
              </w:tabs>
              <w:jc w:val="center"/>
              <w:rPr>
                <w:rFonts w:ascii="Arial" w:hAnsi="Arial" w:cs="Arial"/>
                <w:sz w:val="20"/>
                <w:szCs w:val="20"/>
              </w:rPr>
            </w:pPr>
          </w:p>
        </w:tc>
        <w:tc>
          <w:tcPr>
            <w:tcW w:w="2223" w:type="dxa"/>
          </w:tcPr>
          <w:p w14:paraId="0C7EA08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Pr>
          <w:p w14:paraId="70E2452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1,13</w:t>
            </w:r>
          </w:p>
        </w:tc>
        <w:tc>
          <w:tcPr>
            <w:tcW w:w="1919" w:type="dxa"/>
          </w:tcPr>
          <w:p w14:paraId="33847DC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81EFECD" w14:textId="77777777" w:rsidTr="006F2498">
        <w:trPr>
          <w:trHeight w:val="20"/>
        </w:trPr>
        <w:tc>
          <w:tcPr>
            <w:tcW w:w="1989" w:type="dxa"/>
            <w:vMerge/>
            <w:tcBorders>
              <w:bottom w:val="single" w:sz="4" w:space="0" w:color="auto"/>
            </w:tcBorders>
          </w:tcPr>
          <w:p w14:paraId="7B7454DD"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8E8A44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Pr>
          <w:p w14:paraId="4FF3640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1,44</w:t>
            </w:r>
          </w:p>
        </w:tc>
        <w:tc>
          <w:tcPr>
            <w:tcW w:w="1919" w:type="dxa"/>
          </w:tcPr>
          <w:p w14:paraId="4752374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5ACA51C" w14:textId="77777777" w:rsidTr="006F2498">
        <w:trPr>
          <w:trHeight w:val="20"/>
        </w:trPr>
        <w:tc>
          <w:tcPr>
            <w:tcW w:w="1989" w:type="dxa"/>
            <w:vMerge/>
            <w:tcBorders>
              <w:bottom w:val="single" w:sz="4" w:space="0" w:color="auto"/>
            </w:tcBorders>
          </w:tcPr>
          <w:p w14:paraId="1821C2C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23B4BD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Pr>
          <w:p w14:paraId="17D9BD12"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2,37</w:t>
            </w:r>
          </w:p>
        </w:tc>
        <w:tc>
          <w:tcPr>
            <w:tcW w:w="1919" w:type="dxa"/>
          </w:tcPr>
          <w:p w14:paraId="17370AF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31A374C" w14:textId="77777777" w:rsidTr="006F2498">
        <w:trPr>
          <w:trHeight w:val="20"/>
        </w:trPr>
        <w:tc>
          <w:tcPr>
            <w:tcW w:w="1989" w:type="dxa"/>
            <w:vMerge/>
            <w:tcBorders>
              <w:bottom w:val="single" w:sz="4" w:space="0" w:color="auto"/>
            </w:tcBorders>
          </w:tcPr>
          <w:p w14:paraId="3B46F4EB" w14:textId="77777777" w:rsidR="00A82ABB" w:rsidRPr="00731C34" w:rsidRDefault="00A82ABB" w:rsidP="006F2498">
            <w:pPr>
              <w:tabs>
                <w:tab w:val="left" w:pos="2472"/>
              </w:tabs>
              <w:jc w:val="center"/>
              <w:rPr>
                <w:rFonts w:ascii="Arial" w:hAnsi="Arial" w:cs="Arial"/>
                <w:sz w:val="20"/>
                <w:szCs w:val="20"/>
              </w:rPr>
            </w:pPr>
          </w:p>
        </w:tc>
        <w:tc>
          <w:tcPr>
            <w:tcW w:w="2223" w:type="dxa"/>
          </w:tcPr>
          <w:p w14:paraId="2C2EBBB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Pr>
          <w:p w14:paraId="17E4BF0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0,31</w:t>
            </w:r>
          </w:p>
        </w:tc>
        <w:tc>
          <w:tcPr>
            <w:tcW w:w="1919" w:type="dxa"/>
          </w:tcPr>
          <w:p w14:paraId="3D81AEC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71A863DE" w14:textId="77777777" w:rsidTr="006F2498">
        <w:trPr>
          <w:trHeight w:val="20"/>
        </w:trPr>
        <w:tc>
          <w:tcPr>
            <w:tcW w:w="1989" w:type="dxa"/>
            <w:vMerge/>
            <w:tcBorders>
              <w:bottom w:val="single" w:sz="4" w:space="0" w:color="auto"/>
            </w:tcBorders>
          </w:tcPr>
          <w:p w14:paraId="0FC82AE4" w14:textId="77777777" w:rsidR="00A82ABB" w:rsidRPr="00731C34" w:rsidRDefault="00A82ABB" w:rsidP="006F2498">
            <w:pPr>
              <w:tabs>
                <w:tab w:val="left" w:pos="2472"/>
              </w:tabs>
              <w:jc w:val="center"/>
              <w:rPr>
                <w:rFonts w:ascii="Arial" w:hAnsi="Arial" w:cs="Arial"/>
                <w:sz w:val="20"/>
                <w:szCs w:val="20"/>
              </w:rPr>
            </w:pPr>
          </w:p>
        </w:tc>
        <w:tc>
          <w:tcPr>
            <w:tcW w:w="2223" w:type="dxa"/>
          </w:tcPr>
          <w:p w14:paraId="0D221CD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Pr>
          <w:p w14:paraId="70B9E7F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1,24</w:t>
            </w:r>
          </w:p>
        </w:tc>
        <w:tc>
          <w:tcPr>
            <w:tcW w:w="1919" w:type="dxa"/>
          </w:tcPr>
          <w:p w14:paraId="2704792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172E7E18" w14:textId="77777777" w:rsidTr="006F2498">
        <w:trPr>
          <w:trHeight w:val="20"/>
        </w:trPr>
        <w:tc>
          <w:tcPr>
            <w:tcW w:w="1989" w:type="dxa"/>
            <w:vMerge/>
            <w:tcBorders>
              <w:bottom w:val="single" w:sz="4" w:space="0" w:color="auto"/>
            </w:tcBorders>
          </w:tcPr>
          <w:p w14:paraId="640C3D46" w14:textId="77777777" w:rsidR="00A82ABB" w:rsidRPr="00731C34" w:rsidRDefault="00A82ABB" w:rsidP="006F2498">
            <w:pPr>
              <w:tabs>
                <w:tab w:val="left" w:pos="2472"/>
              </w:tabs>
              <w:jc w:val="center"/>
              <w:rPr>
                <w:rFonts w:ascii="Arial" w:hAnsi="Arial" w:cs="Arial"/>
                <w:sz w:val="20"/>
                <w:szCs w:val="20"/>
              </w:rPr>
            </w:pPr>
          </w:p>
        </w:tc>
        <w:tc>
          <w:tcPr>
            <w:tcW w:w="2223" w:type="dxa"/>
            <w:tcBorders>
              <w:bottom w:val="single" w:sz="4" w:space="0" w:color="auto"/>
            </w:tcBorders>
          </w:tcPr>
          <w:p w14:paraId="4497898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sz="4" w:space="0" w:color="auto"/>
            </w:tcBorders>
          </w:tcPr>
          <w:p w14:paraId="048518B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0,93</w:t>
            </w:r>
          </w:p>
        </w:tc>
        <w:tc>
          <w:tcPr>
            <w:tcW w:w="1919" w:type="dxa"/>
            <w:tcBorders>
              <w:bottom w:val="single" w:sz="4" w:space="0" w:color="auto"/>
            </w:tcBorders>
          </w:tcPr>
          <w:p w14:paraId="01117E7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4D86448F" w14:textId="77777777" w:rsidTr="006F2498">
        <w:trPr>
          <w:trHeight w:val="20"/>
        </w:trPr>
        <w:tc>
          <w:tcPr>
            <w:tcW w:w="1989" w:type="dxa"/>
            <w:vMerge w:val="restart"/>
            <w:tcBorders>
              <w:top w:val="single" w:sz="4" w:space="0" w:color="auto"/>
              <w:bottom w:val="single" w:sz="4" w:space="0" w:color="auto"/>
            </w:tcBorders>
            <w:vAlign w:val="center"/>
          </w:tcPr>
          <w:p w14:paraId="6DA81BC9" w14:textId="6B5BB18D"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Fatty liver score (%)</w:t>
            </w:r>
          </w:p>
          <w:p w14:paraId="653ED4C8" w14:textId="77777777" w:rsidR="00A82ABB" w:rsidRPr="00731C34" w:rsidRDefault="00A82ABB" w:rsidP="006F2498">
            <w:pPr>
              <w:tabs>
                <w:tab w:val="left" w:pos="2472"/>
              </w:tabs>
              <w:jc w:val="center"/>
              <w:rPr>
                <w:rFonts w:ascii="Arial" w:hAnsi="Arial" w:cs="Arial"/>
                <w:sz w:val="20"/>
                <w:szCs w:val="20"/>
              </w:rPr>
            </w:pPr>
          </w:p>
        </w:tc>
        <w:tc>
          <w:tcPr>
            <w:tcW w:w="2223" w:type="dxa"/>
            <w:tcBorders>
              <w:top w:val="single" w:sz="4" w:space="0" w:color="auto"/>
            </w:tcBorders>
          </w:tcPr>
          <w:p w14:paraId="3675EE5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sz="4" w:space="0" w:color="auto"/>
            </w:tcBorders>
          </w:tcPr>
          <w:p w14:paraId="6544AEA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62,46</w:t>
            </w:r>
          </w:p>
        </w:tc>
        <w:tc>
          <w:tcPr>
            <w:tcW w:w="1919" w:type="dxa"/>
            <w:tcBorders>
              <w:top w:val="single" w:sz="4" w:space="0" w:color="auto"/>
            </w:tcBorders>
          </w:tcPr>
          <w:p w14:paraId="16EE42D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b/>
                <w:bCs/>
                <w:sz w:val="20"/>
                <w:szCs w:val="20"/>
              </w:rPr>
              <w:t>0,001*</w:t>
            </w:r>
          </w:p>
        </w:tc>
      </w:tr>
      <w:tr w:rsidR="00A82ABB" w:rsidRPr="00731C34" w14:paraId="51AE4601" w14:textId="77777777" w:rsidTr="006F2498">
        <w:trPr>
          <w:trHeight w:val="20"/>
        </w:trPr>
        <w:tc>
          <w:tcPr>
            <w:tcW w:w="1989" w:type="dxa"/>
            <w:vMerge/>
            <w:tcBorders>
              <w:bottom w:val="single" w:sz="4" w:space="0" w:color="auto"/>
            </w:tcBorders>
          </w:tcPr>
          <w:p w14:paraId="33010CB9" w14:textId="77777777" w:rsidR="00A82ABB" w:rsidRPr="00731C34" w:rsidRDefault="00A82ABB" w:rsidP="006F2498">
            <w:pPr>
              <w:tabs>
                <w:tab w:val="left" w:pos="2472"/>
              </w:tabs>
              <w:jc w:val="center"/>
              <w:rPr>
                <w:rFonts w:ascii="Arial" w:hAnsi="Arial" w:cs="Arial"/>
                <w:sz w:val="20"/>
                <w:szCs w:val="20"/>
              </w:rPr>
            </w:pPr>
          </w:p>
        </w:tc>
        <w:tc>
          <w:tcPr>
            <w:tcW w:w="2223" w:type="dxa"/>
          </w:tcPr>
          <w:p w14:paraId="4A51E8D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Pr>
          <w:p w14:paraId="435DDBC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48,53</w:t>
            </w:r>
          </w:p>
        </w:tc>
        <w:tc>
          <w:tcPr>
            <w:tcW w:w="1919" w:type="dxa"/>
          </w:tcPr>
          <w:p w14:paraId="02C4C460" w14:textId="77777777"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sz w:val="20"/>
                <w:szCs w:val="20"/>
              </w:rPr>
              <w:t>0,13</w:t>
            </w:r>
          </w:p>
        </w:tc>
      </w:tr>
      <w:tr w:rsidR="00A82ABB" w:rsidRPr="00731C34" w14:paraId="6AD5E800" w14:textId="77777777" w:rsidTr="006F2498">
        <w:trPr>
          <w:trHeight w:val="20"/>
        </w:trPr>
        <w:tc>
          <w:tcPr>
            <w:tcW w:w="1989" w:type="dxa"/>
            <w:vMerge/>
            <w:tcBorders>
              <w:bottom w:val="single" w:sz="4" w:space="0" w:color="auto"/>
            </w:tcBorders>
          </w:tcPr>
          <w:p w14:paraId="25C077D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3C378E1" w14:textId="77777777" w:rsidR="00A82ABB" w:rsidRPr="00731C34" w:rsidRDefault="00A82ABB" w:rsidP="006F2498">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Pr>
          <w:p w14:paraId="5D014BE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37,30</w:t>
            </w:r>
          </w:p>
        </w:tc>
        <w:tc>
          <w:tcPr>
            <w:tcW w:w="1919" w:type="dxa"/>
          </w:tcPr>
          <w:p w14:paraId="15C9693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0,88</w:t>
            </w:r>
          </w:p>
        </w:tc>
      </w:tr>
      <w:tr w:rsidR="00A82ABB" w:rsidRPr="00731C34" w14:paraId="258141BC" w14:textId="77777777" w:rsidTr="006F2498">
        <w:trPr>
          <w:trHeight w:val="20"/>
        </w:trPr>
        <w:tc>
          <w:tcPr>
            <w:tcW w:w="1989" w:type="dxa"/>
            <w:vMerge/>
            <w:tcBorders>
              <w:bottom w:val="single" w:sz="4" w:space="0" w:color="auto"/>
            </w:tcBorders>
          </w:tcPr>
          <w:p w14:paraId="2B32285C"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E431BA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Pr>
          <w:p w14:paraId="2F8995E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15,64</w:t>
            </w:r>
          </w:p>
        </w:tc>
        <w:tc>
          <w:tcPr>
            <w:tcW w:w="1919" w:type="dxa"/>
          </w:tcPr>
          <w:p w14:paraId="4C48F23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1E9CAB7C" w14:textId="77777777" w:rsidTr="006F2498">
        <w:trPr>
          <w:trHeight w:val="20"/>
        </w:trPr>
        <w:tc>
          <w:tcPr>
            <w:tcW w:w="1989" w:type="dxa"/>
            <w:vMerge/>
            <w:tcBorders>
              <w:bottom w:val="single" w:sz="4" w:space="0" w:color="auto"/>
            </w:tcBorders>
          </w:tcPr>
          <w:p w14:paraId="6AC398A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CC3D97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Pr>
          <w:p w14:paraId="307B91A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13,27</w:t>
            </w:r>
          </w:p>
        </w:tc>
        <w:tc>
          <w:tcPr>
            <w:tcW w:w="1919" w:type="dxa"/>
          </w:tcPr>
          <w:p w14:paraId="0F8FE6F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5BB08625" w14:textId="77777777" w:rsidTr="006F2498">
        <w:trPr>
          <w:trHeight w:val="20"/>
        </w:trPr>
        <w:tc>
          <w:tcPr>
            <w:tcW w:w="1989" w:type="dxa"/>
            <w:vMerge/>
            <w:tcBorders>
              <w:bottom w:val="single" w:sz="4" w:space="0" w:color="auto"/>
            </w:tcBorders>
          </w:tcPr>
          <w:p w14:paraId="7B6B836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69CA13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Pr>
          <w:p w14:paraId="21E2A290"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25,16</w:t>
            </w:r>
          </w:p>
        </w:tc>
        <w:tc>
          <w:tcPr>
            <w:tcW w:w="1919" w:type="dxa"/>
          </w:tcPr>
          <w:p w14:paraId="0E833C6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0,92</w:t>
            </w:r>
          </w:p>
        </w:tc>
      </w:tr>
      <w:tr w:rsidR="00A82ABB" w:rsidRPr="00731C34" w14:paraId="55D3AB9F" w14:textId="77777777" w:rsidTr="006F2498">
        <w:trPr>
          <w:trHeight w:val="20"/>
        </w:trPr>
        <w:tc>
          <w:tcPr>
            <w:tcW w:w="1989" w:type="dxa"/>
            <w:vMerge/>
            <w:tcBorders>
              <w:bottom w:val="single" w:sz="4" w:space="0" w:color="auto"/>
            </w:tcBorders>
          </w:tcPr>
          <w:p w14:paraId="1E170DAA"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573EC8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Pr>
          <w:p w14:paraId="7B45D29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46,82</w:t>
            </w:r>
          </w:p>
        </w:tc>
        <w:tc>
          <w:tcPr>
            <w:tcW w:w="1919" w:type="dxa"/>
          </w:tcPr>
          <w:p w14:paraId="40AD5CF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0,15</w:t>
            </w:r>
          </w:p>
        </w:tc>
      </w:tr>
      <w:tr w:rsidR="00A82ABB" w:rsidRPr="00731C34" w14:paraId="22185A65" w14:textId="77777777" w:rsidTr="006F2498">
        <w:trPr>
          <w:trHeight w:val="20"/>
        </w:trPr>
        <w:tc>
          <w:tcPr>
            <w:tcW w:w="1989" w:type="dxa"/>
            <w:vMerge/>
            <w:tcBorders>
              <w:bottom w:val="single" w:sz="4" w:space="0" w:color="auto"/>
            </w:tcBorders>
          </w:tcPr>
          <w:p w14:paraId="346BC85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25F128F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Pr>
          <w:p w14:paraId="2FBE500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11,89</w:t>
            </w:r>
          </w:p>
        </w:tc>
        <w:tc>
          <w:tcPr>
            <w:tcW w:w="1919" w:type="dxa"/>
          </w:tcPr>
          <w:p w14:paraId="3310AF0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546D04A4" w14:textId="77777777" w:rsidTr="006F2498">
        <w:trPr>
          <w:trHeight w:val="20"/>
        </w:trPr>
        <w:tc>
          <w:tcPr>
            <w:tcW w:w="1989" w:type="dxa"/>
            <w:vMerge/>
            <w:tcBorders>
              <w:bottom w:val="single" w:sz="4" w:space="0" w:color="auto"/>
            </w:tcBorders>
          </w:tcPr>
          <w:p w14:paraId="1B5091E9"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CFA5A7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Pr>
          <w:p w14:paraId="2B6DFB6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33,55</w:t>
            </w:r>
          </w:p>
        </w:tc>
        <w:tc>
          <w:tcPr>
            <w:tcW w:w="1919" w:type="dxa"/>
          </w:tcPr>
          <w:p w14:paraId="355336E0"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1315EFA2" w14:textId="77777777" w:rsidTr="006F2498">
        <w:trPr>
          <w:trHeight w:val="20"/>
        </w:trPr>
        <w:tc>
          <w:tcPr>
            <w:tcW w:w="1989" w:type="dxa"/>
            <w:vMerge/>
            <w:tcBorders>
              <w:bottom w:val="single" w:sz="4" w:space="0" w:color="auto"/>
            </w:tcBorders>
          </w:tcPr>
          <w:p w14:paraId="7557FC8A" w14:textId="77777777" w:rsidR="00A82ABB" w:rsidRPr="00731C34" w:rsidRDefault="00A82ABB" w:rsidP="006F2498">
            <w:pPr>
              <w:tabs>
                <w:tab w:val="left" w:pos="2472"/>
              </w:tabs>
              <w:jc w:val="center"/>
              <w:rPr>
                <w:rFonts w:ascii="Arial" w:hAnsi="Arial" w:cs="Arial"/>
                <w:sz w:val="20"/>
                <w:szCs w:val="20"/>
              </w:rPr>
            </w:pPr>
          </w:p>
        </w:tc>
        <w:tc>
          <w:tcPr>
            <w:tcW w:w="2223" w:type="dxa"/>
            <w:tcBorders>
              <w:bottom w:val="single" w:sz="4" w:space="0" w:color="auto"/>
            </w:tcBorders>
          </w:tcPr>
          <w:p w14:paraId="4B8028B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sz="4" w:space="0" w:color="auto"/>
            </w:tcBorders>
          </w:tcPr>
          <w:p w14:paraId="0EA7454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21,66</w:t>
            </w:r>
          </w:p>
        </w:tc>
        <w:tc>
          <w:tcPr>
            <w:tcW w:w="1919" w:type="dxa"/>
            <w:tcBorders>
              <w:bottom w:val="single" w:sz="4" w:space="0" w:color="auto"/>
            </w:tcBorders>
          </w:tcPr>
          <w:p w14:paraId="421AA417"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bl>
    <w:p w14:paraId="4FA5A23C" w14:textId="445D981C" w:rsidR="00D54BB2" w:rsidRPr="00731C34" w:rsidRDefault="00D54BB2" w:rsidP="00D54BB2">
      <w:pPr>
        <w:pStyle w:val="Body"/>
        <w:spacing w:after="0"/>
        <w:rPr>
          <w:rFonts w:ascii="Arial" w:hAnsi="Arial" w:cs="Arial"/>
          <w:sz w:val="16"/>
          <w:szCs w:val="16"/>
        </w:rPr>
      </w:pPr>
      <w:r w:rsidRPr="00731C34">
        <w:rPr>
          <w:rFonts w:ascii="Arial" w:hAnsi="Arial" w:cs="Arial"/>
          <w:sz w:val="16"/>
          <w:szCs w:val="16"/>
        </w:rPr>
        <w:t>P = significance of Post Hoc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055D45D0" w14:textId="77777777" w:rsidR="00A82ABB" w:rsidRPr="00731C34" w:rsidRDefault="00A82ABB" w:rsidP="005D6F7C">
      <w:pPr>
        <w:pStyle w:val="Body"/>
        <w:spacing w:after="0"/>
        <w:rPr>
          <w:rFonts w:ascii="Arial" w:hAnsi="Arial" w:cs="Arial"/>
        </w:rPr>
      </w:pPr>
    </w:p>
    <w:p w14:paraId="14F4222B" w14:textId="6D2BC9BD" w:rsidR="00B57614" w:rsidRPr="00731C34" w:rsidRDefault="00B57614" w:rsidP="00B57614">
      <w:pPr>
        <w:pStyle w:val="Body"/>
        <w:rPr>
          <w:rFonts w:ascii="Arial" w:hAnsi="Arial" w:cs="Arial"/>
        </w:rPr>
      </w:pPr>
      <w:r w:rsidRPr="00731C34">
        <w:rPr>
          <w:rFonts w:ascii="Arial" w:hAnsi="Arial" w:cs="Arial"/>
        </w:rPr>
        <w:t xml:space="preserve">The results of this study </w:t>
      </w:r>
      <w:proofErr w:type="gramStart"/>
      <w:r w:rsidRPr="00731C34">
        <w:rPr>
          <w:rFonts w:ascii="Arial" w:hAnsi="Arial" w:cs="Arial"/>
        </w:rPr>
        <w:t>is</w:t>
      </w:r>
      <w:proofErr w:type="gramEnd"/>
      <w:r w:rsidRPr="00731C34">
        <w:rPr>
          <w:rFonts w:ascii="Arial" w:hAnsi="Arial" w:cs="Arial"/>
        </w:rPr>
        <w:t xml:space="preserve"> a little differ from previous research, where administration of flaxseed extract could produce significantly lower </w:t>
      </w:r>
      <w:r w:rsidR="00534AB7" w:rsidRPr="00731C34">
        <w:rPr>
          <w:rFonts w:ascii="Arial" w:hAnsi="Arial" w:cs="Arial"/>
        </w:rPr>
        <w:t>fat in liver tissue</w:t>
      </w:r>
      <w:r w:rsidRPr="00731C34">
        <w:rPr>
          <w:rFonts w:ascii="Arial" w:hAnsi="Arial" w:cs="Arial"/>
        </w:rPr>
        <w:t xml:space="preserve">. In a study by Xu </w:t>
      </w:r>
      <w:r w:rsidRPr="00731C34">
        <w:rPr>
          <w:rFonts w:ascii="Arial" w:hAnsi="Arial" w:cs="Arial"/>
          <w:i/>
          <w:iCs/>
        </w:rPr>
        <w:t>et al</w:t>
      </w:r>
      <w:r w:rsidRPr="00731C34">
        <w:rPr>
          <w:rFonts w:ascii="Arial" w:hAnsi="Arial" w:cs="Arial"/>
        </w:rPr>
        <w:t xml:space="preserve">. (2017), flaxseed oil supplementation significantly reduced hepatic lipid accumulation and oxidative stress in rats fed a high-fat diet, </w:t>
      </w:r>
      <w:r w:rsidR="00EA7B13" w:rsidRPr="00731C34">
        <w:rPr>
          <w:rFonts w:ascii="Arial" w:hAnsi="Arial" w:cs="Arial"/>
        </w:rPr>
        <w:t>however it used combined extract (with astaxanthin)</w:t>
      </w:r>
      <w:r w:rsidR="005B1D8E" w:rsidRPr="00731C34">
        <w:rPr>
          <w:rFonts w:ascii="Arial" w:hAnsi="Arial" w:cs="Arial"/>
        </w:rPr>
        <w:t>.</w:t>
      </w:r>
      <w:r w:rsidRPr="00731C34">
        <w:rPr>
          <w:rFonts w:ascii="Arial" w:hAnsi="Arial" w:cs="Arial"/>
        </w:rPr>
        <w:t xml:space="preserve"> Another study also reported that ground flaxseed improved steatohepatitis and fibrosis in a rat model of high-fat diet-induced obesity. These findings were evidenced by improved liver histology, decreased collagen deposition, and normalized liver enzyme levels (Sorour </w:t>
      </w:r>
      <w:r w:rsidRPr="00731C34">
        <w:rPr>
          <w:rFonts w:ascii="Arial" w:hAnsi="Arial" w:cs="Arial"/>
          <w:i/>
          <w:iCs/>
        </w:rPr>
        <w:t>et al.</w:t>
      </w:r>
      <w:r w:rsidRPr="00731C34">
        <w:rPr>
          <w:rFonts w:ascii="Arial" w:hAnsi="Arial" w:cs="Arial"/>
        </w:rPr>
        <w:t xml:space="preserve">, 2021). Naik </w:t>
      </w:r>
      <w:r w:rsidRPr="00731C34">
        <w:rPr>
          <w:rFonts w:ascii="Arial" w:hAnsi="Arial" w:cs="Arial"/>
          <w:i/>
          <w:iCs/>
        </w:rPr>
        <w:t>et al</w:t>
      </w:r>
      <w:r w:rsidRPr="00731C34">
        <w:rPr>
          <w:rFonts w:ascii="Arial" w:hAnsi="Arial" w:cs="Arial"/>
        </w:rPr>
        <w:t xml:space="preserve">. (2023) </w:t>
      </w:r>
      <w:r w:rsidR="005B1D8E" w:rsidRPr="00731C34">
        <w:rPr>
          <w:rFonts w:ascii="Arial" w:hAnsi="Arial" w:cs="Arial"/>
        </w:rPr>
        <w:t>also</w:t>
      </w:r>
      <w:r w:rsidRPr="00731C34">
        <w:rPr>
          <w:rFonts w:ascii="Arial" w:hAnsi="Arial" w:cs="Arial"/>
        </w:rPr>
        <w:t xml:space="preserve"> reported that whole flaxseed supplementation reduced hyperlipidemia and hepatic steatosis in Wistar albino rats. The mechanism is thought to be through modulation of antioxidant enzyme activity and suppression of lipid peroxidation (Naik </w:t>
      </w:r>
      <w:r w:rsidRPr="00731C34">
        <w:rPr>
          <w:rFonts w:ascii="Arial" w:hAnsi="Arial" w:cs="Arial"/>
          <w:i/>
          <w:iCs/>
        </w:rPr>
        <w:t>et al</w:t>
      </w:r>
      <w:r w:rsidRPr="00731C34">
        <w:rPr>
          <w:rFonts w:ascii="Arial" w:hAnsi="Arial" w:cs="Arial"/>
        </w:rPr>
        <w:t>., 2023).</w:t>
      </w:r>
    </w:p>
    <w:p w14:paraId="7693B2BE" w14:textId="74CF8457" w:rsidR="005F4077" w:rsidRPr="00731C34" w:rsidRDefault="00B57614" w:rsidP="00B57614">
      <w:pPr>
        <w:pStyle w:val="Body"/>
        <w:spacing w:after="0"/>
        <w:rPr>
          <w:rFonts w:ascii="Arial" w:hAnsi="Arial" w:cs="Arial"/>
        </w:rPr>
      </w:pPr>
      <w:r w:rsidRPr="00731C34">
        <w:rPr>
          <w:rFonts w:ascii="Arial" w:hAnsi="Arial" w:cs="Arial"/>
        </w:rPr>
        <w:t xml:space="preserve">Flaxseed and its bioactive components, particularly ALA, lignans, and specific peptides, exert protective effects against hepatic steatosis by modulating lipid metabolism, oxidative stress, and inflammatory signaling. ALA, the primary omega-3 fatty acid in flaxseed, enhances the activation of the hepatic β-oxidation pathway and suppresses de novo lipogenesis by downregulating Sterol Regulatory Element-Binding Protein-1c (SREBP-1c) and fatty acid synthase (FAS), thereby reducing triglyceride accumulation in hepatocytes. In a mouse model study, flaxseed supplementation significantly improved liver enzyme profiles and insulin resistance in a NAFLD model, suggesting systemic metabolic benefits beyond hepatic lipid clearance (Yang </w:t>
      </w:r>
      <w:r w:rsidRPr="00731C34">
        <w:rPr>
          <w:rFonts w:ascii="Arial" w:hAnsi="Arial" w:cs="Arial"/>
          <w:i/>
          <w:iCs/>
        </w:rPr>
        <w:t>et al</w:t>
      </w:r>
      <w:r w:rsidRPr="00731C34">
        <w:rPr>
          <w:rFonts w:ascii="Arial" w:hAnsi="Arial" w:cs="Arial"/>
        </w:rPr>
        <w:t xml:space="preserve">., 2021). Furthermore, the flaxseed-derived IPPF peptide has been shown to enhance cholesterol excretion by upregulating CYP7A1 and ABCG5/8, thereby reducing hepatic cholesterol overload and oxidative damage. These molecular actions collectively contribute to the attenuation of steatosis and fibrosis (Naik </w:t>
      </w:r>
      <w:r w:rsidRPr="00731C34">
        <w:rPr>
          <w:rFonts w:ascii="Arial" w:hAnsi="Arial" w:cs="Arial"/>
          <w:i/>
          <w:iCs/>
        </w:rPr>
        <w:t>et al</w:t>
      </w:r>
      <w:r w:rsidRPr="00731C34">
        <w:rPr>
          <w:rFonts w:ascii="Arial" w:hAnsi="Arial" w:cs="Arial"/>
        </w:rPr>
        <w:t>., 2023).</w:t>
      </w:r>
    </w:p>
    <w:p w14:paraId="7CE7E1EA" w14:textId="77777777" w:rsidR="0048054E" w:rsidRPr="00731C34" w:rsidRDefault="0048054E" w:rsidP="00B57614">
      <w:pPr>
        <w:pStyle w:val="Body"/>
        <w:spacing w:after="0"/>
        <w:rPr>
          <w:rFonts w:ascii="Arial" w:hAnsi="Arial" w:cs="Arial"/>
        </w:rPr>
      </w:pPr>
    </w:p>
    <w:p w14:paraId="7FA71C7E" w14:textId="77777777" w:rsidR="0048054E" w:rsidRPr="00731C34" w:rsidRDefault="0048054E" w:rsidP="0048054E">
      <w:pPr>
        <w:pStyle w:val="Body"/>
        <w:rPr>
          <w:rFonts w:ascii="Arial" w:hAnsi="Arial" w:cs="Arial"/>
        </w:rPr>
      </w:pPr>
      <w:r w:rsidRPr="00731C34">
        <w:rPr>
          <w:rFonts w:ascii="Arial" w:hAnsi="Arial" w:cs="Arial"/>
        </w:rPr>
        <w:lastRenderedPageBreak/>
        <w:t>The lack of a significant effect of flaxseed extract on malondialdehyde (MDA) levels and fatty liver in male Wistar rats fed a high-fat, high-fructose diet may be influenced by variations in dosage, type of extract, administration method, and duration of treatment. Previous studies using flaxseed oil extract reported lower fatty liver in male Wistar rats fed a high-fat diet. The extract was administered mixed with feed at a dose of 1%. The treatment in that study was also longer than this study, at 60 days. The minimal effect on the results may also be due to differences in treatment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14:paraId="7CC76F0F" w14:textId="48FD1997" w:rsidR="0048054E" w:rsidRPr="00731C34" w:rsidRDefault="0048054E" w:rsidP="0048054E">
      <w:pPr>
        <w:pStyle w:val="Body"/>
        <w:spacing w:after="0"/>
        <w:rPr>
          <w:rFonts w:ascii="Arial" w:hAnsi="Arial" w:cs="Arial"/>
        </w:rPr>
      </w:pPr>
      <w:r w:rsidRPr="00731C34">
        <w:rPr>
          <w:rFonts w:ascii="Arial" w:hAnsi="Arial" w:cs="Arial"/>
        </w:rPr>
        <w:t>Previous studies administered flaxseed extract mixed with feed from the start of the study. Although flaxseed extract can improve lipid profiles and reduce markers of oxidative stress in a metabolic syndrome model, these effects may not be strong enough to significantly reverse established lipid peroxidation (as indicated by MDA levels) or liver fat accumulation in a high-calorie diet model over a period of time, as in this study, because the rats were initially fed a high-fat, high-fructose diet. In addition, complex metabolic changes induced by a high-fat, high-fructose diet may overcome the protective antioxidant capacity of flaxseed, thus limiting its effects on hepatic steatosis and oxidative stress biomarkers (</w:t>
      </w:r>
      <w:proofErr w:type="spellStart"/>
      <w:r w:rsidRPr="00731C34">
        <w:rPr>
          <w:rFonts w:ascii="Arial" w:hAnsi="Arial" w:cs="Arial"/>
        </w:rPr>
        <w:t>Abdelkarem</w:t>
      </w:r>
      <w:proofErr w:type="spellEnd"/>
      <w:r w:rsidRPr="00731C34">
        <w:rPr>
          <w:rFonts w:ascii="Arial" w:hAnsi="Arial" w:cs="Arial"/>
        </w:rPr>
        <w:t xml:space="preserve"> &amp; Fadda, 2017; Dutta </w:t>
      </w:r>
      <w:r w:rsidRPr="00731C34">
        <w:rPr>
          <w:rFonts w:ascii="Arial" w:hAnsi="Arial" w:cs="Arial"/>
          <w:i/>
          <w:iCs/>
        </w:rPr>
        <w:t>et al.</w:t>
      </w:r>
      <w:r w:rsidRPr="00731C34">
        <w:rPr>
          <w:rFonts w:ascii="Arial" w:hAnsi="Arial" w:cs="Arial"/>
        </w:rPr>
        <w:t xml:space="preserve">, 2025;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14:paraId="2354DC04" w14:textId="77777777" w:rsidR="00B01FCD" w:rsidRPr="00731C34" w:rsidRDefault="00000F8F" w:rsidP="00441B6F">
      <w:pPr>
        <w:pStyle w:val="ConcHead"/>
        <w:spacing w:after="0"/>
        <w:jc w:val="both"/>
        <w:rPr>
          <w:rFonts w:ascii="Arial" w:hAnsi="Arial" w:cs="Arial"/>
        </w:rPr>
      </w:pPr>
      <w:r w:rsidRPr="00731C34">
        <w:rPr>
          <w:rFonts w:ascii="Arial" w:hAnsi="Arial" w:cs="Arial"/>
        </w:rPr>
        <w:t xml:space="preserve">4. </w:t>
      </w:r>
      <w:r w:rsidR="00B01FCD" w:rsidRPr="00731C34">
        <w:rPr>
          <w:rFonts w:ascii="Arial" w:hAnsi="Arial" w:cs="Arial"/>
        </w:rPr>
        <w:t>Conclusion</w:t>
      </w:r>
    </w:p>
    <w:p w14:paraId="68FA0A05" w14:textId="0E2381F1" w:rsidR="00C2404A" w:rsidRPr="00731C34" w:rsidRDefault="00C2404A" w:rsidP="00441B6F">
      <w:pPr>
        <w:pStyle w:val="Body"/>
        <w:spacing w:after="0"/>
        <w:rPr>
          <w:rFonts w:ascii="Arial" w:hAnsi="Arial" w:cs="Arial"/>
        </w:rPr>
      </w:pPr>
      <w:r w:rsidRPr="00731C34">
        <w:rPr>
          <w:rFonts w:ascii="Arial" w:hAnsi="Arial" w:cs="Arial"/>
        </w:rPr>
        <w:t>Administration of ethanol extract of flaxseed (</w:t>
      </w:r>
      <w:r w:rsidRPr="00AE47D2">
        <w:rPr>
          <w:rFonts w:ascii="Arial" w:hAnsi="Arial" w:cs="Arial"/>
          <w:i/>
          <w:iCs/>
        </w:rPr>
        <w:t xml:space="preserve">Linum </w:t>
      </w:r>
      <w:proofErr w:type="spellStart"/>
      <w:r w:rsidRPr="00AE47D2">
        <w:rPr>
          <w:rFonts w:ascii="Arial" w:hAnsi="Arial" w:cs="Arial"/>
          <w:i/>
          <w:iCs/>
        </w:rPr>
        <w:t>usitatissimum</w:t>
      </w:r>
      <w:proofErr w:type="spellEnd"/>
      <w:r w:rsidRPr="00731C34">
        <w:rPr>
          <w:rFonts w:ascii="Arial" w:hAnsi="Arial" w:cs="Arial"/>
        </w:rPr>
        <w:t>) at doses of 200, 400, and 800 mg/</w:t>
      </w:r>
      <w:proofErr w:type="spellStart"/>
      <w:r w:rsidRPr="00731C34">
        <w:rPr>
          <w:rFonts w:ascii="Arial" w:hAnsi="Arial" w:cs="Arial"/>
        </w:rPr>
        <w:t>kgBW</w:t>
      </w:r>
      <w:proofErr w:type="spellEnd"/>
      <w:r w:rsidRPr="00731C34">
        <w:rPr>
          <w:rFonts w:ascii="Arial" w:hAnsi="Arial" w:cs="Arial"/>
        </w:rPr>
        <w:t>/day in male Wistar rats (</w:t>
      </w:r>
      <w:r w:rsidRPr="00731C34">
        <w:rPr>
          <w:rFonts w:ascii="Arial" w:hAnsi="Arial" w:cs="Arial"/>
          <w:i/>
          <w:iCs/>
        </w:rPr>
        <w:t xml:space="preserve">Rattus </w:t>
      </w:r>
      <w:proofErr w:type="spellStart"/>
      <w:r w:rsidRPr="00731C34">
        <w:rPr>
          <w:rFonts w:ascii="Arial" w:hAnsi="Arial" w:cs="Arial"/>
          <w:i/>
          <w:iCs/>
        </w:rPr>
        <w:t>novergicus</w:t>
      </w:r>
      <w:proofErr w:type="spellEnd"/>
      <w:r w:rsidRPr="00731C34">
        <w:rPr>
          <w:rFonts w:ascii="Arial" w:hAnsi="Arial" w:cs="Arial"/>
        </w:rPr>
        <w:t xml:space="preserve">) with </w:t>
      </w:r>
      <w:r w:rsidR="00AE47D2">
        <w:rPr>
          <w:rFonts w:ascii="Arial" w:hAnsi="Arial" w:cs="Arial"/>
        </w:rPr>
        <w:t>fatty-liver-inducing diet</w:t>
      </w:r>
      <w:r w:rsidRPr="00731C34">
        <w:rPr>
          <w:rFonts w:ascii="Arial" w:hAnsi="Arial" w:cs="Arial"/>
        </w:rPr>
        <w:t xml:space="preserve"> did not significantly reduce malondialdehyde (MDA) levels or liver steatosis scores compared to the high-fat high-fructose control group. </w:t>
      </w:r>
    </w:p>
    <w:p w14:paraId="1EA1D395" w14:textId="77777777" w:rsidR="005C784C" w:rsidRPr="00731C34" w:rsidRDefault="005C784C" w:rsidP="00441B6F">
      <w:pPr>
        <w:pStyle w:val="ReferHead"/>
        <w:spacing w:after="0"/>
        <w:jc w:val="both"/>
        <w:rPr>
          <w:rFonts w:ascii="Arial" w:hAnsi="Arial" w:cs="Arial"/>
          <w:b w:val="0"/>
          <w:caps w:val="0"/>
          <w:sz w:val="20"/>
        </w:rPr>
      </w:pPr>
    </w:p>
    <w:p w14:paraId="413EB067" w14:textId="0136B1BA" w:rsidR="005C784C" w:rsidRPr="00731C34" w:rsidRDefault="005C784C" w:rsidP="00441B6F">
      <w:pPr>
        <w:pStyle w:val="ReferHead"/>
        <w:spacing w:after="0"/>
        <w:jc w:val="both"/>
        <w:rPr>
          <w:rFonts w:ascii="Arial" w:hAnsi="Arial" w:cs="Arial"/>
          <w:bCs/>
        </w:rPr>
      </w:pPr>
      <w:r w:rsidRPr="00731C34">
        <w:rPr>
          <w:rFonts w:ascii="Arial" w:hAnsi="Arial" w:cs="Arial"/>
          <w:bCs/>
        </w:rPr>
        <w:t>Ethical approval</w:t>
      </w:r>
    </w:p>
    <w:p w14:paraId="1D023EE1" w14:textId="77777777" w:rsidR="005C784C" w:rsidRPr="00731C34" w:rsidRDefault="005C784C" w:rsidP="00441B6F">
      <w:pPr>
        <w:pStyle w:val="ReferHead"/>
        <w:spacing w:after="0"/>
        <w:jc w:val="both"/>
        <w:rPr>
          <w:rFonts w:ascii="Arial" w:hAnsi="Arial" w:cs="Arial"/>
          <w:bCs/>
        </w:rPr>
      </w:pPr>
    </w:p>
    <w:p w14:paraId="2E4FF50A" w14:textId="77777777" w:rsidR="00B56463" w:rsidRPr="00731C34" w:rsidRDefault="00B56463" w:rsidP="00B56463">
      <w:pPr>
        <w:pStyle w:val="Body"/>
        <w:spacing w:after="0"/>
        <w:rPr>
          <w:rFonts w:ascii="Arial" w:hAnsi="Arial" w:cs="Arial"/>
        </w:rPr>
      </w:pPr>
      <w:r w:rsidRPr="00731C34">
        <w:rPr>
          <w:rFonts w:ascii="Arial" w:hAnsi="Arial" w:cs="Arial"/>
        </w:rPr>
        <w:t>This research has been approved by the Health Research Ethics Commission of the Faculty of Medicine, Udayana University, with ethical clearance number 2010/UN14.2.2.VII.14/LT/2025. Guidelines for the care, administration of interventions, and termination of experimental animals are in accordance with the Guide for the Care and Use of Laboratory Animals.</w:t>
      </w:r>
    </w:p>
    <w:p w14:paraId="021E95F0" w14:textId="2E498407" w:rsidR="00B56463" w:rsidRDefault="00B56463" w:rsidP="00441B6F">
      <w:pPr>
        <w:pStyle w:val="ReferHead"/>
        <w:spacing w:after="0"/>
        <w:jc w:val="both"/>
        <w:rPr>
          <w:rFonts w:ascii="Arial" w:hAnsi="Arial" w:cs="Arial"/>
          <w:b w:val="0"/>
          <w:caps w:val="0"/>
          <w:sz w:val="20"/>
        </w:rPr>
      </w:pPr>
    </w:p>
    <w:p w14:paraId="18679F90" w14:textId="5127A047" w:rsidR="000A6252" w:rsidRPr="00E41957" w:rsidRDefault="00E41957" w:rsidP="000A6252">
      <w:pPr>
        <w:rPr>
          <w:rFonts w:ascii="Arial" w:eastAsia="Calibri" w:hAnsi="Arial" w:cs="Arial"/>
          <w:b/>
          <w:bCs/>
          <w:kern w:val="2"/>
          <w:sz w:val="22"/>
          <w:szCs w:val="22"/>
          <w:highlight w:val="yellow"/>
        </w:rPr>
      </w:pPr>
      <w:bookmarkStart w:id="0" w:name="_Hlk197682619"/>
      <w:bookmarkStart w:id="1" w:name="_Hlk180402183"/>
      <w:bookmarkStart w:id="2" w:name="_Hlk183680988"/>
      <w:bookmarkStart w:id="3" w:name="_Hlk197351200"/>
      <w:r w:rsidRPr="00E41957">
        <w:rPr>
          <w:rFonts w:ascii="Arial" w:eastAsia="Calibri" w:hAnsi="Arial" w:cs="Arial"/>
          <w:b/>
          <w:bCs/>
          <w:kern w:val="2"/>
          <w:sz w:val="22"/>
          <w:szCs w:val="22"/>
          <w:highlight w:val="yellow"/>
        </w:rPr>
        <w:t>DISCLAIMER (ARTIFICIAL INTELLIGENCE)</w:t>
      </w:r>
    </w:p>
    <w:p w14:paraId="59044C40" w14:textId="0DE1FCB4" w:rsidR="000A6252" w:rsidRPr="00E41957" w:rsidRDefault="000A6252" w:rsidP="00E41957">
      <w:pPr>
        <w:jc w:val="both"/>
        <w:rPr>
          <w:rFonts w:ascii="Arial" w:eastAsia="Calibri" w:hAnsi="Arial" w:cs="Arial"/>
          <w:kern w:val="2"/>
          <w:highlight w:val="yellow"/>
        </w:rPr>
      </w:pPr>
      <w:r w:rsidRPr="00E41957">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555AD343" w14:textId="77777777" w:rsidR="000A6252" w:rsidRPr="00731C34" w:rsidRDefault="000A6252" w:rsidP="00441B6F">
      <w:pPr>
        <w:pStyle w:val="ReferHead"/>
        <w:spacing w:after="0"/>
        <w:jc w:val="both"/>
        <w:rPr>
          <w:rFonts w:ascii="Arial" w:hAnsi="Arial" w:cs="Arial"/>
          <w:b w:val="0"/>
          <w:caps w:val="0"/>
          <w:sz w:val="20"/>
        </w:rPr>
      </w:pPr>
    </w:p>
    <w:p w14:paraId="1135374A" w14:textId="197EB5EA" w:rsidR="00154D30" w:rsidRPr="00731C34" w:rsidRDefault="00B01FCD" w:rsidP="00154D30">
      <w:pPr>
        <w:pStyle w:val="ReferHead"/>
        <w:spacing w:after="0"/>
        <w:jc w:val="both"/>
        <w:rPr>
          <w:rFonts w:ascii="Arial" w:hAnsi="Arial" w:cs="Arial"/>
        </w:rPr>
      </w:pPr>
      <w:r w:rsidRPr="00731C34">
        <w:rPr>
          <w:rFonts w:ascii="Arial" w:hAnsi="Arial" w:cs="Arial"/>
        </w:rPr>
        <w:t>References</w:t>
      </w:r>
    </w:p>
    <w:p w14:paraId="566142FA" w14:textId="77777777" w:rsidR="008F4801" w:rsidRPr="00731C34" w:rsidRDefault="00154D30" w:rsidP="008F4801">
      <w:pPr>
        <w:pStyle w:val="ListParagraph"/>
        <w:numPr>
          <w:ilvl w:val="0"/>
          <w:numId w:val="32"/>
        </w:numPr>
        <w:jc w:val="both"/>
        <w:rPr>
          <w:rFonts w:ascii="Arial" w:hAnsi="Arial" w:cs="Arial"/>
        </w:rPr>
      </w:pPr>
      <w:proofErr w:type="spellStart"/>
      <w:r w:rsidRPr="00731C34">
        <w:rPr>
          <w:rFonts w:ascii="Arial" w:hAnsi="Arial" w:cs="Arial"/>
        </w:rPr>
        <w:t>Abdelkarem</w:t>
      </w:r>
      <w:proofErr w:type="spellEnd"/>
      <w:r w:rsidRPr="00731C34">
        <w:rPr>
          <w:rFonts w:ascii="Arial" w:hAnsi="Arial" w:cs="Arial"/>
        </w:rPr>
        <w:t xml:space="preserve">, H. M., &amp; Fadda, L. H. (2017). Flaxseed and quercetin improve anti-inflammatory cytokine level and insulin sensitivity in animal model of metabolic syndrome, the fructose-fed rats. </w:t>
      </w:r>
      <w:r w:rsidRPr="00731C34">
        <w:rPr>
          <w:rFonts w:ascii="Arial" w:hAnsi="Arial" w:cs="Arial"/>
          <w:i/>
          <w:iCs/>
        </w:rPr>
        <w:t>Arabian Journal of Chemistry</w:t>
      </w:r>
      <w:r w:rsidRPr="00731C34">
        <w:rPr>
          <w:rFonts w:ascii="Arial" w:hAnsi="Arial" w:cs="Arial"/>
        </w:rPr>
        <w:t xml:space="preserve">, </w:t>
      </w:r>
      <w:r w:rsidRPr="00731C34">
        <w:rPr>
          <w:rFonts w:ascii="Arial" w:hAnsi="Arial" w:cs="Arial"/>
          <w:i/>
          <w:iCs/>
        </w:rPr>
        <w:t>10</w:t>
      </w:r>
      <w:r w:rsidRPr="00731C34">
        <w:rPr>
          <w:rFonts w:ascii="Arial" w:hAnsi="Arial" w:cs="Arial"/>
        </w:rPr>
        <w:t xml:space="preserve">, S3015–S3020. </w:t>
      </w:r>
    </w:p>
    <w:p w14:paraId="40BCA4B5" w14:textId="7C5E3DE4" w:rsidR="00EE796D" w:rsidRPr="00EE796D" w:rsidRDefault="008F4801" w:rsidP="00EE796D">
      <w:pPr>
        <w:pStyle w:val="ListParagraph"/>
        <w:ind w:left="709"/>
        <w:jc w:val="both"/>
        <w:rPr>
          <w:rFonts w:ascii="Arial" w:hAnsi="Arial" w:cs="Arial"/>
        </w:rPr>
      </w:pPr>
      <w:r w:rsidRPr="00731C34">
        <w:rPr>
          <w:rFonts w:ascii="Arial" w:hAnsi="Arial" w:cs="Arial"/>
        </w:rPr>
        <w:t>10.1016/j.arabjc.2013.11.042</w:t>
      </w:r>
    </w:p>
    <w:p w14:paraId="0175F969" w14:textId="7B0253F3" w:rsidR="008F4801" w:rsidRPr="00731C34" w:rsidRDefault="00EE796D" w:rsidP="00EE796D">
      <w:pPr>
        <w:pStyle w:val="ListParagraph"/>
        <w:numPr>
          <w:ilvl w:val="0"/>
          <w:numId w:val="32"/>
        </w:numPr>
        <w:jc w:val="both"/>
        <w:rPr>
          <w:rFonts w:ascii="Arial" w:hAnsi="Arial" w:cs="Arial"/>
        </w:rPr>
      </w:pPr>
      <w:r w:rsidRPr="00EE796D">
        <w:rPr>
          <w:rFonts w:ascii="Arial" w:hAnsi="Arial" w:cs="Arial"/>
        </w:rPr>
        <w:t xml:space="preserve">Al-Ani IM, Al-Ani GA, </w:t>
      </w:r>
      <w:proofErr w:type="spellStart"/>
      <w:r w:rsidRPr="00EE796D">
        <w:rPr>
          <w:rFonts w:ascii="Arial" w:hAnsi="Arial" w:cs="Arial"/>
        </w:rPr>
        <w:t>Azzubaidi</w:t>
      </w:r>
      <w:proofErr w:type="spellEnd"/>
      <w:r w:rsidRPr="00EE796D">
        <w:rPr>
          <w:rFonts w:ascii="Arial" w:hAnsi="Arial" w:cs="Arial"/>
        </w:rPr>
        <w:t xml:space="preserve"> MS, Al-Ahmed BI. 2017. The Effect of Flaxseed Ethanolic Extract on the Structure of the Kidney and the Endocrine Pancreas in Streptozotocin Induced Diabetic Rats, Mahaka Journal of Health </w:t>
      </w:r>
      <w:proofErr w:type="spellStart"/>
      <w:r w:rsidRPr="00EE796D">
        <w:rPr>
          <w:rFonts w:ascii="Arial" w:hAnsi="Arial" w:cs="Arial"/>
        </w:rPr>
        <w:t>Reserach</w:t>
      </w:r>
      <w:proofErr w:type="spellEnd"/>
      <w:r w:rsidRPr="00EE796D">
        <w:rPr>
          <w:rFonts w:ascii="Arial" w:hAnsi="Arial" w:cs="Arial"/>
        </w:rPr>
        <w:t>. 21:87-92. URL: https://journals.iium.edu.my/kom/index.php/imjm/article/view/362.</w:t>
      </w:r>
    </w:p>
    <w:p w14:paraId="4E7D5ED8" w14:textId="4FBE8432" w:rsidR="00154D30" w:rsidRPr="00731C34" w:rsidRDefault="00154D30" w:rsidP="00177E2E">
      <w:pPr>
        <w:pStyle w:val="ListParagraph"/>
        <w:widowControl w:val="0"/>
        <w:numPr>
          <w:ilvl w:val="0"/>
          <w:numId w:val="32"/>
        </w:numPr>
        <w:autoSpaceDE w:val="0"/>
        <w:autoSpaceDN w:val="0"/>
        <w:jc w:val="both"/>
        <w:rPr>
          <w:rFonts w:ascii="Arial" w:hAnsi="Arial" w:cs="Arial"/>
        </w:rPr>
      </w:pPr>
      <w:r w:rsidRPr="00731C34">
        <w:rPr>
          <w:rFonts w:ascii="Arial" w:hAnsi="Arial" w:cs="Arial"/>
        </w:rPr>
        <w:t xml:space="preserve">Alkhouri, N., Almomani, A., Le, P., Payne, J. Y., Asaad, I., Sakkal, C., Vos, M., Noureddin, M., &amp; Kumar, P. (2022). The prevalence of alcoholic and nonalcoholic fatty liver disease in adolescents and young adults in the United States: Analysis of the NHANES database. </w:t>
      </w:r>
      <w:r w:rsidRPr="00731C34">
        <w:rPr>
          <w:rFonts w:ascii="Arial" w:hAnsi="Arial" w:cs="Arial"/>
          <w:i/>
          <w:iCs/>
        </w:rPr>
        <w:t>BMC Gastroenterology</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 366. </w:t>
      </w:r>
      <w:r w:rsidR="008F4801" w:rsidRPr="00731C34">
        <w:t>https://link.springer.com/article/10.1186/s12876-022-02430-7</w:t>
      </w:r>
    </w:p>
    <w:p w14:paraId="3AAC73F6" w14:textId="70EB4069"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Antunes, C., </w:t>
      </w:r>
      <w:proofErr w:type="spellStart"/>
      <w:r w:rsidRPr="00731C34">
        <w:rPr>
          <w:rFonts w:ascii="Arial" w:hAnsi="Arial" w:cs="Arial"/>
        </w:rPr>
        <w:t>Azadfard</w:t>
      </w:r>
      <w:proofErr w:type="spellEnd"/>
      <w:r w:rsidRPr="00731C34">
        <w:rPr>
          <w:rFonts w:ascii="Arial" w:hAnsi="Arial" w:cs="Arial"/>
        </w:rPr>
        <w:t xml:space="preserve">, M., </w:t>
      </w:r>
      <w:proofErr w:type="spellStart"/>
      <w:r w:rsidRPr="00731C34">
        <w:rPr>
          <w:rFonts w:ascii="Arial" w:hAnsi="Arial" w:cs="Arial"/>
        </w:rPr>
        <w:t>Hoilat</w:t>
      </w:r>
      <w:proofErr w:type="spellEnd"/>
      <w:r w:rsidRPr="00731C34">
        <w:rPr>
          <w:rFonts w:ascii="Arial" w:hAnsi="Arial" w:cs="Arial"/>
        </w:rPr>
        <w:t xml:space="preserve">, G. J., &amp; Gupta, M. 2023. Fatty Liver. </w:t>
      </w:r>
      <w:proofErr w:type="spellStart"/>
      <w:r w:rsidRPr="00731C34">
        <w:rPr>
          <w:rFonts w:ascii="Arial" w:hAnsi="Arial" w:cs="Arial"/>
          <w:i/>
        </w:rPr>
        <w:t>StatPearls</w:t>
      </w:r>
      <w:proofErr w:type="spellEnd"/>
      <w:r w:rsidRPr="00731C34">
        <w:rPr>
          <w:rFonts w:ascii="Arial" w:hAnsi="Arial" w:cs="Arial"/>
        </w:rPr>
        <w:t xml:space="preserve">. NCBI Bookshelf. URL: </w:t>
      </w:r>
      <w:r w:rsidR="008F4801" w:rsidRPr="00731C34">
        <w:t>https://www.ncbi.nlm.nih.gov/books/NBK441992/</w:t>
      </w:r>
    </w:p>
    <w:p w14:paraId="04E98900" w14:textId="160533AB"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lastRenderedPageBreak/>
        <w:t xml:space="preserve">Chan, A. M. L., Ng, A. M. H., Mohd Yunus, M. H., </w:t>
      </w:r>
      <w:proofErr w:type="spellStart"/>
      <w:r w:rsidRPr="00731C34">
        <w:rPr>
          <w:rFonts w:ascii="Arial" w:hAnsi="Arial" w:cs="Arial"/>
        </w:rPr>
        <w:t>Idrus</w:t>
      </w:r>
      <w:proofErr w:type="spellEnd"/>
      <w:r w:rsidRPr="00731C34">
        <w:rPr>
          <w:rFonts w:ascii="Arial" w:hAnsi="Arial" w:cs="Arial"/>
        </w:rPr>
        <w:t xml:space="preserve">, R. B. H., Law, J. X., Yazid, M. D., Chin, K.-Y., Shamsuddin, S. A., &amp; </w:t>
      </w:r>
      <w:proofErr w:type="spellStart"/>
      <w:r w:rsidRPr="00731C34">
        <w:rPr>
          <w:rFonts w:ascii="Arial" w:hAnsi="Arial" w:cs="Arial"/>
        </w:rPr>
        <w:t>Lokanathan</w:t>
      </w:r>
      <w:proofErr w:type="spellEnd"/>
      <w:r w:rsidRPr="00731C34">
        <w:rPr>
          <w:rFonts w:ascii="Arial" w:hAnsi="Arial" w:cs="Arial"/>
        </w:rPr>
        <w:t xml:space="preserve">, Y. (2021). Recent Developments in Rodent Models of High-Fructose Diet-Induced Metabolic Syndrome: A Systematic Review.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13</w:t>
      </w:r>
      <w:r w:rsidRPr="00731C34">
        <w:rPr>
          <w:rFonts w:ascii="Arial" w:hAnsi="Arial" w:cs="Arial"/>
        </w:rPr>
        <w:t xml:space="preserve">(8), 2497. URL: </w:t>
      </w:r>
      <w:r w:rsidR="008F4801" w:rsidRPr="00731C34">
        <w:t>https://www.mdpi.com/2072-6643/13/8/2497</w:t>
      </w:r>
      <w:r w:rsidRPr="00731C34">
        <w:rPr>
          <w:rFonts w:ascii="Arial" w:hAnsi="Arial" w:cs="Arial"/>
        </w:rPr>
        <w:t xml:space="preserve">. </w:t>
      </w:r>
    </w:p>
    <w:p w14:paraId="0E39764E" w14:textId="44170EC7"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Cordiano, R., Di Gioacchino, M., </w:t>
      </w:r>
      <w:proofErr w:type="spellStart"/>
      <w:r w:rsidRPr="00731C34">
        <w:rPr>
          <w:rFonts w:ascii="Arial" w:hAnsi="Arial" w:cs="Arial"/>
        </w:rPr>
        <w:t>Mangifesta</w:t>
      </w:r>
      <w:proofErr w:type="spellEnd"/>
      <w:r w:rsidRPr="00731C34">
        <w:rPr>
          <w:rFonts w:ascii="Arial" w:hAnsi="Arial" w:cs="Arial"/>
        </w:rPr>
        <w:t xml:space="preserve">, R., Panzera, C., Gangemi, S., &amp; </w:t>
      </w:r>
      <w:proofErr w:type="spellStart"/>
      <w:r w:rsidRPr="00731C34">
        <w:rPr>
          <w:rFonts w:ascii="Arial" w:hAnsi="Arial" w:cs="Arial"/>
        </w:rPr>
        <w:t>Minciullo</w:t>
      </w:r>
      <w:proofErr w:type="spellEnd"/>
      <w:r w:rsidRPr="00731C34">
        <w:rPr>
          <w:rFonts w:ascii="Arial" w:hAnsi="Arial" w:cs="Arial"/>
        </w:rPr>
        <w:t xml:space="preserve">, P. L. (2023). </w:t>
      </w:r>
      <w:proofErr w:type="spellStart"/>
      <w:r w:rsidRPr="00731C34">
        <w:rPr>
          <w:rFonts w:ascii="Arial" w:hAnsi="Arial" w:cs="Arial"/>
        </w:rPr>
        <w:t>Malindialdehid</w:t>
      </w:r>
      <w:proofErr w:type="spellEnd"/>
      <w:r w:rsidRPr="00731C34">
        <w:rPr>
          <w:rFonts w:ascii="Arial" w:hAnsi="Arial" w:cs="Arial"/>
        </w:rPr>
        <w:t xml:space="preserve"> as a Potential Oxidative Stress Marker for Allergy-Oriented Diseases: An</w:t>
      </w:r>
      <w:r w:rsidRPr="00731C34">
        <w:rPr>
          <w:rFonts w:ascii="Arial" w:hAnsi="Arial" w:cs="Arial"/>
          <w:spacing w:val="80"/>
        </w:rPr>
        <w:t xml:space="preserve"> </w:t>
      </w:r>
      <w:r w:rsidRPr="00731C34">
        <w:rPr>
          <w:rFonts w:ascii="Arial" w:hAnsi="Arial" w:cs="Arial"/>
        </w:rPr>
        <w:t xml:space="preserve">Update. </w:t>
      </w:r>
      <w:r w:rsidRPr="00731C34">
        <w:rPr>
          <w:rFonts w:ascii="Arial" w:hAnsi="Arial" w:cs="Arial"/>
          <w:i/>
        </w:rPr>
        <w:t>Molecules</w:t>
      </w:r>
      <w:r w:rsidRPr="00731C34">
        <w:rPr>
          <w:rFonts w:ascii="Arial" w:hAnsi="Arial" w:cs="Arial"/>
        </w:rPr>
        <w:t>,</w:t>
      </w:r>
      <w:r w:rsidRPr="00731C34">
        <w:rPr>
          <w:rFonts w:ascii="Arial" w:hAnsi="Arial" w:cs="Arial"/>
          <w:spacing w:val="71"/>
        </w:rPr>
        <w:t xml:space="preserve"> </w:t>
      </w:r>
      <w:r w:rsidRPr="00731C34">
        <w:rPr>
          <w:rFonts w:ascii="Arial" w:hAnsi="Arial" w:cs="Arial"/>
          <w:iCs/>
          <w:spacing w:val="-2"/>
        </w:rPr>
        <w:t xml:space="preserve">28 </w:t>
      </w:r>
      <w:r w:rsidRPr="00731C34">
        <w:rPr>
          <w:rFonts w:ascii="Arial" w:hAnsi="Arial" w:cs="Arial"/>
          <w:spacing w:val="-2"/>
        </w:rPr>
        <w:t xml:space="preserve">(16). URL: </w:t>
      </w:r>
      <w:r w:rsidR="008F4801" w:rsidRPr="00731C34">
        <w:t>https://doi.org/10.3390/molecules28165979</w:t>
      </w:r>
      <w:r w:rsidRPr="00731C34">
        <w:rPr>
          <w:rFonts w:ascii="Arial" w:hAnsi="Arial" w:cs="Arial"/>
          <w:spacing w:val="-2"/>
        </w:rPr>
        <w:t xml:space="preserve">. </w:t>
      </w:r>
    </w:p>
    <w:p w14:paraId="4D7C55BE" w14:textId="6E62ECF1"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De Smet, P. A. G. M., Keller, K., Hänsel, R., &amp; Chandler, R. F. (Eds.). (1997). </w:t>
      </w:r>
      <w:r w:rsidRPr="00731C34">
        <w:rPr>
          <w:rFonts w:ascii="Arial" w:hAnsi="Arial" w:cs="Arial"/>
          <w:i/>
          <w:iCs/>
        </w:rPr>
        <w:t>Adverse Effects of Herbal Drugs</w:t>
      </w:r>
      <w:r w:rsidRPr="00731C34">
        <w:rPr>
          <w:rFonts w:ascii="Arial" w:hAnsi="Arial" w:cs="Arial"/>
        </w:rPr>
        <w:t xml:space="preserve"> (Vol. 3). Springer Berlin Heidelberg. URL: </w:t>
      </w:r>
      <w:r w:rsidR="008F4801" w:rsidRPr="00731C34">
        <w:t>https://link.springer.com/book/10.1007/978-3-642-60367-9</w:t>
      </w:r>
      <w:r w:rsidRPr="00731C34">
        <w:rPr>
          <w:rFonts w:ascii="Arial" w:hAnsi="Arial" w:cs="Arial"/>
        </w:rPr>
        <w:t xml:space="preserve">. </w:t>
      </w:r>
    </w:p>
    <w:p w14:paraId="35F237D6" w14:textId="4803E3EE" w:rsidR="00154D30" w:rsidRPr="00731C34" w:rsidRDefault="00154D30" w:rsidP="00177E2E">
      <w:pPr>
        <w:pStyle w:val="ListParagraph"/>
        <w:numPr>
          <w:ilvl w:val="0"/>
          <w:numId w:val="32"/>
        </w:numPr>
        <w:spacing w:before="240"/>
        <w:ind w:right="3"/>
        <w:jc w:val="both"/>
        <w:rPr>
          <w:rFonts w:ascii="Arial" w:hAnsi="Arial" w:cs="Arial"/>
          <w:spacing w:val="-2"/>
        </w:rPr>
      </w:pPr>
      <w:r w:rsidRPr="00731C34">
        <w:rPr>
          <w:rFonts w:ascii="Arial" w:hAnsi="Arial" w:cs="Arial"/>
          <w:spacing w:val="-2"/>
        </w:rPr>
        <w:t xml:space="preserve">Dutta, B., Raghavendra, A. P., Tripathy, A., Manel, D. N., Umakanth, S., &amp; Kamath, S. U. (2025). Evaluation of attenuative potential of flaxseeds in high-calorie, high-fat, and fructose-induced metabolic syndrome indicators in Wistar rats without dietary reversal. </w:t>
      </w:r>
      <w:r w:rsidRPr="00731C34">
        <w:rPr>
          <w:rFonts w:ascii="Arial" w:hAnsi="Arial" w:cs="Arial"/>
          <w:i/>
          <w:iCs/>
          <w:spacing w:val="-2"/>
        </w:rPr>
        <w:t>Journal of Applied Pharmaceutical Science</w:t>
      </w:r>
      <w:r w:rsidRPr="00731C34">
        <w:rPr>
          <w:rFonts w:ascii="Arial" w:hAnsi="Arial" w:cs="Arial"/>
          <w:spacing w:val="-2"/>
        </w:rPr>
        <w:t xml:space="preserve">. </w:t>
      </w:r>
      <w:r w:rsidR="008F4801" w:rsidRPr="00731C34">
        <w:rPr>
          <w:rFonts w:ascii="Arial" w:hAnsi="Arial" w:cs="Arial"/>
          <w:spacing w:val="-2"/>
        </w:rPr>
        <w:t>10.7324/JAPS.2025.219097</w:t>
      </w:r>
    </w:p>
    <w:p w14:paraId="2854D01B" w14:textId="06E4EF18"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Ely, D., Dapper, V., Marasca, J., Correa, J., </w:t>
      </w:r>
      <w:proofErr w:type="spellStart"/>
      <w:r w:rsidRPr="00731C34">
        <w:rPr>
          <w:rFonts w:ascii="Arial" w:hAnsi="Arial" w:cs="Arial"/>
        </w:rPr>
        <w:t>Gamaro</w:t>
      </w:r>
      <w:proofErr w:type="spellEnd"/>
      <w:r w:rsidRPr="00731C34">
        <w:rPr>
          <w:rFonts w:ascii="Arial" w:hAnsi="Arial" w:cs="Arial"/>
        </w:rPr>
        <w:t xml:space="preserve">, G., Xavier, M., Michalowski, M., Catelli, D., </w:t>
      </w:r>
      <w:proofErr w:type="spellStart"/>
      <w:r w:rsidRPr="00731C34">
        <w:rPr>
          <w:rFonts w:ascii="Arial" w:hAnsi="Arial" w:cs="Arial"/>
        </w:rPr>
        <w:t>Rosat</w:t>
      </w:r>
      <w:proofErr w:type="spellEnd"/>
      <w:r w:rsidRPr="00731C34">
        <w:rPr>
          <w:rFonts w:ascii="Arial" w:hAnsi="Arial" w:cs="Arial"/>
        </w:rPr>
        <w:t xml:space="preserve">, R., &amp; Ferreira, M. (1997). Effect of Restraint Stress on Feeding Behavior of Rats. Physiology &amp; Behavior, 61(3), 395–398. URL: </w:t>
      </w:r>
      <w:r w:rsidR="008F4801" w:rsidRPr="00731C34">
        <w:t>https://doi.org/10.1016/S0031-9384(96)00450-7</w:t>
      </w:r>
      <w:r w:rsidRPr="00731C34">
        <w:rPr>
          <w:rFonts w:ascii="Arial" w:hAnsi="Arial" w:cs="Arial"/>
        </w:rPr>
        <w:t>.</w:t>
      </w:r>
    </w:p>
    <w:p w14:paraId="15976048" w14:textId="4F40B795" w:rsidR="00033EC4" w:rsidRPr="00C53E78" w:rsidRDefault="00033EC4" w:rsidP="00C53E78">
      <w:pPr>
        <w:pStyle w:val="ListParagraph"/>
        <w:numPr>
          <w:ilvl w:val="0"/>
          <w:numId w:val="32"/>
        </w:numPr>
        <w:spacing w:before="1"/>
        <w:ind w:right="3"/>
        <w:jc w:val="both"/>
        <w:rPr>
          <w:rFonts w:ascii="Arial" w:hAnsi="Arial" w:cs="Arial"/>
          <w:spacing w:val="-2"/>
        </w:rPr>
      </w:pPr>
      <w:proofErr w:type="spellStart"/>
      <w:r w:rsidRPr="00033EC4">
        <w:rPr>
          <w:rFonts w:ascii="Arial" w:hAnsi="Arial" w:cs="Arial"/>
          <w:spacing w:val="-2"/>
        </w:rPr>
        <w:t>Esterbauer</w:t>
      </w:r>
      <w:proofErr w:type="spellEnd"/>
      <w:r w:rsidRPr="00033EC4">
        <w:rPr>
          <w:rFonts w:ascii="Arial" w:hAnsi="Arial" w:cs="Arial"/>
          <w:spacing w:val="-2"/>
        </w:rPr>
        <w:t>, H., &amp; Cheeseman, K. (1990). Determination of Aldehydic Lipid Peroxidation Products: Malonaldehyde and 4-Hydroxynonenal. METHODS IN ENZYMOLOGY, 186.</w:t>
      </w:r>
      <w:r w:rsidR="00C53E78">
        <w:rPr>
          <w:rFonts w:ascii="Arial" w:hAnsi="Arial" w:cs="Arial"/>
          <w:spacing w:val="-2"/>
        </w:rPr>
        <w:t xml:space="preserve"> URL: </w:t>
      </w:r>
      <w:r w:rsidR="00C53E78" w:rsidRPr="00C53E78">
        <w:rPr>
          <w:rFonts w:ascii="Arial" w:hAnsi="Arial" w:cs="Arial"/>
          <w:spacing w:val="-2"/>
        </w:rPr>
        <w:t>https://</w:t>
      </w:r>
      <w:hyperlink r:id="rId15" w:tgtFrame="_blank" w:history="1">
        <w:r w:rsidR="00C53E78" w:rsidRPr="00C53E78">
          <w:rPr>
            <w:rStyle w:val="Hyperlink"/>
            <w:rFonts w:ascii="Arial" w:hAnsi="Arial" w:cs="Arial"/>
            <w:color w:val="auto"/>
            <w:spacing w:val="-2"/>
            <w:u w:val="none"/>
          </w:rPr>
          <w:t>10.1016/0076-6879(90)86134-h</w:t>
        </w:r>
      </w:hyperlink>
    </w:p>
    <w:p w14:paraId="58C05A99" w14:textId="7ED39210" w:rsidR="00154D30" w:rsidRPr="00731C34" w:rsidRDefault="00154D30" w:rsidP="00177E2E">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Gurumallu</w:t>
      </w:r>
      <w:proofErr w:type="spellEnd"/>
      <w:r w:rsidRPr="00731C34">
        <w:rPr>
          <w:rFonts w:ascii="Arial" w:hAnsi="Arial" w:cs="Arial"/>
        </w:rPr>
        <w:t>, S. C., Aqeel, T., Bhaskar, A., Chandramohan, K., &amp; Javaraiah, R. (2022). Synergistic hepatoprotective effects of ω-3 and ω-6 fatty acids from Indian flax and sesame seed oils against CCl4-induced oxidative stress- mediated</w:t>
      </w:r>
      <w:r w:rsidRPr="00731C34">
        <w:rPr>
          <w:rFonts w:ascii="Arial" w:hAnsi="Arial" w:cs="Arial"/>
          <w:spacing w:val="-2"/>
        </w:rPr>
        <w:t xml:space="preserve"> </w:t>
      </w:r>
      <w:r w:rsidRPr="00731C34">
        <w:rPr>
          <w:rFonts w:ascii="Arial" w:hAnsi="Arial" w:cs="Arial"/>
        </w:rPr>
        <w:t>liver</w:t>
      </w:r>
      <w:r w:rsidRPr="00731C34">
        <w:rPr>
          <w:rFonts w:ascii="Arial" w:hAnsi="Arial" w:cs="Arial"/>
          <w:spacing w:val="-2"/>
        </w:rPr>
        <w:t xml:space="preserve"> </w:t>
      </w:r>
      <w:r w:rsidRPr="00731C34">
        <w:rPr>
          <w:rFonts w:ascii="Arial" w:hAnsi="Arial" w:cs="Arial"/>
        </w:rPr>
        <w:t>damage</w:t>
      </w:r>
      <w:r w:rsidRPr="00731C34">
        <w:rPr>
          <w:rFonts w:ascii="Arial" w:hAnsi="Arial" w:cs="Arial"/>
          <w:spacing w:val="-1"/>
        </w:rPr>
        <w:t xml:space="preserve"> </w:t>
      </w:r>
      <w:r w:rsidRPr="00731C34">
        <w:rPr>
          <w:rFonts w:ascii="Arial" w:hAnsi="Arial" w:cs="Arial"/>
        </w:rPr>
        <w:t>in</w:t>
      </w:r>
      <w:r w:rsidRPr="00731C34">
        <w:rPr>
          <w:rFonts w:ascii="Arial" w:hAnsi="Arial" w:cs="Arial"/>
          <w:spacing w:val="-2"/>
        </w:rPr>
        <w:t xml:space="preserve"> </w:t>
      </w:r>
      <w:r w:rsidRPr="00731C34">
        <w:rPr>
          <w:rFonts w:ascii="Arial" w:hAnsi="Arial" w:cs="Arial"/>
        </w:rPr>
        <w:t xml:space="preserve">rats. </w:t>
      </w:r>
      <w:r w:rsidRPr="00731C34">
        <w:rPr>
          <w:rFonts w:ascii="Arial" w:hAnsi="Arial" w:cs="Arial"/>
          <w:i/>
        </w:rPr>
        <w:t>Drug and</w:t>
      </w:r>
      <w:r w:rsidRPr="00731C34">
        <w:rPr>
          <w:rFonts w:ascii="Arial" w:hAnsi="Arial" w:cs="Arial"/>
          <w:i/>
          <w:spacing w:val="40"/>
        </w:rPr>
        <w:t xml:space="preserve"> </w:t>
      </w:r>
      <w:r w:rsidRPr="00731C34">
        <w:rPr>
          <w:rFonts w:ascii="Arial" w:hAnsi="Arial" w:cs="Arial"/>
          <w:i/>
        </w:rPr>
        <w:t>Chemical</w:t>
      </w:r>
      <w:r w:rsidRPr="00731C34">
        <w:rPr>
          <w:rFonts w:ascii="Arial" w:hAnsi="Arial" w:cs="Arial"/>
          <w:i/>
          <w:spacing w:val="80"/>
          <w:w w:val="150"/>
        </w:rPr>
        <w:t xml:space="preserve"> </w:t>
      </w:r>
      <w:r w:rsidRPr="00731C34">
        <w:rPr>
          <w:rFonts w:ascii="Arial" w:hAnsi="Arial" w:cs="Arial"/>
          <w:i/>
        </w:rPr>
        <w:t>Toxicology</w:t>
      </w:r>
      <w:r w:rsidRPr="00731C34">
        <w:rPr>
          <w:rFonts w:ascii="Arial" w:hAnsi="Arial" w:cs="Arial"/>
        </w:rPr>
        <w:t>,</w:t>
      </w:r>
      <w:r w:rsidRPr="00731C34">
        <w:rPr>
          <w:rFonts w:ascii="Arial" w:hAnsi="Arial" w:cs="Arial"/>
          <w:i/>
        </w:rPr>
        <w:t>45</w:t>
      </w:r>
      <w:r w:rsidRPr="00731C34">
        <w:rPr>
          <w:rFonts w:ascii="Arial" w:hAnsi="Arial" w:cs="Arial"/>
        </w:rPr>
        <w:t xml:space="preserve">(5), </w:t>
      </w:r>
      <w:r w:rsidRPr="00731C34">
        <w:rPr>
          <w:rFonts w:ascii="Arial" w:hAnsi="Arial" w:cs="Arial"/>
          <w:spacing w:val="-2"/>
        </w:rPr>
        <w:t xml:space="preserve">2221-2232. URL: </w:t>
      </w:r>
      <w:hyperlink r:id="rId16" w:history="1">
        <w:r w:rsidRPr="00731C34">
          <w:rPr>
            <w:rFonts w:ascii="Arial" w:hAnsi="Arial" w:cs="Arial"/>
            <w:spacing w:val="-2"/>
          </w:rPr>
          <w:t>https://doi.org/10.1080/01480545.2021.1917496.</w:t>
        </w:r>
      </w:hyperlink>
      <w:r w:rsidRPr="00731C34">
        <w:rPr>
          <w:rFonts w:ascii="Arial" w:hAnsi="Arial" w:cs="Arial"/>
          <w:spacing w:val="-2"/>
        </w:rPr>
        <w:t xml:space="preserve"> </w:t>
      </w:r>
    </w:p>
    <w:p w14:paraId="1F5B27AF" w14:textId="2B98692A" w:rsidR="00154D30" w:rsidRPr="00731C34" w:rsidRDefault="00154D30" w:rsidP="00177E2E">
      <w:pPr>
        <w:pStyle w:val="ListParagraph"/>
        <w:numPr>
          <w:ilvl w:val="0"/>
          <w:numId w:val="32"/>
        </w:numPr>
        <w:spacing w:before="1"/>
        <w:ind w:right="3"/>
        <w:jc w:val="both"/>
        <w:rPr>
          <w:rFonts w:ascii="Arial" w:hAnsi="Arial" w:cs="Arial"/>
        </w:rPr>
      </w:pPr>
      <w:r w:rsidRPr="00731C34">
        <w:rPr>
          <w:rFonts w:ascii="Arial" w:hAnsi="Arial" w:cs="Arial"/>
        </w:rPr>
        <w:t>Han, H., Qiu, F., Zhao, H., Tang, H., Li, X., &amp; Shi, D. (2017). Dietary Flaxseed Oil Prevents Western</w:t>
      </w:r>
      <w:r w:rsidRPr="00731C34">
        <w:rPr>
          <w:rFonts w:ascii="Cambria Math" w:hAnsi="Cambria Math" w:cs="Cambria Math"/>
        </w:rPr>
        <w:t>‐</w:t>
      </w:r>
      <w:r w:rsidRPr="00731C34">
        <w:rPr>
          <w:rFonts w:ascii="Arial" w:hAnsi="Arial" w:cs="Arial"/>
        </w:rPr>
        <w:t>Type Diet</w:t>
      </w:r>
      <w:r w:rsidRPr="00731C34">
        <w:rPr>
          <w:rFonts w:ascii="Cambria Math" w:hAnsi="Cambria Math" w:cs="Cambria Math"/>
        </w:rPr>
        <w:t>‐</w:t>
      </w:r>
      <w:r w:rsidRPr="00731C34">
        <w:rPr>
          <w:rFonts w:ascii="Arial" w:hAnsi="Arial" w:cs="Arial"/>
        </w:rPr>
        <w:t>Induced Nonalcoholic Fatty Liver Disease in Apolipoprotein</w:t>
      </w:r>
      <w:r w:rsidRPr="00731C34">
        <w:rPr>
          <w:rFonts w:ascii="Cambria Math" w:hAnsi="Cambria Math" w:cs="Cambria Math"/>
        </w:rPr>
        <w:t>‐</w:t>
      </w:r>
      <w:r w:rsidRPr="00731C34">
        <w:rPr>
          <w:rFonts w:ascii="Arial" w:hAnsi="Arial" w:cs="Arial"/>
        </w:rPr>
        <w:t xml:space="preserve">E Knockout Mice. </w:t>
      </w:r>
      <w:r w:rsidRPr="00731C34">
        <w:rPr>
          <w:rFonts w:ascii="Arial" w:hAnsi="Arial" w:cs="Arial"/>
          <w:i/>
          <w:iCs/>
        </w:rPr>
        <w:t>Oxidative Medicine and Cellular Longevity</w:t>
      </w:r>
      <w:r w:rsidRPr="00731C34">
        <w:rPr>
          <w:rFonts w:ascii="Arial" w:hAnsi="Arial" w:cs="Arial"/>
        </w:rPr>
        <w:t xml:space="preserve">, 2017(1), 3256241. URL: </w:t>
      </w:r>
      <w:r w:rsidR="004D7E23" w:rsidRPr="00731C34">
        <w:t>https://doi.org/10.1155/2017/3256241</w:t>
      </w:r>
      <w:r w:rsidRPr="00731C34">
        <w:rPr>
          <w:rFonts w:ascii="Arial" w:hAnsi="Arial" w:cs="Arial"/>
        </w:rPr>
        <w:t xml:space="preserve">. </w:t>
      </w:r>
    </w:p>
    <w:p w14:paraId="070E1EA6" w14:textId="19C424AC" w:rsidR="00154D30" w:rsidRPr="00731C34" w:rsidRDefault="00154D30" w:rsidP="00177E2E">
      <w:pPr>
        <w:pStyle w:val="ListParagraph"/>
        <w:numPr>
          <w:ilvl w:val="0"/>
          <w:numId w:val="32"/>
        </w:numPr>
        <w:spacing w:before="1"/>
        <w:ind w:right="3"/>
        <w:jc w:val="both"/>
        <w:rPr>
          <w:rFonts w:ascii="Arial" w:hAnsi="Arial" w:cs="Arial"/>
        </w:rPr>
      </w:pPr>
      <w:r w:rsidRPr="00731C34">
        <w:rPr>
          <w:rFonts w:ascii="Arial" w:hAnsi="Arial" w:cs="Arial"/>
        </w:rPr>
        <w:t xml:space="preserve">Harsa, I. (2014). Effect Of Intaking High-Fat Diet on White Rat’s (Rattus norvegicus) Blood Lipid Profile. </w:t>
      </w:r>
      <w:proofErr w:type="spellStart"/>
      <w:proofErr w:type="gramStart"/>
      <w:r w:rsidRPr="00731C34">
        <w:rPr>
          <w:rFonts w:ascii="Arial" w:hAnsi="Arial" w:cs="Arial"/>
          <w:i/>
          <w:iCs/>
        </w:rPr>
        <w:t>Jurnal“</w:t>
      </w:r>
      <w:proofErr w:type="gramEnd"/>
      <w:r w:rsidRPr="00731C34">
        <w:rPr>
          <w:rFonts w:ascii="Arial" w:hAnsi="Arial" w:cs="Arial"/>
          <w:i/>
          <w:iCs/>
        </w:rPr>
        <w:t>Ilmiah</w:t>
      </w:r>
      <w:proofErr w:type="spellEnd"/>
      <w:r w:rsidRPr="00731C34">
        <w:rPr>
          <w:rFonts w:ascii="Arial" w:hAnsi="Arial" w:cs="Arial"/>
          <w:i/>
          <w:iCs/>
        </w:rPr>
        <w:t xml:space="preserve"> </w:t>
      </w:r>
      <w:proofErr w:type="spellStart"/>
      <w:r w:rsidRPr="00731C34">
        <w:rPr>
          <w:rFonts w:ascii="Arial" w:hAnsi="Arial" w:cs="Arial"/>
          <w:i/>
          <w:iCs/>
        </w:rPr>
        <w:t>Kedokteran</w:t>
      </w:r>
      <w:proofErr w:type="spellEnd"/>
      <w:r w:rsidRPr="00731C34">
        <w:rPr>
          <w:rFonts w:ascii="Arial" w:hAnsi="Arial" w:cs="Arial"/>
          <w:i/>
          <w:iCs/>
        </w:rPr>
        <w:t>,”</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(1). URL: </w:t>
      </w:r>
      <w:r w:rsidR="008F294B" w:rsidRPr="00731C34">
        <w:rPr>
          <w:rFonts w:ascii="Arial" w:hAnsi="Arial" w:cs="Arial"/>
        </w:rPr>
        <w:t>https://doi.org/10.30742/jikw.v3i1.36</w:t>
      </w:r>
      <w:r w:rsidRPr="00731C34">
        <w:rPr>
          <w:rFonts w:ascii="Arial" w:hAnsi="Arial" w:cs="Arial"/>
        </w:rPr>
        <w:t>.</w:t>
      </w:r>
    </w:p>
    <w:p w14:paraId="43BA7104" w14:textId="70C9AF65" w:rsidR="00154D30" w:rsidRPr="00731C34" w:rsidRDefault="00154D30" w:rsidP="00177E2E">
      <w:pPr>
        <w:pStyle w:val="ListParagraph"/>
        <w:numPr>
          <w:ilvl w:val="0"/>
          <w:numId w:val="32"/>
        </w:numPr>
        <w:spacing w:before="1"/>
        <w:ind w:right="3"/>
        <w:jc w:val="both"/>
        <w:rPr>
          <w:rFonts w:ascii="Arial" w:hAnsi="Arial" w:cs="Arial"/>
          <w:spacing w:val="-2"/>
        </w:rPr>
      </w:pPr>
      <w:r w:rsidRPr="00731C34">
        <w:rPr>
          <w:rFonts w:ascii="Arial" w:hAnsi="Arial" w:cs="Arial"/>
        </w:rPr>
        <w:t xml:space="preserve">Hikmah, A. N., &amp; </w:t>
      </w:r>
      <w:proofErr w:type="spellStart"/>
      <w:r w:rsidRPr="00731C34">
        <w:rPr>
          <w:rFonts w:ascii="Arial" w:hAnsi="Arial" w:cs="Arial"/>
        </w:rPr>
        <w:t>Annajwa</w:t>
      </w:r>
      <w:proofErr w:type="spellEnd"/>
      <w:r w:rsidRPr="00731C34">
        <w:rPr>
          <w:rFonts w:ascii="Arial" w:hAnsi="Arial" w:cs="Arial"/>
        </w:rPr>
        <w:t xml:space="preserve">, F. (2024). </w:t>
      </w:r>
      <w:proofErr w:type="spellStart"/>
      <w:r w:rsidRPr="00731C34">
        <w:rPr>
          <w:rFonts w:ascii="Arial" w:hAnsi="Arial" w:cs="Arial"/>
        </w:rPr>
        <w:t>Pemberian</w:t>
      </w:r>
      <w:proofErr w:type="spellEnd"/>
      <w:r w:rsidRPr="00731C34">
        <w:rPr>
          <w:rFonts w:ascii="Arial" w:hAnsi="Arial" w:cs="Arial"/>
        </w:rPr>
        <w:t xml:space="preserve"> Air Kelapa Muda </w:t>
      </w:r>
      <w:proofErr w:type="spellStart"/>
      <w:r w:rsidRPr="00731C34">
        <w:rPr>
          <w:rFonts w:ascii="Arial" w:hAnsi="Arial" w:cs="Arial"/>
        </w:rPr>
        <w:t>terhadap</w:t>
      </w:r>
      <w:proofErr w:type="spellEnd"/>
      <w:r w:rsidRPr="00731C34">
        <w:rPr>
          <w:rFonts w:ascii="Arial" w:hAnsi="Arial" w:cs="Arial"/>
        </w:rPr>
        <w:t xml:space="preserve"> </w:t>
      </w:r>
      <w:proofErr w:type="spellStart"/>
      <w:r w:rsidRPr="00731C34">
        <w:rPr>
          <w:rFonts w:ascii="Arial" w:hAnsi="Arial" w:cs="Arial"/>
        </w:rPr>
        <w:t>Penurunan</w:t>
      </w:r>
      <w:proofErr w:type="spellEnd"/>
      <w:r w:rsidRPr="00731C34">
        <w:rPr>
          <w:rFonts w:ascii="Arial" w:hAnsi="Arial" w:cs="Arial"/>
        </w:rPr>
        <w:t xml:space="preserve"> Kadar MDA Dan IL-6 Pada Tikus Jantan </w:t>
      </w:r>
      <w:proofErr w:type="spellStart"/>
      <w:r w:rsidRPr="00731C34">
        <w:rPr>
          <w:rFonts w:ascii="Arial" w:hAnsi="Arial" w:cs="Arial"/>
        </w:rPr>
        <w:t>Galur</w:t>
      </w:r>
      <w:proofErr w:type="spellEnd"/>
      <w:r w:rsidRPr="00731C34">
        <w:rPr>
          <w:rFonts w:ascii="Arial" w:hAnsi="Arial" w:cs="Arial"/>
        </w:rPr>
        <w:t xml:space="preserve"> Wistar yang </w:t>
      </w:r>
      <w:proofErr w:type="spellStart"/>
      <w:r w:rsidRPr="00731C34">
        <w:rPr>
          <w:rFonts w:ascii="Arial" w:hAnsi="Arial" w:cs="Arial"/>
        </w:rPr>
        <w:t>Diinduksi</w:t>
      </w:r>
      <w:proofErr w:type="spellEnd"/>
      <w:r w:rsidRPr="00731C34">
        <w:rPr>
          <w:rFonts w:ascii="Arial" w:hAnsi="Arial" w:cs="Arial"/>
        </w:rPr>
        <w:t xml:space="preserve"> Diet Tinggi Lemak. </w:t>
      </w:r>
      <w:proofErr w:type="spellStart"/>
      <w:r w:rsidRPr="00731C34">
        <w:rPr>
          <w:rFonts w:ascii="Arial" w:hAnsi="Arial" w:cs="Arial"/>
          <w:i/>
          <w:iCs/>
        </w:rPr>
        <w:t>Prosiding</w:t>
      </w:r>
      <w:proofErr w:type="spellEnd"/>
      <w:r w:rsidRPr="00731C34">
        <w:rPr>
          <w:rFonts w:ascii="Arial" w:hAnsi="Arial" w:cs="Arial"/>
          <w:i/>
          <w:iCs/>
        </w:rPr>
        <w:t xml:space="preserve"> </w:t>
      </w:r>
      <w:proofErr w:type="spellStart"/>
      <w:r w:rsidRPr="00731C34">
        <w:rPr>
          <w:rFonts w:ascii="Arial" w:hAnsi="Arial" w:cs="Arial"/>
          <w:i/>
          <w:iCs/>
        </w:rPr>
        <w:t>Rapat</w:t>
      </w:r>
      <w:proofErr w:type="spellEnd"/>
      <w:r w:rsidRPr="00731C34">
        <w:rPr>
          <w:rFonts w:ascii="Arial" w:hAnsi="Arial" w:cs="Arial"/>
          <w:i/>
          <w:iCs/>
        </w:rPr>
        <w:t xml:space="preserve"> </w:t>
      </w:r>
      <w:proofErr w:type="spellStart"/>
      <w:r w:rsidRPr="00731C34">
        <w:rPr>
          <w:rFonts w:ascii="Arial" w:hAnsi="Arial" w:cs="Arial"/>
          <w:i/>
          <w:iCs/>
        </w:rPr>
        <w:t>Kerja</w:t>
      </w:r>
      <w:proofErr w:type="spellEnd"/>
      <w:r w:rsidRPr="00731C34">
        <w:rPr>
          <w:rFonts w:ascii="Arial" w:hAnsi="Arial" w:cs="Arial"/>
          <w:i/>
          <w:iCs/>
        </w:rPr>
        <w:t xml:space="preserve"> Nasional </w:t>
      </w:r>
      <w:proofErr w:type="spellStart"/>
      <w:r w:rsidRPr="00731C34">
        <w:rPr>
          <w:rFonts w:ascii="Arial" w:hAnsi="Arial" w:cs="Arial"/>
          <w:i/>
          <w:iCs/>
        </w:rPr>
        <w:t>Asosiasi</w:t>
      </w:r>
      <w:proofErr w:type="spellEnd"/>
      <w:r w:rsidRPr="00731C34">
        <w:rPr>
          <w:rFonts w:ascii="Arial" w:hAnsi="Arial" w:cs="Arial"/>
          <w:i/>
          <w:iCs/>
        </w:rPr>
        <w:t xml:space="preserve"> </w:t>
      </w:r>
      <w:proofErr w:type="spellStart"/>
      <w:r w:rsidRPr="00731C34">
        <w:rPr>
          <w:rFonts w:ascii="Arial" w:hAnsi="Arial" w:cs="Arial"/>
          <w:i/>
          <w:iCs/>
        </w:rPr>
        <w:t>Institusi</w:t>
      </w:r>
      <w:proofErr w:type="spellEnd"/>
      <w:r w:rsidRPr="00731C34">
        <w:rPr>
          <w:rFonts w:ascii="Arial" w:hAnsi="Arial" w:cs="Arial"/>
          <w:i/>
          <w:iCs/>
        </w:rPr>
        <w:t xml:space="preserve"> </w:t>
      </w:r>
      <w:proofErr w:type="spellStart"/>
      <w:r w:rsidRPr="00731C34">
        <w:rPr>
          <w:rFonts w:ascii="Arial" w:hAnsi="Arial" w:cs="Arial"/>
          <w:i/>
          <w:iCs/>
        </w:rPr>
        <w:t>Perguruan</w:t>
      </w:r>
      <w:proofErr w:type="spellEnd"/>
      <w:r w:rsidRPr="00731C34">
        <w:rPr>
          <w:rFonts w:ascii="Arial" w:hAnsi="Arial" w:cs="Arial"/>
          <w:i/>
          <w:iCs/>
        </w:rPr>
        <w:t xml:space="preserve"> Tinggi </w:t>
      </w:r>
      <w:proofErr w:type="spellStart"/>
      <w:r w:rsidRPr="00731C34">
        <w:rPr>
          <w:rFonts w:ascii="Arial" w:hAnsi="Arial" w:cs="Arial"/>
          <w:i/>
          <w:iCs/>
        </w:rPr>
        <w:t>Teknologi</w:t>
      </w:r>
      <w:proofErr w:type="spellEnd"/>
      <w:r w:rsidRPr="00731C34">
        <w:rPr>
          <w:rFonts w:ascii="Arial" w:hAnsi="Arial" w:cs="Arial"/>
          <w:i/>
          <w:iCs/>
        </w:rPr>
        <w:t xml:space="preserve"> </w:t>
      </w:r>
      <w:proofErr w:type="spellStart"/>
      <w:r w:rsidRPr="00731C34">
        <w:rPr>
          <w:rFonts w:ascii="Arial" w:hAnsi="Arial" w:cs="Arial"/>
          <w:i/>
          <w:iCs/>
        </w:rPr>
        <w:t>Laboratorium</w:t>
      </w:r>
      <w:proofErr w:type="spellEnd"/>
      <w:r w:rsidRPr="00731C34">
        <w:rPr>
          <w:rFonts w:ascii="Arial" w:hAnsi="Arial" w:cs="Arial"/>
          <w:i/>
          <w:iCs/>
        </w:rPr>
        <w:t xml:space="preserve"> </w:t>
      </w:r>
      <w:proofErr w:type="spellStart"/>
      <w:r w:rsidRPr="00731C34">
        <w:rPr>
          <w:rFonts w:ascii="Arial" w:hAnsi="Arial" w:cs="Arial"/>
          <w:i/>
          <w:iCs/>
        </w:rPr>
        <w:t>Medik</w:t>
      </w:r>
      <w:proofErr w:type="spellEnd"/>
      <w:r w:rsidRPr="00731C34">
        <w:rPr>
          <w:rFonts w:ascii="Arial" w:hAnsi="Arial" w:cs="Arial"/>
          <w:i/>
          <w:iCs/>
        </w:rPr>
        <w:t xml:space="preserve"> Indonesia</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 277–290. URL: </w:t>
      </w:r>
      <w:r w:rsidR="008F294B" w:rsidRPr="00731C34">
        <w:rPr>
          <w:rFonts w:ascii="Arial" w:hAnsi="Arial" w:cs="Arial"/>
        </w:rPr>
        <w:t>https://prosiding.aiptlmi-iasmlt.id/index.php/prosiding/article/view/311</w:t>
      </w:r>
      <w:r w:rsidRPr="00731C34">
        <w:rPr>
          <w:rFonts w:ascii="Arial" w:hAnsi="Arial" w:cs="Arial"/>
        </w:rPr>
        <w:t>.</w:t>
      </w:r>
    </w:p>
    <w:p w14:paraId="628E6E75" w14:textId="74DBB7B7" w:rsidR="00154D30" w:rsidRPr="00731C34" w:rsidRDefault="00154D30" w:rsidP="00177E2E">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Kusumaningrat</w:t>
      </w:r>
      <w:proofErr w:type="spellEnd"/>
      <w:r w:rsidRPr="00731C34">
        <w:rPr>
          <w:rFonts w:ascii="Arial" w:hAnsi="Arial" w:cs="Arial"/>
        </w:rPr>
        <w:t xml:space="preserve">, S., Thomas, S., &amp; Wibowo, J. W. (2023). The Effect of Coconut Water on Decreasing MDA and IL-6 Levels in Male Wistar Rats Induced with High-Fat Diet. </w:t>
      </w:r>
      <w:r w:rsidRPr="00731C34">
        <w:rPr>
          <w:rFonts w:ascii="Arial" w:hAnsi="Arial" w:cs="Arial"/>
          <w:i/>
          <w:iCs/>
        </w:rPr>
        <w:t xml:space="preserve">International Journal of </w:t>
      </w:r>
      <w:proofErr w:type="spellStart"/>
      <w:r w:rsidRPr="00731C34">
        <w:rPr>
          <w:rFonts w:ascii="Arial" w:hAnsi="Arial" w:cs="Arial"/>
          <w:i/>
          <w:iCs/>
        </w:rPr>
        <w:t>Multidisclipinary</w:t>
      </w:r>
      <w:proofErr w:type="spellEnd"/>
      <w:r w:rsidRPr="00731C34">
        <w:rPr>
          <w:rFonts w:ascii="Arial" w:hAnsi="Arial" w:cs="Arial"/>
          <w:i/>
          <w:iCs/>
        </w:rPr>
        <w:t xml:space="preserve"> Research and Analysis</w:t>
      </w:r>
      <w:r w:rsidRPr="00731C34">
        <w:rPr>
          <w:rFonts w:ascii="Arial" w:hAnsi="Arial" w:cs="Arial"/>
        </w:rPr>
        <w:t xml:space="preserve">, </w:t>
      </w:r>
      <w:r w:rsidRPr="00731C34">
        <w:rPr>
          <w:rFonts w:ascii="Arial" w:hAnsi="Arial" w:cs="Arial"/>
          <w:i/>
          <w:iCs/>
        </w:rPr>
        <w:t>06</w:t>
      </w:r>
      <w:r w:rsidRPr="00731C34">
        <w:rPr>
          <w:rFonts w:ascii="Arial" w:hAnsi="Arial" w:cs="Arial"/>
        </w:rPr>
        <w:t xml:space="preserve">(09), 4010–4015. URL: </w:t>
      </w:r>
      <w:r w:rsidR="008F294B" w:rsidRPr="00731C34">
        <w:t>https://doi.org/10.47191/ijmra/v6-i9-09</w:t>
      </w:r>
      <w:r w:rsidRPr="00731C34">
        <w:rPr>
          <w:rFonts w:ascii="Arial" w:hAnsi="Arial" w:cs="Arial"/>
        </w:rPr>
        <w:t xml:space="preserve">. </w:t>
      </w:r>
    </w:p>
    <w:p w14:paraId="0D306DB3" w14:textId="74C9D3E8"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Larcombe, A. N., Wang, K. C. W., Phan, J. A., Berry, L. J., &amp; Noble, P. B. (2019). Confounding Effects of Gavage in Mice: Impaired Respiratory Structure and Function. </w:t>
      </w:r>
      <w:r w:rsidRPr="00731C34">
        <w:rPr>
          <w:rFonts w:ascii="Arial" w:hAnsi="Arial" w:cs="Arial"/>
          <w:i/>
          <w:iCs/>
        </w:rPr>
        <w:t>American Journal of Respiratory Cell and Molecular Biology</w:t>
      </w:r>
      <w:r w:rsidRPr="00731C34">
        <w:rPr>
          <w:rFonts w:ascii="Arial" w:hAnsi="Arial" w:cs="Arial"/>
        </w:rPr>
        <w:t xml:space="preserve">, </w:t>
      </w:r>
      <w:r w:rsidRPr="00731C34">
        <w:rPr>
          <w:rFonts w:ascii="Arial" w:hAnsi="Arial" w:cs="Arial"/>
          <w:i/>
          <w:iCs/>
        </w:rPr>
        <w:t>61</w:t>
      </w:r>
      <w:r w:rsidRPr="00731C34">
        <w:rPr>
          <w:rFonts w:ascii="Arial" w:hAnsi="Arial" w:cs="Arial"/>
        </w:rPr>
        <w:t xml:space="preserve">(6), 791–794. URL: </w:t>
      </w:r>
      <w:hyperlink r:id="rId17" w:history="1">
        <w:r w:rsidR="008F294B" w:rsidRPr="00731C34">
          <w:t xml:space="preserve"> </w:t>
        </w:r>
        <w:r w:rsidR="008F294B" w:rsidRPr="00731C34">
          <w:rPr>
            <w:rFonts w:ascii="Arial" w:hAnsi="Arial" w:cs="Arial"/>
          </w:rPr>
          <w:t xml:space="preserve">https://doi.org/10.1165/rcmb.2019-0242LE  </w:t>
        </w:r>
        <w:r w:rsidRPr="00731C34">
          <w:rPr>
            <w:rFonts w:ascii="Arial" w:hAnsi="Arial" w:cs="Arial"/>
          </w:rPr>
          <w:t>.</w:t>
        </w:r>
      </w:hyperlink>
      <w:r w:rsidRPr="00731C34">
        <w:rPr>
          <w:rFonts w:ascii="Arial" w:hAnsi="Arial" w:cs="Arial"/>
        </w:rPr>
        <w:t xml:space="preserve"> </w:t>
      </w:r>
    </w:p>
    <w:p w14:paraId="51667D4B" w14:textId="7A0863E1" w:rsidR="00C967B9" w:rsidRDefault="00C967B9" w:rsidP="00177E2E">
      <w:pPr>
        <w:pStyle w:val="ListParagraph"/>
        <w:widowControl w:val="0"/>
        <w:numPr>
          <w:ilvl w:val="0"/>
          <w:numId w:val="32"/>
        </w:numPr>
        <w:autoSpaceDE w:val="0"/>
        <w:autoSpaceDN w:val="0"/>
        <w:jc w:val="both"/>
        <w:rPr>
          <w:rFonts w:ascii="Arial" w:hAnsi="Arial" w:cs="Arial"/>
        </w:rPr>
      </w:pPr>
      <w:r w:rsidRPr="00C967B9">
        <w:rPr>
          <w:rFonts w:ascii="Arial" w:hAnsi="Arial" w:cs="Arial"/>
        </w:rPr>
        <w:t xml:space="preserve">Liang W, Menke AL, Driessen A, </w:t>
      </w:r>
      <w:proofErr w:type="spellStart"/>
      <w:r w:rsidRPr="00C967B9">
        <w:rPr>
          <w:rFonts w:ascii="Arial" w:hAnsi="Arial" w:cs="Arial"/>
        </w:rPr>
        <w:t>Koek</w:t>
      </w:r>
      <w:proofErr w:type="spellEnd"/>
      <w:r w:rsidRPr="00C967B9">
        <w:rPr>
          <w:rFonts w:ascii="Arial" w:hAnsi="Arial" w:cs="Arial"/>
        </w:rPr>
        <w:t xml:space="preserve"> GH, Lindeman JH, Stoop R, </w:t>
      </w:r>
      <w:proofErr w:type="spellStart"/>
      <w:r w:rsidRPr="00C967B9">
        <w:rPr>
          <w:rFonts w:ascii="Arial" w:hAnsi="Arial" w:cs="Arial"/>
        </w:rPr>
        <w:t>Havekes</w:t>
      </w:r>
      <w:proofErr w:type="spellEnd"/>
      <w:r w:rsidRPr="00C967B9">
        <w:rPr>
          <w:rFonts w:ascii="Arial" w:hAnsi="Arial" w:cs="Arial"/>
        </w:rPr>
        <w:t xml:space="preserve"> LM, Kleemann R, van den Hoek AM. (2014). Establishment of a general NAFLD scoring system for rodent models and comparison to human liver pathology. </w:t>
      </w:r>
      <w:proofErr w:type="spellStart"/>
      <w:r w:rsidRPr="00C967B9">
        <w:rPr>
          <w:rFonts w:ascii="Arial" w:hAnsi="Arial" w:cs="Arial"/>
        </w:rPr>
        <w:t>PLoS</w:t>
      </w:r>
      <w:proofErr w:type="spellEnd"/>
      <w:r w:rsidRPr="00C967B9">
        <w:rPr>
          <w:rFonts w:ascii="Arial" w:hAnsi="Arial" w:cs="Arial"/>
        </w:rPr>
        <w:t xml:space="preserve"> One, 9(12</w:t>
      </w:r>
      <w:proofErr w:type="gramStart"/>
      <w:r w:rsidRPr="00C967B9">
        <w:rPr>
          <w:rFonts w:ascii="Arial" w:hAnsi="Arial" w:cs="Arial"/>
        </w:rPr>
        <w:t>):e</w:t>
      </w:r>
      <w:proofErr w:type="gramEnd"/>
      <w:r w:rsidRPr="00C967B9">
        <w:rPr>
          <w:rFonts w:ascii="Arial" w:hAnsi="Arial" w:cs="Arial"/>
        </w:rPr>
        <w:t>115922. URL: 10.1371/journal.pone.0115922.</w:t>
      </w:r>
    </w:p>
    <w:p w14:paraId="15ED34C9" w14:textId="3CBD9E16" w:rsidR="00154D30" w:rsidRPr="00731C34" w:rsidRDefault="00154D30" w:rsidP="00177E2E">
      <w:pPr>
        <w:pStyle w:val="ListParagraph"/>
        <w:widowControl w:val="0"/>
        <w:numPr>
          <w:ilvl w:val="0"/>
          <w:numId w:val="32"/>
        </w:numPr>
        <w:autoSpaceDE w:val="0"/>
        <w:autoSpaceDN w:val="0"/>
        <w:jc w:val="both"/>
        <w:rPr>
          <w:rFonts w:ascii="Arial" w:hAnsi="Arial" w:cs="Arial"/>
        </w:rPr>
      </w:pPr>
      <w:r w:rsidRPr="00731C34">
        <w:rPr>
          <w:rFonts w:ascii="Arial" w:hAnsi="Arial" w:cs="Arial"/>
        </w:rPr>
        <w:t>Malnick, S. D. H., Alin, P., Somin, M., &amp; Neuman, M. G. (2022). Fatty Liver Disease-</w:t>
      </w:r>
      <w:r w:rsidRPr="00731C34">
        <w:rPr>
          <w:rFonts w:ascii="Arial" w:hAnsi="Arial" w:cs="Arial"/>
        </w:rPr>
        <w:lastRenderedPageBreak/>
        <w:t xml:space="preserve">Alcoholic and Non-Alcoholic: Similar but Different.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23</w:t>
      </w:r>
      <w:r w:rsidRPr="00731C34">
        <w:rPr>
          <w:rFonts w:ascii="Arial" w:hAnsi="Arial" w:cs="Arial"/>
        </w:rPr>
        <w:t xml:space="preserve">(24), 16226. </w:t>
      </w:r>
      <w:r w:rsidR="00476CBF" w:rsidRPr="00731C34">
        <w:t>https://doi.org/10.3390/ijms232416226</w:t>
      </w:r>
    </w:p>
    <w:p w14:paraId="480EC4CE" w14:textId="4E0AC38E"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Merenda, T., Juszczak, F., </w:t>
      </w:r>
      <w:proofErr w:type="spellStart"/>
      <w:r w:rsidRPr="00731C34">
        <w:rPr>
          <w:rFonts w:ascii="Arial" w:hAnsi="Arial" w:cs="Arial"/>
        </w:rPr>
        <w:t>Ferier</w:t>
      </w:r>
      <w:proofErr w:type="spellEnd"/>
      <w:r w:rsidRPr="00731C34">
        <w:rPr>
          <w:rFonts w:ascii="Arial" w:hAnsi="Arial" w:cs="Arial"/>
        </w:rPr>
        <w:t xml:space="preserve">, E., Duez, P., Patris, S., </w:t>
      </w:r>
      <w:proofErr w:type="spellStart"/>
      <w:r w:rsidRPr="00731C34">
        <w:rPr>
          <w:rFonts w:ascii="Arial" w:hAnsi="Arial" w:cs="Arial"/>
        </w:rPr>
        <w:t>Declèves</w:t>
      </w:r>
      <w:proofErr w:type="spellEnd"/>
      <w:r w:rsidRPr="00731C34">
        <w:rPr>
          <w:rFonts w:ascii="Arial" w:hAnsi="Arial" w:cs="Arial"/>
        </w:rPr>
        <w:t xml:space="preserve">, A.-É., &amp; </w:t>
      </w:r>
      <w:proofErr w:type="spellStart"/>
      <w:r w:rsidRPr="00731C34">
        <w:rPr>
          <w:rFonts w:ascii="Arial" w:hAnsi="Arial" w:cs="Arial"/>
        </w:rPr>
        <w:t>Nachtergael</w:t>
      </w:r>
      <w:proofErr w:type="spellEnd"/>
      <w:r w:rsidRPr="00731C34">
        <w:rPr>
          <w:rFonts w:ascii="Arial" w:hAnsi="Arial" w:cs="Arial"/>
        </w:rPr>
        <w:t xml:space="preserve">, A. (2024). Natural compounds proposed for the management of non-alcoholic fatty liver disease. </w:t>
      </w:r>
      <w:r w:rsidRPr="00731C34">
        <w:rPr>
          <w:rFonts w:ascii="Arial" w:hAnsi="Arial" w:cs="Arial"/>
          <w:i/>
          <w:iCs/>
        </w:rPr>
        <w:t>Natural Products and Bioprospecting</w:t>
      </w:r>
      <w:r w:rsidRPr="00731C34">
        <w:rPr>
          <w:rFonts w:ascii="Arial" w:hAnsi="Arial" w:cs="Arial"/>
        </w:rPr>
        <w:t xml:space="preserve">, </w:t>
      </w:r>
      <w:r w:rsidRPr="00731C34">
        <w:rPr>
          <w:rFonts w:ascii="Arial" w:hAnsi="Arial" w:cs="Arial"/>
          <w:i/>
          <w:iCs/>
        </w:rPr>
        <w:t>14</w:t>
      </w:r>
      <w:r w:rsidRPr="00731C34">
        <w:rPr>
          <w:rFonts w:ascii="Arial" w:hAnsi="Arial" w:cs="Arial"/>
        </w:rPr>
        <w:t xml:space="preserve">(1), 24. URL: </w:t>
      </w:r>
      <w:r w:rsidR="00476CBF" w:rsidRPr="00731C34">
        <w:t>https://link.springer.com/article/10.1007/s13659-024-00445-z</w:t>
      </w:r>
      <w:r w:rsidRPr="00731C34">
        <w:rPr>
          <w:rFonts w:ascii="Arial" w:hAnsi="Arial" w:cs="Arial"/>
        </w:rPr>
        <w:t xml:space="preserve">. </w:t>
      </w:r>
    </w:p>
    <w:p w14:paraId="79A0FF1B" w14:textId="6173CBB9"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Mirzaei, R., </w:t>
      </w:r>
      <w:proofErr w:type="spellStart"/>
      <w:r w:rsidRPr="00731C34">
        <w:rPr>
          <w:rFonts w:ascii="Arial" w:hAnsi="Arial" w:cs="Arial"/>
        </w:rPr>
        <w:t>Khosrokhavar</w:t>
      </w:r>
      <w:proofErr w:type="spellEnd"/>
      <w:r w:rsidRPr="00731C34">
        <w:rPr>
          <w:rFonts w:ascii="Arial" w:hAnsi="Arial" w:cs="Arial"/>
        </w:rPr>
        <w:t xml:space="preserve">, R., &amp; Arbabi Bidgoli, S. (2023). The Role of High-Fructose Diet in Liver Function of Rodent Models: A Systematic Review of Molecular Analysis. </w:t>
      </w:r>
      <w:r w:rsidRPr="00731C34">
        <w:rPr>
          <w:rFonts w:ascii="Arial" w:hAnsi="Arial" w:cs="Arial"/>
          <w:i/>
          <w:iCs/>
        </w:rPr>
        <w:t>Iranian Biomedical Journal</w:t>
      </w:r>
      <w:r w:rsidRPr="00731C34">
        <w:rPr>
          <w:rFonts w:ascii="Arial" w:hAnsi="Arial" w:cs="Arial"/>
        </w:rPr>
        <w:t xml:space="preserve">, </w:t>
      </w:r>
      <w:r w:rsidRPr="00731C34">
        <w:rPr>
          <w:rFonts w:ascii="Arial" w:hAnsi="Arial" w:cs="Arial"/>
          <w:i/>
          <w:iCs/>
        </w:rPr>
        <w:t>27</w:t>
      </w:r>
      <w:r w:rsidRPr="00731C34">
        <w:rPr>
          <w:rFonts w:ascii="Arial" w:hAnsi="Arial" w:cs="Arial"/>
        </w:rPr>
        <w:t xml:space="preserve">(6), 326–339. URL: </w:t>
      </w:r>
      <w:r w:rsidR="0088134D" w:rsidRPr="00731C34">
        <w:t>https://pmc.ncbi.nlm.nih.gov/articles/PMC10826909/</w:t>
      </w:r>
      <w:r w:rsidRPr="00731C34">
        <w:rPr>
          <w:rFonts w:ascii="Arial" w:hAnsi="Arial" w:cs="Arial"/>
        </w:rPr>
        <w:t xml:space="preserve">. </w:t>
      </w:r>
    </w:p>
    <w:p w14:paraId="30679AB5" w14:textId="04DE0684"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Nabih, G., </w:t>
      </w:r>
      <w:proofErr w:type="spellStart"/>
      <w:r w:rsidRPr="00731C34">
        <w:rPr>
          <w:rFonts w:ascii="Arial" w:hAnsi="Arial" w:cs="Arial"/>
        </w:rPr>
        <w:t>Sheshtawy</w:t>
      </w:r>
      <w:proofErr w:type="spellEnd"/>
      <w:r w:rsidRPr="00731C34">
        <w:rPr>
          <w:rFonts w:ascii="Arial" w:hAnsi="Arial" w:cs="Arial"/>
        </w:rPr>
        <w:t xml:space="preserve">, N., </w:t>
      </w:r>
      <w:proofErr w:type="spellStart"/>
      <w:r w:rsidRPr="00731C34">
        <w:rPr>
          <w:rFonts w:ascii="Arial" w:hAnsi="Arial" w:cs="Arial"/>
        </w:rPr>
        <w:t>Mikkawy</w:t>
      </w:r>
      <w:proofErr w:type="spellEnd"/>
      <w:r w:rsidRPr="00731C34">
        <w:rPr>
          <w:rFonts w:ascii="Arial" w:hAnsi="Arial" w:cs="Arial"/>
        </w:rPr>
        <w:t xml:space="preserve">, D., Kamel, M. (2024). Serum </w:t>
      </w:r>
      <w:proofErr w:type="spellStart"/>
      <w:r w:rsidRPr="00731C34">
        <w:rPr>
          <w:rFonts w:ascii="Arial" w:hAnsi="Arial" w:cs="Arial"/>
        </w:rPr>
        <w:t>Malindialdehid</w:t>
      </w:r>
      <w:proofErr w:type="spellEnd"/>
      <w:r w:rsidRPr="00731C34">
        <w:rPr>
          <w:rFonts w:ascii="Arial" w:hAnsi="Arial" w:cs="Arial"/>
        </w:rPr>
        <w:t xml:space="preserve"> as a marker</w:t>
      </w:r>
      <w:r w:rsidRPr="00731C34">
        <w:rPr>
          <w:rFonts w:ascii="Arial" w:hAnsi="Arial" w:cs="Arial"/>
          <w:spacing w:val="-12"/>
        </w:rPr>
        <w:t xml:space="preserve"> </w:t>
      </w:r>
      <w:r w:rsidRPr="00731C34">
        <w:rPr>
          <w:rFonts w:ascii="Arial" w:hAnsi="Arial" w:cs="Arial"/>
        </w:rPr>
        <w:t>of</w:t>
      </w:r>
      <w:r w:rsidRPr="00731C34">
        <w:rPr>
          <w:rFonts w:ascii="Arial" w:hAnsi="Arial" w:cs="Arial"/>
          <w:spacing w:val="-12"/>
        </w:rPr>
        <w:t xml:space="preserve"> </w:t>
      </w:r>
      <w:r w:rsidRPr="00731C34">
        <w:rPr>
          <w:rFonts w:ascii="Arial" w:hAnsi="Arial" w:cs="Arial"/>
        </w:rPr>
        <w:t>oxidative</w:t>
      </w:r>
      <w:r w:rsidRPr="00731C34">
        <w:rPr>
          <w:rFonts w:ascii="Arial" w:hAnsi="Arial" w:cs="Arial"/>
          <w:spacing w:val="-11"/>
        </w:rPr>
        <w:t xml:space="preserve"> </w:t>
      </w:r>
      <w:r w:rsidRPr="00731C34">
        <w:rPr>
          <w:rFonts w:ascii="Arial" w:hAnsi="Arial" w:cs="Arial"/>
        </w:rPr>
        <w:t>stress</w:t>
      </w:r>
      <w:r w:rsidRPr="00731C34">
        <w:rPr>
          <w:rFonts w:ascii="Arial" w:hAnsi="Arial" w:cs="Arial"/>
          <w:spacing w:val="-13"/>
        </w:rPr>
        <w:t xml:space="preserve"> </w:t>
      </w:r>
      <w:r w:rsidRPr="00731C34">
        <w:rPr>
          <w:rFonts w:ascii="Arial" w:hAnsi="Arial" w:cs="Arial"/>
        </w:rPr>
        <w:t>in</w:t>
      </w:r>
      <w:r w:rsidRPr="00731C34">
        <w:rPr>
          <w:rFonts w:ascii="Arial" w:hAnsi="Arial" w:cs="Arial"/>
          <w:spacing w:val="-12"/>
        </w:rPr>
        <w:t xml:space="preserve"> </w:t>
      </w:r>
      <w:r w:rsidRPr="00731C34">
        <w:rPr>
          <w:rFonts w:ascii="Arial" w:hAnsi="Arial" w:cs="Arial"/>
        </w:rPr>
        <w:t>rheumatoid</w:t>
      </w:r>
      <w:r w:rsidRPr="00731C34">
        <w:rPr>
          <w:rFonts w:ascii="Arial" w:hAnsi="Arial" w:cs="Arial"/>
          <w:spacing w:val="-12"/>
        </w:rPr>
        <w:t xml:space="preserve"> </w:t>
      </w:r>
      <w:r w:rsidRPr="00731C34">
        <w:rPr>
          <w:rFonts w:ascii="Arial" w:hAnsi="Arial" w:cs="Arial"/>
        </w:rPr>
        <w:t>arthritis.</w:t>
      </w:r>
      <w:r w:rsidRPr="00731C34">
        <w:rPr>
          <w:rFonts w:ascii="Arial" w:hAnsi="Arial" w:cs="Arial"/>
          <w:spacing w:val="-4"/>
        </w:rPr>
        <w:t xml:space="preserve"> </w:t>
      </w:r>
      <w:r w:rsidRPr="00731C34">
        <w:rPr>
          <w:rFonts w:ascii="Arial" w:hAnsi="Arial" w:cs="Arial"/>
          <w:i/>
        </w:rPr>
        <w:t>Egypt</w:t>
      </w:r>
      <w:r w:rsidRPr="00731C34">
        <w:rPr>
          <w:rFonts w:ascii="Arial" w:hAnsi="Arial" w:cs="Arial"/>
          <w:i/>
          <w:spacing w:val="-11"/>
        </w:rPr>
        <w:t xml:space="preserve"> </w:t>
      </w:r>
      <w:proofErr w:type="spellStart"/>
      <w:r w:rsidRPr="00731C34">
        <w:rPr>
          <w:rFonts w:ascii="Arial" w:hAnsi="Arial" w:cs="Arial"/>
          <w:i/>
        </w:rPr>
        <w:t>Rheumatol</w:t>
      </w:r>
      <w:proofErr w:type="spellEnd"/>
      <w:r w:rsidRPr="00731C34">
        <w:rPr>
          <w:rFonts w:ascii="Arial" w:hAnsi="Arial" w:cs="Arial"/>
          <w:i/>
          <w:spacing w:val="-15"/>
        </w:rPr>
        <w:t xml:space="preserve"> </w:t>
      </w:r>
      <w:proofErr w:type="spellStart"/>
      <w:r w:rsidRPr="00731C34">
        <w:rPr>
          <w:rFonts w:ascii="Arial" w:hAnsi="Arial" w:cs="Arial"/>
          <w:i/>
        </w:rPr>
        <w:t>Rehabil</w:t>
      </w:r>
      <w:proofErr w:type="spellEnd"/>
      <w:r w:rsidRPr="00731C34">
        <w:rPr>
          <w:rFonts w:ascii="Arial" w:hAnsi="Arial" w:cs="Arial"/>
          <w:i/>
        </w:rPr>
        <w:t xml:space="preserve"> </w:t>
      </w:r>
      <w:r w:rsidRPr="00731C34">
        <w:rPr>
          <w:rFonts w:ascii="Arial" w:hAnsi="Arial" w:cs="Arial"/>
        </w:rPr>
        <w:t xml:space="preserve">51(43). URL: </w:t>
      </w:r>
      <w:r w:rsidR="0088134D" w:rsidRPr="00731C34">
        <w:t>https://link.springer.com/article/10.1186/s43166-024-00275-4</w:t>
      </w:r>
      <w:r w:rsidRPr="00731C34">
        <w:rPr>
          <w:rFonts w:ascii="Arial" w:hAnsi="Arial" w:cs="Arial"/>
        </w:rPr>
        <w:t xml:space="preserve">. </w:t>
      </w:r>
    </w:p>
    <w:p w14:paraId="11A6DAD0" w14:textId="1D9E5993"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Naik, S., Srilatha, C., Sreedevi, B., &amp; Prasad, T. (2023). Diet-induced hyperlipidemia and hepatic steatosis in </w:t>
      </w:r>
      <w:proofErr w:type="spellStart"/>
      <w:r w:rsidRPr="00731C34">
        <w:rPr>
          <w:rFonts w:ascii="Arial" w:hAnsi="Arial" w:cs="Arial"/>
        </w:rPr>
        <w:t>wistar</w:t>
      </w:r>
      <w:proofErr w:type="spellEnd"/>
      <w:r w:rsidRPr="00731C34">
        <w:rPr>
          <w:rFonts w:ascii="Arial" w:hAnsi="Arial" w:cs="Arial"/>
        </w:rPr>
        <w:t xml:space="preserve"> albino male rats and its amelioration with whole grain flaxseeds (Linum </w:t>
      </w:r>
      <w:proofErr w:type="spellStart"/>
      <w:r w:rsidRPr="00731C34">
        <w:rPr>
          <w:rFonts w:ascii="Arial" w:hAnsi="Arial" w:cs="Arial"/>
        </w:rPr>
        <w:t>usitatissimum</w:t>
      </w:r>
      <w:proofErr w:type="spellEnd"/>
      <w:r w:rsidRPr="00731C34">
        <w:rPr>
          <w:rFonts w:ascii="Arial" w:hAnsi="Arial" w:cs="Arial"/>
        </w:rPr>
        <w:t xml:space="preserve">) and green tea (Camellia sinensis). </w:t>
      </w:r>
      <w:r w:rsidRPr="00731C34">
        <w:rPr>
          <w:rFonts w:ascii="Arial" w:hAnsi="Arial" w:cs="Arial"/>
          <w:i/>
          <w:iCs/>
        </w:rPr>
        <w:t>The Pharma Innovation Journal</w:t>
      </w:r>
      <w:r w:rsidRPr="00731C34">
        <w:rPr>
          <w:rFonts w:ascii="Arial" w:hAnsi="Arial" w:cs="Arial"/>
        </w:rPr>
        <w:t xml:space="preserve">, </w:t>
      </w:r>
      <w:r w:rsidRPr="00731C34">
        <w:rPr>
          <w:rFonts w:ascii="Arial" w:hAnsi="Arial" w:cs="Arial"/>
          <w:i/>
          <w:iCs/>
        </w:rPr>
        <w:t>12</w:t>
      </w:r>
      <w:r w:rsidRPr="00731C34">
        <w:rPr>
          <w:rFonts w:ascii="Arial" w:hAnsi="Arial" w:cs="Arial"/>
        </w:rPr>
        <w:t xml:space="preserve">(1), 715–722. URL: </w:t>
      </w:r>
      <w:r w:rsidR="0088134D" w:rsidRPr="00731C34">
        <w:rPr>
          <w:rFonts w:ascii="Arial" w:hAnsi="Arial" w:cs="Arial"/>
        </w:rPr>
        <w:t>https://www.thepharmajournal.com/archives/?year=2023&amp;vol=12&amp;issue=1&amp;ArticleId=18066</w:t>
      </w:r>
      <w:r w:rsidRPr="00731C34">
        <w:rPr>
          <w:rFonts w:ascii="Arial" w:hAnsi="Arial" w:cs="Arial"/>
        </w:rPr>
        <w:t>.</w:t>
      </w:r>
    </w:p>
    <w:p w14:paraId="492514DC" w14:textId="2FC52E5C" w:rsidR="00154D30" w:rsidRPr="00731C34" w:rsidRDefault="00154D30" w:rsidP="00E40981">
      <w:pPr>
        <w:pStyle w:val="ListParagraph"/>
        <w:numPr>
          <w:ilvl w:val="0"/>
          <w:numId w:val="32"/>
        </w:numPr>
        <w:ind w:right="3"/>
        <w:jc w:val="both"/>
      </w:pPr>
      <w:r w:rsidRPr="00731C34">
        <w:rPr>
          <w:rFonts w:ascii="Arial" w:hAnsi="Arial" w:cs="Arial"/>
        </w:rPr>
        <w:t>Nowak, W., &amp;</w:t>
      </w:r>
      <w:r w:rsidRPr="00731C34">
        <w:rPr>
          <w:rFonts w:ascii="Arial" w:hAnsi="Arial" w:cs="Arial"/>
          <w:spacing w:val="31"/>
        </w:rPr>
        <w:t xml:space="preserve"> </w:t>
      </w:r>
      <w:proofErr w:type="spellStart"/>
      <w:r w:rsidRPr="00731C34">
        <w:rPr>
          <w:rFonts w:ascii="Arial" w:hAnsi="Arial" w:cs="Arial"/>
        </w:rPr>
        <w:t>Jeziorek</w:t>
      </w:r>
      <w:proofErr w:type="spellEnd"/>
      <w:r w:rsidRPr="00731C34">
        <w:rPr>
          <w:rFonts w:ascii="Arial" w:hAnsi="Arial" w:cs="Arial"/>
        </w:rPr>
        <w:t>, M. (2023).</w:t>
      </w:r>
      <w:r w:rsidRPr="00731C34">
        <w:rPr>
          <w:rFonts w:ascii="Arial" w:hAnsi="Arial" w:cs="Arial"/>
          <w:spacing w:val="26"/>
        </w:rPr>
        <w:t xml:space="preserve"> </w:t>
      </w:r>
      <w:r w:rsidRPr="00731C34">
        <w:rPr>
          <w:rFonts w:ascii="Arial" w:hAnsi="Arial" w:cs="Arial"/>
        </w:rPr>
        <w:t>The</w:t>
      </w:r>
      <w:r w:rsidRPr="00731C34">
        <w:rPr>
          <w:rFonts w:ascii="Arial" w:hAnsi="Arial" w:cs="Arial"/>
          <w:spacing w:val="27"/>
        </w:rPr>
        <w:t xml:space="preserve"> </w:t>
      </w:r>
      <w:r w:rsidRPr="00731C34">
        <w:rPr>
          <w:rFonts w:ascii="Arial" w:hAnsi="Arial" w:cs="Arial"/>
        </w:rPr>
        <w:t>Role</w:t>
      </w:r>
      <w:r w:rsidRPr="00731C34">
        <w:rPr>
          <w:rFonts w:ascii="Arial" w:hAnsi="Arial" w:cs="Arial"/>
          <w:spacing w:val="27"/>
        </w:rPr>
        <w:t xml:space="preserve"> </w:t>
      </w:r>
      <w:r w:rsidRPr="00731C34">
        <w:rPr>
          <w:rFonts w:ascii="Arial" w:hAnsi="Arial" w:cs="Arial"/>
        </w:rPr>
        <w:t>of Flaxseed in</w:t>
      </w:r>
      <w:r w:rsidRPr="00731C34">
        <w:rPr>
          <w:rFonts w:ascii="Arial" w:hAnsi="Arial" w:cs="Arial"/>
          <w:spacing w:val="26"/>
        </w:rPr>
        <w:t xml:space="preserve"> </w:t>
      </w:r>
      <w:r w:rsidRPr="00731C34">
        <w:rPr>
          <w:rFonts w:ascii="Arial" w:hAnsi="Arial" w:cs="Arial"/>
        </w:rPr>
        <w:t>Improving Human Health.</w:t>
      </w:r>
      <w:r w:rsidRPr="00731C34">
        <w:rPr>
          <w:rFonts w:ascii="Arial" w:hAnsi="Arial" w:cs="Arial"/>
          <w:spacing w:val="-8"/>
        </w:rPr>
        <w:t xml:space="preserve"> </w:t>
      </w:r>
      <w:r w:rsidRPr="00731C34">
        <w:rPr>
          <w:rFonts w:ascii="Arial" w:hAnsi="Arial" w:cs="Arial"/>
          <w:i/>
        </w:rPr>
        <w:t>Healthcare</w:t>
      </w:r>
      <w:r w:rsidRPr="00731C34">
        <w:rPr>
          <w:rFonts w:ascii="Arial" w:hAnsi="Arial" w:cs="Arial"/>
        </w:rPr>
        <w:t>,</w:t>
      </w:r>
      <w:r w:rsidRPr="00731C34">
        <w:rPr>
          <w:rFonts w:ascii="Arial" w:hAnsi="Arial" w:cs="Arial"/>
          <w:spacing w:val="-12"/>
        </w:rPr>
        <w:t xml:space="preserve"> </w:t>
      </w:r>
      <w:r w:rsidRPr="00731C34">
        <w:rPr>
          <w:rFonts w:ascii="Arial" w:hAnsi="Arial" w:cs="Arial"/>
          <w:i/>
        </w:rPr>
        <w:t>11</w:t>
      </w:r>
      <w:r w:rsidRPr="00731C34">
        <w:rPr>
          <w:rFonts w:ascii="Arial" w:hAnsi="Arial" w:cs="Arial"/>
        </w:rPr>
        <w:t>(3). URL:</w:t>
      </w:r>
      <w:r w:rsidRPr="00731C34">
        <w:rPr>
          <w:rFonts w:ascii="Arial" w:hAnsi="Arial" w:cs="Arial"/>
          <w:spacing w:val="-6"/>
        </w:rPr>
        <w:t xml:space="preserve"> </w:t>
      </w:r>
      <w:r w:rsidR="00E40981" w:rsidRPr="00731C34">
        <w:t>https://doi.org/10.3390/healthcare11030395</w:t>
      </w:r>
      <w:r w:rsidRPr="00731C34">
        <w:rPr>
          <w:rFonts w:ascii="Arial" w:hAnsi="Arial" w:cs="Arial"/>
          <w:spacing w:val="-2"/>
        </w:rPr>
        <w:t xml:space="preserve">. </w:t>
      </w:r>
    </w:p>
    <w:p w14:paraId="2E9E17B6" w14:textId="6AC1CCBC" w:rsidR="00154D30" w:rsidRPr="00731C34" w:rsidRDefault="00154D30" w:rsidP="00177E2E">
      <w:pPr>
        <w:pStyle w:val="ListParagraph"/>
        <w:numPr>
          <w:ilvl w:val="0"/>
          <w:numId w:val="32"/>
        </w:numPr>
        <w:tabs>
          <w:tab w:val="left" w:pos="8080"/>
        </w:tabs>
        <w:ind w:right="3"/>
        <w:jc w:val="both"/>
        <w:rPr>
          <w:rFonts w:ascii="Arial" w:hAnsi="Arial" w:cs="Arial"/>
          <w:spacing w:val="-2"/>
        </w:rPr>
      </w:pPr>
      <w:r w:rsidRPr="00731C34">
        <w:rPr>
          <w:rFonts w:ascii="Arial" w:hAnsi="Arial" w:cs="Arial"/>
        </w:rPr>
        <w:t xml:space="preserve">Salma, N., Serva Peddha, M., &amp; </w:t>
      </w:r>
      <w:proofErr w:type="spellStart"/>
      <w:r w:rsidRPr="00731C34">
        <w:rPr>
          <w:rFonts w:ascii="Arial" w:hAnsi="Arial" w:cs="Arial"/>
        </w:rPr>
        <w:t>Aswathanarayana</w:t>
      </w:r>
      <w:proofErr w:type="spellEnd"/>
      <w:r w:rsidRPr="00731C34">
        <w:rPr>
          <w:rFonts w:ascii="Arial" w:hAnsi="Arial" w:cs="Arial"/>
        </w:rPr>
        <w:t xml:space="preserve"> Setty, J. L. (2019). Ameliorative effect of flaxseed </w:t>
      </w:r>
      <w:proofErr w:type="gramStart"/>
      <w:r w:rsidRPr="00731C34">
        <w:rPr>
          <w:rFonts w:ascii="Arial" w:hAnsi="Arial" w:cs="Arial"/>
        </w:rPr>
        <w:t xml:space="preserve">( </w:t>
      </w:r>
      <w:r w:rsidRPr="00731C34">
        <w:rPr>
          <w:rFonts w:ascii="Arial" w:hAnsi="Arial" w:cs="Arial"/>
          <w:i/>
          <w:iCs/>
        </w:rPr>
        <w:t>Linum</w:t>
      </w:r>
      <w:proofErr w:type="gramEnd"/>
      <w:r w:rsidRPr="00731C34">
        <w:rPr>
          <w:rFonts w:ascii="Arial" w:hAnsi="Arial" w:cs="Arial"/>
          <w:i/>
          <w:iCs/>
        </w:rPr>
        <w:t xml:space="preserve"> </w:t>
      </w:r>
      <w:proofErr w:type="spellStart"/>
      <w:r w:rsidRPr="00731C34">
        <w:rPr>
          <w:rFonts w:ascii="Arial" w:hAnsi="Arial" w:cs="Arial"/>
          <w:i/>
          <w:iCs/>
        </w:rPr>
        <w:t>usitatissimum</w:t>
      </w:r>
      <w:proofErr w:type="spellEnd"/>
      <w:r w:rsidRPr="00731C34">
        <w:rPr>
          <w:rFonts w:ascii="Arial" w:hAnsi="Arial" w:cs="Arial"/>
        </w:rPr>
        <w:t xml:space="preserve"> ) and its protein on ethanol</w:t>
      </w:r>
      <w:r w:rsidRPr="00731C34">
        <w:rPr>
          <w:rFonts w:ascii="Cambria Math" w:hAnsi="Cambria Math" w:cs="Cambria Math"/>
        </w:rPr>
        <w:t>‐</w:t>
      </w:r>
      <w:r w:rsidRPr="00731C34">
        <w:rPr>
          <w:rFonts w:ascii="Arial" w:hAnsi="Arial" w:cs="Arial"/>
        </w:rPr>
        <w:t xml:space="preserve">induced hepatotoxicity in Wistar rats. </w:t>
      </w:r>
      <w:r w:rsidRPr="00731C34">
        <w:rPr>
          <w:rFonts w:ascii="Arial" w:hAnsi="Arial" w:cs="Arial"/>
          <w:i/>
          <w:iCs/>
        </w:rPr>
        <w:t>Journal of Food Biochemistry</w:t>
      </w:r>
      <w:r w:rsidRPr="00731C34">
        <w:rPr>
          <w:rFonts w:ascii="Arial" w:hAnsi="Arial" w:cs="Arial"/>
        </w:rPr>
        <w:t xml:space="preserve">, </w:t>
      </w:r>
      <w:r w:rsidRPr="00731C34">
        <w:rPr>
          <w:rFonts w:ascii="Arial" w:hAnsi="Arial" w:cs="Arial"/>
          <w:i/>
          <w:iCs/>
        </w:rPr>
        <w:t>43</w:t>
      </w:r>
      <w:r w:rsidRPr="00731C34">
        <w:rPr>
          <w:rFonts w:ascii="Arial" w:hAnsi="Arial" w:cs="Arial"/>
        </w:rPr>
        <w:t xml:space="preserve">(12). URL: </w:t>
      </w:r>
      <w:r w:rsidR="00E40981" w:rsidRPr="00731C34">
        <w:t>https://doi.org/10.1111/jfbc.13047</w:t>
      </w:r>
      <w:r w:rsidRPr="00731C34">
        <w:rPr>
          <w:rFonts w:ascii="Arial" w:hAnsi="Arial" w:cs="Arial"/>
        </w:rPr>
        <w:t xml:space="preserve">. </w:t>
      </w:r>
    </w:p>
    <w:p w14:paraId="02006827" w14:textId="0DF7C02D"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Sang, J., Qu, H., Gu, R., Chen, D., Chen, X., Yin, B., Huang, Y., Xi, W., Wang, C., &amp; Huang, Y. (2019). Proteomics study of the effect of high-fat diet on rat liver. </w:t>
      </w:r>
      <w:r w:rsidRPr="00731C34">
        <w:rPr>
          <w:rFonts w:ascii="Arial" w:hAnsi="Arial" w:cs="Arial"/>
          <w:i/>
          <w:iCs/>
        </w:rPr>
        <w:t>British Journal of Nutrition</w:t>
      </w:r>
      <w:r w:rsidRPr="00731C34">
        <w:rPr>
          <w:rFonts w:ascii="Arial" w:hAnsi="Arial" w:cs="Arial"/>
        </w:rPr>
        <w:t xml:space="preserve">, </w:t>
      </w:r>
      <w:r w:rsidRPr="00731C34">
        <w:rPr>
          <w:rFonts w:ascii="Arial" w:hAnsi="Arial" w:cs="Arial"/>
          <w:i/>
          <w:iCs/>
        </w:rPr>
        <w:t>122</w:t>
      </w:r>
      <w:r w:rsidRPr="00731C34">
        <w:rPr>
          <w:rFonts w:ascii="Arial" w:hAnsi="Arial" w:cs="Arial"/>
        </w:rPr>
        <w:t xml:space="preserve">(9), 1062–1072. URL: </w:t>
      </w:r>
      <w:r w:rsidR="00E40981" w:rsidRPr="00731C34">
        <w:t>https://www.cambridge.org/core/journals/british-journal-of-nutrition/article/proteomics-study-the-effect-of-highfat-diet-on-rat-liver/A61CE0AA7AA497D2939769DC85051B87</w:t>
      </w:r>
      <w:r w:rsidRPr="00731C34">
        <w:rPr>
          <w:rFonts w:ascii="Arial" w:hAnsi="Arial" w:cs="Arial"/>
        </w:rPr>
        <w:t xml:space="preserve">. </w:t>
      </w:r>
    </w:p>
    <w:p w14:paraId="64A85B22" w14:textId="77777777" w:rsidR="00154D30" w:rsidRPr="00731C34" w:rsidRDefault="00154D30" w:rsidP="00177E2E">
      <w:pPr>
        <w:pStyle w:val="ListParagraph"/>
        <w:numPr>
          <w:ilvl w:val="0"/>
          <w:numId w:val="32"/>
        </w:numPr>
        <w:ind w:right="6"/>
        <w:jc w:val="both"/>
        <w:rPr>
          <w:rFonts w:ascii="Arial" w:hAnsi="Arial" w:cs="Arial"/>
        </w:rPr>
      </w:pPr>
      <w:proofErr w:type="spellStart"/>
      <w:r w:rsidRPr="00731C34">
        <w:rPr>
          <w:rFonts w:ascii="Arial" w:hAnsi="Arial" w:cs="Arial"/>
        </w:rPr>
        <w:t>Scanarotti</w:t>
      </w:r>
      <w:proofErr w:type="spellEnd"/>
      <w:r w:rsidRPr="00731C34">
        <w:rPr>
          <w:rFonts w:ascii="Arial" w:hAnsi="Arial" w:cs="Arial"/>
        </w:rPr>
        <w:t>, I. G., Sain, J., Fabro, A., &amp; Bernal, C. A. (2024). Virgin flaxseed oil supplemented or not with tocopherols and phytosterols prevents liver steatosis induced by high</w:t>
      </w:r>
      <w:r w:rsidRPr="00731C34">
        <w:rPr>
          <w:rFonts w:ascii="Cambria Math" w:hAnsi="Cambria Math" w:cs="Cambria Math"/>
        </w:rPr>
        <w:t>‐</w:t>
      </w:r>
      <w:r w:rsidRPr="00731C34">
        <w:rPr>
          <w:rFonts w:ascii="Arial" w:hAnsi="Arial" w:cs="Arial"/>
        </w:rPr>
        <w:t xml:space="preserve">fat diets in male Wistar rats. </w:t>
      </w:r>
      <w:r w:rsidRPr="00731C34">
        <w:rPr>
          <w:rFonts w:ascii="Arial" w:hAnsi="Arial" w:cs="Arial"/>
          <w:i/>
          <w:iCs/>
        </w:rPr>
        <w:t>European Journal of Lipid Science and Technology</w:t>
      </w:r>
      <w:r w:rsidRPr="00731C34">
        <w:rPr>
          <w:rFonts w:ascii="Arial" w:hAnsi="Arial" w:cs="Arial"/>
        </w:rPr>
        <w:t xml:space="preserve">, </w:t>
      </w:r>
      <w:r w:rsidRPr="00731C34">
        <w:rPr>
          <w:rFonts w:ascii="Arial" w:hAnsi="Arial" w:cs="Arial"/>
          <w:i/>
          <w:iCs/>
        </w:rPr>
        <w:t>126</w:t>
      </w:r>
      <w:r w:rsidRPr="00731C34">
        <w:rPr>
          <w:rFonts w:ascii="Arial" w:hAnsi="Arial" w:cs="Arial"/>
        </w:rPr>
        <w:t>(5), 2300203. https://doi.org/10.1002/ejlt.202300203</w:t>
      </w:r>
    </w:p>
    <w:p w14:paraId="29BD25AF" w14:textId="5E0BF6C1"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Sorour, H., </w:t>
      </w:r>
      <w:proofErr w:type="spellStart"/>
      <w:r w:rsidRPr="00731C34">
        <w:rPr>
          <w:rFonts w:ascii="Arial" w:hAnsi="Arial" w:cs="Arial"/>
        </w:rPr>
        <w:t>Abdelmaksoud</w:t>
      </w:r>
      <w:proofErr w:type="spellEnd"/>
      <w:r w:rsidRPr="00731C34">
        <w:rPr>
          <w:rFonts w:ascii="Arial" w:hAnsi="Arial" w:cs="Arial"/>
        </w:rPr>
        <w:t xml:space="preserve">, D., &amp; Abd Elgalil, M. M. (2021). The Impact of High Fat Diet and Flaxseed on Liver Histology, Histochemistry and Morphometry in Ovariectomized Albino Rat. </w:t>
      </w:r>
      <w:r w:rsidRPr="00731C34">
        <w:rPr>
          <w:rFonts w:ascii="Arial" w:hAnsi="Arial" w:cs="Arial"/>
          <w:i/>
          <w:iCs/>
        </w:rPr>
        <w:t>Egyptian Journal of Histology</w:t>
      </w:r>
      <w:r w:rsidRPr="00731C34">
        <w:rPr>
          <w:rFonts w:ascii="Arial" w:hAnsi="Arial" w:cs="Arial"/>
        </w:rPr>
        <w:t xml:space="preserve">, 45(1), 68–89. URL: </w:t>
      </w:r>
      <w:r w:rsidR="00E40981" w:rsidRPr="00731C34">
        <w:t>10.21608/ejh.2021.58761.1421</w:t>
      </w:r>
      <w:r w:rsidRPr="00731C34">
        <w:rPr>
          <w:rFonts w:ascii="Arial" w:hAnsi="Arial" w:cs="Arial"/>
        </w:rPr>
        <w:t xml:space="preserve">. </w:t>
      </w:r>
    </w:p>
    <w:p w14:paraId="585B7E7E" w14:textId="77777777" w:rsidR="00154D30" w:rsidRPr="00731C34" w:rsidRDefault="00154D30" w:rsidP="00177E2E">
      <w:pPr>
        <w:pStyle w:val="ListParagraph"/>
        <w:numPr>
          <w:ilvl w:val="0"/>
          <w:numId w:val="32"/>
        </w:numPr>
        <w:tabs>
          <w:tab w:val="left" w:pos="8080"/>
        </w:tabs>
        <w:ind w:right="3"/>
        <w:jc w:val="both"/>
        <w:rPr>
          <w:rFonts w:ascii="Arial" w:hAnsi="Arial" w:cs="Arial"/>
        </w:rPr>
      </w:pPr>
      <w:r w:rsidRPr="00731C34">
        <w:rPr>
          <w:rFonts w:ascii="Arial" w:hAnsi="Arial" w:cs="Arial"/>
        </w:rPr>
        <w:t xml:space="preserve">Taguchi, D., </w:t>
      </w:r>
      <w:proofErr w:type="spellStart"/>
      <w:r w:rsidRPr="00731C34">
        <w:rPr>
          <w:rFonts w:ascii="Arial" w:hAnsi="Arial" w:cs="Arial"/>
        </w:rPr>
        <w:t>Shirakami</w:t>
      </w:r>
      <w:proofErr w:type="spellEnd"/>
      <w:r w:rsidRPr="00731C34">
        <w:rPr>
          <w:rFonts w:ascii="Arial" w:hAnsi="Arial" w:cs="Arial"/>
        </w:rPr>
        <w:t xml:space="preserve">, Y., Sakai, H., Maeda, T., Miwa, T., Kubota, M., Imai, K., Ibuka, T., &amp; Shimizu, M. (2024). High-Fat Diet Delays Liver Fibrosis Recovery and Promotes Hepatocarcinogenesis in Rat Liver Cirrhosis Model. </w:t>
      </w:r>
      <w:r w:rsidRPr="00731C34">
        <w:rPr>
          <w:rFonts w:ascii="Arial" w:hAnsi="Arial" w:cs="Arial"/>
          <w:i/>
          <w:iCs/>
        </w:rPr>
        <w:t>Nutrients</w:t>
      </w:r>
      <w:r w:rsidRPr="00731C34">
        <w:rPr>
          <w:rFonts w:ascii="Arial" w:hAnsi="Arial" w:cs="Arial"/>
        </w:rPr>
        <w:t xml:space="preserve">, 16(15), 2506. URL: </w:t>
      </w:r>
      <w:hyperlink r:id="rId18" w:history="1">
        <w:r w:rsidRPr="00731C34">
          <w:rPr>
            <w:rFonts w:ascii="Arial" w:hAnsi="Arial" w:cs="Arial"/>
          </w:rPr>
          <w:t>https://doi.org/10.3390/nu16152506</w:t>
        </w:r>
      </w:hyperlink>
      <w:r w:rsidRPr="00731C34">
        <w:rPr>
          <w:rFonts w:ascii="Arial" w:hAnsi="Arial" w:cs="Arial"/>
        </w:rPr>
        <w:t xml:space="preserve">. </w:t>
      </w:r>
    </w:p>
    <w:p w14:paraId="49109265" w14:textId="77777777" w:rsidR="00154D30" w:rsidRPr="00731C34" w:rsidRDefault="00154D30" w:rsidP="00177E2E">
      <w:pPr>
        <w:pStyle w:val="ListParagraph"/>
        <w:numPr>
          <w:ilvl w:val="0"/>
          <w:numId w:val="32"/>
        </w:numPr>
        <w:tabs>
          <w:tab w:val="left" w:pos="8080"/>
        </w:tabs>
        <w:ind w:right="3"/>
        <w:jc w:val="both"/>
        <w:rPr>
          <w:rFonts w:ascii="Arial" w:hAnsi="Arial" w:cs="Arial"/>
          <w:spacing w:val="-2"/>
        </w:rPr>
      </w:pPr>
      <w:r w:rsidRPr="00731C34">
        <w:rPr>
          <w:rFonts w:ascii="Arial" w:hAnsi="Arial" w:cs="Arial"/>
        </w:rPr>
        <w:t>Tomic,</w:t>
      </w:r>
      <w:r w:rsidRPr="00731C34">
        <w:rPr>
          <w:rFonts w:ascii="Arial" w:hAnsi="Arial" w:cs="Arial"/>
          <w:spacing w:val="-15"/>
        </w:rPr>
        <w:t xml:space="preserve"> </w:t>
      </w:r>
      <w:r w:rsidRPr="00731C34">
        <w:rPr>
          <w:rFonts w:ascii="Arial" w:hAnsi="Arial" w:cs="Arial"/>
        </w:rPr>
        <w:t>D.,</w:t>
      </w:r>
      <w:r w:rsidRPr="00731C34">
        <w:rPr>
          <w:rFonts w:ascii="Arial" w:hAnsi="Arial" w:cs="Arial"/>
          <w:spacing w:val="-11"/>
        </w:rPr>
        <w:t xml:space="preserve"> </w:t>
      </w:r>
      <w:r w:rsidRPr="00731C34">
        <w:rPr>
          <w:rFonts w:ascii="Arial" w:hAnsi="Arial" w:cs="Arial"/>
        </w:rPr>
        <w:t>Kemp,</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&amp;</w:t>
      </w:r>
      <w:r w:rsidRPr="00731C34">
        <w:rPr>
          <w:rFonts w:ascii="Arial" w:hAnsi="Arial" w:cs="Arial"/>
          <w:spacing w:val="-10"/>
        </w:rPr>
        <w:t xml:space="preserve"> </w:t>
      </w:r>
      <w:r w:rsidRPr="00731C34">
        <w:rPr>
          <w:rFonts w:ascii="Arial" w:hAnsi="Arial" w:cs="Arial"/>
        </w:rPr>
        <w:t>Roberts,</w:t>
      </w:r>
      <w:r w:rsidRPr="00731C34">
        <w:rPr>
          <w:rFonts w:ascii="Arial" w:hAnsi="Arial" w:cs="Arial"/>
          <w:spacing w:val="-11"/>
        </w:rPr>
        <w:t xml:space="preserve"> </w:t>
      </w:r>
      <w:r w:rsidRPr="00731C34">
        <w:rPr>
          <w:rFonts w:ascii="Arial" w:hAnsi="Arial" w:cs="Arial"/>
        </w:rPr>
        <w:t>S.</w:t>
      </w:r>
      <w:r w:rsidRPr="00731C34">
        <w:rPr>
          <w:rFonts w:ascii="Arial" w:hAnsi="Arial" w:cs="Arial"/>
          <w:spacing w:val="-11"/>
        </w:rPr>
        <w:t xml:space="preserve"> </w:t>
      </w:r>
      <w:r w:rsidRPr="00731C34">
        <w:rPr>
          <w:rFonts w:ascii="Arial" w:hAnsi="Arial" w:cs="Arial"/>
        </w:rPr>
        <w:t>K.</w:t>
      </w:r>
      <w:r w:rsidRPr="00731C34">
        <w:rPr>
          <w:rFonts w:ascii="Arial" w:hAnsi="Arial" w:cs="Arial"/>
          <w:spacing w:val="-15"/>
        </w:rPr>
        <w:t xml:space="preserve"> </w:t>
      </w:r>
      <w:r w:rsidRPr="00731C34">
        <w:rPr>
          <w:rFonts w:ascii="Arial" w:hAnsi="Arial" w:cs="Arial"/>
        </w:rPr>
        <w:t>2018.</w:t>
      </w:r>
      <w:r w:rsidRPr="00731C34">
        <w:rPr>
          <w:rFonts w:ascii="Arial" w:hAnsi="Arial" w:cs="Arial"/>
          <w:spacing w:val="-15"/>
        </w:rPr>
        <w:t xml:space="preserve"> </w:t>
      </w:r>
      <w:r w:rsidRPr="00731C34">
        <w:rPr>
          <w:rFonts w:ascii="Arial" w:hAnsi="Arial" w:cs="Arial"/>
        </w:rPr>
        <w:t>Nonalcoholic</w:t>
      </w:r>
      <w:r w:rsidRPr="00731C34">
        <w:rPr>
          <w:rFonts w:ascii="Arial" w:hAnsi="Arial" w:cs="Arial"/>
          <w:spacing w:val="-12"/>
        </w:rPr>
        <w:t xml:space="preserve"> </w:t>
      </w:r>
      <w:r w:rsidRPr="00731C34">
        <w:rPr>
          <w:rFonts w:ascii="Arial" w:hAnsi="Arial" w:cs="Arial"/>
        </w:rPr>
        <w:t>fatty</w:t>
      </w:r>
      <w:r w:rsidRPr="00731C34">
        <w:rPr>
          <w:rFonts w:ascii="Arial" w:hAnsi="Arial" w:cs="Arial"/>
          <w:spacing w:val="-14"/>
        </w:rPr>
        <w:t xml:space="preserve"> </w:t>
      </w:r>
      <w:r w:rsidRPr="00731C34">
        <w:rPr>
          <w:rFonts w:ascii="Arial" w:hAnsi="Arial" w:cs="Arial"/>
        </w:rPr>
        <w:t>liver</w:t>
      </w:r>
      <w:r w:rsidRPr="00731C34">
        <w:rPr>
          <w:rFonts w:ascii="Arial" w:hAnsi="Arial" w:cs="Arial"/>
          <w:spacing w:val="-15"/>
        </w:rPr>
        <w:t xml:space="preserve"> </w:t>
      </w:r>
      <w:r w:rsidRPr="00731C34">
        <w:rPr>
          <w:rFonts w:ascii="Arial" w:hAnsi="Arial" w:cs="Arial"/>
        </w:rPr>
        <w:t xml:space="preserve">disease: current concepts, epidemiology and management strategies. </w:t>
      </w:r>
      <w:r w:rsidRPr="00731C34">
        <w:rPr>
          <w:rFonts w:ascii="Arial" w:hAnsi="Arial" w:cs="Arial"/>
          <w:i/>
        </w:rPr>
        <w:t>European Journal of Gastroenterology &amp; Hepatology</w:t>
      </w:r>
      <w:r w:rsidRPr="00731C34">
        <w:rPr>
          <w:rFonts w:ascii="Arial" w:hAnsi="Arial" w:cs="Arial"/>
        </w:rPr>
        <w:t xml:space="preserve">, </w:t>
      </w:r>
      <w:r w:rsidRPr="00731C34">
        <w:rPr>
          <w:rFonts w:ascii="Arial" w:hAnsi="Arial" w:cs="Arial"/>
          <w:i/>
        </w:rPr>
        <w:t>30</w:t>
      </w:r>
      <w:r w:rsidRPr="00731C34">
        <w:rPr>
          <w:rFonts w:ascii="Arial" w:hAnsi="Arial" w:cs="Arial"/>
        </w:rPr>
        <w:t xml:space="preserve">(10), 1103–1115. URL: </w:t>
      </w:r>
      <w:hyperlink r:id="rId19" w:history="1">
        <w:r w:rsidRPr="00731C34">
          <w:rPr>
            <w:rFonts w:ascii="Arial" w:hAnsi="Arial" w:cs="Arial"/>
            <w:spacing w:val="-2"/>
          </w:rPr>
          <w:t>https://doi.org/10.1097/MEG.0000000000001235</w:t>
        </w:r>
      </w:hyperlink>
      <w:r w:rsidRPr="00731C34">
        <w:rPr>
          <w:rFonts w:ascii="Arial" w:hAnsi="Arial" w:cs="Arial"/>
          <w:spacing w:val="-2"/>
        </w:rPr>
        <w:t xml:space="preserve">. </w:t>
      </w:r>
    </w:p>
    <w:p w14:paraId="1BCD18BE" w14:textId="77777777" w:rsidR="00154D30" w:rsidRPr="00731C34" w:rsidRDefault="00154D30" w:rsidP="00177E2E">
      <w:pPr>
        <w:pStyle w:val="ListParagraph"/>
        <w:numPr>
          <w:ilvl w:val="0"/>
          <w:numId w:val="32"/>
        </w:numPr>
        <w:tabs>
          <w:tab w:val="left" w:pos="8080"/>
        </w:tabs>
        <w:ind w:right="3"/>
        <w:jc w:val="both"/>
        <w:rPr>
          <w:rFonts w:ascii="Arial" w:hAnsi="Arial" w:cs="Arial"/>
        </w:rPr>
      </w:pPr>
      <w:r w:rsidRPr="00731C34">
        <w:rPr>
          <w:rFonts w:ascii="Arial" w:hAnsi="Arial" w:cs="Arial"/>
        </w:rPr>
        <w:t xml:space="preserve">Xu, J., Rong, S., Gao, H., Chen, C., Yang, W., Deng, Q., Huang, Q., Xiao, L., &amp; Huang, F. (2017). A Combination of Flaxseed Oil and Astaxanthin Improves Hepatic Lipid Accumulation and Reduces Oxidative Stress in High Fat-Diet Fed Rats.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9</w:t>
      </w:r>
      <w:r w:rsidRPr="00731C34">
        <w:rPr>
          <w:rFonts w:ascii="Arial" w:hAnsi="Arial" w:cs="Arial"/>
        </w:rPr>
        <w:t xml:space="preserve">(3), 271. URL: </w:t>
      </w:r>
      <w:hyperlink r:id="rId20" w:history="1">
        <w:r w:rsidRPr="00731C34">
          <w:rPr>
            <w:rFonts w:ascii="Arial" w:hAnsi="Arial" w:cs="Arial"/>
          </w:rPr>
          <w:t>https://doi.org/10.3390/nu9030271</w:t>
        </w:r>
      </w:hyperlink>
      <w:r w:rsidRPr="00731C34">
        <w:rPr>
          <w:rFonts w:ascii="Arial" w:hAnsi="Arial" w:cs="Arial"/>
        </w:rPr>
        <w:t xml:space="preserve">. </w:t>
      </w:r>
    </w:p>
    <w:p w14:paraId="263AE1A7" w14:textId="77777777"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Yang, C., Wan, M., Xu, D., Pan, D., Xia, H., Yang, L., &amp; Sun, G. (2021). Flaxseed Powder Attenuates Non-Alcoholic Steatohepatitis via Modulation of Gut Microbiota </w:t>
      </w:r>
      <w:r w:rsidRPr="00731C34">
        <w:rPr>
          <w:rFonts w:ascii="Arial" w:hAnsi="Arial" w:cs="Arial"/>
        </w:rPr>
        <w:lastRenderedPageBreak/>
        <w:t xml:space="preserve">and Bile Acid Metabolism through Gut–Liver Axis.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(19), 10858. URL: </w:t>
      </w:r>
      <w:hyperlink r:id="rId21" w:history="1">
        <w:r w:rsidRPr="00731C34">
          <w:rPr>
            <w:rFonts w:ascii="Arial" w:hAnsi="Arial" w:cs="Arial"/>
          </w:rPr>
          <w:t>https://doi.org/10.3390/ijms221910858</w:t>
        </w:r>
      </w:hyperlink>
      <w:r w:rsidRPr="00731C34">
        <w:rPr>
          <w:rFonts w:ascii="Arial" w:hAnsi="Arial" w:cs="Arial"/>
        </w:rPr>
        <w:t xml:space="preserve">. </w:t>
      </w:r>
    </w:p>
    <w:p w14:paraId="3BEF9916" w14:textId="77777777"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proofErr w:type="spellStart"/>
      <w:r w:rsidRPr="00731C34">
        <w:rPr>
          <w:rFonts w:ascii="Arial" w:hAnsi="Arial" w:cs="Arial"/>
        </w:rPr>
        <w:t>Younossi</w:t>
      </w:r>
      <w:proofErr w:type="spellEnd"/>
      <w:r w:rsidRPr="00731C34">
        <w:rPr>
          <w:rFonts w:ascii="Arial" w:hAnsi="Arial" w:cs="Arial"/>
        </w:rPr>
        <w:t>,</w:t>
      </w:r>
      <w:r w:rsidRPr="00731C34">
        <w:rPr>
          <w:rFonts w:ascii="Arial" w:hAnsi="Arial" w:cs="Arial"/>
          <w:spacing w:val="-7"/>
        </w:rPr>
        <w:t xml:space="preserve"> </w:t>
      </w:r>
      <w:r w:rsidRPr="00731C34">
        <w:rPr>
          <w:rFonts w:ascii="Arial" w:hAnsi="Arial" w:cs="Arial"/>
        </w:rPr>
        <w:t>Z.</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Golabi,</w:t>
      </w:r>
      <w:r w:rsidRPr="00731C34">
        <w:rPr>
          <w:rFonts w:ascii="Arial" w:hAnsi="Arial" w:cs="Arial"/>
          <w:spacing w:val="-7"/>
        </w:rPr>
        <w:t xml:space="preserve"> </w:t>
      </w:r>
      <w:r w:rsidRPr="00731C34">
        <w:rPr>
          <w:rFonts w:ascii="Arial" w:hAnsi="Arial" w:cs="Arial"/>
        </w:rPr>
        <w:t>P.,</w:t>
      </w:r>
      <w:r w:rsidRPr="00731C34">
        <w:rPr>
          <w:rFonts w:ascii="Arial" w:hAnsi="Arial" w:cs="Arial"/>
          <w:spacing w:val="-7"/>
        </w:rPr>
        <w:t xml:space="preserve"> </w:t>
      </w:r>
      <w:r w:rsidRPr="00731C34">
        <w:rPr>
          <w:rFonts w:ascii="Arial" w:hAnsi="Arial" w:cs="Arial"/>
        </w:rPr>
        <w:t>Paik,</w:t>
      </w:r>
      <w:r w:rsidRPr="00731C34">
        <w:rPr>
          <w:rFonts w:ascii="Arial" w:hAnsi="Arial" w:cs="Arial"/>
          <w:spacing w:val="-7"/>
        </w:rPr>
        <w:t xml:space="preserve"> </w:t>
      </w:r>
      <w:r w:rsidRPr="00731C34">
        <w:rPr>
          <w:rFonts w:ascii="Arial" w:hAnsi="Arial" w:cs="Arial"/>
        </w:rPr>
        <w:t>J.</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A.,</w:t>
      </w:r>
      <w:r w:rsidRPr="00731C34">
        <w:rPr>
          <w:rFonts w:ascii="Arial" w:hAnsi="Arial" w:cs="Arial"/>
          <w:spacing w:val="-7"/>
        </w:rPr>
        <w:t xml:space="preserve"> </w:t>
      </w:r>
      <w:r w:rsidRPr="00731C34">
        <w:rPr>
          <w:rFonts w:ascii="Arial" w:hAnsi="Arial" w:cs="Arial"/>
        </w:rPr>
        <w:t>Van</w:t>
      </w:r>
      <w:r w:rsidRPr="00731C34">
        <w:rPr>
          <w:rFonts w:ascii="Arial" w:hAnsi="Arial" w:cs="Arial"/>
          <w:spacing w:val="-7"/>
        </w:rPr>
        <w:t xml:space="preserve"> </w:t>
      </w:r>
      <w:r w:rsidRPr="00731C34">
        <w:rPr>
          <w:rFonts w:ascii="Arial" w:hAnsi="Arial" w:cs="Arial"/>
        </w:rPr>
        <w:t>Dongen,</w:t>
      </w:r>
      <w:r w:rsidRPr="00731C34">
        <w:rPr>
          <w:rFonts w:ascii="Arial" w:hAnsi="Arial" w:cs="Arial"/>
          <w:spacing w:val="-7"/>
        </w:rPr>
        <w:t xml:space="preserve"> </w:t>
      </w:r>
      <w:r w:rsidRPr="00731C34">
        <w:rPr>
          <w:rFonts w:ascii="Arial" w:hAnsi="Arial" w:cs="Arial"/>
        </w:rPr>
        <w:t>C.,</w:t>
      </w:r>
      <w:r w:rsidRPr="00731C34">
        <w:rPr>
          <w:rFonts w:ascii="Arial" w:hAnsi="Arial" w:cs="Arial"/>
          <w:spacing w:val="-7"/>
        </w:rPr>
        <w:t xml:space="preserve"> </w:t>
      </w:r>
      <w:r w:rsidRPr="00731C34">
        <w:rPr>
          <w:rFonts w:ascii="Arial" w:hAnsi="Arial" w:cs="Arial"/>
        </w:rPr>
        <w:t>&amp;</w:t>
      </w:r>
      <w:r w:rsidRPr="00731C34">
        <w:rPr>
          <w:rFonts w:ascii="Arial" w:hAnsi="Arial" w:cs="Arial"/>
          <w:spacing w:val="-6"/>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L. 2023.</w:t>
      </w:r>
      <w:r w:rsidRPr="00731C34">
        <w:rPr>
          <w:rFonts w:ascii="Arial" w:hAnsi="Arial" w:cs="Arial"/>
          <w:spacing w:val="-1"/>
        </w:rPr>
        <w:t xml:space="preserve"> </w:t>
      </w:r>
      <w:r w:rsidRPr="00731C34">
        <w:rPr>
          <w:rFonts w:ascii="Arial" w:hAnsi="Arial" w:cs="Arial"/>
        </w:rPr>
        <w:t>The global</w:t>
      </w:r>
      <w:r w:rsidRPr="00731C34">
        <w:rPr>
          <w:rFonts w:ascii="Arial" w:hAnsi="Arial" w:cs="Arial"/>
          <w:spacing w:val="-3"/>
        </w:rPr>
        <w:t xml:space="preserve"> </w:t>
      </w:r>
      <w:r w:rsidRPr="00731C34">
        <w:rPr>
          <w:rFonts w:ascii="Arial" w:hAnsi="Arial" w:cs="Arial"/>
        </w:rPr>
        <w:t>epidemiology</w:t>
      </w:r>
      <w:r w:rsidRPr="00731C34">
        <w:rPr>
          <w:rFonts w:ascii="Arial" w:hAnsi="Arial" w:cs="Arial"/>
          <w:spacing w:val="-1"/>
        </w:rPr>
        <w:t xml:space="preserve"> </w:t>
      </w:r>
      <w:r w:rsidRPr="00731C34">
        <w:rPr>
          <w:rFonts w:ascii="Arial" w:hAnsi="Arial" w:cs="Arial"/>
        </w:rPr>
        <w:t>of</w:t>
      </w:r>
      <w:r w:rsidRPr="00731C34">
        <w:rPr>
          <w:rFonts w:ascii="Arial" w:hAnsi="Arial" w:cs="Arial"/>
          <w:spacing w:val="-1"/>
        </w:rPr>
        <w:t xml:space="preserve"> </w:t>
      </w:r>
      <w:r w:rsidRPr="00731C34">
        <w:rPr>
          <w:rFonts w:ascii="Arial" w:hAnsi="Arial" w:cs="Arial"/>
        </w:rPr>
        <w:t>nonalcoholic fatty</w:t>
      </w:r>
      <w:r w:rsidRPr="00731C34">
        <w:rPr>
          <w:rFonts w:ascii="Arial" w:hAnsi="Arial" w:cs="Arial"/>
          <w:spacing w:val="-5"/>
        </w:rPr>
        <w:t xml:space="preserve"> </w:t>
      </w:r>
      <w:r w:rsidRPr="00731C34">
        <w:rPr>
          <w:rFonts w:ascii="Arial" w:hAnsi="Arial" w:cs="Arial"/>
        </w:rPr>
        <w:t>liver</w:t>
      </w:r>
      <w:r w:rsidRPr="00731C34">
        <w:rPr>
          <w:rFonts w:ascii="Arial" w:hAnsi="Arial" w:cs="Arial"/>
          <w:spacing w:val="-1"/>
        </w:rPr>
        <w:t xml:space="preserve"> </w:t>
      </w:r>
      <w:r w:rsidRPr="00731C34">
        <w:rPr>
          <w:rFonts w:ascii="Arial" w:hAnsi="Arial" w:cs="Arial"/>
        </w:rPr>
        <w:t xml:space="preserve">disease (NAFLD) and nonalcoholic steatohepatitis (NASH): a systematic review. </w:t>
      </w:r>
      <w:r w:rsidRPr="00731C34">
        <w:rPr>
          <w:rFonts w:ascii="Arial" w:hAnsi="Arial" w:cs="Arial"/>
          <w:i/>
        </w:rPr>
        <w:t>Hepatology</w:t>
      </w:r>
      <w:r w:rsidRPr="00731C34">
        <w:rPr>
          <w:rFonts w:ascii="Arial" w:hAnsi="Arial" w:cs="Arial"/>
        </w:rPr>
        <w:t xml:space="preserve">, 77(4), 1335–1347. URL: </w:t>
      </w:r>
      <w:hyperlink r:id="rId22" w:history="1">
        <w:r w:rsidRPr="00731C34">
          <w:rPr>
            <w:rFonts w:ascii="Arial" w:hAnsi="Arial" w:cs="Arial"/>
          </w:rPr>
          <w:t>https://doi.org/10.1097/HEP.0000000000000004</w:t>
        </w:r>
      </w:hyperlink>
      <w:r w:rsidRPr="00731C34">
        <w:rPr>
          <w:rFonts w:ascii="Arial" w:hAnsi="Arial" w:cs="Arial"/>
        </w:rPr>
        <w:t xml:space="preserve">. </w:t>
      </w:r>
    </w:p>
    <w:p w14:paraId="692FDC09" w14:textId="77777777" w:rsidR="00441B6F" w:rsidRDefault="00441B6F" w:rsidP="00441B6F">
      <w:pPr>
        <w:pStyle w:val="Body"/>
        <w:spacing w:after="0"/>
        <w:jc w:val="left"/>
        <w:rPr>
          <w:rFonts w:ascii="Arial" w:hAnsi="Arial" w:cs="Arial"/>
        </w:rPr>
      </w:pPr>
    </w:p>
    <w:p w14:paraId="664B55F6" w14:textId="57871F3E" w:rsidR="004D4277" w:rsidRPr="00154D30" w:rsidRDefault="004D4277" w:rsidP="00154D30">
      <w:pPr>
        <w:pStyle w:val="DefAcrHead"/>
        <w:spacing w:after="0"/>
        <w:jc w:val="both"/>
        <w:rPr>
          <w:rFonts w:ascii="Arial" w:hAnsi="Arial" w:cs="Arial"/>
        </w:rPr>
        <w:sectPr w:rsidR="004D4277" w:rsidRPr="00154D30" w:rsidSect="00027A63">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32DA4B8" w14:textId="77777777" w:rsidR="00B01FCD" w:rsidRPr="00FB3A86" w:rsidRDefault="00B01FCD" w:rsidP="00441B6F">
      <w:pPr>
        <w:pStyle w:val="Appendix"/>
        <w:spacing w:after="0"/>
        <w:jc w:val="both"/>
        <w:rPr>
          <w:rFonts w:ascii="Arial" w:hAnsi="Arial" w:cs="Arial"/>
          <w:b w:val="0"/>
        </w:rPr>
      </w:pPr>
    </w:p>
    <w:sectPr w:rsidR="00B01FCD" w:rsidRPr="00FB3A86" w:rsidSect="00027A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C1A9" w14:textId="77777777" w:rsidR="004149F0" w:rsidRDefault="004149F0" w:rsidP="00C37E61">
      <w:r>
        <w:separator/>
      </w:r>
    </w:p>
  </w:endnote>
  <w:endnote w:type="continuationSeparator" w:id="0">
    <w:p w14:paraId="75F2F5FA" w14:textId="77777777" w:rsidR="004149F0" w:rsidRDefault="004149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8900" w14:textId="77777777" w:rsidR="00027A63" w:rsidRDefault="00027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A9D4D" w14:textId="77777777" w:rsidR="00027A63" w:rsidRDefault="00027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E316" w14:textId="1710C13B" w:rsidR="00754C9A" w:rsidRPr="00CB1040" w:rsidRDefault="00754C9A" w:rsidP="00CB10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4E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B818D" w14:textId="77777777" w:rsidR="004149F0" w:rsidRDefault="004149F0" w:rsidP="00C37E61">
      <w:r>
        <w:separator/>
      </w:r>
    </w:p>
  </w:footnote>
  <w:footnote w:type="continuationSeparator" w:id="0">
    <w:p w14:paraId="26CBFB20" w14:textId="77777777" w:rsidR="004149F0" w:rsidRDefault="004149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BF0C2" w14:textId="171396FC" w:rsidR="00027A63" w:rsidRDefault="00E41957">
    <w:pPr>
      <w:pStyle w:val="Header"/>
    </w:pPr>
    <w:r>
      <w:rPr>
        <w:noProof/>
      </w:rPr>
      <w:pict w14:anchorId="0DA1E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BCF24" w14:textId="4CAEDA57" w:rsidR="00027A63" w:rsidRDefault="00E41957">
    <w:pPr>
      <w:pStyle w:val="Header"/>
    </w:pPr>
    <w:r>
      <w:rPr>
        <w:noProof/>
      </w:rPr>
      <w:pict w14:anchorId="611D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EAC18" w14:textId="1AD36450" w:rsidR="00296529" w:rsidRPr="00296529" w:rsidRDefault="00E41957" w:rsidP="00296529">
    <w:pPr>
      <w:ind w:left="2160"/>
      <w:jc w:val="center"/>
      <w:rPr>
        <w:rFonts w:ascii="Times New Roman" w:eastAsia="Calibri" w:hAnsi="Times New Roman"/>
        <w:i/>
        <w:sz w:val="18"/>
        <w:szCs w:val="22"/>
      </w:rPr>
    </w:pPr>
    <w:r>
      <w:rPr>
        <w:noProof/>
      </w:rPr>
      <w:pict w14:anchorId="2D5B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8CD38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B04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011B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8D83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EEE6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037A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C764" w14:textId="26CAB38B" w:rsidR="00027A63" w:rsidRDefault="00E41957">
    <w:pPr>
      <w:pStyle w:val="Header"/>
    </w:pPr>
    <w:r>
      <w:rPr>
        <w:noProof/>
      </w:rPr>
      <w:pict w14:anchorId="3E539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6C3A0" w14:textId="114F455A" w:rsidR="00027A63" w:rsidRDefault="00E41957">
    <w:pPr>
      <w:pStyle w:val="Header"/>
    </w:pPr>
    <w:r>
      <w:rPr>
        <w:noProof/>
      </w:rPr>
      <w:pict w14:anchorId="15023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E77F" w14:textId="5CBB4535" w:rsidR="00027A63" w:rsidRDefault="00E41957">
    <w:pPr>
      <w:pStyle w:val="Header"/>
    </w:pPr>
    <w:r>
      <w:rPr>
        <w:noProof/>
      </w:rPr>
      <w:pict w14:anchorId="2E17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678AC"/>
    <w:multiLevelType w:val="hybridMultilevel"/>
    <w:tmpl w:val="3EC6C6F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CE2D94"/>
    <w:multiLevelType w:val="multilevel"/>
    <w:tmpl w:val="6EA6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A67DA"/>
    <w:multiLevelType w:val="multilevel"/>
    <w:tmpl w:val="E6F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53684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1113200">
    <w:abstractNumId w:val="17"/>
  </w:num>
  <w:num w:numId="3" w16cid:durableId="889805544">
    <w:abstractNumId w:val="26"/>
  </w:num>
  <w:num w:numId="4" w16cid:durableId="16870986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84399303">
    <w:abstractNumId w:val="7"/>
  </w:num>
  <w:num w:numId="6" w16cid:durableId="1897159373">
    <w:abstractNumId w:val="6"/>
  </w:num>
  <w:num w:numId="7" w16cid:durableId="1277370254">
    <w:abstractNumId w:val="1"/>
  </w:num>
  <w:num w:numId="8" w16cid:durableId="434715884">
    <w:abstractNumId w:val="13"/>
  </w:num>
  <w:num w:numId="9" w16cid:durableId="390228541">
    <w:abstractNumId w:val="28"/>
  </w:num>
  <w:num w:numId="10" w16cid:durableId="382214452">
    <w:abstractNumId w:val="2"/>
  </w:num>
  <w:num w:numId="11" w16cid:durableId="1993868854">
    <w:abstractNumId w:val="21"/>
  </w:num>
  <w:num w:numId="12" w16cid:durableId="1952663528">
    <w:abstractNumId w:val="3"/>
  </w:num>
  <w:num w:numId="13" w16cid:durableId="1048798495">
    <w:abstractNumId w:val="20"/>
  </w:num>
  <w:num w:numId="14" w16cid:durableId="911544625">
    <w:abstractNumId w:val="8"/>
  </w:num>
  <w:num w:numId="15" w16cid:durableId="1483347170">
    <w:abstractNumId w:val="24"/>
  </w:num>
  <w:num w:numId="16" w16cid:durableId="350108647">
    <w:abstractNumId w:val="5"/>
  </w:num>
  <w:num w:numId="17" w16cid:durableId="2042632365">
    <w:abstractNumId w:val="25"/>
  </w:num>
  <w:num w:numId="18" w16cid:durableId="1567031553">
    <w:abstractNumId w:val="15"/>
  </w:num>
  <w:num w:numId="19" w16cid:durableId="1874682678">
    <w:abstractNumId w:val="31"/>
  </w:num>
  <w:num w:numId="20" w16cid:durableId="1508597929">
    <w:abstractNumId w:val="12"/>
  </w:num>
  <w:num w:numId="21" w16cid:durableId="1508059971">
    <w:abstractNumId w:val="9"/>
  </w:num>
  <w:num w:numId="22" w16cid:durableId="832644995">
    <w:abstractNumId w:val="14"/>
  </w:num>
  <w:num w:numId="23" w16cid:durableId="1805730927">
    <w:abstractNumId w:val="22"/>
  </w:num>
  <w:num w:numId="24" w16cid:durableId="1432899299">
    <w:abstractNumId w:val="29"/>
  </w:num>
  <w:num w:numId="25" w16cid:durableId="1451775151">
    <w:abstractNumId w:val="4"/>
  </w:num>
  <w:num w:numId="26" w16cid:durableId="1621452049">
    <w:abstractNumId w:val="18"/>
  </w:num>
  <w:num w:numId="27" w16cid:durableId="20475363">
    <w:abstractNumId w:val="23"/>
  </w:num>
  <w:num w:numId="28" w16cid:durableId="2062828471">
    <w:abstractNumId w:val="30"/>
  </w:num>
  <w:num w:numId="29" w16cid:durableId="917599636">
    <w:abstractNumId w:val="27"/>
  </w:num>
  <w:num w:numId="30" w16cid:durableId="958730841">
    <w:abstractNumId w:val="10"/>
  </w:num>
  <w:num w:numId="31" w16cid:durableId="891355413">
    <w:abstractNumId w:val="19"/>
  </w:num>
  <w:num w:numId="32" w16cid:durableId="822813057">
    <w:abstractNumId w:val="11"/>
  </w:num>
  <w:num w:numId="33" w16cid:durableId="26492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3D"/>
    <w:rsid w:val="00013AFE"/>
    <w:rsid w:val="0001684C"/>
    <w:rsid w:val="00027A63"/>
    <w:rsid w:val="00030174"/>
    <w:rsid w:val="00033EC4"/>
    <w:rsid w:val="00040075"/>
    <w:rsid w:val="0004579C"/>
    <w:rsid w:val="000648ED"/>
    <w:rsid w:val="00076A46"/>
    <w:rsid w:val="00076FA1"/>
    <w:rsid w:val="0008009E"/>
    <w:rsid w:val="000A47FA"/>
    <w:rsid w:val="000A6252"/>
    <w:rsid w:val="000A65D3"/>
    <w:rsid w:val="000B1E33"/>
    <w:rsid w:val="000C08CB"/>
    <w:rsid w:val="000C1DFE"/>
    <w:rsid w:val="000D1AEB"/>
    <w:rsid w:val="000D689F"/>
    <w:rsid w:val="000E7B7B"/>
    <w:rsid w:val="000E7D62"/>
    <w:rsid w:val="000F2D40"/>
    <w:rsid w:val="00103357"/>
    <w:rsid w:val="001176B8"/>
    <w:rsid w:val="00122CD9"/>
    <w:rsid w:val="00123C9F"/>
    <w:rsid w:val="00124E26"/>
    <w:rsid w:val="00126190"/>
    <w:rsid w:val="00130F17"/>
    <w:rsid w:val="001320BF"/>
    <w:rsid w:val="001403C6"/>
    <w:rsid w:val="001443DC"/>
    <w:rsid w:val="00154D30"/>
    <w:rsid w:val="00156E63"/>
    <w:rsid w:val="00163BC4"/>
    <w:rsid w:val="00165F8A"/>
    <w:rsid w:val="00166469"/>
    <w:rsid w:val="00167BB6"/>
    <w:rsid w:val="001706B7"/>
    <w:rsid w:val="00174EF4"/>
    <w:rsid w:val="001775FC"/>
    <w:rsid w:val="00177E2E"/>
    <w:rsid w:val="00190430"/>
    <w:rsid w:val="00191062"/>
    <w:rsid w:val="00192B72"/>
    <w:rsid w:val="001A29D8"/>
    <w:rsid w:val="001A5CAA"/>
    <w:rsid w:val="001A79D2"/>
    <w:rsid w:val="001B0427"/>
    <w:rsid w:val="001B3C3F"/>
    <w:rsid w:val="001C0F72"/>
    <w:rsid w:val="001C114B"/>
    <w:rsid w:val="001C258C"/>
    <w:rsid w:val="001C4F8E"/>
    <w:rsid w:val="001D3A51"/>
    <w:rsid w:val="001E03B7"/>
    <w:rsid w:val="001E10D2"/>
    <w:rsid w:val="001E25B4"/>
    <w:rsid w:val="001E4094"/>
    <w:rsid w:val="001E44FE"/>
    <w:rsid w:val="00200595"/>
    <w:rsid w:val="00204835"/>
    <w:rsid w:val="00216E46"/>
    <w:rsid w:val="0022487D"/>
    <w:rsid w:val="00225AAE"/>
    <w:rsid w:val="00231920"/>
    <w:rsid w:val="0023195C"/>
    <w:rsid w:val="00236207"/>
    <w:rsid w:val="0024052A"/>
    <w:rsid w:val="0024282C"/>
    <w:rsid w:val="002460DC"/>
    <w:rsid w:val="00250985"/>
    <w:rsid w:val="002556F6"/>
    <w:rsid w:val="002633DD"/>
    <w:rsid w:val="00274B2E"/>
    <w:rsid w:val="00283105"/>
    <w:rsid w:val="00284C4C"/>
    <w:rsid w:val="00287E68"/>
    <w:rsid w:val="00294E1C"/>
    <w:rsid w:val="00296529"/>
    <w:rsid w:val="002A0D1C"/>
    <w:rsid w:val="002A3CE0"/>
    <w:rsid w:val="002B27FB"/>
    <w:rsid w:val="002B685A"/>
    <w:rsid w:val="002C57D2"/>
    <w:rsid w:val="002D74F1"/>
    <w:rsid w:val="002E0D56"/>
    <w:rsid w:val="00301A4D"/>
    <w:rsid w:val="00315186"/>
    <w:rsid w:val="00330FD7"/>
    <w:rsid w:val="0033343E"/>
    <w:rsid w:val="00346FB5"/>
    <w:rsid w:val="003512C2"/>
    <w:rsid w:val="00353091"/>
    <w:rsid w:val="00354A1F"/>
    <w:rsid w:val="00371FB6"/>
    <w:rsid w:val="003737CE"/>
    <w:rsid w:val="003763C1"/>
    <w:rsid w:val="00376BBE"/>
    <w:rsid w:val="003809D7"/>
    <w:rsid w:val="003920DF"/>
    <w:rsid w:val="0039224F"/>
    <w:rsid w:val="003A43A4"/>
    <w:rsid w:val="003A69C5"/>
    <w:rsid w:val="003A7E18"/>
    <w:rsid w:val="003B0176"/>
    <w:rsid w:val="003C4C86"/>
    <w:rsid w:val="003C6258"/>
    <w:rsid w:val="003E2904"/>
    <w:rsid w:val="00401927"/>
    <w:rsid w:val="0041027F"/>
    <w:rsid w:val="00412475"/>
    <w:rsid w:val="004149F0"/>
    <w:rsid w:val="00416B7C"/>
    <w:rsid w:val="00423789"/>
    <w:rsid w:val="004334F5"/>
    <w:rsid w:val="00434FC2"/>
    <w:rsid w:val="00440F43"/>
    <w:rsid w:val="00441B6F"/>
    <w:rsid w:val="00446221"/>
    <w:rsid w:val="00450E62"/>
    <w:rsid w:val="004539DB"/>
    <w:rsid w:val="0046526B"/>
    <w:rsid w:val="00465F89"/>
    <w:rsid w:val="004700F6"/>
    <w:rsid w:val="00471A80"/>
    <w:rsid w:val="00476CBF"/>
    <w:rsid w:val="0048054E"/>
    <w:rsid w:val="00482E91"/>
    <w:rsid w:val="00490C36"/>
    <w:rsid w:val="004D1508"/>
    <w:rsid w:val="004D305E"/>
    <w:rsid w:val="004D4277"/>
    <w:rsid w:val="004D7E23"/>
    <w:rsid w:val="004E777C"/>
    <w:rsid w:val="004F7D70"/>
    <w:rsid w:val="00502516"/>
    <w:rsid w:val="00505F06"/>
    <w:rsid w:val="00506828"/>
    <w:rsid w:val="00510E96"/>
    <w:rsid w:val="0052076C"/>
    <w:rsid w:val="00525789"/>
    <w:rsid w:val="0053056E"/>
    <w:rsid w:val="00534AB7"/>
    <w:rsid w:val="005366B3"/>
    <w:rsid w:val="00541265"/>
    <w:rsid w:val="00547C31"/>
    <w:rsid w:val="0055270F"/>
    <w:rsid w:val="005528AD"/>
    <w:rsid w:val="0055383B"/>
    <w:rsid w:val="00554FDA"/>
    <w:rsid w:val="00571E55"/>
    <w:rsid w:val="00580CDF"/>
    <w:rsid w:val="005906CA"/>
    <w:rsid w:val="00597EBF"/>
    <w:rsid w:val="005B0EC8"/>
    <w:rsid w:val="005B1D8E"/>
    <w:rsid w:val="005C784C"/>
    <w:rsid w:val="005D1103"/>
    <w:rsid w:val="005D17F6"/>
    <w:rsid w:val="005D3D29"/>
    <w:rsid w:val="005D6F7C"/>
    <w:rsid w:val="005E1F73"/>
    <w:rsid w:val="005E324A"/>
    <w:rsid w:val="005E33FC"/>
    <w:rsid w:val="005E3FE6"/>
    <w:rsid w:val="005E4865"/>
    <w:rsid w:val="005E5539"/>
    <w:rsid w:val="005F4077"/>
    <w:rsid w:val="00602BF5"/>
    <w:rsid w:val="00617BCB"/>
    <w:rsid w:val="00617FDD"/>
    <w:rsid w:val="0062350E"/>
    <w:rsid w:val="00633614"/>
    <w:rsid w:val="00633F68"/>
    <w:rsid w:val="00636EB2"/>
    <w:rsid w:val="006375B8"/>
    <w:rsid w:val="006515AA"/>
    <w:rsid w:val="00656E9C"/>
    <w:rsid w:val="00657D30"/>
    <w:rsid w:val="0066510A"/>
    <w:rsid w:val="00665A91"/>
    <w:rsid w:val="00666C7D"/>
    <w:rsid w:val="0067255A"/>
    <w:rsid w:val="00673EF8"/>
    <w:rsid w:val="00673F9F"/>
    <w:rsid w:val="006855BB"/>
    <w:rsid w:val="00686953"/>
    <w:rsid w:val="00687DEA"/>
    <w:rsid w:val="00687E67"/>
    <w:rsid w:val="006967F7"/>
    <w:rsid w:val="006A14B8"/>
    <w:rsid w:val="006A1EA6"/>
    <w:rsid w:val="006A250C"/>
    <w:rsid w:val="006A2E7A"/>
    <w:rsid w:val="006A79DC"/>
    <w:rsid w:val="006B13DD"/>
    <w:rsid w:val="006B21D3"/>
    <w:rsid w:val="006B57D0"/>
    <w:rsid w:val="006C30D6"/>
    <w:rsid w:val="006D0DC5"/>
    <w:rsid w:val="006D284C"/>
    <w:rsid w:val="006D30FF"/>
    <w:rsid w:val="006D6940"/>
    <w:rsid w:val="006F11EC"/>
    <w:rsid w:val="0070082C"/>
    <w:rsid w:val="0070564C"/>
    <w:rsid w:val="007228EB"/>
    <w:rsid w:val="00725AD8"/>
    <w:rsid w:val="00731C34"/>
    <w:rsid w:val="007369E6"/>
    <w:rsid w:val="00743E91"/>
    <w:rsid w:val="00746E59"/>
    <w:rsid w:val="007507E1"/>
    <w:rsid w:val="00754C9A"/>
    <w:rsid w:val="0075599A"/>
    <w:rsid w:val="00761D52"/>
    <w:rsid w:val="00763CAA"/>
    <w:rsid w:val="0077749E"/>
    <w:rsid w:val="00785546"/>
    <w:rsid w:val="00787CE7"/>
    <w:rsid w:val="00790ADA"/>
    <w:rsid w:val="00795A8D"/>
    <w:rsid w:val="007A402C"/>
    <w:rsid w:val="007B0985"/>
    <w:rsid w:val="007D2288"/>
    <w:rsid w:val="007E088F"/>
    <w:rsid w:val="007E174D"/>
    <w:rsid w:val="007F0F62"/>
    <w:rsid w:val="007F5A4D"/>
    <w:rsid w:val="007F7B32"/>
    <w:rsid w:val="00804BC2"/>
    <w:rsid w:val="00811CE5"/>
    <w:rsid w:val="0081431A"/>
    <w:rsid w:val="00825B7A"/>
    <w:rsid w:val="0083216F"/>
    <w:rsid w:val="0083335C"/>
    <w:rsid w:val="008355ED"/>
    <w:rsid w:val="00842F67"/>
    <w:rsid w:val="00860000"/>
    <w:rsid w:val="00863BD3"/>
    <w:rsid w:val="008641ED"/>
    <w:rsid w:val="00866D66"/>
    <w:rsid w:val="008671C6"/>
    <w:rsid w:val="00875803"/>
    <w:rsid w:val="0088134D"/>
    <w:rsid w:val="008813E5"/>
    <w:rsid w:val="00885D31"/>
    <w:rsid w:val="00890E99"/>
    <w:rsid w:val="00893DDC"/>
    <w:rsid w:val="008B459E"/>
    <w:rsid w:val="008B4E38"/>
    <w:rsid w:val="008B507A"/>
    <w:rsid w:val="008C6EF8"/>
    <w:rsid w:val="008D0BF0"/>
    <w:rsid w:val="008E13AE"/>
    <w:rsid w:val="008E1506"/>
    <w:rsid w:val="008E1D35"/>
    <w:rsid w:val="008E710C"/>
    <w:rsid w:val="008F294B"/>
    <w:rsid w:val="008F4801"/>
    <w:rsid w:val="008F69D6"/>
    <w:rsid w:val="00902823"/>
    <w:rsid w:val="00911331"/>
    <w:rsid w:val="00915CA6"/>
    <w:rsid w:val="00921FE9"/>
    <w:rsid w:val="009236A7"/>
    <w:rsid w:val="00927834"/>
    <w:rsid w:val="0093208E"/>
    <w:rsid w:val="0094153F"/>
    <w:rsid w:val="009500A6"/>
    <w:rsid w:val="009523EF"/>
    <w:rsid w:val="00957C18"/>
    <w:rsid w:val="009659BA"/>
    <w:rsid w:val="00971303"/>
    <w:rsid w:val="00983040"/>
    <w:rsid w:val="009851D0"/>
    <w:rsid w:val="009904CD"/>
    <w:rsid w:val="009A5437"/>
    <w:rsid w:val="009A6312"/>
    <w:rsid w:val="009B2CB1"/>
    <w:rsid w:val="009B3FB9"/>
    <w:rsid w:val="009B6CA5"/>
    <w:rsid w:val="009B6DE0"/>
    <w:rsid w:val="009C2465"/>
    <w:rsid w:val="009C4BE1"/>
    <w:rsid w:val="009D35A0"/>
    <w:rsid w:val="009D7EB7"/>
    <w:rsid w:val="009E048A"/>
    <w:rsid w:val="009E08E9"/>
    <w:rsid w:val="009E3DB9"/>
    <w:rsid w:val="009E6E35"/>
    <w:rsid w:val="009F0EDA"/>
    <w:rsid w:val="009F509E"/>
    <w:rsid w:val="009F52C1"/>
    <w:rsid w:val="00A001C7"/>
    <w:rsid w:val="00A027A6"/>
    <w:rsid w:val="00A03B96"/>
    <w:rsid w:val="00A05B19"/>
    <w:rsid w:val="00A07B10"/>
    <w:rsid w:val="00A1134E"/>
    <w:rsid w:val="00A24E7E"/>
    <w:rsid w:val="00A258C3"/>
    <w:rsid w:val="00A347C0"/>
    <w:rsid w:val="00A458A0"/>
    <w:rsid w:val="00A51431"/>
    <w:rsid w:val="00A539AD"/>
    <w:rsid w:val="00A56B5C"/>
    <w:rsid w:val="00A61B02"/>
    <w:rsid w:val="00A82ABB"/>
    <w:rsid w:val="00A914A4"/>
    <w:rsid w:val="00A94063"/>
    <w:rsid w:val="00AA0848"/>
    <w:rsid w:val="00AA44F9"/>
    <w:rsid w:val="00AA6133"/>
    <w:rsid w:val="00AA6219"/>
    <w:rsid w:val="00AA74E0"/>
    <w:rsid w:val="00AB2D61"/>
    <w:rsid w:val="00AB6C6B"/>
    <w:rsid w:val="00AB703F"/>
    <w:rsid w:val="00AC10A9"/>
    <w:rsid w:val="00AC6BB8"/>
    <w:rsid w:val="00AE008F"/>
    <w:rsid w:val="00AE47D2"/>
    <w:rsid w:val="00B01FCD"/>
    <w:rsid w:val="00B07052"/>
    <w:rsid w:val="00B148CD"/>
    <w:rsid w:val="00B1776C"/>
    <w:rsid w:val="00B23977"/>
    <w:rsid w:val="00B37AF5"/>
    <w:rsid w:val="00B41F10"/>
    <w:rsid w:val="00B51949"/>
    <w:rsid w:val="00B52583"/>
    <w:rsid w:val="00B52896"/>
    <w:rsid w:val="00B543EA"/>
    <w:rsid w:val="00B560E0"/>
    <w:rsid w:val="00B56463"/>
    <w:rsid w:val="00B56A0A"/>
    <w:rsid w:val="00B57614"/>
    <w:rsid w:val="00B6480F"/>
    <w:rsid w:val="00B702FD"/>
    <w:rsid w:val="00B930DA"/>
    <w:rsid w:val="00B95236"/>
    <w:rsid w:val="00B96BD9"/>
    <w:rsid w:val="00BA1B01"/>
    <w:rsid w:val="00BA2641"/>
    <w:rsid w:val="00BB209F"/>
    <w:rsid w:val="00BB2DBE"/>
    <w:rsid w:val="00BB37AA"/>
    <w:rsid w:val="00BB66B4"/>
    <w:rsid w:val="00BC14C1"/>
    <w:rsid w:val="00BC53A0"/>
    <w:rsid w:val="00BE1C52"/>
    <w:rsid w:val="00BE5598"/>
    <w:rsid w:val="00BE62AD"/>
    <w:rsid w:val="00BF121F"/>
    <w:rsid w:val="00BF1F80"/>
    <w:rsid w:val="00C166EF"/>
    <w:rsid w:val="00C17EB0"/>
    <w:rsid w:val="00C21FDB"/>
    <w:rsid w:val="00C2404A"/>
    <w:rsid w:val="00C27F5F"/>
    <w:rsid w:val="00C30A0F"/>
    <w:rsid w:val="00C37E61"/>
    <w:rsid w:val="00C53E78"/>
    <w:rsid w:val="00C70F1B"/>
    <w:rsid w:val="00C71A47"/>
    <w:rsid w:val="00C7464C"/>
    <w:rsid w:val="00C8026C"/>
    <w:rsid w:val="00C82A61"/>
    <w:rsid w:val="00C848B6"/>
    <w:rsid w:val="00C85588"/>
    <w:rsid w:val="00C9339E"/>
    <w:rsid w:val="00C967B9"/>
    <w:rsid w:val="00CA5D0A"/>
    <w:rsid w:val="00CB02FC"/>
    <w:rsid w:val="00CB1040"/>
    <w:rsid w:val="00CB10BF"/>
    <w:rsid w:val="00CB7C1C"/>
    <w:rsid w:val="00CC15CF"/>
    <w:rsid w:val="00CC7C4C"/>
    <w:rsid w:val="00CD6755"/>
    <w:rsid w:val="00CD6856"/>
    <w:rsid w:val="00CE0089"/>
    <w:rsid w:val="00CE56EF"/>
    <w:rsid w:val="00CE793C"/>
    <w:rsid w:val="00CF193C"/>
    <w:rsid w:val="00D0346C"/>
    <w:rsid w:val="00D03C70"/>
    <w:rsid w:val="00D1267B"/>
    <w:rsid w:val="00D13FB6"/>
    <w:rsid w:val="00D173F1"/>
    <w:rsid w:val="00D2499B"/>
    <w:rsid w:val="00D54BB2"/>
    <w:rsid w:val="00D747EC"/>
    <w:rsid w:val="00D74CB0"/>
    <w:rsid w:val="00D76FC4"/>
    <w:rsid w:val="00D770CA"/>
    <w:rsid w:val="00D82956"/>
    <w:rsid w:val="00D8295D"/>
    <w:rsid w:val="00D87F78"/>
    <w:rsid w:val="00D9285A"/>
    <w:rsid w:val="00D94618"/>
    <w:rsid w:val="00DA2BC9"/>
    <w:rsid w:val="00DA6AC2"/>
    <w:rsid w:val="00DC2A65"/>
    <w:rsid w:val="00DC59B0"/>
    <w:rsid w:val="00DD503F"/>
    <w:rsid w:val="00DE15F0"/>
    <w:rsid w:val="00DE5663"/>
    <w:rsid w:val="00DE5C7C"/>
    <w:rsid w:val="00DE78AA"/>
    <w:rsid w:val="00DF606A"/>
    <w:rsid w:val="00E02487"/>
    <w:rsid w:val="00E053D0"/>
    <w:rsid w:val="00E15994"/>
    <w:rsid w:val="00E3114E"/>
    <w:rsid w:val="00E31A70"/>
    <w:rsid w:val="00E35B02"/>
    <w:rsid w:val="00E40981"/>
    <w:rsid w:val="00E41957"/>
    <w:rsid w:val="00E4254C"/>
    <w:rsid w:val="00E66496"/>
    <w:rsid w:val="00E66B35"/>
    <w:rsid w:val="00E66E10"/>
    <w:rsid w:val="00E76146"/>
    <w:rsid w:val="00E769F6"/>
    <w:rsid w:val="00E82A07"/>
    <w:rsid w:val="00E838B8"/>
    <w:rsid w:val="00E8407C"/>
    <w:rsid w:val="00E84F3C"/>
    <w:rsid w:val="00EA012C"/>
    <w:rsid w:val="00EA32B6"/>
    <w:rsid w:val="00EA7B13"/>
    <w:rsid w:val="00EB26DB"/>
    <w:rsid w:val="00EB4BED"/>
    <w:rsid w:val="00EC6A55"/>
    <w:rsid w:val="00ED0288"/>
    <w:rsid w:val="00ED4662"/>
    <w:rsid w:val="00EE52CB"/>
    <w:rsid w:val="00EE67A4"/>
    <w:rsid w:val="00EE796D"/>
    <w:rsid w:val="00EF2002"/>
    <w:rsid w:val="00EF4614"/>
    <w:rsid w:val="00EF581D"/>
    <w:rsid w:val="00EF7FD8"/>
    <w:rsid w:val="00F06F59"/>
    <w:rsid w:val="00F17988"/>
    <w:rsid w:val="00F23105"/>
    <w:rsid w:val="00F41D11"/>
    <w:rsid w:val="00F469F0"/>
    <w:rsid w:val="00F46B23"/>
    <w:rsid w:val="00F529B8"/>
    <w:rsid w:val="00F53273"/>
    <w:rsid w:val="00F67F37"/>
    <w:rsid w:val="00F755E4"/>
    <w:rsid w:val="00F77D02"/>
    <w:rsid w:val="00F80B6A"/>
    <w:rsid w:val="00F8297B"/>
    <w:rsid w:val="00F8548D"/>
    <w:rsid w:val="00F85A70"/>
    <w:rsid w:val="00FA7A7F"/>
    <w:rsid w:val="00FB3A86"/>
    <w:rsid w:val="00FD36C8"/>
    <w:rsid w:val="00FE1B7A"/>
    <w:rsid w:val="00FF4F5C"/>
    <w:rsid w:val="00FF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8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702FD"/>
    <w:pPr>
      <w:spacing w:after="120"/>
    </w:pPr>
  </w:style>
  <w:style w:type="character" w:customStyle="1" w:styleId="BodyTextChar">
    <w:name w:val="Body Text Char"/>
    <w:basedOn w:val="DefaultParagraphFont"/>
    <w:link w:val="BodyText"/>
    <w:semiHidden/>
    <w:rsid w:val="00B702FD"/>
    <w:rPr>
      <w:rFonts w:ascii="Helvetica" w:hAnsi="Helvetica"/>
    </w:rPr>
  </w:style>
  <w:style w:type="paragraph" w:styleId="NormalWeb">
    <w:name w:val="Normal (Web)"/>
    <w:basedOn w:val="Normal"/>
    <w:semiHidden/>
    <w:unhideWhenUsed/>
    <w:rsid w:val="006B13DD"/>
    <w:rPr>
      <w:rFonts w:ascii="Times New Roman" w:hAnsi="Times New Roman"/>
      <w:sz w:val="24"/>
      <w:szCs w:val="24"/>
    </w:rPr>
  </w:style>
  <w:style w:type="character" w:customStyle="1" w:styleId="Heading3Char">
    <w:name w:val="Heading 3 Char"/>
    <w:basedOn w:val="DefaultParagraphFont"/>
    <w:link w:val="Heading3"/>
    <w:semiHidden/>
    <w:rsid w:val="00D9285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7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3439898">
      <w:bodyDiv w:val="1"/>
      <w:marLeft w:val="0"/>
      <w:marRight w:val="0"/>
      <w:marTop w:val="0"/>
      <w:marBottom w:val="0"/>
      <w:divBdr>
        <w:top w:val="none" w:sz="0" w:space="0" w:color="auto"/>
        <w:left w:val="none" w:sz="0" w:space="0" w:color="auto"/>
        <w:bottom w:val="none" w:sz="0" w:space="0" w:color="auto"/>
        <w:right w:val="none" w:sz="0" w:space="0" w:color="auto"/>
      </w:divBdr>
      <w:divsChild>
        <w:div w:id="156463949">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4486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15319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817318">
      <w:bodyDiv w:val="1"/>
      <w:marLeft w:val="0"/>
      <w:marRight w:val="0"/>
      <w:marTop w:val="0"/>
      <w:marBottom w:val="0"/>
      <w:divBdr>
        <w:top w:val="none" w:sz="0" w:space="0" w:color="auto"/>
        <w:left w:val="none" w:sz="0" w:space="0" w:color="auto"/>
        <w:bottom w:val="none" w:sz="0" w:space="0" w:color="auto"/>
        <w:right w:val="none" w:sz="0" w:space="0" w:color="auto"/>
      </w:divBdr>
    </w:div>
    <w:div w:id="1493637988">
      <w:bodyDiv w:val="1"/>
      <w:marLeft w:val="0"/>
      <w:marRight w:val="0"/>
      <w:marTop w:val="0"/>
      <w:marBottom w:val="0"/>
      <w:divBdr>
        <w:top w:val="none" w:sz="0" w:space="0" w:color="auto"/>
        <w:left w:val="none" w:sz="0" w:space="0" w:color="auto"/>
        <w:bottom w:val="none" w:sz="0" w:space="0" w:color="auto"/>
        <w:right w:val="none" w:sz="0" w:space="0" w:color="auto"/>
      </w:divBdr>
    </w:div>
    <w:div w:id="1583293943">
      <w:bodyDiv w:val="1"/>
      <w:marLeft w:val="0"/>
      <w:marRight w:val="0"/>
      <w:marTop w:val="0"/>
      <w:marBottom w:val="0"/>
      <w:divBdr>
        <w:top w:val="none" w:sz="0" w:space="0" w:color="auto"/>
        <w:left w:val="none" w:sz="0" w:space="0" w:color="auto"/>
        <w:bottom w:val="none" w:sz="0" w:space="0" w:color="auto"/>
        <w:right w:val="none" w:sz="0" w:space="0" w:color="auto"/>
      </w:divBdr>
    </w:div>
    <w:div w:id="17086776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5470841">
      <w:bodyDiv w:val="1"/>
      <w:marLeft w:val="0"/>
      <w:marRight w:val="0"/>
      <w:marTop w:val="0"/>
      <w:marBottom w:val="0"/>
      <w:divBdr>
        <w:top w:val="none" w:sz="0" w:space="0" w:color="auto"/>
        <w:left w:val="none" w:sz="0" w:space="0" w:color="auto"/>
        <w:bottom w:val="none" w:sz="0" w:space="0" w:color="auto"/>
        <w:right w:val="none" w:sz="0" w:space="0" w:color="auto"/>
      </w:divBdr>
    </w:div>
    <w:div w:id="19126909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56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nu16152506"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90/ijms22191085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65/rcmb.2019-0242L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80/01480545.2021.1917496." TargetMode="External"/><Relationship Id="rId20" Type="http://schemas.openxmlformats.org/officeDocument/2006/relationships/hyperlink" Target="https://doi.org/10.3390/nu9030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0076-6879(90)86134-h"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97/MEG.0000000000001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97/HEP.000000000000000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65E0-D6AC-4FEE-8DD4-58A80AD4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11</Pages>
  <Words>5112</Words>
  <Characters>29143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 Vivobook</cp:lastModifiedBy>
  <cp:revision>250</cp:revision>
  <cp:lastPrinted>1999-07-06T11:00:00Z</cp:lastPrinted>
  <dcterms:created xsi:type="dcterms:W3CDTF">2014-10-25T14:34:00Z</dcterms:created>
  <dcterms:modified xsi:type="dcterms:W3CDTF">2025-12-16T03:51:00Z</dcterms:modified>
</cp:coreProperties>
</file>