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0A3" w:rsidRDefault="00461C36">
      <w:pPr>
        <w:widowControl w:val="0"/>
        <w:pBdr>
          <w:top w:val="nil"/>
          <w:left w:val="nil"/>
          <w:bottom w:val="nil"/>
          <w:right w:val="nil"/>
          <w:between w:val="nil"/>
        </w:pBdr>
        <w:spacing w:line="276" w:lineRule="auto"/>
      </w:pPr>
      <w:r>
        <w:pict w14:anchorId="60794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28BBE609">
          <v:shape id="_x0000_s1030" type="#_x0000_t136" style="position:absolute;margin-left:0;margin-top:0;width:50pt;height:50pt;z-index:251656192;visibility:hidden">
            <o:lock v:ext="edit" selection="t"/>
          </v:shape>
        </w:pict>
      </w:r>
      <w:r>
        <w:pict w14:anchorId="5801ADC6">
          <v:shape id="_x0000_s1029" type="#_x0000_t136" style="position:absolute;margin-left:0;margin-top:0;width:50pt;height:50pt;z-index:251657216;visibility:hidden">
            <o:lock v:ext="edit" selection="t"/>
          </v:shape>
        </w:pict>
      </w:r>
      <w:r>
        <w:pict w14:anchorId="36978CDF">
          <v:shape id="_x0000_s1028" type="#_x0000_t136" style="position:absolute;margin-left:0;margin-top:0;width:50pt;height:50pt;z-index:251658240;visibility:hidden">
            <o:lock v:ext="edit" selection="t"/>
          </v:shape>
        </w:pict>
      </w:r>
      <w:r>
        <w:pict w14:anchorId="0B592949">
          <v:shape id="_x0000_s1027" type="#_x0000_t136" style="position:absolute;margin-left:0;margin-top:0;width:50pt;height:50pt;z-index:251659264;visibility:hidden">
            <o:lock v:ext="edit" selection="t"/>
          </v:shape>
        </w:pict>
      </w:r>
      <w:r>
        <w:pict w14:anchorId="4A01DC22">
          <v:shape id="_x0000_s1026" type="#_x0000_t136" style="position:absolute;margin-left:0;margin-top:0;width:50pt;height:50pt;z-index:251660288;visibility:hidden">
            <o:lock v:ext="edit" selection="t"/>
          </v:shape>
        </w:pict>
      </w:r>
    </w:p>
    <w:p w:rsidR="001B40A3" w:rsidRDefault="001B40A3">
      <w:pPr>
        <w:pStyle w:val="Title"/>
        <w:spacing w:after="0"/>
        <w:jc w:val="both"/>
        <w:rPr>
          <w:rFonts w:ascii="Arial" w:eastAsia="Arial" w:hAnsi="Arial" w:cs="Arial"/>
        </w:rPr>
      </w:pPr>
    </w:p>
    <w:p w:rsidR="001B40A3" w:rsidRDefault="00461C36">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COVID-19 Vaccination Coverage among the Brazilian Indigenous Population between 2020 and 2024: A Scoping Review</w:t>
      </w:r>
    </w:p>
    <w:p w:rsidR="001B40A3" w:rsidRDefault="001B40A3">
      <w:pPr>
        <w:pBdr>
          <w:top w:val="nil"/>
          <w:left w:val="nil"/>
          <w:bottom w:val="nil"/>
          <w:right w:val="nil"/>
          <w:between w:val="nil"/>
        </w:pBdr>
        <w:jc w:val="both"/>
        <w:rPr>
          <w:rFonts w:ascii="Arial" w:eastAsia="Arial" w:hAnsi="Arial" w:cs="Arial"/>
          <w:b/>
          <w:bCs/>
          <w:color w:val="000000"/>
          <w:sz w:val="36"/>
          <w:szCs w:val="36"/>
        </w:rPr>
      </w:pPr>
    </w:p>
    <w:p w:rsidR="001B40A3" w:rsidRDefault="001B40A3">
      <w:pPr>
        <w:pBdr>
          <w:top w:val="nil"/>
          <w:left w:val="nil"/>
          <w:bottom w:val="nil"/>
          <w:right w:val="nil"/>
          <w:between w:val="nil"/>
        </w:pBdr>
        <w:jc w:val="both"/>
        <w:rPr>
          <w:rFonts w:ascii="Arial" w:eastAsia="Arial" w:hAnsi="Arial" w:cs="Arial"/>
          <w:color w:val="000000"/>
        </w:rPr>
      </w:pPr>
    </w:p>
    <w:p w:rsidR="001B40A3" w:rsidRDefault="00461C36">
      <w:pPr>
        <w:pBdr>
          <w:top w:val="nil"/>
          <w:left w:val="nil"/>
          <w:bottom w:val="nil"/>
          <w:right w:val="nil"/>
          <w:between w:val="nil"/>
        </w:pBdr>
        <w:jc w:val="both"/>
        <w:rPr>
          <w:rFonts w:ascii="Arial" w:eastAsia="Arial" w:hAnsi="Arial" w:cs="Arial"/>
          <w:color w:val="000000"/>
          <w:sz w:val="16"/>
          <w:szCs w:val="16"/>
        </w:rPr>
        <w:sectPr w:rsidR="001B40A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extent cx="5322570" cy="3810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22570" cy="38100"/>
                <wp:effectExtent b="0" l="0" r="0" t="0"/>
                <wp:docPr id="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rsidR="001B40A3" w:rsidRDefault="00461C3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1B40A3" w:rsidRDefault="001B40A3">
      <w:pPr>
        <w:keepNext/>
        <w:pBdr>
          <w:top w:val="nil"/>
          <w:left w:val="nil"/>
          <w:bottom w:val="nil"/>
          <w:right w:val="nil"/>
          <w:between w:val="nil"/>
        </w:pBdr>
        <w:jc w:val="both"/>
        <w:rPr>
          <w:rFonts w:ascii="Arial" w:eastAsia="Arial" w:hAnsi="Arial" w:cs="Arial"/>
          <w:b/>
          <w:bCs/>
          <w:smallCaps/>
          <w:sz w:val="22"/>
          <w:szCs w:val="22"/>
        </w:rPr>
      </w:pPr>
    </w:p>
    <w:tbl>
      <w:tblPr>
        <w:tblStyle w:val="a2"/>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B40A3">
        <w:trPr>
          <w:trHeight w:val="3434"/>
        </w:trPr>
        <w:tc>
          <w:tcPr>
            <w:tcW w:w="8424" w:type="dxa"/>
            <w:shd w:val="clear" w:color="auto" w:fill="F2F2F2"/>
          </w:tcPr>
          <w:p w:rsidR="001B40A3" w:rsidRDefault="00461C36">
            <w:pPr>
              <w:jc w:val="both"/>
              <w:rPr>
                <w:rFonts w:ascii="Arial" w:eastAsia="Arial" w:hAnsi="Arial" w:cs="Arial"/>
              </w:rPr>
            </w:pPr>
            <w:r>
              <w:rPr>
                <w:rFonts w:ascii="Arial" w:eastAsia="Arial" w:hAnsi="Arial" w:cs="Arial"/>
                <w:b/>
                <w:bCs/>
              </w:rPr>
              <w:t xml:space="preserve">Introduction: </w:t>
            </w:r>
            <w:r>
              <w:rPr>
                <w:rFonts w:ascii="Arial" w:eastAsia="Arial" w:hAnsi="Arial" w:cs="Arial"/>
              </w:rPr>
              <w:t>As evidenced by the creation of the Special Indigenous Health Districts, Indigenous health persists with a historical vulnerability associated with geographical, cultural, and logistical barriers. In the context of the COVID-19 pandemic, this group was con</w:t>
            </w:r>
            <w:r>
              <w:rPr>
                <w:rFonts w:ascii="Arial" w:eastAsia="Arial" w:hAnsi="Arial" w:cs="Arial"/>
              </w:rPr>
              <w:t>sidered a priority for receiving vaccines, which does not guarantee the effectiveness of vaccination, that is, reaching 90% of the population.</w:t>
            </w:r>
          </w:p>
          <w:p w:rsidR="001B40A3" w:rsidRDefault="00461C36">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Objective: </w:t>
            </w:r>
            <w:r>
              <w:rPr>
                <w:rFonts w:ascii="Arial" w:eastAsia="Arial" w:hAnsi="Arial" w:cs="Arial"/>
              </w:rPr>
              <w:t>To analyze access and vaccination coverage of COVID-19 for the Brazilian indigenous population, through the efficiency of strategies, impact factors and disparities in coverage of the Special Indigenous Health Districts (SIHD).</w:t>
            </w:r>
          </w:p>
          <w:p w:rsidR="001B40A3" w:rsidRDefault="00461C36">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Methods: </w:t>
            </w:r>
            <w:r>
              <w:rPr>
                <w:rFonts w:ascii="Arial" w:eastAsia="Arial" w:hAnsi="Arial" w:cs="Arial"/>
              </w:rPr>
              <w:t xml:space="preserve">This was a Scoping </w:t>
            </w:r>
            <w:r>
              <w:rPr>
                <w:rFonts w:ascii="Arial" w:eastAsia="Arial" w:hAnsi="Arial" w:cs="Arial"/>
              </w:rPr>
              <w:t xml:space="preserve">Review conducted in October 2024, with searches in EMBASE, LILACS, PUBMED, SCOPUS, </w:t>
            </w:r>
            <w:proofErr w:type="spellStart"/>
            <w:r>
              <w:rPr>
                <w:rFonts w:ascii="Arial" w:eastAsia="Arial" w:hAnsi="Arial" w:cs="Arial"/>
              </w:rPr>
              <w:t>SciELO</w:t>
            </w:r>
            <w:proofErr w:type="spellEnd"/>
            <w:r>
              <w:rPr>
                <w:rFonts w:ascii="Arial" w:eastAsia="Arial" w:hAnsi="Arial" w:cs="Arial"/>
              </w:rPr>
              <w:t>, and WEB OF SCIENCE, as well as gray literature. Inclusion criteria were full studies, available in Spanish, English, or Portuguese, addressing COVID-19 vaccination i</w:t>
            </w:r>
            <w:r>
              <w:rPr>
                <w:rFonts w:ascii="Arial" w:eastAsia="Arial" w:hAnsi="Arial" w:cs="Arial"/>
              </w:rPr>
              <w:t>n the indigenous population.</w:t>
            </w:r>
            <w:r>
              <w:rPr>
                <w:rFonts w:ascii="Arial" w:eastAsia="Arial" w:hAnsi="Arial" w:cs="Arial"/>
                <w:b/>
                <w:bCs/>
              </w:rPr>
              <w:t xml:space="preserve"> </w:t>
            </w: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b/>
                <w:bCs/>
              </w:rPr>
              <w:t xml:space="preserve">Results:  </w:t>
            </w:r>
            <w:r>
              <w:rPr>
                <w:rFonts w:ascii="Arial" w:eastAsia="Arial" w:hAnsi="Arial" w:cs="Arial"/>
              </w:rPr>
              <w:t xml:space="preserve">Gaps in vaccination access among the DSEIs were identified. While some districts, such as Northeast Alagoas and Sergipe, exceeded 90% vaccination coverage, others, such as Rio </w:t>
            </w:r>
            <w:proofErr w:type="spellStart"/>
            <w:r>
              <w:rPr>
                <w:rFonts w:ascii="Arial" w:eastAsia="Arial" w:hAnsi="Arial" w:cs="Arial"/>
              </w:rPr>
              <w:t>Tapajós</w:t>
            </w:r>
            <w:proofErr w:type="spellEnd"/>
            <w:r>
              <w:rPr>
                <w:rFonts w:ascii="Arial" w:eastAsia="Arial" w:hAnsi="Arial" w:cs="Arial"/>
              </w:rPr>
              <w:t>, did not reach 70%. Logistical c</w:t>
            </w:r>
            <w:r>
              <w:rPr>
                <w:rFonts w:ascii="Arial" w:eastAsia="Arial" w:hAnsi="Arial" w:cs="Arial"/>
              </w:rPr>
              <w:t>hallenges and misinformation negatively impacted coverage in remote areas. Furthermore, there were cultural barriers, such as language difficulties and apprehension about foreign technologies.</w:t>
            </w:r>
          </w:p>
          <w:p w:rsidR="001B40A3" w:rsidRDefault="00461C36">
            <w:pPr>
              <w:pBdr>
                <w:top w:val="nil"/>
                <w:left w:val="nil"/>
                <w:bottom w:val="nil"/>
                <w:right w:val="nil"/>
                <w:between w:val="nil"/>
              </w:pBdr>
              <w:jc w:val="both"/>
              <w:rPr>
                <w:rFonts w:ascii="Arial" w:eastAsia="Arial" w:hAnsi="Arial" w:cs="Arial"/>
                <w:color w:val="000000"/>
              </w:rPr>
            </w:pPr>
            <w:r>
              <w:rPr>
                <w:rFonts w:ascii="Arial" w:eastAsia="Arial" w:hAnsi="Arial" w:cs="Arial"/>
                <w:b/>
                <w:bCs/>
              </w:rPr>
              <w:t xml:space="preserve">Final considerations: </w:t>
            </w:r>
            <w:r>
              <w:rPr>
                <w:rFonts w:ascii="Arial" w:eastAsia="Arial" w:hAnsi="Arial" w:cs="Arial"/>
              </w:rPr>
              <w:t>Despite efforts, vaccination coverage did</w:t>
            </w:r>
            <w:r>
              <w:rPr>
                <w:rFonts w:ascii="Arial" w:eastAsia="Arial" w:hAnsi="Arial" w:cs="Arial"/>
              </w:rPr>
              <w:t xml:space="preserve"> not reach its full potential, highlighting the need for public policies better adapted to the geographic and cultural particularities of the indigenous population.</w:t>
            </w:r>
          </w:p>
        </w:tc>
      </w:tr>
    </w:tbl>
    <w:p w:rsidR="001B40A3" w:rsidRDefault="001B40A3">
      <w:pPr>
        <w:pBdr>
          <w:top w:val="nil"/>
          <w:left w:val="nil"/>
          <w:bottom w:val="nil"/>
          <w:right w:val="nil"/>
          <w:between w:val="nil"/>
        </w:pBdr>
        <w:jc w:val="both"/>
        <w:rPr>
          <w:rFonts w:ascii="Arial" w:eastAsia="Arial" w:hAnsi="Arial" w:cs="Arial"/>
          <w:i/>
          <w:iCs/>
          <w:color w:val="000000"/>
        </w:rPr>
      </w:pPr>
    </w:p>
    <w:p w:rsidR="001B40A3" w:rsidRDefault="00461C36">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rPr>
        <w:t>Vaccination, COVID-19, Indigenous People, Brazil.</w:t>
      </w:r>
    </w:p>
    <w:p w:rsidR="001B40A3" w:rsidRDefault="001B40A3">
      <w:pPr>
        <w:pBdr>
          <w:top w:val="nil"/>
          <w:left w:val="nil"/>
          <w:bottom w:val="nil"/>
          <w:right w:val="nil"/>
          <w:between w:val="nil"/>
        </w:pBdr>
        <w:jc w:val="both"/>
        <w:rPr>
          <w:rFonts w:ascii="Arial" w:eastAsia="Arial" w:hAnsi="Arial" w:cs="Arial"/>
          <w:i/>
          <w:iCs/>
          <w:color w:val="000000"/>
        </w:rPr>
      </w:pPr>
    </w:p>
    <w:p w:rsidR="001B40A3" w:rsidRDefault="00461C3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rsidR="001B40A3" w:rsidRDefault="001B40A3">
      <w:pPr>
        <w:keepNext/>
        <w:pBdr>
          <w:top w:val="nil"/>
          <w:left w:val="nil"/>
          <w:bottom w:val="nil"/>
          <w:right w:val="nil"/>
          <w:between w:val="nil"/>
        </w:pBdr>
        <w:jc w:val="both"/>
        <w:rPr>
          <w:rFonts w:ascii="Arial" w:eastAsia="Arial" w:hAnsi="Arial" w:cs="Arial"/>
          <w:b/>
          <w:bCs/>
          <w:smallCaps/>
          <w:sz w:val="22"/>
          <w:szCs w:val="22"/>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In 2022, Brazil recorded approximately 1,694,836 individuals who are or identify as Indigenous, representing 0.83% of the Brazilian population (IBGE, 2024). According to IBGE (2010), the 2010 Demographic Census registered 896,917 Indigenous people, showing</w:t>
      </w:r>
      <w:r>
        <w:rPr>
          <w:rFonts w:ascii="Arial" w:eastAsia="Arial" w:hAnsi="Arial" w:cs="Arial"/>
        </w:rPr>
        <w:t xml:space="preserve"> an increase of approximately 88.8% between the two periods. Furthermore, this population was divided into 305 ethnic groups, speaking about 274 different Indigenous languages. These groups are distributed across the Brazilian territory, with the North Reg</w:t>
      </w:r>
      <w:r>
        <w:rPr>
          <w:rFonts w:ascii="Arial" w:eastAsia="Arial" w:hAnsi="Arial" w:cs="Arial"/>
        </w:rPr>
        <w:t>ion concentrating the largest share of the Indigenous population, particularly in the state of Amazonas. Of this total, around 63% do not live in the 790 Indigenous Lands (ILs) that have already been demarcated or are in the process of demarcation (IBGE, 2</w:t>
      </w:r>
      <w:r>
        <w:rPr>
          <w:rFonts w:ascii="Arial" w:eastAsia="Arial" w:hAnsi="Arial" w:cs="Arial"/>
        </w:rPr>
        <w:t>012).</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The vulnerability of the Brazilian Indigenous population is evident, as infectious, parasitic, and vaccine-preventable diseases are predominant among them (ISA, 2024). This condition also becomes explicit when analyzing inequalities in mortality rat</w:t>
      </w:r>
      <w:r>
        <w:rPr>
          <w:rFonts w:ascii="Arial" w:eastAsia="Arial" w:hAnsi="Arial" w:cs="Arial"/>
        </w:rPr>
        <w:t>es between Indigenous and non-</w:t>
      </w:r>
      <w:r>
        <w:rPr>
          <w:rFonts w:ascii="Arial" w:eastAsia="Arial" w:hAnsi="Arial" w:cs="Arial"/>
        </w:rPr>
        <w:lastRenderedPageBreak/>
        <w:t>Indigenous people, with the former presenting higher rates than the latter (Coimbra et al., 2005). This occurs due to genetic susceptibility, cultural aspects, and economic activities carried out in Indigenous territories. Con</w:t>
      </w:r>
      <w:r>
        <w:rPr>
          <w:rFonts w:ascii="Arial" w:eastAsia="Arial" w:hAnsi="Arial" w:cs="Arial"/>
        </w:rPr>
        <w:t>sequently, the evidence highlights substantial disparities in access to health services across Brazil's diverse ethnic groups.</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 xml:space="preserve">Over the years, strategies have been implemented to ensure the right to health for Brazilian Indigenous peoples. These measures </w:t>
      </w:r>
      <w:r>
        <w:rPr>
          <w:rFonts w:ascii="Arial" w:eastAsia="Arial" w:hAnsi="Arial" w:cs="Arial"/>
        </w:rPr>
        <w:t>have primarily focused on expanding the Primary Health Care (PHC) network, aiming to improve access to health services and reduce disparities among different population groups. As a result of Indigenous mobilization and advocacy, the Indigenous Health Care</w:t>
      </w:r>
      <w:r>
        <w:rPr>
          <w:rFonts w:ascii="Arial" w:eastAsia="Arial" w:hAnsi="Arial" w:cs="Arial"/>
        </w:rPr>
        <w:t xml:space="preserve"> Subsystem (SASI) was created in 1999, with the goal of establishing PHC, as well as other levels of health care, adapted to the specificities and demands of Indigenous peoples. This subsystem respects traditional knowledge and cultural aspects, while ensu</w:t>
      </w:r>
      <w:r>
        <w:rPr>
          <w:rFonts w:ascii="Arial" w:eastAsia="Arial" w:hAnsi="Arial" w:cs="Arial"/>
        </w:rPr>
        <w:t>ring social participation in the implementation process (Campos et al., 2017).</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From the SASI, the National Policy for Indigenous Peoples’ Health Care (PNASPI) was developed to consolidate the principles of the Brazilian Unified Health System (SUS), partic</w:t>
      </w:r>
      <w:r>
        <w:rPr>
          <w:rFonts w:ascii="Arial" w:eastAsia="Arial" w:hAnsi="Arial" w:cs="Arial"/>
        </w:rPr>
        <w:t xml:space="preserve">ularly universality, comprehensiveness, and equity, while </w:t>
      </w:r>
      <w:proofErr w:type="gramStart"/>
      <w:r>
        <w:rPr>
          <w:rFonts w:ascii="Arial" w:eastAsia="Arial" w:hAnsi="Arial" w:cs="Arial"/>
        </w:rPr>
        <w:t>taking into account</w:t>
      </w:r>
      <w:proofErr w:type="gramEnd"/>
      <w:r>
        <w:rPr>
          <w:rFonts w:ascii="Arial" w:eastAsia="Arial" w:hAnsi="Arial" w:cs="Arial"/>
        </w:rPr>
        <w:t xml:space="preserve"> cultural, epidemiological, and geographical issues. As an organizational model, Special Indigenous Health Districts (DSEIs), were created. There are currently 34 of them, respons</w:t>
      </w:r>
      <w:r>
        <w:rPr>
          <w:rFonts w:ascii="Arial" w:eastAsia="Arial" w:hAnsi="Arial" w:cs="Arial"/>
        </w:rPr>
        <w:t>ible for structuring a network of primary health care services within Indigenous communities. This support network is coordinated and executed by the Secretariat of Indigenous Health (SESAI), which promotes PHC actions such as vaccination, as well as sanit</w:t>
      </w:r>
      <w:r>
        <w:rPr>
          <w:rFonts w:ascii="Arial" w:eastAsia="Arial" w:hAnsi="Arial" w:cs="Arial"/>
        </w:rPr>
        <w:t>ation initiatives (Lima et al., 2022).</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These measures also had an impact on vaccination coverage plans, as seen during the COVID-19 pandemic. To ensure faster vaccination among Indigenous peoples, the National Immunization Program (PNI) classified this gr</w:t>
      </w:r>
      <w:r>
        <w:rPr>
          <w:rFonts w:ascii="Arial" w:eastAsia="Arial" w:hAnsi="Arial" w:cs="Arial"/>
        </w:rPr>
        <w:t>oup as a priority, given their higher susceptibility to severe illness. Thus, Indigenous peoples were included in Group A (priority group) in the COVID-19 vaccination scheme. For this group, the primary vaccination schedule recommended two doses for indivi</w:t>
      </w:r>
      <w:r>
        <w:rPr>
          <w:rFonts w:ascii="Arial" w:eastAsia="Arial" w:hAnsi="Arial" w:cs="Arial"/>
        </w:rPr>
        <w:t>duals over five years of age, with the Pfizer vaccine being the most widely administered (WHO, 2022).</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 xml:space="preserve">However, with the emergence of new COVID-19 variants from 2024 onward, the PNI also recommended a booster dose for priority groups, including Indigenous </w:t>
      </w:r>
      <w:r>
        <w:rPr>
          <w:rFonts w:ascii="Arial" w:eastAsia="Arial" w:hAnsi="Arial" w:cs="Arial"/>
        </w:rPr>
        <w:t>populations (WHO, 2022). Additionally, a vaccination plan is considered effective when it reaches more than 90% coverage of the target population (WHO, 2022).</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 xml:space="preserve">Achieving these goals involved overcoming several challenges, as highlighted by the “Strengths, </w:t>
      </w:r>
      <w:r>
        <w:rPr>
          <w:rFonts w:ascii="Arial" w:eastAsia="Arial" w:hAnsi="Arial" w:cs="Arial"/>
        </w:rPr>
        <w:t>Weaknesses, Opportunities and Threats” (SWOT) matrix, which allows for mapping the characteristics or qualities of an intervention (Mendes et al., 2018. The last two categories highlight barriers to Indigenous vaccination, such as poor organization or poor</w:t>
      </w:r>
      <w:r>
        <w:rPr>
          <w:rFonts w:ascii="Arial" w:eastAsia="Arial" w:hAnsi="Arial" w:cs="Arial"/>
        </w:rPr>
        <w:t xml:space="preserve">ly executed activities, which compromise vaccine safety—for instance, conservation logistics, as vaccines must be kept at proper temperatures. Other external factors may also delay vaccine administration, such as geographical barriers (distance, difficult </w:t>
      </w:r>
      <w:r>
        <w:rPr>
          <w:rFonts w:ascii="Arial" w:eastAsia="Arial" w:hAnsi="Arial" w:cs="Arial"/>
        </w:rPr>
        <w:t>terrain) and climatic conditions, which hinder access to certain areas, as well as misinformation spread during the pandemic (Ministry of Health of Brazil, 2023).</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In this scenario, it is crucial to understand how the PNI reached the Brazilian Indigenous p</w:t>
      </w:r>
      <w:r>
        <w:rPr>
          <w:rFonts w:ascii="Arial" w:eastAsia="Arial" w:hAnsi="Arial" w:cs="Arial"/>
        </w:rPr>
        <w:t>opulation during the pandemic, particularly from 2020 to 2023, to ensure that the principles of SUS are being applied. Furthermore, there is a scarcity of publications addressing vaccination coverage among Indigenous peoples in Brazil. Therefore, this stud</w:t>
      </w:r>
      <w:r>
        <w:rPr>
          <w:rFonts w:ascii="Arial" w:eastAsia="Arial" w:hAnsi="Arial" w:cs="Arial"/>
        </w:rPr>
        <w:t xml:space="preserve">y aimed to analyze access to and coverage of COVID-19 vaccination among the Brazilian Indigenous </w:t>
      </w:r>
      <w:r>
        <w:rPr>
          <w:rFonts w:ascii="Arial" w:eastAsia="Arial" w:hAnsi="Arial" w:cs="Arial"/>
        </w:rPr>
        <w:lastRenderedPageBreak/>
        <w:t>population, by assessing the efficiency of strategies, impact factors, and disparities in DSEI coverage.</w:t>
      </w:r>
    </w:p>
    <w:p w:rsidR="001B40A3" w:rsidRDefault="001B40A3">
      <w:pPr>
        <w:pBdr>
          <w:top w:val="nil"/>
          <w:left w:val="nil"/>
          <w:bottom w:val="nil"/>
          <w:right w:val="nil"/>
          <w:between w:val="nil"/>
        </w:pBdr>
        <w:jc w:val="both"/>
        <w:rPr>
          <w:rFonts w:ascii="Arial" w:eastAsia="Arial" w:hAnsi="Arial" w:cs="Arial"/>
          <w:color w:val="000000"/>
        </w:rPr>
      </w:pPr>
    </w:p>
    <w:p w:rsidR="001B40A3" w:rsidRDefault="00461C3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rsidR="001B40A3" w:rsidRDefault="001B40A3">
      <w:pPr>
        <w:keepNext/>
        <w:pBdr>
          <w:top w:val="nil"/>
          <w:left w:val="nil"/>
          <w:bottom w:val="nil"/>
          <w:right w:val="nil"/>
          <w:between w:val="nil"/>
        </w:pBdr>
        <w:jc w:val="both"/>
        <w:rPr>
          <w:rFonts w:ascii="Arial" w:eastAsia="Arial" w:hAnsi="Arial" w:cs="Arial"/>
          <w:b/>
          <w:bCs/>
          <w:smallCaps/>
          <w:sz w:val="22"/>
          <w:szCs w:val="22"/>
        </w:rPr>
      </w:pPr>
    </w:p>
    <w:p w:rsidR="001B40A3" w:rsidRDefault="00461C36">
      <w:pPr>
        <w:jc w:val="both"/>
        <w:rPr>
          <w:rFonts w:ascii="Arial" w:eastAsia="Arial" w:hAnsi="Arial" w:cs="Arial"/>
          <w:b/>
          <w:bCs/>
          <w:smallCaps/>
          <w:color w:val="000000"/>
          <w:sz w:val="22"/>
          <w:szCs w:val="22"/>
        </w:rPr>
      </w:pPr>
      <w:r>
        <w:rPr>
          <w:rFonts w:ascii="Arial" w:eastAsia="Arial" w:hAnsi="Arial" w:cs="Arial"/>
          <w:b/>
          <w:bCs/>
          <w:smallCaps/>
          <w:sz w:val="22"/>
          <w:szCs w:val="22"/>
        </w:rPr>
        <w:t xml:space="preserve">2.1 </w:t>
      </w:r>
      <w:r>
        <w:rPr>
          <w:rFonts w:ascii="Arial" w:eastAsia="Arial" w:hAnsi="Arial" w:cs="Arial"/>
          <w:b/>
          <w:bCs/>
          <w:sz w:val="22"/>
          <w:szCs w:val="22"/>
        </w:rPr>
        <w:t xml:space="preserve">Study design </w:t>
      </w: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The present study is a Scoping Review, whose research design is characterized as descriptive, retrospective, cross-sectional, and based on secondary data collection. In this perspective, the research was developed in accordance with the methodological guid</w:t>
      </w:r>
      <w:r>
        <w:rPr>
          <w:rFonts w:ascii="Arial" w:eastAsia="Arial" w:hAnsi="Arial" w:cs="Arial"/>
        </w:rPr>
        <w:t xml:space="preserve">elines of the Joanna Briggs Institute (JBI) for scoping reviews and, as outlined by Peters MDJ, et al. (2020), followed the following steps: (1) formulation of the research question, (2) identification of information sources, (3) study selection, (4) data </w:t>
      </w:r>
      <w:r>
        <w:rPr>
          <w:rFonts w:ascii="Arial" w:eastAsia="Arial" w:hAnsi="Arial" w:cs="Arial"/>
        </w:rPr>
        <w:t>extraction, (5) data analysis, and (6) presentation of results. In addition, to ensure transparency and research quality, the study adhered to the PRISMA-</w:t>
      </w:r>
      <w:proofErr w:type="spellStart"/>
      <w:r>
        <w:rPr>
          <w:rFonts w:ascii="Arial" w:eastAsia="Arial" w:hAnsi="Arial" w:cs="Arial"/>
        </w:rPr>
        <w:t>ScR</w:t>
      </w:r>
      <w:proofErr w:type="spellEnd"/>
      <w:r>
        <w:rPr>
          <w:rFonts w:ascii="Arial" w:eastAsia="Arial" w:hAnsi="Arial" w:cs="Arial"/>
        </w:rPr>
        <w:t xml:space="preserve"> (Preferred Reporting Items for Systematic Reviews and Meta-Analyses extension for Scoping Reviews)</w:t>
      </w:r>
      <w:r>
        <w:rPr>
          <w:rFonts w:ascii="Arial" w:eastAsia="Arial" w:hAnsi="Arial" w:cs="Arial"/>
        </w:rPr>
        <w:t xml:space="preserve"> checklist. The study was previously assigned a DOI: 10.6084/m9.figshare.27264456.</w:t>
      </w:r>
    </w:p>
    <w:p w:rsidR="001B40A3" w:rsidRDefault="001B40A3">
      <w:pPr>
        <w:pBdr>
          <w:top w:val="nil"/>
          <w:left w:val="nil"/>
          <w:bottom w:val="nil"/>
          <w:right w:val="nil"/>
          <w:between w:val="nil"/>
        </w:pBdr>
        <w:jc w:val="both"/>
        <w:rPr>
          <w:rFonts w:ascii="Arial" w:eastAsia="Arial" w:hAnsi="Arial" w:cs="Arial"/>
        </w:rPr>
      </w:pPr>
    </w:p>
    <w:p w:rsidR="001B40A3" w:rsidRDefault="00461C36">
      <w:pPr>
        <w:jc w:val="both"/>
        <w:rPr>
          <w:rFonts w:ascii="Arial" w:eastAsia="Arial" w:hAnsi="Arial" w:cs="Arial"/>
        </w:rPr>
      </w:pPr>
      <w:r>
        <w:rPr>
          <w:rFonts w:ascii="Arial" w:eastAsia="Arial" w:hAnsi="Arial" w:cs="Arial"/>
          <w:b/>
          <w:bCs/>
          <w:smallCaps/>
          <w:sz w:val="22"/>
          <w:szCs w:val="22"/>
        </w:rPr>
        <w:t xml:space="preserve">2.2 </w:t>
      </w:r>
      <w:r>
        <w:rPr>
          <w:rFonts w:ascii="Arial" w:eastAsia="Arial" w:hAnsi="Arial" w:cs="Arial"/>
          <w:b/>
          <w:bCs/>
          <w:sz w:val="22"/>
          <w:szCs w:val="22"/>
        </w:rPr>
        <w:t>Research question</w:t>
      </w: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For the construction of the title and guiding research question, the PCC (Population, Concept, and Context) strategy was applied. First, the target po</w:t>
      </w:r>
      <w:r>
        <w:rPr>
          <w:rFonts w:ascii="Arial" w:eastAsia="Arial" w:hAnsi="Arial" w:cs="Arial"/>
        </w:rPr>
        <w:t xml:space="preserve">pulation of interest was defined, which included Brazilian Indigenous peoples. Next, the main concept of interest was identified, namely, the assessment of COVID-19 vaccination coverage among Indigenous populations. Finally, the context of the studies was </w:t>
      </w:r>
      <w:r>
        <w:rPr>
          <w:rFonts w:ascii="Arial" w:eastAsia="Arial" w:hAnsi="Arial" w:cs="Arial"/>
        </w:rPr>
        <w:t>established as the implementation of vaccination in the national territory between 2020 and 2024. Thus, the guiding research question was formulated as: “How did COVID-19 vaccination coverage occur among the Brazilian Indigenous population between 2020 and</w:t>
      </w:r>
      <w:r>
        <w:rPr>
          <w:rFonts w:ascii="Arial" w:eastAsia="Arial" w:hAnsi="Arial" w:cs="Arial"/>
        </w:rPr>
        <w:t xml:space="preserve"> 2024?”</w:t>
      </w:r>
    </w:p>
    <w:p w:rsidR="001B40A3" w:rsidRDefault="001B40A3">
      <w:pPr>
        <w:pBdr>
          <w:top w:val="nil"/>
          <w:left w:val="nil"/>
          <w:bottom w:val="nil"/>
          <w:right w:val="nil"/>
          <w:between w:val="nil"/>
        </w:pBdr>
        <w:jc w:val="both"/>
        <w:rPr>
          <w:rFonts w:ascii="Arial" w:eastAsia="Arial" w:hAnsi="Arial" w:cs="Arial"/>
        </w:rPr>
      </w:pPr>
    </w:p>
    <w:p w:rsidR="001B40A3" w:rsidRDefault="00461C36">
      <w:pPr>
        <w:jc w:val="both"/>
        <w:rPr>
          <w:rFonts w:ascii="Arial" w:eastAsia="Arial" w:hAnsi="Arial" w:cs="Arial"/>
        </w:rPr>
      </w:pPr>
      <w:r>
        <w:rPr>
          <w:rFonts w:ascii="Arial" w:eastAsia="Arial" w:hAnsi="Arial" w:cs="Arial"/>
          <w:b/>
          <w:bCs/>
          <w:smallCaps/>
          <w:sz w:val="22"/>
          <w:szCs w:val="22"/>
        </w:rPr>
        <w:t xml:space="preserve">2.3 </w:t>
      </w:r>
      <w:r>
        <w:rPr>
          <w:rFonts w:ascii="Arial" w:eastAsia="Arial" w:hAnsi="Arial" w:cs="Arial"/>
          <w:b/>
          <w:bCs/>
          <w:sz w:val="22"/>
          <w:szCs w:val="22"/>
        </w:rPr>
        <w:t xml:space="preserve">Inclusion and exclusion criteria </w:t>
      </w: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Inclusion criteria were: full-text studies available in Spanish, English, or Portuguese that addressed COVID-19 vaccination among Indigenous populations. Exclusion criteria were: studies focusing on the differ</w:t>
      </w:r>
      <w:r>
        <w:rPr>
          <w:rFonts w:ascii="Arial" w:eastAsia="Arial" w:hAnsi="Arial" w:cs="Arial"/>
        </w:rPr>
        <w:t xml:space="preserve">entiation of COVID-19 serotypes and studies that primarily discussed the mechanisms of action of vaccine models such as </w:t>
      </w:r>
      <w:proofErr w:type="spellStart"/>
      <w:r>
        <w:rPr>
          <w:rFonts w:ascii="Arial" w:eastAsia="Arial" w:hAnsi="Arial" w:cs="Arial"/>
        </w:rPr>
        <w:t>CoronaVac</w:t>
      </w:r>
      <w:proofErr w:type="spellEnd"/>
      <w:r>
        <w:rPr>
          <w:rFonts w:ascii="Arial" w:eastAsia="Arial" w:hAnsi="Arial" w:cs="Arial"/>
        </w:rPr>
        <w:t>, Pfizer, Janssen, and AstraZeneca.</w:t>
      </w:r>
    </w:p>
    <w:p w:rsidR="001B40A3" w:rsidRDefault="001B40A3">
      <w:pPr>
        <w:pBdr>
          <w:top w:val="nil"/>
          <w:left w:val="nil"/>
          <w:bottom w:val="nil"/>
          <w:right w:val="nil"/>
          <w:between w:val="nil"/>
        </w:pBdr>
        <w:jc w:val="both"/>
        <w:rPr>
          <w:rFonts w:ascii="Arial" w:eastAsia="Arial" w:hAnsi="Arial" w:cs="Arial"/>
        </w:rPr>
      </w:pPr>
    </w:p>
    <w:p w:rsidR="001B40A3" w:rsidRDefault="00461C36">
      <w:pPr>
        <w:jc w:val="both"/>
        <w:rPr>
          <w:rFonts w:ascii="Arial" w:eastAsia="Arial" w:hAnsi="Arial" w:cs="Arial"/>
        </w:rPr>
      </w:pPr>
      <w:r>
        <w:rPr>
          <w:rFonts w:ascii="Arial" w:eastAsia="Arial" w:hAnsi="Arial" w:cs="Arial"/>
          <w:b/>
          <w:bCs/>
          <w:smallCaps/>
          <w:sz w:val="22"/>
          <w:szCs w:val="22"/>
        </w:rPr>
        <w:t xml:space="preserve">2.4 </w:t>
      </w:r>
      <w:r>
        <w:rPr>
          <w:rFonts w:ascii="Arial" w:eastAsia="Arial" w:hAnsi="Arial" w:cs="Arial"/>
          <w:b/>
          <w:bCs/>
          <w:sz w:val="22"/>
          <w:szCs w:val="22"/>
        </w:rPr>
        <w:t xml:space="preserve">Databases and search strategy  </w:t>
      </w: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The literature search was conducted in the following d</w:t>
      </w:r>
      <w:r>
        <w:rPr>
          <w:rFonts w:ascii="Arial" w:eastAsia="Arial" w:hAnsi="Arial" w:cs="Arial"/>
        </w:rPr>
        <w:t xml:space="preserve">atabases: EMBASE, Latin American and Caribbean Literature on Health Sciences (LILACS), PUBMED, SCOPUS, Scientific Electronic Library Online (SCIELO), and WEB OF SCIENCE. The descriptors “Indigenous people,” “Brazil,” “Vaccines,” and “COVID-19,” along with </w:t>
      </w:r>
      <w:r>
        <w:rPr>
          <w:rFonts w:ascii="Arial" w:eastAsia="Arial" w:hAnsi="Arial" w:cs="Arial"/>
        </w:rPr>
        <w:t>their synonyms, were combined using the Boolean operator “AND.”</w:t>
      </w:r>
    </w:p>
    <w:p w:rsidR="001B40A3" w:rsidRDefault="001B40A3">
      <w:pPr>
        <w:pBdr>
          <w:top w:val="nil"/>
          <w:left w:val="nil"/>
          <w:bottom w:val="nil"/>
          <w:right w:val="nil"/>
          <w:between w:val="nil"/>
        </w:pBdr>
        <w:jc w:val="both"/>
        <w:rPr>
          <w:rFonts w:ascii="Arial" w:eastAsia="Arial" w:hAnsi="Arial" w:cs="Arial"/>
        </w:rPr>
      </w:pPr>
    </w:p>
    <w:p w:rsidR="001B40A3" w:rsidRDefault="00461C36">
      <w:pPr>
        <w:jc w:val="both"/>
        <w:rPr>
          <w:rFonts w:ascii="Arial" w:eastAsia="Arial" w:hAnsi="Arial" w:cs="Arial"/>
        </w:rPr>
      </w:pPr>
      <w:r>
        <w:rPr>
          <w:rFonts w:ascii="Arial" w:eastAsia="Arial" w:hAnsi="Arial" w:cs="Arial"/>
          <w:b/>
          <w:bCs/>
          <w:smallCaps/>
          <w:sz w:val="22"/>
          <w:szCs w:val="22"/>
        </w:rPr>
        <w:t xml:space="preserve">2.5 </w:t>
      </w:r>
      <w:r>
        <w:rPr>
          <w:rFonts w:ascii="Arial" w:eastAsia="Arial" w:hAnsi="Arial" w:cs="Arial"/>
          <w:b/>
          <w:bCs/>
          <w:sz w:val="22"/>
          <w:szCs w:val="22"/>
        </w:rPr>
        <w:t xml:space="preserve">Study selection </w:t>
      </w:r>
    </w:p>
    <w:p w:rsidR="001B40A3" w:rsidRDefault="00461C36">
      <w:pPr>
        <w:pBdr>
          <w:top w:val="nil"/>
          <w:left w:val="nil"/>
          <w:bottom w:val="nil"/>
          <w:right w:val="nil"/>
          <w:between w:val="nil"/>
        </w:pBdr>
        <w:jc w:val="both"/>
        <w:rPr>
          <w:rFonts w:ascii="Arial" w:eastAsia="Arial" w:hAnsi="Arial" w:cs="Arial"/>
          <w:color w:val="000000"/>
        </w:rPr>
      </w:pPr>
      <w:r>
        <w:rPr>
          <w:rFonts w:ascii="Arial" w:eastAsia="Arial" w:hAnsi="Arial" w:cs="Arial"/>
        </w:rPr>
        <w:t>Study selection was carried out through paired reading of the articles: first, titles and abstracts were screened, followed by full-text reading of the selected studies according to the inclusion criteria. For data extraction, an adaptation of the form rec</w:t>
      </w:r>
      <w:r>
        <w:rPr>
          <w:rFonts w:ascii="Arial" w:eastAsia="Arial" w:hAnsi="Arial" w:cs="Arial"/>
        </w:rPr>
        <w:t>ommended by the JBI was used to facilitate information synthesis and recommendations. The following variables were collected: publication data (title, year, authors, journal, and country of publication); study object and/or research question and/or objecti</w:t>
      </w:r>
      <w:r>
        <w:rPr>
          <w:rFonts w:ascii="Arial" w:eastAsia="Arial" w:hAnsi="Arial" w:cs="Arial"/>
        </w:rPr>
        <w:t>ves; methodological characteristics (study type/design); instruments and/or techniques for data collection; participants and/or sample; main results (outcome measurements and key findings or contributions); and conclusions.</w:t>
      </w:r>
    </w:p>
    <w:p w:rsidR="001B40A3" w:rsidRDefault="001B40A3">
      <w:pPr>
        <w:pBdr>
          <w:top w:val="nil"/>
          <w:left w:val="nil"/>
          <w:bottom w:val="nil"/>
          <w:right w:val="nil"/>
          <w:between w:val="nil"/>
        </w:pBdr>
        <w:jc w:val="both"/>
        <w:rPr>
          <w:rFonts w:ascii="Arial" w:eastAsia="Arial" w:hAnsi="Arial" w:cs="Arial"/>
          <w:color w:val="000000"/>
        </w:rPr>
      </w:pPr>
    </w:p>
    <w:p w:rsidR="001B40A3" w:rsidRDefault="00461C3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3. results and discussion</w:t>
      </w:r>
    </w:p>
    <w:p w:rsidR="001B40A3" w:rsidRDefault="001B40A3">
      <w:pPr>
        <w:keepNext/>
        <w:pBdr>
          <w:top w:val="nil"/>
          <w:left w:val="nil"/>
          <w:bottom w:val="nil"/>
          <w:right w:val="nil"/>
          <w:between w:val="nil"/>
        </w:pBdr>
        <w:jc w:val="both"/>
        <w:rPr>
          <w:rFonts w:ascii="Arial" w:eastAsia="Arial" w:hAnsi="Arial" w:cs="Arial"/>
          <w:b/>
          <w:bCs/>
          <w:smallCaps/>
          <w:color w:val="000000"/>
          <w:sz w:val="22"/>
          <w:szCs w:val="22"/>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The bibliographic search was conducted according to the established strategy and resulted in 124 articles from the mentioned databases and 10 materials from the grey literature. After removing duplicates, 74 records remained for evaluation and were screene</w:t>
      </w:r>
      <w:r>
        <w:rPr>
          <w:rFonts w:ascii="Arial" w:eastAsia="Arial" w:hAnsi="Arial" w:cs="Arial"/>
        </w:rPr>
        <w:t>d by abstract reading, leading to the exclusion of 50 studies for not meeting the predefined selection criteria. Full-text reading was carried out for 24 selected records, of which 14 were excluded for not meeting the inclusion criteria and 2 for not havin</w:t>
      </w:r>
      <w:r>
        <w:rPr>
          <w:rFonts w:ascii="Arial" w:eastAsia="Arial" w:hAnsi="Arial" w:cs="Arial"/>
        </w:rPr>
        <w:t>g the full text available. Finally, 8 records met all the criteria and were included in the synthesis.</w:t>
      </w:r>
    </w:p>
    <w:p w:rsidR="001B40A3" w:rsidRDefault="001B40A3">
      <w:pPr>
        <w:pBdr>
          <w:top w:val="nil"/>
          <w:left w:val="nil"/>
          <w:bottom w:val="nil"/>
          <w:right w:val="nil"/>
          <w:between w:val="nil"/>
        </w:pBdr>
        <w:jc w:val="both"/>
        <w:rPr>
          <w:rFonts w:ascii="Arial" w:eastAsia="Arial" w:hAnsi="Arial" w:cs="Arial"/>
        </w:rPr>
      </w:pPr>
    </w:p>
    <w:p w:rsidR="001B40A3" w:rsidRDefault="00461C36">
      <w:pPr>
        <w:spacing w:line="360" w:lineRule="auto"/>
        <w:ind w:right="229"/>
        <w:jc w:val="center"/>
        <w:rPr>
          <w:rFonts w:ascii="Arial" w:eastAsia="Arial" w:hAnsi="Arial" w:cs="Arial"/>
        </w:rPr>
      </w:pPr>
      <w:r>
        <w:rPr>
          <w:rFonts w:ascii="Arial" w:eastAsia="Arial" w:hAnsi="Arial" w:cs="Arial"/>
          <w:noProof/>
        </w:rPr>
        <w:drawing>
          <wp:inline distT="114300" distB="114300" distL="114300" distR="114300">
            <wp:extent cx="3943350" cy="432066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l="5022" t="9005" r="26214" b="37447"/>
                    <a:stretch>
                      <a:fillRect/>
                    </a:stretch>
                  </pic:blipFill>
                  <pic:spPr>
                    <a:xfrm>
                      <a:off x="0" y="0"/>
                      <a:ext cx="3943350" cy="4320667"/>
                    </a:xfrm>
                    <a:prstGeom prst="rect">
                      <a:avLst/>
                    </a:prstGeom>
                    <a:ln/>
                  </pic:spPr>
                </pic:pic>
              </a:graphicData>
            </a:graphic>
          </wp:inline>
        </w:drawing>
      </w:r>
    </w:p>
    <w:p w:rsidR="001B40A3" w:rsidRDefault="00461C36">
      <w:pPr>
        <w:jc w:val="both"/>
        <w:rPr>
          <w:rFonts w:ascii="Arial" w:eastAsia="Arial" w:hAnsi="Arial" w:cs="Arial"/>
          <w:b/>
          <w:bCs/>
        </w:rPr>
      </w:pPr>
      <w:r>
        <w:rPr>
          <w:rFonts w:ascii="Arial" w:eastAsia="Arial" w:hAnsi="Arial" w:cs="Arial"/>
          <w:b/>
          <w:bCs/>
        </w:rPr>
        <w:t>Fig. 1. Flow diagram of the study selection process adapted from the PRISMA method.</w:t>
      </w:r>
    </w:p>
    <w:p w:rsidR="001B40A3" w:rsidRDefault="001B40A3">
      <w:pPr>
        <w:jc w:val="both"/>
        <w:rPr>
          <w:rFonts w:ascii="Arial" w:eastAsia="Arial" w:hAnsi="Arial" w:cs="Arial"/>
          <w:b/>
          <w:bCs/>
        </w:rPr>
      </w:pPr>
    </w:p>
    <w:p w:rsidR="001B40A3" w:rsidRDefault="00461C36">
      <w:pPr>
        <w:spacing w:before="240" w:after="240" w:line="360" w:lineRule="auto"/>
        <w:jc w:val="both"/>
        <w:rPr>
          <w:rFonts w:ascii="Arial" w:eastAsia="Arial" w:hAnsi="Arial" w:cs="Arial"/>
          <w:b/>
          <w:bCs/>
        </w:rPr>
      </w:pPr>
      <w:r>
        <w:rPr>
          <w:rFonts w:ascii="Arial" w:eastAsia="Arial" w:hAnsi="Arial" w:cs="Arial"/>
          <w:b/>
          <w:bCs/>
        </w:rPr>
        <w:t>Table 1. Studies included in the scoping review by address, year,</w:t>
      </w:r>
      <w:r>
        <w:rPr>
          <w:rFonts w:ascii="Arial" w:eastAsia="Arial" w:hAnsi="Arial" w:cs="Arial"/>
          <w:b/>
          <w:bCs/>
        </w:rPr>
        <w:t xml:space="preserve"> title, author, study type, language, and state of publication.</w:t>
      </w:r>
    </w:p>
    <w:tbl>
      <w:tblPr>
        <w:tblStyle w:val="a3"/>
        <w:tblW w:w="8175" w:type="dxa"/>
        <w:tblBorders>
          <w:top w:val="nil"/>
          <w:left w:val="nil"/>
          <w:bottom w:val="nil"/>
          <w:right w:val="nil"/>
          <w:insideH w:val="nil"/>
          <w:insideV w:val="nil"/>
        </w:tblBorders>
        <w:tblLayout w:type="fixed"/>
        <w:tblLook w:val="0600" w:firstRow="0" w:lastRow="0" w:firstColumn="0" w:lastColumn="0" w:noHBand="1" w:noVBand="1"/>
      </w:tblPr>
      <w:tblGrid>
        <w:gridCol w:w="1635"/>
        <w:gridCol w:w="1635"/>
        <w:gridCol w:w="2100"/>
        <w:gridCol w:w="1605"/>
        <w:gridCol w:w="1200"/>
      </w:tblGrid>
      <w:tr w:rsidR="001B40A3">
        <w:trPr>
          <w:trHeight w:val="1319"/>
        </w:trPr>
        <w:tc>
          <w:tcPr>
            <w:tcW w:w="16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b/>
                <w:bCs/>
              </w:rPr>
            </w:pPr>
            <w:r>
              <w:rPr>
                <w:rFonts w:ascii="Arial" w:eastAsia="Arial" w:hAnsi="Arial" w:cs="Arial"/>
                <w:b/>
                <w:bCs/>
              </w:rPr>
              <w:lastRenderedPageBreak/>
              <w:t>NUMBER</w:t>
            </w:r>
          </w:p>
        </w:tc>
        <w:tc>
          <w:tcPr>
            <w:tcW w:w="16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b/>
                <w:bCs/>
              </w:rPr>
            </w:pPr>
            <w:r>
              <w:rPr>
                <w:rFonts w:ascii="Arial" w:eastAsia="Arial" w:hAnsi="Arial" w:cs="Arial"/>
                <w:b/>
                <w:bCs/>
              </w:rPr>
              <w:t>ADDRESS</w:t>
            </w:r>
          </w:p>
        </w:tc>
        <w:tc>
          <w:tcPr>
            <w:tcW w:w="21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b/>
                <w:bCs/>
              </w:rPr>
            </w:pPr>
            <w:r>
              <w:rPr>
                <w:rFonts w:ascii="Arial" w:eastAsia="Arial" w:hAnsi="Arial" w:cs="Arial"/>
                <w:b/>
                <w:bCs/>
              </w:rPr>
              <w:t>TITLE</w:t>
            </w:r>
          </w:p>
        </w:tc>
        <w:tc>
          <w:tcPr>
            <w:tcW w:w="16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b/>
                <w:bCs/>
              </w:rPr>
            </w:pPr>
            <w:r>
              <w:rPr>
                <w:rFonts w:ascii="Arial" w:eastAsia="Arial" w:hAnsi="Arial" w:cs="Arial"/>
                <w:b/>
                <w:bCs/>
              </w:rPr>
              <w:t>AUTHOR(S) AND YEAR OF PUBLICATION</w:t>
            </w:r>
          </w:p>
        </w:tc>
        <w:tc>
          <w:tcPr>
            <w:tcW w:w="12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b/>
                <w:bCs/>
              </w:rPr>
            </w:pPr>
            <w:r>
              <w:rPr>
                <w:rFonts w:ascii="Arial" w:eastAsia="Arial" w:hAnsi="Arial" w:cs="Arial"/>
                <w:b/>
                <w:bCs/>
              </w:rPr>
              <w:t>STUDY TYPE</w:t>
            </w:r>
          </w:p>
        </w:tc>
      </w:tr>
      <w:tr w:rsidR="001B40A3">
        <w:trPr>
          <w:trHeight w:val="689"/>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1</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10.1080/21645515.2021.1955607.</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The hindrances to perform the COVID-19 vaccination in Brazil</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BOSCHIERO MN, et al. (2021)</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Systematic review</w:t>
            </w:r>
          </w:p>
        </w:tc>
      </w:tr>
      <w:tr w:rsidR="001B40A3">
        <w:trPr>
          <w:trHeight w:val="794"/>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2</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10.1038/d41586-021-00689-6.</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Brazil: Boost COVID-19 vaccine uptake in Indigenous people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BENITES E, et al. (2021)</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Cross-sectional observational study</w:t>
            </w:r>
          </w:p>
        </w:tc>
      </w:tr>
      <w:tr w:rsidR="001B40A3">
        <w:trPr>
          <w:trHeight w:val="22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3</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10.1186/s12889-023-16196-4.</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Vaccine coverage and effectiveness against laboratory-confirmed symptomatic and severe Covid-19 in indigenous people in Brazil: a cohort study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PESCARINI JM, et al.</w:t>
            </w:r>
          </w:p>
          <w:p w:rsidR="001B40A3" w:rsidRDefault="00461C36">
            <w:pPr>
              <w:spacing w:before="240" w:after="240" w:line="360" w:lineRule="auto"/>
              <w:jc w:val="center"/>
              <w:rPr>
                <w:rFonts w:ascii="Arial" w:eastAsia="Arial" w:hAnsi="Arial" w:cs="Arial"/>
              </w:rPr>
            </w:pPr>
            <w:r>
              <w:rPr>
                <w:rFonts w:ascii="Arial" w:eastAsia="Arial" w:hAnsi="Arial" w:cs="Arial"/>
              </w:rPr>
              <w:t xml:space="preserve"> (2023)</w:t>
            </w:r>
          </w:p>
          <w:p w:rsidR="001B40A3" w:rsidRDefault="00461C36">
            <w:pPr>
              <w:spacing w:before="240" w:after="240" w:line="360" w:lineRule="auto"/>
              <w:jc w:val="center"/>
              <w:rPr>
                <w:rFonts w:ascii="Arial" w:eastAsia="Arial" w:hAnsi="Arial" w:cs="Arial"/>
              </w:rPr>
            </w:pPr>
            <w:r>
              <w:rPr>
                <w:rFonts w:ascii="Arial" w:eastAsia="Arial" w:hAnsi="Arial" w:cs="Arial"/>
              </w:rPr>
              <w:t xml:space="preserve">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Retrospective cohort study</w:t>
            </w:r>
          </w:p>
        </w:tc>
      </w:tr>
      <w:tr w:rsidR="001B40A3">
        <w:trPr>
          <w:trHeight w:val="169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4</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10.1186/s12879-022-07449-5.</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The assistance gaps in c</w:t>
            </w:r>
            <w:r>
              <w:rPr>
                <w:rFonts w:ascii="Arial" w:eastAsia="Arial" w:hAnsi="Arial" w:cs="Arial"/>
              </w:rPr>
              <w:t>ombating COVID-19 in Brazil: for whom, where and when vaccination occurs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MOREIRA RS, et al.</w:t>
            </w:r>
          </w:p>
          <w:p w:rsidR="001B40A3" w:rsidRDefault="00461C36">
            <w:pPr>
              <w:spacing w:before="240" w:after="240" w:line="360" w:lineRule="auto"/>
              <w:jc w:val="center"/>
              <w:rPr>
                <w:rFonts w:ascii="Arial" w:eastAsia="Arial" w:hAnsi="Arial" w:cs="Arial"/>
              </w:rPr>
            </w:pPr>
            <w:r>
              <w:rPr>
                <w:rFonts w:ascii="Arial" w:eastAsia="Arial" w:hAnsi="Arial" w:cs="Arial"/>
              </w:rPr>
              <w:t>(2022)</w:t>
            </w:r>
          </w:p>
          <w:p w:rsidR="001B40A3" w:rsidRDefault="00461C36">
            <w:pPr>
              <w:spacing w:before="240" w:after="240" w:line="360" w:lineRule="auto"/>
              <w:jc w:val="center"/>
              <w:rPr>
                <w:rFonts w:ascii="Arial" w:eastAsia="Arial" w:hAnsi="Arial" w:cs="Arial"/>
              </w:rPr>
            </w:pPr>
            <w:r>
              <w:rPr>
                <w:rFonts w:ascii="Arial" w:eastAsia="Arial" w:hAnsi="Arial" w:cs="Arial"/>
              </w:rPr>
              <w:t xml:space="preserve">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Cross-sectional observational study</w:t>
            </w:r>
          </w:p>
        </w:tc>
      </w:tr>
      <w:tr w:rsidR="001B40A3">
        <w:trPr>
          <w:trHeight w:val="115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lastRenderedPageBreak/>
              <w:t>5</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https://repositorio.ufpa.br/jspui/handle/2011/16329</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Indigenous health in Pará and its interface with COVID-19: planning, implementation, and governance</w:t>
            </w:r>
          </w:p>
          <w:p w:rsidR="001B40A3" w:rsidRDefault="00461C36">
            <w:pPr>
              <w:spacing w:before="240" w:after="240" w:line="360" w:lineRule="auto"/>
              <w:jc w:val="center"/>
              <w:rPr>
                <w:rFonts w:ascii="Arial" w:eastAsia="Arial" w:hAnsi="Arial" w:cs="Arial"/>
              </w:rPr>
            </w:pPr>
            <w:r>
              <w:rPr>
                <w:rFonts w:ascii="Arial" w:eastAsia="Arial" w:hAnsi="Arial" w:cs="Arial"/>
              </w:rPr>
              <w:t xml:space="preserve"> </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RODRIGUES RP</w:t>
            </w:r>
          </w:p>
          <w:p w:rsidR="001B40A3" w:rsidRDefault="00461C36">
            <w:pPr>
              <w:spacing w:before="240" w:after="240" w:line="360" w:lineRule="auto"/>
              <w:jc w:val="center"/>
              <w:rPr>
                <w:rFonts w:ascii="Arial" w:eastAsia="Arial" w:hAnsi="Arial" w:cs="Arial"/>
              </w:rPr>
            </w:pPr>
            <w:r>
              <w:rPr>
                <w:rFonts w:ascii="Arial" w:eastAsia="Arial" w:hAnsi="Arial" w:cs="Arial"/>
              </w:rPr>
              <w:t>(2024)</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Mixed-methods approach</w:t>
            </w:r>
          </w:p>
        </w:tc>
      </w:tr>
      <w:tr w:rsidR="001B40A3">
        <w:trPr>
          <w:trHeight w:val="1274"/>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6</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https://iris.who.int/handle/10665/352898</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Epidemiology of COVID-19 among indigenous people living in the Amazon region of Brazil</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SANTANA RS, et al.</w:t>
            </w:r>
          </w:p>
          <w:p w:rsidR="001B40A3" w:rsidRDefault="00461C36">
            <w:pPr>
              <w:spacing w:before="240" w:after="240" w:line="360" w:lineRule="auto"/>
              <w:jc w:val="center"/>
              <w:rPr>
                <w:rFonts w:ascii="Arial" w:eastAsia="Arial" w:hAnsi="Arial" w:cs="Arial"/>
              </w:rPr>
            </w:pPr>
            <w:r>
              <w:rPr>
                <w:rFonts w:ascii="Arial" w:eastAsia="Arial" w:hAnsi="Arial" w:cs="Arial"/>
              </w:rPr>
              <w:t>(2022)</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Cross-sectional observational study</w:t>
            </w:r>
          </w:p>
        </w:tc>
      </w:tr>
      <w:tr w:rsidR="001B40A3">
        <w:trPr>
          <w:trHeight w:val="2324"/>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7</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https://ss-usa.s3.amazonaws.com/c/308481554/media/1824637bb2d1e9e9d74927413860285/Abrasco_Dossie_Pademia_de_Covid-19_versao2.pdf</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ABRASCO Dossier: COVID-19 Pandemic</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 xml:space="preserve"> ASSOCIAÇÃO BRASILEIRA DE SAÚDE COLETIVA</w:t>
            </w:r>
          </w:p>
          <w:p w:rsidR="001B40A3" w:rsidRDefault="00461C36">
            <w:pPr>
              <w:spacing w:before="240" w:after="240" w:line="360" w:lineRule="auto"/>
              <w:jc w:val="center"/>
              <w:rPr>
                <w:rFonts w:ascii="Arial" w:eastAsia="Arial" w:hAnsi="Arial" w:cs="Arial"/>
              </w:rPr>
            </w:pPr>
            <w:r>
              <w:rPr>
                <w:rFonts w:ascii="Arial" w:eastAsia="Arial" w:hAnsi="Arial" w:cs="Arial"/>
              </w:rPr>
              <w:t>(2022)</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Narrative review</w:t>
            </w:r>
          </w:p>
        </w:tc>
      </w:tr>
      <w:tr w:rsidR="001B40A3">
        <w:trPr>
          <w:trHeight w:val="914"/>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8</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https://repositorio.bvsp</w:t>
            </w:r>
            <w:r>
              <w:rPr>
                <w:rFonts w:ascii="Arial" w:eastAsia="Arial" w:hAnsi="Arial" w:cs="Arial"/>
              </w:rPr>
              <w:t>ovosindigenas.fiocruz.br/bitstreams/5d639eed-cd80-</w:t>
            </w:r>
            <w:r>
              <w:rPr>
                <w:rFonts w:ascii="Arial" w:eastAsia="Arial" w:hAnsi="Arial" w:cs="Arial"/>
              </w:rPr>
              <w:lastRenderedPageBreak/>
              <w:t>415f-81c5-94dda8073ef5/download</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lastRenderedPageBreak/>
              <w:t>Pandemic and territory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ALMEIDA AWB, et al.</w:t>
            </w:r>
          </w:p>
          <w:p w:rsidR="001B40A3" w:rsidRDefault="00461C36">
            <w:pPr>
              <w:spacing w:before="240" w:after="240" w:line="360" w:lineRule="auto"/>
              <w:jc w:val="center"/>
              <w:rPr>
                <w:rFonts w:ascii="Arial" w:eastAsia="Arial" w:hAnsi="Arial" w:cs="Arial"/>
              </w:rPr>
            </w:pPr>
            <w:r>
              <w:rPr>
                <w:rFonts w:ascii="Arial" w:eastAsia="Arial" w:hAnsi="Arial" w:cs="Arial"/>
              </w:rPr>
              <w:t>(2020)</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B40A3" w:rsidRDefault="00461C36">
            <w:pPr>
              <w:spacing w:before="240" w:after="240" w:line="360" w:lineRule="auto"/>
              <w:jc w:val="center"/>
              <w:rPr>
                <w:rFonts w:ascii="Arial" w:eastAsia="Arial" w:hAnsi="Arial" w:cs="Arial"/>
              </w:rPr>
            </w:pPr>
            <w:r>
              <w:rPr>
                <w:rFonts w:ascii="Arial" w:eastAsia="Arial" w:hAnsi="Arial" w:cs="Arial"/>
              </w:rPr>
              <w:t>Descriptive observational study</w:t>
            </w:r>
          </w:p>
        </w:tc>
      </w:tr>
    </w:tbl>
    <w:p w:rsidR="001B40A3" w:rsidRDefault="001B40A3">
      <w:pPr>
        <w:spacing w:line="360" w:lineRule="auto"/>
        <w:ind w:right="229"/>
        <w:jc w:val="both"/>
        <w:rPr>
          <w:rFonts w:ascii="Arial" w:eastAsia="Arial" w:hAnsi="Arial" w:cs="Arial"/>
          <w:b/>
          <w:bCs/>
        </w:rPr>
      </w:pPr>
    </w:p>
    <w:p w:rsidR="001B40A3" w:rsidRDefault="00461C36">
      <w:pPr>
        <w:pBdr>
          <w:top w:val="nil"/>
          <w:left w:val="nil"/>
          <w:bottom w:val="nil"/>
          <w:right w:val="nil"/>
          <w:between w:val="nil"/>
        </w:pBdr>
        <w:jc w:val="both"/>
        <w:rPr>
          <w:rFonts w:ascii="Arial" w:eastAsia="Arial" w:hAnsi="Arial" w:cs="Arial"/>
          <w:b/>
          <w:bCs/>
        </w:rPr>
      </w:pPr>
      <w:r>
        <w:rPr>
          <w:rFonts w:ascii="Arial" w:eastAsia="Arial" w:hAnsi="Arial" w:cs="Arial"/>
          <w:b/>
          <w:bCs/>
        </w:rPr>
        <w:t>Table 2. Studies included in the scoping review by name and main findings.</w:t>
      </w:r>
    </w:p>
    <w:p w:rsidR="001B40A3" w:rsidRDefault="001B40A3">
      <w:pPr>
        <w:pBdr>
          <w:top w:val="nil"/>
          <w:left w:val="nil"/>
          <w:bottom w:val="nil"/>
          <w:right w:val="nil"/>
          <w:between w:val="nil"/>
        </w:pBdr>
        <w:jc w:val="both"/>
        <w:rPr>
          <w:rFonts w:ascii="Arial" w:eastAsia="Arial" w:hAnsi="Arial" w:cs="Arial"/>
          <w:b/>
          <w:bCs/>
        </w:rPr>
      </w:pPr>
    </w:p>
    <w:tbl>
      <w:tblPr>
        <w:tblStyle w:val="a4"/>
        <w:tblW w:w="8205" w:type="dxa"/>
        <w:tblBorders>
          <w:top w:val="nil"/>
          <w:left w:val="nil"/>
          <w:bottom w:val="nil"/>
          <w:right w:val="nil"/>
          <w:insideH w:val="nil"/>
          <w:insideV w:val="nil"/>
        </w:tblBorders>
        <w:tblLayout w:type="fixed"/>
        <w:tblLook w:val="0600" w:firstRow="0" w:lastRow="0" w:firstColumn="0" w:lastColumn="0" w:noHBand="1" w:noVBand="1"/>
      </w:tblPr>
      <w:tblGrid>
        <w:gridCol w:w="1140"/>
        <w:gridCol w:w="7065"/>
      </w:tblGrid>
      <w:tr w:rsidR="001B40A3">
        <w:trPr>
          <w:trHeight w:val="500"/>
        </w:trPr>
        <w:tc>
          <w:tcPr>
            <w:tcW w:w="11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b/>
                <w:bCs/>
              </w:rPr>
            </w:pPr>
            <w:r>
              <w:rPr>
                <w:rFonts w:ascii="Arial" w:eastAsia="Arial" w:hAnsi="Arial" w:cs="Arial"/>
                <w:b/>
                <w:bCs/>
              </w:rPr>
              <w:t>NUMBER</w:t>
            </w:r>
          </w:p>
        </w:tc>
        <w:tc>
          <w:tcPr>
            <w:tcW w:w="706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b/>
                <w:bCs/>
              </w:rPr>
            </w:pPr>
            <w:r>
              <w:rPr>
                <w:rFonts w:ascii="Arial" w:eastAsia="Arial" w:hAnsi="Arial" w:cs="Arial"/>
                <w:b/>
                <w:bCs/>
              </w:rPr>
              <w:t>MAIN FINDINGS</w:t>
            </w:r>
          </w:p>
        </w:tc>
      </w:tr>
      <w:tr w:rsidR="001B40A3">
        <w:trPr>
          <w:trHeight w:val="2984"/>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rPr>
            </w:pPr>
            <w:r>
              <w:rPr>
                <w:rFonts w:ascii="Arial" w:eastAsia="Arial" w:hAnsi="Arial" w:cs="Arial"/>
              </w:rPr>
              <w:t>1</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numPr>
                <w:ilvl w:val="0"/>
                <w:numId w:val="2"/>
              </w:numPr>
              <w:spacing w:before="240" w:line="360" w:lineRule="auto"/>
              <w:jc w:val="both"/>
              <w:rPr>
                <w:rFonts w:ascii="Arial" w:eastAsia="Arial" w:hAnsi="Arial" w:cs="Arial"/>
              </w:rPr>
            </w:pPr>
            <w:r>
              <w:rPr>
                <w:rFonts w:ascii="Arial" w:eastAsia="Arial" w:hAnsi="Arial" w:cs="Arial"/>
              </w:rPr>
              <w:t>The state of Amazonas, with the largest Indigenous population, received the greatest number of vaccines.</w:t>
            </w:r>
          </w:p>
          <w:p w:rsidR="001B40A3" w:rsidRDefault="00461C36">
            <w:pPr>
              <w:numPr>
                <w:ilvl w:val="0"/>
                <w:numId w:val="2"/>
              </w:numPr>
              <w:spacing w:line="360" w:lineRule="auto"/>
              <w:jc w:val="both"/>
              <w:rPr>
                <w:rFonts w:ascii="Arial" w:eastAsia="Arial" w:hAnsi="Arial" w:cs="Arial"/>
              </w:rPr>
            </w:pPr>
            <w:r>
              <w:rPr>
                <w:rFonts w:ascii="Arial" w:eastAsia="Arial" w:hAnsi="Arial" w:cs="Arial"/>
              </w:rPr>
              <w:t>Approximately 48,000 Indigenous people were infected with COVID-19, and at least 672 deaths occurred.</w:t>
            </w:r>
          </w:p>
          <w:p w:rsidR="001B40A3" w:rsidRDefault="00461C36">
            <w:pPr>
              <w:numPr>
                <w:ilvl w:val="0"/>
                <w:numId w:val="2"/>
              </w:numPr>
              <w:spacing w:line="360" w:lineRule="auto"/>
              <w:jc w:val="both"/>
              <w:rPr>
                <w:rFonts w:ascii="Arial" w:eastAsia="Arial" w:hAnsi="Arial" w:cs="Arial"/>
              </w:rPr>
            </w:pPr>
            <w:r>
              <w:rPr>
                <w:rFonts w:ascii="Arial" w:eastAsia="Arial" w:hAnsi="Arial" w:cs="Arial"/>
              </w:rPr>
              <w:t>Cultural characteristics made social isolation difficult.</w:t>
            </w:r>
          </w:p>
          <w:p w:rsidR="001B40A3" w:rsidRDefault="00461C36">
            <w:pPr>
              <w:numPr>
                <w:ilvl w:val="0"/>
                <w:numId w:val="2"/>
              </w:numPr>
              <w:spacing w:line="360" w:lineRule="auto"/>
              <w:jc w:val="both"/>
              <w:rPr>
                <w:rFonts w:ascii="Arial" w:eastAsia="Arial" w:hAnsi="Arial" w:cs="Arial"/>
              </w:rPr>
            </w:pPr>
            <w:r>
              <w:rPr>
                <w:rFonts w:ascii="Arial" w:eastAsia="Arial" w:hAnsi="Arial" w:cs="Arial"/>
              </w:rPr>
              <w:t xml:space="preserve">Logistical challenges, such as distribution in remote areas, hindered vaccination; however, they justified the use of </w:t>
            </w:r>
            <w:proofErr w:type="spellStart"/>
            <w:r>
              <w:rPr>
                <w:rFonts w:ascii="Arial" w:eastAsia="Arial" w:hAnsi="Arial" w:cs="Arial"/>
              </w:rPr>
              <w:t>CoronaVac</w:t>
            </w:r>
            <w:proofErr w:type="spellEnd"/>
            <w:r>
              <w:rPr>
                <w:rFonts w:ascii="Arial" w:eastAsia="Arial" w:hAnsi="Arial" w:cs="Arial"/>
              </w:rPr>
              <w:t xml:space="preserve"> due to its greater logistical feasibility.</w:t>
            </w:r>
          </w:p>
          <w:p w:rsidR="001B40A3" w:rsidRDefault="00461C36">
            <w:pPr>
              <w:numPr>
                <w:ilvl w:val="0"/>
                <w:numId w:val="2"/>
              </w:numPr>
              <w:spacing w:line="360" w:lineRule="auto"/>
              <w:jc w:val="both"/>
              <w:rPr>
                <w:rFonts w:ascii="Arial" w:eastAsia="Arial" w:hAnsi="Arial" w:cs="Arial"/>
              </w:rPr>
            </w:pPr>
            <w:r>
              <w:rPr>
                <w:rFonts w:ascii="Arial" w:eastAsia="Arial" w:hAnsi="Arial" w:cs="Arial"/>
              </w:rPr>
              <w:t>There is an intrinsic Indig</w:t>
            </w:r>
            <w:r>
              <w:rPr>
                <w:rFonts w:ascii="Arial" w:eastAsia="Arial" w:hAnsi="Arial" w:cs="Arial"/>
              </w:rPr>
              <w:t>enous vulnerability, which is linked to issues within public health policy itself.</w:t>
            </w:r>
          </w:p>
          <w:p w:rsidR="001B40A3" w:rsidRDefault="00461C36">
            <w:pPr>
              <w:numPr>
                <w:ilvl w:val="0"/>
                <w:numId w:val="2"/>
              </w:numPr>
              <w:spacing w:after="240" w:line="360" w:lineRule="auto"/>
              <w:jc w:val="both"/>
              <w:rPr>
                <w:rFonts w:ascii="Arial" w:eastAsia="Arial" w:hAnsi="Arial" w:cs="Arial"/>
              </w:rPr>
            </w:pPr>
            <w:r>
              <w:rPr>
                <w:rFonts w:ascii="Arial" w:eastAsia="Arial" w:hAnsi="Arial" w:cs="Arial"/>
              </w:rPr>
              <w:t>The anti-vaccine movement hindered Indigenous vaccination.</w:t>
            </w:r>
          </w:p>
        </w:tc>
      </w:tr>
      <w:tr w:rsidR="001B40A3">
        <w:trPr>
          <w:trHeight w:val="2986"/>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rPr>
            </w:pPr>
            <w:r>
              <w:rPr>
                <w:rFonts w:ascii="Arial" w:eastAsia="Arial" w:hAnsi="Arial" w:cs="Arial"/>
              </w:rPr>
              <w:t>2</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numPr>
                <w:ilvl w:val="0"/>
                <w:numId w:val="1"/>
              </w:numPr>
              <w:spacing w:before="240" w:line="360" w:lineRule="auto"/>
              <w:jc w:val="both"/>
              <w:rPr>
                <w:rFonts w:ascii="Arial" w:eastAsia="Arial" w:hAnsi="Arial" w:cs="Arial"/>
              </w:rPr>
            </w:pPr>
            <w:r>
              <w:rPr>
                <w:rFonts w:ascii="Arial" w:eastAsia="Arial" w:hAnsi="Arial" w:cs="Arial"/>
              </w:rPr>
              <w:t>Low adherence to vaccination was responsible for a mortality rate twice the national average.</w:t>
            </w:r>
          </w:p>
          <w:p w:rsidR="001B40A3" w:rsidRDefault="00461C36">
            <w:pPr>
              <w:numPr>
                <w:ilvl w:val="0"/>
                <w:numId w:val="1"/>
              </w:numPr>
              <w:spacing w:line="360" w:lineRule="auto"/>
              <w:jc w:val="both"/>
              <w:rPr>
                <w:rFonts w:ascii="Arial" w:eastAsia="Arial" w:hAnsi="Arial" w:cs="Arial"/>
              </w:rPr>
            </w:pPr>
            <w:r>
              <w:rPr>
                <w:rFonts w:ascii="Arial" w:eastAsia="Arial" w:hAnsi="Arial" w:cs="Arial"/>
              </w:rPr>
              <w:t>Actions to combat misinformation must be based on building trust and ensuring access.</w:t>
            </w:r>
          </w:p>
          <w:p w:rsidR="001B40A3" w:rsidRDefault="00461C36">
            <w:pPr>
              <w:numPr>
                <w:ilvl w:val="0"/>
                <w:numId w:val="1"/>
              </w:numPr>
              <w:spacing w:line="360" w:lineRule="auto"/>
              <w:jc w:val="both"/>
              <w:rPr>
                <w:rFonts w:ascii="Arial" w:eastAsia="Arial" w:hAnsi="Arial" w:cs="Arial"/>
              </w:rPr>
            </w:pPr>
            <w:r>
              <w:rPr>
                <w:rFonts w:ascii="Arial" w:eastAsia="Arial" w:hAnsi="Arial" w:cs="Arial"/>
              </w:rPr>
              <w:t>Acceptance rates reached approximately 85%.</w:t>
            </w:r>
          </w:p>
          <w:p w:rsidR="001B40A3" w:rsidRDefault="00461C36">
            <w:pPr>
              <w:numPr>
                <w:ilvl w:val="0"/>
                <w:numId w:val="1"/>
              </w:numPr>
              <w:spacing w:line="360" w:lineRule="auto"/>
              <w:jc w:val="both"/>
              <w:rPr>
                <w:rFonts w:ascii="Arial" w:eastAsia="Arial" w:hAnsi="Arial" w:cs="Arial"/>
              </w:rPr>
            </w:pPr>
            <w:r>
              <w:rPr>
                <w:rFonts w:ascii="Arial" w:eastAsia="Arial" w:hAnsi="Arial" w:cs="Arial"/>
              </w:rPr>
              <w:t>Although Indigenous peoples were considered priority groups, only half of them were vaccinated.</w:t>
            </w:r>
          </w:p>
          <w:p w:rsidR="001B40A3" w:rsidRDefault="00461C36">
            <w:pPr>
              <w:numPr>
                <w:ilvl w:val="0"/>
                <w:numId w:val="1"/>
              </w:numPr>
              <w:spacing w:line="360" w:lineRule="auto"/>
              <w:jc w:val="both"/>
              <w:rPr>
                <w:rFonts w:ascii="Arial" w:eastAsia="Arial" w:hAnsi="Arial" w:cs="Arial"/>
              </w:rPr>
            </w:pPr>
            <w:r>
              <w:rPr>
                <w:rFonts w:ascii="Arial" w:eastAsia="Arial" w:hAnsi="Arial" w:cs="Arial"/>
              </w:rPr>
              <w:t>The spread of “fake news” redu</w:t>
            </w:r>
            <w:r>
              <w:rPr>
                <w:rFonts w:ascii="Arial" w:eastAsia="Arial" w:hAnsi="Arial" w:cs="Arial"/>
              </w:rPr>
              <w:t>ced acceptance rates and, consequently, vaccination coverage among Indigenous peoples.</w:t>
            </w:r>
          </w:p>
          <w:p w:rsidR="001B40A3" w:rsidRDefault="00461C36">
            <w:pPr>
              <w:numPr>
                <w:ilvl w:val="0"/>
                <w:numId w:val="1"/>
              </w:numPr>
              <w:spacing w:after="240" w:line="360" w:lineRule="auto"/>
              <w:jc w:val="both"/>
              <w:rPr>
                <w:rFonts w:ascii="Arial" w:eastAsia="Arial" w:hAnsi="Arial" w:cs="Arial"/>
              </w:rPr>
            </w:pPr>
            <w:r>
              <w:rPr>
                <w:rFonts w:ascii="Arial" w:eastAsia="Arial" w:hAnsi="Arial" w:cs="Arial"/>
              </w:rPr>
              <w:t>Coordination among the responsible health authorities is necessary.</w:t>
            </w:r>
          </w:p>
        </w:tc>
      </w:tr>
      <w:tr w:rsidR="001B40A3">
        <w:trPr>
          <w:trHeight w:val="330"/>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rPr>
            </w:pPr>
            <w:r>
              <w:rPr>
                <w:rFonts w:ascii="Arial" w:eastAsia="Arial" w:hAnsi="Arial" w:cs="Arial"/>
              </w:rPr>
              <w:lastRenderedPageBreak/>
              <w:t>3</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numPr>
                <w:ilvl w:val="0"/>
                <w:numId w:val="6"/>
              </w:numPr>
              <w:spacing w:before="240" w:line="360" w:lineRule="auto"/>
              <w:jc w:val="both"/>
              <w:rPr>
                <w:rFonts w:ascii="Arial" w:eastAsia="Arial" w:hAnsi="Arial" w:cs="Arial"/>
              </w:rPr>
            </w:pPr>
            <w:r>
              <w:rPr>
                <w:rFonts w:ascii="Arial" w:eastAsia="Arial" w:hAnsi="Arial" w:cs="Arial"/>
              </w:rPr>
              <w:t xml:space="preserve">By March 1, 2022, partial vaccination coverage (a single dose of AstraZeneca, </w:t>
            </w:r>
            <w:proofErr w:type="spellStart"/>
            <w:r>
              <w:rPr>
                <w:rFonts w:ascii="Arial" w:eastAsia="Arial" w:hAnsi="Arial" w:cs="Arial"/>
              </w:rPr>
              <w:t>CoronaVac</w:t>
            </w:r>
            <w:proofErr w:type="spellEnd"/>
            <w:r>
              <w:rPr>
                <w:rFonts w:ascii="Arial" w:eastAsia="Arial" w:hAnsi="Arial" w:cs="Arial"/>
              </w:rPr>
              <w:t>, or Pfizer) reached 87.6% in the general Brazilian population and 65% among Indigenous peoples living in the DSEIs*. For full vaccination coverage (two doses), rates we</w:t>
            </w:r>
            <w:r>
              <w:rPr>
                <w:rFonts w:ascii="Arial" w:eastAsia="Arial" w:hAnsi="Arial" w:cs="Arial"/>
              </w:rPr>
              <w:t>re 74.8% for the general Brazilian population and 48.7% for Indigenous peoples living in the DSEIs.</w:t>
            </w:r>
          </w:p>
          <w:p w:rsidR="001B40A3" w:rsidRDefault="00461C36">
            <w:pPr>
              <w:numPr>
                <w:ilvl w:val="0"/>
                <w:numId w:val="6"/>
              </w:numPr>
              <w:spacing w:line="360" w:lineRule="auto"/>
              <w:jc w:val="both"/>
              <w:rPr>
                <w:rFonts w:ascii="Arial" w:eastAsia="Arial" w:hAnsi="Arial" w:cs="Arial"/>
              </w:rPr>
            </w:pPr>
            <w:r>
              <w:rPr>
                <w:rFonts w:ascii="Arial" w:eastAsia="Arial" w:hAnsi="Arial" w:cs="Arial"/>
              </w:rPr>
              <w:t xml:space="preserve">For partial vaccination coverage among Indigenous peoples living in the DSEIs, the highest rate was recorded in the Northeast (80.4%) and the lowest in the </w:t>
            </w:r>
            <w:r>
              <w:rPr>
                <w:rFonts w:ascii="Arial" w:eastAsia="Arial" w:hAnsi="Arial" w:cs="Arial"/>
              </w:rPr>
              <w:t>Southeast (47.9%).</w:t>
            </w:r>
          </w:p>
          <w:p w:rsidR="001B40A3" w:rsidRDefault="00461C36">
            <w:pPr>
              <w:numPr>
                <w:ilvl w:val="0"/>
                <w:numId w:val="6"/>
              </w:numPr>
              <w:spacing w:after="240" w:line="360" w:lineRule="auto"/>
              <w:jc w:val="both"/>
              <w:rPr>
                <w:rFonts w:ascii="Arial" w:eastAsia="Arial" w:hAnsi="Arial" w:cs="Arial"/>
              </w:rPr>
            </w:pPr>
            <w:r>
              <w:rPr>
                <w:rFonts w:ascii="Arial" w:eastAsia="Arial" w:hAnsi="Arial" w:cs="Arial"/>
              </w:rPr>
              <w:t>For full vaccination coverage among Indigenous peoples living in the DSEIs, the highest rate was recorded in the Northeast (66.4%) and the lowest in the North (40.3%).</w:t>
            </w:r>
          </w:p>
        </w:tc>
      </w:tr>
      <w:tr w:rsidR="001B40A3">
        <w:trPr>
          <w:trHeight w:val="4124"/>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rPr>
            </w:pPr>
            <w:r>
              <w:rPr>
                <w:rFonts w:ascii="Arial" w:eastAsia="Arial" w:hAnsi="Arial" w:cs="Arial"/>
              </w:rPr>
              <w:t>4</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numPr>
                <w:ilvl w:val="0"/>
                <w:numId w:val="5"/>
              </w:numPr>
              <w:spacing w:before="240" w:line="360" w:lineRule="auto"/>
              <w:jc w:val="both"/>
              <w:rPr>
                <w:rFonts w:ascii="Arial" w:eastAsia="Arial" w:hAnsi="Arial" w:cs="Arial"/>
              </w:rPr>
            </w:pPr>
            <w:r>
              <w:rPr>
                <w:rFonts w:ascii="Arial" w:eastAsia="Arial" w:hAnsi="Arial" w:cs="Arial"/>
              </w:rPr>
              <w:t xml:space="preserve">Indigenous and </w:t>
            </w:r>
            <w:proofErr w:type="spellStart"/>
            <w:r>
              <w:rPr>
                <w:rFonts w:ascii="Arial" w:eastAsia="Arial" w:hAnsi="Arial" w:cs="Arial"/>
              </w:rPr>
              <w:t>quilombola</w:t>
            </w:r>
            <w:proofErr w:type="spellEnd"/>
            <w:r>
              <w:rPr>
                <w:rFonts w:ascii="Arial" w:eastAsia="Arial" w:hAnsi="Arial" w:cs="Arial"/>
              </w:rPr>
              <w:t xml:space="preserve"> populations generally showed lower vaccination coverage (78.30% with </w:t>
            </w:r>
            <w:proofErr w:type="spellStart"/>
            <w:r>
              <w:rPr>
                <w:rFonts w:ascii="Arial" w:eastAsia="Arial" w:hAnsi="Arial" w:cs="Arial"/>
              </w:rPr>
              <w:t>CoronaVac</w:t>
            </w:r>
            <w:proofErr w:type="spellEnd"/>
            <w:r>
              <w:rPr>
                <w:rFonts w:ascii="Arial" w:eastAsia="Arial" w:hAnsi="Arial" w:cs="Arial"/>
              </w:rPr>
              <w:t>) compared to other priority groups during the first five months of 2021.</w:t>
            </w:r>
          </w:p>
          <w:p w:rsidR="001B40A3" w:rsidRDefault="00461C36">
            <w:pPr>
              <w:numPr>
                <w:ilvl w:val="0"/>
                <w:numId w:val="5"/>
              </w:numPr>
              <w:spacing w:line="360" w:lineRule="auto"/>
              <w:jc w:val="both"/>
              <w:rPr>
                <w:rFonts w:ascii="Arial" w:eastAsia="Arial" w:hAnsi="Arial" w:cs="Arial"/>
              </w:rPr>
            </w:pPr>
            <w:r>
              <w:rPr>
                <w:rFonts w:ascii="Arial" w:eastAsia="Arial" w:hAnsi="Arial" w:cs="Arial"/>
              </w:rPr>
              <w:t>The North Region presented the lowest percentages (66.51%), while the Southeas</w:t>
            </w:r>
            <w:r>
              <w:rPr>
                <w:rFonts w:ascii="Arial" w:eastAsia="Arial" w:hAnsi="Arial" w:cs="Arial"/>
              </w:rPr>
              <w:t>t Region had the highest (89.58%).</w:t>
            </w:r>
          </w:p>
          <w:p w:rsidR="001B40A3" w:rsidRDefault="00461C36">
            <w:pPr>
              <w:numPr>
                <w:ilvl w:val="0"/>
                <w:numId w:val="5"/>
              </w:numPr>
              <w:spacing w:line="360" w:lineRule="auto"/>
              <w:jc w:val="both"/>
              <w:rPr>
                <w:rFonts w:ascii="Arial" w:eastAsia="Arial" w:hAnsi="Arial" w:cs="Arial"/>
              </w:rPr>
            </w:pPr>
            <w:r>
              <w:rPr>
                <w:rFonts w:ascii="Arial" w:eastAsia="Arial" w:hAnsi="Arial" w:cs="Arial"/>
              </w:rPr>
              <w:t xml:space="preserve">Clusters of low vaccination were observed in the Southeast, whereas in the Northeast more clusters of high vaccination were identified for both doses of </w:t>
            </w:r>
            <w:proofErr w:type="spellStart"/>
            <w:r>
              <w:rPr>
                <w:rFonts w:ascii="Arial" w:eastAsia="Arial" w:hAnsi="Arial" w:cs="Arial"/>
              </w:rPr>
              <w:t>CoronaVac</w:t>
            </w:r>
            <w:proofErr w:type="spellEnd"/>
            <w:r>
              <w:rPr>
                <w:rFonts w:ascii="Arial" w:eastAsia="Arial" w:hAnsi="Arial" w:cs="Arial"/>
              </w:rPr>
              <w:t>.</w:t>
            </w:r>
          </w:p>
          <w:p w:rsidR="001B40A3" w:rsidRDefault="00461C36">
            <w:pPr>
              <w:numPr>
                <w:ilvl w:val="0"/>
                <w:numId w:val="5"/>
              </w:numPr>
              <w:spacing w:line="360" w:lineRule="auto"/>
              <w:jc w:val="both"/>
              <w:rPr>
                <w:rFonts w:ascii="Arial" w:eastAsia="Arial" w:hAnsi="Arial" w:cs="Arial"/>
              </w:rPr>
            </w:pPr>
            <w:r>
              <w:rPr>
                <w:rFonts w:ascii="Arial" w:eastAsia="Arial" w:hAnsi="Arial" w:cs="Arial"/>
              </w:rPr>
              <w:t>An inverse relationship was observed for the first dose o</w:t>
            </w:r>
            <w:r>
              <w:rPr>
                <w:rFonts w:ascii="Arial" w:eastAsia="Arial" w:hAnsi="Arial" w:cs="Arial"/>
              </w:rPr>
              <w:t>f AstraZeneca.</w:t>
            </w:r>
          </w:p>
          <w:p w:rsidR="001B40A3" w:rsidRDefault="00461C36">
            <w:pPr>
              <w:numPr>
                <w:ilvl w:val="0"/>
                <w:numId w:val="5"/>
              </w:numPr>
              <w:spacing w:after="240" w:line="360" w:lineRule="auto"/>
              <w:jc w:val="both"/>
              <w:rPr>
                <w:rFonts w:ascii="Arial" w:eastAsia="Arial" w:hAnsi="Arial" w:cs="Arial"/>
              </w:rPr>
            </w:pPr>
            <w:r>
              <w:rPr>
                <w:rFonts w:ascii="Arial" w:eastAsia="Arial" w:hAnsi="Arial" w:cs="Arial"/>
              </w:rPr>
              <w:t>The reduced vaccination coverage is explained by misinformation, the spread of fake news, and logistical challenges in accessing communities, in addition to overlooked shortcomings related to the exclusion, in the National Immunization Progr</w:t>
            </w:r>
            <w:r>
              <w:rPr>
                <w:rFonts w:ascii="Arial" w:eastAsia="Arial" w:hAnsi="Arial" w:cs="Arial"/>
              </w:rPr>
              <w:t>am during the early months of vaccination, of Indigenous populations living on lands still undergoing demarcation.</w:t>
            </w:r>
          </w:p>
        </w:tc>
      </w:tr>
      <w:tr w:rsidR="001B40A3">
        <w:trPr>
          <w:trHeight w:val="1169"/>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rPr>
            </w:pPr>
            <w:r>
              <w:rPr>
                <w:rFonts w:ascii="Arial" w:eastAsia="Arial" w:hAnsi="Arial" w:cs="Arial"/>
              </w:rPr>
              <w:t>5</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numPr>
                <w:ilvl w:val="0"/>
                <w:numId w:val="8"/>
              </w:numPr>
              <w:spacing w:before="240" w:line="360" w:lineRule="auto"/>
              <w:jc w:val="both"/>
              <w:rPr>
                <w:rFonts w:ascii="Arial" w:eastAsia="Arial" w:hAnsi="Arial" w:cs="Arial"/>
              </w:rPr>
            </w:pPr>
            <w:r>
              <w:rPr>
                <w:rFonts w:ascii="Arial" w:eastAsia="Arial" w:hAnsi="Arial" w:cs="Arial"/>
              </w:rPr>
              <w:t>There are cultural and religious barriers within each Indigenous ethnic group that lead to resistance in accepting vaccination and other health activities.</w:t>
            </w:r>
          </w:p>
          <w:p w:rsidR="001B40A3" w:rsidRDefault="00461C36">
            <w:pPr>
              <w:numPr>
                <w:ilvl w:val="0"/>
                <w:numId w:val="8"/>
              </w:numPr>
              <w:spacing w:line="360" w:lineRule="auto"/>
              <w:jc w:val="both"/>
              <w:rPr>
                <w:rFonts w:ascii="Arial" w:eastAsia="Arial" w:hAnsi="Arial" w:cs="Arial"/>
              </w:rPr>
            </w:pPr>
            <w:r>
              <w:rPr>
                <w:rFonts w:ascii="Arial" w:eastAsia="Arial" w:hAnsi="Arial" w:cs="Arial"/>
              </w:rPr>
              <w:lastRenderedPageBreak/>
              <w:t>Denialism within Indigenous communities—driven by external factors such as social media and religiou</w:t>
            </w:r>
            <w:r>
              <w:rPr>
                <w:rFonts w:ascii="Arial" w:eastAsia="Arial" w:hAnsi="Arial" w:cs="Arial"/>
              </w:rPr>
              <w:t>s influences, as well as internal dynamics—is common.</w:t>
            </w:r>
          </w:p>
          <w:p w:rsidR="001B40A3" w:rsidRDefault="00461C36">
            <w:pPr>
              <w:numPr>
                <w:ilvl w:val="0"/>
                <w:numId w:val="8"/>
              </w:numPr>
              <w:spacing w:line="360" w:lineRule="auto"/>
              <w:jc w:val="both"/>
              <w:rPr>
                <w:rFonts w:ascii="Arial" w:eastAsia="Arial" w:hAnsi="Arial" w:cs="Arial"/>
              </w:rPr>
            </w:pPr>
            <w:r>
              <w:rPr>
                <w:rFonts w:ascii="Arial" w:eastAsia="Arial" w:hAnsi="Arial" w:cs="Arial"/>
              </w:rPr>
              <w:t>Failures in the implementation of local contingency plans and lack of adequate coordination between the DSEIs and municipal systems, in addition to the fact that Indigenous people living outside village</w:t>
            </w:r>
            <w:r>
              <w:rPr>
                <w:rFonts w:ascii="Arial" w:eastAsia="Arial" w:hAnsi="Arial" w:cs="Arial"/>
              </w:rPr>
              <w:t>s lack access to adequate care, represent logistical and planning challenges.</w:t>
            </w:r>
          </w:p>
          <w:p w:rsidR="001B40A3" w:rsidRDefault="00461C36">
            <w:pPr>
              <w:numPr>
                <w:ilvl w:val="0"/>
                <w:numId w:val="8"/>
              </w:numPr>
              <w:spacing w:line="360" w:lineRule="auto"/>
              <w:jc w:val="both"/>
              <w:rPr>
                <w:rFonts w:ascii="Arial" w:eastAsia="Arial" w:hAnsi="Arial" w:cs="Arial"/>
              </w:rPr>
            </w:pPr>
            <w:r>
              <w:rPr>
                <w:rFonts w:ascii="Arial" w:eastAsia="Arial" w:hAnsi="Arial" w:cs="Arial"/>
              </w:rPr>
              <w:t>The pandemic period itself disrupted spheres of power, affecting governance processes and the shared responsibility for the health of these peoples.</w:t>
            </w:r>
          </w:p>
          <w:p w:rsidR="001B40A3" w:rsidRDefault="00461C36">
            <w:pPr>
              <w:numPr>
                <w:ilvl w:val="0"/>
                <w:numId w:val="8"/>
              </w:numPr>
              <w:spacing w:after="240" w:line="360" w:lineRule="auto"/>
              <w:jc w:val="both"/>
              <w:rPr>
                <w:rFonts w:ascii="Arial" w:eastAsia="Arial" w:hAnsi="Arial" w:cs="Arial"/>
              </w:rPr>
            </w:pPr>
            <w:r>
              <w:rPr>
                <w:rFonts w:ascii="Arial" w:eastAsia="Arial" w:hAnsi="Arial" w:cs="Arial"/>
              </w:rPr>
              <w:t>It was found that among the D</w:t>
            </w:r>
            <w:r>
              <w:rPr>
                <w:rFonts w:ascii="Arial" w:eastAsia="Arial" w:hAnsi="Arial" w:cs="Arial"/>
              </w:rPr>
              <w:t xml:space="preserve">SEIs, lower vaccination coverage resulted in higher incidence of cases, as seen in the </w:t>
            </w:r>
            <w:proofErr w:type="spellStart"/>
            <w:r>
              <w:rPr>
                <w:rFonts w:ascii="Arial" w:eastAsia="Arial" w:hAnsi="Arial" w:cs="Arial"/>
              </w:rPr>
              <w:t>Kaiapó</w:t>
            </w:r>
            <w:proofErr w:type="spellEnd"/>
            <w:r>
              <w:rPr>
                <w:rFonts w:ascii="Arial" w:eastAsia="Arial" w:hAnsi="Arial" w:cs="Arial"/>
              </w:rPr>
              <w:t xml:space="preserve"> DSEI, which recorded an increase in infections in 2022.</w:t>
            </w:r>
          </w:p>
        </w:tc>
      </w:tr>
      <w:tr w:rsidR="001B40A3">
        <w:trPr>
          <w:trHeight w:val="4620"/>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rPr>
            </w:pPr>
            <w:r>
              <w:rPr>
                <w:rFonts w:ascii="Arial" w:eastAsia="Arial" w:hAnsi="Arial" w:cs="Arial"/>
              </w:rPr>
              <w:lastRenderedPageBreak/>
              <w:t>6</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numPr>
                <w:ilvl w:val="0"/>
                <w:numId w:val="4"/>
              </w:numPr>
              <w:spacing w:before="240" w:line="360" w:lineRule="auto"/>
              <w:jc w:val="both"/>
              <w:rPr>
                <w:rFonts w:ascii="Arial" w:eastAsia="Arial" w:hAnsi="Arial" w:cs="Arial"/>
              </w:rPr>
            </w:pPr>
            <w:r>
              <w:rPr>
                <w:rFonts w:ascii="Arial" w:eastAsia="Arial" w:hAnsi="Arial" w:cs="Arial"/>
              </w:rPr>
              <w:t>Most COVID-19 cases among Indigenous peoples in the Amazon region occurred between May and August 2020. In contrast to the general population, the second wave of infections among Indigenous peoples was smaller than the first.</w:t>
            </w:r>
          </w:p>
          <w:p w:rsidR="001B40A3" w:rsidRDefault="00461C36">
            <w:pPr>
              <w:numPr>
                <w:ilvl w:val="0"/>
                <w:numId w:val="4"/>
              </w:numPr>
              <w:spacing w:line="360" w:lineRule="auto"/>
              <w:jc w:val="both"/>
              <w:rPr>
                <w:rFonts w:ascii="Arial" w:eastAsia="Arial" w:hAnsi="Arial" w:cs="Arial"/>
              </w:rPr>
            </w:pPr>
            <w:r>
              <w:rPr>
                <w:rFonts w:ascii="Arial" w:eastAsia="Arial" w:hAnsi="Arial" w:cs="Arial"/>
              </w:rPr>
              <w:t>After the beginning of vaccina</w:t>
            </w:r>
            <w:r>
              <w:rPr>
                <w:rFonts w:ascii="Arial" w:eastAsia="Arial" w:hAnsi="Arial" w:cs="Arial"/>
              </w:rPr>
              <w:t>tion, there was a decrease in the number of cases among Indigenous peoples, but a sharp increase in the general population.</w:t>
            </w:r>
          </w:p>
          <w:p w:rsidR="001B40A3" w:rsidRDefault="00461C36">
            <w:pPr>
              <w:numPr>
                <w:ilvl w:val="0"/>
                <w:numId w:val="4"/>
              </w:numPr>
              <w:spacing w:line="360" w:lineRule="auto"/>
              <w:jc w:val="both"/>
              <w:rPr>
                <w:rFonts w:ascii="Arial" w:eastAsia="Arial" w:hAnsi="Arial" w:cs="Arial"/>
              </w:rPr>
            </w:pPr>
            <w:r>
              <w:rPr>
                <w:rFonts w:ascii="Arial" w:eastAsia="Arial" w:hAnsi="Arial" w:cs="Arial"/>
              </w:rPr>
              <w:t xml:space="preserve">The first wave was observed between weeks 18 and 34 in most DSEIs, occurring mainly in Eastern Roraima, </w:t>
            </w:r>
            <w:proofErr w:type="spellStart"/>
            <w:r>
              <w:rPr>
                <w:rFonts w:ascii="Arial" w:eastAsia="Arial" w:hAnsi="Arial" w:cs="Arial"/>
              </w:rPr>
              <w:t>Kaiapó</w:t>
            </w:r>
            <w:proofErr w:type="spellEnd"/>
            <w:r>
              <w:rPr>
                <w:rFonts w:ascii="Arial" w:eastAsia="Arial" w:hAnsi="Arial" w:cs="Arial"/>
              </w:rPr>
              <w:t xml:space="preserve"> do Pará, and Rio </w:t>
            </w:r>
            <w:proofErr w:type="spellStart"/>
            <w:r>
              <w:rPr>
                <w:rFonts w:ascii="Arial" w:eastAsia="Arial" w:hAnsi="Arial" w:cs="Arial"/>
              </w:rPr>
              <w:t>Tapajós</w:t>
            </w:r>
            <w:proofErr w:type="spellEnd"/>
            <w:r>
              <w:rPr>
                <w:rFonts w:ascii="Arial" w:eastAsia="Arial" w:hAnsi="Arial" w:cs="Arial"/>
              </w:rPr>
              <w:t>.</w:t>
            </w:r>
          </w:p>
          <w:p w:rsidR="001B40A3" w:rsidRDefault="00461C36">
            <w:pPr>
              <w:numPr>
                <w:ilvl w:val="0"/>
                <w:numId w:val="4"/>
              </w:numPr>
              <w:spacing w:line="360" w:lineRule="auto"/>
              <w:jc w:val="both"/>
              <w:rPr>
                <w:rFonts w:ascii="Arial" w:eastAsia="Arial" w:hAnsi="Arial" w:cs="Arial"/>
              </w:rPr>
            </w:pPr>
            <w:r>
              <w:rPr>
                <w:rFonts w:ascii="Arial" w:eastAsia="Arial" w:hAnsi="Arial" w:cs="Arial"/>
              </w:rPr>
              <w:t xml:space="preserve">The DSEIs with the lowest vaccination coverage were </w:t>
            </w:r>
            <w:proofErr w:type="spellStart"/>
            <w:r>
              <w:rPr>
                <w:rFonts w:ascii="Arial" w:eastAsia="Arial" w:hAnsi="Arial" w:cs="Arial"/>
              </w:rPr>
              <w:t>Kaiapó</w:t>
            </w:r>
            <w:proofErr w:type="spellEnd"/>
            <w:r>
              <w:rPr>
                <w:rFonts w:ascii="Arial" w:eastAsia="Arial" w:hAnsi="Arial" w:cs="Arial"/>
              </w:rPr>
              <w:t xml:space="preserve"> do Pará, Rio </w:t>
            </w:r>
            <w:proofErr w:type="spellStart"/>
            <w:r>
              <w:rPr>
                <w:rFonts w:ascii="Arial" w:eastAsia="Arial" w:hAnsi="Arial" w:cs="Arial"/>
              </w:rPr>
              <w:t>Tapajós</w:t>
            </w:r>
            <w:proofErr w:type="spellEnd"/>
            <w:r>
              <w:rPr>
                <w:rFonts w:ascii="Arial" w:eastAsia="Arial" w:hAnsi="Arial" w:cs="Arial"/>
              </w:rPr>
              <w:t xml:space="preserve">, and </w:t>
            </w:r>
            <w:proofErr w:type="spellStart"/>
            <w:r>
              <w:rPr>
                <w:rFonts w:ascii="Arial" w:eastAsia="Arial" w:hAnsi="Arial" w:cs="Arial"/>
              </w:rPr>
              <w:t>Kaiapó</w:t>
            </w:r>
            <w:proofErr w:type="spellEnd"/>
            <w:r>
              <w:rPr>
                <w:rFonts w:ascii="Arial" w:eastAsia="Arial" w:hAnsi="Arial" w:cs="Arial"/>
              </w:rPr>
              <w:t xml:space="preserve"> do Mato Grosso. On the othe</w:t>
            </w:r>
            <w:r>
              <w:rPr>
                <w:rFonts w:ascii="Arial" w:eastAsia="Arial" w:hAnsi="Arial" w:cs="Arial"/>
              </w:rPr>
              <w:t>r hand, the Altamira DSEI, which presented a high incidence of COVID-19 cases, achieved the highest vaccination coverage rates.</w:t>
            </w:r>
          </w:p>
          <w:p w:rsidR="001B40A3" w:rsidRDefault="00461C36">
            <w:pPr>
              <w:numPr>
                <w:ilvl w:val="0"/>
                <w:numId w:val="4"/>
              </w:numPr>
              <w:spacing w:line="360" w:lineRule="auto"/>
              <w:jc w:val="both"/>
              <w:rPr>
                <w:rFonts w:ascii="Arial" w:eastAsia="Arial" w:hAnsi="Arial" w:cs="Arial"/>
              </w:rPr>
            </w:pPr>
            <w:r>
              <w:rPr>
                <w:rFonts w:ascii="Arial" w:eastAsia="Arial" w:hAnsi="Arial" w:cs="Arial"/>
              </w:rPr>
              <w:t xml:space="preserve">First-dose vaccination coverage was high in several DSEIs, with rates above 80%, such as Altamira (96%), </w:t>
            </w:r>
            <w:proofErr w:type="spellStart"/>
            <w:r>
              <w:rPr>
                <w:rFonts w:ascii="Arial" w:eastAsia="Arial" w:hAnsi="Arial" w:cs="Arial"/>
              </w:rPr>
              <w:t>Amapá</w:t>
            </w:r>
            <w:proofErr w:type="spellEnd"/>
            <w:r>
              <w:rPr>
                <w:rFonts w:ascii="Arial" w:eastAsia="Arial" w:hAnsi="Arial" w:cs="Arial"/>
              </w:rPr>
              <w:t xml:space="preserve"> and Northern Pará</w:t>
            </w:r>
            <w:r>
              <w:rPr>
                <w:rFonts w:ascii="Arial" w:eastAsia="Arial" w:hAnsi="Arial" w:cs="Arial"/>
              </w:rPr>
              <w:t xml:space="preserve"> (90%), and </w:t>
            </w:r>
            <w:proofErr w:type="spellStart"/>
            <w:r>
              <w:rPr>
                <w:rFonts w:ascii="Arial" w:eastAsia="Arial" w:hAnsi="Arial" w:cs="Arial"/>
              </w:rPr>
              <w:t>Maranhão</w:t>
            </w:r>
            <w:proofErr w:type="spellEnd"/>
            <w:r>
              <w:rPr>
                <w:rFonts w:ascii="Arial" w:eastAsia="Arial" w:hAnsi="Arial" w:cs="Arial"/>
              </w:rPr>
              <w:t xml:space="preserve"> (94%). However, other DSEIs reported much lower coverage, such as </w:t>
            </w:r>
            <w:proofErr w:type="spellStart"/>
            <w:r>
              <w:rPr>
                <w:rFonts w:ascii="Arial" w:eastAsia="Arial" w:hAnsi="Arial" w:cs="Arial"/>
              </w:rPr>
              <w:t>Kaiapó</w:t>
            </w:r>
            <w:proofErr w:type="spellEnd"/>
            <w:r>
              <w:rPr>
                <w:rFonts w:ascii="Arial" w:eastAsia="Arial" w:hAnsi="Arial" w:cs="Arial"/>
              </w:rPr>
              <w:t xml:space="preserve"> do Pará (53%) and Rio </w:t>
            </w:r>
            <w:proofErr w:type="spellStart"/>
            <w:r>
              <w:rPr>
                <w:rFonts w:ascii="Arial" w:eastAsia="Arial" w:hAnsi="Arial" w:cs="Arial"/>
              </w:rPr>
              <w:t>Tapajós</w:t>
            </w:r>
            <w:proofErr w:type="spellEnd"/>
            <w:r>
              <w:rPr>
                <w:rFonts w:ascii="Arial" w:eastAsia="Arial" w:hAnsi="Arial" w:cs="Arial"/>
              </w:rPr>
              <w:t xml:space="preserve"> (56%).</w:t>
            </w:r>
          </w:p>
          <w:p w:rsidR="001B40A3" w:rsidRDefault="00461C36">
            <w:pPr>
              <w:numPr>
                <w:ilvl w:val="0"/>
                <w:numId w:val="4"/>
              </w:numPr>
              <w:spacing w:after="240" w:line="360" w:lineRule="auto"/>
              <w:jc w:val="both"/>
              <w:rPr>
                <w:rFonts w:ascii="Arial" w:eastAsia="Arial" w:hAnsi="Arial" w:cs="Arial"/>
              </w:rPr>
            </w:pPr>
            <w:r>
              <w:rPr>
                <w:rFonts w:ascii="Arial" w:eastAsia="Arial" w:hAnsi="Arial" w:cs="Arial"/>
              </w:rPr>
              <w:lastRenderedPageBreak/>
              <w:t>In all DSEIs, second-dose coverage rates were lower than those for the first dose.</w:t>
            </w:r>
          </w:p>
        </w:tc>
      </w:tr>
      <w:tr w:rsidR="001B40A3">
        <w:trPr>
          <w:trHeight w:val="6389"/>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rPr>
            </w:pPr>
            <w:r>
              <w:rPr>
                <w:rFonts w:ascii="Arial" w:eastAsia="Arial" w:hAnsi="Arial" w:cs="Arial"/>
              </w:rPr>
              <w:lastRenderedPageBreak/>
              <w:t>7</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numPr>
                <w:ilvl w:val="0"/>
                <w:numId w:val="7"/>
              </w:numPr>
              <w:spacing w:before="240" w:line="360" w:lineRule="auto"/>
              <w:jc w:val="both"/>
              <w:rPr>
                <w:rFonts w:ascii="Arial" w:eastAsia="Arial" w:hAnsi="Arial" w:cs="Arial"/>
              </w:rPr>
            </w:pPr>
            <w:r>
              <w:rPr>
                <w:rFonts w:ascii="Arial" w:eastAsia="Arial" w:hAnsi="Arial" w:cs="Arial"/>
              </w:rPr>
              <w:t>Indigenous peoples are subject to social and health inequities, such as unfavorable housing conditions regarding basic sanitation, high morbidity and mortality rates from preventable causes, and infant mortality rates twice as high as those of non-Indigeno</w:t>
            </w:r>
            <w:r>
              <w:rPr>
                <w:rFonts w:ascii="Arial" w:eastAsia="Arial" w:hAnsi="Arial" w:cs="Arial"/>
              </w:rPr>
              <w:t>us populations.</w:t>
            </w:r>
          </w:p>
          <w:p w:rsidR="001B40A3" w:rsidRDefault="00461C36">
            <w:pPr>
              <w:numPr>
                <w:ilvl w:val="0"/>
                <w:numId w:val="7"/>
              </w:numPr>
              <w:spacing w:line="360" w:lineRule="auto"/>
              <w:jc w:val="both"/>
              <w:rPr>
                <w:rFonts w:ascii="Arial" w:eastAsia="Arial" w:hAnsi="Arial" w:cs="Arial"/>
              </w:rPr>
            </w:pPr>
            <w:r>
              <w:rPr>
                <w:rFonts w:ascii="Arial" w:eastAsia="Arial" w:hAnsi="Arial" w:cs="Arial"/>
              </w:rPr>
              <w:t>Since the onset of COVID-19 transmission, the risk of infection among Indigenous peoples has increased rapidly, both in urban and rural areas.</w:t>
            </w:r>
          </w:p>
          <w:p w:rsidR="001B40A3" w:rsidRDefault="00461C36">
            <w:pPr>
              <w:numPr>
                <w:ilvl w:val="0"/>
                <w:numId w:val="7"/>
              </w:numPr>
              <w:spacing w:line="360" w:lineRule="auto"/>
              <w:jc w:val="both"/>
              <w:rPr>
                <w:rFonts w:ascii="Arial" w:eastAsia="Arial" w:hAnsi="Arial" w:cs="Arial"/>
              </w:rPr>
            </w:pPr>
            <w:r>
              <w:rPr>
                <w:rFonts w:ascii="Arial" w:eastAsia="Arial" w:hAnsi="Arial" w:cs="Arial"/>
              </w:rPr>
              <w:t>The COVID-19 pandemic exposed the shortcomings of the Indigenous Health Care Subsystem (</w:t>
            </w:r>
            <w:proofErr w:type="spellStart"/>
            <w:r>
              <w:rPr>
                <w:rFonts w:ascii="Arial" w:eastAsia="Arial" w:hAnsi="Arial" w:cs="Arial"/>
              </w:rPr>
              <w:t>SasiSUS</w:t>
            </w:r>
            <w:proofErr w:type="spellEnd"/>
            <w:r>
              <w:rPr>
                <w:rFonts w:ascii="Arial" w:eastAsia="Arial" w:hAnsi="Arial" w:cs="Arial"/>
              </w:rPr>
              <w:t>).</w:t>
            </w:r>
            <w:r>
              <w:rPr>
                <w:rFonts w:ascii="Arial" w:eastAsia="Arial" w:hAnsi="Arial" w:cs="Arial"/>
              </w:rPr>
              <w:t xml:space="preserve"> Despite the efforts of specific Indigenous organizations, measures adopted largely reproduced Ministry of Health guidelines for non-Indigenous populations without proper adaptation to Indigenous contexts.</w:t>
            </w:r>
          </w:p>
          <w:p w:rsidR="001B40A3" w:rsidRDefault="00461C36">
            <w:pPr>
              <w:numPr>
                <w:ilvl w:val="0"/>
                <w:numId w:val="7"/>
              </w:numPr>
              <w:spacing w:line="360" w:lineRule="auto"/>
              <w:jc w:val="both"/>
              <w:rPr>
                <w:rFonts w:ascii="Arial" w:eastAsia="Arial" w:hAnsi="Arial" w:cs="Arial"/>
              </w:rPr>
            </w:pPr>
            <w:r>
              <w:rPr>
                <w:rFonts w:ascii="Arial" w:eastAsia="Arial" w:hAnsi="Arial" w:cs="Arial"/>
              </w:rPr>
              <w:t>Obstacles to tracking COVID-19 transmission includ</w:t>
            </w:r>
            <w:r>
              <w:rPr>
                <w:rFonts w:ascii="Arial" w:eastAsia="Arial" w:hAnsi="Arial" w:cs="Arial"/>
              </w:rPr>
              <w:t>ed: ineffective active case finding, low testing rates, outdated and poorly sensitive criteria for suspecting and confirming cases, inadequate technical training for response, insufficient use of Personal Protective Equipment (PPE), and limited access to r</w:t>
            </w:r>
            <w:r>
              <w:rPr>
                <w:rFonts w:ascii="Arial" w:eastAsia="Arial" w:hAnsi="Arial" w:cs="Arial"/>
              </w:rPr>
              <w:t>emote communication tools.</w:t>
            </w:r>
          </w:p>
          <w:p w:rsidR="001B40A3" w:rsidRDefault="00461C36">
            <w:pPr>
              <w:numPr>
                <w:ilvl w:val="0"/>
                <w:numId w:val="7"/>
              </w:numPr>
              <w:spacing w:after="240" w:line="360" w:lineRule="auto"/>
              <w:jc w:val="both"/>
              <w:rPr>
                <w:rFonts w:ascii="Arial" w:eastAsia="Arial" w:hAnsi="Arial" w:cs="Arial"/>
              </w:rPr>
            </w:pPr>
            <w:r>
              <w:rPr>
                <w:rFonts w:ascii="Arial" w:eastAsia="Arial" w:hAnsi="Arial" w:cs="Arial"/>
              </w:rPr>
              <w:t xml:space="preserve">From the first alerts of COVID-19 presence in the national territory, various Indigenous communities and organizations implemented self-protective measures: voluntary isolation, discouraging travel to urban </w:t>
            </w:r>
            <w:r>
              <w:rPr>
                <w:rFonts w:ascii="Arial" w:eastAsia="Arial" w:hAnsi="Arial" w:cs="Arial"/>
              </w:rPr>
              <w:lastRenderedPageBreak/>
              <w:t>centers, producing and</w:t>
            </w:r>
            <w:r>
              <w:rPr>
                <w:rFonts w:ascii="Arial" w:eastAsia="Arial" w:hAnsi="Arial" w:cs="Arial"/>
              </w:rPr>
              <w:t xml:space="preserve"> disseminating educational materials, and organizing campaigns to ensure food security.</w:t>
            </w:r>
          </w:p>
        </w:tc>
      </w:tr>
      <w:tr w:rsidR="001B40A3">
        <w:trPr>
          <w:trHeight w:val="6389"/>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spacing w:before="240" w:after="240" w:line="360" w:lineRule="auto"/>
              <w:jc w:val="center"/>
              <w:rPr>
                <w:rFonts w:ascii="Arial" w:eastAsia="Arial" w:hAnsi="Arial" w:cs="Arial"/>
              </w:rPr>
            </w:pPr>
            <w:r>
              <w:rPr>
                <w:rFonts w:ascii="Arial" w:eastAsia="Arial" w:hAnsi="Arial" w:cs="Arial"/>
              </w:rPr>
              <w:lastRenderedPageBreak/>
              <w:t>8</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0A3" w:rsidRDefault="00461C36">
            <w:pPr>
              <w:numPr>
                <w:ilvl w:val="0"/>
                <w:numId w:val="3"/>
              </w:numPr>
              <w:spacing w:before="240" w:line="360" w:lineRule="auto"/>
              <w:jc w:val="both"/>
              <w:rPr>
                <w:rFonts w:ascii="Arial" w:eastAsia="Arial" w:hAnsi="Arial" w:cs="Arial"/>
              </w:rPr>
            </w:pPr>
            <w:r>
              <w:rPr>
                <w:rFonts w:ascii="Arial" w:eastAsia="Arial" w:hAnsi="Arial" w:cs="Arial"/>
              </w:rPr>
              <w:t>Illegal mining and the invasion of Indigenous lands in search of mineral resources were major drivers of COVID-19 spread in these regions.</w:t>
            </w:r>
          </w:p>
          <w:p w:rsidR="001B40A3" w:rsidRDefault="00461C36">
            <w:pPr>
              <w:numPr>
                <w:ilvl w:val="0"/>
                <w:numId w:val="3"/>
              </w:numPr>
              <w:spacing w:line="360" w:lineRule="auto"/>
              <w:jc w:val="both"/>
              <w:rPr>
                <w:rFonts w:ascii="Arial" w:eastAsia="Arial" w:hAnsi="Arial" w:cs="Arial"/>
              </w:rPr>
            </w:pPr>
            <w:r>
              <w:rPr>
                <w:rFonts w:ascii="Arial" w:eastAsia="Arial" w:hAnsi="Arial" w:cs="Arial"/>
              </w:rPr>
              <w:t>The widespread dissemination of fake news during the pandemic hindered efforts to contain the spread of the virus in Indigenous areas.</w:t>
            </w:r>
            <w:r>
              <w:rPr>
                <w:rFonts w:ascii="Arial" w:eastAsia="Arial" w:hAnsi="Arial" w:cs="Arial"/>
              </w:rPr>
              <w:br/>
              <w:t>The strong interconnection between urban centers and Indigenous territories made it difficult to adopt isolation measures</w:t>
            </w:r>
            <w:r>
              <w:rPr>
                <w:rFonts w:ascii="Arial" w:eastAsia="Arial" w:hAnsi="Arial" w:cs="Arial"/>
              </w:rPr>
              <w:t>.</w:t>
            </w:r>
          </w:p>
          <w:p w:rsidR="001B40A3" w:rsidRDefault="00461C36">
            <w:pPr>
              <w:numPr>
                <w:ilvl w:val="0"/>
                <w:numId w:val="3"/>
              </w:numPr>
              <w:spacing w:line="360" w:lineRule="auto"/>
              <w:jc w:val="both"/>
              <w:rPr>
                <w:rFonts w:ascii="Arial" w:eastAsia="Arial" w:hAnsi="Arial" w:cs="Arial"/>
              </w:rPr>
            </w:pPr>
            <w:r>
              <w:rPr>
                <w:rFonts w:ascii="Arial" w:eastAsia="Arial" w:hAnsi="Arial" w:cs="Arial"/>
              </w:rPr>
              <w:t>Mobility between villages and cities by Indigenous peoples facilitated the spread of SARS-CoV-2 in Indigenous areas.</w:t>
            </w:r>
          </w:p>
          <w:p w:rsidR="001B40A3" w:rsidRDefault="00461C36">
            <w:pPr>
              <w:numPr>
                <w:ilvl w:val="0"/>
                <w:numId w:val="3"/>
              </w:numPr>
              <w:spacing w:line="360" w:lineRule="auto"/>
              <w:jc w:val="both"/>
              <w:rPr>
                <w:rFonts w:ascii="Arial" w:eastAsia="Arial" w:hAnsi="Arial" w:cs="Arial"/>
              </w:rPr>
            </w:pPr>
            <w:r>
              <w:rPr>
                <w:rFonts w:ascii="Arial" w:eastAsia="Arial" w:hAnsi="Arial" w:cs="Arial"/>
              </w:rPr>
              <w:t>The pandemic highlighted inequalities in access to health care and protection for Indigenous and riverside populations, who depend on dis</w:t>
            </w:r>
            <w:r>
              <w:rPr>
                <w:rFonts w:ascii="Arial" w:eastAsia="Arial" w:hAnsi="Arial" w:cs="Arial"/>
              </w:rPr>
              <w:t>tant health posts and face logistical difficulties in transporting supplies and professionals.</w:t>
            </w:r>
          </w:p>
          <w:p w:rsidR="001B40A3" w:rsidRDefault="00461C36">
            <w:pPr>
              <w:numPr>
                <w:ilvl w:val="0"/>
                <w:numId w:val="3"/>
              </w:numPr>
              <w:spacing w:line="360" w:lineRule="auto"/>
              <w:jc w:val="both"/>
              <w:rPr>
                <w:rFonts w:ascii="Arial" w:eastAsia="Arial" w:hAnsi="Arial" w:cs="Arial"/>
              </w:rPr>
            </w:pPr>
            <w:r>
              <w:rPr>
                <w:rFonts w:ascii="Arial" w:eastAsia="Arial" w:hAnsi="Arial" w:cs="Arial"/>
              </w:rPr>
              <w:t>During the pandemic, government measures focused mainly on urban centers, leaving remote communities underserved.</w:t>
            </w:r>
          </w:p>
          <w:p w:rsidR="001B40A3" w:rsidRDefault="00461C36">
            <w:pPr>
              <w:numPr>
                <w:ilvl w:val="0"/>
                <w:numId w:val="3"/>
              </w:numPr>
              <w:spacing w:after="240" w:line="360" w:lineRule="auto"/>
              <w:jc w:val="both"/>
              <w:rPr>
                <w:rFonts w:ascii="Arial" w:eastAsia="Arial" w:hAnsi="Arial" w:cs="Arial"/>
              </w:rPr>
            </w:pPr>
            <w:r>
              <w:rPr>
                <w:rFonts w:ascii="Arial" w:eastAsia="Arial" w:hAnsi="Arial" w:cs="Arial"/>
              </w:rPr>
              <w:t>The denialist stance of authorities underestima</w:t>
            </w:r>
            <w:r>
              <w:rPr>
                <w:rFonts w:ascii="Arial" w:eastAsia="Arial" w:hAnsi="Arial" w:cs="Arial"/>
              </w:rPr>
              <w:t>ted the severity of the disease and fostered resistance to vaccination, while the weakening of SUS and Indigenous health revealed chronic underfunding and system vulnerabilities, compromising basic health care especially in peripheral regions and rural com</w:t>
            </w:r>
            <w:r>
              <w:rPr>
                <w:rFonts w:ascii="Arial" w:eastAsia="Arial" w:hAnsi="Arial" w:cs="Arial"/>
              </w:rPr>
              <w:t>munities.</w:t>
            </w:r>
          </w:p>
        </w:tc>
      </w:tr>
    </w:tbl>
    <w:p w:rsidR="001B40A3" w:rsidRDefault="00461C36">
      <w:pPr>
        <w:spacing w:before="240" w:after="240" w:line="360" w:lineRule="auto"/>
        <w:jc w:val="both"/>
        <w:rPr>
          <w:rFonts w:ascii="Arial" w:eastAsia="Arial" w:hAnsi="Arial" w:cs="Arial"/>
          <w:sz w:val="18"/>
          <w:szCs w:val="18"/>
        </w:rPr>
      </w:pPr>
      <w:r>
        <w:rPr>
          <w:rFonts w:ascii="Arial" w:eastAsia="Arial" w:hAnsi="Arial" w:cs="Arial"/>
          <w:i/>
          <w:iCs/>
          <w:sz w:val="18"/>
          <w:szCs w:val="18"/>
        </w:rPr>
        <w:t>DSEIs*: Special Indigenous Health Districts</w:t>
      </w:r>
      <w:r>
        <w:rPr>
          <w:rFonts w:ascii="Arial" w:eastAsia="Arial" w:hAnsi="Arial" w:cs="Arial"/>
          <w:sz w:val="18"/>
          <w:szCs w:val="18"/>
        </w:rPr>
        <w:t xml:space="preserve">. </w:t>
      </w:r>
    </w:p>
    <w:p w:rsidR="001B40A3" w:rsidRDefault="00461C36">
      <w:pPr>
        <w:spacing w:before="240" w:after="240"/>
        <w:jc w:val="both"/>
        <w:rPr>
          <w:rFonts w:ascii="Arial" w:eastAsia="Arial" w:hAnsi="Arial" w:cs="Arial"/>
        </w:rPr>
      </w:pPr>
      <w:r>
        <w:rPr>
          <w:rFonts w:ascii="Arial" w:eastAsia="Arial" w:hAnsi="Arial" w:cs="Arial"/>
        </w:rPr>
        <w:t>Based on the survey conducted for this study, it was identified that, in the context of COVID-19, the negligence in protecting the integrity of the Indigenous population was reinforced by gaps in access to the vaccination program. This was evidenced by the</w:t>
      </w:r>
      <w:r>
        <w:rPr>
          <w:rFonts w:ascii="Arial" w:eastAsia="Arial" w:hAnsi="Arial" w:cs="Arial"/>
        </w:rPr>
        <w:t xml:space="preserve"> lower vaccination rate of this priority ethnic group compared to other strata defined as preferential in the National Operational Plan against COVID-19. In this regard, according to Study No. 4, which described the vaccination process during the first fiv</w:t>
      </w:r>
      <w:r>
        <w:rPr>
          <w:rFonts w:ascii="Arial" w:eastAsia="Arial" w:hAnsi="Arial" w:cs="Arial"/>
        </w:rPr>
        <w:t xml:space="preserve">e months of 2021 in groups prioritized by the immunization plan against COVID-19, it was observed that, within the group “Indigenous and </w:t>
      </w:r>
      <w:proofErr w:type="spellStart"/>
      <w:r>
        <w:rPr>
          <w:rFonts w:ascii="Arial" w:eastAsia="Arial" w:hAnsi="Arial" w:cs="Arial"/>
        </w:rPr>
        <w:t>quilombola</w:t>
      </w:r>
      <w:proofErr w:type="spellEnd"/>
      <w:r>
        <w:rPr>
          <w:rFonts w:ascii="Arial" w:eastAsia="Arial" w:hAnsi="Arial" w:cs="Arial"/>
        </w:rPr>
        <w:t xml:space="preserve"> populations,” an average of 78.30% of individuals were fully vaccinated with </w:t>
      </w:r>
      <w:proofErr w:type="spellStart"/>
      <w:r>
        <w:rPr>
          <w:rFonts w:ascii="Arial" w:eastAsia="Arial" w:hAnsi="Arial" w:cs="Arial"/>
        </w:rPr>
        <w:t>CoronaVac</w:t>
      </w:r>
      <w:proofErr w:type="spellEnd"/>
      <w:r>
        <w:rPr>
          <w:rFonts w:ascii="Arial" w:eastAsia="Arial" w:hAnsi="Arial" w:cs="Arial"/>
        </w:rPr>
        <w:t>—that is, they receive</w:t>
      </w:r>
      <w:r>
        <w:rPr>
          <w:rFonts w:ascii="Arial" w:eastAsia="Arial" w:hAnsi="Arial" w:cs="Arial"/>
        </w:rPr>
        <w:t>d both doses. This figure was lower than the average coverage for most adults aged 60 years and older, surpassing only the individual average of those in the 60–64-year age group. Furthermore, disparities in vaccination coverage among the DSEIs (Special In</w:t>
      </w:r>
      <w:r>
        <w:rPr>
          <w:rFonts w:ascii="Arial" w:eastAsia="Arial" w:hAnsi="Arial" w:cs="Arial"/>
        </w:rPr>
        <w:t>digenous Health Districts) were identified, according to vaccination data presented in Study No. 5.</w:t>
      </w: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Even though Indigenous peoples were declared part of the priority groups for COVID-19 immunization logistics in Brazil by the competent authorities, accordi</w:t>
      </w:r>
      <w:r>
        <w:rPr>
          <w:rFonts w:ascii="Arial" w:eastAsia="Arial" w:hAnsi="Arial" w:cs="Arial"/>
        </w:rPr>
        <w:t xml:space="preserve">ng to the guidelines of the National Operational Plan for COVID-19 Vaccination, the vaccination coverage achieved fell short of expectations, which increased deaths associated with COVID-19. In this regard, </w:t>
      </w:r>
      <w:r>
        <w:rPr>
          <w:rFonts w:ascii="Arial" w:eastAsia="Arial" w:hAnsi="Arial" w:cs="Arial"/>
        </w:rPr>
        <w:lastRenderedPageBreak/>
        <w:t>this low overall coverage was reinforced by failu</w:t>
      </w:r>
      <w:r>
        <w:rPr>
          <w:rFonts w:ascii="Arial" w:eastAsia="Arial" w:hAnsi="Arial" w:cs="Arial"/>
        </w:rPr>
        <w:t>res in the continuity of the immunization program when comparing the two doses. As demonstrated by Study No. 6, which covered epidemiological weeks 01/2020–44/2021, there was a considerable reduction in the percentage of Indigenous peoples who received the</w:t>
      </w:r>
      <w:r>
        <w:rPr>
          <w:rFonts w:ascii="Arial" w:eastAsia="Arial" w:hAnsi="Arial" w:cs="Arial"/>
        </w:rPr>
        <w:t xml:space="preserve"> vaccine in the transition from the first to the second dose.</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Despite the formal establishment of Indigenous peoples' inclusion as a priority group, the execution of a specific and well-defined public policy for this population was insufficient. There wer</w:t>
      </w:r>
      <w:r>
        <w:rPr>
          <w:rFonts w:ascii="Arial" w:eastAsia="Arial" w:hAnsi="Arial" w:cs="Arial"/>
        </w:rPr>
        <w:t>e shortcomings both in the definition and in the implementation of protocols adapted to Indigenous needs, which hampered the operationalization of a mass vaccination campaign. Most of the studies analyzed (Nos. 1, 4, 5, 7, and 8) identified geographical ch</w:t>
      </w:r>
      <w:r>
        <w:rPr>
          <w:rFonts w:ascii="Arial" w:eastAsia="Arial" w:hAnsi="Arial" w:cs="Arial"/>
        </w:rPr>
        <w:t>allenges as the main barrier.</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 xml:space="preserve">A large part of Indigenous communities </w:t>
      </w:r>
      <w:proofErr w:type="gramStart"/>
      <w:r>
        <w:rPr>
          <w:rFonts w:ascii="Arial" w:eastAsia="Arial" w:hAnsi="Arial" w:cs="Arial"/>
        </w:rPr>
        <w:t>live</w:t>
      </w:r>
      <w:proofErr w:type="gramEnd"/>
      <w:r>
        <w:rPr>
          <w:rFonts w:ascii="Arial" w:eastAsia="Arial" w:hAnsi="Arial" w:cs="Arial"/>
        </w:rPr>
        <w:t xml:space="preserve"> in remote areas, often inaccessible by paved roads, with travel frequently carried out via rivers or forest trails, which posed a significant obstacle to vaccine distribution. This </w:t>
      </w:r>
      <w:r>
        <w:rPr>
          <w:rFonts w:ascii="Arial" w:eastAsia="Arial" w:hAnsi="Arial" w:cs="Arial"/>
        </w:rPr>
        <w:t xml:space="preserve">partly explains the disparate immunization data among regions. For example, Study No. 3 reported that for full vaccination coverage among Indigenous peoples living in DSEIs—considering two doses of ChAdOx-1, </w:t>
      </w:r>
      <w:proofErr w:type="spellStart"/>
      <w:r>
        <w:rPr>
          <w:rFonts w:ascii="Arial" w:eastAsia="Arial" w:hAnsi="Arial" w:cs="Arial"/>
        </w:rPr>
        <w:t>CoronaVac</w:t>
      </w:r>
      <w:proofErr w:type="spellEnd"/>
      <w:r>
        <w:rPr>
          <w:rFonts w:ascii="Arial" w:eastAsia="Arial" w:hAnsi="Arial" w:cs="Arial"/>
        </w:rPr>
        <w:t>, or BNT162b2, or one dose of Janssen—t</w:t>
      </w:r>
      <w:r>
        <w:rPr>
          <w:rFonts w:ascii="Arial" w:eastAsia="Arial" w:hAnsi="Arial" w:cs="Arial"/>
        </w:rPr>
        <w:t>he highest rate was recorded in the Northeast (66.4%) and the lowest in the North (40.3%) as of March 1, 2022, the latter being an area of difficult access due to physical barriers such as dense forest.</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In Brazil, more than 100 Indigenous groups live in v</w:t>
      </w:r>
      <w:r>
        <w:rPr>
          <w:rFonts w:ascii="Arial" w:eastAsia="Arial" w:hAnsi="Arial" w:cs="Arial"/>
        </w:rPr>
        <w:t>oluntary isolation, reinforcing their physical and sociocultural vulnerability, particularly due to the absence of governmental actions and the presence of religious missionaries (GOMES TPO; DOS SANTOS DEL, 2022). Thus, dialogue between Indigenous and non-</w:t>
      </w:r>
      <w:r>
        <w:rPr>
          <w:rFonts w:ascii="Arial" w:eastAsia="Arial" w:hAnsi="Arial" w:cs="Arial"/>
        </w:rPr>
        <w:t>Indigenous peoples requires humanized and context-sensitive care tailored to each ethnic group.</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 xml:space="preserve">Geographic isolation was compounded by the difficulty of maintaining the necessary conditions for vaccine storage and by limited access to health services. As </w:t>
      </w:r>
      <w:r>
        <w:rPr>
          <w:rFonts w:ascii="Arial" w:eastAsia="Arial" w:hAnsi="Arial" w:cs="Arial"/>
        </w:rPr>
        <w:t xml:space="preserve">a result, </w:t>
      </w:r>
      <w:proofErr w:type="spellStart"/>
      <w:r>
        <w:rPr>
          <w:rFonts w:ascii="Arial" w:eastAsia="Arial" w:hAnsi="Arial" w:cs="Arial"/>
        </w:rPr>
        <w:t>CoronaVac</w:t>
      </w:r>
      <w:proofErr w:type="spellEnd"/>
      <w:r>
        <w:rPr>
          <w:rFonts w:ascii="Arial" w:eastAsia="Arial" w:hAnsi="Arial" w:cs="Arial"/>
        </w:rPr>
        <w:t xml:space="preserve"> was widely distributed among Indigenous peoples because it posed fewer challenges for procurement and distribution in Brazilian territory, due to its less stringent logistical requirements compared to other vaccines such as Pfizer, whic</w:t>
      </w:r>
      <w:r>
        <w:rPr>
          <w:rFonts w:ascii="Arial" w:eastAsia="Arial" w:hAnsi="Arial" w:cs="Arial"/>
        </w:rPr>
        <w:t xml:space="preserve">h requires ultra-low temperatures (Study No. 1). </w:t>
      </w:r>
      <w:proofErr w:type="spellStart"/>
      <w:r>
        <w:rPr>
          <w:rFonts w:ascii="Arial" w:eastAsia="Arial" w:hAnsi="Arial" w:cs="Arial"/>
        </w:rPr>
        <w:t>CoronaVac</w:t>
      </w:r>
      <w:proofErr w:type="spellEnd"/>
      <w:r>
        <w:rPr>
          <w:rFonts w:ascii="Arial" w:eastAsia="Arial" w:hAnsi="Arial" w:cs="Arial"/>
        </w:rPr>
        <w:t xml:space="preserve"> could be stored at 2°C to 8°C, facilitating transportation to remote areas. In addition, in some regions, the lack of coordination between the Indigenous Health Care Subsystem (SASI-SUS) and the Sp</w:t>
      </w:r>
      <w:r>
        <w:rPr>
          <w:rFonts w:ascii="Arial" w:eastAsia="Arial" w:hAnsi="Arial" w:cs="Arial"/>
        </w:rPr>
        <w:t>ecial Indigenous Health Districts (DSEIs) undermined the effectiveness of vaccination strategies.</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Beyond geographic challenges, sociocultural factors played a crucial role in vaccination uptake and disease spread, given the cultural diversity among Indige</w:t>
      </w:r>
      <w:r>
        <w:rPr>
          <w:rFonts w:ascii="Arial" w:eastAsia="Arial" w:hAnsi="Arial" w:cs="Arial"/>
        </w:rPr>
        <w:t xml:space="preserve">nous ethnic groups, each with distinct beliefs, values, and social organization. Despite petitions and discussions led by Indigenous organizations, measures adopted during the COVID-19 pandemic largely reproduced Ministry of Health guidelines intended for </w:t>
      </w:r>
      <w:r>
        <w:rPr>
          <w:rFonts w:ascii="Arial" w:eastAsia="Arial" w:hAnsi="Arial" w:cs="Arial"/>
        </w:rPr>
        <w:t>non-Indigenous populations, without adaptations to Indigenous contexts, thereby exposing the shortcomings of SASI-SUS. This hindered the identification of Indigenous peoples with the program and its effectiveness, directly influencing vaccine acceptance (S</w:t>
      </w:r>
      <w:r>
        <w:rPr>
          <w:rFonts w:ascii="Arial" w:eastAsia="Arial" w:hAnsi="Arial" w:cs="Arial"/>
        </w:rPr>
        <w:t>tudy No. 7).</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There is also a communication barrier between Indigenous and non-Indigenous populations which, when pronounced, can lead to inadequate care and dissatisfaction on both sides (</w:t>
      </w:r>
      <w:proofErr w:type="spellStart"/>
      <w:r>
        <w:rPr>
          <w:rFonts w:ascii="Arial" w:eastAsia="Arial" w:hAnsi="Arial" w:cs="Arial"/>
        </w:rPr>
        <w:t>Teoli</w:t>
      </w:r>
      <w:proofErr w:type="spellEnd"/>
      <w:r>
        <w:rPr>
          <w:rFonts w:ascii="Arial" w:eastAsia="Arial" w:hAnsi="Arial" w:cs="Arial"/>
        </w:rPr>
        <w:t xml:space="preserve"> et al., 2020). This barrier was also noted in a study conduct</w:t>
      </w:r>
      <w:r>
        <w:rPr>
          <w:rFonts w:ascii="Arial" w:eastAsia="Arial" w:hAnsi="Arial" w:cs="Arial"/>
        </w:rPr>
        <w:t>ed with Indigenous populations in the central highlands of Guatemala, which identified a lack of health and vaccination information in Indigenous languages—highlighting the ongoing scarcity of health materials tailored to these groups (Peters et al., 2020)</w:t>
      </w:r>
      <w:r>
        <w:rPr>
          <w:rFonts w:ascii="Arial" w:eastAsia="Arial" w:hAnsi="Arial" w:cs="Arial"/>
        </w:rPr>
        <w:t>.</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Culturally, Indigenous elders—who were the most affected by the pandemic—are responsible for preserving the knowledge and culture of their ethnic groups, and thus their deaths represent great losses (Study No. 1). A study analyzing Facebook posts in Ind</w:t>
      </w:r>
      <w:r>
        <w:rPr>
          <w:rFonts w:ascii="Arial" w:eastAsia="Arial" w:hAnsi="Arial" w:cs="Arial"/>
        </w:rPr>
        <w:t>igenous communities in Canada showed that pro-vaccination arguments frequently emphasized the protection of elders, aligning with the cultural values of these groups (</w:t>
      </w:r>
      <w:proofErr w:type="spellStart"/>
      <w:r>
        <w:rPr>
          <w:rFonts w:ascii="Arial" w:eastAsia="Arial" w:hAnsi="Arial" w:cs="Arial"/>
        </w:rPr>
        <w:t>Benites</w:t>
      </w:r>
      <w:proofErr w:type="spellEnd"/>
      <w:r>
        <w:rPr>
          <w:rFonts w:ascii="Arial" w:eastAsia="Arial" w:hAnsi="Arial" w:cs="Arial"/>
        </w:rPr>
        <w:t xml:space="preserve"> et al., 2021). Furthermore, the collective housing arrangements in many communiti</w:t>
      </w:r>
      <w:r>
        <w:rPr>
          <w:rFonts w:ascii="Arial" w:eastAsia="Arial" w:hAnsi="Arial" w:cs="Arial"/>
        </w:rPr>
        <w:t>es, such as malocas, facilitated viral spread, while distrust of Western medicine and the influence of local leaders opposing vaccination reinforced vaccine hesitancy (Study No. 1).</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Conflicting information disseminated through social media and other commu</w:t>
      </w:r>
      <w:r>
        <w:rPr>
          <w:rFonts w:ascii="Arial" w:eastAsia="Arial" w:hAnsi="Arial" w:cs="Arial"/>
        </w:rPr>
        <w:t xml:space="preserve">nication platforms also fueled misinformation, which proved particularly harmful in Indigenous contexts. Fake news widely spread during the pandemic associated vaccines with nonexistent risks, undermining trust in immunization campaigns (Study No. 1). For </w:t>
      </w:r>
      <w:r>
        <w:rPr>
          <w:rFonts w:ascii="Arial" w:eastAsia="Arial" w:hAnsi="Arial" w:cs="Arial"/>
        </w:rPr>
        <w:t xml:space="preserve">instance, it was reported that 70% of Indigenous residents in the Rio </w:t>
      </w:r>
      <w:proofErr w:type="spellStart"/>
      <w:r>
        <w:rPr>
          <w:rFonts w:ascii="Arial" w:eastAsia="Arial" w:hAnsi="Arial" w:cs="Arial"/>
        </w:rPr>
        <w:t>Tapajós</w:t>
      </w:r>
      <w:proofErr w:type="spellEnd"/>
      <w:r>
        <w:rPr>
          <w:rFonts w:ascii="Arial" w:eastAsia="Arial" w:hAnsi="Arial" w:cs="Arial"/>
        </w:rPr>
        <w:t xml:space="preserve"> DSEI questioned the validity and safety of COVID-19 vaccines, such that, of the 6,420 doses available in March 2021, only 30.3% were administered, while 35.2% of individuals resi</w:t>
      </w:r>
      <w:r>
        <w:rPr>
          <w:rFonts w:ascii="Arial" w:eastAsia="Arial" w:hAnsi="Arial" w:cs="Arial"/>
        </w:rPr>
        <w:t>sted or refused immunization (Study No. 4).</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Misinformation was exacerbated by the absence of a coordinated communication strategy from health authorities, leaving Indigenous populations vulnerable to contradictory and often incorrect information. In compa</w:t>
      </w:r>
      <w:r>
        <w:rPr>
          <w:rFonts w:ascii="Arial" w:eastAsia="Arial" w:hAnsi="Arial" w:cs="Arial"/>
        </w:rPr>
        <w:t xml:space="preserve">rison, the </w:t>
      </w:r>
      <w:proofErr w:type="spellStart"/>
      <w:r>
        <w:rPr>
          <w:rFonts w:ascii="Arial" w:eastAsia="Arial" w:hAnsi="Arial" w:cs="Arial"/>
        </w:rPr>
        <w:t>Nimiipuu</w:t>
      </w:r>
      <w:proofErr w:type="spellEnd"/>
      <w:r>
        <w:rPr>
          <w:rFonts w:ascii="Arial" w:eastAsia="Arial" w:hAnsi="Arial" w:cs="Arial"/>
        </w:rPr>
        <w:t xml:space="preserve"> people in the United States initially resisted vaccination due to skepticism about its effectiveness, reflecting broader sociopolitical dynamics. However, official communication channels, such as those from the Centers for Disease Contr</w:t>
      </w:r>
      <w:r>
        <w:rPr>
          <w:rFonts w:ascii="Arial" w:eastAsia="Arial" w:hAnsi="Arial" w:cs="Arial"/>
        </w:rPr>
        <w:t>ol and Prevention (CDC), were essential for building trust in vaccination (</w:t>
      </w:r>
      <w:proofErr w:type="spellStart"/>
      <w:r>
        <w:rPr>
          <w:rFonts w:ascii="Arial" w:eastAsia="Arial" w:hAnsi="Arial" w:cs="Arial"/>
        </w:rPr>
        <w:t>Pescarini</w:t>
      </w:r>
      <w:proofErr w:type="spellEnd"/>
      <w:r>
        <w:rPr>
          <w:rFonts w:ascii="Arial" w:eastAsia="Arial" w:hAnsi="Arial" w:cs="Arial"/>
        </w:rPr>
        <w:t xml:space="preserve"> et al., 2023). In Brazil, although vaccination was eventually widely publicized among Indigenous peoples and acceptance rates reached about 85% after the pandemic’s peak, </w:t>
      </w:r>
      <w:r>
        <w:rPr>
          <w:rFonts w:ascii="Arial" w:eastAsia="Arial" w:hAnsi="Arial" w:cs="Arial"/>
        </w:rPr>
        <w:t>the initial phase of the campaign was marked by significant vaccine hesitancy, which delayed immunization and prolonged exposure to the virus (Study No. 2).</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 xml:space="preserve">Structural shortcomings in public policies for Indigenous health also contributed to increased mortality. The lack of effective coordination between DSEIs and other management spheres of the Unified Health System (SUS) led to a fragmented and insufficient </w:t>
      </w:r>
      <w:r>
        <w:rPr>
          <w:rFonts w:ascii="Arial" w:eastAsia="Arial" w:hAnsi="Arial" w:cs="Arial"/>
        </w:rPr>
        <w:t>pandemic response (Study No. 5). Many DSEIs failed to reach even 60% vaccination coverage by the end of 2021, falling short of immunization targets. In some regions, such as the Amazon, vaccine hesitancy was exacerbated by logistical difficulties, fragment</w:t>
      </w:r>
      <w:r>
        <w:rPr>
          <w:rFonts w:ascii="Arial" w:eastAsia="Arial" w:hAnsi="Arial" w:cs="Arial"/>
        </w:rPr>
        <w:t xml:space="preserve">ed health services, and a lack of culturally appropriate awareness campaigns. Moreover, the distribution of primary health units across DSEIs was not proportional to the populations served. For example, the </w:t>
      </w:r>
      <w:proofErr w:type="spellStart"/>
      <w:r>
        <w:rPr>
          <w:rFonts w:ascii="Arial" w:eastAsia="Arial" w:hAnsi="Arial" w:cs="Arial"/>
        </w:rPr>
        <w:t>Xavante</w:t>
      </w:r>
      <w:proofErr w:type="spellEnd"/>
      <w:r>
        <w:rPr>
          <w:rFonts w:ascii="Arial" w:eastAsia="Arial" w:hAnsi="Arial" w:cs="Arial"/>
        </w:rPr>
        <w:t xml:space="preserve"> district, which has the largest Indigenou</w:t>
      </w:r>
      <w:r>
        <w:rPr>
          <w:rFonts w:ascii="Arial" w:eastAsia="Arial" w:hAnsi="Arial" w:cs="Arial"/>
        </w:rPr>
        <w:t>s population in Mato Grosso, did not have the highest number of health units, evidencing the mismatch between SUS actions and the population’s needs (Moreira et al., 2022).</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Among the policies developed during this period, Law Project No. 1.142/2020 recogn</w:t>
      </w:r>
      <w:r>
        <w:rPr>
          <w:rFonts w:ascii="Arial" w:eastAsia="Arial" w:hAnsi="Arial" w:cs="Arial"/>
        </w:rPr>
        <w:t>ized Indigenous peoples and other traditional groups as vulnerable populations, prioritizing them in emergency actions during epidemics and pandemics. However, Veto 27/2020, imposed by the government at the time, limited its full implementation by excludin</w:t>
      </w:r>
      <w:r>
        <w:rPr>
          <w:rFonts w:ascii="Arial" w:eastAsia="Arial" w:hAnsi="Arial" w:cs="Arial"/>
        </w:rPr>
        <w:t>g essential measures such as the provision of hygiene and disinfection materials, access to ICU beds, informational materials in native languages, and mechanisms facilitating access to emergency aid and welfare benefits. It also excluded the registration o</w:t>
      </w:r>
      <w:r>
        <w:rPr>
          <w:rFonts w:ascii="Arial" w:eastAsia="Arial" w:hAnsi="Arial" w:cs="Arial"/>
        </w:rPr>
        <w:t>f race and ethnicity data in the SUS, which contributed to the invisibility of Indigenous COVID-19 cases and deaths, compromising vaccination planning and other health actions (Study No. 8).</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Regarding response strategies, the National Contingency Plan for</w:t>
      </w:r>
      <w:r>
        <w:rPr>
          <w:rFonts w:ascii="Arial" w:eastAsia="Arial" w:hAnsi="Arial" w:cs="Arial"/>
        </w:rPr>
        <w:t xml:space="preserve"> Human Infection by the Novel Coronavirus COVID-19, developed by the COVID-19 Emergency Operations Center </w:t>
      </w:r>
      <w:r>
        <w:rPr>
          <w:rFonts w:ascii="Arial" w:eastAsia="Arial" w:hAnsi="Arial" w:cs="Arial"/>
        </w:rPr>
        <w:lastRenderedPageBreak/>
        <w:t>(COE COVID-19) and made available by SESAI to the DSEIs, was intended to guide the pandemic response in Indigenous territories. However, Study No. 5 r</w:t>
      </w:r>
      <w:r>
        <w:rPr>
          <w:rFonts w:ascii="Arial" w:eastAsia="Arial" w:hAnsi="Arial" w:cs="Arial"/>
        </w:rPr>
        <w:t>eported that DSEIs in Pará merely reproduced SESAI’s text without adapting it to local realities, limiting its implementation. This revealed evident weaknesses in contingency planning: Indigenous resistance to vaccination driven by misinformation and cultu</w:t>
      </w:r>
      <w:r>
        <w:rPr>
          <w:rFonts w:ascii="Arial" w:eastAsia="Arial" w:hAnsi="Arial" w:cs="Arial"/>
        </w:rPr>
        <w:t>ral issues, difficulties in transporting Indigenous people outside villages, resistance to the presence of non-Indigenous health professionals, and the exclusion of non-village Indigenous populations. These findings underscore the need for adaptation and c</w:t>
      </w:r>
      <w:r>
        <w:rPr>
          <w:rFonts w:ascii="Arial" w:eastAsia="Arial" w:hAnsi="Arial" w:cs="Arial"/>
        </w:rPr>
        <w:t>oordination of plans to meet the specificities of each district.</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 xml:space="preserve">Beyond logistical inefficiencies in vaccination coverage for Indigenous groups formally recognized within DSEIs, gaps remained regarding the immunization needs of Indigenous communities not </w:t>
      </w:r>
      <w:r>
        <w:rPr>
          <w:rFonts w:ascii="Arial" w:eastAsia="Arial" w:hAnsi="Arial" w:cs="Arial"/>
        </w:rPr>
        <w:t>linked to any of the 34 districts and those residing in urban areas, who move constantly between cities and villages. Bureaucratic exclusion of these groups from the prioritized immunization plan hindered their access to vaccines, restricted their constitu</w:t>
      </w:r>
      <w:r>
        <w:rPr>
          <w:rFonts w:ascii="Arial" w:eastAsia="Arial" w:hAnsi="Arial" w:cs="Arial"/>
        </w:rPr>
        <w:t>tional rights, and made them potential vectors of COVID-19 transmission (Rodrigues, 2024). This exclusion was exemplified by reports from the Indigenous movement in Rio Grande do Norte, which denounced that doses of vaccines were returned by the municipali</w:t>
      </w:r>
      <w:r>
        <w:rPr>
          <w:rFonts w:ascii="Arial" w:eastAsia="Arial" w:hAnsi="Arial" w:cs="Arial"/>
        </w:rPr>
        <w:t>ty of Natal in the early months of vaccination, as the presence of Indigenous populations in the territory was not officially recognized, thereby undermining continuity of the COVID-19 response program in the state (Rodrigues, 2024).</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Confirming health ine</w:t>
      </w:r>
      <w:r>
        <w:rPr>
          <w:rFonts w:ascii="Arial" w:eastAsia="Arial" w:hAnsi="Arial" w:cs="Arial"/>
        </w:rPr>
        <w:t>quities, an epidemiological study conducted in Mato Grosso do Sul—home to Brazil’s second largest Indigenous population—showed lower rates of COVID-19 diagnosis by RT-PCR and higher extra-hospital mortality among Indigenous peoples (11% versus 2.9% among n</w:t>
      </w:r>
      <w:r>
        <w:rPr>
          <w:rFonts w:ascii="Arial" w:eastAsia="Arial" w:hAnsi="Arial" w:cs="Arial"/>
        </w:rPr>
        <w:t>on-Indigenous) (Almeida et al., 2020). Furthermore, infection patterns differed: cases among Indigenous peoples increased between July and September 2020, with no subsequent peaks, while the general population experienced another rise between late 2020 and</w:t>
      </w:r>
      <w:r>
        <w:rPr>
          <w:rFonts w:ascii="Arial" w:eastAsia="Arial" w:hAnsi="Arial" w:cs="Arial"/>
        </w:rPr>
        <w:t xml:space="preserve"> March 2021, possibly mitigated among Indigenous peoples by the vaccination campaign initiated in January 2021 (Almeida et al., 2020).</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Currently, efforts are underway by responsible agencies to ensure vaccination in border regions, including for foreign populations, particularly those living along the limits of the Brazilian Amazon, reaffirming the essential need to expand overall vaccina</w:t>
      </w:r>
      <w:r>
        <w:rPr>
          <w:rFonts w:ascii="Arial" w:eastAsia="Arial" w:hAnsi="Arial" w:cs="Arial"/>
        </w:rPr>
        <w:t>tion coverage in Brazil (Gomes &amp; dos Santos, 2022).</w:t>
      </w:r>
    </w:p>
    <w:p w:rsidR="001B40A3" w:rsidRDefault="001B40A3">
      <w:pPr>
        <w:pBdr>
          <w:top w:val="nil"/>
          <w:left w:val="nil"/>
          <w:bottom w:val="nil"/>
          <w:right w:val="nil"/>
          <w:between w:val="nil"/>
        </w:pBdr>
        <w:jc w:val="both"/>
        <w:rPr>
          <w:rFonts w:ascii="Arial" w:eastAsia="Arial" w:hAnsi="Arial" w:cs="Arial"/>
        </w:rPr>
      </w:pPr>
    </w:p>
    <w:p w:rsidR="001B40A3" w:rsidRDefault="00461C36">
      <w:pPr>
        <w:pBdr>
          <w:top w:val="nil"/>
          <w:left w:val="nil"/>
          <w:bottom w:val="nil"/>
          <w:right w:val="nil"/>
          <w:between w:val="nil"/>
        </w:pBdr>
        <w:jc w:val="both"/>
        <w:rPr>
          <w:rFonts w:ascii="Arial" w:eastAsia="Arial" w:hAnsi="Arial" w:cs="Arial"/>
        </w:rPr>
      </w:pPr>
      <w:r>
        <w:rPr>
          <w:rFonts w:ascii="Arial" w:eastAsia="Arial" w:hAnsi="Arial" w:cs="Arial"/>
        </w:rPr>
        <w:t>As for the limitations of the present study, obstacles were faced regarding data availability, due to the scarcity of research on the topic in databases and grey literature, which hindered a comprehensiv</w:t>
      </w:r>
      <w:r>
        <w:rPr>
          <w:rFonts w:ascii="Arial" w:eastAsia="Arial" w:hAnsi="Arial" w:cs="Arial"/>
        </w:rPr>
        <w:t>e analysis. Therefore, new studies with more extensive data and ongoing analyses are needed to support the development of public policies directed at Indigenous populations.</w:t>
      </w:r>
    </w:p>
    <w:p w:rsidR="001B40A3" w:rsidRDefault="001B40A3">
      <w:pPr>
        <w:pBdr>
          <w:top w:val="nil"/>
          <w:left w:val="nil"/>
          <w:bottom w:val="nil"/>
          <w:right w:val="nil"/>
          <w:between w:val="nil"/>
        </w:pBdr>
        <w:jc w:val="both"/>
        <w:rPr>
          <w:rFonts w:ascii="Arial" w:eastAsia="Arial" w:hAnsi="Arial" w:cs="Arial"/>
          <w:color w:val="000000"/>
        </w:rPr>
      </w:pPr>
    </w:p>
    <w:p w:rsidR="001B40A3" w:rsidRDefault="00461C3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1B40A3" w:rsidRDefault="001B40A3">
      <w:pPr>
        <w:keepNext/>
        <w:pBdr>
          <w:top w:val="nil"/>
          <w:left w:val="nil"/>
          <w:bottom w:val="nil"/>
          <w:right w:val="nil"/>
          <w:between w:val="nil"/>
        </w:pBdr>
        <w:jc w:val="both"/>
        <w:rPr>
          <w:rFonts w:ascii="Arial" w:eastAsia="Arial" w:hAnsi="Arial" w:cs="Arial"/>
          <w:b/>
          <w:bCs/>
          <w:smallCaps/>
          <w:color w:val="000000"/>
          <w:sz w:val="22"/>
          <w:szCs w:val="22"/>
        </w:rPr>
      </w:pPr>
    </w:p>
    <w:p w:rsidR="001B40A3" w:rsidRDefault="00461C36">
      <w:pPr>
        <w:pBdr>
          <w:top w:val="nil"/>
          <w:left w:val="nil"/>
          <w:bottom w:val="nil"/>
          <w:right w:val="nil"/>
          <w:between w:val="nil"/>
        </w:pBdr>
        <w:jc w:val="both"/>
      </w:pPr>
      <w:r>
        <w:rPr>
          <w:rFonts w:ascii="Arial" w:eastAsia="Arial" w:hAnsi="Arial" w:cs="Arial"/>
        </w:rPr>
        <w:t>The COVID-19 pandemic highlighted the deep structural inequalities</w:t>
      </w:r>
      <w:r>
        <w:rPr>
          <w:rFonts w:ascii="Arial" w:eastAsia="Arial" w:hAnsi="Arial" w:cs="Arial"/>
        </w:rPr>
        <w:t xml:space="preserve"> affecting the Indigenous population in Brazil. Although vaccination played a crucial role in reducing infection and mortality rates, low vaccination coverage prevented immunization from reaching its full potential in terms of collective protection, compou</w:t>
      </w:r>
      <w:r>
        <w:rPr>
          <w:rFonts w:ascii="Arial" w:eastAsia="Arial" w:hAnsi="Arial" w:cs="Arial"/>
        </w:rPr>
        <w:t>nded by misinformation as well as geographical and cultural challenges. Therefore, the absence of a well-coordinated public policy for Indigenous peoples, both in logistical and communication terms, resulted in a fragmented and insufficient vaccination res</w:t>
      </w:r>
      <w:r>
        <w:rPr>
          <w:rFonts w:ascii="Arial" w:eastAsia="Arial" w:hAnsi="Arial" w:cs="Arial"/>
        </w:rPr>
        <w:t>ponse, increasing the vulnerability of this population.</w:t>
      </w:r>
    </w:p>
    <w:p w:rsidR="001B40A3" w:rsidRDefault="001B40A3"/>
    <w:p w:rsidR="001B40A3" w:rsidRDefault="00461C3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Consent </w:t>
      </w:r>
    </w:p>
    <w:p w:rsidR="001B40A3" w:rsidRDefault="001B40A3">
      <w:pPr>
        <w:keepNext/>
        <w:pBdr>
          <w:top w:val="nil"/>
          <w:left w:val="nil"/>
          <w:bottom w:val="nil"/>
          <w:right w:val="nil"/>
          <w:between w:val="nil"/>
        </w:pBdr>
        <w:jc w:val="both"/>
        <w:rPr>
          <w:rFonts w:ascii="Arial" w:eastAsia="Arial" w:hAnsi="Arial" w:cs="Arial"/>
          <w:b/>
          <w:bCs/>
          <w:smallCaps/>
          <w:color w:val="000000"/>
          <w:sz w:val="22"/>
          <w:szCs w:val="22"/>
        </w:rPr>
      </w:pPr>
    </w:p>
    <w:p w:rsidR="001B40A3" w:rsidRDefault="00461C36">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rPr>
        <w:t>It is not applicable.</w:t>
      </w:r>
    </w:p>
    <w:p w:rsidR="001B40A3" w:rsidRDefault="001B40A3">
      <w:pPr>
        <w:keepNext/>
        <w:pBdr>
          <w:top w:val="nil"/>
          <w:left w:val="nil"/>
          <w:bottom w:val="nil"/>
          <w:right w:val="nil"/>
          <w:between w:val="nil"/>
        </w:pBdr>
        <w:jc w:val="both"/>
        <w:rPr>
          <w:rFonts w:ascii="Arial" w:eastAsia="Arial" w:hAnsi="Arial" w:cs="Arial"/>
          <w:color w:val="000000"/>
        </w:rPr>
      </w:pPr>
    </w:p>
    <w:p w:rsidR="001B40A3" w:rsidRDefault="001B40A3">
      <w:pPr>
        <w:keepNext/>
        <w:pBdr>
          <w:top w:val="nil"/>
          <w:left w:val="nil"/>
          <w:bottom w:val="nil"/>
          <w:right w:val="nil"/>
          <w:between w:val="nil"/>
        </w:pBdr>
        <w:jc w:val="both"/>
        <w:rPr>
          <w:rFonts w:ascii="Arial" w:eastAsia="Arial" w:hAnsi="Arial" w:cs="Arial"/>
          <w:color w:val="000000"/>
        </w:rPr>
      </w:pPr>
    </w:p>
    <w:p w:rsidR="001B40A3" w:rsidRDefault="00461C3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rsidR="001B40A3" w:rsidRDefault="001B40A3">
      <w:pPr>
        <w:keepNext/>
        <w:pBdr>
          <w:top w:val="nil"/>
          <w:left w:val="nil"/>
          <w:bottom w:val="nil"/>
          <w:right w:val="nil"/>
          <w:between w:val="nil"/>
        </w:pBdr>
        <w:jc w:val="both"/>
        <w:rPr>
          <w:rFonts w:ascii="Arial" w:eastAsia="Arial" w:hAnsi="Arial" w:cs="Arial"/>
          <w:b/>
          <w:bCs/>
          <w:smallCaps/>
          <w:color w:val="000000"/>
          <w:sz w:val="22"/>
          <w:szCs w:val="22"/>
        </w:rPr>
      </w:pPr>
    </w:p>
    <w:p w:rsidR="001B40A3" w:rsidRDefault="00461C36">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It is not applicable.</w:t>
      </w:r>
    </w:p>
    <w:p w:rsidR="001B40A3" w:rsidRDefault="001B40A3">
      <w:pPr>
        <w:keepNext/>
        <w:pBdr>
          <w:top w:val="nil"/>
          <w:left w:val="nil"/>
          <w:bottom w:val="nil"/>
          <w:right w:val="nil"/>
          <w:between w:val="nil"/>
        </w:pBdr>
        <w:jc w:val="both"/>
        <w:rPr>
          <w:rFonts w:ascii="Arial" w:eastAsia="Arial" w:hAnsi="Arial" w:cs="Arial"/>
          <w:color w:val="000000"/>
        </w:rPr>
      </w:pPr>
    </w:p>
    <w:p w:rsidR="001B40A3" w:rsidRDefault="001B40A3">
      <w:pPr>
        <w:keepNext/>
        <w:pBdr>
          <w:top w:val="nil"/>
          <w:left w:val="nil"/>
          <w:bottom w:val="nil"/>
          <w:right w:val="nil"/>
          <w:between w:val="nil"/>
        </w:pBdr>
        <w:jc w:val="both"/>
        <w:rPr>
          <w:rFonts w:ascii="Arial" w:eastAsia="Arial" w:hAnsi="Arial" w:cs="Arial"/>
          <w:color w:val="000000"/>
        </w:rPr>
      </w:pPr>
    </w:p>
    <w:p w:rsidR="001B40A3" w:rsidRDefault="00461C36" w:rsidP="00C23FBC">
      <w:pPr>
        <w:rPr>
          <w:rFonts w:ascii="Calibri" w:eastAsia="Calibri" w:hAnsi="Calibri" w:cs="Calibri"/>
        </w:rPr>
      </w:pPr>
      <w:bookmarkStart w:id="0" w:name="_heading=h.7aphs59kq4qb" w:colFirst="0" w:colLast="0"/>
      <w:bookmarkEnd w:id="0"/>
      <w:r>
        <w:rPr>
          <w:rFonts w:ascii="Calibri" w:eastAsia="Calibri" w:hAnsi="Calibri" w:cs="Calibri"/>
          <w:highlight w:val="yellow"/>
        </w:rPr>
        <w:t xml:space="preserve">Disclaimer (Artificial intelligence): </w:t>
      </w:r>
      <w:bookmarkStart w:id="1" w:name="_GoBack"/>
      <w:bookmarkEnd w:id="1"/>
    </w:p>
    <w:p w:rsidR="001B40A3" w:rsidRDefault="00461C36">
      <w:pPr>
        <w:rPr>
          <w:rFonts w:ascii="Calibri" w:eastAsia="Calibri" w:hAnsi="Calibri" w:cs="Calibri"/>
          <w:highlight w:val="yellow"/>
        </w:rPr>
      </w:pPr>
      <w:r>
        <w:rPr>
          <w:rFonts w:ascii="Calibri" w:eastAsia="Calibri" w:hAnsi="Calibri" w:cs="Calibri"/>
          <w:highlight w:val="yellow"/>
        </w:rPr>
        <w:t>A</w:t>
      </w:r>
      <w:r>
        <w:rPr>
          <w:rFonts w:ascii="Calibri" w:eastAsia="Calibri" w:hAnsi="Calibri" w:cs="Calibri"/>
          <w:highlight w:val="yellow"/>
        </w:rPr>
        <w:t>uthor(s) hereby declare that NO generative AI technologies such as Large Language Models (</w:t>
      </w:r>
      <w:proofErr w:type="spellStart"/>
      <w:r>
        <w:rPr>
          <w:rFonts w:ascii="Calibri" w:eastAsia="Calibri" w:hAnsi="Calibri" w:cs="Calibri"/>
          <w:highlight w:val="yellow"/>
        </w:rPr>
        <w:t>ChatGPT</w:t>
      </w:r>
      <w:proofErr w:type="spellEnd"/>
      <w:r>
        <w:rPr>
          <w:rFonts w:ascii="Calibri" w:eastAsia="Calibri" w:hAnsi="Calibri" w:cs="Calibri"/>
          <w:highlight w:val="yellow"/>
        </w:rPr>
        <w:t xml:space="preserve">, COPILOT, etc.) and text-to-image generators have been used during the writing or editing of this manuscript. </w:t>
      </w:r>
    </w:p>
    <w:p w:rsidR="001B40A3" w:rsidRDefault="001B40A3"/>
    <w:p w:rsidR="001B40A3" w:rsidRDefault="001B40A3">
      <w:pPr>
        <w:keepNext/>
        <w:pBdr>
          <w:top w:val="nil"/>
          <w:left w:val="nil"/>
          <w:bottom w:val="nil"/>
          <w:right w:val="nil"/>
          <w:between w:val="nil"/>
        </w:pBdr>
        <w:jc w:val="both"/>
        <w:rPr>
          <w:rFonts w:ascii="Arial" w:eastAsia="Arial" w:hAnsi="Arial" w:cs="Arial"/>
          <w:color w:val="000000"/>
        </w:rPr>
      </w:pPr>
      <w:bookmarkStart w:id="2" w:name="_heading=h.64xup9qzh57u" w:colFirst="0" w:colLast="0"/>
      <w:bookmarkEnd w:id="2"/>
    </w:p>
    <w:p w:rsidR="001B40A3" w:rsidRDefault="001B40A3">
      <w:pPr>
        <w:keepNext/>
        <w:pBdr>
          <w:top w:val="nil"/>
          <w:left w:val="nil"/>
          <w:bottom w:val="nil"/>
          <w:right w:val="nil"/>
          <w:between w:val="nil"/>
        </w:pBdr>
        <w:jc w:val="both"/>
        <w:rPr>
          <w:rFonts w:ascii="Arial" w:eastAsia="Arial" w:hAnsi="Arial" w:cs="Arial"/>
          <w:b/>
          <w:bCs/>
          <w:smallCaps/>
          <w:color w:val="000000"/>
          <w:sz w:val="22"/>
          <w:szCs w:val="22"/>
        </w:rPr>
      </w:pPr>
    </w:p>
    <w:p w:rsidR="001B40A3" w:rsidRDefault="00461C36">
      <w:pPr>
        <w:keepNext/>
        <w:pBdr>
          <w:top w:val="nil"/>
          <w:left w:val="nil"/>
          <w:bottom w:val="nil"/>
          <w:right w:val="nil"/>
          <w:between w:val="nil"/>
        </w:pBdr>
        <w:jc w:val="both"/>
      </w:pPr>
      <w:r>
        <w:rPr>
          <w:rFonts w:ascii="Arial" w:eastAsia="Arial" w:hAnsi="Arial" w:cs="Arial"/>
          <w:b/>
          <w:bCs/>
          <w:smallCaps/>
          <w:color w:val="000000"/>
          <w:sz w:val="22"/>
          <w:szCs w:val="22"/>
        </w:rPr>
        <w:t>References</w:t>
      </w:r>
    </w:p>
    <w:p w:rsidR="001B40A3" w:rsidRDefault="00461C36">
      <w:pPr>
        <w:keepNext/>
        <w:jc w:val="both"/>
        <w:rPr>
          <w:sz w:val="14"/>
          <w:szCs w:val="14"/>
          <w:highlight w:val="yellow"/>
        </w:rPr>
      </w:pPr>
      <w:r>
        <w:rPr>
          <w:highlight w:val="yellow"/>
        </w:rPr>
        <w:t>[1] Brazilian Institute of Geography and Statistics (IBGE). (2024). Brazilian Census 2022: Overview of Indicators.</w:t>
      </w:r>
      <w:hyperlink r:id="rId16">
        <w:r>
          <w:rPr>
            <w:highlight w:val="yellow"/>
          </w:rPr>
          <w:t xml:space="preserve"> </w:t>
        </w:r>
      </w:hyperlink>
      <w:r>
        <w:t xml:space="preserve"> </w:t>
      </w:r>
      <w:hyperlink r:id="rId17">
        <w:r>
          <w:rPr>
            <w:color w:val="0000FF"/>
            <w:u w:val="single"/>
          </w:rPr>
          <w:t>https://censo2022.ibge.gov.br/panorama/indicadores.html?localidade=BR</w:t>
        </w:r>
      </w:hyperlink>
      <w:r>
        <w:t xml:space="preserve"> </w:t>
      </w:r>
    </w:p>
    <w:p w:rsidR="001B40A3" w:rsidRDefault="00461C36">
      <w:pPr>
        <w:keepNext/>
        <w:jc w:val="both"/>
        <w:rPr>
          <w:highlight w:val="yellow"/>
        </w:rPr>
      </w:pPr>
      <w:r>
        <w:rPr>
          <w:highlight w:val="yellow"/>
        </w:rPr>
        <w:t>[2] Bra</w:t>
      </w:r>
      <w:r>
        <w:rPr>
          <w:highlight w:val="yellow"/>
        </w:rPr>
        <w:t>zilian Institute of Geography and Statistics (IBGE). (2012). Brazilian Census 2010.</w:t>
      </w:r>
      <w:hyperlink r:id="rId18">
        <w:r>
          <w:rPr>
            <w:highlight w:val="yellow"/>
          </w:rPr>
          <w:t xml:space="preserve"> </w:t>
        </w:r>
      </w:hyperlink>
      <w:r>
        <w:t xml:space="preserve"> </w:t>
      </w:r>
      <w:hyperlink r:id="rId19">
        <w:r>
          <w:rPr>
            <w:color w:val="0000FF"/>
            <w:u w:val="single"/>
          </w:rPr>
          <w:t>https://censo2010.ibge.gov.br/</w:t>
        </w:r>
      </w:hyperlink>
      <w:r>
        <w:t xml:space="preserve"> </w:t>
      </w:r>
    </w:p>
    <w:p w:rsidR="001B40A3" w:rsidRDefault="00461C36">
      <w:pPr>
        <w:keepNext/>
        <w:jc w:val="both"/>
        <w:rPr>
          <w:highlight w:val="yellow"/>
        </w:rPr>
      </w:pPr>
      <w:r>
        <w:rPr>
          <w:highlight w:val="yellow"/>
        </w:rPr>
        <w:t>[3] Socio-Environmental Institute (ISA)</w:t>
      </w:r>
      <w:r>
        <w:rPr>
          <w:highlight w:val="yellow"/>
        </w:rPr>
        <w:t>. (2024). Indigenous Lands of Brazil.</w:t>
      </w:r>
      <w:hyperlink r:id="rId20">
        <w:r>
          <w:rPr>
            <w:highlight w:val="yellow"/>
          </w:rPr>
          <w:t xml:space="preserve"> </w:t>
        </w:r>
      </w:hyperlink>
      <w:r>
        <w:t xml:space="preserve"> </w:t>
      </w:r>
      <w:hyperlink r:id="rId21">
        <w:r>
          <w:rPr>
            <w:color w:val="0000FF"/>
            <w:u w:val="single"/>
          </w:rPr>
          <w:t>https://terrasindigenas.org.br/</w:t>
        </w:r>
      </w:hyperlink>
      <w:r>
        <w:t xml:space="preserve"> </w:t>
      </w:r>
    </w:p>
    <w:p w:rsidR="001B40A3" w:rsidRDefault="00461C36">
      <w:pPr>
        <w:keepNext/>
        <w:jc w:val="both"/>
        <w:rPr>
          <w:highlight w:val="yellow"/>
        </w:rPr>
      </w:pPr>
      <w:r>
        <w:rPr>
          <w:highlight w:val="yellow"/>
        </w:rPr>
        <w:t>[4] Coimbra, C. E. A., Jr., Santos, R. V., &amp; Escobar, A. L. (Eds.). (2005). Epidemiology and health of Indigenous peoples in Brazil.</w:t>
      </w:r>
      <w:r>
        <w:t xml:space="preserve"> </w:t>
      </w:r>
      <w:hyperlink r:id="rId22">
        <w:r>
          <w:rPr>
            <w:color w:val="0000FF"/>
            <w:u w:val="single"/>
          </w:rPr>
          <w:t>https://www.scielo.br/j/csp/a/XyY7zW8xY9zXwY7zXwY</w:t>
        </w:r>
        <w:r>
          <w:rPr>
            <w:color w:val="0000FF"/>
            <w:u w:val="single"/>
          </w:rPr>
          <w:t>7zXw/</w:t>
        </w:r>
      </w:hyperlink>
      <w:r>
        <w:t xml:space="preserve"> </w:t>
      </w:r>
    </w:p>
    <w:p w:rsidR="001B40A3" w:rsidRDefault="00461C36">
      <w:pPr>
        <w:keepNext/>
        <w:jc w:val="both"/>
        <w:rPr>
          <w:highlight w:val="yellow"/>
        </w:rPr>
      </w:pPr>
      <w:r>
        <w:rPr>
          <w:highlight w:val="yellow"/>
        </w:rPr>
        <w:t xml:space="preserve">[5] Campos, M. B., Borges, G. M., Queiroz, B. L., &amp; Santos, R. V. (2017). Mortality differentials between Indigenous and non-Indigenous populations in Brazil based on the 2010 Demographic Census. Cad </w:t>
      </w:r>
      <w:proofErr w:type="spellStart"/>
      <w:r>
        <w:rPr>
          <w:highlight w:val="yellow"/>
        </w:rPr>
        <w:t>Saude</w:t>
      </w:r>
      <w:proofErr w:type="spellEnd"/>
      <w:r>
        <w:rPr>
          <w:highlight w:val="yellow"/>
        </w:rPr>
        <w:t xml:space="preserve"> Publica, 33(5).</w:t>
      </w:r>
      <w:hyperlink r:id="rId23">
        <w:r>
          <w:rPr>
            <w:highlight w:val="yellow"/>
          </w:rPr>
          <w:t xml:space="preserve"> </w:t>
        </w:r>
      </w:hyperlink>
      <w:r>
        <w:t xml:space="preserve"> </w:t>
      </w:r>
      <w:hyperlink r:id="rId24">
        <w:r>
          <w:rPr>
            <w:color w:val="0000FF"/>
            <w:u w:val="single"/>
          </w:rPr>
          <w:t>https://doi.org/10.1590/10.1590/0102-311X00015017</w:t>
        </w:r>
      </w:hyperlink>
      <w:r>
        <w:t xml:space="preserve"> </w:t>
      </w:r>
    </w:p>
    <w:p w:rsidR="001B40A3" w:rsidRDefault="00461C36">
      <w:pPr>
        <w:keepNext/>
        <w:jc w:val="both"/>
        <w:rPr>
          <w:highlight w:val="yellow"/>
        </w:rPr>
      </w:pPr>
      <w:r>
        <w:rPr>
          <w:highlight w:val="yellow"/>
        </w:rPr>
        <w:t>[6] Lima, C. N. C., Abreu, I. N., Rodrigues, E. P. S., Freitas, V. O., Botelho, B. J. S., Sou</w:t>
      </w:r>
      <w:r>
        <w:rPr>
          <w:highlight w:val="yellow"/>
        </w:rPr>
        <w:t>za, S. L., et al. (2022). Anti-SARS-CoV-2 antibodies among indigenous populations of the Brazilian Amazon: a cross-sectional study. BMJ Open, 12, e054271.</w:t>
      </w:r>
      <w:r>
        <w:t xml:space="preserve"> </w:t>
      </w:r>
      <w:hyperlink r:id="rId25">
        <w:r>
          <w:rPr>
            <w:color w:val="0000FF"/>
            <w:u w:val="single"/>
          </w:rPr>
          <w:t>https://doi.org/10.1136/bmjopen-2021-0</w:t>
        </w:r>
        <w:r>
          <w:rPr>
            <w:color w:val="0000FF"/>
            <w:u w:val="single"/>
          </w:rPr>
          <w:t>54271</w:t>
        </w:r>
      </w:hyperlink>
      <w:r>
        <w:t xml:space="preserve"> </w:t>
      </w:r>
    </w:p>
    <w:p w:rsidR="001B40A3" w:rsidRDefault="00461C36">
      <w:pPr>
        <w:keepNext/>
        <w:jc w:val="both"/>
        <w:rPr>
          <w:highlight w:val="yellow"/>
        </w:rPr>
      </w:pPr>
      <w:r>
        <w:rPr>
          <w:highlight w:val="yellow"/>
        </w:rPr>
        <w:t>[7] World Health Organization (WHO). (2022). Epidemiology of COVID-19 among Indigenous people living in the Amazon region of Brazil.</w:t>
      </w:r>
      <w:hyperlink r:id="rId26">
        <w:r>
          <w:rPr>
            <w:highlight w:val="yellow"/>
          </w:rPr>
          <w:t xml:space="preserve"> </w:t>
        </w:r>
      </w:hyperlink>
      <w:r>
        <w:t xml:space="preserve"> </w:t>
      </w:r>
      <w:hyperlink r:id="rId27">
        <w:r>
          <w:rPr>
            <w:color w:val="0000FF"/>
            <w:u w:val="single"/>
          </w:rPr>
          <w:t>https://iris.who.int/handle/10665/352898</w:t>
        </w:r>
      </w:hyperlink>
      <w:r>
        <w:t xml:space="preserve"> </w:t>
      </w:r>
    </w:p>
    <w:p w:rsidR="001B40A3" w:rsidRDefault="00461C36">
      <w:pPr>
        <w:keepNext/>
        <w:jc w:val="both"/>
        <w:rPr>
          <w:highlight w:val="yellow"/>
        </w:rPr>
      </w:pPr>
      <w:r>
        <w:rPr>
          <w:highlight w:val="yellow"/>
        </w:rPr>
        <w:t xml:space="preserve">[8] Mendes, A. M., </w:t>
      </w:r>
      <w:proofErr w:type="spellStart"/>
      <w:r>
        <w:rPr>
          <w:highlight w:val="yellow"/>
        </w:rPr>
        <w:t>Leite</w:t>
      </w:r>
      <w:proofErr w:type="spellEnd"/>
      <w:r>
        <w:rPr>
          <w:highlight w:val="yellow"/>
        </w:rPr>
        <w:t xml:space="preserve">, M. S., Langdon, E. J., &amp; </w:t>
      </w:r>
      <w:proofErr w:type="spellStart"/>
      <w:r>
        <w:rPr>
          <w:highlight w:val="yellow"/>
        </w:rPr>
        <w:t>Grisotti</w:t>
      </w:r>
      <w:proofErr w:type="spellEnd"/>
      <w:r>
        <w:rPr>
          <w:highlight w:val="yellow"/>
        </w:rPr>
        <w:t xml:space="preserve">, M. (2018). The challenge of primary care in Indigenous health in Brazil. Rev </w:t>
      </w:r>
      <w:proofErr w:type="spellStart"/>
      <w:r>
        <w:rPr>
          <w:highlight w:val="yellow"/>
        </w:rPr>
        <w:t>Panam</w:t>
      </w:r>
      <w:proofErr w:type="spellEnd"/>
      <w:r>
        <w:rPr>
          <w:highlight w:val="yellow"/>
        </w:rPr>
        <w:t xml:space="preserve"> </w:t>
      </w:r>
      <w:proofErr w:type="spellStart"/>
      <w:r>
        <w:rPr>
          <w:highlight w:val="yellow"/>
        </w:rPr>
        <w:t>Salud</w:t>
      </w:r>
      <w:proofErr w:type="spellEnd"/>
      <w:r>
        <w:rPr>
          <w:highlight w:val="yellow"/>
        </w:rPr>
        <w:t xml:space="preserve"> Publica, 48, e184.</w:t>
      </w:r>
      <w:hyperlink r:id="rId28">
        <w:r>
          <w:rPr>
            <w:highlight w:val="yellow"/>
          </w:rPr>
          <w:t xml:space="preserve"> </w:t>
        </w:r>
      </w:hyperlink>
      <w:r>
        <w:t xml:space="preserve"> </w:t>
      </w:r>
      <w:hyperlink r:id="rId29">
        <w:r>
          <w:rPr>
            <w:color w:val="0000FF"/>
            <w:u w:val="single"/>
          </w:rPr>
          <w:t>https://doi.org/10.26633/RPSP.2018.184</w:t>
        </w:r>
      </w:hyperlink>
      <w:r>
        <w:t xml:space="preserve"> </w:t>
      </w:r>
    </w:p>
    <w:p w:rsidR="001B40A3" w:rsidRDefault="00461C36">
      <w:pPr>
        <w:keepNext/>
        <w:jc w:val="both"/>
        <w:rPr>
          <w:highlight w:val="yellow"/>
        </w:rPr>
      </w:pPr>
      <w:r>
        <w:rPr>
          <w:highlight w:val="yellow"/>
        </w:rPr>
        <w:t>[9] Ministry of Health of Brazil. (2023). COVID-19 vaccination strategy – 2024. Department of Immunization and Vaccine-Preventable Diseases</w:t>
      </w:r>
      <w:r>
        <w:rPr>
          <w:highlight w:val="yellow"/>
        </w:rPr>
        <w:t xml:space="preserve"> Reports.</w:t>
      </w:r>
      <w:hyperlink r:id="rId30">
        <w:r>
          <w:rPr>
            <w:highlight w:val="yellow"/>
          </w:rPr>
          <w:t xml:space="preserve"> </w:t>
        </w:r>
      </w:hyperlink>
      <w:r>
        <w:t xml:space="preserve"> </w:t>
      </w:r>
      <w:hyperlink r:id="rId31">
        <w:r>
          <w:rPr>
            <w:color w:val="0000FF"/>
            <w:u w:val="single"/>
          </w:rPr>
          <w:t>https://infom</w:t>
        </w:r>
        <w:r>
          <w:rPr>
            <w:color w:val="0000FF"/>
            <w:u w:val="single"/>
          </w:rPr>
          <w:t>s.saude.gov.br/content/Default/Informe%20vacinacao%20covid%202024_final_29dez23.pdf</w:t>
        </w:r>
      </w:hyperlink>
      <w:r>
        <w:t xml:space="preserve"> </w:t>
      </w:r>
    </w:p>
    <w:p w:rsidR="001B40A3" w:rsidRDefault="00461C36">
      <w:pPr>
        <w:keepNext/>
        <w:jc w:val="both"/>
      </w:pPr>
      <w:r>
        <w:rPr>
          <w:highlight w:val="yellow"/>
        </w:rPr>
        <w:t xml:space="preserve">[10] </w:t>
      </w:r>
      <w:proofErr w:type="spellStart"/>
      <w:r>
        <w:rPr>
          <w:highlight w:val="yellow"/>
        </w:rPr>
        <w:t>Teoli</w:t>
      </w:r>
      <w:proofErr w:type="spellEnd"/>
      <w:r>
        <w:rPr>
          <w:highlight w:val="yellow"/>
        </w:rPr>
        <w:t xml:space="preserve">, D., </w:t>
      </w:r>
      <w:proofErr w:type="spellStart"/>
      <w:r>
        <w:rPr>
          <w:highlight w:val="yellow"/>
        </w:rPr>
        <w:t>Sanvictores</w:t>
      </w:r>
      <w:proofErr w:type="spellEnd"/>
      <w:r>
        <w:rPr>
          <w:highlight w:val="yellow"/>
        </w:rPr>
        <w:t xml:space="preserve">, T., &amp; An, J. (2025). SWOT Analysis. Treasure Island, FL: </w:t>
      </w:r>
      <w:proofErr w:type="spellStart"/>
      <w:r>
        <w:rPr>
          <w:highlight w:val="yellow"/>
        </w:rPr>
        <w:t>StatPearls</w:t>
      </w:r>
      <w:proofErr w:type="spellEnd"/>
      <w:r>
        <w:rPr>
          <w:highlight w:val="yellow"/>
        </w:rPr>
        <w:t xml:space="preserve"> Publishing.</w:t>
      </w:r>
      <w:r>
        <w:t xml:space="preserve"> </w:t>
      </w:r>
      <w:hyperlink r:id="rId32">
        <w:r>
          <w:rPr>
            <w:color w:val="0000FF"/>
            <w:u w:val="single"/>
          </w:rPr>
          <w:t>https://www.ncbi.nlm.nih.gov/books/NBK537302/</w:t>
        </w:r>
      </w:hyperlink>
      <w:r>
        <w:t xml:space="preserve"> </w:t>
      </w:r>
    </w:p>
    <w:p w:rsidR="001B40A3" w:rsidRDefault="00461C36">
      <w:pPr>
        <w:keepNext/>
        <w:jc w:val="both"/>
      </w:pPr>
      <w:r>
        <w:t xml:space="preserve">[11] Peters, M. D. J., Marnie, C., </w:t>
      </w:r>
      <w:proofErr w:type="spellStart"/>
      <w:r>
        <w:t>Tricco</w:t>
      </w:r>
      <w:proofErr w:type="spellEnd"/>
      <w:r>
        <w:t xml:space="preserve">, A. C., Pollock, D., Munn, Z., Alexander, L., et al. (2020). Updated methodological guidance for the conduct of scoping reviews. JBI </w:t>
      </w:r>
      <w:proofErr w:type="spellStart"/>
      <w:r>
        <w:t>Evid</w:t>
      </w:r>
      <w:proofErr w:type="spellEnd"/>
      <w:r>
        <w:t xml:space="preserve"> Synth, 18(10), 2119–2126. </w:t>
      </w:r>
      <w:hyperlink r:id="rId33">
        <w:r>
          <w:rPr>
            <w:color w:val="0000FF"/>
            <w:u w:val="single"/>
          </w:rPr>
          <w:t>https://doi.org/10.11124/JBIES-20-00167</w:t>
        </w:r>
      </w:hyperlink>
      <w:r>
        <w:t xml:space="preserve"> </w:t>
      </w:r>
    </w:p>
    <w:p w:rsidR="001B40A3" w:rsidRDefault="00461C36">
      <w:pPr>
        <w:keepNext/>
        <w:jc w:val="both"/>
      </w:pPr>
      <w:r>
        <w:t xml:space="preserve">[12] </w:t>
      </w:r>
      <w:proofErr w:type="spellStart"/>
      <w:r>
        <w:t>Boschiero</w:t>
      </w:r>
      <w:proofErr w:type="spellEnd"/>
      <w:r>
        <w:t xml:space="preserve">, M. N., </w:t>
      </w:r>
      <w:proofErr w:type="spellStart"/>
      <w:r>
        <w:t>Palamim</w:t>
      </w:r>
      <w:proofErr w:type="spellEnd"/>
      <w:r>
        <w:t xml:space="preserve">, C. V. C., Ortega, M. M., </w:t>
      </w:r>
      <w:proofErr w:type="spellStart"/>
      <w:r>
        <w:t>Mauch</w:t>
      </w:r>
      <w:proofErr w:type="spellEnd"/>
      <w:r>
        <w:t>, R. M., &amp; Marson, F. A. L. (2021). One year of coronavirus disease 2019 (COVID-19) in Brazil:</w:t>
      </w:r>
      <w:r>
        <w:t xml:space="preserve"> A political and social overview. Ann Glob Health, 87(1), 44.</w:t>
      </w:r>
      <w:hyperlink r:id="rId34">
        <w:r>
          <w:t xml:space="preserve"> </w:t>
        </w:r>
      </w:hyperlink>
      <w:r>
        <w:t xml:space="preserve"> </w:t>
      </w:r>
      <w:hyperlink r:id="rId35">
        <w:r>
          <w:rPr>
            <w:color w:val="0000FF"/>
            <w:u w:val="single"/>
          </w:rPr>
          <w:t>https://doi.org/10.5334/aogh.3182</w:t>
        </w:r>
      </w:hyperlink>
      <w:r>
        <w:t xml:space="preserve"> </w:t>
      </w:r>
    </w:p>
    <w:p w:rsidR="001B40A3" w:rsidRDefault="00461C36">
      <w:pPr>
        <w:keepNext/>
        <w:jc w:val="both"/>
      </w:pPr>
      <w:r>
        <w:t xml:space="preserve">[13] </w:t>
      </w:r>
      <w:proofErr w:type="spellStart"/>
      <w:r>
        <w:t>Benites</w:t>
      </w:r>
      <w:proofErr w:type="spellEnd"/>
      <w:r>
        <w:t xml:space="preserve">, E., </w:t>
      </w:r>
      <w:proofErr w:type="spellStart"/>
      <w:r>
        <w:t>Gisloti</w:t>
      </w:r>
      <w:proofErr w:type="spellEnd"/>
      <w:r>
        <w:t>, L. J., &amp; Roque, F. O. (2021). Brazil: Boost COVID-19 vaccine uptake in Indigenous people. Nature, 591(7850), 369.</w:t>
      </w:r>
      <w:hyperlink r:id="rId36">
        <w:r>
          <w:t xml:space="preserve"> </w:t>
        </w:r>
      </w:hyperlink>
      <w:r>
        <w:t xml:space="preserve"> </w:t>
      </w:r>
      <w:hyperlink r:id="rId37">
        <w:r>
          <w:rPr>
            <w:color w:val="0000FF"/>
            <w:u w:val="single"/>
          </w:rPr>
          <w:t>https://doi.org/10.1038/d41586-021-00689-6</w:t>
        </w:r>
      </w:hyperlink>
      <w:r>
        <w:t xml:space="preserve">   [14] </w:t>
      </w:r>
      <w:proofErr w:type="spellStart"/>
      <w:r>
        <w:t>Pescarini</w:t>
      </w:r>
      <w:proofErr w:type="spellEnd"/>
      <w:r>
        <w:t xml:space="preserve">, J. M., Cardoso, A. M., Santos, R. V., Scaff, P. F., </w:t>
      </w:r>
      <w:proofErr w:type="spellStart"/>
      <w:r>
        <w:t>Paixao</w:t>
      </w:r>
      <w:proofErr w:type="spellEnd"/>
      <w:r>
        <w:t xml:space="preserve">, E. S., </w:t>
      </w:r>
      <w:proofErr w:type="spellStart"/>
      <w:r>
        <w:t>Ranzani</w:t>
      </w:r>
      <w:proofErr w:type="spellEnd"/>
      <w:r>
        <w:t xml:space="preserve">, O. T., et al. (2023). Vaccine coverage and effectiveness against laboratory-confirmed symptomatic and severe </w:t>
      </w:r>
      <w:r>
        <w:t>COVID-19 in Indigenous people in Brazil: A cohort study. BMC Public Health, 23, 1267.</w:t>
      </w:r>
      <w:hyperlink r:id="rId38">
        <w:r>
          <w:t xml:space="preserve"> </w:t>
        </w:r>
      </w:hyperlink>
      <w:r>
        <w:t xml:space="preserve"> </w:t>
      </w:r>
      <w:hyperlink r:id="rId39">
        <w:r>
          <w:rPr>
            <w:color w:val="0000FF"/>
            <w:u w:val="single"/>
          </w:rPr>
          <w:t>https://doi.org/10.1186/s12889-023-16196-4</w:t>
        </w:r>
      </w:hyperlink>
      <w:r>
        <w:t xml:space="preserve"> </w:t>
      </w:r>
    </w:p>
    <w:p w:rsidR="001B40A3" w:rsidRDefault="00461C36">
      <w:pPr>
        <w:keepNext/>
        <w:jc w:val="both"/>
      </w:pPr>
      <w:r>
        <w:t>[</w:t>
      </w:r>
      <w:r>
        <w:t xml:space="preserve">15] Moreira, R. S., Costa, E. G., Santos, L. F. R., Miranda, L. H. L., Oliveira, R. R., </w:t>
      </w:r>
      <w:proofErr w:type="spellStart"/>
      <w:r>
        <w:t>Romão</w:t>
      </w:r>
      <w:proofErr w:type="spellEnd"/>
      <w:r>
        <w:t xml:space="preserve">, R. F., et al. (2022). The assistance gaps in combating COVID-19 in Brazil: For whom, where and when vaccination occurs. BMC Infect Dis, 22, 473. </w:t>
      </w:r>
      <w:hyperlink r:id="rId40">
        <w:r>
          <w:rPr>
            <w:color w:val="0000FF"/>
            <w:u w:val="single"/>
          </w:rPr>
          <w:t>https://doi.org/10.1186/s12879-022-07449-5</w:t>
        </w:r>
      </w:hyperlink>
      <w:r>
        <w:t xml:space="preserve"> </w:t>
      </w:r>
    </w:p>
    <w:p w:rsidR="001B40A3" w:rsidRDefault="00461C36">
      <w:pPr>
        <w:keepNext/>
        <w:jc w:val="both"/>
      </w:pPr>
      <w:r>
        <w:t xml:space="preserve">[16] Rodrigues, R. P. (2024). </w:t>
      </w:r>
      <w:r>
        <w:rPr>
          <w:i/>
          <w:iCs/>
        </w:rPr>
        <w:t>Indigenous health in Pará and its interface with COVID-19: Planning, implementation and governance</w:t>
      </w:r>
      <w:r>
        <w:t xml:space="preserve"> (Master’s thesis). </w:t>
      </w:r>
      <w:proofErr w:type="spellStart"/>
      <w:r>
        <w:t>Universidade</w:t>
      </w:r>
      <w:proofErr w:type="spellEnd"/>
      <w:r>
        <w:t xml:space="preserve"> Feder</w:t>
      </w:r>
      <w:r>
        <w:t xml:space="preserve">al do Pará. </w:t>
      </w:r>
      <w:hyperlink r:id="rId41">
        <w:r>
          <w:rPr>
            <w:color w:val="0000FF"/>
            <w:u w:val="single"/>
          </w:rPr>
          <w:t>https://repositorio.ufpa.br/jspui/handle/2011/16329</w:t>
        </w:r>
      </w:hyperlink>
      <w:r>
        <w:t xml:space="preserve"> </w:t>
      </w:r>
    </w:p>
    <w:p w:rsidR="001B40A3" w:rsidRDefault="00461C36">
      <w:pPr>
        <w:keepNext/>
        <w:jc w:val="both"/>
      </w:pPr>
      <w:r>
        <w:t xml:space="preserve">[17] Almeida, A. W. B., Acevedo Marin, R. E., &amp; </w:t>
      </w:r>
      <w:proofErr w:type="spellStart"/>
      <w:r>
        <w:t>Aleixo</w:t>
      </w:r>
      <w:proofErr w:type="spellEnd"/>
      <w:r>
        <w:t xml:space="preserve"> de Melo, E. (2020). </w:t>
      </w:r>
      <w:proofErr w:type="spellStart"/>
      <w:r>
        <w:t>Pandemia</w:t>
      </w:r>
      <w:proofErr w:type="spellEnd"/>
      <w:r>
        <w:t xml:space="preserve"> e </w:t>
      </w:r>
      <w:proofErr w:type="spellStart"/>
      <w:r>
        <w:t>Território</w:t>
      </w:r>
      <w:proofErr w:type="spellEnd"/>
      <w:r>
        <w:t xml:space="preserve">. São Luís: UEMA </w:t>
      </w:r>
      <w:proofErr w:type="spellStart"/>
      <w:r>
        <w:t>Edições</w:t>
      </w:r>
      <w:proofErr w:type="spellEnd"/>
      <w:r>
        <w:t xml:space="preserve">/PNCSA. </w:t>
      </w:r>
      <w:hyperlink r:id="rId42">
        <w:r>
          <w:rPr>
            <w:color w:val="0000FF"/>
            <w:u w:val="single"/>
          </w:rPr>
          <w:t>https://api.saudeindigena.icict.fiocruz.br/api/core/bitstreams/0b7f578b-43c5-41a9-be7a-70bbec208abc/content</w:t>
        </w:r>
      </w:hyperlink>
      <w:r>
        <w:t xml:space="preserve"> </w:t>
      </w:r>
    </w:p>
    <w:p w:rsidR="001B40A3" w:rsidRDefault="00461C36">
      <w:pPr>
        <w:keepNext/>
        <w:jc w:val="both"/>
      </w:pPr>
      <w:r>
        <w:t xml:space="preserve">[18] Gomes, </w:t>
      </w:r>
      <w:r>
        <w:t xml:space="preserve">T. P. O., &amp; dos Santos, D. E. L. (2022). Indigenous ethnocide, depression and suicide in originating people related to the Coronavirus pandemic. </w:t>
      </w:r>
      <w:proofErr w:type="spellStart"/>
      <w:r>
        <w:t>Braz</w:t>
      </w:r>
      <w:proofErr w:type="spellEnd"/>
      <w:r>
        <w:t xml:space="preserve"> J Dev, 8(10), 66295–66307.</w:t>
      </w:r>
      <w:hyperlink r:id="rId43">
        <w:r>
          <w:t xml:space="preserve"> https://doi.org/10.341</w:t>
        </w:r>
        <w:r>
          <w:t>17/bjdv8n10-198</w:t>
        </w:r>
      </w:hyperlink>
    </w:p>
    <w:p w:rsidR="001B40A3" w:rsidRDefault="00461C36">
      <w:pPr>
        <w:keepNext/>
        <w:jc w:val="both"/>
      </w:pPr>
      <w:r>
        <w:t xml:space="preserve">[19] Oliveira, J. M. A., </w:t>
      </w:r>
      <w:proofErr w:type="spellStart"/>
      <w:r>
        <w:t>Lacerda</w:t>
      </w:r>
      <w:proofErr w:type="spellEnd"/>
      <w:r>
        <w:t>, C. P., Nogueira, F. A. F., Cruz, C. B. A., Silva, G. C., Ferreira, S. T. S., et al. (2021). Indigenous peoples and COVID-19 in the Special Indigenous Health Districts (DSEIs) of Mato Grosso: An ecological s</w:t>
      </w:r>
      <w:r>
        <w:t>tudy. Res Soc Dev, 10(1), e46510111178.</w:t>
      </w:r>
      <w:hyperlink r:id="rId44">
        <w:r>
          <w:t xml:space="preserve"> </w:t>
        </w:r>
      </w:hyperlink>
      <w:r>
        <w:t xml:space="preserve"> </w:t>
      </w:r>
      <w:hyperlink r:id="rId45">
        <w:r>
          <w:rPr>
            <w:color w:val="0000FF"/>
            <w:u w:val="single"/>
          </w:rPr>
          <w:t>https://doi.org/10.33448/rsd-v10i1.11178</w:t>
        </w:r>
      </w:hyperlink>
      <w:r>
        <w:t xml:space="preserve"> </w:t>
      </w:r>
    </w:p>
    <w:p w:rsidR="001B40A3" w:rsidRDefault="00461C36">
      <w:pPr>
        <w:keepNext/>
        <w:jc w:val="both"/>
      </w:pPr>
      <w:r>
        <w:t xml:space="preserve">[20] Skinner, N. A., Sanders, K., Lopez, E., </w:t>
      </w:r>
      <w:proofErr w:type="spellStart"/>
      <w:r>
        <w:t>Sotz</w:t>
      </w:r>
      <w:proofErr w:type="spellEnd"/>
      <w:r>
        <w:t xml:space="preserve"> Mux</w:t>
      </w:r>
      <w:r>
        <w:t xml:space="preserve">, M. S., Miguel, L. A., </w:t>
      </w:r>
      <w:proofErr w:type="spellStart"/>
      <w:r>
        <w:t>Vosburg</w:t>
      </w:r>
      <w:proofErr w:type="spellEnd"/>
      <w:r>
        <w:t>, K. B., et al. (2023). Barriers to COVID-19 vaccine acceptance to improve messages for vaccine uptake in Indigenous populations in the Central Highlands of Guatemala: A participatory qualitative study. BMJ Open, 13(1), e0672</w:t>
      </w:r>
      <w:r>
        <w:t>10.</w:t>
      </w:r>
      <w:hyperlink r:id="rId46">
        <w:r>
          <w:t xml:space="preserve"> </w:t>
        </w:r>
      </w:hyperlink>
      <w:r>
        <w:t xml:space="preserve"> </w:t>
      </w:r>
      <w:hyperlink r:id="rId47">
        <w:r>
          <w:rPr>
            <w:color w:val="0000FF"/>
            <w:u w:val="single"/>
          </w:rPr>
          <w:t>https://doi.org/10.1136/bmjopen-2022-067210</w:t>
        </w:r>
      </w:hyperlink>
      <w:r>
        <w:t xml:space="preserve"> </w:t>
      </w:r>
    </w:p>
    <w:p w:rsidR="001B40A3" w:rsidRDefault="00461C36">
      <w:pPr>
        <w:keepNext/>
        <w:jc w:val="both"/>
      </w:pPr>
      <w:r>
        <w:t xml:space="preserve">[21] </w:t>
      </w:r>
      <w:proofErr w:type="spellStart"/>
      <w:r>
        <w:t>Labbé</w:t>
      </w:r>
      <w:proofErr w:type="spellEnd"/>
      <w:r>
        <w:t xml:space="preserve">, F., Lapointe, M., </w:t>
      </w:r>
      <w:proofErr w:type="spellStart"/>
      <w:r>
        <w:t>Dubé</w:t>
      </w:r>
      <w:proofErr w:type="spellEnd"/>
      <w:r>
        <w:t>, E., &amp; Fletcher, C. (2024). Perceptions of CO</w:t>
      </w:r>
      <w:r>
        <w:t xml:space="preserve">VID-19 vaccination and factors influencing COVID-19 vaccine acceptance among Indigenous </w:t>
      </w:r>
      <w:r>
        <w:lastRenderedPageBreak/>
        <w:t xml:space="preserve">peoples in Quebec, Canada: Insights from a Facebook posts and comments analysis. Hum </w:t>
      </w:r>
      <w:proofErr w:type="spellStart"/>
      <w:r>
        <w:t>Vaccin</w:t>
      </w:r>
      <w:proofErr w:type="spellEnd"/>
      <w:r>
        <w:t xml:space="preserve"> </w:t>
      </w:r>
      <w:proofErr w:type="spellStart"/>
      <w:r>
        <w:t>Immunother</w:t>
      </w:r>
      <w:proofErr w:type="spellEnd"/>
      <w:r>
        <w:t>, 20(1), 2397868.</w:t>
      </w:r>
      <w:hyperlink r:id="rId48">
        <w:r>
          <w:t xml:space="preserve"> </w:t>
        </w:r>
      </w:hyperlink>
      <w:r>
        <w:t xml:space="preserve"> </w:t>
      </w:r>
      <w:hyperlink r:id="rId49">
        <w:r>
          <w:rPr>
            <w:color w:val="0000FF"/>
            <w:u w:val="single"/>
          </w:rPr>
          <w:t>https://doi.org/10.1080/21645515.2024.2397868</w:t>
        </w:r>
      </w:hyperlink>
      <w:r>
        <w:t xml:space="preserve"> </w:t>
      </w:r>
    </w:p>
    <w:p w:rsidR="001B40A3" w:rsidRDefault="00461C36">
      <w:pPr>
        <w:keepNext/>
        <w:jc w:val="both"/>
      </w:pPr>
      <w:r>
        <w:t xml:space="preserve">  [22] Ellenwood, R., Boyd, A. D., &amp; </w:t>
      </w:r>
      <w:proofErr w:type="spellStart"/>
      <w:r>
        <w:t>Higheagle</w:t>
      </w:r>
      <w:proofErr w:type="spellEnd"/>
      <w:r>
        <w:t xml:space="preserve"> Strong, Z. (2023). Communication and perspectives about COVID-19 and vaccinations among Native Americans. Sci </w:t>
      </w:r>
      <w:proofErr w:type="spellStart"/>
      <w:r>
        <w:t>Commun</w:t>
      </w:r>
      <w:proofErr w:type="spellEnd"/>
      <w:r>
        <w:t>, 45(2), 172–194.</w:t>
      </w:r>
      <w:hyperlink r:id="rId50">
        <w:r>
          <w:t xml:space="preserve"> </w:t>
        </w:r>
      </w:hyperlink>
      <w:r>
        <w:t xml:space="preserve"> </w:t>
      </w:r>
      <w:hyperlink r:id="rId51">
        <w:r>
          <w:rPr>
            <w:color w:val="0000FF"/>
            <w:u w:val="single"/>
          </w:rPr>
          <w:t>https://doi.org/10.1177/10755470221151184</w:t>
        </w:r>
      </w:hyperlink>
      <w:r>
        <w:t xml:space="preserve"> </w:t>
      </w:r>
    </w:p>
    <w:p w:rsidR="001B40A3" w:rsidRDefault="00461C36">
      <w:pPr>
        <w:keepNext/>
        <w:jc w:val="both"/>
      </w:pPr>
      <w:r>
        <w:t xml:space="preserve">[23] Moura, A. D. M., </w:t>
      </w:r>
      <w:proofErr w:type="spellStart"/>
      <w:r>
        <w:t>Boaventura</w:t>
      </w:r>
      <w:proofErr w:type="spellEnd"/>
      <w:r>
        <w:t xml:space="preserve">, L. C. L., &amp; Neves, R. C. M. (2021). Indigenous peoples in Rio Grande do Norte, rights and actions in times of COVID-19. </w:t>
      </w:r>
      <w:proofErr w:type="spellStart"/>
      <w:r>
        <w:t>Espaco</w:t>
      </w:r>
      <w:proofErr w:type="spellEnd"/>
      <w:r>
        <w:t xml:space="preserve"> </w:t>
      </w:r>
      <w:proofErr w:type="spellStart"/>
      <w:r>
        <w:t>Amer</w:t>
      </w:r>
      <w:r>
        <w:t>indio</w:t>
      </w:r>
      <w:proofErr w:type="spellEnd"/>
      <w:r>
        <w:t>, 15(2), 119–145.</w:t>
      </w:r>
      <w:hyperlink r:id="rId52">
        <w:r>
          <w:t xml:space="preserve"> </w:t>
        </w:r>
      </w:hyperlink>
      <w:r>
        <w:t xml:space="preserve"> </w:t>
      </w:r>
      <w:hyperlink r:id="rId53">
        <w:r>
          <w:rPr>
            <w:color w:val="0000FF"/>
            <w:u w:val="single"/>
          </w:rPr>
          <w:t>https://doi.org/10.22456/1982-6524.117951</w:t>
        </w:r>
      </w:hyperlink>
      <w:r>
        <w:t xml:space="preserve"> </w:t>
      </w:r>
    </w:p>
    <w:p w:rsidR="001B40A3" w:rsidRDefault="00461C36">
      <w:pPr>
        <w:keepNext/>
        <w:jc w:val="both"/>
      </w:pPr>
      <w:r>
        <w:t xml:space="preserve">[24] </w:t>
      </w:r>
      <w:proofErr w:type="spellStart"/>
      <w:r>
        <w:t>Croda</w:t>
      </w:r>
      <w:proofErr w:type="spellEnd"/>
      <w:r>
        <w:t xml:space="preserve">, M. G., Barbosa, M. S., </w:t>
      </w:r>
      <w:proofErr w:type="spellStart"/>
      <w:r>
        <w:t>Marchioro</w:t>
      </w:r>
      <w:proofErr w:type="spellEnd"/>
      <w:r>
        <w:t xml:space="preserve">, S. B., do Nascimento, D. D. G., Melo, E. C. P., Cruz, O. G., et al. (2022). The first year of the COVID-19 pandemic in an Indigenous population in Brazil: An epidemiological study. Rev Inst Med Trop Sao Paulo, </w:t>
      </w:r>
      <w:r>
        <w:t>64, e69.</w:t>
      </w:r>
      <w:hyperlink r:id="rId54">
        <w:r>
          <w:t xml:space="preserve"> </w:t>
        </w:r>
      </w:hyperlink>
      <w:r>
        <w:t xml:space="preserve"> </w:t>
      </w:r>
      <w:hyperlink r:id="rId55">
        <w:r>
          <w:rPr>
            <w:color w:val="0000FF"/>
            <w:u w:val="single"/>
          </w:rPr>
          <w:t>https://doi.org/10.1590/S1678-9946202264069</w:t>
        </w:r>
      </w:hyperlink>
      <w:r>
        <w:t xml:space="preserve"> </w:t>
      </w:r>
    </w:p>
    <w:p w:rsidR="001B40A3" w:rsidRDefault="00461C36">
      <w:pPr>
        <w:keepNext/>
        <w:jc w:val="both"/>
        <w:rPr>
          <w:rFonts w:ascii="Arial" w:eastAsia="Arial" w:hAnsi="Arial" w:cs="Arial"/>
          <w:smallCaps/>
          <w:sz w:val="22"/>
          <w:szCs w:val="22"/>
        </w:rPr>
        <w:sectPr w:rsidR="001B40A3">
          <w:headerReference w:type="even" r:id="rId56"/>
          <w:headerReference w:type="default" r:id="rId57"/>
          <w:footerReference w:type="default" r:id="rId58"/>
          <w:headerReference w:type="first" r:id="rId59"/>
          <w:type w:val="continuous"/>
          <w:pgSz w:w="12240" w:h="15840"/>
          <w:pgMar w:top="1440" w:right="2016" w:bottom="2016" w:left="2016" w:header="720" w:footer="1123" w:gutter="0"/>
          <w:cols w:space="720"/>
        </w:sectPr>
      </w:pPr>
      <w:r>
        <w:t>[25] Nascimento, L. M. D., Araújo, A. C. M., de Souza, P.</w:t>
      </w:r>
      <w:r>
        <w:t xml:space="preserve"> C. A., </w:t>
      </w:r>
      <w:proofErr w:type="spellStart"/>
      <w:r>
        <w:t>Matozinhos</w:t>
      </w:r>
      <w:proofErr w:type="spellEnd"/>
      <w:r>
        <w:t xml:space="preserve">, F. P., da Silva, T. P. R., &amp; Fernandes, E. G. (2024). Strategy of the Ministry of Health of Brazil to increase vaccination coverage in border areas. Rev </w:t>
      </w:r>
      <w:proofErr w:type="spellStart"/>
      <w:r>
        <w:t>Panam</w:t>
      </w:r>
      <w:proofErr w:type="spellEnd"/>
      <w:r>
        <w:t xml:space="preserve"> </w:t>
      </w:r>
      <w:proofErr w:type="spellStart"/>
      <w:r>
        <w:t>Salud</w:t>
      </w:r>
      <w:proofErr w:type="spellEnd"/>
      <w:r>
        <w:t xml:space="preserve"> Publica, 48, e31.</w:t>
      </w:r>
      <w:hyperlink r:id="rId60">
        <w:r>
          <w:t xml:space="preserve"> https://doi.org/10.26633/RPSP.2024.31</w:t>
        </w:r>
      </w:hyperlink>
    </w:p>
    <w:p w:rsidR="001B40A3" w:rsidRDefault="001B40A3">
      <w:pPr>
        <w:keepNext/>
        <w:pBdr>
          <w:top w:val="nil"/>
          <w:left w:val="nil"/>
          <w:bottom w:val="nil"/>
          <w:right w:val="nil"/>
          <w:between w:val="nil"/>
        </w:pBdr>
        <w:jc w:val="both"/>
        <w:rPr>
          <w:rFonts w:ascii="Arial" w:eastAsia="Arial" w:hAnsi="Arial" w:cs="Arial"/>
          <w:smallCaps/>
          <w:color w:val="000000"/>
          <w:sz w:val="22"/>
          <w:szCs w:val="22"/>
        </w:rPr>
      </w:pPr>
    </w:p>
    <w:sectPr w:rsidR="001B40A3">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C36" w:rsidRDefault="00461C36">
      <w:r>
        <w:separator/>
      </w:r>
    </w:p>
  </w:endnote>
  <w:endnote w:type="continuationSeparator" w:id="0">
    <w:p w:rsidR="00461C36" w:rsidRDefault="0046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A3D5B64C-72BE-43E6-A22F-227A435BBD7F}"/>
    <w:embedBold r:id="rId2" w:fontKey="{1902BE27-DCF0-4DF7-BFA8-F3BF96069F4B}"/>
    <w:embedItalic r:id="rId3" w:fontKey="{A3B86EF3-21C2-46C3-BA4F-1E78F72FCFB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9C124E5-2228-4141-A9B7-C43ED6C9C031}"/>
  </w:font>
  <w:font w:name="Calibri">
    <w:panose1 w:val="020F0502020204030204"/>
    <w:charset w:val="00"/>
    <w:family w:val="swiss"/>
    <w:pitch w:val="variable"/>
    <w:sig w:usb0="E4002EFF" w:usb1="C200247B" w:usb2="00000009" w:usb3="00000000" w:csb0="000001FF" w:csb1="00000000"/>
    <w:embedRegular r:id="rId5" w:fontKey="{5765F1EA-C866-4778-AABA-00B9B06FF855}"/>
  </w:font>
  <w:font w:name="Cambria">
    <w:panose1 w:val="02040503050406030204"/>
    <w:charset w:val="00"/>
    <w:family w:val="roman"/>
    <w:pitch w:val="variable"/>
    <w:sig w:usb0="E00006FF" w:usb1="420024FF" w:usb2="02000000" w:usb3="00000000" w:csb0="0000019F" w:csb1="00000000"/>
    <w:embedRegular r:id="rId6" w:fontKey="{9EEF5F16-F69B-42CC-B891-3091692309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1B40A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1B40A3">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1B40A3">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1B40A3">
    <w:pPr>
      <w:spacing w:before="240" w:after="240"/>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C36" w:rsidRDefault="00461C36">
      <w:r>
        <w:separator/>
      </w:r>
    </w:p>
  </w:footnote>
  <w:footnote w:type="continuationSeparator" w:id="0">
    <w:p w:rsidR="00461C36" w:rsidRDefault="00461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461C36">
    <w:pPr>
      <w:pBdr>
        <w:top w:val="nil"/>
        <w:left w:val="nil"/>
        <w:bottom w:val="nil"/>
        <w:right w:val="nil"/>
        <w:between w:val="nil"/>
      </w:pBdr>
      <w:tabs>
        <w:tab w:val="center" w:pos="4320"/>
        <w:tab w:val="right" w:pos="8640"/>
      </w:tabs>
      <w:rPr>
        <w:color w:val="000000"/>
      </w:rPr>
    </w:pPr>
    <w:r>
      <w:pict w14:anchorId="6D491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461C36">
    <w:pPr>
      <w:pBdr>
        <w:top w:val="nil"/>
        <w:left w:val="nil"/>
        <w:bottom w:val="nil"/>
        <w:right w:val="nil"/>
        <w:between w:val="nil"/>
      </w:pBdr>
      <w:tabs>
        <w:tab w:val="center" w:pos="4320"/>
        <w:tab w:val="right" w:pos="8640"/>
      </w:tabs>
      <w:rPr>
        <w:color w:val="000000"/>
      </w:rPr>
    </w:pPr>
    <w:r>
      <w:pict w14:anchorId="42DD80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461C36">
    <w:pPr>
      <w:ind w:left="2160"/>
      <w:jc w:val="center"/>
      <w:rPr>
        <w:rFonts w:ascii="Times New Roman" w:eastAsia="Times New Roman" w:hAnsi="Times New Roman" w:cs="Times New Roman"/>
        <w:i/>
        <w:iCs/>
        <w:sz w:val="18"/>
        <w:szCs w:val="18"/>
      </w:rPr>
    </w:pPr>
    <w:r>
      <w:pict w14:anchorId="09750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1B40A3" w:rsidRDefault="00461C36">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B40A3" w:rsidRDefault="00461C3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1B40A3" w:rsidRDefault="00461C36">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1B40A3" w:rsidRDefault="00461C3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B40A3" w:rsidRDefault="00461C36">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1B40A3" w:rsidRDefault="00461C3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461C36">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461C36">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0A3" w:rsidRDefault="00461C36">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C52AB"/>
    <w:multiLevelType w:val="multilevel"/>
    <w:tmpl w:val="583EC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66B52"/>
    <w:multiLevelType w:val="multilevel"/>
    <w:tmpl w:val="F0742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C163AD"/>
    <w:multiLevelType w:val="multilevel"/>
    <w:tmpl w:val="706C4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EC643A"/>
    <w:multiLevelType w:val="multilevel"/>
    <w:tmpl w:val="88A47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104500"/>
    <w:multiLevelType w:val="multilevel"/>
    <w:tmpl w:val="B9266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D8101D"/>
    <w:multiLevelType w:val="multilevel"/>
    <w:tmpl w:val="AFB66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4272AA"/>
    <w:multiLevelType w:val="multilevel"/>
    <w:tmpl w:val="79A8B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6C4965"/>
    <w:multiLevelType w:val="multilevel"/>
    <w:tmpl w:val="BBD8D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6"/>
  </w:num>
  <w:num w:numId="4">
    <w:abstractNumId w:val="2"/>
  </w:num>
  <w:num w:numId="5">
    <w:abstractNumId w:val="5"/>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0A3"/>
    <w:rsid w:val="001B40A3"/>
    <w:rsid w:val="00461C36"/>
    <w:rsid w:val="00516458"/>
    <w:rsid w:val="00A963DB"/>
    <w:rsid w:val="00C23FBC"/>
    <w:rsid w:val="00C73E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E609BD4"/>
  <w15:docId w15:val="{DAC0D990-B0E9-4CF7-AB31-62B4137C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character" w:styleId="LineNumber">
    <w:name w:val="line number"/>
    <w:basedOn w:val="DefaultParagraphFont"/>
    <w:uiPriority w:val="99"/>
    <w:semiHidden/>
    <w:unhideWhenUsed/>
    <w:rsid w:val="008728F6"/>
  </w:style>
  <w:style w:type="paragraph" w:styleId="Footer">
    <w:name w:val="footer"/>
    <w:basedOn w:val="Normal"/>
    <w:link w:val="FooterChar"/>
    <w:uiPriority w:val="99"/>
    <w:unhideWhenUsed/>
    <w:rsid w:val="00B81634"/>
    <w:pPr>
      <w:tabs>
        <w:tab w:val="center" w:pos="4513"/>
        <w:tab w:val="right" w:pos="9026"/>
      </w:tabs>
    </w:pPr>
  </w:style>
  <w:style w:type="character" w:customStyle="1" w:styleId="FooterChar">
    <w:name w:val="Footer Char"/>
    <w:basedOn w:val="DefaultParagraphFont"/>
    <w:link w:val="Footer"/>
    <w:uiPriority w:val="99"/>
    <w:rsid w:val="00B81634"/>
  </w:style>
  <w:style w:type="character" w:styleId="Hyperlink">
    <w:name w:val="Hyperlink"/>
    <w:basedOn w:val="DefaultParagraphFont"/>
    <w:uiPriority w:val="99"/>
    <w:unhideWhenUsed/>
    <w:rsid w:val="00B81634"/>
    <w:rPr>
      <w:color w:val="0000FF" w:themeColor="hyperlink"/>
      <w:u w:val="single"/>
    </w:rPr>
  </w:style>
  <w:style w:type="character" w:styleId="UnresolvedMention">
    <w:name w:val="Unresolved Mention"/>
    <w:basedOn w:val="DefaultParagraphFont"/>
    <w:uiPriority w:val="99"/>
    <w:semiHidden/>
    <w:unhideWhenUsed/>
    <w:rsid w:val="00B81634"/>
    <w:rPr>
      <w:color w:val="605E5C"/>
      <w:shd w:val="clear" w:color="auto" w:fill="E1DFDD"/>
    </w:rPr>
  </w:style>
  <w:style w:type="paragraph" w:styleId="Header">
    <w:name w:val="header"/>
    <w:basedOn w:val="Normal"/>
    <w:link w:val="HeaderChar"/>
    <w:uiPriority w:val="99"/>
    <w:unhideWhenUsed/>
    <w:rsid w:val="00B11286"/>
    <w:pPr>
      <w:tabs>
        <w:tab w:val="center" w:pos="4680"/>
        <w:tab w:val="right" w:pos="9360"/>
      </w:tabs>
    </w:pPr>
  </w:style>
  <w:style w:type="character" w:customStyle="1" w:styleId="HeaderChar">
    <w:name w:val="Header Char"/>
    <w:basedOn w:val="DefaultParagraphFont"/>
    <w:link w:val="Header"/>
    <w:uiPriority w:val="99"/>
    <w:rsid w:val="00B1128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enso2010.ibge.gov.br/" TargetMode="External"/><Relationship Id="rId26" Type="http://schemas.openxmlformats.org/officeDocument/2006/relationships/hyperlink" Target="https://iris.who.int/handle/10665/352898" TargetMode="External"/><Relationship Id="rId39" Type="http://schemas.openxmlformats.org/officeDocument/2006/relationships/hyperlink" Target="https://doi.org/10.1186/s12889-023-16196-4" TargetMode="External"/><Relationship Id="rId21" Type="http://schemas.openxmlformats.org/officeDocument/2006/relationships/hyperlink" Target="https://terrasindigenas.org.br/" TargetMode="External"/><Relationship Id="rId34" Type="http://schemas.openxmlformats.org/officeDocument/2006/relationships/hyperlink" Target="https://doi.org/10.5334/aogh.3182" TargetMode="External"/><Relationship Id="rId42" Type="http://schemas.openxmlformats.org/officeDocument/2006/relationships/hyperlink" Target="https://api.saudeindigena.icict.fiocruz.br/api/core/bitstreams/0b7f578b-43c5-41a9-be7a-70bbec208abc/content" TargetMode="External"/><Relationship Id="rId47" Type="http://schemas.openxmlformats.org/officeDocument/2006/relationships/hyperlink" Target="https://doi.org/10.1136/bmjopen-2022-067210" TargetMode="External"/><Relationship Id="rId50" Type="http://schemas.openxmlformats.org/officeDocument/2006/relationships/hyperlink" Target="https://doi.org/10.1177/10755470221151184" TargetMode="External"/><Relationship Id="rId55" Type="http://schemas.openxmlformats.org/officeDocument/2006/relationships/hyperlink" Target="https://doi.org/10.1590/S1678-994620226406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enso2022.ibge.gov.br/panorama/indicadores.html?localidade=BR" TargetMode="External"/><Relationship Id="rId29" Type="http://schemas.openxmlformats.org/officeDocument/2006/relationships/hyperlink" Target="https://doi.org/10.26633/RPSP.2018.184" TargetMode="External"/><Relationship Id="rId11" Type="http://schemas.openxmlformats.org/officeDocument/2006/relationships/footer" Target="footer2.xml"/><Relationship Id="rId24" Type="http://schemas.openxmlformats.org/officeDocument/2006/relationships/hyperlink" Target="https://doi.org/10.1590/10.1590/0102-311X00015017" TargetMode="External"/><Relationship Id="rId32" Type="http://schemas.openxmlformats.org/officeDocument/2006/relationships/hyperlink" Target="https://www.ncbi.nlm.nih.gov/books/NBK537302/" TargetMode="External"/><Relationship Id="rId37" Type="http://schemas.openxmlformats.org/officeDocument/2006/relationships/hyperlink" Target="https://doi.org/10.1038/d41586-021-00689-6" TargetMode="External"/><Relationship Id="rId40" Type="http://schemas.openxmlformats.org/officeDocument/2006/relationships/hyperlink" Target="https://doi.org/10.1186/s12879-022-07449-5" TargetMode="External"/><Relationship Id="rId45" Type="http://schemas.openxmlformats.org/officeDocument/2006/relationships/hyperlink" Target="https://doi.org/10.33448/rsd-v10i1.11178" TargetMode="External"/><Relationship Id="rId53" Type="http://schemas.openxmlformats.org/officeDocument/2006/relationships/hyperlink" Target="https://doi.org/10.22456/1982-6524.117951" TargetMode="Externa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enso2010.ibge.gov.br/" TargetMode="External"/><Relationship Id="rId14" Type="http://schemas.openxmlformats.org/officeDocument/2006/relationships/image" Target="media/image2.png"/><Relationship Id="rId22" Type="http://schemas.openxmlformats.org/officeDocument/2006/relationships/hyperlink" Target="https://www.scielo.br/j/csp/a/XyY7zW8xY9zXwY7zXwY7zXw/" TargetMode="External"/><Relationship Id="rId27" Type="http://schemas.openxmlformats.org/officeDocument/2006/relationships/hyperlink" Target="https://iris.who.int/handle/10665/352898" TargetMode="External"/><Relationship Id="rId30" Type="http://schemas.openxmlformats.org/officeDocument/2006/relationships/hyperlink" Target="https://infoms.saude.gov.br/content/Default/Informe%20vacinacao%20covid%202024_final_29dez23.pdf" TargetMode="External"/><Relationship Id="rId35" Type="http://schemas.openxmlformats.org/officeDocument/2006/relationships/hyperlink" Target="https://doi.org/10.5334/aogh.3182" TargetMode="External"/><Relationship Id="rId43" Type="http://schemas.openxmlformats.org/officeDocument/2006/relationships/hyperlink" Target="https://doi.org/10.34117/bjdv8n10-198" TargetMode="External"/><Relationship Id="rId48" Type="http://schemas.openxmlformats.org/officeDocument/2006/relationships/hyperlink" Target="https://doi.org/10.1080/21645515.2024.2397868"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1177/1075547022115118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enso2022.ibge.gov.br/panorama/indicadores.html?localidade=BR" TargetMode="External"/><Relationship Id="rId25" Type="http://schemas.openxmlformats.org/officeDocument/2006/relationships/hyperlink" Target="https://doi.org/10.1136/bmjopen-2021-054271" TargetMode="External"/><Relationship Id="rId33" Type="http://schemas.openxmlformats.org/officeDocument/2006/relationships/hyperlink" Target="https://doi.org/10.11124/JBIES-20-00167" TargetMode="External"/><Relationship Id="rId38" Type="http://schemas.openxmlformats.org/officeDocument/2006/relationships/hyperlink" Target="https://doi.org/10.1186/s12889-023-16196-4" TargetMode="External"/><Relationship Id="rId46" Type="http://schemas.openxmlformats.org/officeDocument/2006/relationships/hyperlink" Target="https://doi.org/10.1136/bmjopen-2022-067210" TargetMode="External"/><Relationship Id="rId59" Type="http://schemas.openxmlformats.org/officeDocument/2006/relationships/header" Target="header6.xml"/><Relationship Id="rId20" Type="http://schemas.openxmlformats.org/officeDocument/2006/relationships/hyperlink" Target="https://terrasindigenas.org.br/" TargetMode="External"/><Relationship Id="rId41" Type="http://schemas.openxmlformats.org/officeDocument/2006/relationships/hyperlink" Target="https://repositorio.ufpa.br/jspui/handle/2011/16329" TargetMode="External"/><Relationship Id="rId54" Type="http://schemas.openxmlformats.org/officeDocument/2006/relationships/hyperlink" Target="https://doi.org/10.1590/S1678-994620226406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s://doi.org/10.1590/10.1590/0102-311X00015017" TargetMode="External"/><Relationship Id="rId28" Type="http://schemas.openxmlformats.org/officeDocument/2006/relationships/hyperlink" Target="https://doi.org/10.26633/RPSP.2018.184" TargetMode="External"/><Relationship Id="rId36" Type="http://schemas.openxmlformats.org/officeDocument/2006/relationships/hyperlink" Target="https://doi.org/10.1038/d41586-021-00696-2" TargetMode="External"/><Relationship Id="rId49" Type="http://schemas.openxmlformats.org/officeDocument/2006/relationships/hyperlink" Target="https://doi.org/10.1080/21645515.2024.2397868"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infoms.saude.gov.br/content/Default/Informe%20vacinacao%20covid%202024_final_29dez23.pdf" TargetMode="External"/><Relationship Id="rId44" Type="http://schemas.openxmlformats.org/officeDocument/2006/relationships/hyperlink" Target="https://doi.org/10.33448/rsd-v10i1.11178" TargetMode="External"/><Relationship Id="rId52" Type="http://schemas.openxmlformats.org/officeDocument/2006/relationships/hyperlink" Target="https://doi.org/10.22456/1982-6524.117951" TargetMode="External"/><Relationship Id="rId60" Type="http://schemas.openxmlformats.org/officeDocument/2006/relationships/hyperlink" Target="https://doi.org/10.26633/RPSP.2024.31"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rkWTRb4WW6/9Tzw3NxtdOIKxA==">CgMxLjAyDmguN2FwaHM1OWtxNHFiMg5oLjJ6cHFkNjRtYnQ1eDIOaC42NHh1cDlxemg1N3U4AHIhMTkwM1ZuWGlnZ1pUYlRubVhsWnpRTjVCMXVJZ3NkR2lE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6300</Words>
  <Characters>35916</Characters>
  <Application>Microsoft Office Word</Application>
  <DocSecurity>0</DocSecurity>
  <Lines>299</Lines>
  <Paragraphs>84</Paragraphs>
  <ScaleCrop>false</ScaleCrop>
  <Company/>
  <LinksUpToDate>false</LinksUpToDate>
  <CharactersWithSpaces>42132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2025-11-27T12:32:00Z</dcterms:created>
  <dcterms:modified xsi:type="dcterms:W3CDTF">2025-12-08T09:28:00Z</dcterms:modified>
</cp:coreProperties>
</file>