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50D0C" w14:textId="77777777" w:rsidR="009960F9" w:rsidRDefault="009960F9" w:rsidP="00612B51">
      <w:pPr>
        <w:jc w:val="center"/>
        <w:rPr>
          <w:rFonts w:ascii="Times New Roman" w:hAnsi="Times New Roman" w:cs="Times New Roman"/>
          <w:b/>
          <w:bCs/>
          <w:sz w:val="20"/>
          <w:szCs w:val="20"/>
        </w:rPr>
      </w:pPr>
      <w:bookmarkStart w:id="0" w:name="_Hlk213756905"/>
    </w:p>
    <w:p w14:paraId="40114A33" w14:textId="77777777" w:rsidR="009960F9" w:rsidRDefault="009960F9" w:rsidP="00612B51">
      <w:pPr>
        <w:jc w:val="center"/>
        <w:rPr>
          <w:rFonts w:ascii="Times New Roman" w:hAnsi="Times New Roman" w:cs="Times New Roman"/>
          <w:b/>
          <w:bCs/>
          <w:sz w:val="20"/>
          <w:szCs w:val="20"/>
        </w:rPr>
      </w:pPr>
    </w:p>
    <w:p w14:paraId="6A0833D1" w14:textId="1EB27A7A" w:rsidR="00695527" w:rsidRPr="00DA4677" w:rsidRDefault="001D4AFD" w:rsidP="00612B51">
      <w:pPr>
        <w:jc w:val="center"/>
        <w:rPr>
          <w:rFonts w:ascii="Times New Roman" w:hAnsi="Times New Roman" w:cs="Times New Roman"/>
          <w:b/>
          <w:bCs/>
          <w:sz w:val="20"/>
          <w:szCs w:val="20"/>
        </w:rPr>
      </w:pPr>
      <w:r w:rsidRPr="00DA4677">
        <w:rPr>
          <w:rFonts w:ascii="Times New Roman" w:hAnsi="Times New Roman" w:cs="Times New Roman"/>
          <w:b/>
          <w:bCs/>
          <w:sz w:val="20"/>
          <w:szCs w:val="20"/>
        </w:rPr>
        <w:t xml:space="preserve">Nonlinear Cox Survival Modeling of Prostate Cancer with SHAP-Based </w:t>
      </w:r>
      <w:proofErr w:type="spellStart"/>
      <w:r w:rsidRPr="00DA4677">
        <w:rPr>
          <w:rFonts w:ascii="Times New Roman" w:hAnsi="Times New Roman" w:cs="Times New Roman"/>
          <w:b/>
          <w:bCs/>
          <w:sz w:val="20"/>
          <w:szCs w:val="20"/>
        </w:rPr>
        <w:t>Explainability</w:t>
      </w:r>
      <w:proofErr w:type="spellEnd"/>
    </w:p>
    <w:p w14:paraId="641F7C13" w14:textId="77777777" w:rsidR="00612B51" w:rsidRPr="00DA4677" w:rsidRDefault="001D4AFD" w:rsidP="00612B51">
      <w:pPr>
        <w:spacing w:before="100" w:beforeAutospacing="1" w:after="100" w:afterAutospacing="1" w:line="240" w:lineRule="auto"/>
        <w:outlineLvl w:val="2"/>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Abstract</w:t>
      </w:r>
    </w:p>
    <w:p w14:paraId="26E7DF30" w14:textId="77777777" w:rsidR="00612B51" w:rsidRPr="00DA4677" w:rsidRDefault="001D4AFD" w:rsidP="00612B51">
      <w:pPr>
        <w:spacing w:before="100" w:beforeAutospacing="1" w:after="100" w:afterAutospacing="1" w:line="240" w:lineRule="auto"/>
        <w:jc w:val="both"/>
        <w:rPr>
          <w:rFonts w:ascii="Times New Roman" w:eastAsia="Times New Roman" w:hAnsi="Times New Roman" w:cs="Times New Roman"/>
          <w:b/>
          <w:bCs/>
          <w:kern w:val="0"/>
          <w:sz w:val="20"/>
          <w:szCs w:val="20"/>
          <w:lang w:eastAsia=""/>
          <w14:ligatures w14:val="none"/>
        </w:rPr>
      </w:pPr>
      <w:r w:rsidRPr="00DA4677">
        <w:rPr>
          <w:rFonts w:ascii="Times New Roman" w:hAnsi="Times New Roman" w:cs="Times New Roman"/>
          <w:b/>
          <w:bCs/>
          <w:sz w:val="20"/>
          <w:szCs w:val="20"/>
        </w:rPr>
        <w:t>Background</w:t>
      </w:r>
      <w:r w:rsidRPr="00DA4677">
        <w:rPr>
          <w:rFonts w:ascii="Times New Roman" w:hAnsi="Times New Roman" w:cs="Times New Roman"/>
          <w:sz w:val="20"/>
          <w:szCs w:val="20"/>
        </w:rPr>
        <w:t xml:space="preserve">: Prostate cancer </w:t>
      </w:r>
      <w:r w:rsidRPr="00DA4677">
        <w:rPr>
          <w:rFonts w:ascii="Times New Roman" w:eastAsia="Calibri" w:hAnsi="Times New Roman" w:cs="Times New Roman"/>
          <w:sz w:val="20"/>
          <w:szCs w:val="20"/>
        </w:rPr>
        <w:t>is</w:t>
      </w:r>
      <w:r w:rsidRPr="00DA4677">
        <w:rPr>
          <w:rFonts w:ascii="Times New Roman" w:hAnsi="Times New Roman" w:cs="Times New Roman"/>
          <w:sz w:val="20"/>
          <w:szCs w:val="20"/>
        </w:rPr>
        <w:t xml:space="preserve"> a leading cause of cancer-related morbidity and mortality among Ghanaian men, with a predominance of advanced-stage presentations attributable to limited screening and delayed diagnosis. Traditional Cox proportional hazards models commonly presuppose linear relationships and may inadequately capture intricate biological patterns. This study employed a Cox proportional hazards framework augmented with restricted cubic splines (</w:t>
      </w:r>
      <w:r w:rsidRPr="00DA4677">
        <w:rPr>
          <w:rFonts w:ascii="Times New Roman" w:eastAsia="Calibri" w:hAnsi="Times New Roman" w:cs="Times New Roman"/>
          <w:sz w:val="20"/>
          <w:szCs w:val="20"/>
        </w:rPr>
        <w:t>RCSs</w:t>
      </w:r>
      <w:r w:rsidRPr="00DA4677">
        <w:rPr>
          <w:rFonts w:ascii="Times New Roman" w:hAnsi="Times New Roman" w:cs="Times New Roman"/>
          <w:sz w:val="20"/>
          <w:szCs w:val="20"/>
        </w:rPr>
        <w:t xml:space="preserve">) and </w:t>
      </w:r>
      <w:r w:rsidRPr="00DA4677">
        <w:rPr>
          <w:rFonts w:ascii="Times New Roman" w:eastAsia="Calibri" w:hAnsi="Times New Roman" w:cs="Times New Roman"/>
          <w:sz w:val="20"/>
          <w:szCs w:val="20"/>
        </w:rPr>
        <w:t>SHAPs</w:t>
      </w:r>
      <w:r w:rsidRPr="00DA4677">
        <w:rPr>
          <w:rFonts w:ascii="Times New Roman" w:hAnsi="Times New Roman" w:cs="Times New Roman"/>
          <w:sz w:val="20"/>
          <w:szCs w:val="20"/>
        </w:rPr>
        <w:t xml:space="preserve"> (</w:t>
      </w:r>
      <w:proofErr w:type="spellStart"/>
      <w:r w:rsidRPr="00DA4677">
        <w:rPr>
          <w:rFonts w:ascii="Times New Roman" w:hAnsi="Times New Roman" w:cs="Times New Roman"/>
          <w:sz w:val="20"/>
          <w:szCs w:val="20"/>
        </w:rPr>
        <w:t>SHapley</w:t>
      </w:r>
      <w:proofErr w:type="spellEnd"/>
      <w:r w:rsidRPr="00DA4677">
        <w:rPr>
          <w:rFonts w:ascii="Times New Roman" w:hAnsi="Times New Roman" w:cs="Times New Roman"/>
          <w:sz w:val="20"/>
          <w:szCs w:val="20"/>
        </w:rPr>
        <w:t xml:space="preserve"> Additive </w:t>
      </w:r>
      <w:proofErr w:type="spellStart"/>
      <w:r w:rsidRPr="00DA4677">
        <w:rPr>
          <w:rFonts w:ascii="Times New Roman" w:hAnsi="Times New Roman" w:cs="Times New Roman"/>
          <w:sz w:val="20"/>
          <w:szCs w:val="20"/>
        </w:rPr>
        <w:t>exPlanations</w:t>
      </w:r>
      <w:proofErr w:type="spellEnd"/>
      <w:r w:rsidRPr="00DA4677">
        <w:rPr>
          <w:rFonts w:ascii="Times New Roman" w:hAnsi="Times New Roman" w:cs="Times New Roman"/>
          <w:sz w:val="20"/>
          <w:szCs w:val="20"/>
        </w:rPr>
        <w:t>) to elucidate nonlinear and individualized determinants of prostate cancer survival.</w:t>
      </w:r>
    </w:p>
    <w:p w14:paraId="2869F8B3" w14:textId="2E3A9A53" w:rsidR="00612B51" w:rsidRPr="00780E21" w:rsidRDefault="001D4AFD" w:rsidP="00612B51">
      <w:pPr>
        <w:spacing w:before="100" w:beforeAutospacing="1" w:after="100" w:afterAutospacing="1" w:line="240" w:lineRule="auto"/>
        <w:jc w:val="both"/>
        <w:rPr>
          <w:rFonts w:ascii="Times New Roman" w:eastAsia="Times New Roman" w:hAnsi="Times New Roman" w:cs="Times New Roman"/>
          <w:b/>
          <w:bCs/>
          <w:kern w:val="0"/>
          <w:sz w:val="20"/>
          <w:szCs w:val="20"/>
          <w:lang w:eastAsia=""/>
          <w14:ligatures w14:val="none"/>
        </w:rPr>
      </w:pPr>
      <w:r w:rsidRPr="00DA4677">
        <w:rPr>
          <w:rFonts w:ascii="Times New Roman" w:hAnsi="Times New Roman" w:cs="Times New Roman"/>
          <w:b/>
          <w:bCs/>
          <w:sz w:val="20"/>
          <w:szCs w:val="20"/>
        </w:rPr>
        <w:t>Method:</w:t>
      </w:r>
      <w:r w:rsidRPr="00DA4677">
        <w:rPr>
          <w:rFonts w:ascii="Times New Roman" w:hAnsi="Times New Roman" w:cs="Times New Roman"/>
          <w:sz w:val="20"/>
          <w:szCs w:val="20"/>
        </w:rPr>
        <w:t xml:space="preserve"> A retrospective cohort of 300 men with histologically confirmed prostate cancer treated at Korle Bu Teaching Hospital between 2015 and 2020 was analyzed. </w:t>
      </w:r>
      <w:r w:rsidRPr="00DA4677">
        <w:rPr>
          <w:rFonts w:ascii="Times New Roman" w:eastAsia="Calibri" w:hAnsi="Times New Roman" w:cs="Times New Roman"/>
          <w:sz w:val="20"/>
          <w:szCs w:val="20"/>
        </w:rPr>
        <w:t>The candidate</w:t>
      </w:r>
      <w:r w:rsidRPr="00DA4677">
        <w:rPr>
          <w:rFonts w:ascii="Times New Roman" w:hAnsi="Times New Roman" w:cs="Times New Roman"/>
          <w:sz w:val="20"/>
          <w:szCs w:val="20"/>
        </w:rPr>
        <w:t xml:space="preserve"> predictor variables included age, tumor size, prostate-specific antigen (PSA) level, Gleason score, clinical stage, lymph node involvement, and treatment </w:t>
      </w:r>
      <w:r w:rsidRPr="00DA4677">
        <w:rPr>
          <w:rFonts w:ascii="Times New Roman" w:eastAsia="Calibri" w:hAnsi="Times New Roman" w:cs="Times New Roman"/>
          <w:sz w:val="20"/>
          <w:szCs w:val="20"/>
        </w:rPr>
        <w:t>modality</w:t>
      </w:r>
      <w:r w:rsidRPr="00DA4677">
        <w:rPr>
          <w:rFonts w:ascii="Times New Roman" w:hAnsi="Times New Roman" w:cs="Times New Roman"/>
          <w:sz w:val="20"/>
          <w:szCs w:val="20"/>
        </w:rPr>
        <w:t xml:space="preserve">. Nonlinear relationships for age and tumor size were modeled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flexible spline terms. Model adequacy and fit were assessed through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Akaike </w:t>
      </w:r>
      <w:r w:rsidRPr="00DA4677">
        <w:rPr>
          <w:rFonts w:ascii="Times New Roman" w:eastAsia="Calibri" w:hAnsi="Times New Roman" w:cs="Times New Roman"/>
          <w:sz w:val="20"/>
          <w:szCs w:val="20"/>
        </w:rPr>
        <w:t>information criterion</w:t>
      </w:r>
      <w:r w:rsidRPr="00DA4677">
        <w:rPr>
          <w:rFonts w:ascii="Times New Roman" w:hAnsi="Times New Roman" w:cs="Times New Roman"/>
          <w:sz w:val="20"/>
          <w:szCs w:val="20"/>
        </w:rPr>
        <w:t xml:space="preserve"> (AIC), Harrell’s concordance index (C-index), and diagnostics for proportional hazards assumptions. Shapley </w:t>
      </w:r>
      <w:r w:rsidRPr="00DA4677">
        <w:rPr>
          <w:rFonts w:ascii="Times New Roman" w:eastAsia="Calibri" w:hAnsi="Times New Roman" w:cs="Times New Roman"/>
          <w:sz w:val="20"/>
          <w:szCs w:val="20"/>
        </w:rPr>
        <w:t>additive explanations (SHAPs</w:t>
      </w:r>
      <w:r w:rsidRPr="00DA4677">
        <w:rPr>
          <w:rFonts w:ascii="Times New Roman" w:hAnsi="Times New Roman" w:cs="Times New Roman"/>
          <w:sz w:val="20"/>
          <w:szCs w:val="20"/>
        </w:rPr>
        <w:t>) were employed to quantify both global and individual (patient-level) contributions to mortality risk.</w:t>
      </w:r>
      <w:r w:rsidR="00780E21">
        <w:rPr>
          <w:rFonts w:ascii="Times New Roman" w:hAnsi="Times New Roman" w:cs="Times New Roman"/>
          <w:sz w:val="20"/>
          <w:szCs w:val="20"/>
        </w:rPr>
        <w:t xml:space="preserve"> </w:t>
      </w:r>
      <w:r w:rsidR="00780E21" w:rsidRPr="00780E21">
        <w:rPr>
          <w:rFonts w:ascii="Times New Roman" w:hAnsi="Times New Roman" w:cs="Times New Roman"/>
          <w:sz w:val="20"/>
          <w:szCs w:val="20"/>
        </w:rPr>
        <w:t xml:space="preserve">No assumptions are made about the real multicenter data. These are the </w:t>
      </w:r>
      <w:r w:rsidR="00780E21" w:rsidRPr="00780E21">
        <w:rPr>
          <w:rStyle w:val="Emphasis"/>
          <w:rFonts w:ascii="Times New Roman" w:hAnsi="Times New Roman" w:cs="Times New Roman"/>
          <w:sz w:val="20"/>
          <w:szCs w:val="20"/>
        </w:rPr>
        <w:t>standard, accepted scientific steps</w:t>
      </w:r>
      <w:r w:rsidR="00780E21" w:rsidRPr="00780E21">
        <w:rPr>
          <w:rFonts w:ascii="Times New Roman" w:hAnsi="Times New Roman" w:cs="Times New Roman"/>
          <w:sz w:val="20"/>
          <w:szCs w:val="20"/>
        </w:rPr>
        <w:t xml:space="preserve"> for multicenter external validation of an RCS–SHAP Cox model.</w:t>
      </w:r>
    </w:p>
    <w:p w14:paraId="0476B0B7" w14:textId="05DC57E6" w:rsidR="00221ADC" w:rsidRPr="00DA4677" w:rsidRDefault="001D4AFD" w:rsidP="00221ADC">
      <w:pPr>
        <w:spacing w:before="100" w:beforeAutospacing="1" w:after="100" w:afterAutospacing="1" w:line="240" w:lineRule="auto"/>
        <w:jc w:val="both"/>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Results:</w:t>
      </w:r>
      <w:r w:rsidRPr="00DA4677">
        <w:rPr>
          <w:rFonts w:ascii="Times New Roman" w:eastAsia="Times New Roman" w:hAnsi="Times New Roman" w:cs="Times New Roman"/>
          <w:kern w:val="0"/>
          <w:sz w:val="20"/>
          <w:szCs w:val="20"/>
          <w:lang w:eastAsia=""/>
          <w14:ligatures w14:val="none"/>
        </w:rPr>
        <w:t xml:space="preserve"> The spline-augmented Cox model demonstrated significant nonlinear associations </w:t>
      </w:r>
      <w:r w:rsidRPr="00DA4677">
        <w:rPr>
          <w:rFonts w:ascii="Times New Roman" w:eastAsia="Times New Roman" w:hAnsi="Times New Roman" w:cs="Times New Roman"/>
          <w:kern w:val="0"/>
          <w:sz w:val="20"/>
          <w:szCs w:val="20"/>
          <w:lang w:eastAsia=""/>
        </w:rPr>
        <w:t>with</w:t>
      </w:r>
      <w:r w:rsidRPr="00DA4677">
        <w:rPr>
          <w:rFonts w:ascii="Times New Roman" w:eastAsia="Times New Roman" w:hAnsi="Times New Roman" w:cs="Times New Roman"/>
          <w:kern w:val="0"/>
          <w:sz w:val="20"/>
          <w:szCs w:val="20"/>
          <w:lang w:eastAsia=""/>
          <w14:ligatures w14:val="none"/>
        </w:rPr>
        <w:t xml:space="preserve"> tumor size (hazard ratio [HR] = 0.41, 95% CI: 0.17</w:t>
      </w:r>
      <w:r w:rsidR="00931E4C">
        <w:rPr>
          <w:rFonts w:ascii="Times New Roman" w:eastAsia="Times New Roman" w:hAnsi="Times New Roman" w:cs="Times New Roman"/>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 xml:space="preserve">0.99, p = 0.048) and a pronounced effect </w:t>
      </w:r>
      <w:r w:rsidRPr="00DA4677">
        <w:rPr>
          <w:rFonts w:ascii="Times New Roman" w:eastAsia="Times New Roman" w:hAnsi="Times New Roman" w:cs="Times New Roman"/>
          <w:kern w:val="0"/>
          <w:sz w:val="20"/>
          <w:szCs w:val="20"/>
          <w:lang w:eastAsia=""/>
        </w:rPr>
        <w:t>on the</w:t>
      </w:r>
      <w:r w:rsidRPr="00DA4677">
        <w:rPr>
          <w:rFonts w:ascii="Times New Roman" w:eastAsia="Times New Roman" w:hAnsi="Times New Roman" w:cs="Times New Roman"/>
          <w:kern w:val="0"/>
          <w:sz w:val="20"/>
          <w:szCs w:val="20"/>
          <w:lang w:eastAsia=""/>
          <w14:ligatures w14:val="none"/>
        </w:rPr>
        <w:t xml:space="preserve"> Gleason score (HR = 0.85, 95% CI: 0.74</w:t>
      </w:r>
      <w:r w:rsidR="00931E4C">
        <w:rPr>
          <w:rFonts w:ascii="Times New Roman" w:eastAsia="Times New Roman" w:hAnsi="Times New Roman" w:cs="Times New Roman"/>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 xml:space="preserve">0.99, p = 0.036). SHAP analysis identified tumor size (absolute SHAP value = 0.2015) and Gleason score (absolute SHAP value = 0.1591) as the leading predictors, </w:t>
      </w:r>
      <w:r w:rsidRPr="00DA4677">
        <w:rPr>
          <w:rFonts w:ascii="Times New Roman" w:eastAsia="Times New Roman" w:hAnsi="Times New Roman" w:cs="Times New Roman"/>
          <w:kern w:val="0"/>
          <w:sz w:val="20"/>
          <w:szCs w:val="20"/>
          <w:lang w:eastAsia=""/>
        </w:rPr>
        <w:t>followed by</w:t>
      </w:r>
      <w:r w:rsidRPr="00DA4677">
        <w:rPr>
          <w:rFonts w:ascii="Times New Roman" w:eastAsia="Times New Roman" w:hAnsi="Times New Roman" w:cs="Times New Roman"/>
          <w:kern w:val="0"/>
          <w:sz w:val="20"/>
          <w:szCs w:val="20"/>
          <w:lang w:eastAsia=""/>
          <w14:ligatures w14:val="none"/>
        </w:rPr>
        <w:t xml:space="preserve"> chemotherapy and prostate-specific antigen (PSA) levels. </w:t>
      </w:r>
      <w:proofErr w:type="spellStart"/>
      <w:r w:rsidRPr="00DA4677">
        <w:rPr>
          <w:rFonts w:ascii="Times New Roman" w:eastAsia="Times New Roman" w:hAnsi="Times New Roman" w:cs="Times New Roman"/>
          <w:kern w:val="0"/>
          <w:sz w:val="20"/>
          <w:szCs w:val="20"/>
          <w:lang w:eastAsia=""/>
          <w14:ligatures w14:val="none"/>
        </w:rPr>
        <w:t>Beeswarm</w:t>
      </w:r>
      <w:proofErr w:type="spellEnd"/>
      <w:r w:rsidRPr="00DA4677">
        <w:rPr>
          <w:rFonts w:ascii="Times New Roman" w:eastAsia="Times New Roman" w:hAnsi="Times New Roman" w:cs="Times New Roman"/>
          <w:kern w:val="0"/>
          <w:sz w:val="20"/>
          <w:szCs w:val="20"/>
          <w:lang w:eastAsia=""/>
          <w14:ligatures w14:val="none"/>
        </w:rPr>
        <w:t xml:space="preserve"> and partial-effect plots corroborated a nonlinear increase in survival risk with greater tumor burden and higher histologic grade, whereas moderate PSA levels and receipt of treatment exerted a protective effect.</w:t>
      </w:r>
      <w:r w:rsidR="006B7505" w:rsidRPr="00DA4677">
        <w:rPr>
          <w:rFonts w:ascii="Times New Roman" w:hAnsi="Times New Roman" w:cs="Times New Roman"/>
          <w:sz w:val="20"/>
          <w:szCs w:val="20"/>
        </w:rPr>
        <w:t xml:space="preserve"> </w:t>
      </w:r>
      <w:r w:rsidRPr="00DA4677">
        <w:rPr>
          <w:rFonts w:ascii="Times New Roman" w:eastAsia="Times New Roman" w:hAnsi="Times New Roman" w:cs="Times New Roman"/>
          <w:kern w:val="0"/>
          <w:sz w:val="20"/>
          <w:szCs w:val="20"/>
          <w:lang w:eastAsia=""/>
          <w14:ligatures w14:val="none"/>
        </w:rPr>
        <w:t>The combined spline</w:t>
      </w:r>
      <w:r w:rsidR="00931E4C">
        <w:rPr>
          <w:rFonts w:ascii="Times New Roman" w:eastAsia="Times New Roman" w:hAnsi="Times New Roman" w:cs="Times New Roman"/>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SHAP model demonstrated strong predictive performance (C-index = 0.84) with improved parsimony over the linear Cox baseline (ΔAIC = −13), confirming the dominance of tumor size and Gleason score as the most influential contributors to survival risk.</w:t>
      </w:r>
    </w:p>
    <w:p w14:paraId="58660D1C" w14:textId="6F5F22E1" w:rsidR="00612B51" w:rsidRPr="00DA4677" w:rsidRDefault="001D4AFD" w:rsidP="00221ADC">
      <w:pPr>
        <w:spacing w:before="100" w:beforeAutospacing="1" w:after="100" w:afterAutospacing="1" w:line="240" w:lineRule="auto"/>
        <w:jc w:val="both"/>
        <w:rPr>
          <w:rFonts w:ascii="Times New Roman" w:hAnsi="Times New Roman" w:cs="Times New Roman"/>
          <w:sz w:val="20"/>
          <w:szCs w:val="20"/>
        </w:rPr>
      </w:pPr>
      <w:r w:rsidRPr="00DA4677">
        <w:rPr>
          <w:rFonts w:ascii="Times New Roman" w:hAnsi="Times New Roman" w:cs="Times New Roman"/>
          <w:b/>
          <w:bCs/>
          <w:sz w:val="20"/>
          <w:szCs w:val="20"/>
        </w:rPr>
        <w:t>Conclusion:</w:t>
      </w:r>
      <w:r w:rsidRPr="00DA4677">
        <w:rPr>
          <w:rFonts w:ascii="Times New Roman" w:hAnsi="Times New Roman" w:cs="Times New Roman"/>
          <w:sz w:val="20"/>
          <w:szCs w:val="20"/>
        </w:rPr>
        <w:t xml:space="preserve"> The integration of </w:t>
      </w:r>
      <w:r w:rsidR="00E05C83" w:rsidRPr="00DA4677">
        <w:rPr>
          <w:rFonts w:ascii="Times New Roman" w:hAnsi="Times New Roman" w:cs="Times New Roman"/>
          <w:sz w:val="20"/>
          <w:szCs w:val="20"/>
        </w:rPr>
        <w:t>restricted cubic splines (</w:t>
      </w:r>
      <w:r w:rsidR="00E05C83" w:rsidRPr="00DA4677">
        <w:rPr>
          <w:rFonts w:ascii="Times New Roman" w:eastAsia="Calibri" w:hAnsi="Times New Roman" w:cs="Times New Roman"/>
          <w:sz w:val="20"/>
          <w:szCs w:val="20"/>
        </w:rPr>
        <w:t>RCSs</w:t>
      </w:r>
      <w:r w:rsidR="00E05C83" w:rsidRPr="00DA4677">
        <w:rPr>
          <w:rFonts w:ascii="Times New Roman" w:hAnsi="Times New Roman" w:cs="Times New Roman"/>
          <w:sz w:val="20"/>
          <w:szCs w:val="20"/>
        </w:rPr>
        <w:t xml:space="preserve">) </w:t>
      </w:r>
      <w:r w:rsidRPr="00DA4677">
        <w:rPr>
          <w:rFonts w:ascii="Times New Roman" w:hAnsi="Times New Roman" w:cs="Times New Roman"/>
          <w:sz w:val="20"/>
          <w:szCs w:val="20"/>
        </w:rPr>
        <w:t xml:space="preserve">with SHAP-based </w:t>
      </w:r>
      <w:proofErr w:type="spellStart"/>
      <w:r w:rsidRPr="00DA4677">
        <w:rPr>
          <w:rFonts w:ascii="Times New Roman" w:hAnsi="Times New Roman" w:cs="Times New Roman"/>
          <w:sz w:val="20"/>
          <w:szCs w:val="20"/>
        </w:rPr>
        <w:t>explainability</w:t>
      </w:r>
      <w:proofErr w:type="spellEnd"/>
      <w:r w:rsidRPr="00DA4677">
        <w:rPr>
          <w:rFonts w:ascii="Times New Roman" w:hAnsi="Times New Roman" w:cs="Times New Roman"/>
          <w:sz w:val="20"/>
          <w:szCs w:val="20"/>
        </w:rPr>
        <w:t xml:space="preserve"> enhanced model flexibility, transparency, and clinical interpretability. The results underscore tumor size and Gleason score as the most influential determinants of mortality, highlighting the imperative for early detection, </w:t>
      </w:r>
      <w:r w:rsidRPr="00DA4677">
        <w:rPr>
          <w:rFonts w:ascii="Times New Roman" w:eastAsia="Calibri" w:hAnsi="Times New Roman" w:cs="Times New Roman"/>
          <w:sz w:val="20"/>
          <w:szCs w:val="20"/>
        </w:rPr>
        <w:t>histopathological</w:t>
      </w:r>
      <w:r w:rsidRPr="00DA4677">
        <w:rPr>
          <w:rFonts w:ascii="Times New Roman" w:hAnsi="Times New Roman" w:cs="Times New Roman"/>
          <w:sz w:val="20"/>
          <w:szCs w:val="20"/>
        </w:rPr>
        <w:t xml:space="preserve"> risk stratification, and individualized therapeutic strategies. </w:t>
      </w:r>
      <w:r w:rsidR="00A4562F" w:rsidRPr="00A4562F">
        <w:rPr>
          <w:rFonts w:ascii="Times New Roman" w:hAnsi="Times New Roman" w:cs="Times New Roman"/>
          <w:sz w:val="20"/>
          <w:szCs w:val="20"/>
        </w:rPr>
        <w:t>This study is limited by its single-center design and the inherent constraints of retrospective clinical data.</w:t>
      </w:r>
      <w:r w:rsidR="00A4562F">
        <w:t xml:space="preserve"> </w:t>
      </w:r>
      <w:r w:rsidRPr="00DA4677">
        <w:rPr>
          <w:rFonts w:ascii="Times New Roman" w:hAnsi="Times New Roman" w:cs="Times New Roman"/>
          <w:sz w:val="20"/>
          <w:szCs w:val="20"/>
        </w:rPr>
        <w:t>The SHAP-augmented RCS Cox framework provides a replicable approach for precision oncology and evidence-based management of prostate cancer in settings with limited resources, including Ghana.</w:t>
      </w:r>
      <w:r w:rsidR="00D260C9" w:rsidRPr="00D260C9">
        <w:t xml:space="preserve"> </w:t>
      </w:r>
      <w:r w:rsidR="00D260C9" w:rsidRPr="00D260C9">
        <w:rPr>
          <w:rFonts w:ascii="Times New Roman" w:hAnsi="Times New Roman" w:cs="Times New Roman"/>
          <w:sz w:val="20"/>
          <w:szCs w:val="20"/>
          <w:highlight w:val="yellow"/>
        </w:rPr>
        <w:t xml:space="preserve">The incorporation of SHAP-based </w:t>
      </w:r>
      <w:proofErr w:type="spellStart"/>
      <w:r w:rsidR="00D260C9" w:rsidRPr="00D260C9">
        <w:rPr>
          <w:rFonts w:ascii="Times New Roman" w:hAnsi="Times New Roman" w:cs="Times New Roman"/>
          <w:sz w:val="20"/>
          <w:szCs w:val="20"/>
          <w:highlight w:val="yellow"/>
        </w:rPr>
        <w:t>explainability</w:t>
      </w:r>
      <w:proofErr w:type="spellEnd"/>
      <w:r w:rsidR="00D260C9" w:rsidRPr="00D260C9">
        <w:rPr>
          <w:rFonts w:ascii="Times New Roman" w:hAnsi="Times New Roman" w:cs="Times New Roman"/>
          <w:sz w:val="20"/>
          <w:szCs w:val="20"/>
          <w:highlight w:val="yellow"/>
        </w:rPr>
        <w:t xml:space="preserve"> enhances model transparency by allowing individualized interpretation of survival risk, thereby supporting clinically actionable decision-making in prostate cancer management.</w:t>
      </w:r>
    </w:p>
    <w:p w14:paraId="5E11C097" w14:textId="71652101" w:rsidR="00612B51" w:rsidRPr="00DA4677" w:rsidRDefault="001D4AFD"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Keywords:</w:t>
      </w:r>
      <w:r w:rsidRPr="00DA4677">
        <w:rPr>
          <w:rFonts w:ascii="Times New Roman" w:eastAsia="Times New Roman" w:hAnsi="Times New Roman" w:cs="Times New Roman"/>
          <w:kern w:val="0"/>
          <w:sz w:val="20"/>
          <w:szCs w:val="20"/>
          <w:lang w:eastAsia=""/>
          <w14:ligatures w14:val="none"/>
        </w:rPr>
        <w:br/>
        <w:t xml:space="preserve">Prostate cancer, </w:t>
      </w:r>
      <w:r w:rsidRPr="00DA4677">
        <w:rPr>
          <w:rFonts w:ascii="Times New Roman" w:eastAsia="Times New Roman" w:hAnsi="Times New Roman" w:cs="Times New Roman"/>
          <w:kern w:val="0"/>
          <w:sz w:val="20"/>
          <w:szCs w:val="20"/>
          <w:lang w:eastAsia=""/>
        </w:rPr>
        <w:t>restricted</w:t>
      </w:r>
      <w:r w:rsidRPr="00DA4677">
        <w:rPr>
          <w:rFonts w:ascii="Times New Roman" w:eastAsia="Times New Roman" w:hAnsi="Times New Roman" w:cs="Times New Roman"/>
          <w:kern w:val="0"/>
          <w:sz w:val="20"/>
          <w:szCs w:val="20"/>
          <w:lang w:eastAsia=""/>
          <w14:ligatures w14:val="none"/>
        </w:rPr>
        <w:t xml:space="preserve"> cubic splines, Cox proportional hazards, SHAP </w:t>
      </w:r>
      <w:proofErr w:type="spellStart"/>
      <w:r w:rsidRPr="00DA4677">
        <w:rPr>
          <w:rFonts w:ascii="Times New Roman" w:eastAsia="Times New Roman" w:hAnsi="Times New Roman" w:cs="Times New Roman"/>
          <w:kern w:val="0"/>
          <w:sz w:val="20"/>
          <w:szCs w:val="20"/>
          <w:lang w:eastAsia=""/>
          <w14:ligatures w14:val="none"/>
        </w:rPr>
        <w:t>explainability</w:t>
      </w:r>
      <w:proofErr w:type="spellEnd"/>
      <w:r w:rsidRPr="00DA4677">
        <w:rPr>
          <w:rFonts w:ascii="Times New Roman" w:eastAsia="Times New Roman" w:hAnsi="Times New Roman" w:cs="Times New Roman"/>
          <w:kern w:val="0"/>
          <w:sz w:val="20"/>
          <w:szCs w:val="20"/>
          <w:lang w:eastAsia=""/>
          <w14:ligatures w14:val="none"/>
        </w:rPr>
        <w:t>, nonlinear modeling, survival analysis, precision oncology.</w:t>
      </w:r>
    </w:p>
    <w:bookmarkEnd w:id="0"/>
    <w:p w14:paraId="414DDA11" w14:textId="77777777" w:rsidR="0054579B" w:rsidRDefault="0054579B" w:rsidP="00612B51">
      <w:pPr>
        <w:rPr>
          <w:rFonts w:ascii="Times New Roman" w:hAnsi="Times New Roman" w:cs="Times New Roman"/>
          <w:b/>
          <w:bCs/>
          <w:sz w:val="20"/>
          <w:szCs w:val="20"/>
        </w:rPr>
      </w:pPr>
    </w:p>
    <w:p w14:paraId="1D8B5242" w14:textId="77777777" w:rsidR="0054579B" w:rsidRDefault="0054579B" w:rsidP="00612B51">
      <w:pPr>
        <w:rPr>
          <w:rFonts w:ascii="Times New Roman" w:hAnsi="Times New Roman" w:cs="Times New Roman"/>
          <w:b/>
          <w:bCs/>
          <w:sz w:val="20"/>
          <w:szCs w:val="20"/>
        </w:rPr>
      </w:pPr>
    </w:p>
    <w:p w14:paraId="6A163D64" w14:textId="62B38F3F" w:rsidR="00612B51" w:rsidRPr="00DA4677" w:rsidRDefault="001D4AFD" w:rsidP="00612B51">
      <w:pPr>
        <w:rPr>
          <w:rFonts w:ascii="Times New Roman" w:hAnsi="Times New Roman" w:cs="Times New Roman"/>
          <w:b/>
          <w:bCs/>
          <w:sz w:val="20"/>
          <w:szCs w:val="20"/>
        </w:rPr>
      </w:pPr>
      <w:r w:rsidRPr="00DA4677">
        <w:rPr>
          <w:rFonts w:ascii="Times New Roman" w:hAnsi="Times New Roman" w:cs="Times New Roman"/>
          <w:b/>
          <w:bCs/>
          <w:sz w:val="20"/>
          <w:szCs w:val="20"/>
        </w:rPr>
        <w:t>Background</w:t>
      </w:r>
    </w:p>
    <w:p w14:paraId="723E0BAD" w14:textId="382BDAB4"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Prostate cancer remains one of the most prevalent malignancies affecting men globally and </w:t>
      </w:r>
      <w:bookmarkStart w:id="1" w:name="_Hlk211484722"/>
      <w:r w:rsidRPr="00DA4677">
        <w:rPr>
          <w:rFonts w:ascii="Times New Roman" w:eastAsia="Calibri" w:hAnsi="Times New Roman" w:cs="Times New Roman"/>
          <w:sz w:val="20"/>
          <w:szCs w:val="20"/>
        </w:rPr>
        <w:t>is</w:t>
      </w:r>
      <w:r w:rsidRPr="00DA4677">
        <w:rPr>
          <w:rFonts w:ascii="Times New Roman" w:hAnsi="Times New Roman" w:cs="Times New Roman"/>
          <w:sz w:val="20"/>
          <w:szCs w:val="20"/>
        </w:rPr>
        <w:t xml:space="preserve"> a leading cause of cancer-related morbidity and mortality. Prostate cancer accounts for approximately 15% of all new cancer cases in men and 8% of cancer deaths worldwide (</w:t>
      </w:r>
      <w:proofErr w:type="spellStart"/>
      <w:r w:rsidRPr="00DA4677">
        <w:rPr>
          <w:rFonts w:ascii="Times New Roman" w:hAnsi="Times New Roman" w:cs="Times New Roman"/>
          <w:sz w:val="20"/>
          <w:szCs w:val="20"/>
        </w:rPr>
        <w:t>Kratzer</w:t>
      </w:r>
      <w:proofErr w:type="spellEnd"/>
      <w:r w:rsidRPr="00DA4677">
        <w:rPr>
          <w:rFonts w:ascii="Times New Roman" w:hAnsi="Times New Roman" w:cs="Times New Roman"/>
          <w:sz w:val="20"/>
          <w:szCs w:val="20"/>
        </w:rPr>
        <w:t xml:space="preserve"> et al., 2025; James et al., 2024; Zi et al., 2024; </w:t>
      </w:r>
      <w:proofErr w:type="spellStart"/>
      <w:r w:rsidRPr="00DA4677">
        <w:rPr>
          <w:rFonts w:ascii="Times New Roman" w:hAnsi="Times New Roman" w:cs="Times New Roman"/>
          <w:sz w:val="20"/>
          <w:szCs w:val="20"/>
        </w:rPr>
        <w:t>Preisser</w:t>
      </w:r>
      <w:proofErr w:type="spellEnd"/>
      <w:r w:rsidRPr="00DA4677">
        <w:rPr>
          <w:rFonts w:ascii="Times New Roman" w:hAnsi="Times New Roman" w:cs="Times New Roman"/>
          <w:sz w:val="20"/>
          <w:szCs w:val="20"/>
        </w:rPr>
        <w:t xml:space="preserve"> et al., 2025; </w:t>
      </w:r>
      <w:proofErr w:type="spellStart"/>
      <w:r w:rsidRPr="00DA4677">
        <w:rPr>
          <w:rFonts w:ascii="Times New Roman" w:hAnsi="Times New Roman" w:cs="Times New Roman"/>
          <w:sz w:val="20"/>
          <w:szCs w:val="20"/>
        </w:rPr>
        <w:t>Belkahla</w:t>
      </w:r>
      <w:proofErr w:type="spellEnd"/>
      <w:r w:rsidRPr="00DA4677">
        <w:rPr>
          <w:rFonts w:ascii="Times New Roman" w:hAnsi="Times New Roman" w:cs="Times New Roman"/>
          <w:sz w:val="20"/>
          <w:szCs w:val="20"/>
        </w:rPr>
        <w:t xml:space="preserve"> et al., 2022). Its burden is </w:t>
      </w:r>
      <w:r w:rsidRPr="00DA4677">
        <w:rPr>
          <w:rFonts w:ascii="Times New Roman" w:eastAsia="Calibri" w:hAnsi="Times New Roman" w:cs="Times New Roman"/>
          <w:sz w:val="20"/>
          <w:szCs w:val="20"/>
        </w:rPr>
        <w:t>increasing</w:t>
      </w:r>
      <w:r w:rsidRPr="00DA4677">
        <w:rPr>
          <w:rFonts w:ascii="Times New Roman" w:hAnsi="Times New Roman" w:cs="Times New Roman"/>
          <w:sz w:val="20"/>
          <w:szCs w:val="20"/>
        </w:rPr>
        <w:t xml:space="preserve"> in low- and middle-income countries (LMICs), where limited access to diagnostic tools and screening programs has led to late-stage presentation and poor outcomes (</w:t>
      </w:r>
      <w:proofErr w:type="spellStart"/>
      <w:r w:rsidRPr="00DA4677">
        <w:rPr>
          <w:rFonts w:ascii="Times New Roman" w:hAnsi="Times New Roman" w:cs="Times New Roman"/>
          <w:sz w:val="20"/>
          <w:szCs w:val="20"/>
        </w:rPr>
        <w:t>Kitson</w:t>
      </w:r>
      <w:proofErr w:type="spellEnd"/>
      <w:r w:rsidRPr="00DA4677">
        <w:rPr>
          <w:rFonts w:ascii="Times New Roman" w:hAnsi="Times New Roman" w:cs="Times New Roman"/>
          <w:sz w:val="20"/>
          <w:szCs w:val="20"/>
        </w:rPr>
        <w:t>-Mills et al., 2025; Dee et al., 2025; Liu et al., 2025).</w:t>
      </w:r>
      <w:r w:rsidRPr="00DA4677">
        <w:rPr>
          <w:rFonts w:ascii="Times New Roman" w:eastAsia="Calibri" w:hAnsi="Times New Roman" w:cs="Times New Roman"/>
          <w:sz w:val="20"/>
          <w:szCs w:val="20"/>
        </w:rPr>
        <w:t xml:space="preserve"> </w:t>
      </w:r>
      <w:r w:rsidRPr="00DA4677">
        <w:rPr>
          <w:rFonts w:ascii="Times New Roman" w:hAnsi="Times New Roman" w:cs="Times New Roman"/>
          <w:sz w:val="20"/>
          <w:szCs w:val="20"/>
        </w:rPr>
        <w:t xml:space="preserve">In sub-Saharan Africa, the situation is particularly concerning, with increasing incidence rates attributed to urbanization, changing lifestyles, and the aging population (Zhang et al., 2025; Dlamini et al., 2025; </w:t>
      </w:r>
      <w:proofErr w:type="spellStart"/>
      <w:r w:rsidRPr="00DA4677">
        <w:rPr>
          <w:rFonts w:ascii="Times New Roman" w:hAnsi="Times New Roman" w:cs="Times New Roman"/>
          <w:sz w:val="20"/>
          <w:szCs w:val="20"/>
        </w:rPr>
        <w:t>Amaeshi</w:t>
      </w:r>
      <w:proofErr w:type="spellEnd"/>
      <w:r w:rsidRPr="00DA4677">
        <w:rPr>
          <w:rFonts w:ascii="Times New Roman" w:hAnsi="Times New Roman" w:cs="Times New Roman"/>
          <w:sz w:val="20"/>
          <w:szCs w:val="20"/>
        </w:rPr>
        <w:t xml:space="preserve"> et al., 2025)</w:t>
      </w:r>
      <w:bookmarkEnd w:id="1"/>
      <w:r w:rsidRPr="00DA4677">
        <w:rPr>
          <w:rFonts w:ascii="Times New Roman" w:hAnsi="Times New Roman" w:cs="Times New Roman"/>
          <w:sz w:val="20"/>
          <w:szCs w:val="20"/>
        </w:rPr>
        <w:t xml:space="preserve">. Ghana reflects this continental trend, where prostate cancer </w:t>
      </w:r>
      <w:r w:rsidRPr="00DA4677">
        <w:rPr>
          <w:rFonts w:ascii="Times New Roman" w:hAnsi="Times New Roman" w:cs="Times New Roman"/>
          <w:sz w:val="20"/>
          <w:szCs w:val="20"/>
        </w:rPr>
        <w:lastRenderedPageBreak/>
        <w:t xml:space="preserve">constitutes </w:t>
      </w:r>
      <w:r w:rsidR="006C527F">
        <w:rPr>
          <w:rFonts w:ascii="Times New Roman" w:hAnsi="Times New Roman" w:cs="Times New Roman"/>
          <w:sz w:val="20"/>
          <w:szCs w:val="20"/>
        </w:rPr>
        <w:t xml:space="preserve">one of </w:t>
      </w:r>
      <w:r w:rsidRPr="00DA4677">
        <w:rPr>
          <w:rFonts w:ascii="Times New Roman" w:hAnsi="Times New Roman" w:cs="Times New Roman"/>
          <w:sz w:val="20"/>
          <w:szCs w:val="20"/>
        </w:rPr>
        <w:t xml:space="preserve">the most commonly diagnosed </w:t>
      </w:r>
      <w:r w:rsidR="00DD7901">
        <w:rPr>
          <w:rFonts w:ascii="Times New Roman" w:hAnsi="Times New Roman" w:cs="Times New Roman"/>
          <w:sz w:val="20"/>
          <w:szCs w:val="20"/>
        </w:rPr>
        <w:t>cancers</w:t>
      </w:r>
      <w:r w:rsidRPr="00DA4677">
        <w:rPr>
          <w:rFonts w:ascii="Times New Roman" w:hAnsi="Times New Roman" w:cs="Times New Roman"/>
          <w:sz w:val="20"/>
          <w:szCs w:val="20"/>
        </w:rPr>
        <w:t xml:space="preserve"> among men, accounting for </w:t>
      </w:r>
      <w:r w:rsidRPr="00DA4677">
        <w:rPr>
          <w:rFonts w:ascii="Times New Roman" w:eastAsia="Calibri" w:hAnsi="Times New Roman" w:cs="Times New Roman"/>
          <w:sz w:val="20"/>
          <w:szCs w:val="20"/>
        </w:rPr>
        <w:t>approximately</w:t>
      </w:r>
      <w:r w:rsidRPr="00DA4677">
        <w:rPr>
          <w:rFonts w:ascii="Times New Roman" w:hAnsi="Times New Roman" w:cs="Times New Roman"/>
          <w:sz w:val="20"/>
          <w:szCs w:val="20"/>
        </w:rPr>
        <w:t xml:space="preserve"> 12% of all male cancer cases </w:t>
      </w:r>
      <w:bookmarkStart w:id="2" w:name="_Hlk213968838"/>
      <w:r w:rsidRPr="00DA4677">
        <w:rPr>
          <w:rFonts w:ascii="Times New Roman" w:hAnsi="Times New Roman" w:cs="Times New Roman"/>
          <w:sz w:val="20"/>
          <w:szCs w:val="20"/>
        </w:rPr>
        <w:t>(Der et al., 2025; Sarpong et al., 2025; Abu et al., 2025).</w:t>
      </w:r>
      <w:bookmarkEnd w:id="2"/>
    </w:p>
    <w:p w14:paraId="5152F0B2"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Despite global advances in early detection and treatment, prostate cancer outcomes in Ghana remain suboptimal. Factors such as low public awareness, limited screening infrastructure, and inconsistent follow-up systems have contributed to high proportions of late-stage diagnoses. Clinical data from major tertiary hospitals in Ghana reveal that most men present with locally advanced or metastatic disease, often after prolonged symptom duration </w:t>
      </w:r>
      <w:bookmarkStart w:id="3" w:name="_Hlk211485523"/>
      <w:r w:rsidRPr="00DA4677">
        <w:rPr>
          <w:rFonts w:ascii="Times New Roman" w:hAnsi="Times New Roman" w:cs="Times New Roman"/>
          <w:sz w:val="20"/>
          <w:szCs w:val="20"/>
        </w:rPr>
        <w:t xml:space="preserve">(Ofori et al., 2025; Daniels et al., 2025; </w:t>
      </w:r>
      <w:proofErr w:type="spellStart"/>
      <w:r w:rsidRPr="00DA4677">
        <w:rPr>
          <w:rFonts w:ascii="Times New Roman" w:hAnsi="Times New Roman" w:cs="Times New Roman"/>
          <w:sz w:val="20"/>
          <w:szCs w:val="20"/>
        </w:rPr>
        <w:t>Dadee-Seshie</w:t>
      </w:r>
      <w:proofErr w:type="spellEnd"/>
      <w:r w:rsidRPr="00DA4677">
        <w:rPr>
          <w:rFonts w:ascii="Times New Roman" w:hAnsi="Times New Roman" w:cs="Times New Roman"/>
          <w:sz w:val="20"/>
          <w:szCs w:val="20"/>
        </w:rPr>
        <w:t xml:space="preserve"> et al., 2025; Obeng et al., 2025).</w:t>
      </w:r>
      <w:bookmarkEnd w:id="3"/>
      <w:r w:rsidRPr="00DA4677">
        <w:rPr>
          <w:rFonts w:ascii="Times New Roman" w:hAnsi="Times New Roman" w:cs="Times New Roman"/>
          <w:sz w:val="20"/>
          <w:szCs w:val="20"/>
        </w:rPr>
        <w:t xml:space="preserve"> Biochemical markers such as prostate-specific antigen (PSA) levels, tumor size, and Gleason scores </w:t>
      </w:r>
      <w:r w:rsidRPr="00DA4677">
        <w:rPr>
          <w:rFonts w:ascii="Times New Roman" w:eastAsia="Calibri" w:hAnsi="Times New Roman" w:cs="Times New Roman"/>
          <w:sz w:val="20"/>
          <w:szCs w:val="20"/>
        </w:rPr>
        <w:t>are</w:t>
      </w:r>
      <w:r w:rsidRPr="00DA4677">
        <w:rPr>
          <w:rFonts w:ascii="Times New Roman" w:hAnsi="Times New Roman" w:cs="Times New Roman"/>
          <w:sz w:val="20"/>
          <w:szCs w:val="20"/>
        </w:rPr>
        <w:t xml:space="preserve"> key determinants of prognosis. However, these indicators are frequently underutilized in integrated predictive models that account for nonlinear risk patterns and survival heterogeneity.</w:t>
      </w:r>
    </w:p>
    <w:p w14:paraId="75E8B873" w14:textId="7EBE2A59"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Recent modeling advances, particularly the application of flexible survival models such as the Cox proportional hazards model with restricted cubic splines (</w:t>
      </w:r>
      <w:r w:rsidRPr="00DA4677">
        <w:rPr>
          <w:rFonts w:ascii="Times New Roman" w:eastAsia="Calibri" w:hAnsi="Times New Roman" w:cs="Times New Roman"/>
          <w:sz w:val="20"/>
          <w:szCs w:val="20"/>
        </w:rPr>
        <w:t>RCSs</w:t>
      </w:r>
      <w:r w:rsidRPr="00DA4677">
        <w:rPr>
          <w:rFonts w:ascii="Times New Roman" w:hAnsi="Times New Roman" w:cs="Times New Roman"/>
          <w:sz w:val="20"/>
          <w:szCs w:val="20"/>
        </w:rPr>
        <w:t>), provide a refined approach to understanding the nonlinear associations between clinical predictors and patient outcomes (</w:t>
      </w:r>
      <w:proofErr w:type="spellStart"/>
      <w:r w:rsidRPr="00DA4677">
        <w:rPr>
          <w:rFonts w:ascii="Times New Roman" w:hAnsi="Times New Roman" w:cs="Times New Roman"/>
          <w:sz w:val="20"/>
          <w:szCs w:val="20"/>
        </w:rPr>
        <w:t>Bosson-Amedenu</w:t>
      </w:r>
      <w:proofErr w:type="spellEnd"/>
      <w:r w:rsidRPr="00DA4677">
        <w:rPr>
          <w:rFonts w:ascii="Times New Roman" w:hAnsi="Times New Roman" w:cs="Times New Roman"/>
          <w:sz w:val="20"/>
          <w:szCs w:val="20"/>
        </w:rPr>
        <w:t>, 2025; Aziz et al., 2025; Flannery et al., 2025; Esteban et al., 2025). These models enhance interpretability by allowing for curved relationships between age, tumor size, and hazard ratios</w:t>
      </w:r>
      <w:r w:rsidR="006C527F">
        <w:rPr>
          <w:rFonts w:ascii="Times New Roman" w:hAnsi="Times New Roman" w:cs="Times New Roman"/>
          <w:sz w:val="20"/>
          <w:szCs w:val="20"/>
        </w:rPr>
        <w:t xml:space="preserve"> </w:t>
      </w:r>
      <w:r w:rsidRPr="00DA4677">
        <w:rPr>
          <w:rFonts w:ascii="Times New Roman" w:hAnsi="Times New Roman" w:cs="Times New Roman"/>
          <w:sz w:val="20"/>
          <w:szCs w:val="20"/>
        </w:rPr>
        <w:t xml:space="preserve">relationships often masked by traditional linear models. Integrating these analytical methods within local cancer registries and hospital data in Ghana can offer actionable insights into the biological and sociodemographic determinants of prostate cancer survival. Such evidence directly aligns with the objectives of Sustainable Development Goal (SDG) 3, particularly target </w:t>
      </w:r>
      <w:r w:rsidRPr="006C527F">
        <w:rPr>
          <w:rFonts w:ascii="Times New Roman" w:hAnsi="Times New Roman" w:cs="Times New Roman"/>
          <w:sz w:val="20"/>
          <w:szCs w:val="20"/>
        </w:rPr>
        <w:t>3.4</w:t>
      </w:r>
      <w:r w:rsidRPr="00DA4677">
        <w:rPr>
          <w:rFonts w:ascii="Times New Roman" w:hAnsi="Times New Roman" w:cs="Times New Roman"/>
          <w:sz w:val="20"/>
          <w:szCs w:val="20"/>
        </w:rPr>
        <w:t xml:space="preserve">, which aims to reduce premature mortality from </w:t>
      </w:r>
      <w:r w:rsidRPr="00DA4677">
        <w:rPr>
          <w:rFonts w:ascii="Times New Roman" w:eastAsia="Calibri" w:hAnsi="Times New Roman" w:cs="Times New Roman"/>
          <w:sz w:val="20"/>
          <w:szCs w:val="20"/>
        </w:rPr>
        <w:t>noncommunicable</w:t>
      </w:r>
      <w:r w:rsidRPr="00DA4677">
        <w:rPr>
          <w:rFonts w:ascii="Times New Roman" w:hAnsi="Times New Roman" w:cs="Times New Roman"/>
          <w:sz w:val="20"/>
          <w:szCs w:val="20"/>
        </w:rPr>
        <w:t xml:space="preserve"> diseases through early detection and treatment interventions.</w:t>
      </w:r>
    </w:p>
    <w:p w14:paraId="7BF9012B" w14:textId="20433DFC"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Prostate cancer progression and survival outcomes have been extensively studied in developed contexts, with several well-established prognostic markers, including age, PSA levels, Gleason score, tumor size, and cancer stage (</w:t>
      </w:r>
      <w:proofErr w:type="spellStart"/>
      <w:r w:rsidRPr="00DA4677">
        <w:rPr>
          <w:rFonts w:ascii="Times New Roman" w:hAnsi="Times New Roman" w:cs="Times New Roman"/>
          <w:sz w:val="20"/>
          <w:szCs w:val="20"/>
        </w:rPr>
        <w:t>Bosson-Amedenu</w:t>
      </w:r>
      <w:proofErr w:type="spellEnd"/>
      <w:r w:rsidRPr="00DA4677">
        <w:rPr>
          <w:rFonts w:ascii="Times New Roman" w:hAnsi="Times New Roman" w:cs="Times New Roman"/>
          <w:sz w:val="20"/>
          <w:szCs w:val="20"/>
        </w:rPr>
        <w:t xml:space="preserve">, 2025; </w:t>
      </w:r>
      <w:proofErr w:type="spellStart"/>
      <w:r w:rsidRPr="00DA4677">
        <w:rPr>
          <w:rFonts w:ascii="Times New Roman" w:hAnsi="Times New Roman" w:cs="Times New Roman"/>
          <w:sz w:val="20"/>
          <w:szCs w:val="20"/>
        </w:rPr>
        <w:t>Kavak</w:t>
      </w:r>
      <w:proofErr w:type="spellEnd"/>
      <w:r w:rsidRPr="00DA4677">
        <w:rPr>
          <w:rFonts w:ascii="Times New Roman" w:hAnsi="Times New Roman" w:cs="Times New Roman"/>
          <w:sz w:val="20"/>
          <w:szCs w:val="20"/>
        </w:rPr>
        <w:t xml:space="preserve"> et al., 2025; Freedland et al., 2025; Wu et al., 2025). Age is among the strongest demographic correlates, with incidence increasing exponentially after the fifth decade of life (</w:t>
      </w:r>
      <w:proofErr w:type="spellStart"/>
      <w:r w:rsidRPr="00DA4677">
        <w:rPr>
          <w:rFonts w:ascii="Times New Roman" w:hAnsi="Times New Roman" w:cs="Times New Roman"/>
          <w:sz w:val="20"/>
          <w:szCs w:val="20"/>
        </w:rPr>
        <w:t>Bosson-Amedenu</w:t>
      </w:r>
      <w:proofErr w:type="spellEnd"/>
      <w:r w:rsidRPr="00DA4677">
        <w:rPr>
          <w:rFonts w:ascii="Times New Roman" w:hAnsi="Times New Roman" w:cs="Times New Roman"/>
          <w:sz w:val="20"/>
          <w:szCs w:val="20"/>
        </w:rPr>
        <w:t xml:space="preserve">, 2025; Zhao et al., 2025; Zhu et al., 2025; Bhandari et al., 2025; Ghanem et al., 2025). However, the relationship between age and survival is </w:t>
      </w:r>
      <w:r w:rsidR="00DD7901">
        <w:rPr>
          <w:rFonts w:ascii="Times New Roman" w:hAnsi="Times New Roman" w:cs="Times New Roman"/>
          <w:sz w:val="20"/>
          <w:szCs w:val="20"/>
        </w:rPr>
        <w:t>complex;</w:t>
      </w:r>
      <w:r w:rsidR="006C527F">
        <w:rPr>
          <w:rFonts w:ascii="Times New Roman" w:hAnsi="Times New Roman" w:cs="Times New Roman"/>
          <w:sz w:val="20"/>
          <w:szCs w:val="20"/>
        </w:rPr>
        <w:t xml:space="preserve"> </w:t>
      </w:r>
      <w:r w:rsidRPr="00DA4677">
        <w:rPr>
          <w:rFonts w:ascii="Times New Roman" w:hAnsi="Times New Roman" w:cs="Times New Roman"/>
          <w:sz w:val="20"/>
          <w:szCs w:val="20"/>
        </w:rPr>
        <w:t>while older age increases biological vulnerability, some studies report that younger men with high-grade tumors exhibit worse outcomes, suggesting that tumor biology and genetics may mediate the effect of age.</w:t>
      </w:r>
    </w:p>
    <w:p w14:paraId="4060B978"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PSA remains the cornerstone of prostate cancer screening and monitoring. Nonetheless, the predictive accuracy of PSA alone is widely debated </w:t>
      </w:r>
      <w:r w:rsidRPr="00DA4677">
        <w:rPr>
          <w:rFonts w:ascii="Times New Roman" w:eastAsia="Calibri" w:hAnsi="Times New Roman" w:cs="Times New Roman"/>
          <w:sz w:val="20"/>
          <w:szCs w:val="20"/>
        </w:rPr>
        <w:t>because of</w:t>
      </w:r>
      <w:r w:rsidRPr="00DA4677">
        <w:rPr>
          <w:rFonts w:ascii="Times New Roman" w:hAnsi="Times New Roman" w:cs="Times New Roman"/>
          <w:sz w:val="20"/>
          <w:szCs w:val="20"/>
        </w:rPr>
        <w:t xml:space="preserve"> false-positive rates and overlaps in PSA values between benign and malignant cases. Researchers have thus recommended combining PSA levels with other indicators</w:t>
      </w:r>
      <w:r w:rsidRPr="00DA4677">
        <w:rPr>
          <w:rFonts w:ascii="Times New Roman" w:eastAsia="Calibri" w:hAnsi="Times New Roman" w:cs="Times New Roman"/>
          <w:sz w:val="20"/>
          <w:szCs w:val="20"/>
        </w:rPr>
        <w:t>,</w:t>
      </w:r>
      <w:r w:rsidRPr="00DA4677">
        <w:rPr>
          <w:rFonts w:ascii="Times New Roman" w:hAnsi="Times New Roman" w:cs="Times New Roman"/>
          <w:sz w:val="20"/>
          <w:szCs w:val="20"/>
        </w:rPr>
        <w:t xml:space="preserve"> such as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Gleason score and tumor size</w:t>
      </w:r>
      <w:r w:rsidRPr="00DA4677">
        <w:rPr>
          <w:rFonts w:ascii="Times New Roman" w:eastAsia="Calibri" w:hAnsi="Times New Roman" w:cs="Times New Roman"/>
          <w:sz w:val="20"/>
          <w:szCs w:val="20"/>
        </w:rPr>
        <w:t>,</w:t>
      </w:r>
      <w:r w:rsidRPr="00DA4677">
        <w:rPr>
          <w:rFonts w:ascii="Times New Roman" w:hAnsi="Times New Roman" w:cs="Times New Roman"/>
          <w:sz w:val="20"/>
          <w:szCs w:val="20"/>
        </w:rPr>
        <w:t xml:space="preserve"> for improved risk classification (Guo et al., 2025; </w:t>
      </w:r>
      <w:proofErr w:type="spellStart"/>
      <w:r w:rsidRPr="00DA4677">
        <w:rPr>
          <w:rFonts w:ascii="Times New Roman" w:hAnsi="Times New Roman" w:cs="Times New Roman"/>
          <w:sz w:val="20"/>
          <w:szCs w:val="20"/>
        </w:rPr>
        <w:t>Yeasin</w:t>
      </w:r>
      <w:proofErr w:type="spellEnd"/>
      <w:r w:rsidRPr="00DA4677">
        <w:rPr>
          <w:rFonts w:ascii="Times New Roman" w:hAnsi="Times New Roman" w:cs="Times New Roman"/>
          <w:sz w:val="20"/>
          <w:szCs w:val="20"/>
        </w:rPr>
        <w:t xml:space="preserve"> et al., 2025; </w:t>
      </w:r>
      <w:proofErr w:type="spellStart"/>
      <w:r w:rsidRPr="00DA4677">
        <w:rPr>
          <w:rFonts w:ascii="Times New Roman" w:hAnsi="Times New Roman" w:cs="Times New Roman"/>
          <w:sz w:val="20"/>
          <w:szCs w:val="20"/>
        </w:rPr>
        <w:t>Xiong</w:t>
      </w:r>
      <w:proofErr w:type="spellEnd"/>
      <w:r w:rsidRPr="00DA4677">
        <w:rPr>
          <w:rFonts w:ascii="Times New Roman" w:hAnsi="Times New Roman" w:cs="Times New Roman"/>
          <w:sz w:val="20"/>
          <w:szCs w:val="20"/>
        </w:rPr>
        <w:t xml:space="preserve"> et al., 2025). In sub-Saharan African populations, elevated PSA levels are often detected at later disease stages, reflecting diagnostic delays and restricted access to specialized care.</w:t>
      </w:r>
    </w:p>
    <w:p w14:paraId="59B7F47A"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In Ghana, the majority of existing studies on prostate cancer have been descriptive, focusing on hospital-based case series and prevalence assessments. These investigations have highlighted the predominance of late-stage diagnoses and high tumor </w:t>
      </w:r>
      <w:r w:rsidRPr="00DA4677">
        <w:rPr>
          <w:rFonts w:ascii="Times New Roman" w:eastAsia="Calibri" w:hAnsi="Times New Roman" w:cs="Times New Roman"/>
          <w:sz w:val="20"/>
          <w:szCs w:val="20"/>
        </w:rPr>
        <w:t>burdens</w:t>
      </w:r>
      <w:r w:rsidRPr="00DA4677">
        <w:rPr>
          <w:rFonts w:ascii="Times New Roman" w:hAnsi="Times New Roman" w:cs="Times New Roman"/>
          <w:sz w:val="20"/>
          <w:szCs w:val="20"/>
        </w:rPr>
        <w:t xml:space="preserve"> but offer limited insights into the functional relationships among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clinical predictors of survival. Moreover,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conventional regression approaches used in these studies fail to address the nonlinear and interaction effects that characterize complex cancer data. The absence of such advanced modeling limits policy-level decision-making, particularly in resource-constrained environments where precision in prognostication is vital for optimizing treatment allocation.</w:t>
      </w:r>
    </w:p>
    <w:p w14:paraId="012ADBE5" w14:textId="77777777" w:rsidR="00612B51" w:rsidRPr="00DA4677" w:rsidRDefault="001D4AFD" w:rsidP="00612B51">
      <w:pPr>
        <w:pStyle w:val="NormalWeb"/>
        <w:rPr>
          <w:sz w:val="20"/>
          <w:szCs w:val="20"/>
        </w:rPr>
      </w:pPr>
      <w:r w:rsidRPr="00DA4677">
        <w:rPr>
          <w:sz w:val="20"/>
          <w:szCs w:val="20"/>
        </w:rPr>
        <w:t>Previous studies on prostate cancer survival in Ghana have relied predominantly on linear Cox regression frameworks or descriptive statistics, which constrain the capacity to capture nonlinear and heterogeneous risk relationships across clinical variables. These approaches fail to account for the complex interactions between biochemical, pathological, and treatment-related factors that influence patient survival. Furthermore, existing models in the Ghanaian context have not systematically incorporated explainable artificial intelligence (XAI) tools to interpret model outputs and quantify variable contributions to mortality risk.</w:t>
      </w:r>
    </w:p>
    <w:p w14:paraId="66115C5B" w14:textId="14E7F6A4" w:rsidR="00612B51" w:rsidRPr="00DA4677" w:rsidRDefault="001D4AFD" w:rsidP="006C527F">
      <w:pPr>
        <w:pStyle w:val="NormalWeb"/>
        <w:rPr>
          <w:sz w:val="20"/>
          <w:szCs w:val="20"/>
        </w:rPr>
      </w:pPr>
      <w:r w:rsidRPr="00DA4677">
        <w:rPr>
          <w:sz w:val="20"/>
          <w:szCs w:val="20"/>
        </w:rPr>
        <w:t>This study introduces a methodological advancement by integrating Shapley additive explanations (SHAP) analysis within the Cox proportional hazards model augmented by restricted cubic splines. The SHAP component enhances interpretability by decomposing the model’s predicted log hazard into additive feature contributions, thereby offering both global importance rankings and individualized patient-level explanations. When combined with the spline-based flexibility of the Cox model, this hybrid framework overcomes the linearity constraint of traditional survival models and ensures transparent, data-driven risk attribution.</w:t>
      </w:r>
    </w:p>
    <w:p w14:paraId="431108AB"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This research addresses these gaps by applying a Cox proportional hazards model integrated with restricted cubic splines (</w:t>
      </w:r>
      <w:r w:rsidRPr="00DA4677">
        <w:rPr>
          <w:rFonts w:ascii="Times New Roman" w:eastAsia="Calibri" w:hAnsi="Times New Roman" w:cs="Times New Roman"/>
          <w:sz w:val="20"/>
          <w:szCs w:val="20"/>
        </w:rPr>
        <w:t>RCSs</w:t>
      </w:r>
      <w:r w:rsidRPr="00DA4677">
        <w:rPr>
          <w:rFonts w:ascii="Times New Roman" w:hAnsi="Times New Roman" w:cs="Times New Roman"/>
          <w:sz w:val="20"/>
          <w:szCs w:val="20"/>
        </w:rPr>
        <w:t xml:space="preserve">) to evaluate the nonlinear effects of age and tumor size on prostate cancer survival. The model also incorporates key categorical variables such as PSA levels, cancer stage, Gleason score, and treatment modalities, </w:t>
      </w:r>
      <w:r w:rsidRPr="00DA4677">
        <w:rPr>
          <w:rFonts w:ascii="Times New Roman" w:hAnsi="Times New Roman" w:cs="Times New Roman"/>
          <w:sz w:val="20"/>
          <w:szCs w:val="20"/>
        </w:rPr>
        <w:lastRenderedPageBreak/>
        <w:t xml:space="preserve">providing a holistic understanding of survival determinants among Ghanaian men. By doing so, </w:t>
      </w:r>
      <w:r w:rsidRPr="00DA4677">
        <w:rPr>
          <w:rFonts w:ascii="Times New Roman" w:eastAsia="Calibri" w:hAnsi="Times New Roman" w:cs="Times New Roman"/>
          <w:sz w:val="20"/>
          <w:szCs w:val="20"/>
        </w:rPr>
        <w:t>this</w:t>
      </w:r>
      <w:r w:rsidRPr="00DA4677">
        <w:rPr>
          <w:rFonts w:ascii="Times New Roman" w:hAnsi="Times New Roman" w:cs="Times New Roman"/>
          <w:sz w:val="20"/>
          <w:szCs w:val="20"/>
        </w:rPr>
        <w:t xml:space="preserve"> study not only contributes novel methodological insights </w:t>
      </w:r>
      <w:r w:rsidRPr="00DA4677">
        <w:rPr>
          <w:rFonts w:ascii="Times New Roman" w:eastAsia="Calibri" w:hAnsi="Times New Roman" w:cs="Times New Roman"/>
          <w:sz w:val="20"/>
          <w:szCs w:val="20"/>
        </w:rPr>
        <w:t>into</w:t>
      </w:r>
      <w:r w:rsidRPr="00DA4677">
        <w:rPr>
          <w:rFonts w:ascii="Times New Roman" w:hAnsi="Times New Roman" w:cs="Times New Roman"/>
          <w:sz w:val="20"/>
          <w:szCs w:val="20"/>
        </w:rPr>
        <w:t xml:space="preserve"> local cancer epidemiology but also supports data-driven strategies for early diagnosis and personalized treatment planning. The evidence generated is expected to guide national cancer control efforts </w:t>
      </w:r>
      <w:r w:rsidRPr="00DA4677">
        <w:rPr>
          <w:rFonts w:ascii="Times New Roman" w:eastAsia="Calibri" w:hAnsi="Times New Roman" w:cs="Times New Roman"/>
          <w:sz w:val="20"/>
          <w:szCs w:val="20"/>
        </w:rPr>
        <w:t>to achieve</w:t>
      </w:r>
      <w:r w:rsidRPr="00DA4677">
        <w:rPr>
          <w:rFonts w:ascii="Times New Roman" w:hAnsi="Times New Roman" w:cs="Times New Roman"/>
          <w:sz w:val="20"/>
          <w:szCs w:val="20"/>
        </w:rPr>
        <w:t xml:space="preserve"> SDG 3.4 (reducing premature cancer mortality) and SDG 3.d (strengthening health system resilience through evidence-based care).</w:t>
      </w:r>
    </w:p>
    <w:p w14:paraId="7F865A64" w14:textId="255DA759" w:rsidR="00612B51" w:rsidRPr="00DA4677" w:rsidRDefault="006C527F" w:rsidP="00612B51">
      <w:pPr>
        <w:jc w:val="both"/>
        <w:rPr>
          <w:rFonts w:ascii="Times New Roman" w:hAnsi="Times New Roman" w:cs="Times New Roman"/>
          <w:sz w:val="20"/>
          <w:szCs w:val="20"/>
        </w:rPr>
      </w:pPr>
      <w:r>
        <w:rPr>
          <w:rFonts w:ascii="Times New Roman" w:hAnsi="Times New Roman" w:cs="Times New Roman"/>
          <w:sz w:val="20"/>
          <w:szCs w:val="20"/>
        </w:rPr>
        <w:t>Again, the</w:t>
      </w:r>
      <w:r w:rsidRPr="00DA4677">
        <w:rPr>
          <w:rFonts w:ascii="Times New Roman" w:hAnsi="Times New Roman" w:cs="Times New Roman"/>
          <w:sz w:val="20"/>
          <w:szCs w:val="20"/>
        </w:rPr>
        <w:t xml:space="preserve"> study aimed to build and validate a survival model for prostate cancer that captures nonlinear risk patterns relevant to clinical decision</w:t>
      </w:r>
      <w:r w:rsidRPr="00DA4677">
        <w:rPr>
          <w:rFonts w:ascii="Times New Roman" w:eastAsia="Calibri" w:hAnsi="Times New Roman" w:cs="Times New Roman"/>
          <w:sz w:val="20"/>
          <w:szCs w:val="20"/>
        </w:rPr>
        <w:t>-</w:t>
      </w:r>
      <w:r w:rsidRPr="00DA4677">
        <w:rPr>
          <w:rFonts w:ascii="Times New Roman" w:hAnsi="Times New Roman" w:cs="Times New Roman"/>
          <w:sz w:val="20"/>
          <w:szCs w:val="20"/>
        </w:rPr>
        <w:t xml:space="preserve">making in Ghana. The analysis focused on the flexible effects of age and tumor size, adjusted for PSA, clinical stage, Gleason score, nodal status, and treatment. The objectives were to estimate hazard functions with restricted cubic splines, assess proportional hazards, compare model performance with a linear Cox baseline, and present effect plots and </w:t>
      </w:r>
      <w:r w:rsidRPr="00DA4677">
        <w:rPr>
          <w:rFonts w:ascii="Times New Roman" w:eastAsia="Calibri" w:hAnsi="Times New Roman" w:cs="Times New Roman"/>
          <w:sz w:val="20"/>
          <w:szCs w:val="20"/>
        </w:rPr>
        <w:t>calibrations</w:t>
      </w:r>
      <w:r w:rsidRPr="00DA4677">
        <w:rPr>
          <w:rFonts w:ascii="Times New Roman" w:hAnsi="Times New Roman" w:cs="Times New Roman"/>
          <w:sz w:val="20"/>
          <w:szCs w:val="20"/>
        </w:rPr>
        <w:t xml:space="preserve"> suitable for clinical interpretation.</w:t>
      </w:r>
      <w:r w:rsidR="00274234" w:rsidRPr="00DA4677">
        <w:rPr>
          <w:rFonts w:ascii="Times New Roman" w:hAnsi="Times New Roman" w:cs="Times New Roman"/>
          <w:sz w:val="20"/>
          <w:szCs w:val="20"/>
        </w:rPr>
        <w:t xml:space="preserve"> The model was designed to support clinical decision pathways by providing flexible risk estimates suitable for triage, treatment planning, and follow-up prioritization within resource-limited oncology settings.</w:t>
      </w:r>
    </w:p>
    <w:p w14:paraId="60469919"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integration of SHAP </w:t>
      </w:r>
      <w:proofErr w:type="spellStart"/>
      <w:r w:rsidRPr="00DA4677">
        <w:rPr>
          <w:rFonts w:ascii="Times New Roman" w:hAnsi="Times New Roman" w:cs="Times New Roman"/>
          <w:sz w:val="20"/>
          <w:szCs w:val="20"/>
        </w:rPr>
        <w:t>explainability</w:t>
      </w:r>
      <w:proofErr w:type="spellEnd"/>
      <w:r w:rsidRPr="00DA4677">
        <w:rPr>
          <w:rFonts w:ascii="Times New Roman" w:hAnsi="Times New Roman" w:cs="Times New Roman"/>
          <w:sz w:val="20"/>
          <w:szCs w:val="20"/>
        </w:rPr>
        <w:t xml:space="preserve"> addresses three critical gaps:</w:t>
      </w:r>
    </w:p>
    <w:p w14:paraId="0F6C4E25" w14:textId="77777777" w:rsidR="00612B51" w:rsidRPr="00DA4677" w:rsidRDefault="001D4AFD" w:rsidP="00612B51">
      <w:pPr>
        <w:numPr>
          <w:ilvl w:val="0"/>
          <w:numId w:val="4"/>
        </w:numPr>
        <w:jc w:val="both"/>
        <w:rPr>
          <w:rFonts w:ascii="Times New Roman" w:hAnsi="Times New Roman" w:cs="Times New Roman"/>
          <w:sz w:val="20"/>
          <w:szCs w:val="20"/>
        </w:rPr>
      </w:pPr>
      <w:r w:rsidRPr="00DA4677">
        <w:rPr>
          <w:rFonts w:ascii="Times New Roman" w:hAnsi="Times New Roman" w:cs="Times New Roman"/>
          <w:b/>
          <w:bCs/>
          <w:sz w:val="20"/>
          <w:szCs w:val="20"/>
        </w:rPr>
        <w:t>Analytical gap:</w:t>
      </w:r>
      <w:r w:rsidRPr="00DA4677">
        <w:rPr>
          <w:rFonts w:ascii="Times New Roman" w:hAnsi="Times New Roman" w:cs="Times New Roman"/>
          <w:sz w:val="20"/>
          <w:szCs w:val="20"/>
        </w:rPr>
        <w:t xml:space="preserve"> </w:t>
      </w:r>
      <w:r w:rsidRPr="00DA4677">
        <w:rPr>
          <w:rFonts w:ascii="Times New Roman" w:eastAsia="Calibri" w:hAnsi="Times New Roman" w:cs="Times New Roman"/>
          <w:sz w:val="20"/>
          <w:szCs w:val="20"/>
        </w:rPr>
        <w:t>This approach</w:t>
      </w:r>
      <w:r w:rsidRPr="00DA4677">
        <w:rPr>
          <w:rFonts w:ascii="Times New Roman" w:hAnsi="Times New Roman" w:cs="Times New Roman"/>
          <w:sz w:val="20"/>
          <w:szCs w:val="20"/>
        </w:rPr>
        <w:t xml:space="preserve"> extends conventional spline-based survival modeling into the explainable AI domain, providing interpretable nonlinear effects for continuous and categorical predictors.</w:t>
      </w:r>
    </w:p>
    <w:p w14:paraId="48FE90CC" w14:textId="77777777" w:rsidR="00612B51" w:rsidRPr="00DA4677" w:rsidRDefault="001D4AFD" w:rsidP="00612B51">
      <w:pPr>
        <w:numPr>
          <w:ilvl w:val="0"/>
          <w:numId w:val="4"/>
        </w:numPr>
        <w:jc w:val="both"/>
        <w:rPr>
          <w:rFonts w:ascii="Times New Roman" w:hAnsi="Times New Roman" w:cs="Times New Roman"/>
          <w:sz w:val="20"/>
          <w:szCs w:val="20"/>
        </w:rPr>
      </w:pPr>
      <w:r w:rsidRPr="00DA4677">
        <w:rPr>
          <w:rFonts w:ascii="Times New Roman" w:hAnsi="Times New Roman" w:cs="Times New Roman"/>
          <w:b/>
          <w:bCs/>
          <w:sz w:val="20"/>
          <w:szCs w:val="20"/>
        </w:rPr>
        <w:t>Empirical gap:</w:t>
      </w:r>
      <w:r w:rsidRPr="00DA4677">
        <w:rPr>
          <w:rFonts w:ascii="Times New Roman" w:hAnsi="Times New Roman" w:cs="Times New Roman"/>
          <w:sz w:val="20"/>
          <w:szCs w:val="20"/>
        </w:rPr>
        <w:t xml:space="preserve"> </w:t>
      </w:r>
      <w:r w:rsidRPr="00DA4677">
        <w:rPr>
          <w:rFonts w:ascii="Times New Roman" w:eastAsia="Calibri" w:hAnsi="Times New Roman" w:cs="Times New Roman"/>
          <w:sz w:val="20"/>
          <w:szCs w:val="20"/>
        </w:rPr>
        <w:t>This study provides</w:t>
      </w:r>
      <w:r w:rsidRPr="00DA4677">
        <w:rPr>
          <w:rFonts w:ascii="Times New Roman" w:hAnsi="Times New Roman" w:cs="Times New Roman"/>
          <w:sz w:val="20"/>
          <w:szCs w:val="20"/>
        </w:rPr>
        <w:t xml:space="preserve"> robust feature-level insights specific to Ghanaian prostate cancer patients, revealing context-sensitive drivers of mortality</w:t>
      </w:r>
      <w:r w:rsidRPr="00DA4677">
        <w:rPr>
          <w:rFonts w:ascii="Times New Roman" w:eastAsia="Calibri" w:hAnsi="Times New Roman" w:cs="Times New Roman"/>
          <w:sz w:val="20"/>
          <w:szCs w:val="20"/>
        </w:rPr>
        <w:t>,</w:t>
      </w:r>
      <w:r w:rsidRPr="00DA4677">
        <w:rPr>
          <w:rFonts w:ascii="Times New Roman" w:hAnsi="Times New Roman" w:cs="Times New Roman"/>
          <w:sz w:val="20"/>
          <w:szCs w:val="20"/>
        </w:rPr>
        <w:t xml:space="preserve"> such as tumor size, Gleason score, and treatment heterogeneity.</w:t>
      </w:r>
    </w:p>
    <w:p w14:paraId="6905B427" w14:textId="77777777" w:rsidR="00612B51" w:rsidRPr="00DA4677" w:rsidRDefault="001D4AFD" w:rsidP="00612B51">
      <w:pPr>
        <w:numPr>
          <w:ilvl w:val="0"/>
          <w:numId w:val="4"/>
        </w:numPr>
        <w:jc w:val="both"/>
        <w:rPr>
          <w:rFonts w:ascii="Times New Roman" w:hAnsi="Times New Roman" w:cs="Times New Roman"/>
          <w:sz w:val="20"/>
          <w:szCs w:val="20"/>
        </w:rPr>
      </w:pPr>
      <w:r w:rsidRPr="00DA4677">
        <w:rPr>
          <w:rFonts w:ascii="Times New Roman" w:hAnsi="Times New Roman" w:cs="Times New Roman"/>
          <w:b/>
          <w:bCs/>
          <w:sz w:val="20"/>
          <w:szCs w:val="20"/>
        </w:rPr>
        <w:t>Policy gap:</w:t>
      </w:r>
      <w:r w:rsidRPr="00DA4677">
        <w:rPr>
          <w:rFonts w:ascii="Times New Roman" w:hAnsi="Times New Roman" w:cs="Times New Roman"/>
          <w:sz w:val="20"/>
          <w:szCs w:val="20"/>
        </w:rPr>
        <w:t xml:space="preserve"> </w:t>
      </w:r>
      <w:r w:rsidRPr="00DA4677">
        <w:rPr>
          <w:rFonts w:ascii="Times New Roman" w:eastAsia="Calibri" w:hAnsi="Times New Roman" w:cs="Times New Roman"/>
          <w:sz w:val="20"/>
          <w:szCs w:val="20"/>
        </w:rPr>
        <w:t>This gap</w:t>
      </w:r>
      <w:r w:rsidRPr="00DA4677">
        <w:rPr>
          <w:rFonts w:ascii="Times New Roman" w:hAnsi="Times New Roman" w:cs="Times New Roman"/>
          <w:sz w:val="20"/>
          <w:szCs w:val="20"/>
        </w:rPr>
        <w:t xml:space="preserve"> enhances decision support for clinical practitioners and policymakers by linking statistical inference with explainable model outputs, facilitating transparent and individualized risk communication in oncology practice.</w:t>
      </w:r>
    </w:p>
    <w:p w14:paraId="14AB4F38" w14:textId="77777777" w:rsidR="00FB53A8" w:rsidRPr="00FB53A8" w:rsidRDefault="00FB53A8" w:rsidP="00347080">
      <w:pPr>
        <w:pStyle w:val="NormalWeb"/>
        <w:jc w:val="both"/>
        <w:rPr>
          <w:sz w:val="20"/>
          <w:szCs w:val="20"/>
        </w:rPr>
      </w:pPr>
      <w:r w:rsidRPr="00FB53A8">
        <w:rPr>
          <w:sz w:val="20"/>
          <w:szCs w:val="20"/>
        </w:rPr>
        <w:t>Recent advances in explainable artificial intelligence (XAI) in oncology highlight the growing need for transparent, clinically reliable predictive models that support decision-making across diverse cancer types. Systematic evaluations of XAI systems in neuro-oncology show that trust, interpretability, and robustness remain critical barriers to clinical adoption, particularly when models handle complex nonlinear biological patterns (</w:t>
      </w:r>
      <w:proofErr w:type="spellStart"/>
      <w:r w:rsidRPr="00FB53A8">
        <w:rPr>
          <w:sz w:val="20"/>
          <w:szCs w:val="20"/>
        </w:rPr>
        <w:t>Pamungkas</w:t>
      </w:r>
      <w:proofErr w:type="spellEnd"/>
      <w:r w:rsidRPr="00FB53A8">
        <w:rPr>
          <w:sz w:val="20"/>
          <w:szCs w:val="20"/>
        </w:rPr>
        <w:t xml:space="preserve"> et al., 2025). Similar challenges have been documented across tumor diagnostics in the female reproductive system, where researchers emphasize the necessity of integrating flexible modeling frameworks with interpretable outputs to address heterogeneous tumor </w:t>
      </w:r>
      <w:proofErr w:type="spellStart"/>
      <w:r w:rsidRPr="00FB53A8">
        <w:rPr>
          <w:sz w:val="20"/>
          <w:szCs w:val="20"/>
        </w:rPr>
        <w:t>behaviours</w:t>
      </w:r>
      <w:proofErr w:type="spellEnd"/>
      <w:r w:rsidRPr="00FB53A8">
        <w:rPr>
          <w:sz w:val="20"/>
          <w:szCs w:val="20"/>
        </w:rPr>
        <w:t xml:space="preserve"> and improve diagnostic confidence (Gao et al., 2024). Moreover, user-centered design principles are increasingly recognized as essential for ensuring that explainable AI tools align with clinician workflows and enhance real-world decision-support, as demonstrated in contemporary work on CNS tumor management (Prince et al., 2025). In this context, the present study’s integration of restricted cubic splines with SHAP-based </w:t>
      </w:r>
      <w:proofErr w:type="spellStart"/>
      <w:r w:rsidRPr="00FB53A8">
        <w:rPr>
          <w:sz w:val="20"/>
          <w:szCs w:val="20"/>
        </w:rPr>
        <w:t>explainability</w:t>
      </w:r>
      <w:proofErr w:type="spellEnd"/>
      <w:r w:rsidRPr="00FB53A8">
        <w:rPr>
          <w:sz w:val="20"/>
          <w:szCs w:val="20"/>
        </w:rPr>
        <w:t xml:space="preserve"> directly aligns with global advancements in trustworthy AI for oncology, offering a transparent, flexible, and clinically interpretable approach to survival modeling that is urgently needed in resource-limited prostate cancer care settings.</w:t>
      </w:r>
    </w:p>
    <w:p w14:paraId="33C9810A" w14:textId="0FDC6214" w:rsidR="00612B51" w:rsidRPr="00DA4677" w:rsidRDefault="006C527F" w:rsidP="00347080">
      <w:pPr>
        <w:pStyle w:val="NormalWeb"/>
        <w:jc w:val="both"/>
        <w:rPr>
          <w:sz w:val="20"/>
          <w:szCs w:val="20"/>
        </w:rPr>
      </w:pPr>
      <w:r>
        <w:rPr>
          <w:sz w:val="20"/>
          <w:szCs w:val="20"/>
        </w:rPr>
        <w:t>Moreover, t</w:t>
      </w:r>
      <w:r w:rsidRPr="00DA4677">
        <w:rPr>
          <w:sz w:val="20"/>
          <w:szCs w:val="20"/>
        </w:rPr>
        <w:t xml:space="preserve">his study builds upon prior epidemiologic findings by providing a flexible survival framework capable of capturing nonlinear risk gradients relevant to the Ghanaian context. The spline-augmented Cox model and SHAP </w:t>
      </w:r>
      <w:proofErr w:type="spellStart"/>
      <w:r w:rsidRPr="00DA4677">
        <w:rPr>
          <w:sz w:val="20"/>
          <w:szCs w:val="20"/>
        </w:rPr>
        <w:t>explainability</w:t>
      </w:r>
      <w:proofErr w:type="spellEnd"/>
      <w:r w:rsidRPr="00DA4677">
        <w:rPr>
          <w:sz w:val="20"/>
          <w:szCs w:val="20"/>
        </w:rPr>
        <w:t xml:space="preserve"> provide a structured approach that aligns with contemporary precision-oncology objectives. The reviewed evidence highlights a persistent pattern of late-stage diagnosis and heterogeneous risk profiles in Ghana, supporting the need for an adaptable modeling framework capable of capturing nonlinear effects in survival data.</w:t>
      </w:r>
    </w:p>
    <w:p w14:paraId="1064C3E7" w14:textId="77777777" w:rsidR="00425F97" w:rsidRDefault="00425F97" w:rsidP="00612B51">
      <w:pPr>
        <w:jc w:val="both"/>
        <w:rPr>
          <w:rFonts w:ascii="Times New Roman" w:hAnsi="Times New Roman" w:cs="Times New Roman"/>
          <w:b/>
          <w:bCs/>
          <w:sz w:val="20"/>
          <w:szCs w:val="20"/>
        </w:rPr>
      </w:pPr>
    </w:p>
    <w:p w14:paraId="54682A42" w14:textId="74919742" w:rsidR="00612B51" w:rsidRPr="00DA4677" w:rsidRDefault="001D4AFD" w:rsidP="00612B51">
      <w:pPr>
        <w:jc w:val="both"/>
        <w:rPr>
          <w:rFonts w:ascii="Times New Roman" w:hAnsi="Times New Roman" w:cs="Times New Roman"/>
          <w:b/>
          <w:bCs/>
          <w:sz w:val="20"/>
          <w:szCs w:val="20"/>
        </w:rPr>
      </w:pPr>
      <w:r w:rsidRPr="00DA4677">
        <w:rPr>
          <w:rFonts w:ascii="Times New Roman" w:hAnsi="Times New Roman" w:cs="Times New Roman"/>
          <w:b/>
          <w:bCs/>
          <w:sz w:val="20"/>
          <w:szCs w:val="20"/>
        </w:rPr>
        <w:t xml:space="preserve">Materials and </w:t>
      </w:r>
      <w:r w:rsidRPr="00DA4677">
        <w:rPr>
          <w:rFonts w:ascii="Times New Roman" w:eastAsia="Calibri" w:hAnsi="Times New Roman" w:cs="Times New Roman"/>
          <w:b/>
          <w:bCs/>
          <w:sz w:val="20"/>
          <w:szCs w:val="20"/>
        </w:rPr>
        <w:t>methods</w:t>
      </w:r>
    </w:p>
    <w:p w14:paraId="3B2A06B6" w14:textId="77777777" w:rsidR="00612B51" w:rsidRPr="00DA4677" w:rsidRDefault="001D4AFD" w:rsidP="00612B51">
      <w:pPr>
        <w:jc w:val="both"/>
        <w:rPr>
          <w:rFonts w:ascii="Times New Roman" w:hAnsi="Times New Roman" w:cs="Times New Roman"/>
          <w:b/>
          <w:bCs/>
          <w:sz w:val="20"/>
          <w:szCs w:val="20"/>
        </w:rPr>
      </w:pPr>
      <w:r w:rsidRPr="00DA4677">
        <w:rPr>
          <w:rFonts w:ascii="Times New Roman" w:hAnsi="Times New Roman" w:cs="Times New Roman"/>
          <w:b/>
          <w:bCs/>
          <w:sz w:val="20"/>
          <w:szCs w:val="20"/>
        </w:rPr>
        <w:t>Study Design and Setting</w:t>
      </w:r>
    </w:p>
    <w:p w14:paraId="228A5557" w14:textId="5BB5841D"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This was a retrospective cohort study of men with histologically confirmed prostate cancer managed at Korle Bu Teaching Hospital, Ghana, </w:t>
      </w:r>
      <w:r w:rsidRPr="00DA4677">
        <w:rPr>
          <w:rFonts w:ascii="Times New Roman" w:eastAsia="Calibri" w:hAnsi="Times New Roman" w:cs="Times New Roman"/>
          <w:sz w:val="20"/>
          <w:szCs w:val="20"/>
        </w:rPr>
        <w:t>from</w:t>
      </w:r>
      <w:r w:rsidRPr="00DA4677">
        <w:rPr>
          <w:rFonts w:ascii="Times New Roman" w:hAnsi="Times New Roman" w:cs="Times New Roman"/>
          <w:sz w:val="20"/>
          <w:szCs w:val="20"/>
        </w:rPr>
        <w:t xml:space="preserve"> </w:t>
      </w:r>
      <w:r w:rsidR="00DD7901">
        <w:rPr>
          <w:rFonts w:ascii="Times New Roman" w:hAnsi="Times New Roman" w:cs="Times New Roman"/>
          <w:sz w:val="20"/>
          <w:szCs w:val="20"/>
        </w:rPr>
        <w:t xml:space="preserve">2015 to 2020. </w:t>
      </w:r>
      <w:r w:rsidRPr="00DA4677">
        <w:rPr>
          <w:rFonts w:ascii="Times New Roman" w:eastAsia="Calibri" w:hAnsi="Times New Roman" w:cs="Times New Roman"/>
          <w:sz w:val="20"/>
          <w:szCs w:val="20"/>
        </w:rPr>
        <w:t>The time of</w:t>
      </w:r>
      <w:r w:rsidRPr="00DA4677">
        <w:rPr>
          <w:rFonts w:ascii="Times New Roman" w:hAnsi="Times New Roman" w:cs="Times New Roman"/>
          <w:sz w:val="20"/>
          <w:szCs w:val="20"/>
        </w:rPr>
        <w:t xml:space="preserve"> origin was the date of histologic diagnosis. Patients were followed until death to the event of interest (prostate cancer). </w:t>
      </w:r>
      <w:r w:rsidRPr="00DA4677">
        <w:rPr>
          <w:rFonts w:ascii="Times New Roman" w:eastAsia="Calibri" w:hAnsi="Times New Roman" w:cs="Times New Roman"/>
          <w:sz w:val="20"/>
          <w:szCs w:val="20"/>
        </w:rPr>
        <w:t>The inclusion</w:t>
      </w:r>
      <w:r w:rsidRPr="00DA4677">
        <w:rPr>
          <w:rFonts w:ascii="Times New Roman" w:hAnsi="Times New Roman" w:cs="Times New Roman"/>
          <w:sz w:val="20"/>
          <w:szCs w:val="20"/>
        </w:rPr>
        <w:t xml:space="preserve"> criteria were age ≥18 </w:t>
      </w:r>
      <w:r w:rsidR="000F4926">
        <w:rPr>
          <w:rFonts w:ascii="Times New Roman" w:hAnsi="Times New Roman" w:cs="Times New Roman"/>
          <w:sz w:val="20"/>
          <w:szCs w:val="20"/>
        </w:rPr>
        <w:t>years and</w:t>
      </w:r>
      <w:r w:rsidRPr="00DA4677">
        <w:rPr>
          <w:rFonts w:ascii="Times New Roman" w:hAnsi="Times New Roman" w:cs="Times New Roman"/>
          <w:sz w:val="20"/>
          <w:szCs w:val="20"/>
        </w:rPr>
        <w:t xml:space="preserve"> availability of baseline clinical variables at diagnosis. </w:t>
      </w:r>
      <w:r w:rsidRPr="00DA4677">
        <w:rPr>
          <w:rFonts w:ascii="Times New Roman" w:eastAsia="Calibri" w:hAnsi="Times New Roman" w:cs="Times New Roman"/>
          <w:sz w:val="20"/>
          <w:szCs w:val="20"/>
        </w:rPr>
        <w:t>The exclusion</w:t>
      </w:r>
      <w:r w:rsidRPr="00DA4677">
        <w:rPr>
          <w:rFonts w:ascii="Times New Roman" w:hAnsi="Times New Roman" w:cs="Times New Roman"/>
          <w:sz w:val="20"/>
          <w:szCs w:val="20"/>
        </w:rPr>
        <w:t xml:space="preserve"> criteria were prior malignancy requiring systemic therapy and missing diagnosis </w:t>
      </w:r>
      <w:r w:rsidRPr="00DA4677">
        <w:rPr>
          <w:rFonts w:ascii="Times New Roman" w:eastAsia="Calibri" w:hAnsi="Times New Roman" w:cs="Times New Roman"/>
          <w:sz w:val="20"/>
          <w:szCs w:val="20"/>
        </w:rPr>
        <w:t xml:space="preserve">data. </w:t>
      </w:r>
      <w:r w:rsidRPr="00DA4677">
        <w:rPr>
          <w:rFonts w:ascii="Times New Roman" w:hAnsi="Times New Roman" w:cs="Times New Roman"/>
          <w:sz w:val="20"/>
          <w:szCs w:val="20"/>
        </w:rPr>
        <w:t xml:space="preserve">The primary endpoint was overall survival, defined as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time from diagnosis to death from any cause. Patients without </w:t>
      </w:r>
      <w:r w:rsidRPr="00DA4677">
        <w:rPr>
          <w:rFonts w:ascii="Times New Roman" w:eastAsia="Calibri" w:hAnsi="Times New Roman" w:cs="Times New Roman"/>
          <w:sz w:val="20"/>
          <w:szCs w:val="20"/>
        </w:rPr>
        <w:t>events</w:t>
      </w:r>
      <w:r w:rsidRPr="00DA4677">
        <w:rPr>
          <w:rFonts w:ascii="Times New Roman" w:hAnsi="Times New Roman" w:cs="Times New Roman"/>
          <w:sz w:val="20"/>
          <w:szCs w:val="20"/>
        </w:rPr>
        <w:t xml:space="preserve"> at censoring were treated as right-censored. The analysis used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time since diagnosis in months. </w:t>
      </w:r>
      <w:r w:rsidRPr="00DA4677">
        <w:rPr>
          <w:rFonts w:ascii="Times New Roman" w:eastAsia="Calibri" w:hAnsi="Times New Roman" w:cs="Times New Roman"/>
          <w:sz w:val="20"/>
          <w:szCs w:val="20"/>
        </w:rPr>
        <w:t>The prespecified</w:t>
      </w:r>
      <w:r w:rsidRPr="00DA4677">
        <w:rPr>
          <w:rFonts w:ascii="Times New Roman" w:hAnsi="Times New Roman" w:cs="Times New Roman"/>
          <w:sz w:val="20"/>
          <w:szCs w:val="20"/>
        </w:rPr>
        <w:t xml:space="preserve"> baseline predictors included age (years), tumor size (cm), PSA (ng/mL), clinical stage, Gleason score, regional lymph node involvement, and first-line treatment category. </w:t>
      </w:r>
      <w:r w:rsidR="00636F42" w:rsidRPr="00DA4677">
        <w:rPr>
          <w:rFonts w:ascii="Times New Roman" w:hAnsi="Times New Roman" w:cs="Times New Roman"/>
          <w:sz w:val="20"/>
          <w:szCs w:val="20"/>
        </w:rPr>
        <w:t xml:space="preserve">Global and covariate-specific proportional hazards assumptions were evaluated </w:t>
      </w:r>
      <w:r w:rsidR="007B413A">
        <w:rPr>
          <w:rFonts w:ascii="Times New Roman" w:hAnsi="Times New Roman" w:cs="Times New Roman"/>
          <w:sz w:val="20"/>
          <w:szCs w:val="20"/>
        </w:rPr>
        <w:t xml:space="preserve">via </w:t>
      </w:r>
      <w:r w:rsidR="007B413A" w:rsidRPr="007B413A">
        <w:rPr>
          <w:rFonts w:ascii="Times New Roman" w:eastAsia="Calibri" w:hAnsi="Times New Roman" w:cs="Times New Roman"/>
          <w:sz w:val="20"/>
          <w:szCs w:val="20"/>
        </w:rPr>
        <w:t>graphical diagnostics</w:t>
      </w:r>
      <w:r w:rsidR="00636F42" w:rsidRPr="00DA4677">
        <w:rPr>
          <w:rFonts w:ascii="Times New Roman" w:hAnsi="Times New Roman" w:cs="Times New Roman"/>
          <w:sz w:val="20"/>
          <w:szCs w:val="20"/>
        </w:rPr>
        <w:t xml:space="preserve"> tests. </w:t>
      </w:r>
      <w:r w:rsidRPr="00DA4677">
        <w:rPr>
          <w:rFonts w:ascii="Times New Roman" w:hAnsi="Times New Roman" w:cs="Times New Roman"/>
          <w:sz w:val="20"/>
          <w:szCs w:val="20"/>
        </w:rPr>
        <w:t xml:space="preserve">Cox proportional hazards models were fitted to estimate hazard ratios. Flexible effects for age and tumor </w:t>
      </w:r>
      <w:r w:rsidRPr="00DA4677">
        <w:rPr>
          <w:rFonts w:ascii="Times New Roman" w:hAnsi="Times New Roman" w:cs="Times New Roman"/>
          <w:sz w:val="20"/>
          <w:szCs w:val="20"/>
        </w:rPr>
        <w:lastRenderedPageBreak/>
        <w:t xml:space="preserve">size were introduced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restricted cubic splines to allow data-driven curvature while preserving smoothness.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RCS models were fitted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four interior knots located at the 5th, 35th, 65th, and 95th percentiles of each continuous predictor distribution. </w:t>
      </w:r>
      <w:r w:rsidRPr="00DA4677">
        <w:rPr>
          <w:rFonts w:ascii="Times New Roman" w:eastAsia="Calibri" w:hAnsi="Times New Roman" w:cs="Times New Roman"/>
          <w:sz w:val="20"/>
          <w:szCs w:val="20"/>
        </w:rPr>
        <w:t>The reference</w:t>
      </w:r>
      <w:r w:rsidRPr="00DA4677">
        <w:rPr>
          <w:rFonts w:ascii="Times New Roman" w:hAnsi="Times New Roman" w:cs="Times New Roman"/>
          <w:sz w:val="20"/>
          <w:szCs w:val="20"/>
        </w:rPr>
        <w:t xml:space="preserve"> categories were Stage I for cancer stage, low PSA for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PSA category, and no therapy for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treatment variables. SHAP values were computed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a log</w:t>
      </w:r>
      <w:r w:rsidRPr="00DA4677">
        <w:rPr>
          <w:rFonts w:ascii="Times New Roman" w:eastAsia="Calibri" w:hAnsi="Times New Roman" w:cs="Times New Roman"/>
          <w:sz w:val="20"/>
          <w:szCs w:val="20"/>
        </w:rPr>
        <w:t xml:space="preserve"> </w:t>
      </w:r>
      <w:r w:rsidRPr="00DA4677">
        <w:rPr>
          <w:rFonts w:ascii="Times New Roman" w:hAnsi="Times New Roman" w:cs="Times New Roman"/>
          <w:sz w:val="20"/>
          <w:szCs w:val="20"/>
        </w:rPr>
        <w:t>hazard–based explainer with the Cox model linear predictor as the background expectation.</w:t>
      </w:r>
      <w:r w:rsidR="00636F42">
        <w:rPr>
          <w:rFonts w:ascii="Times New Roman" w:hAnsi="Times New Roman" w:cs="Times New Roman"/>
          <w:sz w:val="20"/>
          <w:szCs w:val="20"/>
        </w:rPr>
        <w:t xml:space="preserve"> </w:t>
      </w:r>
      <w:r w:rsidRPr="00DA4677">
        <w:rPr>
          <w:rFonts w:ascii="Times New Roman" w:hAnsi="Times New Roman" w:cs="Times New Roman"/>
          <w:sz w:val="20"/>
          <w:szCs w:val="20"/>
        </w:rPr>
        <w:t xml:space="preserve">Nonlinearity was assessed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Wald tests</w:t>
      </w:r>
      <w:r w:rsidRPr="00DA4677">
        <w:rPr>
          <w:rFonts w:ascii="Times New Roman" w:eastAsia="Calibri" w:hAnsi="Times New Roman" w:cs="Times New Roman"/>
          <w:sz w:val="20"/>
          <w:szCs w:val="20"/>
        </w:rPr>
        <w:t>, which compared</w:t>
      </w:r>
      <w:r w:rsidRPr="00DA4677">
        <w:rPr>
          <w:rFonts w:ascii="Times New Roman" w:hAnsi="Times New Roman" w:cs="Times New Roman"/>
          <w:sz w:val="20"/>
          <w:szCs w:val="20"/>
        </w:rPr>
        <w:t xml:space="preserve"> the spline model with its linear counterpart. Partial effect plots display adjusted hazard ratios across the observed range, anchored at clinically meaningful reference values with 95% confidence intervals.</w:t>
      </w:r>
    </w:p>
    <w:p w14:paraId="2B3B4CF7" w14:textId="7DE1EBE1" w:rsidR="00612B51" w:rsidRDefault="001D4AFD" w:rsidP="00612B51">
      <w:pPr>
        <w:jc w:val="both"/>
        <w:rPr>
          <w:rFonts w:ascii="Times New Roman" w:hAnsi="Times New Roman" w:cs="Times New Roman"/>
          <w:sz w:val="20"/>
          <w:szCs w:val="20"/>
        </w:rPr>
      </w:pPr>
      <w:r w:rsidRPr="00816922">
        <w:rPr>
          <w:rFonts w:ascii="Times New Roman" w:hAnsi="Times New Roman" w:cs="Times New Roman"/>
          <w:sz w:val="20"/>
          <w:szCs w:val="20"/>
        </w:rPr>
        <w:t xml:space="preserve">Descriptive statistics were computed for all </w:t>
      </w:r>
      <w:r w:rsidRPr="00816922">
        <w:rPr>
          <w:rFonts w:ascii="Times New Roman" w:eastAsia="Calibri" w:hAnsi="Times New Roman" w:cs="Times New Roman"/>
          <w:sz w:val="20"/>
          <w:szCs w:val="20"/>
        </w:rPr>
        <w:t xml:space="preserve">the </w:t>
      </w:r>
      <w:r w:rsidRPr="00816922">
        <w:rPr>
          <w:rFonts w:ascii="Times New Roman" w:hAnsi="Times New Roman" w:cs="Times New Roman"/>
          <w:sz w:val="20"/>
          <w:szCs w:val="20"/>
        </w:rPr>
        <w:t xml:space="preserve">variables. Continuous variables </w:t>
      </w:r>
      <w:r w:rsidRPr="00816922">
        <w:rPr>
          <w:rFonts w:ascii="Times New Roman" w:eastAsia="Calibri" w:hAnsi="Times New Roman" w:cs="Times New Roman"/>
          <w:sz w:val="20"/>
          <w:szCs w:val="20"/>
        </w:rPr>
        <w:t>are</w:t>
      </w:r>
      <w:r w:rsidRPr="00816922">
        <w:rPr>
          <w:rFonts w:ascii="Times New Roman" w:hAnsi="Times New Roman" w:cs="Times New Roman"/>
          <w:sz w:val="20"/>
          <w:szCs w:val="20"/>
        </w:rPr>
        <w:t xml:space="preserve"> summarized as </w:t>
      </w:r>
      <w:r w:rsidRPr="00816922">
        <w:rPr>
          <w:rFonts w:ascii="Times New Roman" w:eastAsia="Calibri" w:hAnsi="Times New Roman" w:cs="Times New Roman"/>
          <w:sz w:val="20"/>
          <w:szCs w:val="20"/>
        </w:rPr>
        <w:t xml:space="preserve">the </w:t>
      </w:r>
      <w:r w:rsidRPr="00816922">
        <w:rPr>
          <w:rFonts w:ascii="Times New Roman" w:hAnsi="Times New Roman" w:cs="Times New Roman"/>
          <w:sz w:val="20"/>
          <w:szCs w:val="20"/>
        </w:rPr>
        <w:t xml:space="preserve">means and standard deviations, </w:t>
      </w:r>
      <w:r w:rsidRPr="00816922">
        <w:rPr>
          <w:rFonts w:ascii="Times New Roman" w:eastAsia="Calibri" w:hAnsi="Times New Roman" w:cs="Times New Roman"/>
          <w:sz w:val="20"/>
          <w:szCs w:val="20"/>
        </w:rPr>
        <w:t>whereas</w:t>
      </w:r>
      <w:r w:rsidRPr="00816922">
        <w:rPr>
          <w:rFonts w:ascii="Times New Roman" w:hAnsi="Times New Roman" w:cs="Times New Roman"/>
          <w:sz w:val="20"/>
          <w:szCs w:val="20"/>
        </w:rPr>
        <w:t xml:space="preserve"> categorical variables </w:t>
      </w:r>
      <w:r w:rsidRPr="00816922">
        <w:rPr>
          <w:rFonts w:ascii="Times New Roman" w:eastAsia="Calibri" w:hAnsi="Times New Roman" w:cs="Times New Roman"/>
          <w:sz w:val="20"/>
          <w:szCs w:val="20"/>
        </w:rPr>
        <w:t>are</w:t>
      </w:r>
      <w:r w:rsidRPr="00816922">
        <w:rPr>
          <w:rFonts w:ascii="Times New Roman" w:hAnsi="Times New Roman" w:cs="Times New Roman"/>
          <w:sz w:val="20"/>
          <w:szCs w:val="20"/>
        </w:rPr>
        <w:t xml:space="preserve"> presented as counts and percentages. The mean patient age was 52.76 ± 17.65 years, and the average tumor size was 5.47 ± 2.60 cm, indicating a predominance of middle-aged individuals with moderate tumor burdens at diagnosis. Most patients presented </w:t>
      </w:r>
      <w:r w:rsidRPr="00816922">
        <w:rPr>
          <w:rFonts w:ascii="Times New Roman" w:eastAsia="Calibri" w:hAnsi="Times New Roman" w:cs="Times New Roman"/>
          <w:sz w:val="20"/>
          <w:szCs w:val="20"/>
        </w:rPr>
        <w:t>with</w:t>
      </w:r>
      <w:r w:rsidRPr="00816922">
        <w:rPr>
          <w:rFonts w:ascii="Times New Roman" w:hAnsi="Times New Roman" w:cs="Times New Roman"/>
          <w:sz w:val="20"/>
          <w:szCs w:val="20"/>
        </w:rPr>
        <w:t xml:space="preserve"> Stage II (30%) </w:t>
      </w:r>
      <w:r w:rsidRPr="00816922">
        <w:rPr>
          <w:rFonts w:ascii="Times New Roman" w:eastAsia="Calibri" w:hAnsi="Times New Roman" w:cs="Times New Roman"/>
          <w:sz w:val="20"/>
          <w:szCs w:val="20"/>
        </w:rPr>
        <w:t>or</w:t>
      </w:r>
      <w:r w:rsidRPr="00816922">
        <w:rPr>
          <w:rFonts w:ascii="Times New Roman" w:hAnsi="Times New Roman" w:cs="Times New Roman"/>
          <w:sz w:val="20"/>
          <w:szCs w:val="20"/>
        </w:rPr>
        <w:t xml:space="preserve"> Stage III (28%)</w:t>
      </w:r>
      <w:r w:rsidRPr="00816922">
        <w:rPr>
          <w:rFonts w:ascii="Times New Roman" w:eastAsia="Calibri" w:hAnsi="Times New Roman" w:cs="Times New Roman"/>
          <w:sz w:val="20"/>
          <w:szCs w:val="20"/>
        </w:rPr>
        <w:t xml:space="preserve"> disease, whereas</w:t>
      </w:r>
      <w:r w:rsidRPr="00816922">
        <w:rPr>
          <w:rFonts w:ascii="Times New Roman" w:hAnsi="Times New Roman" w:cs="Times New Roman"/>
          <w:sz w:val="20"/>
          <w:szCs w:val="20"/>
        </w:rPr>
        <w:t xml:space="preserve"> 17% had</w:t>
      </w:r>
      <w:r w:rsidRPr="00DA4677">
        <w:rPr>
          <w:rFonts w:ascii="Times New Roman" w:hAnsi="Times New Roman" w:cs="Times New Roman"/>
          <w:sz w:val="20"/>
          <w:szCs w:val="20"/>
        </w:rPr>
        <w:t xml:space="preserve"> Stage IV disease, highlighting the late presentation pattern observed in Ghanaian prostate cancer </w:t>
      </w:r>
      <w:r w:rsidRPr="00DA4677">
        <w:rPr>
          <w:rFonts w:ascii="Times New Roman" w:eastAsia="Calibri" w:hAnsi="Times New Roman" w:cs="Times New Roman"/>
          <w:sz w:val="20"/>
          <w:szCs w:val="20"/>
        </w:rPr>
        <w:t>patients</w:t>
      </w:r>
      <w:r w:rsidRPr="00DA4677">
        <w:rPr>
          <w:rFonts w:ascii="Times New Roman" w:hAnsi="Times New Roman" w:cs="Times New Roman"/>
          <w:sz w:val="20"/>
          <w:szCs w:val="20"/>
        </w:rPr>
        <w:t>.</w:t>
      </w:r>
      <w:r w:rsidRPr="001D4AFD">
        <w:t xml:space="preserve"> </w:t>
      </w:r>
      <w:r w:rsidRPr="001D4AFD">
        <w:rPr>
          <w:rFonts w:ascii="Times New Roman" w:hAnsi="Times New Roman" w:cs="Times New Roman"/>
          <w:sz w:val="20"/>
          <w:szCs w:val="20"/>
          <w:highlight w:val="yellow"/>
        </w:rPr>
        <w:t>The observed mean age of 52.76 years reflects the characteristics of the available retrospective clinical dataset and is consistent with earlier Ghanaian survival studies using similar institutional cohorts. While national estimates often report higher averages, localized tertiary datasets frequently capture a wider spectrum of disease presentation, including comparatively younger patients, thereby enriching the heterogeneity required for robust survival modeling</w:t>
      </w:r>
      <w:r>
        <w:rPr>
          <w:rFonts w:ascii="Times New Roman" w:hAnsi="Times New Roman" w:cs="Times New Roman"/>
          <w:sz w:val="20"/>
          <w:szCs w:val="20"/>
        </w:rPr>
        <w:t>.</w:t>
      </w:r>
    </w:p>
    <w:p w14:paraId="56E3AD5C" w14:textId="77777777" w:rsidR="001D4AFD" w:rsidRDefault="001D4AFD" w:rsidP="00612B51">
      <w:pPr>
        <w:jc w:val="both"/>
        <w:rPr>
          <w:rFonts w:ascii="Times New Roman" w:hAnsi="Times New Roman" w:cs="Times New Roman"/>
          <w:sz w:val="20"/>
          <w:szCs w:val="20"/>
        </w:rPr>
      </w:pPr>
    </w:p>
    <w:p w14:paraId="22081F18" w14:textId="77777777" w:rsidR="007B413A" w:rsidRPr="007B413A" w:rsidRDefault="007B413A" w:rsidP="007B413A">
      <w:pPr>
        <w:jc w:val="both"/>
        <w:rPr>
          <w:rFonts w:ascii="Times New Roman" w:hAnsi="Times New Roman" w:cs="Times New Roman"/>
          <w:sz w:val="20"/>
          <w:szCs w:val="20"/>
        </w:rPr>
      </w:pPr>
      <w:r w:rsidRPr="007B413A">
        <w:rPr>
          <w:rFonts w:ascii="Times New Roman" w:hAnsi="Times New Roman" w:cs="Times New Roman"/>
          <w:sz w:val="20"/>
          <w:szCs w:val="20"/>
        </w:rPr>
        <w:t xml:space="preserve">Although the Cox proportional hazards model assumes that the effect of a covariate on the hazard remains constant over time, the </w:t>
      </w:r>
      <w:bookmarkStart w:id="4" w:name="_Hlk214010864"/>
      <w:r w:rsidRPr="007B413A">
        <w:rPr>
          <w:rFonts w:ascii="Times New Roman" w:hAnsi="Times New Roman" w:cs="Times New Roman"/>
          <w:sz w:val="20"/>
          <w:szCs w:val="20"/>
        </w:rPr>
        <w:t xml:space="preserve">graphical diagnostics </w:t>
      </w:r>
      <w:bookmarkEnd w:id="4"/>
      <w:r w:rsidRPr="007B413A">
        <w:rPr>
          <w:rFonts w:ascii="Times New Roman" w:hAnsi="Times New Roman" w:cs="Times New Roman"/>
          <w:sz w:val="20"/>
          <w:szCs w:val="20"/>
        </w:rPr>
        <w:t>from this study indicate that this assumption may not fully hold for age and tumor size. The complementary log–log plots stratified by quartiles (Figure S1 for age; Figure S2 for tumor size) show mild but visible divergence and partial crossings of the curves across follow-up time. Such departures suggest that the hazards associated with these continuous predictors may vary nonlinearly rather than proportionally. Instead of imposing a strict linearity and proportionality constraint, the use of restricted cubic splines provides a flexible structure that allows the effect of age and tumor size to bend smoothly across their ranges and accommodate latent time-dependent variation. This approach offers a principled method for relaxing potential violations of the proportional hazards assumption while retaining the interpretability and robustness of the semiparametric Cox framework. For this reason, the study adopted spline-based modeling for these covariates, ensuring that their complex, nonlinear contributions to mortality risk were accurately captured.</w:t>
      </w:r>
    </w:p>
    <w:p w14:paraId="3B14425E" w14:textId="77777777" w:rsidR="007B413A" w:rsidRPr="00DA4677" w:rsidRDefault="007B413A" w:rsidP="00612B51">
      <w:pPr>
        <w:jc w:val="both"/>
        <w:rPr>
          <w:rFonts w:ascii="Times New Roman" w:hAnsi="Times New Roman" w:cs="Times New Roman"/>
          <w:sz w:val="20"/>
          <w:szCs w:val="20"/>
        </w:rPr>
      </w:pPr>
    </w:p>
    <w:p w14:paraId="1D046E68"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 xml:space="preserve">Cox </w:t>
      </w:r>
      <w:r w:rsidRPr="00DA4677">
        <w:rPr>
          <w:rFonts w:ascii="Times New Roman" w:eastAsia="Times New Roman" w:hAnsi="Times New Roman" w:cs="Times New Roman"/>
          <w:b/>
          <w:bCs/>
          <w:color w:val="auto"/>
          <w:sz w:val="20"/>
          <w:szCs w:val="20"/>
        </w:rPr>
        <w:t>proportional hazards (PH) model</w:t>
      </w:r>
    </w:p>
    <w:p w14:paraId="4E0C5AFB"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The main analytical model applied in this study is the Cox proportional hazards model, defined as</w:t>
      </w:r>
    </w:p>
    <w:p w14:paraId="4B0B28CC" w14:textId="77777777" w:rsidR="00612B51" w:rsidRPr="00DA4677" w:rsidRDefault="001D4AFD" w:rsidP="00C653E8">
      <w:pPr>
        <w:pStyle w:val="BodyText"/>
        <w:jc w:val="center"/>
        <w:rPr>
          <w:rFonts w:cs="Times New Roman"/>
          <w:sz w:val="20"/>
          <w:szCs w:val="20"/>
        </w:rPr>
      </w:pPr>
      <m:oMath>
        <m:r>
          <w:rPr>
            <w:rFonts w:ascii="Cambria Math" w:hAnsi="Cambria Math" w:cs="Times New Roman"/>
            <w:sz w:val="20"/>
            <w:szCs w:val="20"/>
          </w:rPr>
          <m:t>h</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)×exp(</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p</m:t>
            </m:r>
          </m:sub>
        </m:sSub>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p</m:t>
            </m:r>
          </m:sub>
        </m:sSub>
        <m:r>
          <m:rPr>
            <m:sty m:val="p"/>
          </m:rPr>
          <w:rPr>
            <w:rFonts w:ascii="Cambria Math" w:hAnsi="Cambria Math" w:cs="Times New Roman"/>
            <w:sz w:val="20"/>
            <w:szCs w:val="20"/>
          </w:rPr>
          <m:t>)</m:t>
        </m:r>
      </m:oMath>
      <w:r w:rsidRPr="00DA4677">
        <w:rPr>
          <w:rFonts w:eastAsiaTheme="minorEastAsia" w:cs="Times New Roman"/>
          <w:sz w:val="20"/>
          <w:szCs w:val="20"/>
        </w:rPr>
        <w:t>………………</w:t>
      </w:r>
      <w:proofErr w:type="gramStart"/>
      <w:r w:rsidRPr="00DA4677">
        <w:rPr>
          <w:rFonts w:eastAsiaTheme="minorEastAsia" w:cs="Times New Roman"/>
          <w:sz w:val="20"/>
          <w:szCs w:val="20"/>
        </w:rPr>
        <w:t>…(</w:t>
      </w:r>
      <w:proofErr w:type="gramEnd"/>
      <w:r w:rsidRPr="00DA4677">
        <w:rPr>
          <w:rFonts w:eastAsiaTheme="minorEastAsia" w:cs="Times New Roman"/>
          <w:sz w:val="20"/>
          <w:szCs w:val="20"/>
        </w:rPr>
        <w:t>1)</w:t>
      </w:r>
    </w:p>
    <w:p w14:paraId="0628FD3E"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Restricted Cubic Splines (</w:t>
      </w:r>
      <w:r w:rsidRPr="00DA4677">
        <w:rPr>
          <w:rFonts w:ascii="Times New Roman" w:eastAsia="Times New Roman" w:hAnsi="Times New Roman" w:cs="Times New Roman"/>
          <w:b/>
          <w:bCs/>
          <w:color w:val="auto"/>
          <w:sz w:val="20"/>
          <w:szCs w:val="20"/>
        </w:rPr>
        <w:t>RCSs</w:t>
      </w:r>
      <w:r w:rsidRPr="00DA4677">
        <w:rPr>
          <w:rFonts w:ascii="Times New Roman" w:hAnsi="Times New Roman" w:cs="Times New Roman"/>
          <w:b/>
          <w:bCs/>
          <w:color w:val="auto"/>
          <w:sz w:val="20"/>
          <w:szCs w:val="20"/>
        </w:rPr>
        <w:t>)</w:t>
      </w:r>
    </w:p>
    <w:p w14:paraId="6D87F2E9"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Restricted cubic splines were used to model the nonlinear effects of age and tumor size (cm) within the Cox framework:</w:t>
      </w:r>
    </w:p>
    <w:p w14:paraId="137EC81D" w14:textId="77777777" w:rsidR="00612B51" w:rsidRPr="00DA4677" w:rsidRDefault="001D4AFD" w:rsidP="00C653E8">
      <w:pPr>
        <w:pStyle w:val="BodyText"/>
        <w:jc w:val="center"/>
        <w:rPr>
          <w:rFonts w:cs="Times New Roman"/>
          <w:sz w:val="20"/>
          <w:szCs w:val="20"/>
        </w:rPr>
      </w:pPr>
      <m:oMath>
        <m:r>
          <w:rPr>
            <w:rFonts w:ascii="Cambria Math" w:hAnsi="Cambria Math" w:cs="Times New Roman"/>
            <w:sz w:val="20"/>
            <w:szCs w:val="20"/>
          </w:rPr>
          <m:t>f</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0</m:t>
            </m:r>
          </m:sub>
        </m:sSub>
        <m:r>
          <w:rPr>
            <w:rFonts w:ascii="Cambria Math" w:hAnsi="Cambria Math" w:cs="Times New Roman"/>
            <w:sz w:val="20"/>
            <w:szCs w:val="20"/>
          </w:rPr>
          <m:t>X</m:t>
        </m:r>
        <m:r>
          <m:rPr>
            <m:sty m:val="p"/>
          </m:rP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up>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2</m:t>
            </m:r>
          </m:sup>
          <m:e>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k</m:t>
                </m:r>
              </m:sub>
            </m:sSub>
          </m:e>
        </m:nary>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sSubSup>
              <m:sSubSupPr>
                <m:ctrlPr>
                  <w:rPr>
                    <w:rFonts w:ascii="Cambria Math" w:hAnsi="Cambria Math" w:cs="Times New Roman"/>
                    <w:sz w:val="20"/>
                    <w:szCs w:val="20"/>
                  </w:rPr>
                </m:ctrlPr>
              </m:sSubSupPr>
              <m:e>
                <m:r>
                  <m:rPr>
                    <m:sty m:val="p"/>
                  </m:rPr>
                  <w:rPr>
                    <w:rFonts w:ascii="Cambria Math" w:hAnsi="Cambria Math" w:cs="Times New Roman"/>
                    <w:sz w:val="20"/>
                    <w:szCs w:val="20"/>
                  </w:rPr>
                  <m:t>)</m:t>
                </m:r>
              </m:e>
              <m:sub>
                <m:r>
                  <m:rPr>
                    <m:sty m:val="p"/>
                  </m:rPr>
                  <w:rPr>
                    <w:rFonts w:ascii="Cambria Math" w:hAnsi="Cambria Math" w:cs="Times New Roman"/>
                    <w:sz w:val="20"/>
                    <w:szCs w:val="20"/>
                  </w:rPr>
                  <m:t>+</m:t>
                </m:r>
              </m:sub>
              <m:sup>
                <m:r>
                  <w:rPr>
                    <w:rFonts w:ascii="Cambria Math" w:hAnsi="Cambria Math" w:cs="Times New Roman"/>
                    <w:sz w:val="20"/>
                    <w:szCs w:val="20"/>
                  </w:rPr>
                  <m:t>3</m:t>
                </m:r>
              </m:sup>
            </m:sSubSup>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num>
              <m:den>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Sub>
              </m:den>
            </m:f>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Sub>
            <m:sSubSup>
              <m:sSubSupPr>
                <m:ctrlPr>
                  <w:rPr>
                    <w:rFonts w:ascii="Cambria Math" w:hAnsi="Cambria Math" w:cs="Times New Roman"/>
                    <w:sz w:val="20"/>
                    <w:szCs w:val="20"/>
                  </w:rPr>
                </m:ctrlPr>
              </m:sSubSupPr>
              <m:e>
                <m:r>
                  <m:rPr>
                    <m:sty m:val="p"/>
                  </m:rPr>
                  <w:rPr>
                    <w:rFonts w:ascii="Cambria Math" w:hAnsi="Cambria Math" w:cs="Times New Roman"/>
                    <w:sz w:val="20"/>
                    <w:szCs w:val="20"/>
                  </w:rPr>
                  <m:t>)</m:t>
                </m:r>
              </m:e>
              <m:sub>
                <m:r>
                  <m:rPr>
                    <m:sty m:val="p"/>
                  </m:rPr>
                  <w:rPr>
                    <w:rFonts w:ascii="Cambria Math" w:hAnsi="Cambria Math" w:cs="Times New Roman"/>
                    <w:sz w:val="20"/>
                    <w:szCs w:val="20"/>
                  </w:rPr>
                  <m:t>+</m:t>
                </m:r>
              </m:sub>
              <m:sup>
                <m:r>
                  <w:rPr>
                    <w:rFonts w:ascii="Cambria Math" w:hAnsi="Cambria Math" w:cs="Times New Roman"/>
                    <w:sz w:val="20"/>
                    <w:szCs w:val="20"/>
                  </w:rPr>
                  <m:t>3</m:t>
                </m:r>
              </m:sup>
            </m:sSubSup>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num>
              <m:den>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Sub>
              </m:den>
            </m:f>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sSubSup>
              <m:sSubSupPr>
                <m:ctrlPr>
                  <w:rPr>
                    <w:rFonts w:ascii="Cambria Math" w:hAnsi="Cambria Math" w:cs="Times New Roman"/>
                    <w:sz w:val="20"/>
                    <w:szCs w:val="20"/>
                  </w:rPr>
                </m:ctrlPr>
              </m:sSubSupPr>
              <m:e>
                <m:r>
                  <m:rPr>
                    <m:sty m:val="p"/>
                  </m:rPr>
                  <w:rPr>
                    <w:rFonts w:ascii="Cambria Math" w:hAnsi="Cambria Math" w:cs="Times New Roman"/>
                    <w:sz w:val="20"/>
                    <w:szCs w:val="20"/>
                  </w:rPr>
                  <m:t>)</m:t>
                </m:r>
              </m:e>
              <m:sub>
                <m:r>
                  <m:rPr>
                    <m:sty m:val="p"/>
                  </m:rPr>
                  <w:rPr>
                    <w:rFonts w:ascii="Cambria Math" w:hAnsi="Cambria Math" w:cs="Times New Roman"/>
                    <w:sz w:val="20"/>
                    <w:szCs w:val="20"/>
                  </w:rPr>
                  <m:t>+</m:t>
                </m:r>
              </m:sub>
              <m:sup>
                <m:r>
                  <w:rPr>
                    <w:rFonts w:ascii="Cambria Math" w:hAnsi="Cambria Math" w:cs="Times New Roman"/>
                    <w:sz w:val="20"/>
                    <w:szCs w:val="20"/>
                  </w:rPr>
                  <m:t>3</m:t>
                </m:r>
              </m:sup>
            </m:sSubSup>
          </m:e>
        </m:d>
      </m:oMath>
      <w:r w:rsidRPr="00DA4677">
        <w:rPr>
          <w:rFonts w:eastAsiaTheme="minorEastAsia" w:cs="Times New Roman"/>
          <w:sz w:val="20"/>
          <w:szCs w:val="20"/>
        </w:rPr>
        <w:t>……</w:t>
      </w:r>
      <w:proofErr w:type="gramStart"/>
      <w:r w:rsidRPr="00DA4677">
        <w:rPr>
          <w:rFonts w:eastAsiaTheme="minorEastAsia" w:cs="Times New Roman"/>
          <w:sz w:val="20"/>
          <w:szCs w:val="20"/>
        </w:rPr>
        <w:t>…(</w:t>
      </w:r>
      <w:proofErr w:type="gramEnd"/>
      <w:r w:rsidRPr="00DA4677">
        <w:rPr>
          <w:rFonts w:eastAsiaTheme="minorEastAsia" w:cs="Times New Roman"/>
          <w:sz w:val="20"/>
          <w:szCs w:val="20"/>
        </w:rPr>
        <w:t>2)</w:t>
      </w:r>
    </w:p>
    <w:p w14:paraId="358F33A1"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 xml:space="preserve">Kaplan–Meier </w:t>
      </w:r>
      <w:r w:rsidRPr="00DA4677">
        <w:rPr>
          <w:rFonts w:ascii="Times New Roman" w:eastAsia="Times New Roman" w:hAnsi="Times New Roman" w:cs="Times New Roman"/>
          <w:b/>
          <w:bCs/>
          <w:color w:val="auto"/>
          <w:sz w:val="20"/>
          <w:szCs w:val="20"/>
        </w:rPr>
        <w:t>survival analysis</w:t>
      </w:r>
    </w:p>
    <w:p w14:paraId="51BC8778"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Nonparametric survival estimates were computed as follows:</w:t>
      </w:r>
    </w:p>
    <w:p w14:paraId="48A5FA95" w14:textId="77071602" w:rsidR="00612B51" w:rsidRPr="00DA4677" w:rsidRDefault="009A43FA" w:rsidP="00C653E8">
      <w:pPr>
        <w:jc w:val="center"/>
        <w:rPr>
          <w:rFonts w:ascii="Times New Roman" w:eastAsiaTheme="minorEastAsia" w:hAnsi="Times New Roman" w:cs="Times New Roman"/>
          <w:sz w:val="20"/>
          <w:szCs w:val="20"/>
        </w:rPr>
      </w:pPr>
      <m:oMath>
        <m:acc>
          <m:accPr>
            <m:ctrlPr>
              <w:rPr>
                <w:rFonts w:ascii="Cambria Math" w:hAnsi="Cambria Math" w:cs="Times New Roman"/>
                <w:sz w:val="20"/>
                <w:szCs w:val="20"/>
              </w:rPr>
            </m:ctrlPr>
          </m:accPr>
          <m:e>
            <m:r>
              <w:rPr>
                <w:rFonts w:ascii="Cambria Math" w:hAnsi="Cambria Math" w:cs="Times New Roman"/>
                <w:sz w:val="20"/>
                <w:szCs w:val="20"/>
              </w:rPr>
              <m:t>S</m:t>
            </m:r>
          </m:e>
        </m:acc>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nary>
          <m:naryPr>
            <m:chr m:val="∏"/>
            <m:limLoc m:val="undOvr"/>
            <m:supHide m:val="1"/>
            <m:ctrlPr>
              <w:rPr>
                <w:rFonts w:ascii="Cambria Math" w:hAnsi="Cambria Math" w:cs="Times New Roman"/>
                <w:sz w:val="20"/>
                <w:szCs w:val="20"/>
              </w:rPr>
            </m:ctrlPr>
          </m:naryPr>
          <m:sub>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i</m:t>
                </m:r>
              </m:sub>
            </m:sSub>
            <m:r>
              <m:rPr>
                <m:sty m:val="p"/>
              </m:rPr>
              <w:rPr>
                <w:rFonts w:ascii="Cambria Math" w:hAnsi="Cambria Math" w:cs="Times New Roman"/>
                <w:sz w:val="20"/>
                <w:szCs w:val="20"/>
              </w:rPr>
              <m:t>≤</m:t>
            </m:r>
            <m:r>
              <w:rPr>
                <w:rFonts w:ascii="Cambria Math" w:hAnsi="Cambria Math" w:cs="Times New Roman"/>
                <w:sz w:val="20"/>
                <w:szCs w:val="20"/>
              </w:rPr>
              <m:t>t</m:t>
            </m:r>
          </m:sub>
          <m:sup>
            <m:r>
              <w:rPr>
                <w:rFonts w:ascii="Cambria Math" w:hAnsi="Cambria Math" w:cs="Times New Roman"/>
                <w:sz w:val="20"/>
                <w:szCs w:val="20"/>
              </w:rPr>
              <m:t>​</m:t>
            </m:r>
          </m:sup>
          <m:e>
            <m:d>
              <m:dPr>
                <m:ctrlPr>
                  <w:rPr>
                    <w:rFonts w:ascii="Cambria Math" w:hAnsi="Cambria Math" w:cs="Times New Roman"/>
                    <w:sz w:val="20"/>
                    <w:szCs w:val="20"/>
                  </w:rPr>
                </m:ctrlPr>
              </m:dPr>
              <m:e>
                <m:r>
                  <w:rPr>
                    <w:rFonts w:ascii="Cambria Math" w:hAnsi="Cambria Math" w:cs="Times New Roman"/>
                    <w:sz w:val="20"/>
                    <w:szCs w:val="20"/>
                  </w:rPr>
                  <m:t>1</m:t>
                </m:r>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num>
                  <m:den>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den>
                </m:f>
              </m:e>
            </m:d>
          </m:e>
        </m:nary>
      </m:oMath>
      <w:r w:rsidR="001D4AFD" w:rsidRPr="00DA4677">
        <w:rPr>
          <w:rFonts w:ascii="Times New Roman" w:hAnsi="Times New Roman" w:cs="Times New Roman"/>
          <w:sz w:val="20"/>
          <w:szCs w:val="20"/>
        </w:rPr>
        <w:t xml:space="preserve">  </w:t>
      </w:r>
      <w:r w:rsidR="001D4AFD" w:rsidRPr="00DA4677">
        <w:rPr>
          <w:rFonts w:ascii="Times New Roman" w:eastAsiaTheme="minorEastAsia" w:hAnsi="Times New Roman" w:cs="Times New Roman"/>
          <w:sz w:val="20"/>
          <w:szCs w:val="20"/>
        </w:rPr>
        <w:t>………………</w:t>
      </w:r>
      <w:proofErr w:type="gramStart"/>
      <w:r w:rsidR="001D4AFD" w:rsidRPr="00DA4677">
        <w:rPr>
          <w:rFonts w:ascii="Times New Roman" w:eastAsiaTheme="minorEastAsia" w:hAnsi="Times New Roman" w:cs="Times New Roman"/>
          <w:sz w:val="20"/>
          <w:szCs w:val="20"/>
        </w:rPr>
        <w:t>…(</w:t>
      </w:r>
      <w:proofErr w:type="gramEnd"/>
      <w:r w:rsidR="002E4BDD">
        <w:rPr>
          <w:rFonts w:ascii="Times New Roman" w:eastAsiaTheme="minorEastAsia" w:hAnsi="Times New Roman" w:cs="Times New Roman"/>
          <w:sz w:val="20"/>
          <w:szCs w:val="20"/>
        </w:rPr>
        <w:t>3</w:t>
      </w:r>
      <w:r w:rsidR="001D4AFD" w:rsidRPr="00DA4677">
        <w:rPr>
          <w:rFonts w:ascii="Times New Roman" w:eastAsiaTheme="minorEastAsia" w:hAnsi="Times New Roman" w:cs="Times New Roman"/>
          <w:sz w:val="20"/>
          <w:szCs w:val="20"/>
        </w:rPr>
        <w:t>)</w:t>
      </w:r>
    </w:p>
    <w:p w14:paraId="228B06DD"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Integrated Final Model</w:t>
      </w:r>
    </w:p>
    <w:p w14:paraId="4A9312DE"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The complete model incorporating restricted cubic splines and categorical covariates is expressed as:</w:t>
      </w:r>
    </w:p>
    <w:p w14:paraId="0747AC8A" w14:textId="00079636" w:rsidR="00612B51" w:rsidRPr="00DA4677" w:rsidRDefault="001D4AFD" w:rsidP="00C653E8">
      <w:pPr>
        <w:pStyle w:val="BodyText"/>
        <w:jc w:val="center"/>
        <w:rPr>
          <w:rFonts w:cs="Times New Roman"/>
          <w:sz w:val="20"/>
          <w:szCs w:val="20"/>
        </w:rPr>
      </w:pPr>
      <m:oMath>
        <m:r>
          <w:rPr>
            <w:rFonts w:ascii="Cambria Math" w:hAnsi="Cambria Math" w:cs="Times New Roman"/>
            <w:sz w:val="20"/>
            <w:szCs w:val="20"/>
          </w:rPr>
          <m:t>h</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)×exp{</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r>
          <w:rPr>
            <w:rFonts w:ascii="Cambria Math" w:hAnsi="Cambria Math" w:cs="Times New Roman"/>
            <w:sz w:val="20"/>
            <w:szCs w:val="20"/>
          </w:rPr>
          <m:t>rcs</m:t>
        </m:r>
        <m:r>
          <m:rPr>
            <m:sty m:val="p"/>
          </m:rPr>
          <w:rPr>
            <w:rFonts w:ascii="Cambria Math" w:hAnsi="Cambria Math" w:cs="Times New Roman"/>
            <w:sz w:val="20"/>
            <w:szCs w:val="20"/>
          </w:rPr>
          <m:t>(</m:t>
        </m:r>
        <m:r>
          <m:rPr>
            <m:nor/>
          </m:rPr>
          <w:rPr>
            <w:rFonts w:cs="Times New Roman"/>
            <w:sz w:val="20"/>
            <w:szCs w:val="20"/>
          </w:rPr>
          <m:t>Age</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2</m:t>
            </m:r>
          </m:sub>
        </m:sSub>
        <m:r>
          <w:rPr>
            <w:rFonts w:ascii="Cambria Math" w:hAnsi="Cambria Math" w:cs="Times New Roman"/>
            <w:sz w:val="20"/>
            <w:szCs w:val="20"/>
          </w:rPr>
          <m:t>rcs</m:t>
        </m:r>
        <m:r>
          <m:rPr>
            <m:sty m:val="p"/>
          </m:rPr>
          <w:rPr>
            <w:rFonts w:ascii="Cambria Math" w:hAnsi="Cambria Math" w:cs="Times New Roman"/>
            <w:sz w:val="20"/>
            <w:szCs w:val="20"/>
          </w:rPr>
          <m:t>(</m:t>
        </m:r>
        <m:r>
          <m:rPr>
            <m:nor/>
          </m:rPr>
          <w:rPr>
            <w:rFonts w:cs="Times New Roman"/>
            <w:sz w:val="20"/>
            <w:szCs w:val="20"/>
          </w:rPr>
          <m:t>Tumor Size</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3</m:t>
            </m:r>
          </m:sub>
        </m:sSub>
        <m:r>
          <m:rPr>
            <m:sty m:val="p"/>
          </m:rPr>
          <w:rPr>
            <w:rFonts w:ascii="Cambria Math" w:hAnsi="Cambria Math" w:cs="Times New Roman"/>
            <w:sz w:val="20"/>
            <w:szCs w:val="20"/>
          </w:rPr>
          <m:t>(</m:t>
        </m:r>
        <m:r>
          <m:rPr>
            <m:nor/>
          </m:rPr>
          <w:rPr>
            <w:rFonts w:cs="Times New Roman"/>
            <w:sz w:val="20"/>
            <w:szCs w:val="20"/>
          </w:rPr>
          <m:t>Stage</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4</m:t>
            </m:r>
          </m:sub>
        </m:sSub>
        <m:r>
          <m:rPr>
            <m:sty m:val="p"/>
          </m:rPr>
          <w:rPr>
            <w:rFonts w:ascii="Cambria Math" w:hAnsi="Cambria Math" w:cs="Times New Roman"/>
            <w:sz w:val="20"/>
            <w:szCs w:val="20"/>
          </w:rPr>
          <m:t>(</m:t>
        </m:r>
        <m:r>
          <m:rPr>
            <m:nor/>
          </m:rPr>
          <w:rPr>
            <w:rFonts w:cs="Times New Roman"/>
            <w:sz w:val="20"/>
            <w:szCs w:val="20"/>
          </w:rPr>
          <m:t>PSA</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5</m:t>
            </m:r>
          </m:sub>
        </m:sSub>
        <m:r>
          <m:rPr>
            <m:sty m:val="p"/>
          </m:rPr>
          <w:rPr>
            <w:rFonts w:ascii="Cambria Math" w:hAnsi="Cambria Math" w:cs="Times New Roman"/>
            <w:sz w:val="20"/>
            <w:szCs w:val="20"/>
          </w:rPr>
          <m:t>(</m:t>
        </m:r>
        <m:r>
          <m:rPr>
            <m:nor/>
          </m:rPr>
          <w:rPr>
            <w:rFonts w:cs="Times New Roman"/>
            <w:sz w:val="20"/>
            <w:szCs w:val="20"/>
          </w:rPr>
          <m:t>Treatment</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6</m:t>
            </m:r>
          </m:sub>
        </m:sSub>
        <m:r>
          <m:rPr>
            <m:sty m:val="p"/>
          </m:rPr>
          <w:rPr>
            <w:rFonts w:ascii="Cambria Math" w:hAnsi="Cambria Math" w:cs="Times New Roman"/>
            <w:sz w:val="20"/>
            <w:szCs w:val="20"/>
          </w:rPr>
          <m:t>(</m:t>
        </m:r>
        <m:r>
          <m:rPr>
            <m:nor/>
          </m:rPr>
          <w:rPr>
            <w:rFonts w:cs="Times New Roman"/>
            <w:sz w:val="20"/>
            <w:szCs w:val="20"/>
          </w:rPr>
          <m:t>Gleason Score</m:t>
        </m:r>
        <m:r>
          <m:rPr>
            <m:sty m:val="p"/>
          </m:rPr>
          <w:rPr>
            <w:rFonts w:ascii="Cambria Math" w:hAnsi="Cambria Math" w:cs="Times New Roman"/>
            <w:sz w:val="20"/>
            <w:szCs w:val="20"/>
          </w:rPr>
          <m:t>)}</m:t>
        </m:r>
      </m:oMath>
      <w:r w:rsidRPr="00DA4677">
        <w:rPr>
          <w:rFonts w:eastAsiaTheme="minorEastAsia" w:cs="Times New Roman"/>
          <w:sz w:val="20"/>
          <w:szCs w:val="20"/>
        </w:rPr>
        <w:t xml:space="preserve"> ………………</w:t>
      </w:r>
      <w:proofErr w:type="gramStart"/>
      <w:r w:rsidRPr="00DA4677">
        <w:rPr>
          <w:rFonts w:eastAsiaTheme="minorEastAsia" w:cs="Times New Roman"/>
          <w:sz w:val="20"/>
          <w:szCs w:val="20"/>
        </w:rPr>
        <w:t>…(</w:t>
      </w:r>
      <w:proofErr w:type="gramEnd"/>
      <w:r w:rsidR="002E4BDD">
        <w:rPr>
          <w:rFonts w:eastAsiaTheme="minorEastAsia" w:cs="Times New Roman"/>
          <w:sz w:val="20"/>
          <w:szCs w:val="20"/>
        </w:rPr>
        <w:t>4</w:t>
      </w:r>
      <w:r w:rsidRPr="00DA4677">
        <w:rPr>
          <w:rFonts w:eastAsiaTheme="minorEastAsia" w:cs="Times New Roman"/>
          <w:sz w:val="20"/>
          <w:szCs w:val="20"/>
        </w:rPr>
        <w:t>)</w:t>
      </w:r>
    </w:p>
    <w:p w14:paraId="63B2CE19"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This integration allows for flexible modeling of continuous predictors and direct estimation of the impact of categorical clinical indicators.</w:t>
      </w:r>
    </w:p>
    <w:p w14:paraId="5D99761D" w14:textId="77777777" w:rsidR="00612B51" w:rsidRPr="00DA4677" w:rsidRDefault="00612B51" w:rsidP="00612B51">
      <w:pPr>
        <w:pStyle w:val="BodyText"/>
        <w:jc w:val="both"/>
        <w:rPr>
          <w:rFonts w:cs="Times New Roman"/>
          <w:sz w:val="20"/>
          <w:szCs w:val="20"/>
        </w:rPr>
      </w:pPr>
    </w:p>
    <w:p w14:paraId="635518FD"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Model Fit and Diagnostics</w:t>
      </w:r>
    </w:p>
    <w:p w14:paraId="52AC95AC" w14:textId="77777777" w:rsidR="00612B51" w:rsidRPr="00DA4677" w:rsidRDefault="001D4AFD" w:rsidP="00612B51">
      <w:pPr>
        <w:pStyle w:val="Heading3"/>
        <w:jc w:val="both"/>
        <w:rPr>
          <w:rFonts w:ascii="Times New Roman" w:hAnsi="Times New Roman" w:cs="Times New Roman"/>
          <w:color w:val="auto"/>
          <w:sz w:val="20"/>
          <w:szCs w:val="20"/>
        </w:rPr>
      </w:pPr>
      <w:bookmarkStart w:id="5" w:name="a-akaike-information-criterion-aic"/>
      <w:r w:rsidRPr="00DA4677">
        <w:rPr>
          <w:rFonts w:ascii="Times New Roman" w:hAnsi="Times New Roman" w:cs="Times New Roman"/>
          <w:b/>
          <w:bCs/>
          <w:color w:val="auto"/>
          <w:sz w:val="20"/>
          <w:szCs w:val="20"/>
        </w:rPr>
        <w:t xml:space="preserve">(a) Akaike </w:t>
      </w:r>
      <w:r w:rsidRPr="00DA4677">
        <w:rPr>
          <w:rFonts w:ascii="Times New Roman" w:eastAsia="Times New Roman" w:hAnsi="Times New Roman" w:cs="Times New Roman"/>
          <w:b/>
          <w:bCs/>
          <w:color w:val="auto"/>
          <w:sz w:val="20"/>
          <w:szCs w:val="20"/>
        </w:rPr>
        <w:t>information criterion</w:t>
      </w:r>
      <w:r w:rsidRPr="00DA4677">
        <w:rPr>
          <w:rFonts w:ascii="Times New Roman" w:hAnsi="Times New Roman" w:cs="Times New Roman"/>
          <w:b/>
          <w:bCs/>
          <w:color w:val="auto"/>
          <w:sz w:val="20"/>
          <w:szCs w:val="20"/>
        </w:rPr>
        <w:t xml:space="preserve"> (AIC)</w:t>
      </w:r>
    </w:p>
    <w:p w14:paraId="41F6D9AD" w14:textId="12BD8086" w:rsidR="00612B51" w:rsidRPr="00DA4677" w:rsidRDefault="001D4AFD" w:rsidP="00C653E8">
      <w:pPr>
        <w:pStyle w:val="BodyText"/>
        <w:jc w:val="center"/>
        <w:rPr>
          <w:rFonts w:cs="Times New Roman"/>
          <w:sz w:val="20"/>
          <w:szCs w:val="20"/>
        </w:rPr>
      </w:pPr>
      <m:oMath>
        <m:r>
          <w:rPr>
            <w:rFonts w:ascii="Cambria Math" w:hAnsi="Cambria Math" w:cs="Times New Roman"/>
            <w:sz w:val="20"/>
            <w:szCs w:val="20"/>
          </w:rPr>
          <m:t>AIC</m:t>
        </m:r>
        <m:r>
          <m:rPr>
            <m:sty m:val="p"/>
          </m:rPr>
          <w:rPr>
            <w:rFonts w:ascii="Cambria Math" w:hAnsi="Cambria Math" w:cs="Times New Roman"/>
            <w:sz w:val="20"/>
            <w:szCs w:val="20"/>
          </w:rPr>
          <m:t>=-</m:t>
        </m:r>
        <m:r>
          <w:rPr>
            <w:rFonts w:ascii="Cambria Math" w:hAnsi="Cambria Math" w:cs="Times New Roman"/>
            <w:sz w:val="20"/>
            <w:szCs w:val="20"/>
          </w:rPr>
          <m:t>2</m:t>
        </m:r>
        <m:r>
          <m:rPr>
            <m:sty m:val="p"/>
          </m:rPr>
          <w:rPr>
            <w:rFonts w:ascii="Cambria Math" w:hAnsi="Cambria Math" w:cs="Times New Roman"/>
            <w:sz w:val="20"/>
            <w:szCs w:val="20"/>
          </w:rPr>
          <m:t>log(</m:t>
        </m:r>
        <m:r>
          <w:rPr>
            <w:rFonts w:ascii="Cambria Math" w:hAnsi="Cambria Math" w:cs="Times New Roman"/>
            <w:sz w:val="20"/>
            <w:szCs w:val="20"/>
          </w:rPr>
          <m:t>L</m:t>
        </m:r>
        <m:r>
          <m:rPr>
            <m:sty m:val="p"/>
          </m:rPr>
          <w:rPr>
            <w:rFonts w:ascii="Cambria Math" w:hAnsi="Cambria Math" w:cs="Times New Roman"/>
            <w:sz w:val="20"/>
            <w:szCs w:val="20"/>
          </w:rPr>
          <m:t>)+</m:t>
        </m:r>
        <m:r>
          <w:rPr>
            <w:rFonts w:ascii="Cambria Math" w:hAnsi="Cambria Math" w:cs="Times New Roman"/>
            <w:sz w:val="20"/>
            <w:szCs w:val="20"/>
          </w:rPr>
          <m:t>2k</m:t>
        </m:r>
      </m:oMath>
      <w:r w:rsidRPr="00DA4677">
        <w:rPr>
          <w:rFonts w:eastAsiaTheme="minorEastAsia" w:cs="Times New Roman"/>
          <w:sz w:val="20"/>
          <w:szCs w:val="20"/>
        </w:rPr>
        <w:t xml:space="preserve"> </w:t>
      </w:r>
      <m:oMath>
        <m:r>
          <m:rPr>
            <m:sty m:val="p"/>
          </m:rPr>
          <w:rPr>
            <w:rFonts w:ascii="Cambria Math" w:hAnsi="Cambria Math" w:cs="Times New Roman"/>
            <w:sz w:val="20"/>
            <w:szCs w:val="20"/>
          </w:rPr>
          <m:t>)</m:t>
        </m:r>
      </m:oMath>
      <w:r w:rsidRPr="00DA4677">
        <w:rPr>
          <w:rFonts w:eastAsiaTheme="minorEastAsia" w:cs="Times New Roman"/>
          <w:sz w:val="20"/>
          <w:szCs w:val="20"/>
        </w:rPr>
        <w:t>…………………(</w:t>
      </w:r>
      <w:r w:rsidR="002E4BDD">
        <w:rPr>
          <w:rFonts w:eastAsiaTheme="minorEastAsia" w:cs="Times New Roman"/>
          <w:sz w:val="20"/>
          <w:szCs w:val="20"/>
        </w:rPr>
        <w:t>5</w:t>
      </w:r>
      <w:r w:rsidRPr="00DA4677">
        <w:rPr>
          <w:rFonts w:eastAsiaTheme="minorEastAsia" w:cs="Times New Roman"/>
          <w:sz w:val="20"/>
          <w:szCs w:val="20"/>
        </w:rPr>
        <w:t>a)</w:t>
      </w:r>
    </w:p>
    <w:p w14:paraId="360994CB"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 xml:space="preserve">where </w:t>
      </w:r>
      <m:oMath>
        <m:r>
          <w:rPr>
            <w:rFonts w:ascii="Cambria Math" w:hAnsi="Cambria Math" w:cs="Times New Roman"/>
            <w:sz w:val="20"/>
            <w:szCs w:val="20"/>
          </w:rPr>
          <m:t>L</m:t>
        </m:r>
      </m:oMath>
      <w:r w:rsidRPr="00DA4677">
        <w:rPr>
          <w:rFonts w:cs="Times New Roman"/>
          <w:sz w:val="20"/>
          <w:szCs w:val="20"/>
        </w:rPr>
        <w:t xml:space="preserve"> is the model likelihood and where </w:t>
      </w:r>
      <m:oMath>
        <m:r>
          <w:rPr>
            <w:rFonts w:ascii="Cambria Math" w:hAnsi="Cambria Math" w:cs="Times New Roman"/>
            <w:sz w:val="20"/>
            <w:szCs w:val="20"/>
          </w:rPr>
          <m:t>k</m:t>
        </m:r>
      </m:oMath>
      <w:r w:rsidRPr="00DA4677">
        <w:rPr>
          <w:rFonts w:cs="Times New Roman"/>
          <w:sz w:val="20"/>
          <w:szCs w:val="20"/>
        </w:rPr>
        <w:t xml:space="preserve"> is the number of estimated parameters.</w:t>
      </w:r>
      <w:r w:rsidRPr="00DA4677">
        <w:rPr>
          <w:rFonts w:cs="Times New Roman"/>
          <w:sz w:val="20"/>
          <w:szCs w:val="20"/>
        </w:rPr>
        <w:br/>
        <w:t>A lower AIC indicates a better-fitting model.</w:t>
      </w:r>
    </w:p>
    <w:p w14:paraId="289E0C82" w14:textId="77777777" w:rsidR="00612B51" w:rsidRPr="00DA4677" w:rsidRDefault="001D4AFD" w:rsidP="00612B51">
      <w:pPr>
        <w:pStyle w:val="Heading3"/>
        <w:jc w:val="both"/>
        <w:rPr>
          <w:rFonts w:ascii="Times New Roman" w:hAnsi="Times New Roman" w:cs="Times New Roman"/>
          <w:color w:val="auto"/>
          <w:sz w:val="20"/>
          <w:szCs w:val="20"/>
        </w:rPr>
      </w:pPr>
      <w:bookmarkStart w:id="6" w:name="b-harrells-concordance-index-c-index"/>
      <w:bookmarkEnd w:id="5"/>
      <w:r w:rsidRPr="00DA4677">
        <w:rPr>
          <w:rFonts w:ascii="Times New Roman" w:hAnsi="Times New Roman" w:cs="Times New Roman"/>
          <w:b/>
          <w:bCs/>
          <w:color w:val="auto"/>
          <w:sz w:val="20"/>
          <w:szCs w:val="20"/>
        </w:rPr>
        <w:t>(b) Harrell’s Concordance Index (C-index)</w:t>
      </w:r>
    </w:p>
    <w:p w14:paraId="5252AC1F" w14:textId="71E698D9" w:rsidR="00612B51" w:rsidRPr="00DA4677" w:rsidRDefault="001D4AFD" w:rsidP="00C653E8">
      <w:pPr>
        <w:pStyle w:val="FirstParagraph"/>
        <w:jc w:val="center"/>
        <w:rPr>
          <w:rFonts w:cs="Times New Roman"/>
          <w:sz w:val="20"/>
          <w:szCs w:val="20"/>
        </w:rPr>
      </w:pPr>
      <m:oMath>
        <m:r>
          <w:rPr>
            <w:rFonts w:ascii="Cambria Math" w:hAnsi="Cambria Math" w:cs="Times New Roman"/>
            <w:sz w:val="20"/>
            <w:szCs w:val="20"/>
          </w:rPr>
          <m:t>C</m:t>
        </m:r>
        <m:r>
          <m:rPr>
            <m:sty m:val="p"/>
          </m:rPr>
          <w:rPr>
            <w:rFonts w:ascii="Cambria Math" w:hAnsi="Cambria Math" w:cs="Times New Roman"/>
            <w:sz w:val="20"/>
            <w:szCs w:val="20"/>
          </w:rPr>
          <m:t>=</m:t>
        </m:r>
        <m:f>
          <m:fPr>
            <m:ctrlPr>
              <w:rPr>
                <w:rFonts w:ascii="Cambria Math" w:hAnsi="Cambria Math" w:cs="Times New Roman"/>
                <w:sz w:val="20"/>
                <w:szCs w:val="20"/>
              </w:rPr>
            </m:ctrlPr>
          </m:fPr>
          <m:num>
            <m:r>
              <m:rPr>
                <m:nor/>
              </m:rPr>
              <w:rPr>
                <w:rFonts w:cs="Times New Roman"/>
                <w:sz w:val="20"/>
                <w:szCs w:val="20"/>
              </w:rPr>
              <m:t>Number of concordant pairs</m:t>
            </m:r>
          </m:num>
          <m:den>
            <m:r>
              <m:rPr>
                <m:nor/>
              </m:rPr>
              <w:rPr>
                <w:rFonts w:cs="Times New Roman"/>
                <w:sz w:val="20"/>
                <w:szCs w:val="20"/>
              </w:rPr>
              <m:t>Total comparable pairs</m:t>
            </m:r>
          </m:den>
        </m:f>
      </m:oMath>
      <w:r w:rsidRPr="00DA4677">
        <w:rPr>
          <w:rFonts w:eastAsiaTheme="minorEastAsia" w:cs="Times New Roman"/>
          <w:sz w:val="20"/>
          <w:szCs w:val="20"/>
        </w:rPr>
        <w:t xml:space="preserve">  …………………(</w:t>
      </w:r>
      <w:r w:rsidR="002E4BDD">
        <w:rPr>
          <w:rFonts w:eastAsiaTheme="minorEastAsia" w:cs="Times New Roman"/>
          <w:sz w:val="20"/>
          <w:szCs w:val="20"/>
        </w:rPr>
        <w:t>5</w:t>
      </w:r>
      <w:r w:rsidRPr="00DA4677">
        <w:rPr>
          <w:rFonts w:eastAsiaTheme="minorEastAsia" w:cs="Times New Roman"/>
          <w:sz w:val="20"/>
          <w:szCs w:val="20"/>
        </w:rPr>
        <w:t>b)</w:t>
      </w:r>
    </w:p>
    <w:p w14:paraId="48A1F362"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 xml:space="preserve">Evaluates the model’s discriminative ability; values near </w:t>
      </w:r>
      <w:r w:rsidRPr="00DA4677">
        <w:rPr>
          <w:rFonts w:cs="Times New Roman"/>
          <w:b/>
          <w:bCs/>
          <w:sz w:val="20"/>
          <w:szCs w:val="20"/>
        </w:rPr>
        <w:t>1.0</w:t>
      </w:r>
      <w:r w:rsidRPr="00DA4677">
        <w:rPr>
          <w:rFonts w:cs="Times New Roman"/>
          <w:sz w:val="20"/>
          <w:szCs w:val="20"/>
        </w:rPr>
        <w:t xml:space="preserve"> denote excellent predictive accuracy.</w:t>
      </w:r>
    </w:p>
    <w:bookmarkEnd w:id="6"/>
    <w:p w14:paraId="0802D371" w14:textId="77777777" w:rsidR="00612B51" w:rsidRPr="00DA4677" w:rsidRDefault="001D4AFD" w:rsidP="00612B51">
      <w:pPr>
        <w:pStyle w:val="Heading3"/>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 xml:space="preserve">(c) Variance </w:t>
      </w:r>
      <w:r w:rsidRPr="00DA4677">
        <w:rPr>
          <w:rFonts w:ascii="Times New Roman" w:eastAsia="Times New Roman" w:hAnsi="Times New Roman" w:cs="Times New Roman"/>
          <w:b/>
          <w:bCs/>
          <w:color w:val="auto"/>
          <w:sz w:val="20"/>
          <w:szCs w:val="20"/>
        </w:rPr>
        <w:t>inflation factor</w:t>
      </w:r>
      <w:r w:rsidRPr="00DA4677">
        <w:rPr>
          <w:rFonts w:ascii="Times New Roman" w:hAnsi="Times New Roman" w:cs="Times New Roman"/>
          <w:b/>
          <w:bCs/>
          <w:color w:val="auto"/>
          <w:sz w:val="20"/>
          <w:szCs w:val="20"/>
        </w:rPr>
        <w:t xml:space="preserve"> (VIF)</w:t>
      </w:r>
    </w:p>
    <w:p w14:paraId="6F764B8C" w14:textId="4DE0535E" w:rsidR="00612B51" w:rsidRPr="00DA4677" w:rsidRDefault="001D4AFD" w:rsidP="00C653E8">
      <w:pPr>
        <w:pStyle w:val="FirstParagraph"/>
        <w:jc w:val="center"/>
        <w:rPr>
          <w:rFonts w:cs="Times New Roman"/>
          <w:sz w:val="20"/>
          <w:szCs w:val="20"/>
        </w:rPr>
      </w:pPr>
      <m:oMath>
        <m:r>
          <w:rPr>
            <w:rFonts w:ascii="Cambria Math" w:hAnsi="Cambria Math" w:cs="Times New Roman"/>
            <w:sz w:val="20"/>
            <w:szCs w:val="20"/>
          </w:rPr>
          <m:t>VI</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1</m:t>
            </m:r>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R</m:t>
                </m:r>
              </m:e>
              <m:sub>
                <m:r>
                  <w:rPr>
                    <w:rFonts w:ascii="Cambria Math" w:hAnsi="Cambria Math" w:cs="Times New Roman"/>
                    <w:sz w:val="20"/>
                    <w:szCs w:val="20"/>
                  </w:rPr>
                  <m:t>i</m:t>
                </m:r>
              </m:sub>
              <m:sup>
                <m:r>
                  <w:rPr>
                    <w:rFonts w:ascii="Cambria Math" w:hAnsi="Cambria Math" w:cs="Times New Roman"/>
                    <w:sz w:val="20"/>
                    <w:szCs w:val="20"/>
                  </w:rPr>
                  <m:t>2</m:t>
                </m:r>
              </m:sup>
            </m:sSubSup>
          </m:den>
        </m:f>
      </m:oMath>
      <w:r w:rsidRPr="00DA4677">
        <w:rPr>
          <w:rFonts w:cs="Times New Roman"/>
          <w:sz w:val="20"/>
          <w:szCs w:val="20"/>
        </w:rPr>
        <w:t xml:space="preserve">  </w:t>
      </w:r>
      <w:r w:rsidRPr="00DA4677">
        <w:rPr>
          <w:rFonts w:eastAsiaTheme="minorEastAsia" w:cs="Times New Roman"/>
          <w:sz w:val="20"/>
          <w:szCs w:val="20"/>
        </w:rPr>
        <w:t>………………(</w:t>
      </w:r>
      <w:r w:rsidR="002E4BDD">
        <w:rPr>
          <w:rFonts w:eastAsiaTheme="minorEastAsia" w:cs="Times New Roman"/>
          <w:sz w:val="20"/>
          <w:szCs w:val="20"/>
        </w:rPr>
        <w:t>5</w:t>
      </w:r>
      <w:r w:rsidRPr="00DA4677">
        <w:rPr>
          <w:rFonts w:eastAsiaTheme="minorEastAsia" w:cs="Times New Roman"/>
          <w:sz w:val="20"/>
          <w:szCs w:val="20"/>
        </w:rPr>
        <w:t>c)</w:t>
      </w:r>
    </w:p>
    <w:p w14:paraId="283D2E3A"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 xml:space="preserve">When multicollinearity is detected, </w:t>
      </w:r>
      <m:oMath>
        <m:r>
          <w:rPr>
            <w:rFonts w:ascii="Cambria Math" w:hAnsi="Cambria Math" w:cs="Times New Roman"/>
            <w:sz w:val="20"/>
            <w:szCs w:val="20"/>
          </w:rPr>
          <m:t>VIF</m:t>
        </m:r>
        <m:r>
          <m:rPr>
            <m:sty m:val="p"/>
          </m:rPr>
          <w:rPr>
            <w:rFonts w:ascii="Cambria Math" w:hAnsi="Cambria Math" w:cs="Times New Roman"/>
            <w:sz w:val="20"/>
            <w:szCs w:val="20"/>
          </w:rPr>
          <m:t>&lt;</m:t>
        </m:r>
        <m:r>
          <w:rPr>
            <w:rFonts w:ascii="Cambria Math" w:hAnsi="Cambria Math" w:cs="Times New Roman"/>
            <w:sz w:val="20"/>
            <w:szCs w:val="20"/>
          </w:rPr>
          <m:t>5</m:t>
        </m:r>
      </m:oMath>
      <w:r w:rsidRPr="00DA4677">
        <w:rPr>
          <w:rFonts w:cs="Times New Roman"/>
          <w:sz w:val="20"/>
          <w:szCs w:val="20"/>
        </w:rPr>
        <w:t xml:space="preserve"> confirms acceptable independence between predictors.</w:t>
      </w:r>
    </w:p>
    <w:p w14:paraId="4E231DFE" w14:textId="77777777" w:rsidR="00612B51" w:rsidRPr="00DA4677" w:rsidRDefault="001D4AFD" w:rsidP="00612B51">
      <w:pPr>
        <w:pStyle w:val="Heading1"/>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 xml:space="preserve">Interpretation of </w:t>
      </w:r>
      <w:r w:rsidRPr="00DA4677">
        <w:rPr>
          <w:rFonts w:ascii="Times New Roman" w:eastAsia="Times New Roman" w:hAnsi="Times New Roman" w:cs="Times New Roman"/>
          <w:b/>
          <w:bCs/>
          <w:color w:val="auto"/>
          <w:sz w:val="20"/>
          <w:szCs w:val="20"/>
        </w:rPr>
        <w:t xml:space="preserve">the </w:t>
      </w:r>
      <w:r w:rsidRPr="00DA4677">
        <w:rPr>
          <w:rFonts w:ascii="Times New Roman" w:hAnsi="Times New Roman" w:cs="Times New Roman"/>
          <w:b/>
          <w:bCs/>
          <w:color w:val="auto"/>
          <w:sz w:val="20"/>
          <w:szCs w:val="20"/>
        </w:rPr>
        <w:t>Statistical Equations</w:t>
      </w:r>
    </w:p>
    <w:p w14:paraId="34427895" w14:textId="77777777" w:rsidR="00612B51" w:rsidRPr="00DA4677" w:rsidRDefault="001D4AFD" w:rsidP="00612B51">
      <w:pPr>
        <w:pStyle w:val="FirstParagraph"/>
        <w:jc w:val="both"/>
        <w:rPr>
          <w:rFonts w:cs="Times New Roman"/>
          <w:sz w:val="20"/>
          <w:szCs w:val="20"/>
        </w:rPr>
      </w:pPr>
      <w:r w:rsidRPr="00DA4677">
        <w:rPr>
          <w:rFonts w:cs="Times New Roman"/>
          <w:sz w:val="20"/>
          <w:szCs w:val="20"/>
        </w:rPr>
        <w:t xml:space="preserve">The Cox proportional hazards (PH) model, as expressed in Equation (1), serves as the principal framework for modeling prostate cancer survival. This model estimates the instantaneous risk of death on the basis of multiple predictors while leaving the baseline hazard </w:t>
      </w:r>
      <m:oMath>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oMath>
      <w:r w:rsidRPr="00DA4677">
        <w:rPr>
          <w:rFonts w:cs="Times New Roman"/>
          <w:sz w:val="20"/>
          <w:szCs w:val="20"/>
        </w:rPr>
        <w:t xml:space="preserve"> unspecified. In this study, the model quantified how variables such as age, tumor size, PSA level, cancer stage, Gleason score, and treatment modality influenced the hazard of mortality among patients. By estimating hazard ratios, the model provided an interpretable measure of risk that identified high-risk subgroups. This allowed for targeted public health interventions in Ghana’s healthcare system, advancing the SDG 3.4 goal of reducing premature deaths due to noncommunicable diseases.</w:t>
      </w:r>
    </w:p>
    <w:p w14:paraId="7518C7C3" w14:textId="77777777" w:rsidR="00612B51" w:rsidRPr="00DA4677" w:rsidRDefault="001D4AFD" w:rsidP="00612B51">
      <w:pPr>
        <w:pStyle w:val="BodyText"/>
        <w:jc w:val="both"/>
        <w:rPr>
          <w:rFonts w:cs="Times New Roman"/>
          <w:sz w:val="20"/>
          <w:szCs w:val="20"/>
        </w:rPr>
      </w:pPr>
      <w:r w:rsidRPr="00DA4677">
        <w:rPr>
          <w:rFonts w:cs="Times New Roman"/>
          <w:sz w:val="20"/>
          <w:szCs w:val="20"/>
        </w:rPr>
        <w:t>The restricted cubic splines (RCSs) equation, shown in Equation (2), was incorporated to address the nonlinear relationships between continuous predictors and prostate cancer survival. This function allows the data to be used to determine the shape of the relationship between variables such as age and tumor size and survival risk. The spline terms revealed threshold effects, such as increased mortality for patients with extremely large tumors or very advanced age. In this context, the RCS enhanced the flexibility and realism of the survival model, enabling a more accurate reflection of the biological variation and disease heterogeneity often observed in African populations.</w:t>
      </w:r>
    </w:p>
    <w:p w14:paraId="7312021E" w14:textId="2364D381" w:rsidR="00612B51" w:rsidRPr="00DA4677" w:rsidRDefault="001D4AFD" w:rsidP="00612B51">
      <w:pPr>
        <w:pStyle w:val="BodyText"/>
        <w:jc w:val="both"/>
        <w:rPr>
          <w:rFonts w:cs="Times New Roman"/>
          <w:sz w:val="20"/>
          <w:szCs w:val="20"/>
        </w:rPr>
      </w:pPr>
      <w:r w:rsidRPr="00DA4677">
        <w:rPr>
          <w:rFonts w:cs="Times New Roman"/>
          <w:sz w:val="20"/>
          <w:szCs w:val="20"/>
        </w:rPr>
        <w:t>The Kaplan</w:t>
      </w:r>
      <w:r w:rsidR="00321D3E">
        <w:rPr>
          <w:rFonts w:cs="Times New Roman"/>
          <w:sz w:val="20"/>
          <w:szCs w:val="20"/>
        </w:rPr>
        <w:t>-</w:t>
      </w:r>
      <w:r w:rsidRPr="00DA4677">
        <w:rPr>
          <w:rFonts w:cs="Times New Roman"/>
          <w:sz w:val="20"/>
          <w:szCs w:val="20"/>
        </w:rPr>
        <w:t>Meier survival function, expressed in Equation (</w:t>
      </w:r>
      <w:r w:rsidR="002E4BDD">
        <w:rPr>
          <w:rFonts w:cs="Times New Roman"/>
          <w:sz w:val="20"/>
          <w:szCs w:val="20"/>
        </w:rPr>
        <w:t>3</w:t>
      </w:r>
      <w:r w:rsidRPr="00DA4677">
        <w:rPr>
          <w:rFonts w:cs="Times New Roman"/>
          <w:sz w:val="20"/>
          <w:szCs w:val="20"/>
        </w:rPr>
        <w:t xml:space="preserve">), was applied to derive nonparametric survival estimates across patient subgroups. This estimator computes the probability of surviving beyond time </w:t>
      </w:r>
      <m:oMath>
        <m:r>
          <w:rPr>
            <w:rFonts w:ascii="Cambria Math" w:hAnsi="Cambria Math" w:cs="Times New Roman"/>
            <w:sz w:val="20"/>
            <w:szCs w:val="20"/>
          </w:rPr>
          <m:t>t</m:t>
        </m:r>
      </m:oMath>
      <w:r w:rsidRPr="00DA4677">
        <w:rPr>
          <w:rFonts w:cs="Times New Roman"/>
          <w:sz w:val="20"/>
          <w:szCs w:val="20"/>
        </w:rPr>
        <w:t xml:space="preserve">, where </w:t>
      </w:r>
      <m:oMath>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sidRPr="00DA4677">
        <w:rPr>
          <w:rFonts w:cs="Times New Roman"/>
          <w:sz w:val="20"/>
          <w:szCs w:val="20"/>
        </w:rPr>
        <w:t xml:space="preserve"> represents deaths and where </w:t>
      </w:r>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oMath>
      <w:r w:rsidRPr="00DA4677">
        <w:rPr>
          <w:rFonts w:cs="Times New Roman"/>
          <w:sz w:val="20"/>
          <w:szCs w:val="20"/>
        </w:rPr>
        <w:t xml:space="preserve"> represents the number at risk. </w:t>
      </w:r>
      <w:r w:rsidR="005469AE">
        <w:rPr>
          <w:rFonts w:cs="Times New Roman"/>
          <w:sz w:val="20"/>
          <w:szCs w:val="20"/>
        </w:rPr>
        <w:t xml:space="preserve">Also, </w:t>
      </w:r>
      <w:r w:rsidRPr="00DA4677">
        <w:rPr>
          <w:rFonts w:cs="Times New Roman"/>
          <w:sz w:val="20"/>
          <w:szCs w:val="20"/>
        </w:rPr>
        <w:t>K–M curves were used to visualize survival differences across PSA categories and cancer stages, and the results demonstrated that early-stage (I–II) patients had markedly higher survival probabilities than advanced-stage (III–IV) patients did. These findings supported the study’s recommendation for strengthening early screening initiatives and diagnostic infrastructure in Ghana’s tertiary hospitals.</w:t>
      </w:r>
    </w:p>
    <w:p w14:paraId="14E81E0E" w14:textId="63441012" w:rsidR="00612B51" w:rsidRPr="00DA4677" w:rsidRDefault="001D4AFD" w:rsidP="00612B51">
      <w:pPr>
        <w:pStyle w:val="BodyText"/>
        <w:jc w:val="both"/>
        <w:rPr>
          <w:rFonts w:cs="Times New Roman"/>
          <w:sz w:val="20"/>
          <w:szCs w:val="20"/>
        </w:rPr>
      </w:pPr>
      <w:r w:rsidRPr="00DA4677">
        <w:rPr>
          <w:rFonts w:cs="Times New Roman"/>
          <w:sz w:val="20"/>
          <w:szCs w:val="20"/>
        </w:rPr>
        <w:t>The integrated final model in Equation (</w:t>
      </w:r>
      <w:r w:rsidR="002E4BDD">
        <w:rPr>
          <w:rFonts w:cs="Times New Roman"/>
          <w:sz w:val="20"/>
          <w:szCs w:val="20"/>
        </w:rPr>
        <w:t>4</w:t>
      </w:r>
      <w:r w:rsidRPr="00DA4677">
        <w:rPr>
          <w:rFonts w:cs="Times New Roman"/>
          <w:sz w:val="20"/>
          <w:szCs w:val="20"/>
        </w:rPr>
        <w:t>) combines spline-based continuous predictors and categorical covariates into a single modeling framework. This equation allows for simultaneous assessment of nonlinear and categorical effects. Within this model, tumor size and Gleason score emerged as strong predictors of mortality, whereas treatment variables showed moderate but consistent protective effects. The model provides a holistic survival prediction tool capable of guiding clinical risk stratification and personalized care in prostate cancer management.</w:t>
      </w:r>
    </w:p>
    <w:p w14:paraId="27D5BAF5" w14:textId="4CFE32BF" w:rsidR="00612B51" w:rsidRPr="00DA4677" w:rsidRDefault="001D4AFD" w:rsidP="00612B51">
      <w:pPr>
        <w:pStyle w:val="BodyText"/>
        <w:jc w:val="both"/>
        <w:rPr>
          <w:rFonts w:cs="Times New Roman"/>
          <w:sz w:val="20"/>
          <w:szCs w:val="20"/>
        </w:rPr>
      </w:pPr>
      <w:r w:rsidRPr="00DA4677">
        <w:rPr>
          <w:rFonts w:cs="Times New Roman"/>
          <w:sz w:val="20"/>
          <w:szCs w:val="20"/>
        </w:rPr>
        <w:t>The Model Fit and Diagnostic Equations (</w:t>
      </w:r>
      <w:r w:rsidR="002E4BDD">
        <w:rPr>
          <w:rFonts w:cs="Times New Roman"/>
          <w:sz w:val="20"/>
          <w:szCs w:val="20"/>
        </w:rPr>
        <w:t>5</w:t>
      </w:r>
      <w:r w:rsidRPr="00DA4677">
        <w:rPr>
          <w:rFonts w:cs="Times New Roman"/>
          <w:sz w:val="20"/>
          <w:szCs w:val="20"/>
        </w:rPr>
        <w:t>a–</w:t>
      </w:r>
      <w:r w:rsidR="002E4BDD">
        <w:rPr>
          <w:rFonts w:cs="Times New Roman"/>
          <w:sz w:val="20"/>
          <w:szCs w:val="20"/>
        </w:rPr>
        <w:t>5</w:t>
      </w:r>
      <w:r w:rsidRPr="00DA4677">
        <w:rPr>
          <w:rFonts w:cs="Times New Roman"/>
          <w:sz w:val="20"/>
          <w:szCs w:val="20"/>
        </w:rPr>
        <w:t>c) were used to evaluate the statistical robustness and accuracy of the fitted model. The Akaike information criterion</w:t>
      </w:r>
      <w:r w:rsidRPr="00DA4677">
        <w:rPr>
          <w:rFonts w:cs="Times New Roman"/>
          <w:b/>
          <w:bCs/>
          <w:sz w:val="20"/>
          <w:szCs w:val="20"/>
        </w:rPr>
        <w:t xml:space="preserve"> </w:t>
      </w:r>
      <w:r w:rsidRPr="00DA4677">
        <w:rPr>
          <w:rFonts w:cs="Times New Roman"/>
          <w:sz w:val="20"/>
          <w:szCs w:val="20"/>
        </w:rPr>
        <w:t>(AIC) was used to compare competing model specifications, with lower AIC values indicating improved fit. The spline-augmented Cox model demonstrated superior parsimony over its linear counterpart. Harrell’s concordance index (C-index) was used to measure predictive discrimination, with values near 0.85 confirming strong agreement between the predicted and observed outcomes. The variance inflation factor (VIF) was used to assess multicollinearity among covariates, ensuring model stability. Collectively, these diagnostics confirmed that the model was statistically sound, highly predictive, and well calibrated</w:t>
      </w:r>
      <w:r w:rsidR="005469AE">
        <w:rPr>
          <w:rFonts w:cs="Times New Roman"/>
          <w:sz w:val="20"/>
          <w:szCs w:val="20"/>
        </w:rPr>
        <w:t xml:space="preserve"> </w:t>
      </w:r>
      <w:r w:rsidRPr="00DA4677">
        <w:rPr>
          <w:rFonts w:cs="Times New Roman"/>
          <w:sz w:val="20"/>
          <w:szCs w:val="20"/>
        </w:rPr>
        <w:t>offering credible insights into prostate cancer mortality risk in Ghana and informing evidence-based cancer control strategies.</w:t>
      </w:r>
    </w:p>
    <w:p w14:paraId="29B063B1" w14:textId="2EC0FB38" w:rsidR="00274234" w:rsidRPr="00DA4677" w:rsidRDefault="001D4AFD" w:rsidP="00612B51">
      <w:pPr>
        <w:pStyle w:val="BodyText"/>
        <w:jc w:val="both"/>
        <w:rPr>
          <w:rFonts w:cs="Times New Roman"/>
          <w:sz w:val="20"/>
          <w:szCs w:val="20"/>
        </w:rPr>
      </w:pPr>
      <w:r w:rsidRPr="00DA4677">
        <w:rPr>
          <w:rFonts w:cs="Times New Roman"/>
          <w:sz w:val="20"/>
          <w:szCs w:val="20"/>
        </w:rPr>
        <w:lastRenderedPageBreak/>
        <w:t>SHAP values were generated via a log hazard–based explainer constructed around the fitted Cox model. The explainer decomposed the linear predictor into additive feature contributions via a background distribution on the basis of the model’s linear predictor mean.</w:t>
      </w:r>
      <w:r w:rsidRPr="00DA4677">
        <w:rPr>
          <w:rFonts w:cs="Times New Roman"/>
          <w:kern w:val="2"/>
          <w:sz w:val="20"/>
          <w:szCs w:val="20"/>
          <w14:ligatures w14:val="standardContextual"/>
        </w:rPr>
        <w:t xml:space="preserve"> </w:t>
      </w:r>
      <w:r w:rsidRPr="00DA4677">
        <w:rPr>
          <w:rFonts w:cs="Times New Roman"/>
          <w:sz w:val="20"/>
          <w:szCs w:val="20"/>
        </w:rPr>
        <w:t>Stage I served as the reference category for cancer stage, low PSA served as the reference for PSA levels, and “no therapy” served as the reference for each treatment modality.</w:t>
      </w:r>
    </w:p>
    <w:p w14:paraId="6EED4F1F" w14:textId="5604377D" w:rsidR="00612B51" w:rsidRPr="00DA4677" w:rsidRDefault="009A43FA" w:rsidP="00612B51">
      <w:pPr>
        <w:jc w:val="both"/>
        <w:rPr>
          <w:rFonts w:ascii="Times New Roman" w:hAnsi="Times New Roman" w:cs="Times New Roman"/>
          <w:sz w:val="20"/>
          <w:szCs w:val="20"/>
        </w:rPr>
      </w:pPr>
      <w:r>
        <w:rPr>
          <w:rFonts w:ascii="Times New Roman" w:hAnsi="Times New Roman" w:cs="Times New Roman"/>
          <w:b/>
          <w:bCs/>
          <w:sz w:val="20"/>
          <w:szCs w:val="20"/>
        </w:rPr>
        <w:t>Result</w:t>
      </w:r>
      <w:bookmarkStart w:id="7" w:name="_GoBack"/>
      <w:bookmarkEnd w:id="7"/>
    </w:p>
    <w:p w14:paraId="21013F97"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cohort exhibited a predominance of intermediate and advanced stages at presentation. As shown in Table 1, Stage II and Stage III together comprised more than half of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cases, with Stage IV contributing a further 17%. This distribution aligns with reports from tertiary centers in low- and middle-income settings where delayed presentation remains common. The observed mean tumor size and average number of lymph nodes involved indicate </w:t>
      </w:r>
      <w:r w:rsidRPr="00DA4677">
        <w:rPr>
          <w:rFonts w:ascii="Times New Roman" w:eastAsia="Calibri" w:hAnsi="Times New Roman" w:cs="Times New Roman"/>
          <w:sz w:val="20"/>
          <w:szCs w:val="20"/>
        </w:rPr>
        <w:t xml:space="preserve">a </w:t>
      </w:r>
      <w:r w:rsidRPr="00DA4677">
        <w:rPr>
          <w:rFonts w:ascii="Times New Roman" w:hAnsi="Times New Roman" w:cs="Times New Roman"/>
          <w:sz w:val="20"/>
          <w:szCs w:val="20"/>
        </w:rPr>
        <w:t xml:space="preserve">substantial disease burden at diagnosis, reinforcing the critical need for early detection programs. The distribution of PSA levels in Figure 2 shows a moderate range, </w:t>
      </w:r>
      <w:r w:rsidRPr="00DA4677">
        <w:rPr>
          <w:rFonts w:ascii="Times New Roman" w:eastAsia="Calibri" w:hAnsi="Times New Roman" w:cs="Times New Roman"/>
          <w:sz w:val="20"/>
          <w:szCs w:val="20"/>
        </w:rPr>
        <w:t>whereas</w:t>
      </w:r>
      <w:r w:rsidRPr="00DA4677">
        <w:rPr>
          <w:rFonts w:ascii="Times New Roman" w:hAnsi="Times New Roman" w:cs="Times New Roman"/>
          <w:sz w:val="20"/>
          <w:szCs w:val="20"/>
        </w:rPr>
        <w:t xml:space="preserve"> Figure 1 highlights the stage mix that typically accompanies diagnostic delays and uneven screening access.</w:t>
      </w:r>
    </w:p>
    <w:p w14:paraId="47F149EA"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3C740C3E" wp14:editId="5963970F">
            <wp:extent cx="5942330" cy="1498565"/>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rotWithShape="1">
                    <a:blip r:embed="rId5"/>
                    <a:srcRect t="6349" b="-2"/>
                    <a:stretch>
                      <a:fillRect/>
                    </a:stretch>
                  </pic:blipFill>
                  <pic:spPr bwMode="auto">
                    <a:xfrm>
                      <a:off x="0" y="0"/>
                      <a:ext cx="82679" cy="20850"/>
                    </a:xfrm>
                    <a:prstGeom prst="rect">
                      <a:avLst/>
                    </a:prstGeom>
                    <a:noFill/>
                    <a:ln>
                      <a:noFill/>
                    </a:ln>
                    <a:extLst>
                      <a:ext uri="{53640926-AAD7-44D8-BBD7-CCE9431645EC}">
                        <a14:shadowObscured xmlns:a14="http://schemas.microsoft.com/office/drawing/2010/main"/>
                      </a:ext>
                    </a:extLst>
                  </pic:spPr>
                </pic:pic>
              </a:graphicData>
            </a:graphic>
          </wp:inline>
        </w:drawing>
      </w:r>
    </w:p>
    <w:p w14:paraId="0EAD697B" w14:textId="77777777" w:rsidR="00612B51" w:rsidRPr="00DA4677" w:rsidRDefault="001D4AFD" w:rsidP="00612B51">
      <w:pPr>
        <w:pStyle w:val="Heading3"/>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1: Cancer </w:t>
      </w:r>
      <w:r w:rsidRPr="00DA4677">
        <w:rPr>
          <w:rFonts w:ascii="Times New Roman" w:eastAsia="Times New Roman" w:hAnsi="Times New Roman" w:cs="Times New Roman"/>
          <w:color w:val="auto"/>
          <w:sz w:val="20"/>
          <w:szCs w:val="20"/>
        </w:rPr>
        <w:t>stage counts</w:t>
      </w:r>
    </w:p>
    <w:p w14:paraId="2DB4547F" w14:textId="77777777" w:rsidR="00612B51" w:rsidRPr="00DA4677" w:rsidRDefault="00612B51" w:rsidP="00612B51">
      <w:pPr>
        <w:jc w:val="both"/>
        <w:rPr>
          <w:rFonts w:ascii="Times New Roman" w:hAnsi="Times New Roman" w:cs="Times New Roman"/>
          <w:sz w:val="20"/>
          <w:szCs w:val="20"/>
        </w:rPr>
      </w:pPr>
    </w:p>
    <w:p w14:paraId="7A1A6A8B"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50F63E4C" wp14:editId="7A44F26F">
            <wp:extent cx="5943600" cy="140969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rotWithShape="1">
                    <a:blip r:embed="rId6"/>
                    <a:srcRect t="7115"/>
                    <a:stretch>
                      <a:fillRect/>
                    </a:stretch>
                  </pic:blipFill>
                  <pic:spPr bwMode="auto">
                    <a:xfrm>
                      <a:off x="0" y="0"/>
                      <a:ext cx="82568" cy="19583"/>
                    </a:xfrm>
                    <a:prstGeom prst="rect">
                      <a:avLst/>
                    </a:prstGeom>
                    <a:noFill/>
                    <a:ln>
                      <a:noFill/>
                    </a:ln>
                    <a:extLst>
                      <a:ext uri="{53640926-AAD7-44D8-BBD7-CCE9431645EC}">
                        <a14:shadowObscured xmlns:a14="http://schemas.microsoft.com/office/drawing/2010/main"/>
                      </a:ext>
                    </a:extLst>
                  </pic:spPr>
                </pic:pic>
              </a:graphicData>
            </a:graphic>
          </wp:inline>
        </w:drawing>
      </w:r>
    </w:p>
    <w:p w14:paraId="6276519A" w14:textId="77777777" w:rsidR="00612B51" w:rsidRPr="00DA4677" w:rsidRDefault="001D4AFD" w:rsidP="00612B51">
      <w:pPr>
        <w:pStyle w:val="Heading3"/>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2: PSA </w:t>
      </w:r>
      <w:r w:rsidRPr="00DA4677">
        <w:rPr>
          <w:rFonts w:ascii="Times New Roman" w:eastAsia="Times New Roman" w:hAnsi="Times New Roman" w:cs="Times New Roman"/>
          <w:color w:val="auto"/>
          <w:sz w:val="20"/>
          <w:szCs w:val="20"/>
        </w:rPr>
        <w:t>level counts</w:t>
      </w:r>
    </w:p>
    <w:p w14:paraId="70256B91" w14:textId="77777777" w:rsidR="00612B51" w:rsidRPr="00DA4677" w:rsidRDefault="00612B51" w:rsidP="00612B51">
      <w:pPr>
        <w:jc w:val="both"/>
        <w:rPr>
          <w:rFonts w:ascii="Times New Roman" w:hAnsi="Times New Roman" w:cs="Times New Roman"/>
          <w:sz w:val="20"/>
          <w:szCs w:val="20"/>
        </w:rPr>
      </w:pPr>
    </w:p>
    <w:p w14:paraId="669C85B8"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2AC38834" wp14:editId="645E9A72">
            <wp:extent cx="5943600" cy="14160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noChangeArrowheads="1"/>
                    </pic:cNvPicPr>
                  </pic:nvPicPr>
                  <pic:blipFill rotWithShape="1">
                    <a:blip r:embed="rId7"/>
                    <a:srcRect t="8230"/>
                    <a:stretch>
                      <a:fillRect/>
                    </a:stretch>
                  </pic:blipFill>
                  <pic:spPr bwMode="auto">
                    <a:xfrm>
                      <a:off x="0" y="0"/>
                      <a:ext cx="82561" cy="19670"/>
                    </a:xfrm>
                    <a:prstGeom prst="rect">
                      <a:avLst/>
                    </a:prstGeom>
                    <a:noFill/>
                    <a:ln>
                      <a:noFill/>
                    </a:ln>
                    <a:extLst>
                      <a:ext uri="{53640926-AAD7-44D8-BBD7-CCE9431645EC}">
                        <a14:shadowObscured xmlns:a14="http://schemas.microsoft.com/office/drawing/2010/main"/>
                      </a:ext>
                    </a:extLst>
                  </pic:spPr>
                </pic:pic>
              </a:graphicData>
            </a:graphic>
          </wp:inline>
        </w:drawing>
      </w:r>
    </w:p>
    <w:p w14:paraId="1DC2E15A" w14:textId="6E5F10A7" w:rsidR="00612B51" w:rsidRPr="00DA4677" w:rsidRDefault="001D4AFD" w:rsidP="00612B51">
      <w:pPr>
        <w:pStyle w:val="Heading3"/>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3: Tumor </w:t>
      </w:r>
      <w:r w:rsidRPr="00DA4677">
        <w:rPr>
          <w:rFonts w:ascii="Times New Roman" w:eastAsia="Times New Roman" w:hAnsi="Times New Roman" w:cs="Times New Roman"/>
          <w:color w:val="auto"/>
          <w:sz w:val="20"/>
          <w:szCs w:val="20"/>
        </w:rPr>
        <w:t>size</w:t>
      </w:r>
      <w:r w:rsidRPr="00DA4677">
        <w:rPr>
          <w:rFonts w:ascii="Times New Roman" w:hAnsi="Times New Roman" w:cs="Times New Roman"/>
          <w:color w:val="auto"/>
          <w:sz w:val="20"/>
          <w:szCs w:val="20"/>
        </w:rPr>
        <w:t xml:space="preserve"> by </w:t>
      </w:r>
      <w:r w:rsidR="00C653E8">
        <w:rPr>
          <w:rFonts w:ascii="Times New Roman" w:hAnsi="Times New Roman" w:cs="Times New Roman"/>
          <w:color w:val="auto"/>
          <w:sz w:val="20"/>
          <w:szCs w:val="20"/>
        </w:rPr>
        <w:t xml:space="preserve">cancer </w:t>
      </w:r>
      <w:r w:rsidRPr="00DA4677">
        <w:rPr>
          <w:rFonts w:ascii="Times New Roman" w:eastAsia="Times New Roman" w:hAnsi="Times New Roman" w:cs="Times New Roman"/>
          <w:color w:val="auto"/>
          <w:sz w:val="20"/>
          <w:szCs w:val="20"/>
        </w:rPr>
        <w:t>stage</w:t>
      </w:r>
    </w:p>
    <w:p w14:paraId="584BF6B0" w14:textId="77777777" w:rsidR="00612B51" w:rsidRPr="00DA4677" w:rsidRDefault="001D4AFD" w:rsidP="00612B51">
      <w:pPr>
        <w:pStyle w:val="Heading1"/>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Cox </w:t>
      </w:r>
      <w:r w:rsidRPr="00DA4677">
        <w:rPr>
          <w:rFonts w:ascii="Times New Roman" w:eastAsia="Times New Roman" w:hAnsi="Times New Roman" w:cs="Times New Roman"/>
          <w:color w:val="auto"/>
          <w:sz w:val="20"/>
          <w:szCs w:val="20"/>
        </w:rPr>
        <w:t>proportional hazards with restricted cubic splines</w:t>
      </w:r>
    </w:p>
    <w:p w14:paraId="7543923B"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Table 1:</w:t>
      </w:r>
      <w:r w:rsidRPr="00DA4677">
        <w:rPr>
          <w:rFonts w:ascii="Times New Roman" w:eastAsia="Times New Roman" w:hAnsi="Times New Roman" w:cs="Times New Roman"/>
          <w:color w:val="auto"/>
          <w:sz w:val="20"/>
          <w:szCs w:val="20"/>
        </w:rPr>
        <w:t xml:space="preserve"> </w:t>
      </w:r>
      <w:r w:rsidRPr="00DA4677">
        <w:rPr>
          <w:rFonts w:ascii="Times New Roman" w:hAnsi="Times New Roman" w:cs="Times New Roman"/>
          <w:color w:val="auto"/>
          <w:sz w:val="20"/>
          <w:szCs w:val="20"/>
        </w:rPr>
        <w:t xml:space="preserve">Baseline </w:t>
      </w:r>
      <w:r w:rsidRPr="00DA4677">
        <w:rPr>
          <w:rFonts w:ascii="Times New Roman" w:eastAsia="Times New Roman" w:hAnsi="Times New Roman" w:cs="Times New Roman"/>
          <w:color w:val="auto"/>
          <w:sz w:val="20"/>
          <w:szCs w:val="20"/>
        </w:rPr>
        <w:t>characteristics</w:t>
      </w:r>
    </w:p>
    <w:tbl>
      <w:tblPr>
        <w:tblW w:w="0" w:type="auto"/>
        <w:jc w:val="center"/>
        <w:tblLayout w:type="fixed"/>
        <w:tblLook w:val="0420" w:firstRow="1" w:lastRow="0" w:firstColumn="0" w:lastColumn="0" w:noHBand="0" w:noVBand="1"/>
      </w:tblPr>
      <w:tblGrid>
        <w:gridCol w:w="2649"/>
        <w:gridCol w:w="1719"/>
      </w:tblGrid>
      <w:tr w:rsidR="00DA4677" w:rsidRPr="00DA4677" w14:paraId="68087B7B" w14:textId="77777777" w:rsidTr="007C013F">
        <w:trPr>
          <w:tblHeader/>
          <w:jc w:val="center"/>
        </w:trPr>
        <w:tc>
          <w:tcPr>
            <w:tcW w:w="264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3C4DC889"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Characteristic</w:t>
            </w:r>
          </w:p>
        </w:tc>
        <w:tc>
          <w:tcPr>
            <w:tcW w:w="171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F130737"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N = 300</w:t>
            </w:r>
            <w:r w:rsidRPr="00DA4677">
              <w:rPr>
                <w:rFonts w:ascii="Times New Roman" w:eastAsia="Arial" w:hAnsi="Times New Roman" w:cs="Times New Roman"/>
                <w:sz w:val="20"/>
                <w:szCs w:val="20"/>
                <w:vertAlign w:val="superscript"/>
              </w:rPr>
              <w:t>1</w:t>
            </w:r>
          </w:p>
        </w:tc>
      </w:tr>
      <w:tr w:rsidR="00DA4677" w:rsidRPr="00DA4677" w14:paraId="6521FF3F" w14:textId="77777777" w:rsidTr="007C013F">
        <w:trPr>
          <w:jc w:val="center"/>
        </w:trPr>
        <w:tc>
          <w:tcPr>
            <w:tcW w:w="2649" w:type="dxa"/>
            <w:tcBorders>
              <w:top w:val="single" w:sz="8" w:space="0" w:color="000000"/>
              <w:left w:val="nil"/>
              <w:bottom w:val="nil"/>
              <w:right w:val="nil"/>
            </w:tcBorders>
            <w:shd w:val="clear" w:color="auto" w:fill="FFFFFF"/>
            <w:tcMar>
              <w:top w:w="0" w:type="dxa"/>
              <w:left w:w="0" w:type="dxa"/>
              <w:bottom w:w="0" w:type="dxa"/>
              <w:right w:w="0" w:type="dxa"/>
            </w:tcMar>
          </w:tcPr>
          <w:p w14:paraId="287607D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r w:rsidRPr="00DA4677">
              <w:rPr>
                <w:rFonts w:ascii="Times New Roman" w:eastAsia="Arial" w:hAnsi="Times New Roman" w:cs="Times New Roman"/>
                <w:b/>
                <w:sz w:val="20"/>
                <w:szCs w:val="20"/>
              </w:rPr>
              <w:t>age</w:t>
            </w:r>
          </w:p>
        </w:tc>
        <w:tc>
          <w:tcPr>
            <w:tcW w:w="1719" w:type="dxa"/>
            <w:tcBorders>
              <w:top w:val="single" w:sz="8" w:space="0" w:color="000000"/>
              <w:left w:val="nil"/>
              <w:bottom w:val="nil"/>
              <w:right w:val="nil"/>
            </w:tcBorders>
            <w:shd w:val="clear" w:color="auto" w:fill="FFFFFF"/>
            <w:tcMar>
              <w:top w:w="0" w:type="dxa"/>
              <w:left w:w="0" w:type="dxa"/>
              <w:bottom w:w="0" w:type="dxa"/>
              <w:right w:w="0" w:type="dxa"/>
            </w:tcMar>
          </w:tcPr>
          <w:p w14:paraId="53184528"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52.76 (17.65)</w:t>
            </w:r>
          </w:p>
        </w:tc>
      </w:tr>
      <w:tr w:rsidR="00DA4677" w:rsidRPr="00DA4677" w14:paraId="5E817DA9"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44A0D6B"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cancer_stage</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07F1B38B"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6FC62F9F"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28BEB601"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w:t>
            </w:r>
          </w:p>
        </w:tc>
        <w:tc>
          <w:tcPr>
            <w:tcW w:w="1719" w:type="dxa"/>
            <w:tcBorders>
              <w:top w:val="nil"/>
              <w:left w:val="nil"/>
              <w:bottom w:val="nil"/>
              <w:right w:val="nil"/>
            </w:tcBorders>
            <w:shd w:val="clear" w:color="auto" w:fill="FFFFFF"/>
            <w:tcMar>
              <w:top w:w="0" w:type="dxa"/>
              <w:left w:w="0" w:type="dxa"/>
              <w:bottom w:w="0" w:type="dxa"/>
              <w:right w:w="0" w:type="dxa"/>
            </w:tcMar>
          </w:tcPr>
          <w:p w14:paraId="375916A3"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77 (26%)</w:t>
            </w:r>
          </w:p>
        </w:tc>
      </w:tr>
      <w:tr w:rsidR="00DA4677" w:rsidRPr="00DA4677" w14:paraId="4E47EAE2"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211DE0BF"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II</w:t>
            </w:r>
          </w:p>
        </w:tc>
        <w:tc>
          <w:tcPr>
            <w:tcW w:w="1719" w:type="dxa"/>
            <w:tcBorders>
              <w:top w:val="nil"/>
              <w:left w:val="nil"/>
              <w:bottom w:val="nil"/>
              <w:right w:val="nil"/>
            </w:tcBorders>
            <w:shd w:val="clear" w:color="auto" w:fill="FFFFFF"/>
            <w:tcMar>
              <w:top w:w="0" w:type="dxa"/>
              <w:left w:w="0" w:type="dxa"/>
              <w:bottom w:w="0" w:type="dxa"/>
              <w:right w:w="0" w:type="dxa"/>
            </w:tcMar>
          </w:tcPr>
          <w:p w14:paraId="1243CE24"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90 (30%)</w:t>
            </w:r>
          </w:p>
        </w:tc>
      </w:tr>
      <w:tr w:rsidR="00DA4677" w:rsidRPr="00DA4677" w14:paraId="35627A70"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380AB598"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III</w:t>
            </w:r>
          </w:p>
        </w:tc>
        <w:tc>
          <w:tcPr>
            <w:tcW w:w="1719" w:type="dxa"/>
            <w:tcBorders>
              <w:top w:val="nil"/>
              <w:left w:val="nil"/>
              <w:bottom w:val="nil"/>
              <w:right w:val="nil"/>
            </w:tcBorders>
            <w:shd w:val="clear" w:color="auto" w:fill="FFFFFF"/>
            <w:tcMar>
              <w:top w:w="0" w:type="dxa"/>
              <w:left w:w="0" w:type="dxa"/>
              <w:bottom w:w="0" w:type="dxa"/>
              <w:right w:w="0" w:type="dxa"/>
            </w:tcMar>
          </w:tcPr>
          <w:p w14:paraId="0DE56BBA"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83 (28%)</w:t>
            </w:r>
          </w:p>
        </w:tc>
      </w:tr>
      <w:tr w:rsidR="00DA4677" w:rsidRPr="00DA4677" w14:paraId="4B79EC8B"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DFFF98D"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lastRenderedPageBreak/>
              <w:t>IV</w:t>
            </w:r>
          </w:p>
        </w:tc>
        <w:tc>
          <w:tcPr>
            <w:tcW w:w="1719" w:type="dxa"/>
            <w:tcBorders>
              <w:top w:val="nil"/>
              <w:left w:val="nil"/>
              <w:bottom w:val="nil"/>
              <w:right w:val="nil"/>
            </w:tcBorders>
            <w:shd w:val="clear" w:color="auto" w:fill="FFFFFF"/>
            <w:tcMar>
              <w:top w:w="0" w:type="dxa"/>
              <w:left w:w="0" w:type="dxa"/>
              <w:bottom w:w="0" w:type="dxa"/>
              <w:right w:w="0" w:type="dxa"/>
            </w:tcMar>
          </w:tcPr>
          <w:p w14:paraId="0015480E"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50 (17%)</w:t>
            </w:r>
          </w:p>
        </w:tc>
      </w:tr>
      <w:tr w:rsidR="00DA4677" w:rsidRPr="00DA4677" w14:paraId="0A75252F"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F7477D3"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tumor_size_cm</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5225AD46"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5.47 (2.60)</w:t>
            </w:r>
          </w:p>
        </w:tc>
      </w:tr>
      <w:tr w:rsidR="00DA4677" w:rsidRPr="00DA4677" w14:paraId="34EDB6F0"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4B202BE1"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lymph_nodes_involved</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2C402C3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7.09 (4.39)</w:t>
            </w:r>
          </w:p>
        </w:tc>
      </w:tr>
      <w:tr w:rsidR="00DA4677" w:rsidRPr="00DA4677" w14:paraId="5056B820"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E8FF76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psa_levels</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1413A2BC"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46A4A802"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29E27573"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Low</w:t>
            </w:r>
          </w:p>
        </w:tc>
        <w:tc>
          <w:tcPr>
            <w:tcW w:w="1719" w:type="dxa"/>
            <w:tcBorders>
              <w:top w:val="nil"/>
              <w:left w:val="nil"/>
              <w:bottom w:val="nil"/>
              <w:right w:val="nil"/>
            </w:tcBorders>
            <w:shd w:val="clear" w:color="auto" w:fill="FFFFFF"/>
            <w:tcMar>
              <w:top w:w="0" w:type="dxa"/>
              <w:left w:w="0" w:type="dxa"/>
              <w:bottom w:w="0" w:type="dxa"/>
              <w:right w:w="0" w:type="dxa"/>
            </w:tcMar>
          </w:tcPr>
          <w:p w14:paraId="6FC07DBD"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82 (27%)</w:t>
            </w:r>
          </w:p>
        </w:tc>
      </w:tr>
      <w:tr w:rsidR="00DA4677" w:rsidRPr="00DA4677" w14:paraId="0FDE5CF8"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35CE2161"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Moderate</w:t>
            </w:r>
          </w:p>
        </w:tc>
        <w:tc>
          <w:tcPr>
            <w:tcW w:w="1719" w:type="dxa"/>
            <w:tcBorders>
              <w:top w:val="nil"/>
              <w:left w:val="nil"/>
              <w:bottom w:val="nil"/>
              <w:right w:val="nil"/>
            </w:tcBorders>
            <w:shd w:val="clear" w:color="auto" w:fill="FFFFFF"/>
            <w:tcMar>
              <w:top w:w="0" w:type="dxa"/>
              <w:left w:w="0" w:type="dxa"/>
              <w:bottom w:w="0" w:type="dxa"/>
              <w:right w:w="0" w:type="dxa"/>
            </w:tcMar>
          </w:tcPr>
          <w:p w14:paraId="3FE3591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129 (43%)</w:t>
            </w:r>
          </w:p>
        </w:tc>
      </w:tr>
      <w:tr w:rsidR="00DA4677" w:rsidRPr="00DA4677" w14:paraId="48AF8DB6"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0A148BE"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High</w:t>
            </w:r>
          </w:p>
        </w:tc>
        <w:tc>
          <w:tcPr>
            <w:tcW w:w="1719" w:type="dxa"/>
            <w:tcBorders>
              <w:top w:val="nil"/>
              <w:left w:val="nil"/>
              <w:bottom w:val="nil"/>
              <w:right w:val="nil"/>
            </w:tcBorders>
            <w:shd w:val="clear" w:color="auto" w:fill="FFFFFF"/>
            <w:tcMar>
              <w:top w:w="0" w:type="dxa"/>
              <w:left w:w="0" w:type="dxa"/>
              <w:bottom w:w="0" w:type="dxa"/>
              <w:right w:w="0" w:type="dxa"/>
            </w:tcMar>
          </w:tcPr>
          <w:p w14:paraId="26709923"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89 (30%)</w:t>
            </w:r>
          </w:p>
        </w:tc>
      </w:tr>
      <w:tr w:rsidR="00DA4677" w:rsidRPr="00DA4677" w14:paraId="3B8B6933"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1DC4939"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r w:rsidRPr="00DA4677">
              <w:rPr>
                <w:rFonts w:ascii="Times New Roman" w:eastAsia="Arial" w:hAnsi="Times New Roman" w:cs="Times New Roman"/>
                <w:b/>
                <w:sz w:val="20"/>
                <w:szCs w:val="20"/>
              </w:rPr>
              <w:t>chemotherapy</w:t>
            </w:r>
          </w:p>
        </w:tc>
        <w:tc>
          <w:tcPr>
            <w:tcW w:w="1719" w:type="dxa"/>
            <w:tcBorders>
              <w:top w:val="nil"/>
              <w:left w:val="nil"/>
              <w:bottom w:val="nil"/>
              <w:right w:val="nil"/>
            </w:tcBorders>
            <w:shd w:val="clear" w:color="auto" w:fill="FFFFFF"/>
            <w:tcMar>
              <w:top w:w="0" w:type="dxa"/>
              <w:left w:w="0" w:type="dxa"/>
              <w:bottom w:w="0" w:type="dxa"/>
              <w:right w:w="0" w:type="dxa"/>
            </w:tcMar>
          </w:tcPr>
          <w:p w14:paraId="4AF1DBD5"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165 (55%)</w:t>
            </w:r>
          </w:p>
        </w:tc>
      </w:tr>
      <w:tr w:rsidR="00DA4677" w:rsidRPr="00DA4677" w14:paraId="7F51598A"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E4F95CD"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radiation_therapy</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7E32D63A"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179 (60%)</w:t>
            </w:r>
          </w:p>
        </w:tc>
      </w:tr>
      <w:tr w:rsidR="00DA4677" w:rsidRPr="00DA4677" w14:paraId="223B8701"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EE507AE"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hormone_therapy</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6364847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154 (51%)</w:t>
            </w:r>
          </w:p>
        </w:tc>
      </w:tr>
      <w:tr w:rsidR="00DA4677" w:rsidRPr="00DA4677" w14:paraId="415F83C4"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0B6F1CD"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gleason_score</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65672767"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44F8EADD"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084EDEE2"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6</w:t>
            </w:r>
          </w:p>
        </w:tc>
        <w:tc>
          <w:tcPr>
            <w:tcW w:w="1719" w:type="dxa"/>
            <w:tcBorders>
              <w:top w:val="nil"/>
              <w:left w:val="nil"/>
              <w:bottom w:val="nil"/>
              <w:right w:val="nil"/>
            </w:tcBorders>
            <w:shd w:val="clear" w:color="auto" w:fill="FFFFFF"/>
            <w:tcMar>
              <w:top w:w="0" w:type="dxa"/>
              <w:left w:w="0" w:type="dxa"/>
              <w:bottom w:w="0" w:type="dxa"/>
              <w:right w:w="0" w:type="dxa"/>
            </w:tcMar>
          </w:tcPr>
          <w:p w14:paraId="54C92E0F"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74 (25%)</w:t>
            </w:r>
          </w:p>
        </w:tc>
      </w:tr>
      <w:tr w:rsidR="00DA4677" w:rsidRPr="00DA4677" w14:paraId="20AC62AA"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C56EBF7"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w:t>
            </w:r>
          </w:p>
        </w:tc>
        <w:tc>
          <w:tcPr>
            <w:tcW w:w="1719" w:type="dxa"/>
            <w:tcBorders>
              <w:top w:val="nil"/>
              <w:left w:val="nil"/>
              <w:bottom w:val="nil"/>
              <w:right w:val="nil"/>
            </w:tcBorders>
            <w:shd w:val="clear" w:color="auto" w:fill="FFFFFF"/>
            <w:tcMar>
              <w:top w:w="0" w:type="dxa"/>
              <w:left w:w="0" w:type="dxa"/>
              <w:bottom w:w="0" w:type="dxa"/>
              <w:right w:w="0" w:type="dxa"/>
            </w:tcMar>
          </w:tcPr>
          <w:p w14:paraId="4DA727BD"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74 (25%)</w:t>
            </w:r>
          </w:p>
        </w:tc>
      </w:tr>
      <w:tr w:rsidR="00DA4677" w:rsidRPr="00DA4677" w14:paraId="27D19F50"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051E7E8"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8</w:t>
            </w:r>
          </w:p>
        </w:tc>
        <w:tc>
          <w:tcPr>
            <w:tcW w:w="1719" w:type="dxa"/>
            <w:tcBorders>
              <w:top w:val="nil"/>
              <w:left w:val="nil"/>
              <w:bottom w:val="nil"/>
              <w:right w:val="nil"/>
            </w:tcBorders>
            <w:shd w:val="clear" w:color="auto" w:fill="FFFFFF"/>
            <w:tcMar>
              <w:top w:w="0" w:type="dxa"/>
              <w:left w:w="0" w:type="dxa"/>
              <w:bottom w:w="0" w:type="dxa"/>
              <w:right w:w="0" w:type="dxa"/>
            </w:tcMar>
          </w:tcPr>
          <w:p w14:paraId="313A6215"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73 (24%)</w:t>
            </w:r>
          </w:p>
        </w:tc>
      </w:tr>
      <w:tr w:rsidR="00DA4677" w:rsidRPr="00DA4677" w14:paraId="7C536AC2" w14:textId="77777777" w:rsidTr="007C013F">
        <w:trPr>
          <w:jc w:val="center"/>
        </w:trPr>
        <w:tc>
          <w:tcPr>
            <w:tcW w:w="2649" w:type="dxa"/>
            <w:tcBorders>
              <w:top w:val="nil"/>
              <w:left w:val="nil"/>
              <w:bottom w:val="single" w:sz="8" w:space="0" w:color="000000"/>
              <w:right w:val="nil"/>
            </w:tcBorders>
            <w:shd w:val="clear" w:color="auto" w:fill="FFFFFF"/>
            <w:tcMar>
              <w:top w:w="0" w:type="dxa"/>
              <w:left w:w="0" w:type="dxa"/>
              <w:bottom w:w="0" w:type="dxa"/>
              <w:right w:w="0" w:type="dxa"/>
            </w:tcMar>
          </w:tcPr>
          <w:p w14:paraId="2FD9982E"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9</w:t>
            </w:r>
          </w:p>
        </w:tc>
        <w:tc>
          <w:tcPr>
            <w:tcW w:w="1719" w:type="dxa"/>
            <w:tcBorders>
              <w:top w:val="nil"/>
              <w:left w:val="nil"/>
              <w:bottom w:val="single" w:sz="8" w:space="0" w:color="000000"/>
              <w:right w:val="nil"/>
            </w:tcBorders>
            <w:shd w:val="clear" w:color="auto" w:fill="FFFFFF"/>
            <w:tcMar>
              <w:top w:w="0" w:type="dxa"/>
              <w:left w:w="0" w:type="dxa"/>
              <w:bottom w:w="0" w:type="dxa"/>
              <w:right w:w="0" w:type="dxa"/>
            </w:tcMar>
          </w:tcPr>
          <w:p w14:paraId="49AFE790"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79 (26%)</w:t>
            </w:r>
          </w:p>
        </w:tc>
      </w:tr>
      <w:tr w:rsidR="00DA4677" w:rsidRPr="00DA4677" w14:paraId="7DD38BDF" w14:textId="77777777" w:rsidTr="007C013F">
        <w:trPr>
          <w:jc w:val="center"/>
        </w:trPr>
        <w:tc>
          <w:tcPr>
            <w:tcW w:w="4368" w:type="dxa"/>
            <w:gridSpan w:val="2"/>
            <w:tcBorders>
              <w:top w:val="single" w:sz="8" w:space="0" w:color="000000"/>
              <w:left w:val="nil"/>
              <w:bottom w:val="nil"/>
              <w:right w:val="nil"/>
            </w:tcBorders>
            <w:shd w:val="clear" w:color="auto" w:fill="FFFFFF"/>
            <w:tcMar>
              <w:top w:w="0" w:type="dxa"/>
              <w:left w:w="0" w:type="dxa"/>
              <w:bottom w:w="0" w:type="dxa"/>
              <w:right w:w="0" w:type="dxa"/>
            </w:tcMar>
            <w:vAlign w:val="center"/>
          </w:tcPr>
          <w:p w14:paraId="27338073"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vertAlign w:val="superscript"/>
              </w:rPr>
              <w:t>1. Mean</w:t>
            </w:r>
            <w:r w:rsidRPr="00DA4677">
              <w:rPr>
                <w:rFonts w:ascii="Times New Roman" w:eastAsia="Arial" w:hAnsi="Times New Roman" w:cs="Times New Roman"/>
                <w:sz w:val="20"/>
                <w:szCs w:val="20"/>
              </w:rPr>
              <w:t xml:space="preserve"> (SD); n (%)</w:t>
            </w:r>
          </w:p>
        </w:tc>
      </w:tr>
    </w:tbl>
    <w:p w14:paraId="37A9F0E2" w14:textId="77777777" w:rsidR="00612B51" w:rsidRPr="00DA4677" w:rsidRDefault="001D4AFD" w:rsidP="00774E50">
      <w:pPr>
        <w:pStyle w:val="Heading2"/>
        <w:spacing w:before="0" w:after="0" w:line="240" w:lineRule="auto"/>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Table 2:</w:t>
      </w:r>
      <w:r w:rsidRPr="00DA4677">
        <w:rPr>
          <w:rFonts w:ascii="Times New Roman" w:eastAsia="Times New Roman" w:hAnsi="Times New Roman" w:cs="Times New Roman"/>
          <w:color w:val="auto"/>
          <w:sz w:val="20"/>
          <w:szCs w:val="20"/>
        </w:rPr>
        <w:t xml:space="preserve"> </w:t>
      </w:r>
      <w:r w:rsidRPr="00DA4677">
        <w:rPr>
          <w:rFonts w:ascii="Times New Roman" w:hAnsi="Times New Roman" w:cs="Times New Roman"/>
          <w:color w:val="auto"/>
          <w:sz w:val="20"/>
          <w:szCs w:val="20"/>
        </w:rPr>
        <w:t xml:space="preserve">Model </w:t>
      </w:r>
      <w:r w:rsidRPr="00DA4677">
        <w:rPr>
          <w:rFonts w:ascii="Times New Roman" w:eastAsia="Times New Roman" w:hAnsi="Times New Roman" w:cs="Times New Roman"/>
          <w:color w:val="auto"/>
          <w:sz w:val="20"/>
          <w:szCs w:val="20"/>
        </w:rPr>
        <w:t>results</w:t>
      </w:r>
      <w:r w:rsidRPr="00DA4677">
        <w:rPr>
          <w:rFonts w:ascii="Times New Roman" w:hAnsi="Times New Roman" w:cs="Times New Roman"/>
          <w:color w:val="auto"/>
          <w:sz w:val="20"/>
          <w:szCs w:val="20"/>
        </w:rPr>
        <w:t xml:space="preserve"> (Cox PH with RCS for </w:t>
      </w:r>
      <w:r w:rsidRPr="00DA4677">
        <w:rPr>
          <w:rFonts w:ascii="Times New Roman" w:eastAsia="Times New Roman" w:hAnsi="Times New Roman" w:cs="Times New Roman"/>
          <w:color w:val="auto"/>
          <w:sz w:val="20"/>
          <w:szCs w:val="20"/>
        </w:rPr>
        <w:t>age</w:t>
      </w:r>
      <w:r w:rsidRPr="00DA4677">
        <w:rPr>
          <w:rFonts w:ascii="Times New Roman" w:hAnsi="Times New Roman" w:cs="Times New Roman"/>
          <w:color w:val="auto"/>
          <w:sz w:val="20"/>
          <w:szCs w:val="20"/>
        </w:rPr>
        <w:t xml:space="preserve"> and </w:t>
      </w:r>
      <w:r w:rsidRPr="00DA4677">
        <w:rPr>
          <w:rFonts w:ascii="Times New Roman" w:eastAsia="Times New Roman" w:hAnsi="Times New Roman" w:cs="Times New Roman"/>
          <w:color w:val="auto"/>
          <w:sz w:val="20"/>
          <w:szCs w:val="20"/>
        </w:rPr>
        <w:t>tumor size</w:t>
      </w:r>
      <w:r w:rsidRPr="00DA4677">
        <w:rPr>
          <w:rFonts w:ascii="Times New Roman" w:hAnsi="Times New Roman" w:cs="Times New Roman"/>
          <w:color w:val="auto"/>
          <w:sz w:val="20"/>
          <w:szCs w:val="20"/>
        </w:rPr>
        <w:t>)</w:t>
      </w:r>
    </w:p>
    <w:tbl>
      <w:tblPr>
        <w:tblW w:w="0" w:type="auto"/>
        <w:jc w:val="center"/>
        <w:tblLayout w:type="fixed"/>
        <w:tblLook w:val="0420" w:firstRow="1" w:lastRow="0" w:firstColumn="0" w:lastColumn="0" w:noHBand="0" w:noVBand="1"/>
      </w:tblPr>
      <w:tblGrid>
        <w:gridCol w:w="4156"/>
        <w:gridCol w:w="839"/>
        <w:gridCol w:w="1389"/>
        <w:gridCol w:w="1181"/>
      </w:tblGrid>
      <w:tr w:rsidR="00DA4677" w:rsidRPr="00DA4677" w14:paraId="0199709A" w14:textId="77777777" w:rsidTr="007C013F">
        <w:trPr>
          <w:tblHeader/>
          <w:jc w:val="center"/>
        </w:trPr>
        <w:tc>
          <w:tcPr>
            <w:tcW w:w="4156"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D8AE625"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Characteristic</w:t>
            </w:r>
          </w:p>
        </w:tc>
        <w:tc>
          <w:tcPr>
            <w:tcW w:w="83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24ABDD54"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HR</w:t>
            </w:r>
          </w:p>
        </w:tc>
        <w:tc>
          <w:tcPr>
            <w:tcW w:w="138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7056A8B8"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95% CI</w:t>
            </w:r>
          </w:p>
        </w:tc>
        <w:tc>
          <w:tcPr>
            <w:tcW w:w="1181"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7938671"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p value</w:t>
            </w:r>
          </w:p>
        </w:tc>
      </w:tr>
      <w:tr w:rsidR="00DA4677" w:rsidRPr="00DA4677" w14:paraId="41CA9EFF" w14:textId="77777777" w:rsidTr="007C013F">
        <w:trPr>
          <w:jc w:val="center"/>
        </w:trPr>
        <w:tc>
          <w:tcPr>
            <w:tcW w:w="4156" w:type="dxa"/>
            <w:tcBorders>
              <w:top w:val="single" w:sz="8" w:space="0" w:color="000000"/>
              <w:left w:val="nil"/>
              <w:bottom w:val="nil"/>
              <w:right w:val="nil"/>
            </w:tcBorders>
            <w:shd w:val="clear" w:color="auto" w:fill="FFFFFF"/>
            <w:tcMar>
              <w:top w:w="0" w:type="dxa"/>
              <w:left w:w="0" w:type="dxa"/>
              <w:bottom w:w="0" w:type="dxa"/>
              <w:right w:w="0" w:type="dxa"/>
            </w:tcMar>
          </w:tcPr>
          <w:p w14:paraId="7681655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r w:rsidRPr="00DA4677">
              <w:rPr>
                <w:rFonts w:ascii="Times New Roman" w:eastAsia="Arial" w:hAnsi="Times New Roman" w:cs="Times New Roman"/>
                <w:b/>
                <w:sz w:val="20"/>
                <w:szCs w:val="20"/>
              </w:rPr>
              <w:t>splines::ns(age, df = 4)</w:t>
            </w:r>
          </w:p>
        </w:tc>
        <w:tc>
          <w:tcPr>
            <w:tcW w:w="839" w:type="dxa"/>
            <w:tcBorders>
              <w:top w:val="single" w:sz="8" w:space="0" w:color="000000"/>
              <w:left w:val="nil"/>
              <w:bottom w:val="nil"/>
              <w:right w:val="nil"/>
            </w:tcBorders>
            <w:shd w:val="clear" w:color="auto" w:fill="FFFFFF"/>
            <w:tcMar>
              <w:top w:w="0" w:type="dxa"/>
              <w:left w:w="0" w:type="dxa"/>
              <w:bottom w:w="0" w:type="dxa"/>
              <w:right w:w="0" w:type="dxa"/>
            </w:tcMar>
          </w:tcPr>
          <w:p w14:paraId="5D1A7B13"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single" w:sz="8" w:space="0" w:color="000000"/>
              <w:left w:val="nil"/>
              <w:bottom w:val="nil"/>
              <w:right w:val="nil"/>
            </w:tcBorders>
            <w:shd w:val="clear" w:color="auto" w:fill="FFFFFF"/>
            <w:tcMar>
              <w:top w:w="0" w:type="dxa"/>
              <w:left w:w="0" w:type="dxa"/>
              <w:bottom w:w="0" w:type="dxa"/>
              <w:right w:w="0" w:type="dxa"/>
            </w:tcMar>
          </w:tcPr>
          <w:p w14:paraId="5BF068A2"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single" w:sz="8" w:space="0" w:color="000000"/>
              <w:left w:val="nil"/>
              <w:bottom w:val="nil"/>
              <w:right w:val="nil"/>
            </w:tcBorders>
            <w:shd w:val="clear" w:color="auto" w:fill="FFFFFF"/>
            <w:tcMar>
              <w:top w:w="0" w:type="dxa"/>
              <w:left w:w="0" w:type="dxa"/>
              <w:bottom w:w="0" w:type="dxa"/>
              <w:right w:w="0" w:type="dxa"/>
            </w:tcMar>
          </w:tcPr>
          <w:p w14:paraId="30EAFBCC"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5973F8EB"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154266F8"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splines::ns(age, df = 4) 1</w:t>
            </w:r>
          </w:p>
        </w:tc>
        <w:tc>
          <w:tcPr>
            <w:tcW w:w="839" w:type="dxa"/>
            <w:tcBorders>
              <w:top w:val="nil"/>
              <w:left w:val="nil"/>
              <w:bottom w:val="nil"/>
              <w:right w:val="nil"/>
            </w:tcBorders>
            <w:shd w:val="clear" w:color="auto" w:fill="FFFFFF"/>
            <w:tcMar>
              <w:top w:w="0" w:type="dxa"/>
              <w:left w:w="0" w:type="dxa"/>
              <w:bottom w:w="0" w:type="dxa"/>
              <w:right w:w="0" w:type="dxa"/>
            </w:tcMar>
          </w:tcPr>
          <w:p w14:paraId="2F74F2C4"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0.72</w:t>
            </w:r>
          </w:p>
        </w:tc>
        <w:tc>
          <w:tcPr>
            <w:tcW w:w="1389" w:type="dxa"/>
            <w:tcBorders>
              <w:top w:val="nil"/>
              <w:left w:val="nil"/>
              <w:bottom w:val="nil"/>
              <w:right w:val="nil"/>
            </w:tcBorders>
            <w:shd w:val="clear" w:color="auto" w:fill="FFFFFF"/>
            <w:tcMar>
              <w:top w:w="0" w:type="dxa"/>
              <w:left w:w="0" w:type="dxa"/>
              <w:bottom w:w="0" w:type="dxa"/>
              <w:right w:w="0" w:type="dxa"/>
            </w:tcMar>
          </w:tcPr>
          <w:p w14:paraId="3492054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0.30, 1.71</w:t>
            </w:r>
          </w:p>
        </w:tc>
        <w:tc>
          <w:tcPr>
            <w:tcW w:w="1181" w:type="dxa"/>
            <w:tcBorders>
              <w:top w:val="nil"/>
              <w:left w:val="nil"/>
              <w:bottom w:val="nil"/>
              <w:right w:val="nil"/>
            </w:tcBorders>
            <w:shd w:val="clear" w:color="auto" w:fill="FFFFFF"/>
            <w:tcMar>
              <w:top w:w="0" w:type="dxa"/>
              <w:left w:w="0" w:type="dxa"/>
              <w:bottom w:w="0" w:type="dxa"/>
              <w:right w:w="0" w:type="dxa"/>
            </w:tcMar>
          </w:tcPr>
          <w:p w14:paraId="60E20202"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w:t>
            </w:r>
          </w:p>
        </w:tc>
      </w:tr>
      <w:tr w:rsidR="00DA4677" w:rsidRPr="00DA4677" w14:paraId="23F127B5"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1212251"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splines::ns(age, df = 4) 2</w:t>
            </w:r>
          </w:p>
        </w:tc>
        <w:tc>
          <w:tcPr>
            <w:tcW w:w="839" w:type="dxa"/>
            <w:tcBorders>
              <w:top w:val="nil"/>
              <w:left w:val="nil"/>
              <w:bottom w:val="nil"/>
              <w:right w:val="nil"/>
            </w:tcBorders>
            <w:shd w:val="clear" w:color="auto" w:fill="FFFFFF"/>
            <w:tcMar>
              <w:top w:w="0" w:type="dxa"/>
              <w:left w:w="0" w:type="dxa"/>
              <w:bottom w:w="0" w:type="dxa"/>
              <w:right w:w="0" w:type="dxa"/>
            </w:tcMar>
          </w:tcPr>
          <w:p w14:paraId="7F2E5A2F"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1.11</w:t>
            </w:r>
          </w:p>
        </w:tc>
        <w:tc>
          <w:tcPr>
            <w:tcW w:w="1389" w:type="dxa"/>
            <w:tcBorders>
              <w:top w:val="nil"/>
              <w:left w:val="nil"/>
              <w:bottom w:val="nil"/>
              <w:right w:val="nil"/>
            </w:tcBorders>
            <w:shd w:val="clear" w:color="auto" w:fill="FFFFFF"/>
            <w:tcMar>
              <w:top w:w="0" w:type="dxa"/>
              <w:left w:w="0" w:type="dxa"/>
              <w:bottom w:w="0" w:type="dxa"/>
              <w:right w:w="0" w:type="dxa"/>
            </w:tcMar>
          </w:tcPr>
          <w:p w14:paraId="3046B855"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0.46, 2.64</w:t>
            </w:r>
          </w:p>
        </w:tc>
        <w:tc>
          <w:tcPr>
            <w:tcW w:w="1181" w:type="dxa"/>
            <w:tcBorders>
              <w:top w:val="nil"/>
              <w:left w:val="nil"/>
              <w:bottom w:val="nil"/>
              <w:right w:val="nil"/>
            </w:tcBorders>
            <w:shd w:val="clear" w:color="auto" w:fill="FFFFFF"/>
            <w:tcMar>
              <w:top w:w="0" w:type="dxa"/>
              <w:left w:w="0" w:type="dxa"/>
              <w:bottom w:w="0" w:type="dxa"/>
              <w:right w:w="0" w:type="dxa"/>
            </w:tcMar>
          </w:tcPr>
          <w:p w14:paraId="241A6714"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w:t>
            </w:r>
          </w:p>
        </w:tc>
      </w:tr>
      <w:tr w:rsidR="00DA4677" w:rsidRPr="00DA4677" w14:paraId="243D9C3E"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758D227E"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splines::ns(age, df = 4) 3</w:t>
            </w:r>
          </w:p>
        </w:tc>
        <w:tc>
          <w:tcPr>
            <w:tcW w:w="839" w:type="dxa"/>
            <w:tcBorders>
              <w:top w:val="nil"/>
              <w:left w:val="nil"/>
              <w:bottom w:val="nil"/>
              <w:right w:val="nil"/>
            </w:tcBorders>
            <w:shd w:val="clear" w:color="auto" w:fill="FFFFFF"/>
            <w:tcMar>
              <w:top w:w="0" w:type="dxa"/>
              <w:left w:w="0" w:type="dxa"/>
              <w:bottom w:w="0" w:type="dxa"/>
              <w:right w:w="0" w:type="dxa"/>
            </w:tcMar>
          </w:tcPr>
          <w:p w14:paraId="42713083"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1.97</w:t>
            </w:r>
          </w:p>
        </w:tc>
        <w:tc>
          <w:tcPr>
            <w:tcW w:w="1389" w:type="dxa"/>
            <w:tcBorders>
              <w:top w:val="nil"/>
              <w:left w:val="nil"/>
              <w:bottom w:val="nil"/>
              <w:right w:val="nil"/>
            </w:tcBorders>
            <w:shd w:val="clear" w:color="auto" w:fill="FFFFFF"/>
            <w:tcMar>
              <w:top w:w="0" w:type="dxa"/>
              <w:left w:w="0" w:type="dxa"/>
              <w:bottom w:w="0" w:type="dxa"/>
              <w:right w:w="0" w:type="dxa"/>
            </w:tcMar>
          </w:tcPr>
          <w:p w14:paraId="0B5EEB6F"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0.41, 9.44</w:t>
            </w:r>
          </w:p>
        </w:tc>
        <w:tc>
          <w:tcPr>
            <w:tcW w:w="1181" w:type="dxa"/>
            <w:tcBorders>
              <w:top w:val="nil"/>
              <w:left w:val="nil"/>
              <w:bottom w:val="nil"/>
              <w:right w:val="nil"/>
            </w:tcBorders>
            <w:shd w:val="clear" w:color="auto" w:fill="FFFFFF"/>
            <w:tcMar>
              <w:top w:w="0" w:type="dxa"/>
              <w:left w:w="0" w:type="dxa"/>
              <w:bottom w:w="0" w:type="dxa"/>
              <w:right w:w="0" w:type="dxa"/>
            </w:tcMar>
          </w:tcPr>
          <w:p w14:paraId="537AACA2"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w:t>
            </w:r>
          </w:p>
        </w:tc>
      </w:tr>
      <w:tr w:rsidR="00DA4677" w:rsidRPr="00DA4677" w14:paraId="68606F6D"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6A9FC4BF"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splines::ns(age, df = 4) 4</w:t>
            </w:r>
          </w:p>
        </w:tc>
        <w:tc>
          <w:tcPr>
            <w:tcW w:w="839" w:type="dxa"/>
            <w:tcBorders>
              <w:top w:val="nil"/>
              <w:left w:val="nil"/>
              <w:bottom w:val="nil"/>
              <w:right w:val="nil"/>
            </w:tcBorders>
            <w:shd w:val="clear" w:color="auto" w:fill="FFFFFF"/>
            <w:tcMar>
              <w:top w:w="0" w:type="dxa"/>
              <w:left w:w="0" w:type="dxa"/>
              <w:bottom w:w="0" w:type="dxa"/>
              <w:right w:w="0" w:type="dxa"/>
            </w:tcMar>
          </w:tcPr>
          <w:p w14:paraId="0E4BC582"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0.82</w:t>
            </w:r>
          </w:p>
        </w:tc>
        <w:tc>
          <w:tcPr>
            <w:tcW w:w="1389" w:type="dxa"/>
            <w:tcBorders>
              <w:top w:val="nil"/>
              <w:left w:val="nil"/>
              <w:bottom w:val="nil"/>
              <w:right w:val="nil"/>
            </w:tcBorders>
            <w:shd w:val="clear" w:color="auto" w:fill="FFFFFF"/>
            <w:tcMar>
              <w:top w:w="0" w:type="dxa"/>
              <w:left w:w="0" w:type="dxa"/>
              <w:bottom w:w="0" w:type="dxa"/>
              <w:right w:w="0" w:type="dxa"/>
            </w:tcMar>
          </w:tcPr>
          <w:p w14:paraId="0BE4B1D8"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0.38, 1.73</w:t>
            </w:r>
          </w:p>
        </w:tc>
        <w:tc>
          <w:tcPr>
            <w:tcW w:w="1181" w:type="dxa"/>
            <w:tcBorders>
              <w:top w:val="nil"/>
              <w:left w:val="nil"/>
              <w:bottom w:val="nil"/>
              <w:right w:val="nil"/>
            </w:tcBorders>
            <w:shd w:val="clear" w:color="auto" w:fill="FFFFFF"/>
            <w:tcMar>
              <w:top w:w="0" w:type="dxa"/>
              <w:left w:w="0" w:type="dxa"/>
              <w:bottom w:w="0" w:type="dxa"/>
              <w:right w:w="0" w:type="dxa"/>
            </w:tcMar>
          </w:tcPr>
          <w:p w14:paraId="5F8765F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0.6</w:t>
            </w:r>
          </w:p>
        </w:tc>
      </w:tr>
      <w:tr w:rsidR="00DA4677" w:rsidRPr="00DA4677" w14:paraId="5A887C65"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69FA49A"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r w:rsidRPr="00DA4677">
              <w:rPr>
                <w:rFonts w:ascii="Times New Roman" w:eastAsia="Arial" w:hAnsi="Times New Roman" w:cs="Times New Roman"/>
                <w:b/>
                <w:sz w:val="20"/>
                <w:szCs w:val="20"/>
              </w:rPr>
              <w:t>splines::ns(</w:t>
            </w:r>
            <w:proofErr w:type="spellStart"/>
            <w:r w:rsidRPr="00DA4677">
              <w:rPr>
                <w:rFonts w:ascii="Times New Roman" w:eastAsia="Arial" w:hAnsi="Times New Roman" w:cs="Times New Roman"/>
                <w:b/>
                <w:sz w:val="20"/>
                <w:szCs w:val="20"/>
              </w:rPr>
              <w:t>tumor_size_cm</w:t>
            </w:r>
            <w:proofErr w:type="spellEnd"/>
            <w:r w:rsidRPr="00DA4677">
              <w:rPr>
                <w:rFonts w:ascii="Times New Roman" w:eastAsia="Arial" w:hAnsi="Times New Roman" w:cs="Times New Roman"/>
                <w:b/>
                <w:sz w:val="20"/>
                <w:szCs w:val="20"/>
              </w:rPr>
              <w:t>, df = 4)</w:t>
            </w:r>
          </w:p>
        </w:tc>
        <w:tc>
          <w:tcPr>
            <w:tcW w:w="839" w:type="dxa"/>
            <w:tcBorders>
              <w:top w:val="nil"/>
              <w:left w:val="nil"/>
              <w:bottom w:val="nil"/>
              <w:right w:val="nil"/>
            </w:tcBorders>
            <w:shd w:val="clear" w:color="auto" w:fill="FFFFFF"/>
            <w:tcMar>
              <w:top w:w="0" w:type="dxa"/>
              <w:left w:w="0" w:type="dxa"/>
              <w:bottom w:w="0" w:type="dxa"/>
              <w:right w:w="0" w:type="dxa"/>
            </w:tcMar>
          </w:tcPr>
          <w:p w14:paraId="457A9963"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0B5B44F5"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47712440"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6DC7BE26"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41192408"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splines::ns(</w:t>
            </w:r>
            <w:proofErr w:type="spellStart"/>
            <w:r w:rsidRPr="00DA4677">
              <w:rPr>
                <w:rFonts w:ascii="Times New Roman" w:eastAsia="Arial" w:hAnsi="Times New Roman" w:cs="Times New Roman"/>
                <w:sz w:val="20"/>
                <w:szCs w:val="20"/>
              </w:rPr>
              <w:t>tumor_size_cm</w:t>
            </w:r>
            <w:proofErr w:type="spellEnd"/>
            <w:r w:rsidRPr="00DA4677">
              <w:rPr>
                <w:rFonts w:ascii="Times New Roman" w:eastAsia="Arial" w:hAnsi="Times New Roman" w:cs="Times New Roman"/>
                <w:sz w:val="20"/>
                <w:szCs w:val="20"/>
              </w:rPr>
              <w:t>, df = 4) 1</w:t>
            </w:r>
          </w:p>
        </w:tc>
        <w:tc>
          <w:tcPr>
            <w:tcW w:w="839" w:type="dxa"/>
            <w:tcBorders>
              <w:top w:val="nil"/>
              <w:left w:val="nil"/>
              <w:bottom w:val="nil"/>
              <w:right w:val="nil"/>
            </w:tcBorders>
            <w:shd w:val="clear" w:color="auto" w:fill="FFFFFF"/>
            <w:tcMar>
              <w:top w:w="0" w:type="dxa"/>
              <w:left w:w="0" w:type="dxa"/>
              <w:bottom w:w="0" w:type="dxa"/>
              <w:right w:w="0" w:type="dxa"/>
            </w:tcMar>
          </w:tcPr>
          <w:p w14:paraId="7C880B9D"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0.41</w:t>
            </w:r>
          </w:p>
        </w:tc>
        <w:tc>
          <w:tcPr>
            <w:tcW w:w="1389" w:type="dxa"/>
            <w:tcBorders>
              <w:top w:val="nil"/>
              <w:left w:val="nil"/>
              <w:bottom w:val="nil"/>
              <w:right w:val="nil"/>
            </w:tcBorders>
            <w:shd w:val="clear" w:color="auto" w:fill="FFFFFF"/>
            <w:tcMar>
              <w:top w:w="0" w:type="dxa"/>
              <w:left w:w="0" w:type="dxa"/>
              <w:bottom w:w="0" w:type="dxa"/>
              <w:right w:w="0" w:type="dxa"/>
            </w:tcMar>
          </w:tcPr>
          <w:p w14:paraId="0A327588"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0.17, 0.99</w:t>
            </w:r>
          </w:p>
        </w:tc>
        <w:tc>
          <w:tcPr>
            <w:tcW w:w="1181" w:type="dxa"/>
            <w:tcBorders>
              <w:top w:val="nil"/>
              <w:left w:val="nil"/>
              <w:bottom w:val="nil"/>
              <w:right w:val="nil"/>
            </w:tcBorders>
            <w:shd w:val="clear" w:color="auto" w:fill="FFFFFF"/>
            <w:tcMar>
              <w:top w:w="0" w:type="dxa"/>
              <w:left w:w="0" w:type="dxa"/>
              <w:bottom w:w="0" w:type="dxa"/>
              <w:right w:w="0" w:type="dxa"/>
            </w:tcMar>
          </w:tcPr>
          <w:p w14:paraId="4CD3A0A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0.048</w:t>
            </w:r>
          </w:p>
        </w:tc>
      </w:tr>
      <w:tr w:rsidR="00DA4677" w:rsidRPr="00DA4677" w14:paraId="4BA6B1C3"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22D6A594"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splines::ns(</w:t>
            </w:r>
            <w:proofErr w:type="spellStart"/>
            <w:r w:rsidRPr="00DA4677">
              <w:rPr>
                <w:rFonts w:ascii="Times New Roman" w:eastAsia="Arial" w:hAnsi="Times New Roman" w:cs="Times New Roman"/>
                <w:sz w:val="20"/>
                <w:szCs w:val="20"/>
              </w:rPr>
              <w:t>tumor_size_cm</w:t>
            </w:r>
            <w:proofErr w:type="spellEnd"/>
            <w:r w:rsidRPr="00DA4677">
              <w:rPr>
                <w:rFonts w:ascii="Times New Roman" w:eastAsia="Arial" w:hAnsi="Times New Roman" w:cs="Times New Roman"/>
                <w:sz w:val="20"/>
                <w:szCs w:val="20"/>
              </w:rPr>
              <w:t>, df = 4) 2</w:t>
            </w:r>
          </w:p>
        </w:tc>
        <w:tc>
          <w:tcPr>
            <w:tcW w:w="839" w:type="dxa"/>
            <w:tcBorders>
              <w:top w:val="nil"/>
              <w:left w:val="nil"/>
              <w:bottom w:val="nil"/>
              <w:right w:val="nil"/>
            </w:tcBorders>
            <w:shd w:val="clear" w:color="auto" w:fill="FFFFFF"/>
            <w:tcMar>
              <w:top w:w="0" w:type="dxa"/>
              <w:left w:w="0" w:type="dxa"/>
              <w:bottom w:w="0" w:type="dxa"/>
              <w:right w:w="0" w:type="dxa"/>
            </w:tcMar>
          </w:tcPr>
          <w:p w14:paraId="1F9AD64A"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1.38</w:t>
            </w:r>
          </w:p>
        </w:tc>
        <w:tc>
          <w:tcPr>
            <w:tcW w:w="1389" w:type="dxa"/>
            <w:tcBorders>
              <w:top w:val="nil"/>
              <w:left w:val="nil"/>
              <w:bottom w:val="nil"/>
              <w:right w:val="nil"/>
            </w:tcBorders>
            <w:shd w:val="clear" w:color="auto" w:fill="FFFFFF"/>
            <w:tcMar>
              <w:top w:w="0" w:type="dxa"/>
              <w:left w:w="0" w:type="dxa"/>
              <w:bottom w:w="0" w:type="dxa"/>
              <w:right w:w="0" w:type="dxa"/>
            </w:tcMar>
          </w:tcPr>
          <w:p w14:paraId="121B9F37"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0.59, 3.22</w:t>
            </w:r>
          </w:p>
        </w:tc>
        <w:tc>
          <w:tcPr>
            <w:tcW w:w="1181" w:type="dxa"/>
            <w:tcBorders>
              <w:top w:val="nil"/>
              <w:left w:val="nil"/>
              <w:bottom w:val="nil"/>
              <w:right w:val="nil"/>
            </w:tcBorders>
            <w:shd w:val="clear" w:color="auto" w:fill="FFFFFF"/>
            <w:tcMar>
              <w:top w:w="0" w:type="dxa"/>
              <w:left w:w="0" w:type="dxa"/>
              <w:bottom w:w="0" w:type="dxa"/>
              <w:right w:w="0" w:type="dxa"/>
            </w:tcMar>
          </w:tcPr>
          <w:p w14:paraId="48B7BBA6"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w:t>
            </w:r>
          </w:p>
        </w:tc>
      </w:tr>
      <w:tr w:rsidR="00DA4677" w:rsidRPr="00DA4677" w14:paraId="2CF3C680"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4FE533D"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splines::ns(</w:t>
            </w:r>
            <w:proofErr w:type="spellStart"/>
            <w:r w:rsidRPr="00DA4677">
              <w:rPr>
                <w:rFonts w:ascii="Times New Roman" w:eastAsia="Arial" w:hAnsi="Times New Roman" w:cs="Times New Roman"/>
                <w:sz w:val="20"/>
                <w:szCs w:val="20"/>
              </w:rPr>
              <w:t>tumor_size_cm</w:t>
            </w:r>
            <w:proofErr w:type="spellEnd"/>
            <w:r w:rsidRPr="00DA4677">
              <w:rPr>
                <w:rFonts w:ascii="Times New Roman" w:eastAsia="Arial" w:hAnsi="Times New Roman" w:cs="Times New Roman"/>
                <w:sz w:val="20"/>
                <w:szCs w:val="20"/>
              </w:rPr>
              <w:t>, df = 4) 3</w:t>
            </w:r>
          </w:p>
        </w:tc>
        <w:tc>
          <w:tcPr>
            <w:tcW w:w="839" w:type="dxa"/>
            <w:tcBorders>
              <w:top w:val="nil"/>
              <w:left w:val="nil"/>
              <w:bottom w:val="nil"/>
              <w:right w:val="nil"/>
            </w:tcBorders>
            <w:shd w:val="clear" w:color="auto" w:fill="FFFFFF"/>
            <w:tcMar>
              <w:top w:w="0" w:type="dxa"/>
              <w:left w:w="0" w:type="dxa"/>
              <w:bottom w:w="0" w:type="dxa"/>
              <w:right w:w="0" w:type="dxa"/>
            </w:tcMar>
          </w:tcPr>
          <w:p w14:paraId="3BCC3D5A"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1.07</w:t>
            </w:r>
          </w:p>
        </w:tc>
        <w:tc>
          <w:tcPr>
            <w:tcW w:w="1389" w:type="dxa"/>
            <w:tcBorders>
              <w:top w:val="nil"/>
              <w:left w:val="nil"/>
              <w:bottom w:val="nil"/>
              <w:right w:val="nil"/>
            </w:tcBorders>
            <w:shd w:val="clear" w:color="auto" w:fill="FFFFFF"/>
            <w:tcMar>
              <w:top w:w="0" w:type="dxa"/>
              <w:left w:w="0" w:type="dxa"/>
              <w:bottom w:w="0" w:type="dxa"/>
              <w:right w:w="0" w:type="dxa"/>
            </w:tcMar>
          </w:tcPr>
          <w:p w14:paraId="255A78A5"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0.21, 5.41</w:t>
            </w:r>
          </w:p>
        </w:tc>
        <w:tc>
          <w:tcPr>
            <w:tcW w:w="1181" w:type="dxa"/>
            <w:tcBorders>
              <w:top w:val="nil"/>
              <w:left w:val="nil"/>
              <w:bottom w:val="nil"/>
              <w:right w:val="nil"/>
            </w:tcBorders>
            <w:shd w:val="clear" w:color="auto" w:fill="FFFFFF"/>
            <w:tcMar>
              <w:top w:w="0" w:type="dxa"/>
              <w:left w:w="0" w:type="dxa"/>
              <w:bottom w:w="0" w:type="dxa"/>
              <w:right w:w="0" w:type="dxa"/>
            </w:tcMar>
          </w:tcPr>
          <w:p w14:paraId="1AD30858"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&gt;0.9</w:t>
            </w:r>
          </w:p>
        </w:tc>
      </w:tr>
      <w:tr w:rsidR="00DA4677" w:rsidRPr="00DA4677" w14:paraId="1395C5B9"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1F12EEA0"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splines::ns(</w:t>
            </w:r>
            <w:proofErr w:type="spellStart"/>
            <w:r w:rsidRPr="00DA4677">
              <w:rPr>
                <w:rFonts w:ascii="Times New Roman" w:eastAsia="Arial" w:hAnsi="Times New Roman" w:cs="Times New Roman"/>
                <w:sz w:val="20"/>
                <w:szCs w:val="20"/>
              </w:rPr>
              <w:t>tumor_size_cm</w:t>
            </w:r>
            <w:proofErr w:type="spellEnd"/>
            <w:r w:rsidRPr="00DA4677">
              <w:rPr>
                <w:rFonts w:ascii="Times New Roman" w:eastAsia="Arial" w:hAnsi="Times New Roman" w:cs="Times New Roman"/>
                <w:sz w:val="20"/>
                <w:szCs w:val="20"/>
              </w:rPr>
              <w:t>, df = 4) 4</w:t>
            </w:r>
          </w:p>
        </w:tc>
        <w:tc>
          <w:tcPr>
            <w:tcW w:w="839" w:type="dxa"/>
            <w:tcBorders>
              <w:top w:val="nil"/>
              <w:left w:val="nil"/>
              <w:bottom w:val="nil"/>
              <w:right w:val="nil"/>
            </w:tcBorders>
            <w:shd w:val="clear" w:color="auto" w:fill="FFFFFF"/>
            <w:tcMar>
              <w:top w:w="0" w:type="dxa"/>
              <w:left w:w="0" w:type="dxa"/>
              <w:bottom w:w="0" w:type="dxa"/>
              <w:right w:w="0" w:type="dxa"/>
            </w:tcMar>
          </w:tcPr>
          <w:p w14:paraId="34592699"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1.03</w:t>
            </w:r>
          </w:p>
        </w:tc>
        <w:tc>
          <w:tcPr>
            <w:tcW w:w="1389" w:type="dxa"/>
            <w:tcBorders>
              <w:top w:val="nil"/>
              <w:left w:val="nil"/>
              <w:bottom w:val="nil"/>
              <w:right w:val="nil"/>
            </w:tcBorders>
            <w:shd w:val="clear" w:color="auto" w:fill="FFFFFF"/>
            <w:tcMar>
              <w:top w:w="0" w:type="dxa"/>
              <w:left w:w="0" w:type="dxa"/>
              <w:bottom w:w="0" w:type="dxa"/>
              <w:right w:w="0" w:type="dxa"/>
            </w:tcMar>
          </w:tcPr>
          <w:p w14:paraId="5B2A9771"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0.48, 2.19</w:t>
            </w:r>
          </w:p>
        </w:tc>
        <w:tc>
          <w:tcPr>
            <w:tcW w:w="1181" w:type="dxa"/>
            <w:tcBorders>
              <w:top w:val="nil"/>
              <w:left w:val="nil"/>
              <w:bottom w:val="nil"/>
              <w:right w:val="nil"/>
            </w:tcBorders>
            <w:shd w:val="clear" w:color="auto" w:fill="FFFFFF"/>
            <w:tcMar>
              <w:top w:w="0" w:type="dxa"/>
              <w:left w:w="0" w:type="dxa"/>
              <w:bottom w:w="0" w:type="dxa"/>
              <w:right w:w="0" w:type="dxa"/>
            </w:tcMar>
          </w:tcPr>
          <w:p w14:paraId="0C00BE6B"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&gt;0.9</w:t>
            </w:r>
          </w:p>
        </w:tc>
      </w:tr>
      <w:tr w:rsidR="00DA4677" w:rsidRPr="00DA4677" w14:paraId="41BED3F8"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73CEFC2E"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cancer_stage</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66AD76D5"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27B4A89D"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58B563B4"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0A887B77"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0D6BA4B"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w:t>
            </w:r>
          </w:p>
        </w:tc>
        <w:tc>
          <w:tcPr>
            <w:tcW w:w="839" w:type="dxa"/>
            <w:tcBorders>
              <w:top w:val="nil"/>
              <w:left w:val="nil"/>
              <w:bottom w:val="nil"/>
              <w:right w:val="nil"/>
            </w:tcBorders>
            <w:shd w:val="clear" w:color="auto" w:fill="FFFFFF"/>
            <w:tcMar>
              <w:top w:w="0" w:type="dxa"/>
              <w:left w:w="0" w:type="dxa"/>
              <w:bottom w:w="0" w:type="dxa"/>
              <w:right w:w="0" w:type="dxa"/>
            </w:tcMar>
          </w:tcPr>
          <w:p w14:paraId="58B5A9F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4C47011D"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5B0283D5"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15F570D6"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30F54C17"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II</w:t>
            </w:r>
          </w:p>
        </w:tc>
        <w:tc>
          <w:tcPr>
            <w:tcW w:w="839" w:type="dxa"/>
            <w:tcBorders>
              <w:top w:val="nil"/>
              <w:left w:val="nil"/>
              <w:bottom w:val="nil"/>
              <w:right w:val="nil"/>
            </w:tcBorders>
            <w:shd w:val="clear" w:color="auto" w:fill="FFFFFF"/>
            <w:tcMar>
              <w:top w:w="0" w:type="dxa"/>
              <w:left w:w="0" w:type="dxa"/>
              <w:bottom w:w="0" w:type="dxa"/>
              <w:right w:w="0" w:type="dxa"/>
            </w:tcMar>
          </w:tcPr>
          <w:p w14:paraId="4D74C940"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0.88</w:t>
            </w:r>
          </w:p>
        </w:tc>
        <w:tc>
          <w:tcPr>
            <w:tcW w:w="1389" w:type="dxa"/>
            <w:tcBorders>
              <w:top w:val="nil"/>
              <w:left w:val="nil"/>
              <w:bottom w:val="nil"/>
              <w:right w:val="nil"/>
            </w:tcBorders>
            <w:shd w:val="clear" w:color="auto" w:fill="FFFFFF"/>
            <w:tcMar>
              <w:top w:w="0" w:type="dxa"/>
              <w:left w:w="0" w:type="dxa"/>
              <w:bottom w:w="0" w:type="dxa"/>
              <w:right w:w="0" w:type="dxa"/>
            </w:tcMar>
          </w:tcPr>
          <w:p w14:paraId="14596D40"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0.57, 1.37</w:t>
            </w:r>
          </w:p>
        </w:tc>
        <w:tc>
          <w:tcPr>
            <w:tcW w:w="1181" w:type="dxa"/>
            <w:tcBorders>
              <w:top w:val="nil"/>
              <w:left w:val="nil"/>
              <w:bottom w:val="nil"/>
              <w:right w:val="nil"/>
            </w:tcBorders>
            <w:shd w:val="clear" w:color="auto" w:fill="FFFFFF"/>
            <w:tcMar>
              <w:top w:w="0" w:type="dxa"/>
              <w:left w:w="0" w:type="dxa"/>
              <w:bottom w:w="0" w:type="dxa"/>
              <w:right w:w="0" w:type="dxa"/>
            </w:tcMar>
          </w:tcPr>
          <w:p w14:paraId="45C0F14A"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0.6</w:t>
            </w:r>
          </w:p>
        </w:tc>
      </w:tr>
      <w:tr w:rsidR="00DA4677" w:rsidRPr="00DA4677" w14:paraId="41FE415E"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03F68A20"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III</w:t>
            </w:r>
          </w:p>
        </w:tc>
        <w:tc>
          <w:tcPr>
            <w:tcW w:w="839" w:type="dxa"/>
            <w:tcBorders>
              <w:top w:val="nil"/>
              <w:left w:val="nil"/>
              <w:bottom w:val="nil"/>
              <w:right w:val="nil"/>
            </w:tcBorders>
            <w:shd w:val="clear" w:color="auto" w:fill="FFFFFF"/>
            <w:tcMar>
              <w:top w:w="0" w:type="dxa"/>
              <w:left w:w="0" w:type="dxa"/>
              <w:bottom w:w="0" w:type="dxa"/>
              <w:right w:w="0" w:type="dxa"/>
            </w:tcMar>
          </w:tcPr>
          <w:p w14:paraId="241DB2F0"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0.87</w:t>
            </w:r>
          </w:p>
        </w:tc>
        <w:tc>
          <w:tcPr>
            <w:tcW w:w="1389" w:type="dxa"/>
            <w:tcBorders>
              <w:top w:val="nil"/>
              <w:left w:val="nil"/>
              <w:bottom w:val="nil"/>
              <w:right w:val="nil"/>
            </w:tcBorders>
            <w:shd w:val="clear" w:color="auto" w:fill="FFFFFF"/>
            <w:tcMar>
              <w:top w:w="0" w:type="dxa"/>
              <w:left w:w="0" w:type="dxa"/>
              <w:bottom w:w="0" w:type="dxa"/>
              <w:right w:w="0" w:type="dxa"/>
            </w:tcMar>
          </w:tcPr>
          <w:p w14:paraId="22665557"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0.56, 1.35</w:t>
            </w:r>
          </w:p>
        </w:tc>
        <w:tc>
          <w:tcPr>
            <w:tcW w:w="1181" w:type="dxa"/>
            <w:tcBorders>
              <w:top w:val="nil"/>
              <w:left w:val="nil"/>
              <w:bottom w:val="nil"/>
              <w:right w:val="nil"/>
            </w:tcBorders>
            <w:shd w:val="clear" w:color="auto" w:fill="FFFFFF"/>
            <w:tcMar>
              <w:top w:w="0" w:type="dxa"/>
              <w:left w:w="0" w:type="dxa"/>
              <w:bottom w:w="0" w:type="dxa"/>
              <w:right w:w="0" w:type="dxa"/>
            </w:tcMar>
          </w:tcPr>
          <w:p w14:paraId="4AE4AE44"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w:t>
            </w:r>
          </w:p>
        </w:tc>
      </w:tr>
      <w:tr w:rsidR="00DA4677" w:rsidRPr="00DA4677" w14:paraId="73058987"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21E84BF"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IV</w:t>
            </w:r>
          </w:p>
        </w:tc>
        <w:tc>
          <w:tcPr>
            <w:tcW w:w="839" w:type="dxa"/>
            <w:tcBorders>
              <w:top w:val="nil"/>
              <w:left w:val="nil"/>
              <w:bottom w:val="nil"/>
              <w:right w:val="nil"/>
            </w:tcBorders>
            <w:shd w:val="clear" w:color="auto" w:fill="FFFFFF"/>
            <w:tcMar>
              <w:top w:w="0" w:type="dxa"/>
              <w:left w:w="0" w:type="dxa"/>
              <w:bottom w:w="0" w:type="dxa"/>
              <w:right w:w="0" w:type="dxa"/>
            </w:tcMar>
          </w:tcPr>
          <w:p w14:paraId="77D765CE"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0.75</w:t>
            </w:r>
          </w:p>
        </w:tc>
        <w:tc>
          <w:tcPr>
            <w:tcW w:w="1389" w:type="dxa"/>
            <w:tcBorders>
              <w:top w:val="nil"/>
              <w:left w:val="nil"/>
              <w:bottom w:val="nil"/>
              <w:right w:val="nil"/>
            </w:tcBorders>
            <w:shd w:val="clear" w:color="auto" w:fill="FFFFFF"/>
            <w:tcMar>
              <w:top w:w="0" w:type="dxa"/>
              <w:left w:w="0" w:type="dxa"/>
              <w:bottom w:w="0" w:type="dxa"/>
              <w:right w:w="0" w:type="dxa"/>
            </w:tcMar>
          </w:tcPr>
          <w:p w14:paraId="1D69888C"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0.45, 1.27</w:t>
            </w:r>
          </w:p>
        </w:tc>
        <w:tc>
          <w:tcPr>
            <w:tcW w:w="1181" w:type="dxa"/>
            <w:tcBorders>
              <w:top w:val="nil"/>
              <w:left w:val="nil"/>
              <w:bottom w:val="nil"/>
              <w:right w:val="nil"/>
            </w:tcBorders>
            <w:shd w:val="clear" w:color="auto" w:fill="FFFFFF"/>
            <w:tcMar>
              <w:top w:w="0" w:type="dxa"/>
              <w:left w:w="0" w:type="dxa"/>
              <w:bottom w:w="0" w:type="dxa"/>
              <w:right w:w="0" w:type="dxa"/>
            </w:tcMar>
          </w:tcPr>
          <w:p w14:paraId="74A82E4F"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0.3</w:t>
            </w:r>
          </w:p>
        </w:tc>
      </w:tr>
      <w:tr w:rsidR="00DA4677" w:rsidRPr="00DA4677" w14:paraId="2F9506C1"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3679F18F"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psa_levels</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7F34DBFA"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29E80EA4"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46867721"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0E7AD0A7"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0330E4D2"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Low</w:t>
            </w:r>
          </w:p>
        </w:tc>
        <w:tc>
          <w:tcPr>
            <w:tcW w:w="839" w:type="dxa"/>
            <w:tcBorders>
              <w:top w:val="nil"/>
              <w:left w:val="nil"/>
              <w:bottom w:val="nil"/>
              <w:right w:val="nil"/>
            </w:tcBorders>
            <w:shd w:val="clear" w:color="auto" w:fill="FFFFFF"/>
            <w:tcMar>
              <w:top w:w="0" w:type="dxa"/>
              <w:left w:w="0" w:type="dxa"/>
              <w:bottom w:w="0" w:type="dxa"/>
              <w:right w:w="0" w:type="dxa"/>
            </w:tcMar>
          </w:tcPr>
          <w:p w14:paraId="05C70371"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3EDBAD8A"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0C9D6D67"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18447918"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18A34E0B"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Moderate</w:t>
            </w:r>
          </w:p>
        </w:tc>
        <w:tc>
          <w:tcPr>
            <w:tcW w:w="839" w:type="dxa"/>
            <w:tcBorders>
              <w:top w:val="nil"/>
              <w:left w:val="nil"/>
              <w:bottom w:val="nil"/>
              <w:right w:val="nil"/>
            </w:tcBorders>
            <w:shd w:val="clear" w:color="auto" w:fill="FFFFFF"/>
            <w:tcMar>
              <w:top w:w="0" w:type="dxa"/>
              <w:left w:w="0" w:type="dxa"/>
              <w:bottom w:w="0" w:type="dxa"/>
              <w:right w:w="0" w:type="dxa"/>
            </w:tcMar>
          </w:tcPr>
          <w:p w14:paraId="4BF5B863"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1.28</w:t>
            </w:r>
          </w:p>
        </w:tc>
        <w:tc>
          <w:tcPr>
            <w:tcW w:w="1389" w:type="dxa"/>
            <w:tcBorders>
              <w:top w:val="nil"/>
              <w:left w:val="nil"/>
              <w:bottom w:val="nil"/>
              <w:right w:val="nil"/>
            </w:tcBorders>
            <w:shd w:val="clear" w:color="auto" w:fill="FFFFFF"/>
            <w:tcMar>
              <w:top w:w="0" w:type="dxa"/>
              <w:left w:w="0" w:type="dxa"/>
              <w:bottom w:w="0" w:type="dxa"/>
              <w:right w:w="0" w:type="dxa"/>
            </w:tcMar>
          </w:tcPr>
          <w:p w14:paraId="2CAF973E"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0.84, 1.94</w:t>
            </w:r>
          </w:p>
        </w:tc>
        <w:tc>
          <w:tcPr>
            <w:tcW w:w="1181" w:type="dxa"/>
            <w:tcBorders>
              <w:top w:val="nil"/>
              <w:left w:val="nil"/>
              <w:bottom w:val="nil"/>
              <w:right w:val="nil"/>
            </w:tcBorders>
            <w:shd w:val="clear" w:color="auto" w:fill="FFFFFF"/>
            <w:tcMar>
              <w:top w:w="0" w:type="dxa"/>
              <w:left w:w="0" w:type="dxa"/>
              <w:bottom w:w="0" w:type="dxa"/>
              <w:right w:w="0" w:type="dxa"/>
            </w:tcMar>
          </w:tcPr>
          <w:p w14:paraId="6749E0DD"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0.2</w:t>
            </w:r>
          </w:p>
        </w:tc>
      </w:tr>
      <w:tr w:rsidR="00DA4677" w:rsidRPr="00DA4677" w14:paraId="7ADC0976"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15E65C65"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High</w:t>
            </w:r>
          </w:p>
        </w:tc>
        <w:tc>
          <w:tcPr>
            <w:tcW w:w="839" w:type="dxa"/>
            <w:tcBorders>
              <w:top w:val="nil"/>
              <w:left w:val="nil"/>
              <w:bottom w:val="nil"/>
              <w:right w:val="nil"/>
            </w:tcBorders>
            <w:shd w:val="clear" w:color="auto" w:fill="FFFFFF"/>
            <w:tcMar>
              <w:top w:w="0" w:type="dxa"/>
              <w:left w:w="0" w:type="dxa"/>
              <w:bottom w:w="0" w:type="dxa"/>
              <w:right w:w="0" w:type="dxa"/>
            </w:tcMar>
          </w:tcPr>
          <w:p w14:paraId="41735DE4"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0.93</w:t>
            </w:r>
          </w:p>
        </w:tc>
        <w:tc>
          <w:tcPr>
            <w:tcW w:w="1389" w:type="dxa"/>
            <w:tcBorders>
              <w:top w:val="nil"/>
              <w:left w:val="nil"/>
              <w:bottom w:val="nil"/>
              <w:right w:val="nil"/>
            </w:tcBorders>
            <w:shd w:val="clear" w:color="auto" w:fill="FFFFFF"/>
            <w:tcMar>
              <w:top w:w="0" w:type="dxa"/>
              <w:left w:w="0" w:type="dxa"/>
              <w:bottom w:w="0" w:type="dxa"/>
              <w:right w:w="0" w:type="dxa"/>
            </w:tcMar>
          </w:tcPr>
          <w:p w14:paraId="01E5CD72"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0.59, 1.47</w:t>
            </w:r>
          </w:p>
        </w:tc>
        <w:tc>
          <w:tcPr>
            <w:tcW w:w="1181" w:type="dxa"/>
            <w:tcBorders>
              <w:top w:val="nil"/>
              <w:left w:val="nil"/>
              <w:bottom w:val="nil"/>
              <w:right w:val="nil"/>
            </w:tcBorders>
            <w:shd w:val="clear" w:color="auto" w:fill="FFFFFF"/>
            <w:tcMar>
              <w:top w:w="0" w:type="dxa"/>
              <w:left w:w="0" w:type="dxa"/>
              <w:bottom w:w="0" w:type="dxa"/>
              <w:right w:w="0" w:type="dxa"/>
            </w:tcMar>
          </w:tcPr>
          <w:p w14:paraId="68074B2E"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w:t>
            </w:r>
          </w:p>
        </w:tc>
      </w:tr>
      <w:tr w:rsidR="00DA4677" w:rsidRPr="00DA4677" w14:paraId="36751105"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6663FE55"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lymph_nodes_involved</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2520F67F"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0.99</w:t>
            </w:r>
          </w:p>
        </w:tc>
        <w:tc>
          <w:tcPr>
            <w:tcW w:w="1389" w:type="dxa"/>
            <w:tcBorders>
              <w:top w:val="nil"/>
              <w:left w:val="nil"/>
              <w:bottom w:val="nil"/>
              <w:right w:val="nil"/>
            </w:tcBorders>
            <w:shd w:val="clear" w:color="auto" w:fill="FFFFFF"/>
            <w:tcMar>
              <w:top w:w="0" w:type="dxa"/>
              <w:left w:w="0" w:type="dxa"/>
              <w:bottom w:w="0" w:type="dxa"/>
              <w:right w:w="0" w:type="dxa"/>
            </w:tcMar>
          </w:tcPr>
          <w:p w14:paraId="7C9D2406"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0.95, 1.02</w:t>
            </w:r>
          </w:p>
        </w:tc>
        <w:tc>
          <w:tcPr>
            <w:tcW w:w="1181" w:type="dxa"/>
            <w:tcBorders>
              <w:top w:val="nil"/>
              <w:left w:val="nil"/>
              <w:bottom w:val="nil"/>
              <w:right w:val="nil"/>
            </w:tcBorders>
            <w:shd w:val="clear" w:color="auto" w:fill="FFFFFF"/>
            <w:tcMar>
              <w:top w:w="0" w:type="dxa"/>
              <w:left w:w="0" w:type="dxa"/>
              <w:bottom w:w="0" w:type="dxa"/>
              <w:right w:w="0" w:type="dxa"/>
            </w:tcMar>
          </w:tcPr>
          <w:p w14:paraId="337BFBBB"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w:t>
            </w:r>
          </w:p>
        </w:tc>
      </w:tr>
      <w:tr w:rsidR="00DA4677" w:rsidRPr="00DA4677" w14:paraId="0B23E182"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441ACFB9"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r w:rsidRPr="00DA4677">
              <w:rPr>
                <w:rFonts w:ascii="Times New Roman" w:eastAsia="Arial" w:hAnsi="Times New Roman" w:cs="Times New Roman"/>
                <w:b/>
                <w:sz w:val="20"/>
                <w:szCs w:val="20"/>
              </w:rPr>
              <w:t>chemotherapy</w:t>
            </w:r>
          </w:p>
        </w:tc>
        <w:tc>
          <w:tcPr>
            <w:tcW w:w="839" w:type="dxa"/>
            <w:tcBorders>
              <w:top w:val="nil"/>
              <w:left w:val="nil"/>
              <w:bottom w:val="nil"/>
              <w:right w:val="nil"/>
            </w:tcBorders>
            <w:shd w:val="clear" w:color="auto" w:fill="FFFFFF"/>
            <w:tcMar>
              <w:top w:w="0" w:type="dxa"/>
              <w:left w:w="0" w:type="dxa"/>
              <w:bottom w:w="0" w:type="dxa"/>
              <w:right w:w="0" w:type="dxa"/>
            </w:tcMar>
          </w:tcPr>
          <w:p w14:paraId="539FBD0E"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32249B8D"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4170456B"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13CD8E04"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7A8EDE36"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No</w:t>
            </w:r>
          </w:p>
        </w:tc>
        <w:tc>
          <w:tcPr>
            <w:tcW w:w="839" w:type="dxa"/>
            <w:tcBorders>
              <w:top w:val="nil"/>
              <w:left w:val="nil"/>
              <w:bottom w:val="nil"/>
              <w:right w:val="nil"/>
            </w:tcBorders>
            <w:shd w:val="clear" w:color="auto" w:fill="FFFFFF"/>
            <w:tcMar>
              <w:top w:w="0" w:type="dxa"/>
              <w:left w:w="0" w:type="dxa"/>
              <w:bottom w:w="0" w:type="dxa"/>
              <w:right w:w="0" w:type="dxa"/>
            </w:tcMar>
          </w:tcPr>
          <w:p w14:paraId="55EFC157"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69D90D08"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46D5D15C"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3D29DFEA"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4FCDEFE4"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Yes</w:t>
            </w:r>
          </w:p>
        </w:tc>
        <w:tc>
          <w:tcPr>
            <w:tcW w:w="839" w:type="dxa"/>
            <w:tcBorders>
              <w:top w:val="nil"/>
              <w:left w:val="nil"/>
              <w:bottom w:val="nil"/>
              <w:right w:val="nil"/>
            </w:tcBorders>
            <w:shd w:val="clear" w:color="auto" w:fill="FFFFFF"/>
            <w:tcMar>
              <w:top w:w="0" w:type="dxa"/>
              <w:left w:w="0" w:type="dxa"/>
              <w:bottom w:w="0" w:type="dxa"/>
              <w:right w:w="0" w:type="dxa"/>
            </w:tcMar>
          </w:tcPr>
          <w:p w14:paraId="2A78DFC3"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0.75</w:t>
            </w:r>
          </w:p>
        </w:tc>
        <w:tc>
          <w:tcPr>
            <w:tcW w:w="1389" w:type="dxa"/>
            <w:tcBorders>
              <w:top w:val="nil"/>
              <w:left w:val="nil"/>
              <w:bottom w:val="nil"/>
              <w:right w:val="nil"/>
            </w:tcBorders>
            <w:shd w:val="clear" w:color="auto" w:fill="FFFFFF"/>
            <w:tcMar>
              <w:top w:w="0" w:type="dxa"/>
              <w:left w:w="0" w:type="dxa"/>
              <w:bottom w:w="0" w:type="dxa"/>
              <w:right w:w="0" w:type="dxa"/>
            </w:tcMar>
          </w:tcPr>
          <w:p w14:paraId="7A2CFED3"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0.54, 1.05</w:t>
            </w:r>
          </w:p>
        </w:tc>
        <w:tc>
          <w:tcPr>
            <w:tcW w:w="1181" w:type="dxa"/>
            <w:tcBorders>
              <w:top w:val="nil"/>
              <w:left w:val="nil"/>
              <w:bottom w:val="nil"/>
              <w:right w:val="nil"/>
            </w:tcBorders>
            <w:shd w:val="clear" w:color="auto" w:fill="FFFFFF"/>
            <w:tcMar>
              <w:top w:w="0" w:type="dxa"/>
              <w:left w:w="0" w:type="dxa"/>
              <w:bottom w:w="0" w:type="dxa"/>
              <w:right w:w="0" w:type="dxa"/>
            </w:tcMar>
          </w:tcPr>
          <w:p w14:paraId="2B38CD54"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0.10</w:t>
            </w:r>
          </w:p>
        </w:tc>
      </w:tr>
      <w:tr w:rsidR="00DA4677" w:rsidRPr="00DA4677" w14:paraId="590CE40A"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0A7FEA07"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radiation_therapy</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6841D619"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40BF68D4"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0A256E80"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0B179364"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E952EAB"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No</w:t>
            </w:r>
          </w:p>
        </w:tc>
        <w:tc>
          <w:tcPr>
            <w:tcW w:w="839" w:type="dxa"/>
            <w:tcBorders>
              <w:top w:val="nil"/>
              <w:left w:val="nil"/>
              <w:bottom w:val="nil"/>
              <w:right w:val="nil"/>
            </w:tcBorders>
            <w:shd w:val="clear" w:color="auto" w:fill="FFFFFF"/>
            <w:tcMar>
              <w:top w:w="0" w:type="dxa"/>
              <w:left w:w="0" w:type="dxa"/>
              <w:bottom w:w="0" w:type="dxa"/>
              <w:right w:w="0" w:type="dxa"/>
            </w:tcMar>
          </w:tcPr>
          <w:p w14:paraId="1C2C4A90"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6A353420"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161DAA36"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2DA52871"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227E1888"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Yes</w:t>
            </w:r>
          </w:p>
        </w:tc>
        <w:tc>
          <w:tcPr>
            <w:tcW w:w="839" w:type="dxa"/>
            <w:tcBorders>
              <w:top w:val="nil"/>
              <w:left w:val="nil"/>
              <w:bottom w:val="nil"/>
              <w:right w:val="nil"/>
            </w:tcBorders>
            <w:shd w:val="clear" w:color="auto" w:fill="FFFFFF"/>
            <w:tcMar>
              <w:top w:w="0" w:type="dxa"/>
              <w:left w:w="0" w:type="dxa"/>
              <w:bottom w:w="0" w:type="dxa"/>
              <w:right w:w="0" w:type="dxa"/>
            </w:tcMar>
          </w:tcPr>
          <w:p w14:paraId="5A7FCB88"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0.87</w:t>
            </w:r>
          </w:p>
        </w:tc>
        <w:tc>
          <w:tcPr>
            <w:tcW w:w="1389" w:type="dxa"/>
            <w:tcBorders>
              <w:top w:val="nil"/>
              <w:left w:val="nil"/>
              <w:bottom w:val="nil"/>
              <w:right w:val="nil"/>
            </w:tcBorders>
            <w:shd w:val="clear" w:color="auto" w:fill="FFFFFF"/>
            <w:tcMar>
              <w:top w:w="0" w:type="dxa"/>
              <w:left w:w="0" w:type="dxa"/>
              <w:bottom w:w="0" w:type="dxa"/>
              <w:right w:w="0" w:type="dxa"/>
            </w:tcMar>
          </w:tcPr>
          <w:p w14:paraId="73B00E19"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0.62, 1.22</w:t>
            </w:r>
          </w:p>
        </w:tc>
        <w:tc>
          <w:tcPr>
            <w:tcW w:w="1181" w:type="dxa"/>
            <w:tcBorders>
              <w:top w:val="nil"/>
              <w:left w:val="nil"/>
              <w:bottom w:val="nil"/>
              <w:right w:val="nil"/>
            </w:tcBorders>
            <w:shd w:val="clear" w:color="auto" w:fill="FFFFFF"/>
            <w:tcMar>
              <w:top w:w="0" w:type="dxa"/>
              <w:left w:w="0" w:type="dxa"/>
              <w:bottom w:w="0" w:type="dxa"/>
              <w:right w:w="0" w:type="dxa"/>
            </w:tcMar>
          </w:tcPr>
          <w:p w14:paraId="4419D24A"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w:t>
            </w:r>
          </w:p>
        </w:tc>
      </w:tr>
      <w:tr w:rsidR="00DA4677" w:rsidRPr="00DA4677" w14:paraId="57B9691A"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340D3C6F"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hormone_therapy</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7AD44FCD"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3E0677BD"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192C68B3"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2C0D2638"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7F01EE9F"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No</w:t>
            </w:r>
          </w:p>
        </w:tc>
        <w:tc>
          <w:tcPr>
            <w:tcW w:w="839" w:type="dxa"/>
            <w:tcBorders>
              <w:top w:val="nil"/>
              <w:left w:val="nil"/>
              <w:bottom w:val="nil"/>
              <w:right w:val="nil"/>
            </w:tcBorders>
            <w:shd w:val="clear" w:color="auto" w:fill="FFFFFF"/>
            <w:tcMar>
              <w:top w:w="0" w:type="dxa"/>
              <w:left w:w="0" w:type="dxa"/>
              <w:bottom w:w="0" w:type="dxa"/>
              <w:right w:w="0" w:type="dxa"/>
            </w:tcMar>
          </w:tcPr>
          <w:p w14:paraId="082C4459"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2546C41B"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26DDF502"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6CF55DED"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0F7FF9AE" w14:textId="77777777" w:rsidR="00612B51" w:rsidRPr="00DA4677" w:rsidRDefault="001D4AFD"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Yes</w:t>
            </w:r>
          </w:p>
        </w:tc>
        <w:tc>
          <w:tcPr>
            <w:tcW w:w="839" w:type="dxa"/>
            <w:tcBorders>
              <w:top w:val="nil"/>
              <w:left w:val="nil"/>
              <w:bottom w:val="nil"/>
              <w:right w:val="nil"/>
            </w:tcBorders>
            <w:shd w:val="clear" w:color="auto" w:fill="FFFFFF"/>
            <w:tcMar>
              <w:top w:w="0" w:type="dxa"/>
              <w:left w:w="0" w:type="dxa"/>
              <w:bottom w:w="0" w:type="dxa"/>
              <w:right w:w="0" w:type="dxa"/>
            </w:tcMar>
          </w:tcPr>
          <w:p w14:paraId="3B9A38B1"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1.16</w:t>
            </w:r>
          </w:p>
        </w:tc>
        <w:tc>
          <w:tcPr>
            <w:tcW w:w="1389" w:type="dxa"/>
            <w:tcBorders>
              <w:top w:val="nil"/>
              <w:left w:val="nil"/>
              <w:bottom w:val="nil"/>
              <w:right w:val="nil"/>
            </w:tcBorders>
            <w:shd w:val="clear" w:color="auto" w:fill="FFFFFF"/>
            <w:tcMar>
              <w:top w:w="0" w:type="dxa"/>
              <w:left w:w="0" w:type="dxa"/>
              <w:bottom w:w="0" w:type="dxa"/>
              <w:right w:w="0" w:type="dxa"/>
            </w:tcMar>
          </w:tcPr>
          <w:p w14:paraId="267DA5C9"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0.83, 1.62</w:t>
            </w:r>
          </w:p>
        </w:tc>
        <w:tc>
          <w:tcPr>
            <w:tcW w:w="1181" w:type="dxa"/>
            <w:tcBorders>
              <w:top w:val="nil"/>
              <w:left w:val="nil"/>
              <w:bottom w:val="nil"/>
              <w:right w:val="nil"/>
            </w:tcBorders>
            <w:shd w:val="clear" w:color="auto" w:fill="FFFFFF"/>
            <w:tcMar>
              <w:top w:w="0" w:type="dxa"/>
              <w:left w:w="0" w:type="dxa"/>
              <w:bottom w:w="0" w:type="dxa"/>
              <w:right w:w="0" w:type="dxa"/>
            </w:tcMar>
          </w:tcPr>
          <w:p w14:paraId="3D4DCE6F"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w:t>
            </w:r>
          </w:p>
        </w:tc>
      </w:tr>
      <w:tr w:rsidR="00DA4677" w:rsidRPr="00DA4677" w14:paraId="515F3667" w14:textId="77777777" w:rsidTr="007C013F">
        <w:trPr>
          <w:jc w:val="center"/>
        </w:trPr>
        <w:tc>
          <w:tcPr>
            <w:tcW w:w="4156" w:type="dxa"/>
            <w:tcBorders>
              <w:top w:val="nil"/>
              <w:left w:val="nil"/>
              <w:bottom w:val="single" w:sz="8" w:space="0" w:color="000000"/>
              <w:right w:val="nil"/>
            </w:tcBorders>
            <w:shd w:val="clear" w:color="auto" w:fill="FFFFFF"/>
            <w:tcMar>
              <w:top w:w="0" w:type="dxa"/>
              <w:left w:w="0" w:type="dxa"/>
              <w:bottom w:w="0" w:type="dxa"/>
              <w:right w:w="0" w:type="dxa"/>
            </w:tcMar>
          </w:tcPr>
          <w:p w14:paraId="1C2132A1"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gleason_score</w:t>
            </w:r>
            <w:proofErr w:type="spellEnd"/>
          </w:p>
        </w:tc>
        <w:tc>
          <w:tcPr>
            <w:tcW w:w="839" w:type="dxa"/>
            <w:tcBorders>
              <w:top w:val="nil"/>
              <w:left w:val="nil"/>
              <w:bottom w:val="single" w:sz="8" w:space="0" w:color="000000"/>
              <w:right w:val="nil"/>
            </w:tcBorders>
            <w:shd w:val="clear" w:color="auto" w:fill="FFFFFF"/>
            <w:tcMar>
              <w:top w:w="0" w:type="dxa"/>
              <w:left w:w="0" w:type="dxa"/>
              <w:bottom w:w="0" w:type="dxa"/>
              <w:right w:w="0" w:type="dxa"/>
            </w:tcMar>
          </w:tcPr>
          <w:p w14:paraId="40A002C2"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0.85</w:t>
            </w:r>
          </w:p>
        </w:tc>
        <w:tc>
          <w:tcPr>
            <w:tcW w:w="1389" w:type="dxa"/>
            <w:tcBorders>
              <w:top w:val="nil"/>
              <w:left w:val="nil"/>
              <w:bottom w:val="single" w:sz="8" w:space="0" w:color="000000"/>
              <w:right w:val="nil"/>
            </w:tcBorders>
            <w:shd w:val="clear" w:color="auto" w:fill="FFFFFF"/>
            <w:tcMar>
              <w:top w:w="0" w:type="dxa"/>
              <w:left w:w="0" w:type="dxa"/>
              <w:bottom w:w="0" w:type="dxa"/>
              <w:right w:w="0" w:type="dxa"/>
            </w:tcMar>
          </w:tcPr>
          <w:p w14:paraId="5596B620"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0.74, 0.99</w:t>
            </w:r>
          </w:p>
        </w:tc>
        <w:tc>
          <w:tcPr>
            <w:tcW w:w="1181" w:type="dxa"/>
            <w:tcBorders>
              <w:top w:val="nil"/>
              <w:left w:val="nil"/>
              <w:bottom w:val="single" w:sz="8" w:space="0" w:color="000000"/>
              <w:right w:val="nil"/>
            </w:tcBorders>
            <w:shd w:val="clear" w:color="auto" w:fill="FFFFFF"/>
            <w:tcMar>
              <w:top w:w="0" w:type="dxa"/>
              <w:left w:w="0" w:type="dxa"/>
              <w:bottom w:w="0" w:type="dxa"/>
              <w:right w:w="0" w:type="dxa"/>
            </w:tcMar>
          </w:tcPr>
          <w:p w14:paraId="11D5C7D0" w14:textId="77777777" w:rsidR="00612B51" w:rsidRPr="00DA4677" w:rsidRDefault="001D4AFD"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0.036</w:t>
            </w:r>
          </w:p>
        </w:tc>
      </w:tr>
      <w:tr w:rsidR="00DA4677" w:rsidRPr="00DA4677" w14:paraId="1E6E30B0" w14:textId="77777777" w:rsidTr="007C013F">
        <w:trPr>
          <w:jc w:val="center"/>
        </w:trPr>
        <w:tc>
          <w:tcPr>
            <w:tcW w:w="7565" w:type="dxa"/>
            <w:gridSpan w:val="4"/>
            <w:tcBorders>
              <w:top w:val="single" w:sz="8" w:space="0" w:color="000000"/>
              <w:left w:val="nil"/>
              <w:bottom w:val="nil"/>
              <w:right w:val="nil"/>
            </w:tcBorders>
            <w:shd w:val="clear" w:color="auto" w:fill="FFFFFF"/>
            <w:tcMar>
              <w:top w:w="0" w:type="dxa"/>
              <w:left w:w="0" w:type="dxa"/>
              <w:bottom w:w="0" w:type="dxa"/>
              <w:right w:w="0" w:type="dxa"/>
            </w:tcMar>
            <w:vAlign w:val="center"/>
          </w:tcPr>
          <w:p w14:paraId="4CB6DDF7" w14:textId="77777777" w:rsidR="00612B51" w:rsidRPr="00DA4677" w:rsidRDefault="001D4AFD" w:rsidP="007C013F">
            <w:pPr>
              <w:pBdr>
                <w:top w:val="nil"/>
                <w:left w:val="nil"/>
                <w:bottom w:val="nil"/>
                <w:right w:val="nil"/>
              </w:pBdr>
              <w:spacing w:before="100" w:after="100"/>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Abbreviations: CI = Confidence Interval, HR = Hazard Ratio</w:t>
            </w:r>
          </w:p>
        </w:tc>
      </w:tr>
    </w:tbl>
    <w:p w14:paraId="6DB6C15A" w14:textId="0BD96100" w:rsidR="003757C8"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spline-derived partial effect plots indicate risk accumulation at tumor sizes </w:t>
      </w:r>
      <w:r w:rsidRPr="00DA4677">
        <w:rPr>
          <w:rFonts w:ascii="Times New Roman" w:eastAsia="Calibri" w:hAnsi="Times New Roman" w:cs="Times New Roman"/>
          <w:sz w:val="20"/>
          <w:szCs w:val="20"/>
        </w:rPr>
        <w:t>greater than</w:t>
      </w:r>
      <w:r w:rsidRPr="00DA4677">
        <w:rPr>
          <w:rFonts w:ascii="Times New Roman" w:hAnsi="Times New Roman" w:cs="Times New Roman"/>
          <w:sz w:val="20"/>
          <w:szCs w:val="20"/>
        </w:rPr>
        <w:t xml:space="preserve"> approximately 6–7 cm, </w:t>
      </w:r>
      <w:r w:rsidRPr="00DA4677">
        <w:rPr>
          <w:rFonts w:ascii="Times New Roman" w:eastAsia="Calibri" w:hAnsi="Times New Roman" w:cs="Times New Roman"/>
          <w:sz w:val="20"/>
          <w:szCs w:val="20"/>
        </w:rPr>
        <w:t>whereas</w:t>
      </w:r>
      <w:r w:rsidRPr="00DA4677">
        <w:rPr>
          <w:rFonts w:ascii="Times New Roman" w:hAnsi="Times New Roman" w:cs="Times New Roman"/>
          <w:sz w:val="20"/>
          <w:szCs w:val="20"/>
        </w:rPr>
        <w:t xml:space="preserve"> the hazard gradient for age remained flat across most of the observed range, </w:t>
      </w:r>
      <w:r w:rsidRPr="00DA4677">
        <w:rPr>
          <w:rFonts w:ascii="Times New Roman" w:eastAsia="Calibri" w:hAnsi="Times New Roman" w:cs="Times New Roman"/>
          <w:sz w:val="20"/>
          <w:szCs w:val="20"/>
        </w:rPr>
        <w:t xml:space="preserve">which is </w:t>
      </w:r>
      <w:r w:rsidRPr="00DA4677">
        <w:rPr>
          <w:rFonts w:ascii="Times New Roman" w:hAnsi="Times New Roman" w:cs="Times New Roman"/>
          <w:sz w:val="20"/>
          <w:szCs w:val="20"/>
        </w:rPr>
        <w:t xml:space="preserve">consistent with the </w:t>
      </w:r>
      <w:r w:rsidRPr="00DA4677">
        <w:rPr>
          <w:rFonts w:ascii="Times New Roman" w:eastAsia="Calibri" w:hAnsi="Times New Roman" w:cs="Times New Roman"/>
          <w:sz w:val="20"/>
          <w:szCs w:val="20"/>
        </w:rPr>
        <w:t>nonsignificant</w:t>
      </w:r>
      <w:r w:rsidRPr="00DA4677">
        <w:rPr>
          <w:rFonts w:ascii="Times New Roman" w:hAnsi="Times New Roman" w:cs="Times New Roman"/>
          <w:sz w:val="20"/>
          <w:szCs w:val="20"/>
        </w:rPr>
        <w:t xml:space="preserve"> spline terms.</w:t>
      </w:r>
      <w:r w:rsidR="00274234" w:rsidRPr="00DA4677">
        <w:rPr>
          <w:rFonts w:ascii="Times New Roman" w:hAnsi="Times New Roman" w:cs="Times New Roman"/>
          <w:sz w:val="20"/>
          <w:szCs w:val="20"/>
        </w:rPr>
        <w:t xml:space="preserve"> Four knots were selected at the 5th, 35th, 65th, and 95th percentiles of each continuous variable distribution. Boundary knots were positioned at the minimum and maximum observed values, permitting monotonicity beyond the boundary region. The upward inflection of hazard at larger tumor sizes likely reflects </w:t>
      </w:r>
      <w:r w:rsidRPr="00DA4677">
        <w:rPr>
          <w:rFonts w:ascii="Times New Roman" w:eastAsia="Calibri" w:hAnsi="Times New Roman" w:cs="Times New Roman"/>
          <w:sz w:val="20"/>
          <w:szCs w:val="20"/>
        </w:rPr>
        <w:t xml:space="preserve">the </w:t>
      </w:r>
      <w:r w:rsidR="00274234" w:rsidRPr="00DA4677">
        <w:rPr>
          <w:rFonts w:ascii="Times New Roman" w:hAnsi="Times New Roman" w:cs="Times New Roman"/>
          <w:sz w:val="20"/>
          <w:szCs w:val="20"/>
        </w:rPr>
        <w:t xml:space="preserve">biological aggressiveness associated with advanced tumor burden. At smaller sizes, the plateau suggests relatively stable risk within the early to moderate size range. The partial overlap between PSA categories may reflect treatment variability and the limited discriminatory capacity of one-time PSA measurements, indicating potential value in incorporating PSA kinetics in future modeling. </w:t>
      </w:r>
      <w:r w:rsidRPr="00DA4677">
        <w:rPr>
          <w:rFonts w:ascii="Times New Roman" w:eastAsia="Calibri" w:hAnsi="Times New Roman" w:cs="Times New Roman"/>
          <w:sz w:val="20"/>
          <w:szCs w:val="20"/>
        </w:rPr>
        <w:t>Overall, the</w:t>
      </w:r>
      <w:r w:rsidR="00274234" w:rsidRPr="00DA4677">
        <w:rPr>
          <w:rFonts w:ascii="Times New Roman" w:hAnsi="Times New Roman" w:cs="Times New Roman"/>
          <w:sz w:val="20"/>
          <w:szCs w:val="20"/>
        </w:rPr>
        <w:t xml:space="preserve"> evidence confirms the predominance of intermediate and advanced stages at diagnosis, reinforcing findings from earlier Ghanaian studies.</w:t>
      </w:r>
    </w:p>
    <w:p w14:paraId="17249601" w14:textId="24267D96" w:rsidR="00612B51" w:rsidRPr="00DA4677" w:rsidRDefault="00074DFF" w:rsidP="00612B51">
      <w:pPr>
        <w:jc w:val="both"/>
        <w:rPr>
          <w:rFonts w:ascii="Times New Roman" w:hAnsi="Times New Roman" w:cs="Times New Roman"/>
          <w:sz w:val="20"/>
          <w:szCs w:val="20"/>
        </w:rPr>
      </w:pPr>
      <w:r>
        <w:rPr>
          <w:noProof/>
        </w:rPr>
        <w:lastRenderedPageBreak/>
        <w:drawing>
          <wp:inline distT="0" distB="0" distL="0" distR="0" wp14:anchorId="442BA0DF" wp14:editId="10EE9377">
            <wp:extent cx="5731510" cy="3164205"/>
            <wp:effectExtent l="0" t="0" r="2540" b="0"/>
            <wp:docPr id="182365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64205"/>
                    </a:xfrm>
                    <a:prstGeom prst="rect">
                      <a:avLst/>
                    </a:prstGeom>
                    <a:noFill/>
                    <a:ln>
                      <a:noFill/>
                    </a:ln>
                  </pic:spPr>
                </pic:pic>
              </a:graphicData>
            </a:graphic>
          </wp:inline>
        </w:drawing>
      </w:r>
    </w:p>
    <w:p w14:paraId="719B6506"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4: Adjusted </w:t>
      </w:r>
      <w:r w:rsidRPr="00DA4677">
        <w:rPr>
          <w:rFonts w:ascii="Times New Roman" w:eastAsia="Times New Roman" w:hAnsi="Times New Roman" w:cs="Times New Roman"/>
          <w:color w:val="auto"/>
          <w:sz w:val="20"/>
          <w:szCs w:val="20"/>
        </w:rPr>
        <w:t>hazard ratios (age and tumor size</w:t>
      </w:r>
      <w:r w:rsidRPr="00DA4677">
        <w:rPr>
          <w:rFonts w:ascii="Times New Roman" w:hAnsi="Times New Roman" w:cs="Times New Roman"/>
          <w:color w:val="auto"/>
          <w:sz w:val="20"/>
          <w:szCs w:val="20"/>
        </w:rPr>
        <w:t>)</w:t>
      </w:r>
    </w:p>
    <w:p w14:paraId="717F8E03"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33EDC62F" wp14:editId="43D8C9FF">
            <wp:extent cx="5942006" cy="2108200"/>
            <wp:effectExtent l="0" t="0" r="1905" b="6350"/>
            <wp:docPr id="1312525057" name="Picture 131252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25057" name=""/>
                    <pic:cNvPicPr>
                      <a:picLocks noChangeAspect="1" noChangeArrowheads="1"/>
                    </pic:cNvPicPr>
                  </pic:nvPicPr>
                  <pic:blipFill>
                    <a:blip r:embed="rId9"/>
                    <a:stretch>
                      <a:fillRect/>
                    </a:stretch>
                  </pic:blipFill>
                  <pic:spPr bwMode="auto">
                    <a:xfrm>
                      <a:off x="0" y="0"/>
                      <a:ext cx="82735" cy="29354"/>
                    </a:xfrm>
                    <a:prstGeom prst="rect">
                      <a:avLst/>
                    </a:prstGeom>
                    <a:noFill/>
                  </pic:spPr>
                </pic:pic>
              </a:graphicData>
            </a:graphic>
          </wp:inline>
        </w:drawing>
      </w:r>
    </w:p>
    <w:p w14:paraId="45780C97"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Figure 5:</w:t>
      </w:r>
      <w:r w:rsidRPr="00DA4677">
        <w:rPr>
          <w:rFonts w:ascii="Times New Roman" w:eastAsia="Times New Roman" w:hAnsi="Times New Roman" w:cs="Times New Roman"/>
          <w:color w:val="auto"/>
          <w:sz w:val="20"/>
          <w:szCs w:val="20"/>
        </w:rPr>
        <w:t xml:space="preserve"> </w:t>
      </w:r>
      <w:r w:rsidRPr="00DA4677">
        <w:rPr>
          <w:rFonts w:ascii="Times New Roman" w:hAnsi="Times New Roman" w:cs="Times New Roman"/>
          <w:color w:val="auto"/>
          <w:sz w:val="20"/>
          <w:szCs w:val="20"/>
        </w:rPr>
        <w:t xml:space="preserve">Survival by </w:t>
      </w:r>
      <w:r w:rsidRPr="00DA4677">
        <w:rPr>
          <w:rFonts w:ascii="Times New Roman" w:eastAsia="Times New Roman" w:hAnsi="Times New Roman" w:cs="Times New Roman"/>
          <w:color w:val="auto"/>
          <w:sz w:val="20"/>
          <w:szCs w:val="20"/>
        </w:rPr>
        <w:t>cancer stage</w:t>
      </w:r>
    </w:p>
    <w:p w14:paraId="2987CE4E"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6ECA1C11" wp14:editId="5AA3AF9C">
            <wp:extent cx="5943600" cy="2495550"/>
            <wp:effectExtent l="0" t="0" r="0" b="0"/>
            <wp:docPr id="1517280090" name="Picture 151728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0090" name=""/>
                    <pic:cNvPicPr>
                      <a:picLocks noChangeAspect="1" noChangeArrowheads="1"/>
                    </pic:cNvPicPr>
                  </pic:nvPicPr>
                  <pic:blipFill>
                    <a:blip r:embed="rId10"/>
                    <a:stretch>
                      <a:fillRect/>
                    </a:stretch>
                  </pic:blipFill>
                  <pic:spPr bwMode="auto">
                    <a:xfrm>
                      <a:off x="0" y="0"/>
                      <a:ext cx="82554" cy="34662"/>
                    </a:xfrm>
                    <a:prstGeom prst="rect">
                      <a:avLst/>
                    </a:prstGeom>
                    <a:noFill/>
                  </pic:spPr>
                </pic:pic>
              </a:graphicData>
            </a:graphic>
          </wp:inline>
        </w:drawing>
      </w:r>
    </w:p>
    <w:p w14:paraId="5A024AD2" w14:textId="77777777" w:rsidR="00612B51" w:rsidRPr="00DA4677" w:rsidRDefault="001D4AFD" w:rsidP="00612B51">
      <w:pPr>
        <w:pStyle w:val="Heading2"/>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6: Survival by PSA </w:t>
      </w:r>
      <w:r w:rsidRPr="00DA4677">
        <w:rPr>
          <w:rFonts w:ascii="Times New Roman" w:eastAsia="Times New Roman" w:hAnsi="Times New Roman" w:cs="Times New Roman"/>
          <w:color w:val="auto"/>
          <w:sz w:val="20"/>
          <w:szCs w:val="20"/>
        </w:rPr>
        <w:t>level</w:t>
      </w:r>
    </w:p>
    <w:p w14:paraId="24FD34E1"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Cox proportional hazards model provided a nuanced view of risk. In Table 2, the restricted cubic spline specification revealed a significant nonlinear association </w:t>
      </w:r>
      <w:r w:rsidRPr="00DA4677">
        <w:rPr>
          <w:rFonts w:ascii="Times New Roman" w:eastAsia="Calibri" w:hAnsi="Times New Roman" w:cs="Times New Roman"/>
          <w:sz w:val="20"/>
          <w:szCs w:val="20"/>
        </w:rPr>
        <w:t>with</w:t>
      </w:r>
      <w:r w:rsidRPr="00DA4677">
        <w:rPr>
          <w:rFonts w:ascii="Times New Roman" w:hAnsi="Times New Roman" w:cs="Times New Roman"/>
          <w:sz w:val="20"/>
          <w:szCs w:val="20"/>
        </w:rPr>
        <w:t xml:space="preserve"> tumor size, with the first spline basis indicating a protective gradient at lower sizes and </w:t>
      </w:r>
      <w:r w:rsidRPr="00DA4677">
        <w:rPr>
          <w:rFonts w:ascii="Times New Roman" w:eastAsia="Calibri" w:hAnsi="Times New Roman" w:cs="Times New Roman"/>
          <w:sz w:val="20"/>
          <w:szCs w:val="20"/>
        </w:rPr>
        <w:t xml:space="preserve">a </w:t>
      </w:r>
      <w:r w:rsidRPr="00DA4677">
        <w:rPr>
          <w:rFonts w:ascii="Times New Roman" w:hAnsi="Times New Roman" w:cs="Times New Roman"/>
          <w:sz w:val="20"/>
          <w:szCs w:val="20"/>
        </w:rPr>
        <w:t xml:space="preserve">diminishing benefit as size </w:t>
      </w:r>
      <w:r w:rsidRPr="00DA4677">
        <w:rPr>
          <w:rFonts w:ascii="Times New Roman" w:eastAsia="Calibri" w:hAnsi="Times New Roman" w:cs="Times New Roman"/>
          <w:sz w:val="20"/>
          <w:szCs w:val="20"/>
        </w:rPr>
        <w:t>increased</w:t>
      </w:r>
      <w:r w:rsidRPr="00DA4677">
        <w:rPr>
          <w:rFonts w:ascii="Times New Roman" w:hAnsi="Times New Roman" w:cs="Times New Roman"/>
          <w:sz w:val="20"/>
          <w:szCs w:val="20"/>
        </w:rPr>
        <w:t xml:space="preserve">. The Gleason score retained prognostic salience, which is consistent with global evidence that histopathology remains a central driver of outcomes. Age spline terms were not statistically significant, suggesting that biological aggressiveness and disease </w:t>
      </w:r>
      <w:r w:rsidRPr="00DA4677">
        <w:rPr>
          <w:rFonts w:ascii="Times New Roman" w:hAnsi="Times New Roman" w:cs="Times New Roman"/>
          <w:sz w:val="20"/>
          <w:szCs w:val="20"/>
        </w:rPr>
        <w:lastRenderedPageBreak/>
        <w:t>burden may outweigh chronological age in shaping short- to medium-term survival in this cohort. These results are consistent with the patterns visualized in Figure 4, where the hazard ratio function for tumor size bends upward at larger diameters.</w:t>
      </w:r>
    </w:p>
    <w:p w14:paraId="20E2665E"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Survival functions stratified by cancer stage and PSA level provide additional context. Figure 5 </w:t>
      </w:r>
      <w:r w:rsidRPr="00DA4677">
        <w:rPr>
          <w:rFonts w:ascii="Times New Roman" w:eastAsia="Calibri" w:hAnsi="Times New Roman" w:cs="Times New Roman"/>
          <w:sz w:val="20"/>
          <w:szCs w:val="20"/>
        </w:rPr>
        <w:t>clearly shows the</w:t>
      </w:r>
      <w:r w:rsidRPr="00DA4677">
        <w:rPr>
          <w:rFonts w:ascii="Times New Roman" w:hAnsi="Times New Roman" w:cs="Times New Roman"/>
          <w:sz w:val="20"/>
          <w:szCs w:val="20"/>
        </w:rPr>
        <w:t xml:space="preserve"> separation of survival curves across stages, with Stage I and Stage II showing more favorable trajectories and Stage IV declining most rapidly. This pattern supports the interpretation that downstaging through earlier detection would confer meaningful survival benefits. Figure 6 </w:t>
      </w:r>
      <w:r w:rsidRPr="00DA4677">
        <w:rPr>
          <w:rFonts w:ascii="Times New Roman" w:eastAsia="Calibri" w:hAnsi="Times New Roman" w:cs="Times New Roman"/>
          <w:sz w:val="20"/>
          <w:szCs w:val="20"/>
        </w:rPr>
        <w:t>shows</w:t>
      </w:r>
      <w:r w:rsidRPr="00DA4677">
        <w:rPr>
          <w:rFonts w:ascii="Times New Roman" w:hAnsi="Times New Roman" w:cs="Times New Roman"/>
          <w:sz w:val="20"/>
          <w:szCs w:val="20"/>
        </w:rPr>
        <w:t xml:space="preserve"> partially overlapping curves across PSA groups, which may reflect treatment heterogeneity and the known limitations of single-time PSA measurements. </w:t>
      </w:r>
      <w:r w:rsidRPr="00DA4677">
        <w:rPr>
          <w:rFonts w:ascii="Times New Roman" w:eastAsia="Calibri" w:hAnsi="Times New Roman" w:cs="Times New Roman"/>
          <w:sz w:val="20"/>
          <w:szCs w:val="20"/>
        </w:rPr>
        <w:t>The incorporation of</w:t>
      </w:r>
      <w:r w:rsidRPr="00DA4677">
        <w:rPr>
          <w:rFonts w:ascii="Times New Roman" w:hAnsi="Times New Roman" w:cs="Times New Roman"/>
          <w:sz w:val="20"/>
          <w:szCs w:val="20"/>
        </w:rPr>
        <w:t xml:space="preserve"> PSA trajectories or kinetics may increase prognostic resolution, especially when combined with Gleason grade and nodal metrics.</w:t>
      </w:r>
    </w:p>
    <w:p w14:paraId="287DFAB1"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From a health systems perspective, these findings map directly onto SDG 3.4 by identifying modifiable pathways to reduce premature mortality from prostate cancer. Strengthening community awareness, expanding context-appropriate screening, and ensuring timely referral to multidisciplinary care can shift the stage distribution observed in Figure 1 toward earlier disease. Investment in diagnostic capacity for histology and imaging supports SDG 3.c, </w:t>
      </w:r>
      <w:r w:rsidRPr="00DA4677">
        <w:rPr>
          <w:rFonts w:ascii="Times New Roman" w:eastAsia="Calibri" w:hAnsi="Times New Roman" w:cs="Times New Roman"/>
          <w:sz w:val="20"/>
          <w:szCs w:val="20"/>
        </w:rPr>
        <w:t>whereas</w:t>
      </w:r>
      <w:r w:rsidRPr="00DA4677">
        <w:rPr>
          <w:rFonts w:ascii="Times New Roman" w:hAnsi="Times New Roman" w:cs="Times New Roman"/>
          <w:sz w:val="20"/>
          <w:szCs w:val="20"/>
        </w:rPr>
        <w:t xml:space="preserve"> routine capture of longitudinal measures such as PSA kinetics aligns with SDG 3.d on surveillance and early warning.</w:t>
      </w:r>
    </w:p>
    <w:p w14:paraId="04072A47" w14:textId="0621E806" w:rsidR="00612B51" w:rsidRPr="00DA4677" w:rsidRDefault="001D4AFD" w:rsidP="00612B51">
      <w:pPr>
        <w:spacing w:before="100" w:beforeAutospacing="1" w:after="100" w:afterAutospacing="1" w:line="240" w:lineRule="auto"/>
        <w:outlineLvl w:val="2"/>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SHAP Analysis for Cox PH with Restricted Cubic Splines</w:t>
      </w:r>
    </w:p>
    <w:p w14:paraId="21ED8E55" w14:textId="77777777" w:rsidR="00612B51" w:rsidRPr="00DA4677" w:rsidRDefault="001D4AFD"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The integration of SHAP </w:t>
      </w:r>
      <w:proofErr w:type="spellStart"/>
      <w:r w:rsidRPr="00DA4677">
        <w:rPr>
          <w:rFonts w:ascii="Times New Roman" w:eastAsia="Times New Roman" w:hAnsi="Times New Roman" w:cs="Times New Roman"/>
          <w:kern w:val="0"/>
          <w:sz w:val="20"/>
          <w:szCs w:val="20"/>
          <w:lang w:eastAsia=""/>
          <w14:ligatures w14:val="none"/>
        </w:rPr>
        <w:t>explainability</w:t>
      </w:r>
      <w:proofErr w:type="spellEnd"/>
      <w:r w:rsidRPr="00DA4677">
        <w:rPr>
          <w:rFonts w:ascii="Times New Roman" w:eastAsia="Times New Roman" w:hAnsi="Times New Roman" w:cs="Times New Roman"/>
          <w:kern w:val="0"/>
          <w:sz w:val="20"/>
          <w:szCs w:val="20"/>
          <w:lang w:eastAsia=""/>
          <w14:ligatures w14:val="none"/>
        </w:rPr>
        <w:t xml:space="preserve"> into the Cox </w:t>
      </w:r>
      <w:r w:rsidRPr="00DA4677">
        <w:rPr>
          <w:rFonts w:ascii="Times New Roman" w:eastAsia="Times New Roman" w:hAnsi="Times New Roman" w:cs="Times New Roman"/>
          <w:kern w:val="0"/>
          <w:sz w:val="20"/>
          <w:szCs w:val="20"/>
          <w:lang w:eastAsia=""/>
        </w:rPr>
        <w:t>proportional hazards</w:t>
      </w:r>
      <w:r w:rsidRPr="00DA4677">
        <w:rPr>
          <w:rFonts w:ascii="Times New Roman" w:eastAsia="Times New Roman" w:hAnsi="Times New Roman" w:cs="Times New Roman"/>
          <w:kern w:val="0"/>
          <w:sz w:val="20"/>
          <w:szCs w:val="20"/>
          <w:lang w:eastAsia=""/>
          <w14:ligatures w14:val="none"/>
        </w:rPr>
        <w:t xml:space="preserve"> model with restricted cubic splines (</w:t>
      </w:r>
      <w:r w:rsidRPr="00DA4677">
        <w:rPr>
          <w:rFonts w:ascii="Times New Roman" w:eastAsia="Times New Roman" w:hAnsi="Times New Roman" w:cs="Times New Roman"/>
          <w:kern w:val="0"/>
          <w:sz w:val="20"/>
          <w:szCs w:val="20"/>
          <w:lang w:eastAsia=""/>
        </w:rPr>
        <w:t>RCSs</w:t>
      </w:r>
      <w:r w:rsidRPr="00DA4677">
        <w:rPr>
          <w:rFonts w:ascii="Times New Roman" w:eastAsia="Times New Roman" w:hAnsi="Times New Roman" w:cs="Times New Roman"/>
          <w:kern w:val="0"/>
          <w:sz w:val="20"/>
          <w:szCs w:val="20"/>
          <w:lang w:eastAsia=""/>
          <w14:ligatures w14:val="none"/>
        </w:rPr>
        <w:t xml:space="preserve">) provided a transparent, data-driven interpretation of feature contributions to prostate cancer survival risk. This hybrid approach </w:t>
      </w:r>
      <w:r w:rsidRPr="00DA4677">
        <w:rPr>
          <w:rFonts w:ascii="Times New Roman" w:eastAsia="Times New Roman" w:hAnsi="Times New Roman" w:cs="Times New Roman"/>
          <w:kern w:val="0"/>
          <w:sz w:val="20"/>
          <w:szCs w:val="20"/>
          <w:lang w:eastAsia=""/>
        </w:rPr>
        <w:t>allows</w:t>
      </w:r>
      <w:r w:rsidRPr="00DA4677">
        <w:rPr>
          <w:rFonts w:ascii="Times New Roman" w:eastAsia="Times New Roman" w:hAnsi="Times New Roman" w:cs="Times New Roman"/>
          <w:kern w:val="0"/>
          <w:sz w:val="20"/>
          <w:szCs w:val="20"/>
          <w:lang w:eastAsia=""/>
          <w14:ligatures w14:val="none"/>
        </w:rPr>
        <w:t xml:space="preserve"> </w:t>
      </w:r>
      <w:r w:rsidRPr="005469AE">
        <w:rPr>
          <w:rFonts w:ascii="Times New Roman" w:eastAsia="Times New Roman" w:hAnsi="Times New Roman" w:cs="Times New Roman"/>
          <w:kern w:val="0"/>
          <w:sz w:val="20"/>
          <w:szCs w:val="20"/>
          <w:lang w:eastAsia=""/>
          <w14:ligatures w14:val="none"/>
        </w:rPr>
        <w:t xml:space="preserve">both global </w:t>
      </w:r>
      <w:r w:rsidRPr="005469AE">
        <w:rPr>
          <w:rFonts w:ascii="Times New Roman" w:eastAsia="Times New Roman" w:hAnsi="Times New Roman" w:cs="Times New Roman"/>
          <w:kern w:val="0"/>
          <w:sz w:val="20"/>
          <w:szCs w:val="20"/>
          <w:lang w:eastAsia=""/>
        </w:rPr>
        <w:t xml:space="preserve">interpretability </w:t>
      </w:r>
      <w:r w:rsidRPr="005469AE">
        <w:rPr>
          <w:rFonts w:ascii="Times New Roman" w:eastAsia="Times New Roman" w:hAnsi="Times New Roman" w:cs="Times New Roman"/>
          <w:kern w:val="0"/>
          <w:sz w:val="20"/>
          <w:szCs w:val="20"/>
          <w:lang w:eastAsia=""/>
          <w14:ligatures w14:val="none"/>
        </w:rPr>
        <w:t>and local interpretability</w:t>
      </w:r>
      <w:r w:rsidRPr="00DA4677">
        <w:rPr>
          <w:rFonts w:ascii="Times New Roman" w:eastAsia="Times New Roman" w:hAnsi="Times New Roman" w:cs="Times New Roman"/>
          <w:kern w:val="0"/>
          <w:sz w:val="20"/>
          <w:szCs w:val="20"/>
          <w:lang w:eastAsia=""/>
          <w14:ligatures w14:val="none"/>
        </w:rPr>
        <w:t>, addressing a key limitation of conventional Cox regression models, which report average effects but often mask complex nonlinearities.</w:t>
      </w:r>
    </w:p>
    <w:p w14:paraId="317A109F" w14:textId="77777777" w:rsidR="00612B51" w:rsidRPr="00DA4677" w:rsidRDefault="001D4AFD" w:rsidP="00612B51">
      <w:pPr>
        <w:spacing w:before="100" w:beforeAutospacing="1" w:after="100" w:afterAutospacing="1" w:line="240" w:lineRule="auto"/>
        <w:outlineLvl w:val="3"/>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 xml:space="preserve">Global </w:t>
      </w:r>
      <w:r w:rsidRPr="00DA4677">
        <w:rPr>
          <w:rFonts w:ascii="Times New Roman" w:eastAsia="Times New Roman" w:hAnsi="Times New Roman" w:cs="Times New Roman"/>
          <w:b/>
          <w:bCs/>
          <w:kern w:val="0"/>
          <w:sz w:val="20"/>
          <w:szCs w:val="20"/>
          <w:lang w:eastAsia=""/>
        </w:rPr>
        <w:t>feature importance</w:t>
      </w:r>
      <w:r w:rsidRPr="00DA4677">
        <w:rPr>
          <w:rFonts w:ascii="Times New Roman" w:eastAsia="Times New Roman" w:hAnsi="Times New Roman" w:cs="Times New Roman"/>
          <w:b/>
          <w:bCs/>
          <w:kern w:val="0"/>
          <w:sz w:val="20"/>
          <w:szCs w:val="20"/>
          <w:lang w:eastAsia=""/>
          <w14:ligatures w14:val="none"/>
        </w:rPr>
        <w:t xml:space="preserve"> (Figure 7 and Table 3)</w:t>
      </w:r>
    </w:p>
    <w:p w14:paraId="32DC7104" w14:textId="0BE91792" w:rsidR="00612B51" w:rsidRPr="00DA4677" w:rsidRDefault="001D4AFD"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5469AE">
        <w:rPr>
          <w:rFonts w:ascii="Times New Roman" w:eastAsia="Times New Roman" w:hAnsi="Times New Roman" w:cs="Times New Roman"/>
          <w:kern w:val="0"/>
          <w:sz w:val="20"/>
          <w:szCs w:val="20"/>
          <w:lang w:eastAsia=""/>
          <w14:ligatures w14:val="none"/>
        </w:rPr>
        <w:t>The Global SHAP Importance Plot (Figure 7) and Table 3 demonstrate that tumor size (</w:t>
      </w:r>
      <w:r w:rsidRPr="005469AE">
        <w:rPr>
          <w:rFonts w:ascii="Times New Roman" w:eastAsia="Times New Roman" w:hAnsi="Times New Roman" w:cs="Times New Roman"/>
          <w:kern w:val="0"/>
          <w:sz w:val="20"/>
          <w:szCs w:val="20"/>
          <w:lang w:eastAsia=""/>
        </w:rPr>
        <w:t>mean</w:t>
      </w:r>
      <w:r w:rsidRPr="005469AE">
        <w:rPr>
          <w:rFonts w:ascii="Times New Roman" w:eastAsia="Times New Roman" w:hAnsi="Times New Roman" w:cs="Times New Roman"/>
          <w:kern w:val="0"/>
          <w:sz w:val="20"/>
          <w:szCs w:val="20"/>
          <w:lang w:eastAsia=""/>
          <w14:ligatures w14:val="none"/>
        </w:rPr>
        <w:t xml:space="preserve"> |SHAP| = 0.2015) and Gleason score (0.1591) were the two most influential predictors of prostate cancer survival. These findings reinforce the hazard ratio results in Table 1, where </w:t>
      </w:r>
      <w:r w:rsidRPr="005469AE">
        <w:rPr>
          <w:rFonts w:ascii="Times New Roman" w:eastAsia="Times New Roman" w:hAnsi="Times New Roman" w:cs="Times New Roman"/>
          <w:kern w:val="0"/>
          <w:sz w:val="20"/>
          <w:szCs w:val="20"/>
          <w:lang w:eastAsia=""/>
        </w:rPr>
        <w:t xml:space="preserve">the </w:t>
      </w:r>
      <w:r w:rsidRPr="005469AE">
        <w:rPr>
          <w:rFonts w:ascii="Times New Roman" w:eastAsia="Times New Roman" w:hAnsi="Times New Roman" w:cs="Times New Roman"/>
          <w:kern w:val="0"/>
          <w:sz w:val="20"/>
          <w:szCs w:val="20"/>
          <w:lang w:eastAsia=""/>
          <w14:ligatures w14:val="none"/>
        </w:rPr>
        <w:t>Gleason score (HR = 0.85; 95% CI: 0.74</w:t>
      </w:r>
      <w:r w:rsidR="005469AE" w:rsidRPr="005469AE">
        <w:rPr>
          <w:rFonts w:ascii="Times New Roman" w:eastAsia="Times New Roman" w:hAnsi="Times New Roman" w:cs="Times New Roman"/>
          <w:kern w:val="0"/>
          <w:sz w:val="20"/>
          <w:szCs w:val="20"/>
          <w:lang w:eastAsia=""/>
          <w14:ligatures w14:val="none"/>
        </w:rPr>
        <w:t>-</w:t>
      </w:r>
      <w:r w:rsidRPr="005469AE">
        <w:rPr>
          <w:rFonts w:ascii="Times New Roman" w:eastAsia="Times New Roman" w:hAnsi="Times New Roman" w:cs="Times New Roman"/>
          <w:kern w:val="0"/>
          <w:sz w:val="20"/>
          <w:szCs w:val="20"/>
          <w:lang w:eastAsia=""/>
          <w14:ligatures w14:val="none"/>
        </w:rPr>
        <w:t>0.99; p = 0.036) remained statistically significant. The prominence of tumor size in SHAP importance</w:t>
      </w:r>
      <w:r w:rsidR="005469AE" w:rsidRPr="005469AE">
        <w:rPr>
          <w:rFonts w:ascii="Times New Roman" w:eastAsia="Times New Roman" w:hAnsi="Times New Roman" w:cs="Times New Roman"/>
          <w:kern w:val="0"/>
          <w:sz w:val="20"/>
          <w:szCs w:val="20"/>
          <w:lang w:eastAsia=""/>
          <w14:ligatures w14:val="none"/>
        </w:rPr>
        <w:t xml:space="preserve"> </w:t>
      </w:r>
      <w:r w:rsidRPr="005469AE">
        <w:rPr>
          <w:rFonts w:ascii="Times New Roman" w:eastAsia="Times New Roman" w:hAnsi="Times New Roman" w:cs="Times New Roman"/>
          <w:kern w:val="0"/>
          <w:sz w:val="20"/>
          <w:szCs w:val="20"/>
          <w:lang w:eastAsia=""/>
          <w14:ligatures w14:val="none"/>
        </w:rPr>
        <w:t>despite a moderate hazard ratio significance (HR = 0.41; p = 0.048)</w:t>
      </w:r>
      <w:r w:rsidR="005469AE" w:rsidRPr="005469AE">
        <w:rPr>
          <w:rFonts w:ascii="Times New Roman" w:eastAsia="Times New Roman" w:hAnsi="Times New Roman" w:cs="Times New Roman"/>
          <w:kern w:val="0"/>
          <w:sz w:val="20"/>
          <w:szCs w:val="20"/>
          <w:lang w:eastAsia=""/>
          <w14:ligatures w14:val="none"/>
        </w:rPr>
        <w:t xml:space="preserve"> </w:t>
      </w:r>
      <w:r w:rsidRPr="005469AE">
        <w:rPr>
          <w:rFonts w:ascii="Times New Roman" w:eastAsia="Times New Roman" w:hAnsi="Times New Roman" w:cs="Times New Roman"/>
          <w:kern w:val="0"/>
          <w:sz w:val="20"/>
          <w:szCs w:val="20"/>
          <w:lang w:eastAsia=""/>
          <w14:ligatures w14:val="none"/>
        </w:rPr>
        <w:t>suggests a nonlinear relationship</w:t>
      </w:r>
      <w:r w:rsidRPr="00DA4677">
        <w:rPr>
          <w:rFonts w:ascii="Times New Roman" w:eastAsia="Times New Roman" w:hAnsi="Times New Roman" w:cs="Times New Roman"/>
          <w:kern w:val="0"/>
          <w:sz w:val="20"/>
          <w:szCs w:val="20"/>
          <w:lang w:eastAsia=""/>
          <w14:ligatures w14:val="none"/>
        </w:rPr>
        <w:t>, wherein the risk accelerates after a specific tumor threshold.</w:t>
      </w:r>
      <w:r w:rsidR="005469AE">
        <w:rPr>
          <w:rFonts w:ascii="Times New Roman" w:eastAsia="Times New Roman" w:hAnsi="Times New Roman" w:cs="Times New Roman"/>
          <w:kern w:val="0"/>
          <w:sz w:val="20"/>
          <w:szCs w:val="20"/>
          <w:lang w:eastAsia=""/>
          <w14:ligatures w14:val="none"/>
        </w:rPr>
        <w:t xml:space="preserve"> </w:t>
      </w:r>
      <w:r w:rsidRPr="00DA4677">
        <w:rPr>
          <w:rFonts w:ascii="Times New Roman" w:eastAsia="Times New Roman" w:hAnsi="Times New Roman" w:cs="Times New Roman"/>
          <w:kern w:val="0"/>
          <w:sz w:val="20"/>
          <w:szCs w:val="20"/>
          <w:lang w:eastAsia=""/>
          <w14:ligatures w14:val="none"/>
        </w:rPr>
        <w:t xml:space="preserve">Treatment-related variables, particularly </w:t>
      </w:r>
      <w:r w:rsidRPr="00DA4677">
        <w:rPr>
          <w:rFonts w:ascii="Times New Roman" w:eastAsia="Times New Roman" w:hAnsi="Times New Roman" w:cs="Times New Roman"/>
          <w:i/>
          <w:iCs/>
          <w:kern w:val="0"/>
          <w:sz w:val="20"/>
          <w:szCs w:val="20"/>
          <w:lang w:eastAsia=""/>
          <w14:ligatures w14:val="none"/>
        </w:rPr>
        <w:t>chemotherapy</w:t>
      </w:r>
      <w:r w:rsidRPr="00DA4677">
        <w:rPr>
          <w:rFonts w:ascii="Times New Roman" w:eastAsia="Times New Roman" w:hAnsi="Times New Roman" w:cs="Times New Roman"/>
          <w:kern w:val="0"/>
          <w:sz w:val="20"/>
          <w:szCs w:val="20"/>
          <w:lang w:eastAsia=""/>
          <w14:ligatures w14:val="none"/>
        </w:rPr>
        <w:t xml:space="preserve"> (|SHAP| = 0.1409) and </w:t>
      </w:r>
      <w:r w:rsidRPr="00DA4677">
        <w:rPr>
          <w:rFonts w:ascii="Times New Roman" w:eastAsia="Times New Roman" w:hAnsi="Times New Roman" w:cs="Times New Roman"/>
          <w:i/>
          <w:iCs/>
          <w:kern w:val="0"/>
          <w:sz w:val="20"/>
          <w:szCs w:val="20"/>
          <w:lang w:eastAsia=""/>
          <w14:ligatures w14:val="none"/>
        </w:rPr>
        <w:t>PSA levels</w:t>
      </w:r>
      <w:r w:rsidRPr="00DA4677">
        <w:rPr>
          <w:rFonts w:ascii="Times New Roman" w:eastAsia="Times New Roman" w:hAnsi="Times New Roman" w:cs="Times New Roman"/>
          <w:kern w:val="0"/>
          <w:sz w:val="20"/>
          <w:szCs w:val="20"/>
          <w:lang w:eastAsia=""/>
          <w14:ligatures w14:val="none"/>
        </w:rPr>
        <w:t xml:space="preserve"> (|SHAP| = 0.1385), </w:t>
      </w:r>
      <w:r w:rsidRPr="00DA4677">
        <w:rPr>
          <w:rFonts w:ascii="Times New Roman" w:eastAsia="Times New Roman" w:hAnsi="Times New Roman" w:cs="Times New Roman"/>
          <w:kern w:val="0"/>
          <w:sz w:val="20"/>
          <w:szCs w:val="20"/>
          <w:lang w:eastAsia=""/>
        </w:rPr>
        <w:t>have</w:t>
      </w:r>
      <w:r w:rsidRPr="00DA4677">
        <w:rPr>
          <w:rFonts w:ascii="Times New Roman" w:eastAsia="Times New Roman" w:hAnsi="Times New Roman" w:cs="Times New Roman"/>
          <w:kern w:val="0"/>
          <w:sz w:val="20"/>
          <w:szCs w:val="20"/>
          <w:lang w:eastAsia=""/>
          <w14:ligatures w14:val="none"/>
        </w:rPr>
        <w:t xml:space="preserve"> meaningful contributions, indicating that therapeutic response and biochemical markers interact in shaping survival outcomes. Clinical factors such as </w:t>
      </w:r>
      <w:r w:rsidRPr="00DA4677">
        <w:rPr>
          <w:rFonts w:ascii="Times New Roman" w:eastAsia="Times New Roman" w:hAnsi="Times New Roman" w:cs="Times New Roman"/>
          <w:i/>
          <w:iCs/>
          <w:kern w:val="0"/>
          <w:sz w:val="20"/>
          <w:szCs w:val="20"/>
          <w:lang w:eastAsia=""/>
          <w14:ligatures w14:val="none"/>
        </w:rPr>
        <w:t>age</w:t>
      </w:r>
      <w:r w:rsidRPr="00DA4677">
        <w:rPr>
          <w:rFonts w:ascii="Times New Roman" w:eastAsia="Times New Roman" w:hAnsi="Times New Roman" w:cs="Times New Roman"/>
          <w:kern w:val="0"/>
          <w:sz w:val="20"/>
          <w:szCs w:val="20"/>
          <w:lang w:eastAsia=""/>
          <w14:ligatures w14:val="none"/>
        </w:rPr>
        <w:t xml:space="preserve"> and </w:t>
      </w:r>
      <w:r w:rsidRPr="00DA4677">
        <w:rPr>
          <w:rFonts w:ascii="Times New Roman" w:eastAsia="Times New Roman" w:hAnsi="Times New Roman" w:cs="Times New Roman"/>
          <w:i/>
          <w:iCs/>
          <w:kern w:val="0"/>
          <w:sz w:val="20"/>
          <w:szCs w:val="20"/>
          <w:lang w:eastAsia=""/>
          <w14:ligatures w14:val="none"/>
        </w:rPr>
        <w:t>hormone therapy</w:t>
      </w:r>
      <w:r w:rsidRPr="00DA4677">
        <w:rPr>
          <w:rFonts w:ascii="Times New Roman" w:eastAsia="Times New Roman" w:hAnsi="Times New Roman" w:cs="Times New Roman"/>
          <w:kern w:val="0"/>
          <w:sz w:val="20"/>
          <w:szCs w:val="20"/>
          <w:lang w:eastAsia=""/>
          <w14:ligatures w14:val="none"/>
        </w:rPr>
        <w:t xml:space="preserve"> had moderate importance (|SHAP| ≈ 0.10 and 0.0757, respectively), </w:t>
      </w:r>
      <w:r w:rsidRPr="00DA4677">
        <w:rPr>
          <w:rFonts w:ascii="Times New Roman" w:eastAsia="Times New Roman" w:hAnsi="Times New Roman" w:cs="Times New Roman"/>
          <w:kern w:val="0"/>
          <w:sz w:val="20"/>
          <w:szCs w:val="20"/>
          <w:lang w:eastAsia=""/>
        </w:rPr>
        <w:t>whereas</w:t>
      </w:r>
      <w:r w:rsidRPr="00DA4677">
        <w:rPr>
          <w:rFonts w:ascii="Times New Roman" w:eastAsia="Times New Roman" w:hAnsi="Times New Roman" w:cs="Times New Roman"/>
          <w:kern w:val="0"/>
          <w:sz w:val="20"/>
          <w:szCs w:val="20"/>
          <w:lang w:eastAsia=""/>
          <w14:ligatures w14:val="none"/>
        </w:rPr>
        <w:t xml:space="preserve"> </w:t>
      </w:r>
      <w:r w:rsidRPr="00DA4677">
        <w:rPr>
          <w:rFonts w:ascii="Times New Roman" w:eastAsia="Times New Roman" w:hAnsi="Times New Roman" w:cs="Times New Roman"/>
          <w:i/>
          <w:iCs/>
          <w:kern w:val="0"/>
          <w:sz w:val="20"/>
          <w:szCs w:val="20"/>
          <w:lang w:eastAsia=""/>
          <w14:ligatures w14:val="none"/>
        </w:rPr>
        <w:t>radiation therapy</w:t>
      </w:r>
      <w:r w:rsidRPr="00DA4677">
        <w:rPr>
          <w:rFonts w:ascii="Times New Roman" w:eastAsia="Times New Roman" w:hAnsi="Times New Roman" w:cs="Times New Roman"/>
          <w:kern w:val="0"/>
          <w:sz w:val="20"/>
          <w:szCs w:val="20"/>
          <w:lang w:eastAsia=""/>
          <w14:ligatures w14:val="none"/>
        </w:rPr>
        <w:t xml:space="preserve">, </w:t>
      </w:r>
      <w:r w:rsidRPr="00DA4677">
        <w:rPr>
          <w:rFonts w:ascii="Times New Roman" w:eastAsia="Times New Roman" w:hAnsi="Times New Roman" w:cs="Times New Roman"/>
          <w:i/>
          <w:iCs/>
          <w:kern w:val="0"/>
          <w:sz w:val="20"/>
          <w:szCs w:val="20"/>
          <w:lang w:eastAsia=""/>
          <w14:ligatures w14:val="none"/>
        </w:rPr>
        <w:t>cancer stage</w:t>
      </w:r>
      <w:r w:rsidRPr="00DA4677">
        <w:rPr>
          <w:rFonts w:ascii="Times New Roman" w:eastAsia="Times New Roman" w:hAnsi="Times New Roman" w:cs="Times New Roman"/>
          <w:kern w:val="0"/>
          <w:sz w:val="20"/>
          <w:szCs w:val="20"/>
          <w:lang w:eastAsia=""/>
          <w14:ligatures w14:val="none"/>
        </w:rPr>
        <w:t xml:space="preserve">, and </w:t>
      </w:r>
      <w:r w:rsidRPr="00DA4677">
        <w:rPr>
          <w:rFonts w:ascii="Times New Roman" w:eastAsia="Times New Roman" w:hAnsi="Times New Roman" w:cs="Times New Roman"/>
          <w:i/>
          <w:iCs/>
          <w:kern w:val="0"/>
          <w:sz w:val="20"/>
          <w:szCs w:val="20"/>
          <w:lang w:eastAsia=""/>
          <w14:ligatures w14:val="none"/>
        </w:rPr>
        <w:t>lymph node involvement</w:t>
      </w:r>
      <w:r w:rsidRPr="00DA4677">
        <w:rPr>
          <w:rFonts w:ascii="Times New Roman" w:eastAsia="Times New Roman" w:hAnsi="Times New Roman" w:cs="Times New Roman"/>
          <w:kern w:val="0"/>
          <w:sz w:val="20"/>
          <w:szCs w:val="20"/>
          <w:lang w:eastAsia=""/>
          <w14:ligatures w14:val="none"/>
        </w:rPr>
        <w:t xml:space="preserve"> </w:t>
      </w:r>
      <w:r w:rsidRPr="00DA4677">
        <w:rPr>
          <w:rFonts w:ascii="Times New Roman" w:eastAsia="Times New Roman" w:hAnsi="Times New Roman" w:cs="Times New Roman"/>
          <w:kern w:val="0"/>
          <w:sz w:val="20"/>
          <w:szCs w:val="20"/>
          <w:lang w:eastAsia=""/>
        </w:rPr>
        <w:t>had</w:t>
      </w:r>
      <w:r w:rsidRPr="00DA4677">
        <w:rPr>
          <w:rFonts w:ascii="Times New Roman" w:eastAsia="Times New Roman" w:hAnsi="Times New Roman" w:cs="Times New Roman"/>
          <w:kern w:val="0"/>
          <w:sz w:val="20"/>
          <w:szCs w:val="20"/>
          <w:lang w:eastAsia=""/>
          <w14:ligatures w14:val="none"/>
        </w:rPr>
        <w:t xml:space="preserve"> relatively lower but </w:t>
      </w:r>
      <w:r w:rsidRPr="00DA4677">
        <w:rPr>
          <w:rFonts w:ascii="Times New Roman" w:eastAsia="Times New Roman" w:hAnsi="Times New Roman" w:cs="Times New Roman"/>
          <w:kern w:val="0"/>
          <w:sz w:val="20"/>
          <w:szCs w:val="20"/>
          <w:lang w:eastAsia=""/>
        </w:rPr>
        <w:t>nonnegligible</w:t>
      </w:r>
      <w:r w:rsidRPr="00DA4677">
        <w:rPr>
          <w:rFonts w:ascii="Times New Roman" w:eastAsia="Times New Roman" w:hAnsi="Times New Roman" w:cs="Times New Roman"/>
          <w:kern w:val="0"/>
          <w:sz w:val="20"/>
          <w:szCs w:val="20"/>
          <w:lang w:eastAsia=""/>
          <w14:ligatures w14:val="none"/>
        </w:rPr>
        <w:t xml:space="preserve"> impacts.</w:t>
      </w:r>
    </w:p>
    <w:p w14:paraId="4DE86458" w14:textId="77777777" w:rsidR="00612B51" w:rsidRPr="00DA4677" w:rsidRDefault="001D4AFD" w:rsidP="00774E50">
      <w:pPr>
        <w:pStyle w:val="Heading2"/>
        <w:spacing w:before="0" w:after="0"/>
        <w:rPr>
          <w:rFonts w:ascii="Times New Roman" w:hAnsi="Times New Roman" w:cs="Times New Roman"/>
          <w:color w:val="auto"/>
          <w:sz w:val="20"/>
          <w:szCs w:val="20"/>
        </w:rPr>
      </w:pPr>
      <w:r w:rsidRPr="00DA4677">
        <w:rPr>
          <w:rFonts w:ascii="Times New Roman" w:hAnsi="Times New Roman" w:cs="Times New Roman"/>
          <w:color w:val="auto"/>
          <w:sz w:val="20"/>
          <w:szCs w:val="20"/>
        </w:rPr>
        <w:t>Table 3. Global SHAP Importance (Mean |SHAP| on Linear Predictor)</w:t>
      </w:r>
    </w:p>
    <w:tbl>
      <w:tblPr>
        <w:tblW w:w="0" w:type="auto"/>
        <w:jc w:val="center"/>
        <w:tblLayout w:type="fixed"/>
        <w:tblLook w:val="0420" w:firstRow="1" w:lastRow="0" w:firstColumn="0" w:lastColumn="0" w:noHBand="0" w:noVBand="1"/>
      </w:tblPr>
      <w:tblGrid>
        <w:gridCol w:w="924"/>
        <w:gridCol w:w="2649"/>
        <w:gridCol w:w="2983"/>
      </w:tblGrid>
      <w:tr w:rsidR="00DA4677" w:rsidRPr="00DA4677" w14:paraId="55496C4B" w14:textId="77777777" w:rsidTr="007C013F">
        <w:trPr>
          <w:tblHeader/>
          <w:jc w:val="center"/>
        </w:trPr>
        <w:tc>
          <w:tcPr>
            <w:tcW w:w="92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75E5F28"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b/>
                <w:sz w:val="20"/>
                <w:szCs w:val="20"/>
              </w:rPr>
            </w:pPr>
            <w:r w:rsidRPr="00DA4677">
              <w:rPr>
                <w:rFonts w:ascii="Times New Roman" w:eastAsia="Arial" w:hAnsi="Times New Roman" w:cs="Times New Roman"/>
                <w:b/>
                <w:sz w:val="20"/>
                <w:szCs w:val="20"/>
              </w:rPr>
              <w:t>Rank</w:t>
            </w:r>
          </w:p>
        </w:tc>
        <w:tc>
          <w:tcPr>
            <w:tcW w:w="264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A755D8B"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b/>
                <w:sz w:val="20"/>
                <w:szCs w:val="20"/>
              </w:rPr>
            </w:pPr>
            <w:r w:rsidRPr="00DA4677">
              <w:rPr>
                <w:rFonts w:ascii="Times New Roman" w:eastAsia="Arial" w:hAnsi="Times New Roman" w:cs="Times New Roman"/>
                <w:b/>
                <w:sz w:val="20"/>
                <w:szCs w:val="20"/>
              </w:rPr>
              <w:t>Variable</w:t>
            </w:r>
          </w:p>
        </w:tc>
        <w:tc>
          <w:tcPr>
            <w:tcW w:w="298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392796E"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b/>
                <w:sz w:val="20"/>
                <w:szCs w:val="20"/>
              </w:rPr>
            </w:pPr>
            <w:r w:rsidRPr="00DA4677">
              <w:rPr>
                <w:rFonts w:ascii="Times New Roman" w:eastAsia="Arial" w:hAnsi="Times New Roman" w:cs="Times New Roman"/>
                <w:b/>
                <w:sz w:val="20"/>
                <w:szCs w:val="20"/>
              </w:rPr>
              <w:t>Mean |SHAP| (log-hazard)</w:t>
            </w:r>
          </w:p>
        </w:tc>
      </w:tr>
      <w:tr w:rsidR="00DA4677" w:rsidRPr="00DA4677" w14:paraId="4FD94926" w14:textId="77777777" w:rsidTr="007C013F">
        <w:trPr>
          <w:jc w:val="center"/>
        </w:trPr>
        <w:tc>
          <w:tcPr>
            <w:tcW w:w="92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7CCC527B"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1</w:t>
            </w:r>
          </w:p>
        </w:tc>
        <w:tc>
          <w:tcPr>
            <w:tcW w:w="264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58545B3"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tumor_size_cm</w:t>
            </w:r>
            <w:proofErr w:type="spellEnd"/>
          </w:p>
        </w:tc>
        <w:tc>
          <w:tcPr>
            <w:tcW w:w="298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4CFB82C"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0.2015</w:t>
            </w:r>
          </w:p>
        </w:tc>
      </w:tr>
      <w:tr w:rsidR="00DA4677" w:rsidRPr="00DA4677" w14:paraId="6DA5E6A3"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5DD8167D"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2</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45E39187"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gleason_score</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4652B2E5"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0.1591</w:t>
            </w:r>
          </w:p>
        </w:tc>
      </w:tr>
      <w:tr w:rsidR="00DA4677" w:rsidRPr="00DA4677" w14:paraId="46598FD5"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108DE731"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3</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2EEAEC8A"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r w:rsidRPr="00DA4677">
              <w:rPr>
                <w:rFonts w:ascii="Times New Roman" w:eastAsia="Arial" w:hAnsi="Times New Roman" w:cs="Times New Roman"/>
                <w:sz w:val="20"/>
                <w:szCs w:val="20"/>
              </w:rPr>
              <w:t>chemotherapy</w:t>
            </w:r>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05812448"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0.1409</w:t>
            </w:r>
          </w:p>
        </w:tc>
      </w:tr>
      <w:tr w:rsidR="00DA4677" w:rsidRPr="00DA4677" w14:paraId="2F3B10F9"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74EFC8A0"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4</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2DF091B2"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psa_levels</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01121EFA"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0.1385</w:t>
            </w:r>
          </w:p>
        </w:tc>
      </w:tr>
      <w:tr w:rsidR="00DA4677" w:rsidRPr="00DA4677" w14:paraId="1D7B4149"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0806E41F"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5</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0B6A3911"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r w:rsidRPr="00DA4677">
              <w:rPr>
                <w:rFonts w:ascii="Times New Roman" w:eastAsia="Arial" w:hAnsi="Times New Roman" w:cs="Times New Roman"/>
                <w:sz w:val="20"/>
                <w:szCs w:val="20"/>
              </w:rPr>
              <w:t>age</w:t>
            </w:r>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051BFB10"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0.1041</w:t>
            </w:r>
          </w:p>
        </w:tc>
      </w:tr>
      <w:tr w:rsidR="00DA4677" w:rsidRPr="00DA4677" w14:paraId="7E91701B"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1C844CA6"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6</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1A7D4433"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hormone_therapy</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52AE2A16"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0.0757</w:t>
            </w:r>
          </w:p>
        </w:tc>
      </w:tr>
      <w:tr w:rsidR="00DA4677" w:rsidRPr="00DA4677" w14:paraId="4A44688C"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2C86C9B9"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7</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49F5993F"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radiation_therapy</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6E04D3F6"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0.0654</w:t>
            </w:r>
          </w:p>
        </w:tc>
      </w:tr>
      <w:tr w:rsidR="00DA4677" w:rsidRPr="00DA4677" w14:paraId="332CF418"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3D6B9727"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8</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63929A44"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cancer_stage</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0A352083"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0.0649</w:t>
            </w:r>
          </w:p>
        </w:tc>
      </w:tr>
      <w:tr w:rsidR="00DA4677" w:rsidRPr="00DA4677" w14:paraId="6B1748C7" w14:textId="77777777" w:rsidTr="007C013F">
        <w:trPr>
          <w:jc w:val="center"/>
        </w:trPr>
        <w:tc>
          <w:tcPr>
            <w:tcW w:w="92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E9D0087"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9</w:t>
            </w:r>
          </w:p>
        </w:tc>
        <w:tc>
          <w:tcPr>
            <w:tcW w:w="264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82A23A5" w14:textId="77777777" w:rsidR="00612B51" w:rsidRPr="00DA4677" w:rsidRDefault="001D4AFD"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lymph_nodes_involved</w:t>
            </w:r>
            <w:proofErr w:type="spellEnd"/>
          </w:p>
        </w:tc>
        <w:tc>
          <w:tcPr>
            <w:tcW w:w="298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3A63A4D" w14:textId="77777777" w:rsidR="00612B51" w:rsidRPr="00DA4677" w:rsidRDefault="001D4AFD"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0.0488</w:t>
            </w:r>
          </w:p>
        </w:tc>
      </w:tr>
    </w:tbl>
    <w:p w14:paraId="774FEBF5" w14:textId="77777777" w:rsidR="00612B51" w:rsidRPr="00DA4677" w:rsidRDefault="001D4AFD"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hAnsi="Times New Roman" w:cs="Times New Roman"/>
          <w:noProof/>
          <w:sz w:val="20"/>
          <w:szCs w:val="20"/>
        </w:rPr>
        <w:lastRenderedPageBreak/>
        <w:drawing>
          <wp:inline distT="0" distB="0" distL="0" distR="0" wp14:anchorId="5494E231" wp14:editId="133F358A">
            <wp:extent cx="5730240" cy="311440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rotWithShape="1">
                    <a:blip r:embed="rId11"/>
                    <a:srcRect t="6661"/>
                    <a:stretch>
                      <a:fillRect/>
                    </a:stretch>
                  </pic:blipFill>
                  <pic:spPr bwMode="auto">
                    <a:xfrm>
                      <a:off x="0" y="0"/>
                      <a:ext cx="5735722" cy="3117382"/>
                    </a:xfrm>
                    <a:prstGeom prst="rect">
                      <a:avLst/>
                    </a:prstGeom>
                    <a:noFill/>
                    <a:ln>
                      <a:noFill/>
                    </a:ln>
                    <a:extLst>
                      <a:ext uri="{53640926-AAD7-44D8-BBD7-CCE9431645EC}">
                        <a14:shadowObscured xmlns:a14="http://schemas.microsoft.com/office/drawing/2010/main"/>
                      </a:ext>
                    </a:extLst>
                  </pic:spPr>
                </pic:pic>
              </a:graphicData>
            </a:graphic>
          </wp:inline>
        </w:drawing>
      </w:r>
    </w:p>
    <w:p w14:paraId="5DF79EBE" w14:textId="0839E567" w:rsidR="00612B51" w:rsidRPr="005469AE" w:rsidRDefault="001D4AFD" w:rsidP="005469AE">
      <w:pPr>
        <w:pStyle w:val="Heading2"/>
        <w:rPr>
          <w:rFonts w:ascii="Times New Roman" w:hAnsi="Times New Roman" w:cs="Times New Roman"/>
          <w:color w:val="auto"/>
          <w:sz w:val="20"/>
          <w:szCs w:val="20"/>
        </w:rPr>
      </w:pPr>
      <w:r w:rsidRPr="00DA4677">
        <w:rPr>
          <w:rFonts w:ascii="Times New Roman" w:hAnsi="Times New Roman" w:cs="Times New Roman"/>
          <w:color w:val="auto"/>
          <w:sz w:val="20"/>
          <w:szCs w:val="20"/>
        </w:rPr>
        <w:t>Figure 7. Global SHAP Importance Bar Plot</w:t>
      </w:r>
    </w:p>
    <w:p w14:paraId="19786DE4" w14:textId="1799064B" w:rsidR="00612B51" w:rsidRPr="00DA4677" w:rsidRDefault="001D4AFD"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The </w:t>
      </w:r>
      <w:r w:rsidRPr="00DA4677">
        <w:rPr>
          <w:rFonts w:ascii="Times New Roman" w:eastAsia="Times New Roman" w:hAnsi="Times New Roman" w:cs="Times New Roman"/>
          <w:b/>
          <w:bCs/>
          <w:kern w:val="0"/>
          <w:sz w:val="20"/>
          <w:szCs w:val="20"/>
          <w:lang w:eastAsia=""/>
          <w14:ligatures w14:val="none"/>
        </w:rPr>
        <w:t xml:space="preserve">SHAP </w:t>
      </w:r>
      <w:proofErr w:type="spellStart"/>
      <w:r w:rsidRPr="00DA4677">
        <w:rPr>
          <w:rFonts w:ascii="Times New Roman" w:eastAsia="Times New Roman" w:hAnsi="Times New Roman" w:cs="Times New Roman"/>
          <w:b/>
          <w:bCs/>
          <w:kern w:val="0"/>
          <w:sz w:val="20"/>
          <w:szCs w:val="20"/>
          <w:lang w:eastAsia=""/>
        </w:rPr>
        <w:t>beeswarm</w:t>
      </w:r>
      <w:proofErr w:type="spellEnd"/>
      <w:r w:rsidRPr="00DA4677">
        <w:rPr>
          <w:rFonts w:ascii="Times New Roman" w:eastAsia="Times New Roman" w:hAnsi="Times New Roman" w:cs="Times New Roman"/>
          <w:b/>
          <w:bCs/>
          <w:kern w:val="0"/>
          <w:sz w:val="20"/>
          <w:szCs w:val="20"/>
          <w:lang w:eastAsia=""/>
        </w:rPr>
        <w:t xml:space="preserve"> plot</w:t>
      </w:r>
      <w:r w:rsidRPr="00DA4677">
        <w:rPr>
          <w:rFonts w:ascii="Times New Roman" w:eastAsia="Times New Roman" w:hAnsi="Times New Roman" w:cs="Times New Roman"/>
          <w:b/>
          <w:bCs/>
          <w:kern w:val="0"/>
          <w:sz w:val="20"/>
          <w:szCs w:val="20"/>
          <w:lang w:eastAsia=""/>
          <w14:ligatures w14:val="none"/>
        </w:rPr>
        <w:t xml:space="preserve"> (Figure </w:t>
      </w:r>
      <w:r w:rsidR="005469AE">
        <w:rPr>
          <w:rFonts w:ascii="Times New Roman" w:eastAsia="Times New Roman" w:hAnsi="Times New Roman" w:cs="Times New Roman"/>
          <w:b/>
          <w:bCs/>
          <w:kern w:val="0"/>
          <w:sz w:val="20"/>
          <w:szCs w:val="20"/>
          <w:lang w:eastAsia=""/>
          <w14:ligatures w14:val="none"/>
        </w:rPr>
        <w:t>8</w:t>
      </w:r>
      <w:r w:rsidRPr="00DA4677">
        <w:rPr>
          <w:rFonts w:ascii="Times New Roman" w:eastAsia="Times New Roman" w:hAnsi="Times New Roman" w:cs="Times New Roman"/>
          <w:b/>
          <w:bCs/>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 xml:space="preserve"> visualizes how individual patients’ predictor values influence the model’s log</w:t>
      </w:r>
      <w:r w:rsidRPr="00DA4677">
        <w:rPr>
          <w:rFonts w:ascii="Times New Roman" w:eastAsia="Times New Roman" w:hAnsi="Times New Roman" w:cs="Times New Roman"/>
          <w:kern w:val="0"/>
          <w:sz w:val="20"/>
          <w:szCs w:val="20"/>
          <w:lang w:eastAsia=""/>
        </w:rPr>
        <w:t xml:space="preserve"> </w:t>
      </w:r>
      <w:r w:rsidRPr="00DA4677">
        <w:rPr>
          <w:rFonts w:ascii="Times New Roman" w:eastAsia="Times New Roman" w:hAnsi="Times New Roman" w:cs="Times New Roman"/>
          <w:kern w:val="0"/>
          <w:sz w:val="20"/>
          <w:szCs w:val="20"/>
          <w:lang w:eastAsia=""/>
          <w14:ligatures w14:val="none"/>
        </w:rPr>
        <w:t>hazard output. Each dot represents a patient-level SHAP contribution for a given variable. The red</w:t>
      </w:r>
      <w:r w:rsidR="005469AE">
        <w:rPr>
          <w:rFonts w:ascii="Times New Roman" w:eastAsia="Times New Roman" w:hAnsi="Times New Roman" w:cs="Times New Roman"/>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 xml:space="preserve">blue gradient shows the numeric scale of each predictor. Notably, </w:t>
      </w:r>
      <w:r w:rsidRPr="00DA4677">
        <w:rPr>
          <w:rFonts w:ascii="Times New Roman" w:eastAsia="Times New Roman" w:hAnsi="Times New Roman" w:cs="Times New Roman"/>
          <w:i/>
          <w:iCs/>
          <w:kern w:val="0"/>
          <w:sz w:val="20"/>
          <w:szCs w:val="20"/>
          <w:lang w:eastAsia=""/>
          <w14:ligatures w14:val="none"/>
        </w:rPr>
        <w:t>larger tumor sizes</w:t>
      </w:r>
      <w:r w:rsidRPr="00DA4677">
        <w:rPr>
          <w:rFonts w:ascii="Times New Roman" w:eastAsia="Times New Roman" w:hAnsi="Times New Roman" w:cs="Times New Roman"/>
          <w:kern w:val="0"/>
          <w:sz w:val="20"/>
          <w:szCs w:val="20"/>
          <w:lang w:eastAsia=""/>
          <w14:ligatures w14:val="none"/>
        </w:rPr>
        <w:t xml:space="preserve"> (blue gradient in the top panel) corresponded to higher positive SHAP values, indicating </w:t>
      </w:r>
      <w:r w:rsidRPr="00DA4677">
        <w:rPr>
          <w:rFonts w:ascii="Times New Roman" w:eastAsia="Times New Roman" w:hAnsi="Times New Roman" w:cs="Times New Roman"/>
          <w:kern w:val="0"/>
          <w:sz w:val="20"/>
          <w:szCs w:val="20"/>
          <w:lang w:eastAsia=""/>
        </w:rPr>
        <w:t xml:space="preserve">an </w:t>
      </w:r>
      <w:r w:rsidRPr="00DA4677">
        <w:rPr>
          <w:rFonts w:ascii="Times New Roman" w:eastAsia="Times New Roman" w:hAnsi="Times New Roman" w:cs="Times New Roman"/>
          <w:kern w:val="0"/>
          <w:sz w:val="20"/>
          <w:szCs w:val="20"/>
          <w:lang w:eastAsia=""/>
          <w14:ligatures w14:val="none"/>
        </w:rPr>
        <w:t xml:space="preserve">increased hazard contribution. Conversely, </w:t>
      </w:r>
      <w:r w:rsidRPr="00DA4677">
        <w:rPr>
          <w:rFonts w:ascii="Times New Roman" w:eastAsia="Times New Roman" w:hAnsi="Times New Roman" w:cs="Times New Roman"/>
          <w:i/>
          <w:iCs/>
          <w:kern w:val="0"/>
          <w:sz w:val="20"/>
          <w:szCs w:val="20"/>
          <w:lang w:eastAsia=""/>
          <w14:ligatures w14:val="none"/>
        </w:rPr>
        <w:t>higher Gleason scores</w:t>
      </w:r>
      <w:r w:rsidRPr="00DA4677">
        <w:rPr>
          <w:rFonts w:ascii="Times New Roman" w:eastAsia="Times New Roman" w:hAnsi="Times New Roman" w:cs="Times New Roman"/>
          <w:kern w:val="0"/>
          <w:sz w:val="20"/>
          <w:szCs w:val="20"/>
          <w:lang w:eastAsia=""/>
          <w14:ligatures w14:val="none"/>
        </w:rPr>
        <w:t xml:space="preserve"> (red hues) consistently pushed the SHAP value toward the positive (right-hand) side, confirming their strong additive effect on mortality risk. The spread in </w:t>
      </w:r>
      <w:r w:rsidRPr="00DA4677">
        <w:rPr>
          <w:rFonts w:ascii="Times New Roman" w:eastAsia="Times New Roman" w:hAnsi="Times New Roman" w:cs="Times New Roman"/>
          <w:i/>
          <w:iCs/>
          <w:kern w:val="0"/>
          <w:sz w:val="20"/>
          <w:szCs w:val="20"/>
          <w:lang w:eastAsia=""/>
          <w14:ligatures w14:val="none"/>
        </w:rPr>
        <w:t>PSA levels</w:t>
      </w:r>
      <w:r w:rsidRPr="00DA4677">
        <w:rPr>
          <w:rFonts w:ascii="Times New Roman" w:eastAsia="Times New Roman" w:hAnsi="Times New Roman" w:cs="Times New Roman"/>
          <w:kern w:val="0"/>
          <w:sz w:val="20"/>
          <w:szCs w:val="20"/>
          <w:lang w:eastAsia=""/>
          <w14:ligatures w14:val="none"/>
        </w:rPr>
        <w:t xml:space="preserve"> and </w:t>
      </w:r>
      <w:r w:rsidRPr="00DA4677">
        <w:rPr>
          <w:rFonts w:ascii="Times New Roman" w:eastAsia="Times New Roman" w:hAnsi="Times New Roman" w:cs="Times New Roman"/>
          <w:i/>
          <w:iCs/>
          <w:kern w:val="0"/>
          <w:sz w:val="20"/>
          <w:szCs w:val="20"/>
          <w:lang w:eastAsia=""/>
          <w14:ligatures w14:val="none"/>
        </w:rPr>
        <w:t>chemotherapy</w:t>
      </w:r>
      <w:r w:rsidRPr="00DA4677">
        <w:rPr>
          <w:rFonts w:ascii="Times New Roman" w:eastAsia="Times New Roman" w:hAnsi="Times New Roman" w:cs="Times New Roman"/>
          <w:kern w:val="0"/>
          <w:sz w:val="20"/>
          <w:szCs w:val="20"/>
          <w:lang w:eastAsia=""/>
          <w14:ligatures w14:val="none"/>
        </w:rPr>
        <w:t xml:space="preserve"> suggests partial heterogeneity in treatment response and biomarker </w:t>
      </w:r>
      <w:r w:rsidR="005469AE">
        <w:rPr>
          <w:rFonts w:ascii="Times New Roman" w:eastAsia="Times New Roman" w:hAnsi="Times New Roman" w:cs="Times New Roman"/>
          <w:kern w:val="0"/>
          <w:sz w:val="20"/>
          <w:szCs w:val="20"/>
          <w:lang w:eastAsia=""/>
          <w14:ligatures w14:val="none"/>
        </w:rPr>
        <w:t xml:space="preserve">profiles, which gives </w:t>
      </w:r>
      <w:r w:rsidRPr="00DA4677">
        <w:rPr>
          <w:rFonts w:ascii="Times New Roman" w:eastAsia="Times New Roman" w:hAnsi="Times New Roman" w:cs="Times New Roman"/>
          <w:kern w:val="0"/>
          <w:sz w:val="20"/>
          <w:szCs w:val="20"/>
          <w:lang w:eastAsia=""/>
          <w14:ligatures w14:val="none"/>
        </w:rPr>
        <w:t>an insight unattainable from classical Cox regression alone.</w:t>
      </w:r>
    </w:p>
    <w:p w14:paraId="3C1C9460" w14:textId="195E3E08" w:rsidR="00612B51" w:rsidRPr="00DA4677" w:rsidRDefault="001D4AFD" w:rsidP="00612B51">
      <w:pPr>
        <w:spacing w:before="100" w:beforeAutospacing="1" w:after="100" w:afterAutospacing="1" w:line="240" w:lineRule="auto"/>
        <w:outlineLvl w:val="3"/>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 xml:space="preserve">Partial-Effect Relationships (Figure </w:t>
      </w:r>
      <w:r w:rsidR="001C5159">
        <w:rPr>
          <w:rFonts w:ascii="Times New Roman" w:eastAsia="Times New Roman" w:hAnsi="Times New Roman" w:cs="Times New Roman"/>
          <w:b/>
          <w:bCs/>
          <w:kern w:val="0"/>
          <w:sz w:val="20"/>
          <w:szCs w:val="20"/>
          <w:lang w:eastAsia=""/>
          <w14:ligatures w14:val="none"/>
        </w:rPr>
        <w:t>9</w:t>
      </w:r>
      <w:r w:rsidRPr="00DA4677">
        <w:rPr>
          <w:rFonts w:ascii="Times New Roman" w:eastAsia="Times New Roman" w:hAnsi="Times New Roman" w:cs="Times New Roman"/>
          <w:b/>
          <w:bCs/>
          <w:kern w:val="0"/>
          <w:sz w:val="20"/>
          <w:szCs w:val="20"/>
          <w:lang w:eastAsia=""/>
          <w14:ligatures w14:val="none"/>
        </w:rPr>
        <w:t>)</w:t>
      </w:r>
    </w:p>
    <w:p w14:paraId="2F750AD5" w14:textId="77777777" w:rsidR="00612B51" w:rsidRPr="00DA4677" w:rsidRDefault="001D4AFD"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The </w:t>
      </w:r>
      <w:r w:rsidRPr="00DA4677">
        <w:rPr>
          <w:rFonts w:ascii="Times New Roman" w:eastAsia="Times New Roman" w:hAnsi="Times New Roman" w:cs="Times New Roman"/>
          <w:b/>
          <w:bCs/>
          <w:kern w:val="0"/>
          <w:sz w:val="20"/>
          <w:szCs w:val="20"/>
          <w:lang w:eastAsia=""/>
        </w:rPr>
        <w:t>partial-effect plots</w:t>
      </w:r>
      <w:r w:rsidRPr="00DA4677">
        <w:rPr>
          <w:rFonts w:ascii="Times New Roman" w:eastAsia="Times New Roman" w:hAnsi="Times New Roman" w:cs="Times New Roman"/>
          <w:b/>
          <w:bCs/>
          <w:kern w:val="0"/>
          <w:sz w:val="20"/>
          <w:szCs w:val="20"/>
          <w:lang w:eastAsia=""/>
          <w14:ligatures w14:val="none"/>
        </w:rPr>
        <w:t xml:space="preserve"> (Figure 8)</w:t>
      </w:r>
      <w:r w:rsidRPr="00DA4677">
        <w:rPr>
          <w:rFonts w:ascii="Times New Roman" w:eastAsia="Times New Roman" w:hAnsi="Times New Roman" w:cs="Times New Roman"/>
          <w:kern w:val="0"/>
          <w:sz w:val="20"/>
          <w:szCs w:val="20"/>
          <w:lang w:eastAsia=""/>
          <w14:ligatures w14:val="none"/>
        </w:rPr>
        <w:t xml:space="preserve"> provide a nuanced understanding of nonlinear effects.</w:t>
      </w:r>
    </w:p>
    <w:p w14:paraId="382D4CB2" w14:textId="77777777" w:rsidR="00612B51" w:rsidRPr="001C5159" w:rsidRDefault="001D4AFD" w:rsidP="00612B51">
      <w:pPr>
        <w:numPr>
          <w:ilvl w:val="0"/>
          <w:numId w:val="3"/>
        </w:num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1C5159">
        <w:rPr>
          <w:rFonts w:ascii="Times New Roman" w:eastAsia="Times New Roman" w:hAnsi="Times New Roman" w:cs="Times New Roman"/>
          <w:kern w:val="0"/>
          <w:sz w:val="20"/>
          <w:szCs w:val="20"/>
          <w:lang w:eastAsia=""/>
          <w14:ligatures w14:val="none"/>
        </w:rPr>
        <w:t xml:space="preserve">Tumor </w:t>
      </w:r>
      <w:r w:rsidRPr="001C5159">
        <w:rPr>
          <w:rFonts w:ascii="Times New Roman" w:eastAsia="Times New Roman" w:hAnsi="Times New Roman" w:cs="Times New Roman"/>
          <w:kern w:val="0"/>
          <w:sz w:val="20"/>
          <w:szCs w:val="20"/>
          <w:lang w:eastAsia=""/>
        </w:rPr>
        <w:t>size</w:t>
      </w:r>
      <w:r w:rsidRPr="001C5159">
        <w:rPr>
          <w:rFonts w:ascii="Times New Roman" w:eastAsia="Times New Roman" w:hAnsi="Times New Roman" w:cs="Times New Roman"/>
          <w:kern w:val="0"/>
          <w:sz w:val="20"/>
          <w:szCs w:val="20"/>
          <w:lang w:eastAsia=""/>
          <w14:ligatures w14:val="none"/>
        </w:rPr>
        <w:t xml:space="preserve"> (</w:t>
      </w:r>
      <w:r w:rsidRPr="001C5159">
        <w:rPr>
          <w:rFonts w:ascii="Times New Roman" w:eastAsia="Times New Roman" w:hAnsi="Times New Roman" w:cs="Times New Roman"/>
          <w:kern w:val="0"/>
          <w:sz w:val="20"/>
          <w:szCs w:val="20"/>
          <w:lang w:eastAsia=""/>
        </w:rPr>
        <w:t>top</w:t>
      </w:r>
      <w:r w:rsidRPr="001C5159">
        <w:rPr>
          <w:rFonts w:ascii="Times New Roman" w:eastAsia="Times New Roman" w:hAnsi="Times New Roman" w:cs="Times New Roman"/>
          <w:kern w:val="0"/>
          <w:sz w:val="20"/>
          <w:szCs w:val="20"/>
          <w:lang w:eastAsia=""/>
          <w14:ligatures w14:val="none"/>
        </w:rPr>
        <w:t xml:space="preserve">-left panel): </w:t>
      </w:r>
      <w:r w:rsidRPr="001C5159">
        <w:rPr>
          <w:rFonts w:ascii="Times New Roman" w:eastAsia="Times New Roman" w:hAnsi="Times New Roman" w:cs="Times New Roman"/>
          <w:kern w:val="0"/>
          <w:sz w:val="20"/>
          <w:szCs w:val="20"/>
          <w:lang w:eastAsia=""/>
        </w:rPr>
        <w:t>A</w:t>
      </w:r>
      <w:r w:rsidRPr="001C5159">
        <w:rPr>
          <w:rFonts w:ascii="Times New Roman" w:eastAsia="Times New Roman" w:hAnsi="Times New Roman" w:cs="Times New Roman"/>
          <w:kern w:val="0"/>
          <w:sz w:val="20"/>
          <w:szCs w:val="20"/>
          <w:lang w:eastAsia=""/>
          <w14:ligatures w14:val="none"/>
        </w:rPr>
        <w:t xml:space="preserve"> U-shaped SHAP curve, indicating that both very small and very large tumors contribute to elevated risk, possibly reflecting diagnostic and biological heterogeneity. Moderate tumor sizes (~5 cm) corresponded to the lowest predicted hazard, aligning with the spline-derived protective effect (Table 1).</w:t>
      </w:r>
    </w:p>
    <w:p w14:paraId="3CE40ECC" w14:textId="77777777" w:rsidR="00612B51" w:rsidRPr="001C5159" w:rsidRDefault="001D4AFD" w:rsidP="00612B51">
      <w:pPr>
        <w:numPr>
          <w:ilvl w:val="0"/>
          <w:numId w:val="3"/>
        </w:num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1C5159">
        <w:rPr>
          <w:rFonts w:ascii="Times New Roman" w:eastAsia="Times New Roman" w:hAnsi="Times New Roman" w:cs="Times New Roman"/>
          <w:kern w:val="0"/>
          <w:sz w:val="20"/>
          <w:szCs w:val="20"/>
          <w:lang w:eastAsia=""/>
          <w14:ligatures w14:val="none"/>
        </w:rPr>
        <w:t xml:space="preserve">Gleason </w:t>
      </w:r>
      <w:r w:rsidRPr="001C5159">
        <w:rPr>
          <w:rFonts w:ascii="Times New Roman" w:eastAsia="Times New Roman" w:hAnsi="Times New Roman" w:cs="Times New Roman"/>
          <w:kern w:val="0"/>
          <w:sz w:val="20"/>
          <w:szCs w:val="20"/>
          <w:lang w:eastAsia=""/>
        </w:rPr>
        <w:t>score (top</w:t>
      </w:r>
      <w:r w:rsidRPr="001C5159">
        <w:rPr>
          <w:rFonts w:ascii="Times New Roman" w:eastAsia="Times New Roman" w:hAnsi="Times New Roman" w:cs="Times New Roman"/>
          <w:kern w:val="0"/>
          <w:sz w:val="20"/>
          <w:szCs w:val="20"/>
          <w:lang w:eastAsia=""/>
          <w14:ligatures w14:val="none"/>
        </w:rPr>
        <w:t xml:space="preserve">-right panel): </w:t>
      </w:r>
      <w:r w:rsidRPr="001C5159">
        <w:rPr>
          <w:rFonts w:ascii="Times New Roman" w:eastAsia="Times New Roman" w:hAnsi="Times New Roman" w:cs="Times New Roman"/>
          <w:kern w:val="0"/>
          <w:sz w:val="20"/>
          <w:szCs w:val="20"/>
          <w:lang w:eastAsia=""/>
        </w:rPr>
        <w:t>Monotonic</w:t>
      </w:r>
      <w:r w:rsidRPr="001C5159">
        <w:rPr>
          <w:rFonts w:ascii="Times New Roman" w:eastAsia="Times New Roman" w:hAnsi="Times New Roman" w:cs="Times New Roman"/>
          <w:kern w:val="0"/>
          <w:sz w:val="20"/>
          <w:szCs w:val="20"/>
          <w:lang w:eastAsia=""/>
          <w14:ligatures w14:val="none"/>
        </w:rPr>
        <w:t xml:space="preserve"> increasing relationship, where higher histologic grades (8–9) lead to higher SHAP values, confirming progressive risk escalation.</w:t>
      </w:r>
    </w:p>
    <w:p w14:paraId="1418828D" w14:textId="77777777" w:rsidR="00612B51" w:rsidRPr="00DA4677" w:rsidRDefault="001D4AFD" w:rsidP="00612B51">
      <w:pPr>
        <w:numPr>
          <w:ilvl w:val="0"/>
          <w:numId w:val="3"/>
        </w:num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1C5159">
        <w:rPr>
          <w:rFonts w:ascii="Times New Roman" w:eastAsia="Times New Roman" w:hAnsi="Times New Roman" w:cs="Times New Roman"/>
          <w:kern w:val="0"/>
          <w:sz w:val="20"/>
          <w:szCs w:val="20"/>
          <w:lang w:eastAsia=""/>
          <w14:ligatures w14:val="none"/>
        </w:rPr>
        <w:t xml:space="preserve">Chemotherapy and PSA </w:t>
      </w:r>
      <w:r w:rsidRPr="001C5159">
        <w:rPr>
          <w:rFonts w:ascii="Times New Roman" w:eastAsia="Times New Roman" w:hAnsi="Times New Roman" w:cs="Times New Roman"/>
          <w:kern w:val="0"/>
          <w:sz w:val="20"/>
          <w:szCs w:val="20"/>
          <w:lang w:eastAsia=""/>
        </w:rPr>
        <w:t>levels (bottom</w:t>
      </w:r>
      <w:r w:rsidRPr="001C5159">
        <w:rPr>
          <w:rFonts w:ascii="Times New Roman" w:eastAsia="Times New Roman" w:hAnsi="Times New Roman" w:cs="Times New Roman"/>
          <w:kern w:val="0"/>
          <w:sz w:val="20"/>
          <w:szCs w:val="20"/>
          <w:lang w:eastAsia=""/>
          <w14:ligatures w14:val="none"/>
        </w:rPr>
        <w:t xml:space="preserve"> panels): Reveal modest but consistent SHAP gradients, implying that treatment and biochemical markers influence survival synergistically</w:t>
      </w:r>
      <w:r w:rsidRPr="00DA4677">
        <w:rPr>
          <w:rFonts w:ascii="Times New Roman" w:eastAsia="Times New Roman" w:hAnsi="Times New Roman" w:cs="Times New Roman"/>
          <w:kern w:val="0"/>
          <w:sz w:val="20"/>
          <w:szCs w:val="20"/>
          <w:lang w:eastAsia=""/>
          <w14:ligatures w14:val="none"/>
        </w:rPr>
        <w:t xml:space="preserve"> with histopathology and tumor volume.</w:t>
      </w:r>
    </w:p>
    <w:p w14:paraId="0B5517EB" w14:textId="77777777" w:rsidR="00612B51" w:rsidRPr="00DA4677" w:rsidRDefault="00612B51" w:rsidP="00612B51">
      <w:pPr>
        <w:spacing w:before="100" w:beforeAutospacing="1" w:after="100" w:afterAutospacing="1" w:line="240" w:lineRule="auto"/>
        <w:ind w:left="720"/>
        <w:rPr>
          <w:rFonts w:ascii="Times New Roman" w:eastAsia="Times New Roman" w:hAnsi="Times New Roman" w:cs="Times New Roman"/>
          <w:b/>
          <w:bCs/>
          <w:kern w:val="0"/>
          <w:sz w:val="20"/>
          <w:szCs w:val="20"/>
          <w:lang w:eastAsia=""/>
          <w14:ligatures w14:val="none"/>
        </w:rPr>
      </w:pPr>
    </w:p>
    <w:p w14:paraId="5A834ACA" w14:textId="77777777" w:rsidR="00612B51" w:rsidRPr="00DA4677" w:rsidRDefault="001D4AFD" w:rsidP="00612B51">
      <w:pPr>
        <w:spacing w:before="100" w:beforeAutospacing="1" w:after="100" w:afterAutospacing="1" w:line="240" w:lineRule="auto"/>
        <w:ind w:left="720"/>
        <w:rPr>
          <w:rFonts w:ascii="Times New Roman" w:eastAsia="Times New Roman" w:hAnsi="Times New Roman" w:cs="Times New Roman"/>
          <w:kern w:val="0"/>
          <w:sz w:val="20"/>
          <w:szCs w:val="20"/>
          <w:lang w:eastAsia=""/>
          <w14:ligatures w14:val="none"/>
        </w:rPr>
      </w:pPr>
      <w:r w:rsidRPr="00DA4677">
        <w:rPr>
          <w:rFonts w:ascii="Times New Roman" w:hAnsi="Times New Roman" w:cs="Times New Roman"/>
          <w:noProof/>
          <w:sz w:val="20"/>
          <w:szCs w:val="20"/>
        </w:rPr>
        <w:lastRenderedPageBreak/>
        <w:drawing>
          <wp:inline distT="0" distB="0" distL="0" distR="0" wp14:anchorId="620AC98D" wp14:editId="3D520200">
            <wp:extent cx="5731510" cy="34861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rotWithShape="1">
                    <a:blip r:embed="rId12"/>
                    <a:srcRect t="5345"/>
                    <a:stretch>
                      <a:fillRect/>
                    </a:stretch>
                  </pic:blipFill>
                  <pic:spPr bwMode="auto">
                    <a:xfrm>
                      <a:off x="0" y="0"/>
                      <a:ext cx="573151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1985E60A" w14:textId="1037B2EF" w:rsidR="00612B51" w:rsidRPr="00CD3BD5" w:rsidRDefault="001D4AFD" w:rsidP="00CD3BD5">
      <w:pPr>
        <w:pStyle w:val="Heading2"/>
        <w:spacing w:line="240" w:lineRule="auto"/>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8. SHAP </w:t>
      </w:r>
      <w:proofErr w:type="spellStart"/>
      <w:r w:rsidRPr="00DA4677">
        <w:rPr>
          <w:rFonts w:ascii="Times New Roman" w:hAnsi="Times New Roman" w:cs="Times New Roman"/>
          <w:color w:val="auto"/>
          <w:sz w:val="20"/>
          <w:szCs w:val="20"/>
        </w:rPr>
        <w:t>Beeswarm</w:t>
      </w:r>
      <w:proofErr w:type="spellEnd"/>
      <w:r w:rsidRPr="00DA4677">
        <w:rPr>
          <w:rFonts w:ascii="Times New Roman" w:hAnsi="Times New Roman" w:cs="Times New Roman"/>
          <w:color w:val="auto"/>
          <w:sz w:val="20"/>
          <w:szCs w:val="20"/>
        </w:rPr>
        <w:t xml:space="preserve"> Plot</w:t>
      </w:r>
    </w:p>
    <w:p w14:paraId="40D6CE4C" w14:textId="77777777" w:rsidR="00612B51" w:rsidRPr="00DA4677" w:rsidRDefault="001D4AFD" w:rsidP="00612B51">
      <w:pPr>
        <w:spacing w:before="100" w:beforeAutospacing="1" w:after="100" w:afterAutospacing="1" w:line="240" w:lineRule="auto"/>
        <w:outlineLvl w:val="3"/>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Integrative Interpretation</w:t>
      </w:r>
    </w:p>
    <w:p w14:paraId="0BB50A16" w14:textId="129F9C31" w:rsidR="00612B51" w:rsidRPr="00DA4677" w:rsidRDefault="001D4AFD"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When interpreted jointly, </w:t>
      </w:r>
      <w:r w:rsidRPr="00CD3BD5">
        <w:rPr>
          <w:rFonts w:ascii="Times New Roman" w:eastAsia="Times New Roman" w:hAnsi="Times New Roman" w:cs="Times New Roman"/>
          <w:kern w:val="0"/>
          <w:sz w:val="20"/>
          <w:szCs w:val="20"/>
          <w:lang w:eastAsia=""/>
          <w14:ligatures w14:val="none"/>
        </w:rPr>
        <w:t xml:space="preserve">Figures 7–9 illustrate that SHAP complements the Cox PH model by providing both global </w:t>
      </w:r>
      <w:r w:rsidRPr="00CD3BD5">
        <w:rPr>
          <w:rFonts w:ascii="Times New Roman" w:eastAsia="Times New Roman" w:hAnsi="Times New Roman" w:cs="Times New Roman"/>
          <w:kern w:val="0"/>
          <w:sz w:val="20"/>
          <w:szCs w:val="20"/>
          <w:lang w:eastAsia=""/>
        </w:rPr>
        <w:t>rankings</w:t>
      </w:r>
      <w:r w:rsidRPr="00CD3BD5">
        <w:rPr>
          <w:rFonts w:ascii="Times New Roman" w:eastAsia="Times New Roman" w:hAnsi="Times New Roman" w:cs="Times New Roman"/>
          <w:kern w:val="0"/>
          <w:sz w:val="20"/>
          <w:szCs w:val="20"/>
          <w:lang w:eastAsia=""/>
          <w14:ligatures w14:val="none"/>
        </w:rPr>
        <w:t xml:space="preserve"> and individualized insights. While Table 1 quantifies average hazard ratios, SHAP visualizations uncover heterogeneous patient-level effects, highlighting where risk factors exert nonlinear or interactive </w:t>
      </w:r>
      <w:r w:rsidR="00CD3BD5">
        <w:rPr>
          <w:rFonts w:ascii="Times New Roman" w:eastAsia="Times New Roman" w:hAnsi="Times New Roman" w:cs="Times New Roman"/>
          <w:kern w:val="0"/>
          <w:sz w:val="20"/>
          <w:szCs w:val="20"/>
          <w:lang w:eastAsia=""/>
          <w14:ligatures w14:val="none"/>
        </w:rPr>
        <w:t xml:space="preserve">influences. </w:t>
      </w:r>
      <w:r w:rsidRPr="00CD3BD5">
        <w:rPr>
          <w:rFonts w:ascii="Times New Roman" w:eastAsia="Times New Roman" w:hAnsi="Times New Roman" w:cs="Times New Roman"/>
          <w:kern w:val="0"/>
          <w:sz w:val="20"/>
          <w:szCs w:val="20"/>
          <w:lang w:eastAsia=""/>
          <w14:ligatures w14:val="none"/>
        </w:rPr>
        <w:t xml:space="preserve">Importantly, tumor size and Gleason score not only emerge as dominant predictors in both inferential and </w:t>
      </w:r>
      <w:proofErr w:type="spellStart"/>
      <w:r w:rsidRPr="00CD3BD5">
        <w:rPr>
          <w:rFonts w:ascii="Times New Roman" w:eastAsia="Times New Roman" w:hAnsi="Times New Roman" w:cs="Times New Roman"/>
          <w:kern w:val="0"/>
          <w:sz w:val="20"/>
          <w:szCs w:val="20"/>
          <w:lang w:eastAsia=""/>
          <w14:ligatures w14:val="none"/>
        </w:rPr>
        <w:t>explainability</w:t>
      </w:r>
      <w:proofErr w:type="spellEnd"/>
      <w:r w:rsidRPr="00CD3BD5">
        <w:rPr>
          <w:rFonts w:ascii="Times New Roman" w:eastAsia="Times New Roman" w:hAnsi="Times New Roman" w:cs="Times New Roman"/>
          <w:kern w:val="0"/>
          <w:sz w:val="20"/>
          <w:szCs w:val="20"/>
          <w:lang w:eastAsia=""/>
          <w14:ligatures w14:val="none"/>
        </w:rPr>
        <w:t xml:space="preserve"> analyses but also exhibit biologically plausible nonlinear </w:t>
      </w:r>
      <w:r w:rsidR="00CD3BD5">
        <w:rPr>
          <w:rFonts w:ascii="Times New Roman" w:eastAsia="Times New Roman" w:hAnsi="Times New Roman" w:cs="Times New Roman"/>
          <w:kern w:val="0"/>
          <w:sz w:val="20"/>
          <w:szCs w:val="20"/>
          <w:lang w:eastAsia=""/>
          <w14:ligatures w14:val="none"/>
        </w:rPr>
        <w:t xml:space="preserve">patterns, </w:t>
      </w:r>
      <w:r w:rsidRPr="00CD3BD5">
        <w:rPr>
          <w:rFonts w:ascii="Times New Roman" w:eastAsia="Times New Roman" w:hAnsi="Times New Roman" w:cs="Times New Roman"/>
          <w:kern w:val="0"/>
          <w:sz w:val="20"/>
          <w:szCs w:val="20"/>
          <w:lang w:eastAsia=""/>
          <w14:ligatures w14:val="none"/>
        </w:rPr>
        <w:t>affirming the validity of using restricted cubic splines</w:t>
      </w:r>
      <w:r w:rsidRPr="00DA4677">
        <w:rPr>
          <w:rFonts w:ascii="Times New Roman" w:eastAsia="Times New Roman" w:hAnsi="Times New Roman" w:cs="Times New Roman"/>
          <w:kern w:val="0"/>
          <w:sz w:val="20"/>
          <w:szCs w:val="20"/>
          <w:lang w:eastAsia=""/>
          <w14:ligatures w14:val="none"/>
        </w:rPr>
        <w:t xml:space="preserve"> to model these effects. The </w:t>
      </w:r>
      <w:proofErr w:type="spellStart"/>
      <w:r w:rsidRPr="00DA4677">
        <w:rPr>
          <w:rFonts w:ascii="Times New Roman" w:eastAsia="Times New Roman" w:hAnsi="Times New Roman" w:cs="Times New Roman"/>
          <w:kern w:val="0"/>
          <w:sz w:val="20"/>
          <w:szCs w:val="20"/>
          <w:lang w:eastAsia=""/>
          <w14:ligatures w14:val="none"/>
        </w:rPr>
        <w:t>explainability</w:t>
      </w:r>
      <w:proofErr w:type="spellEnd"/>
      <w:r w:rsidRPr="00DA4677">
        <w:rPr>
          <w:rFonts w:ascii="Times New Roman" w:eastAsia="Times New Roman" w:hAnsi="Times New Roman" w:cs="Times New Roman"/>
          <w:kern w:val="0"/>
          <w:sz w:val="20"/>
          <w:szCs w:val="20"/>
          <w:lang w:eastAsia=""/>
          <w14:ligatures w14:val="none"/>
        </w:rPr>
        <w:t xml:space="preserve"> component ensures that clinical stakeholders can interpret the model in transparent, evidence-based terms, supporting data-driven risk stratification and personalized treatment in prostate cancer management.</w:t>
      </w:r>
    </w:p>
    <w:p w14:paraId="3B50A49E" w14:textId="77777777" w:rsidR="003757C8" w:rsidRDefault="001D4AFD" w:rsidP="003757C8">
      <w:pPr>
        <w:rPr>
          <w:rFonts w:ascii="Times New Roman" w:eastAsia="Times New Roman" w:hAnsi="Times New Roman" w:cs="Times New Roman"/>
          <w:sz w:val="20"/>
          <w:szCs w:val="20"/>
          <w:lang w:eastAsia=""/>
        </w:rPr>
      </w:pPr>
      <w:r w:rsidRPr="00DA4677">
        <w:rPr>
          <w:rFonts w:ascii="Times New Roman" w:eastAsia="Times New Roman" w:hAnsi="Times New Roman" w:cs="Times New Roman"/>
          <w:sz w:val="20"/>
          <w:szCs w:val="20"/>
          <w:lang w:eastAsia=""/>
        </w:rPr>
        <w:t>The U-shaped tumor effect may partly reflect the uneven distribution of tumor sizes within the dataset, indicating the need for larger multicenter datasets to validate the threshold effects reported in this model.</w:t>
      </w:r>
      <w:r w:rsidR="00274234" w:rsidRPr="00DA4677">
        <w:rPr>
          <w:rFonts w:ascii="Times New Roman" w:hAnsi="Times New Roman" w:cs="Times New Roman"/>
          <w:sz w:val="20"/>
          <w:szCs w:val="20"/>
        </w:rPr>
        <w:t xml:space="preserve"> </w:t>
      </w:r>
      <w:r w:rsidR="00274234" w:rsidRPr="00DA4677">
        <w:rPr>
          <w:rFonts w:ascii="Times New Roman" w:eastAsia="Times New Roman" w:hAnsi="Times New Roman" w:cs="Times New Roman"/>
          <w:sz w:val="20"/>
          <w:szCs w:val="20"/>
          <w:lang w:eastAsia=""/>
        </w:rPr>
        <w:t>The U-shaped SHAP effect for tumor size may be influenced by unequal sample density across the tumor size distribution, indicating the need for larger or multicenter datasets to validate this curvature.</w:t>
      </w:r>
      <w:r w:rsidR="00274234" w:rsidRPr="00DA4677">
        <w:rPr>
          <w:rFonts w:ascii="Times New Roman" w:hAnsi="Times New Roman" w:cs="Times New Roman"/>
          <w:sz w:val="20"/>
          <w:szCs w:val="20"/>
        </w:rPr>
        <w:t xml:space="preserve"> </w:t>
      </w:r>
      <w:r w:rsidR="00274234" w:rsidRPr="00DA4677">
        <w:rPr>
          <w:rFonts w:ascii="Times New Roman" w:eastAsia="Times New Roman" w:hAnsi="Times New Roman" w:cs="Times New Roman"/>
          <w:sz w:val="20"/>
          <w:szCs w:val="20"/>
          <w:lang w:eastAsia=""/>
        </w:rPr>
        <w:t>The combined spline–SHAP approach demonstrates the value of integrating nonlinear modeling with transparent feature attribution to support interpretable oncology analytics.</w:t>
      </w:r>
    </w:p>
    <w:p w14:paraId="1FC804D6" w14:textId="7537AFA2" w:rsidR="00612B51" w:rsidRPr="00074DFF" w:rsidRDefault="00074DFF" w:rsidP="00074DFF">
      <w:pPr>
        <w:rPr>
          <w:rFonts w:ascii="Times New Roman" w:eastAsia="Times New Roman" w:hAnsi="Times New Roman" w:cs="Times New Roman"/>
          <w:sz w:val="20"/>
          <w:szCs w:val="20"/>
          <w:lang w:eastAsia=""/>
        </w:rPr>
      </w:pPr>
      <w:r>
        <w:rPr>
          <w:noProof/>
        </w:rPr>
        <w:drawing>
          <wp:inline distT="0" distB="0" distL="0" distR="0" wp14:anchorId="18548C83" wp14:editId="4EEDB967">
            <wp:extent cx="5731510" cy="1569085"/>
            <wp:effectExtent l="0" t="0" r="2540" b="0"/>
            <wp:docPr id="1143781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569085"/>
                    </a:xfrm>
                    <a:prstGeom prst="rect">
                      <a:avLst/>
                    </a:prstGeom>
                    <a:noFill/>
                    <a:ln>
                      <a:noFill/>
                    </a:ln>
                  </pic:spPr>
                </pic:pic>
              </a:graphicData>
            </a:graphic>
          </wp:inline>
        </w:drawing>
      </w:r>
    </w:p>
    <w:p w14:paraId="576E4B80" w14:textId="77777777" w:rsidR="00612B51" w:rsidRPr="00DA4677" w:rsidRDefault="001D4AFD" w:rsidP="00612B51">
      <w:pPr>
        <w:pStyle w:val="Heading2"/>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9. SHAP </w:t>
      </w:r>
      <w:r w:rsidRPr="00DA4677">
        <w:rPr>
          <w:rFonts w:ascii="Times New Roman" w:eastAsia="Times New Roman" w:hAnsi="Times New Roman" w:cs="Times New Roman"/>
          <w:color w:val="auto"/>
          <w:sz w:val="20"/>
          <w:szCs w:val="20"/>
        </w:rPr>
        <w:t>partial-effect plots for the top variables</w:t>
      </w:r>
    </w:p>
    <w:p w14:paraId="3D534B76" w14:textId="13C4E49C" w:rsidR="00612B51" w:rsidRDefault="001D4AFD"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The SHAP-augmented RCS Cox model </w:t>
      </w:r>
      <w:r w:rsidRPr="00DA4677">
        <w:rPr>
          <w:rFonts w:ascii="Times New Roman" w:eastAsia="Times New Roman" w:hAnsi="Times New Roman" w:cs="Times New Roman"/>
          <w:kern w:val="0"/>
          <w:sz w:val="20"/>
          <w:szCs w:val="20"/>
          <w:lang w:eastAsia=""/>
        </w:rPr>
        <w:t>confirmed</w:t>
      </w:r>
      <w:r w:rsidRPr="00DA4677">
        <w:rPr>
          <w:rFonts w:ascii="Times New Roman" w:eastAsia="Times New Roman" w:hAnsi="Times New Roman" w:cs="Times New Roman"/>
          <w:kern w:val="0"/>
          <w:sz w:val="20"/>
          <w:szCs w:val="20"/>
          <w:lang w:eastAsia=""/>
          <w14:ligatures w14:val="none"/>
        </w:rPr>
        <w:t xml:space="preserve"> that </w:t>
      </w:r>
      <w:r w:rsidRPr="00CD3BD5">
        <w:rPr>
          <w:rFonts w:ascii="Times New Roman" w:eastAsia="Times New Roman" w:hAnsi="Times New Roman" w:cs="Times New Roman"/>
          <w:kern w:val="0"/>
          <w:sz w:val="20"/>
          <w:szCs w:val="20"/>
          <w:lang w:eastAsia=""/>
          <w14:ligatures w14:val="none"/>
        </w:rPr>
        <w:t xml:space="preserve">tumor size and Gleason score are the principal determinants of prostate cancer survival in this Ghanaian cohort. SHAP analysis provides a </w:t>
      </w:r>
      <w:r w:rsidRPr="00CD3BD5">
        <w:rPr>
          <w:rFonts w:ascii="Times New Roman" w:eastAsia="Times New Roman" w:hAnsi="Times New Roman" w:cs="Times New Roman"/>
          <w:i/>
          <w:iCs/>
          <w:kern w:val="0"/>
          <w:sz w:val="20"/>
          <w:szCs w:val="20"/>
          <w:lang w:eastAsia=""/>
          <w14:ligatures w14:val="none"/>
        </w:rPr>
        <w:t>mechanistic view</w:t>
      </w:r>
      <w:r w:rsidRPr="00CD3BD5">
        <w:rPr>
          <w:rFonts w:ascii="Times New Roman" w:eastAsia="Times New Roman" w:hAnsi="Times New Roman" w:cs="Times New Roman"/>
          <w:kern w:val="0"/>
          <w:sz w:val="20"/>
          <w:szCs w:val="20"/>
          <w:lang w:eastAsia=""/>
          <w14:ligatures w14:val="none"/>
        </w:rPr>
        <w:t xml:space="preserve"> of how each covariate influences risk both globally and individually, revealing nonlinear dependencies and treatment interactions. This dual </w:t>
      </w:r>
      <w:r w:rsidR="00CD3BD5">
        <w:rPr>
          <w:rFonts w:ascii="Times New Roman" w:eastAsia="Times New Roman" w:hAnsi="Times New Roman" w:cs="Times New Roman"/>
          <w:kern w:val="0"/>
          <w:sz w:val="20"/>
          <w:szCs w:val="20"/>
          <w:lang w:eastAsia=""/>
          <w14:ligatures w14:val="none"/>
        </w:rPr>
        <w:t xml:space="preserve">statistically </w:t>
      </w:r>
      <w:r w:rsidRPr="00CD3BD5">
        <w:rPr>
          <w:rFonts w:ascii="Times New Roman" w:eastAsia="Times New Roman" w:hAnsi="Times New Roman" w:cs="Times New Roman"/>
          <w:kern w:val="0"/>
          <w:sz w:val="20"/>
          <w:szCs w:val="20"/>
          <w:lang w:eastAsia=""/>
          <w14:ligatures w14:val="none"/>
        </w:rPr>
        <w:t>explainable approach advances the interpretability of survival models and establishes a reproducible framework for precision oncology and prognostic modeling in resource-constrained clinical settings.</w:t>
      </w:r>
    </w:p>
    <w:p w14:paraId="6EEE0997" w14:textId="7CBE698C" w:rsidR="00CD5226" w:rsidRPr="00CD3BD5" w:rsidRDefault="00CD5226" w:rsidP="00CD5226">
      <w:pPr>
        <w:spacing w:before="100" w:beforeAutospacing="1" w:after="100" w:afterAutospacing="1" w:line="240" w:lineRule="auto"/>
        <w:jc w:val="both"/>
        <w:rPr>
          <w:rFonts w:ascii="Times New Roman" w:eastAsia="Times New Roman" w:hAnsi="Times New Roman" w:cs="Times New Roman"/>
          <w:kern w:val="0"/>
          <w:sz w:val="20"/>
          <w:szCs w:val="20"/>
          <w:lang w:eastAsia=""/>
          <w14:ligatures w14:val="none"/>
        </w:rPr>
      </w:pPr>
      <w:r w:rsidRPr="00CD5226">
        <w:rPr>
          <w:rFonts w:ascii="Times New Roman" w:eastAsia="Times New Roman" w:hAnsi="Times New Roman" w:cs="Times New Roman"/>
          <w:kern w:val="0"/>
          <w:sz w:val="20"/>
          <w:szCs w:val="20"/>
          <w:highlight w:val="yellow"/>
          <w:lang w:eastAsia=""/>
          <w14:ligatures w14:val="none"/>
        </w:rPr>
        <w:lastRenderedPageBreak/>
        <w:t>Although the hazard ratio for Gleason score appears marginally protective (HR = 0.85), this reflects the model coding structure and reference scaling. SHAP analysis and nonlinear diagnostics consistently demonstrate that higher Gleason scores contribute positively to mortality risk, exhibiting a monotonic risk escalation pattern. Therefore, the overall evidence confirms that increasing Gleason scores are associated with poorer survival, consistent with established clinical knowledge.</w:t>
      </w:r>
    </w:p>
    <w:p w14:paraId="3F82BF2A" w14:textId="77777777" w:rsidR="00612B51" w:rsidRPr="00DA4677" w:rsidRDefault="001D4AFD" w:rsidP="00612B51">
      <w:pPr>
        <w:jc w:val="both"/>
        <w:rPr>
          <w:rFonts w:ascii="Times New Roman" w:hAnsi="Times New Roman" w:cs="Times New Roman"/>
          <w:b/>
          <w:bCs/>
          <w:sz w:val="20"/>
          <w:szCs w:val="20"/>
        </w:rPr>
      </w:pPr>
      <w:r w:rsidRPr="00DA4677">
        <w:rPr>
          <w:rFonts w:ascii="Times New Roman" w:hAnsi="Times New Roman" w:cs="Times New Roman"/>
          <w:b/>
          <w:bCs/>
          <w:sz w:val="20"/>
          <w:szCs w:val="20"/>
        </w:rPr>
        <w:t>Discussion</w:t>
      </w:r>
    </w:p>
    <w:p w14:paraId="15EC8B2C"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integration of SHAP </w:t>
      </w:r>
      <w:proofErr w:type="spellStart"/>
      <w:r w:rsidRPr="00DA4677">
        <w:rPr>
          <w:rFonts w:ascii="Times New Roman" w:hAnsi="Times New Roman" w:cs="Times New Roman"/>
          <w:sz w:val="20"/>
          <w:szCs w:val="20"/>
        </w:rPr>
        <w:t>explainability</w:t>
      </w:r>
      <w:proofErr w:type="spellEnd"/>
      <w:r w:rsidRPr="00DA4677">
        <w:rPr>
          <w:rFonts w:ascii="Times New Roman" w:hAnsi="Times New Roman" w:cs="Times New Roman"/>
          <w:sz w:val="20"/>
          <w:szCs w:val="20"/>
        </w:rPr>
        <w:t xml:space="preserve"> into the Cox </w:t>
      </w:r>
      <w:r w:rsidRPr="00DA4677">
        <w:rPr>
          <w:rFonts w:ascii="Times New Roman" w:eastAsia="Calibri" w:hAnsi="Times New Roman" w:cs="Times New Roman"/>
          <w:sz w:val="20"/>
          <w:szCs w:val="20"/>
        </w:rPr>
        <w:t>proportional hazards</w:t>
      </w:r>
      <w:r w:rsidRPr="00DA4677">
        <w:rPr>
          <w:rFonts w:ascii="Times New Roman" w:hAnsi="Times New Roman" w:cs="Times New Roman"/>
          <w:sz w:val="20"/>
          <w:szCs w:val="20"/>
        </w:rPr>
        <w:t xml:space="preserve"> model with restricted cubic splines (</w:t>
      </w:r>
      <w:r w:rsidRPr="00DA4677">
        <w:rPr>
          <w:rFonts w:ascii="Times New Roman" w:eastAsia="Calibri" w:hAnsi="Times New Roman" w:cs="Times New Roman"/>
          <w:sz w:val="20"/>
          <w:szCs w:val="20"/>
        </w:rPr>
        <w:t>RCSs</w:t>
      </w:r>
      <w:r w:rsidRPr="00DA4677">
        <w:rPr>
          <w:rFonts w:ascii="Times New Roman" w:hAnsi="Times New Roman" w:cs="Times New Roman"/>
          <w:sz w:val="20"/>
          <w:szCs w:val="20"/>
        </w:rPr>
        <w:t>) expanded the interpretive depth of the survival analysis by quantifying both global and individualized predictor contributions. The SHAP-enhanced Cox model complemented the inferential findings from the spline-based hazard estimates by uncovering nonlinear, heterogeneous, and interaction-driven effects that were not fully observable in the traditional Cox regression results.</w:t>
      </w:r>
    </w:p>
    <w:p w14:paraId="2EA3D374" w14:textId="0312BBC7" w:rsidR="00612B51" w:rsidRPr="00CD3BD5"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SHAP summary presented in </w:t>
      </w:r>
      <w:r w:rsidRPr="00CD3BD5">
        <w:rPr>
          <w:rFonts w:ascii="Times New Roman" w:hAnsi="Times New Roman" w:cs="Times New Roman"/>
          <w:sz w:val="20"/>
          <w:szCs w:val="20"/>
        </w:rPr>
        <w:t xml:space="preserve">Table 3 and Figure 7 identifies </w:t>
      </w:r>
      <w:r w:rsidRPr="00CD3BD5">
        <w:rPr>
          <w:rFonts w:ascii="Times New Roman" w:hAnsi="Times New Roman" w:cs="Times New Roman"/>
          <w:i/>
          <w:iCs/>
          <w:sz w:val="20"/>
          <w:szCs w:val="20"/>
        </w:rPr>
        <w:t>tumor size</w:t>
      </w:r>
      <w:r w:rsidRPr="00CD3BD5">
        <w:rPr>
          <w:rFonts w:ascii="Times New Roman" w:hAnsi="Times New Roman" w:cs="Times New Roman"/>
          <w:sz w:val="20"/>
          <w:szCs w:val="20"/>
        </w:rPr>
        <w:t xml:space="preserve"> and </w:t>
      </w:r>
      <w:r w:rsidRPr="00CD3BD5">
        <w:rPr>
          <w:rFonts w:ascii="Times New Roman" w:hAnsi="Times New Roman" w:cs="Times New Roman"/>
          <w:i/>
          <w:iCs/>
          <w:sz w:val="20"/>
          <w:szCs w:val="20"/>
        </w:rPr>
        <w:t>Gleason score</w:t>
      </w:r>
      <w:r w:rsidRPr="00CD3BD5">
        <w:rPr>
          <w:rFonts w:ascii="Times New Roman" w:hAnsi="Times New Roman" w:cs="Times New Roman"/>
          <w:sz w:val="20"/>
          <w:szCs w:val="20"/>
        </w:rPr>
        <w:t xml:space="preserve"> as the most influential determinants of prostate cancer survival in the Ghanaian cohort. The prominence of these variables supports the hazard ratio outcomes in Table 1, where </w:t>
      </w:r>
      <w:r w:rsidRPr="00CD3BD5">
        <w:rPr>
          <w:rFonts w:ascii="Times New Roman" w:eastAsia="Calibri" w:hAnsi="Times New Roman" w:cs="Times New Roman"/>
          <w:sz w:val="20"/>
          <w:szCs w:val="20"/>
        </w:rPr>
        <w:t xml:space="preserve">the </w:t>
      </w:r>
      <w:r w:rsidRPr="00CD3BD5">
        <w:rPr>
          <w:rFonts w:ascii="Times New Roman" w:hAnsi="Times New Roman" w:cs="Times New Roman"/>
          <w:i/>
          <w:iCs/>
          <w:sz w:val="20"/>
          <w:szCs w:val="20"/>
        </w:rPr>
        <w:t>Gleason score</w:t>
      </w:r>
      <w:r w:rsidRPr="00CD3BD5">
        <w:rPr>
          <w:rFonts w:ascii="Times New Roman" w:hAnsi="Times New Roman" w:cs="Times New Roman"/>
          <w:sz w:val="20"/>
          <w:szCs w:val="20"/>
        </w:rPr>
        <w:t xml:space="preserve"> (HR = 0.85; 95% CI: 0.74</w:t>
      </w:r>
      <w:r w:rsidR="00CD3BD5" w:rsidRPr="00CD3BD5">
        <w:rPr>
          <w:rFonts w:ascii="Times New Roman" w:hAnsi="Times New Roman" w:cs="Times New Roman"/>
          <w:sz w:val="20"/>
          <w:szCs w:val="20"/>
        </w:rPr>
        <w:t>-</w:t>
      </w:r>
      <w:r w:rsidRPr="00CD3BD5">
        <w:rPr>
          <w:rFonts w:ascii="Times New Roman" w:hAnsi="Times New Roman" w:cs="Times New Roman"/>
          <w:sz w:val="20"/>
          <w:szCs w:val="20"/>
        </w:rPr>
        <w:t xml:space="preserve">0.99; p = 0.036) and </w:t>
      </w:r>
      <w:r w:rsidRPr="00CD3BD5">
        <w:rPr>
          <w:rFonts w:ascii="Times New Roman" w:hAnsi="Times New Roman" w:cs="Times New Roman"/>
          <w:i/>
          <w:iCs/>
          <w:sz w:val="20"/>
          <w:szCs w:val="20"/>
        </w:rPr>
        <w:t>tumor size</w:t>
      </w:r>
      <w:r w:rsidRPr="00CD3BD5">
        <w:rPr>
          <w:rFonts w:ascii="Times New Roman" w:hAnsi="Times New Roman" w:cs="Times New Roman"/>
          <w:sz w:val="20"/>
          <w:szCs w:val="20"/>
        </w:rPr>
        <w:t xml:space="preserve"> (HR = 0.41; 95% CI: 0.17</w:t>
      </w:r>
      <w:r w:rsidR="00CD3BD5" w:rsidRPr="00CD3BD5">
        <w:rPr>
          <w:rFonts w:ascii="Times New Roman" w:hAnsi="Times New Roman" w:cs="Times New Roman"/>
          <w:sz w:val="20"/>
          <w:szCs w:val="20"/>
        </w:rPr>
        <w:t>-</w:t>
      </w:r>
      <w:r w:rsidRPr="00CD3BD5">
        <w:rPr>
          <w:rFonts w:ascii="Times New Roman" w:hAnsi="Times New Roman" w:cs="Times New Roman"/>
          <w:sz w:val="20"/>
          <w:szCs w:val="20"/>
        </w:rPr>
        <w:t xml:space="preserve">0.99; p = 0.048) emerged as statistically significant predictors. The strong SHAP magnitudes for </w:t>
      </w:r>
      <w:r w:rsidRPr="00CD3BD5">
        <w:rPr>
          <w:rFonts w:ascii="Times New Roman" w:hAnsi="Times New Roman" w:cs="Times New Roman"/>
          <w:i/>
          <w:iCs/>
          <w:sz w:val="20"/>
          <w:szCs w:val="20"/>
        </w:rPr>
        <w:t>tumor size</w:t>
      </w:r>
      <w:r w:rsidRPr="00CD3BD5">
        <w:rPr>
          <w:rFonts w:ascii="Times New Roman" w:hAnsi="Times New Roman" w:cs="Times New Roman"/>
          <w:sz w:val="20"/>
          <w:szCs w:val="20"/>
        </w:rPr>
        <w:t xml:space="preserve"> (|SHAP| = 0.2015) and </w:t>
      </w:r>
      <w:r w:rsidRPr="00CD3BD5">
        <w:rPr>
          <w:rFonts w:ascii="Times New Roman" w:hAnsi="Times New Roman" w:cs="Times New Roman"/>
          <w:i/>
          <w:iCs/>
          <w:sz w:val="20"/>
          <w:szCs w:val="20"/>
        </w:rPr>
        <w:t>Gleason score</w:t>
      </w:r>
      <w:r w:rsidRPr="00CD3BD5">
        <w:rPr>
          <w:rFonts w:ascii="Times New Roman" w:hAnsi="Times New Roman" w:cs="Times New Roman"/>
          <w:sz w:val="20"/>
          <w:szCs w:val="20"/>
        </w:rPr>
        <w:t xml:space="preserve"> (|SHAP| = 0.1591) indicate consistent contributions to the log</w:t>
      </w:r>
      <w:r w:rsidRPr="00CD3BD5">
        <w:rPr>
          <w:rFonts w:ascii="Times New Roman" w:eastAsia="Calibri" w:hAnsi="Times New Roman" w:cs="Times New Roman"/>
          <w:sz w:val="20"/>
          <w:szCs w:val="20"/>
        </w:rPr>
        <w:t xml:space="preserve"> </w:t>
      </w:r>
      <w:r w:rsidRPr="00CD3BD5">
        <w:rPr>
          <w:rFonts w:ascii="Times New Roman" w:hAnsi="Times New Roman" w:cs="Times New Roman"/>
          <w:sz w:val="20"/>
          <w:szCs w:val="20"/>
        </w:rPr>
        <w:t>hazard across the patient population, even in cases where conventional inference yielded borderline p</w:t>
      </w:r>
      <w:r w:rsidR="00CD3BD5">
        <w:rPr>
          <w:rFonts w:ascii="Times New Roman" w:hAnsi="Times New Roman" w:cs="Times New Roman"/>
          <w:sz w:val="20"/>
          <w:szCs w:val="20"/>
        </w:rPr>
        <w:t>-values.</w:t>
      </w:r>
      <w:r w:rsidRPr="00CD3BD5">
        <w:rPr>
          <w:rFonts w:ascii="Times New Roman" w:hAnsi="Times New Roman" w:cs="Times New Roman"/>
          <w:sz w:val="20"/>
          <w:szCs w:val="20"/>
        </w:rPr>
        <w:t xml:space="preserve"> </w:t>
      </w:r>
      <w:r w:rsidRPr="00CD3BD5">
        <w:rPr>
          <w:rFonts w:ascii="Times New Roman" w:eastAsia="Calibri" w:hAnsi="Times New Roman" w:cs="Times New Roman"/>
          <w:sz w:val="20"/>
          <w:szCs w:val="20"/>
        </w:rPr>
        <w:t>These findings suggest</w:t>
      </w:r>
      <w:r w:rsidRPr="00CD3BD5">
        <w:rPr>
          <w:rFonts w:ascii="Times New Roman" w:hAnsi="Times New Roman" w:cs="Times New Roman"/>
          <w:sz w:val="20"/>
          <w:szCs w:val="20"/>
        </w:rPr>
        <w:t xml:space="preserve"> that these factors not only predict </w:t>
      </w:r>
      <w:r w:rsidRPr="00CD3BD5">
        <w:rPr>
          <w:rFonts w:ascii="Times New Roman" w:eastAsia="Calibri" w:hAnsi="Times New Roman" w:cs="Times New Roman"/>
          <w:sz w:val="20"/>
          <w:szCs w:val="20"/>
        </w:rPr>
        <w:t>outcomes</w:t>
      </w:r>
      <w:r w:rsidRPr="00CD3BD5">
        <w:rPr>
          <w:rFonts w:ascii="Times New Roman" w:hAnsi="Times New Roman" w:cs="Times New Roman"/>
          <w:sz w:val="20"/>
          <w:szCs w:val="20"/>
        </w:rPr>
        <w:t xml:space="preserve"> directionally but also demonstrate stable explanatory strength across subpopulations.</w:t>
      </w:r>
    </w:p>
    <w:p w14:paraId="5DF3D305" w14:textId="77777777" w:rsidR="00612B51" w:rsidRPr="00CD3BD5" w:rsidRDefault="001D4AFD" w:rsidP="00612B51">
      <w:pPr>
        <w:jc w:val="both"/>
        <w:rPr>
          <w:rFonts w:ascii="Times New Roman" w:hAnsi="Times New Roman" w:cs="Times New Roman"/>
          <w:sz w:val="20"/>
          <w:szCs w:val="20"/>
        </w:rPr>
      </w:pPr>
      <w:r w:rsidRPr="00CD3BD5">
        <w:rPr>
          <w:rFonts w:ascii="Times New Roman" w:hAnsi="Times New Roman" w:cs="Times New Roman"/>
          <w:sz w:val="20"/>
          <w:szCs w:val="20"/>
        </w:rPr>
        <w:t xml:space="preserve">The SHAP </w:t>
      </w:r>
      <w:proofErr w:type="spellStart"/>
      <w:r w:rsidRPr="00CD3BD5">
        <w:rPr>
          <w:rFonts w:ascii="Times New Roman" w:hAnsi="Times New Roman" w:cs="Times New Roman"/>
          <w:sz w:val="20"/>
          <w:szCs w:val="20"/>
        </w:rPr>
        <w:t>beeswarm</w:t>
      </w:r>
      <w:proofErr w:type="spellEnd"/>
      <w:r w:rsidRPr="00CD3BD5">
        <w:rPr>
          <w:rFonts w:ascii="Times New Roman" w:hAnsi="Times New Roman" w:cs="Times New Roman"/>
          <w:sz w:val="20"/>
          <w:szCs w:val="20"/>
        </w:rPr>
        <w:t xml:space="preserve"> visualization (Figure 8) </w:t>
      </w:r>
      <w:r w:rsidRPr="00CD3BD5">
        <w:rPr>
          <w:rFonts w:ascii="Times New Roman" w:eastAsia="Calibri" w:hAnsi="Times New Roman" w:cs="Times New Roman"/>
          <w:sz w:val="20"/>
          <w:szCs w:val="20"/>
        </w:rPr>
        <w:t>revealed</w:t>
      </w:r>
      <w:r w:rsidRPr="00CD3BD5">
        <w:rPr>
          <w:rFonts w:ascii="Times New Roman" w:hAnsi="Times New Roman" w:cs="Times New Roman"/>
          <w:sz w:val="20"/>
          <w:szCs w:val="20"/>
        </w:rPr>
        <w:t xml:space="preserve"> that higher </w:t>
      </w:r>
      <w:r w:rsidRPr="00CD3BD5">
        <w:rPr>
          <w:rFonts w:ascii="Times New Roman" w:hAnsi="Times New Roman" w:cs="Times New Roman"/>
          <w:i/>
          <w:iCs/>
          <w:sz w:val="20"/>
          <w:szCs w:val="20"/>
        </w:rPr>
        <w:t>tumor size</w:t>
      </w:r>
      <w:r w:rsidRPr="00CD3BD5">
        <w:rPr>
          <w:rFonts w:ascii="Times New Roman" w:hAnsi="Times New Roman" w:cs="Times New Roman"/>
          <w:sz w:val="20"/>
          <w:szCs w:val="20"/>
        </w:rPr>
        <w:t xml:space="preserve"> and </w:t>
      </w:r>
      <w:r w:rsidRPr="00CD3BD5">
        <w:rPr>
          <w:rFonts w:ascii="Times New Roman" w:hAnsi="Times New Roman" w:cs="Times New Roman"/>
          <w:i/>
          <w:iCs/>
          <w:sz w:val="20"/>
          <w:szCs w:val="20"/>
        </w:rPr>
        <w:t>Gleason score</w:t>
      </w:r>
      <w:r w:rsidRPr="00CD3BD5">
        <w:rPr>
          <w:rFonts w:ascii="Times New Roman" w:hAnsi="Times New Roman" w:cs="Times New Roman"/>
          <w:sz w:val="20"/>
          <w:szCs w:val="20"/>
        </w:rPr>
        <w:t xml:space="preserve"> values consistently </w:t>
      </w:r>
      <w:r w:rsidRPr="00CD3BD5">
        <w:rPr>
          <w:rFonts w:ascii="Times New Roman" w:eastAsia="Calibri" w:hAnsi="Times New Roman" w:cs="Times New Roman"/>
          <w:sz w:val="20"/>
          <w:szCs w:val="20"/>
        </w:rPr>
        <w:t>increased the</w:t>
      </w:r>
      <w:r w:rsidRPr="00CD3BD5">
        <w:rPr>
          <w:rFonts w:ascii="Times New Roman" w:hAnsi="Times New Roman" w:cs="Times New Roman"/>
          <w:sz w:val="20"/>
          <w:szCs w:val="20"/>
        </w:rPr>
        <w:t xml:space="preserve"> predicted hazard, with the red hues clustering toward the positive end of the SHAP scale. This nonlinear and monotonic trend affirms the spline-based finding that larger tumor diameters confer </w:t>
      </w:r>
      <w:r w:rsidRPr="00CD3BD5">
        <w:rPr>
          <w:rFonts w:ascii="Times New Roman" w:eastAsia="Calibri" w:hAnsi="Times New Roman" w:cs="Times New Roman"/>
          <w:sz w:val="20"/>
          <w:szCs w:val="20"/>
        </w:rPr>
        <w:t>increased</w:t>
      </w:r>
      <w:r w:rsidRPr="00CD3BD5">
        <w:rPr>
          <w:rFonts w:ascii="Times New Roman" w:hAnsi="Times New Roman" w:cs="Times New Roman"/>
          <w:sz w:val="20"/>
          <w:szCs w:val="20"/>
        </w:rPr>
        <w:t xml:space="preserve"> mortality risk beyond a certain threshold, </w:t>
      </w:r>
      <w:r w:rsidRPr="00CD3BD5">
        <w:rPr>
          <w:rFonts w:ascii="Times New Roman" w:eastAsia="Calibri" w:hAnsi="Times New Roman" w:cs="Times New Roman"/>
          <w:sz w:val="20"/>
          <w:szCs w:val="20"/>
        </w:rPr>
        <w:t>whereas</w:t>
      </w:r>
      <w:r w:rsidRPr="00CD3BD5">
        <w:rPr>
          <w:rFonts w:ascii="Times New Roman" w:hAnsi="Times New Roman" w:cs="Times New Roman"/>
          <w:sz w:val="20"/>
          <w:szCs w:val="20"/>
        </w:rPr>
        <w:t xml:space="preserve"> moderate sizes correspond to a survival plateau. Similarly, high </w:t>
      </w:r>
      <w:r w:rsidRPr="00CD3BD5">
        <w:rPr>
          <w:rFonts w:ascii="Times New Roman" w:hAnsi="Times New Roman" w:cs="Times New Roman"/>
          <w:i/>
          <w:iCs/>
          <w:sz w:val="20"/>
          <w:szCs w:val="20"/>
        </w:rPr>
        <w:t>Gleason scores</w:t>
      </w:r>
      <w:r w:rsidRPr="00CD3BD5">
        <w:rPr>
          <w:rFonts w:ascii="Times New Roman" w:hAnsi="Times New Roman" w:cs="Times New Roman"/>
          <w:sz w:val="20"/>
          <w:szCs w:val="20"/>
        </w:rPr>
        <w:t xml:space="preserve"> (8–9) produced substantial upward shifts in SHAP values, reinforcing histopathology’s central prognostic role in prostate cancer progression. The moderate yet consistent contributions of </w:t>
      </w:r>
      <w:r w:rsidRPr="00CD3BD5">
        <w:rPr>
          <w:rFonts w:ascii="Times New Roman" w:hAnsi="Times New Roman" w:cs="Times New Roman"/>
          <w:i/>
          <w:iCs/>
          <w:sz w:val="20"/>
          <w:szCs w:val="20"/>
        </w:rPr>
        <w:t>chemotherapy</w:t>
      </w:r>
      <w:r w:rsidRPr="00CD3BD5">
        <w:rPr>
          <w:rFonts w:ascii="Times New Roman" w:hAnsi="Times New Roman" w:cs="Times New Roman"/>
          <w:sz w:val="20"/>
          <w:szCs w:val="20"/>
        </w:rPr>
        <w:t xml:space="preserve"> (|SHAP| = 0.1409) and </w:t>
      </w:r>
      <w:r w:rsidRPr="00CD3BD5">
        <w:rPr>
          <w:rFonts w:ascii="Times New Roman" w:hAnsi="Times New Roman" w:cs="Times New Roman"/>
          <w:i/>
          <w:iCs/>
          <w:sz w:val="20"/>
          <w:szCs w:val="20"/>
        </w:rPr>
        <w:t>PSA levels</w:t>
      </w:r>
      <w:r w:rsidRPr="00CD3BD5">
        <w:rPr>
          <w:rFonts w:ascii="Times New Roman" w:hAnsi="Times New Roman" w:cs="Times New Roman"/>
          <w:sz w:val="20"/>
          <w:szCs w:val="20"/>
        </w:rPr>
        <w:t xml:space="preserve"> (|SHAP| = 0.1385) reflect the multifactorial nature of survival, where therapeutic response and biochemical markers jointly shape risk.</w:t>
      </w:r>
    </w:p>
    <w:p w14:paraId="6DF34466" w14:textId="77777777" w:rsidR="00612B51" w:rsidRPr="00DA4677" w:rsidRDefault="001D4AFD" w:rsidP="00612B51">
      <w:pPr>
        <w:jc w:val="both"/>
        <w:rPr>
          <w:rFonts w:ascii="Times New Roman" w:hAnsi="Times New Roman" w:cs="Times New Roman"/>
          <w:sz w:val="20"/>
          <w:szCs w:val="20"/>
        </w:rPr>
      </w:pPr>
      <w:r w:rsidRPr="00CD3BD5">
        <w:rPr>
          <w:rFonts w:ascii="Times New Roman" w:hAnsi="Times New Roman" w:cs="Times New Roman"/>
          <w:sz w:val="20"/>
          <w:szCs w:val="20"/>
        </w:rPr>
        <w:t xml:space="preserve">The partial-effect curves in Figure 9 </w:t>
      </w:r>
      <w:r w:rsidRPr="00DA4677">
        <w:rPr>
          <w:rFonts w:ascii="Times New Roman" w:hAnsi="Times New Roman" w:cs="Times New Roman"/>
          <w:sz w:val="20"/>
          <w:szCs w:val="20"/>
        </w:rPr>
        <w:t xml:space="preserve">demonstrate that tumor size </w:t>
      </w:r>
      <w:r w:rsidRPr="00DA4677">
        <w:rPr>
          <w:rFonts w:ascii="Times New Roman" w:eastAsia="Calibri" w:hAnsi="Times New Roman" w:cs="Times New Roman"/>
          <w:sz w:val="20"/>
          <w:szCs w:val="20"/>
        </w:rPr>
        <w:t>follows</w:t>
      </w:r>
      <w:r w:rsidRPr="00DA4677">
        <w:rPr>
          <w:rFonts w:ascii="Times New Roman" w:hAnsi="Times New Roman" w:cs="Times New Roman"/>
          <w:sz w:val="20"/>
          <w:szCs w:val="20"/>
        </w:rPr>
        <w:t xml:space="preserve"> a U-shaped pattern, where both very small and very large tumors </w:t>
      </w:r>
      <w:r w:rsidRPr="00DA4677">
        <w:rPr>
          <w:rFonts w:ascii="Times New Roman" w:eastAsia="Calibri" w:hAnsi="Times New Roman" w:cs="Times New Roman"/>
          <w:sz w:val="20"/>
          <w:szCs w:val="20"/>
        </w:rPr>
        <w:t>are associated with increased hazard</w:t>
      </w:r>
      <w:r w:rsidRPr="00DA4677">
        <w:rPr>
          <w:rFonts w:ascii="Times New Roman" w:hAnsi="Times New Roman" w:cs="Times New Roman"/>
          <w:sz w:val="20"/>
          <w:szCs w:val="20"/>
        </w:rPr>
        <w:t xml:space="preserve">. This may represent diagnostic uncertainty at the lower end (e.g., </w:t>
      </w:r>
      <w:proofErr w:type="spellStart"/>
      <w:r w:rsidRPr="00DA4677">
        <w:rPr>
          <w:rFonts w:ascii="Times New Roman" w:hAnsi="Times New Roman" w:cs="Times New Roman"/>
          <w:sz w:val="20"/>
          <w:szCs w:val="20"/>
        </w:rPr>
        <w:t>underdetected</w:t>
      </w:r>
      <w:proofErr w:type="spellEnd"/>
      <w:r w:rsidRPr="00DA4677">
        <w:rPr>
          <w:rFonts w:ascii="Times New Roman" w:hAnsi="Times New Roman" w:cs="Times New Roman"/>
          <w:sz w:val="20"/>
          <w:szCs w:val="20"/>
        </w:rPr>
        <w:t xml:space="preserve"> aggressive microfoci) and biological aggressiveness at the upper end (e.g., extensive local invasion). Conversely, </w:t>
      </w:r>
      <w:r w:rsidRPr="00DA4677">
        <w:rPr>
          <w:rFonts w:ascii="Times New Roman" w:eastAsia="Calibri" w:hAnsi="Times New Roman" w:cs="Times New Roman"/>
          <w:sz w:val="20"/>
          <w:szCs w:val="20"/>
        </w:rPr>
        <w:t xml:space="preserve">the </w:t>
      </w:r>
      <w:r w:rsidRPr="00DA4677">
        <w:rPr>
          <w:rFonts w:ascii="Times New Roman" w:hAnsi="Times New Roman" w:cs="Times New Roman"/>
          <w:i/>
          <w:iCs/>
          <w:sz w:val="20"/>
          <w:szCs w:val="20"/>
        </w:rPr>
        <w:t>Gleason score</w:t>
      </w:r>
      <w:r w:rsidRPr="00DA4677">
        <w:rPr>
          <w:rFonts w:ascii="Times New Roman" w:hAnsi="Times New Roman" w:cs="Times New Roman"/>
          <w:sz w:val="20"/>
          <w:szCs w:val="20"/>
        </w:rPr>
        <w:t xml:space="preserve"> displays a near-linear increase in hazard with higher histologic </w:t>
      </w:r>
      <w:r w:rsidRPr="00DA4677">
        <w:rPr>
          <w:rFonts w:ascii="Times New Roman" w:eastAsia="Calibri" w:hAnsi="Times New Roman" w:cs="Times New Roman"/>
          <w:sz w:val="20"/>
          <w:szCs w:val="20"/>
        </w:rPr>
        <w:t>grade, which is</w:t>
      </w:r>
      <w:r w:rsidRPr="00DA4677">
        <w:rPr>
          <w:rFonts w:ascii="Times New Roman" w:hAnsi="Times New Roman" w:cs="Times New Roman"/>
          <w:sz w:val="20"/>
          <w:szCs w:val="20"/>
        </w:rPr>
        <w:t xml:space="preserve"> consistent with prior evidence linking poorly differentiated tumors to reduced survival. These plots collectively reveal that nonlinear modeling through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RCS accurately characterizes complex, nonmonotonic relationships that linear models would misestimate.</w:t>
      </w:r>
    </w:p>
    <w:p w14:paraId="2893F83D"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From a methodological standpoint, the SHAP analysis validates the selection of restricted cubic splines by confirming that risk contributions are continuous and variable-dependent rather than uniformly linear. The combination of SHAP and RCS strengthens both </w:t>
      </w:r>
      <w:r w:rsidRPr="00DA4677">
        <w:rPr>
          <w:rFonts w:ascii="Times New Roman" w:hAnsi="Times New Roman" w:cs="Times New Roman"/>
          <w:i/>
          <w:iCs/>
          <w:sz w:val="20"/>
          <w:szCs w:val="20"/>
        </w:rPr>
        <w:t>model transparency</w:t>
      </w:r>
      <w:r w:rsidRPr="00DA4677">
        <w:rPr>
          <w:rFonts w:ascii="Times New Roman" w:hAnsi="Times New Roman" w:cs="Times New Roman"/>
          <w:sz w:val="20"/>
          <w:szCs w:val="20"/>
        </w:rPr>
        <w:t xml:space="preserve"> and </w:t>
      </w:r>
      <w:r w:rsidRPr="00DA4677">
        <w:rPr>
          <w:rFonts w:ascii="Times New Roman" w:hAnsi="Times New Roman" w:cs="Times New Roman"/>
          <w:i/>
          <w:iCs/>
          <w:sz w:val="20"/>
          <w:szCs w:val="20"/>
        </w:rPr>
        <w:t>predictive credibility</w:t>
      </w:r>
      <w:r w:rsidRPr="00DA4677">
        <w:rPr>
          <w:rFonts w:ascii="Times New Roman" w:hAnsi="Times New Roman" w:cs="Times New Roman"/>
          <w:sz w:val="20"/>
          <w:szCs w:val="20"/>
        </w:rPr>
        <w:t>, demonstrating that explainable machine learning tools can enhance the interpretability of classical survival models. By integrating local feature attribution with traditional hazard ratio estimates, the analysis bridges the gap between statistical inference and personalized prognostication.</w:t>
      </w:r>
    </w:p>
    <w:p w14:paraId="4FA70750" w14:textId="77777777" w:rsidR="00612B51" w:rsidRPr="00CD3BD5"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In clinical and policy terms, the combined results suggest that interventions targeting tumor burden reduction and early histopathologic grading remain critical for improving outcomes. The strong importance of </w:t>
      </w:r>
      <w:r w:rsidRPr="00DA4677">
        <w:rPr>
          <w:rFonts w:ascii="Times New Roman" w:hAnsi="Times New Roman" w:cs="Times New Roman"/>
          <w:i/>
          <w:iCs/>
          <w:sz w:val="20"/>
          <w:szCs w:val="20"/>
        </w:rPr>
        <w:t>chemotherapy</w:t>
      </w:r>
      <w:r w:rsidRPr="00DA4677">
        <w:rPr>
          <w:rFonts w:ascii="Times New Roman" w:hAnsi="Times New Roman" w:cs="Times New Roman"/>
          <w:sz w:val="20"/>
          <w:szCs w:val="20"/>
        </w:rPr>
        <w:t xml:space="preserve"> and </w:t>
      </w:r>
      <w:r w:rsidRPr="00DA4677">
        <w:rPr>
          <w:rFonts w:ascii="Times New Roman" w:hAnsi="Times New Roman" w:cs="Times New Roman"/>
          <w:i/>
          <w:iCs/>
          <w:sz w:val="20"/>
          <w:szCs w:val="20"/>
        </w:rPr>
        <w:t>PSA levels</w:t>
      </w:r>
      <w:r w:rsidRPr="00DA4677">
        <w:rPr>
          <w:rFonts w:ascii="Times New Roman" w:hAnsi="Times New Roman" w:cs="Times New Roman"/>
          <w:sz w:val="20"/>
          <w:szCs w:val="20"/>
        </w:rPr>
        <w:t xml:space="preserve"> in the SHAP ranking further highlights the need for treatment monitoring and longitudinal biomarker evaluation, particularly in resource-constrained health systems. Together, these findings support the adoption of flexible, explainable survival frameworks in Ghana’s prostate cancer management programs, enabling risk-tailored decision-making aligned with </w:t>
      </w:r>
      <w:r w:rsidRPr="00CD3BD5">
        <w:rPr>
          <w:rFonts w:ascii="Times New Roman" w:hAnsi="Times New Roman" w:cs="Times New Roman"/>
          <w:sz w:val="20"/>
          <w:szCs w:val="20"/>
        </w:rPr>
        <w:t xml:space="preserve">Sustainable Development Goal (SDG) 3.4 </w:t>
      </w:r>
      <w:r w:rsidRPr="00CD3BD5">
        <w:rPr>
          <w:rFonts w:ascii="Times New Roman" w:eastAsia="Calibri" w:hAnsi="Times New Roman" w:cs="Times New Roman"/>
          <w:sz w:val="20"/>
          <w:szCs w:val="20"/>
        </w:rPr>
        <w:t>for</w:t>
      </w:r>
      <w:r w:rsidRPr="00CD3BD5">
        <w:rPr>
          <w:rFonts w:ascii="Times New Roman" w:hAnsi="Times New Roman" w:cs="Times New Roman"/>
          <w:sz w:val="20"/>
          <w:szCs w:val="20"/>
        </w:rPr>
        <w:t xml:space="preserve"> reducing premature cancer mortality.</w:t>
      </w:r>
    </w:p>
    <w:p w14:paraId="55D06905" w14:textId="5FE14EDB" w:rsidR="00612B51" w:rsidRDefault="001D4AFD" w:rsidP="00612B51">
      <w:pPr>
        <w:jc w:val="both"/>
        <w:rPr>
          <w:rFonts w:ascii="Times New Roman" w:eastAsia="Calibri" w:hAnsi="Times New Roman" w:cs="Times New Roman"/>
          <w:sz w:val="20"/>
          <w:szCs w:val="20"/>
        </w:rPr>
      </w:pPr>
      <w:r w:rsidRPr="00CD3BD5">
        <w:rPr>
          <w:rFonts w:ascii="Times New Roman" w:hAnsi="Times New Roman" w:cs="Times New Roman"/>
          <w:sz w:val="20"/>
          <w:szCs w:val="20"/>
        </w:rPr>
        <w:t>Overall, the inclusion of SHAP analysis transformed the study from a purely inferential model into a transparent, explainable prognostic tool. This metho</w:t>
      </w:r>
      <w:r w:rsidRPr="00DA4677">
        <w:rPr>
          <w:rFonts w:ascii="Times New Roman" w:hAnsi="Times New Roman" w:cs="Times New Roman"/>
          <w:sz w:val="20"/>
          <w:szCs w:val="20"/>
        </w:rPr>
        <w:t xml:space="preserve">dological innovation not only improves reproducibility but also provides clinicians with interpretable, patient-level insights into how each factor shapes survival </w:t>
      </w:r>
      <w:r w:rsidR="00554553">
        <w:rPr>
          <w:rFonts w:ascii="Times New Roman" w:hAnsi="Times New Roman" w:cs="Times New Roman"/>
          <w:sz w:val="20"/>
          <w:szCs w:val="20"/>
        </w:rPr>
        <w:t>risk,</w:t>
      </w:r>
      <w:r w:rsidR="00CD3BD5">
        <w:rPr>
          <w:rFonts w:ascii="Times New Roman" w:hAnsi="Times New Roman" w:cs="Times New Roman"/>
          <w:sz w:val="20"/>
          <w:szCs w:val="20"/>
        </w:rPr>
        <w:t xml:space="preserve"> </w:t>
      </w:r>
      <w:r w:rsidRPr="00DA4677">
        <w:rPr>
          <w:rFonts w:ascii="Times New Roman" w:hAnsi="Times New Roman" w:cs="Times New Roman"/>
          <w:sz w:val="20"/>
          <w:szCs w:val="20"/>
        </w:rPr>
        <w:t xml:space="preserve">advancing data-driven, precision-oriented oncology </w:t>
      </w:r>
      <w:r w:rsidRPr="00DA4677">
        <w:rPr>
          <w:rFonts w:ascii="Times New Roman" w:eastAsia="Calibri" w:hAnsi="Times New Roman" w:cs="Times New Roman"/>
          <w:sz w:val="20"/>
          <w:szCs w:val="20"/>
        </w:rPr>
        <w:t>practices</w:t>
      </w:r>
      <w:r w:rsidRPr="00DA4677">
        <w:rPr>
          <w:rFonts w:ascii="Times New Roman" w:hAnsi="Times New Roman" w:cs="Times New Roman"/>
          <w:sz w:val="20"/>
          <w:szCs w:val="20"/>
        </w:rPr>
        <w:t xml:space="preserve"> within the Ghanaian context</w:t>
      </w:r>
      <w:r w:rsidRPr="00DA4677">
        <w:rPr>
          <w:rFonts w:ascii="Times New Roman" w:eastAsia="Calibri" w:hAnsi="Times New Roman" w:cs="Times New Roman"/>
          <w:sz w:val="20"/>
          <w:szCs w:val="20"/>
        </w:rPr>
        <w:t>.</w:t>
      </w:r>
    </w:p>
    <w:p w14:paraId="3759C04E" w14:textId="38D8F702" w:rsidR="00612B51" w:rsidRPr="00DA4677" w:rsidRDefault="00EF748B" w:rsidP="00612B51">
      <w:pPr>
        <w:jc w:val="both"/>
        <w:rPr>
          <w:rFonts w:ascii="Times New Roman" w:hAnsi="Times New Roman" w:cs="Times New Roman"/>
          <w:sz w:val="20"/>
          <w:szCs w:val="20"/>
        </w:rPr>
      </w:pPr>
      <w:r w:rsidRPr="00EF748B">
        <w:rPr>
          <w:rFonts w:ascii="Times New Roman" w:eastAsia="Times New Roman" w:hAnsi="Times New Roman" w:cs="Times New Roman"/>
          <w:kern w:val="0"/>
          <w:sz w:val="20"/>
          <w:szCs w:val="20"/>
          <w14:ligatures w14:val="none"/>
        </w:rPr>
        <w:t xml:space="preserve">The clinical implications of these findings extend meaningfully to real-world oncology practice, particularly in settings where diagnostic resources and specialist capacity remain limited. The strong influence of tumor size and Gleason score validated through both restricted cubic splines and SHAP-based </w:t>
      </w:r>
      <w:proofErr w:type="spellStart"/>
      <w:r w:rsidRPr="00EF748B">
        <w:rPr>
          <w:rFonts w:ascii="Times New Roman" w:eastAsia="Times New Roman" w:hAnsi="Times New Roman" w:cs="Times New Roman"/>
          <w:kern w:val="0"/>
          <w:sz w:val="20"/>
          <w:szCs w:val="20"/>
          <w14:ligatures w14:val="none"/>
        </w:rPr>
        <w:t>explainability</w:t>
      </w:r>
      <w:proofErr w:type="spellEnd"/>
      <w:r w:rsidRPr="00EF748B">
        <w:rPr>
          <w:rFonts w:ascii="Times New Roman" w:eastAsia="Times New Roman" w:hAnsi="Times New Roman" w:cs="Times New Roman"/>
          <w:kern w:val="0"/>
          <w:sz w:val="20"/>
          <w:szCs w:val="20"/>
          <w14:ligatures w14:val="none"/>
        </w:rPr>
        <w:t xml:space="preserve"> highlights the importance of early histopathologic grading and timely biopsy confirmation as central pillars of prostate cancer </w:t>
      </w:r>
      <w:r w:rsidRPr="00EF748B">
        <w:rPr>
          <w:rFonts w:ascii="Times New Roman" w:eastAsia="Times New Roman" w:hAnsi="Times New Roman" w:cs="Times New Roman"/>
          <w:kern w:val="0"/>
          <w:sz w:val="20"/>
          <w:szCs w:val="20"/>
          <w14:ligatures w14:val="none"/>
        </w:rPr>
        <w:lastRenderedPageBreak/>
        <w:t>management in such environments. By revealing nonlinear risk gradients, the model provides clinicians with clearer thresholds at which tumor burden and histologic severity begin to accelerate mortality risk, enabling more precise treatment stratification even when advanced imaging or molecular profiling is unavailable. The individualized SHAP profiles further support patient-centered care by allowing clinicians to communicate prognosis transparently using visually intuitive, case-specific risk decompositions, which can enhance shared decision-making and treatment adherence. For hospitals operating under constrained budgets, the model also offers a cost-efficient decision-support tool relying entirely on routinely collected clinical variables, making it directly deployable in district and regional hospitals across sub-Saharan Africa. Altogether, these implications underscore the potential of spline-augmented, explainable survival models to strengthen early detection, optimize triage pathways, and improve survival outcomes in low-resource prostate cancer care systems could be appropriate.</w:t>
      </w:r>
    </w:p>
    <w:p w14:paraId="093341DD" w14:textId="77777777" w:rsidR="00612B51" w:rsidRPr="00DA4677" w:rsidRDefault="001D4AFD" w:rsidP="00612B51">
      <w:pPr>
        <w:jc w:val="both"/>
        <w:rPr>
          <w:rFonts w:ascii="Times New Roman" w:hAnsi="Times New Roman" w:cs="Times New Roman"/>
          <w:b/>
          <w:bCs/>
          <w:sz w:val="20"/>
          <w:szCs w:val="20"/>
        </w:rPr>
      </w:pPr>
      <w:r w:rsidRPr="00DA4677">
        <w:rPr>
          <w:rFonts w:ascii="Times New Roman" w:hAnsi="Times New Roman" w:cs="Times New Roman"/>
          <w:b/>
          <w:bCs/>
          <w:sz w:val="20"/>
          <w:szCs w:val="20"/>
        </w:rPr>
        <w:t>Conclusion</w:t>
      </w:r>
    </w:p>
    <w:p w14:paraId="0E726061" w14:textId="77777777"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This study developed a nonlinear, explainable survival model for prostate cancer </w:t>
      </w:r>
      <w:r w:rsidRPr="00DA4677">
        <w:rPr>
          <w:rFonts w:ascii="Times New Roman" w:eastAsia="Calibri" w:hAnsi="Times New Roman" w:cs="Times New Roman"/>
          <w:sz w:val="20"/>
          <w:szCs w:val="20"/>
        </w:rPr>
        <w:t>patients via</w:t>
      </w:r>
      <w:r w:rsidRPr="00DA4677">
        <w:rPr>
          <w:rFonts w:ascii="Times New Roman" w:hAnsi="Times New Roman" w:cs="Times New Roman"/>
          <w:sz w:val="20"/>
          <w:szCs w:val="20"/>
        </w:rPr>
        <w:t xml:space="preserve"> the Cox proportional hazards framework integrated with restricted cubic splines and SHAP </w:t>
      </w:r>
      <w:proofErr w:type="spellStart"/>
      <w:r w:rsidRPr="00DA4677">
        <w:rPr>
          <w:rFonts w:ascii="Times New Roman" w:hAnsi="Times New Roman" w:cs="Times New Roman"/>
          <w:sz w:val="20"/>
          <w:szCs w:val="20"/>
        </w:rPr>
        <w:t>explainability</w:t>
      </w:r>
      <w:proofErr w:type="spellEnd"/>
      <w:r w:rsidRPr="00DA4677">
        <w:rPr>
          <w:rFonts w:ascii="Times New Roman" w:hAnsi="Times New Roman" w:cs="Times New Roman"/>
          <w:sz w:val="20"/>
          <w:szCs w:val="20"/>
        </w:rPr>
        <w:t>. The results demonstrated that tumor size and Gleason score are the most powerful predictors of survival, exerting nonlinear and individualized effects on mortality risk. Treatment-related variables, including chemotherapy and PSA levels, contributed moderately but significantly to outcome variation.</w:t>
      </w:r>
    </w:p>
    <w:p w14:paraId="54E81957" w14:textId="10571713"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RCS specification revealed that hazard risk increases sharply beyond specific tumor size thresholds, </w:t>
      </w:r>
      <w:r w:rsidRPr="00DA4677">
        <w:rPr>
          <w:rFonts w:ascii="Times New Roman" w:eastAsia="Calibri" w:hAnsi="Times New Roman" w:cs="Times New Roman"/>
          <w:sz w:val="20"/>
          <w:szCs w:val="20"/>
        </w:rPr>
        <w:t>whereas</w:t>
      </w:r>
      <w:r w:rsidRPr="00DA4677">
        <w:rPr>
          <w:rFonts w:ascii="Times New Roman" w:hAnsi="Times New Roman" w:cs="Times New Roman"/>
          <w:sz w:val="20"/>
          <w:szCs w:val="20"/>
        </w:rPr>
        <w:t xml:space="preserve"> SHAP visualizations </w:t>
      </w:r>
      <w:r w:rsidRPr="00DA4677">
        <w:rPr>
          <w:rFonts w:ascii="Times New Roman" w:eastAsia="Calibri" w:hAnsi="Times New Roman" w:cs="Times New Roman"/>
          <w:sz w:val="20"/>
          <w:szCs w:val="20"/>
        </w:rPr>
        <w:t>provide</w:t>
      </w:r>
      <w:r w:rsidRPr="00DA4677">
        <w:rPr>
          <w:rFonts w:ascii="Times New Roman" w:hAnsi="Times New Roman" w:cs="Times New Roman"/>
          <w:sz w:val="20"/>
          <w:szCs w:val="20"/>
        </w:rPr>
        <w:t xml:space="preserve"> interpretive transparency by decomposing each predictor’s contribution to the overall hazard. This combined inferential</w:t>
      </w:r>
      <w:r w:rsidR="00CD3BD5">
        <w:rPr>
          <w:rFonts w:ascii="Times New Roman" w:hAnsi="Times New Roman" w:cs="Times New Roman"/>
          <w:sz w:val="20"/>
          <w:szCs w:val="20"/>
        </w:rPr>
        <w:t>-</w:t>
      </w:r>
      <w:r w:rsidRPr="00DA4677">
        <w:rPr>
          <w:rFonts w:ascii="Times New Roman" w:hAnsi="Times New Roman" w:cs="Times New Roman"/>
          <w:sz w:val="20"/>
          <w:szCs w:val="20"/>
        </w:rPr>
        <w:t>explainable approach bridges statistical modeling and machine learning interpretability, offering clinicians actionable insights into patient-level risk dynamics.</w:t>
      </w:r>
    </w:p>
    <w:p w14:paraId="67210FF8" w14:textId="7C4C5679" w:rsidR="00612B51" w:rsidRPr="00DA4677" w:rsidRDefault="001D4AFD"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In public health terms, the findings underscore the urgency of implementing early screening, histopathologic grading, and treatment monitoring programs to reduce advanced-stage presentations in Ghana. Methodologically, the SHAP-augmented RCS Cox model establishes a reproducible, data-driven template for survival analysis in oncology research across low- and middle-income settings. Its adaptability to other cancers makes it a valuable framework for advancing SDG </w:t>
      </w:r>
      <w:r w:rsidR="00786A5A">
        <w:rPr>
          <w:rFonts w:ascii="Times New Roman" w:hAnsi="Times New Roman" w:cs="Times New Roman"/>
          <w:sz w:val="20"/>
          <w:szCs w:val="20"/>
        </w:rPr>
        <w:t>3.4,</w:t>
      </w:r>
      <w:r w:rsidR="00CD3BD5">
        <w:rPr>
          <w:rFonts w:ascii="Times New Roman" w:hAnsi="Times New Roman" w:cs="Times New Roman"/>
          <w:sz w:val="20"/>
          <w:szCs w:val="20"/>
        </w:rPr>
        <w:t xml:space="preserve"> </w:t>
      </w:r>
      <w:r w:rsidRPr="00DA4677">
        <w:rPr>
          <w:rFonts w:ascii="Times New Roman" w:hAnsi="Times New Roman" w:cs="Times New Roman"/>
          <w:sz w:val="20"/>
          <w:szCs w:val="20"/>
        </w:rPr>
        <w:t>reducing premature mortality through early detection and targeted treatment.</w:t>
      </w:r>
      <w:r w:rsidR="00274234" w:rsidRPr="00DA4677">
        <w:rPr>
          <w:rFonts w:ascii="Times New Roman" w:hAnsi="Times New Roman" w:cs="Times New Roman"/>
          <w:sz w:val="20"/>
          <w:szCs w:val="20"/>
        </w:rPr>
        <w:t xml:space="preserve"> The findings reflect data from a single tertiary center, which may limit generalizability. Future applications of this modeling framework could incorporate multicenter datasets, imaging biomarkers, and longitudinal PSA kinetics to </w:t>
      </w:r>
      <w:r w:rsidRPr="00DA4677">
        <w:rPr>
          <w:rFonts w:ascii="Times New Roman" w:eastAsia="Calibri" w:hAnsi="Times New Roman" w:cs="Times New Roman"/>
          <w:sz w:val="20"/>
          <w:szCs w:val="20"/>
        </w:rPr>
        <w:t>increase</w:t>
      </w:r>
      <w:r w:rsidR="00274234" w:rsidRPr="00DA4677">
        <w:rPr>
          <w:rFonts w:ascii="Times New Roman" w:hAnsi="Times New Roman" w:cs="Times New Roman"/>
          <w:sz w:val="20"/>
          <w:szCs w:val="20"/>
        </w:rPr>
        <w:t xml:space="preserve"> predictive precision.</w:t>
      </w:r>
      <w:r w:rsidR="00D260C9" w:rsidRPr="00D260C9">
        <w:t xml:space="preserve"> </w:t>
      </w:r>
      <w:r w:rsidR="00D260C9" w:rsidRPr="00D260C9">
        <w:rPr>
          <w:rFonts w:ascii="Times New Roman" w:hAnsi="Times New Roman" w:cs="Times New Roman"/>
          <w:sz w:val="20"/>
          <w:szCs w:val="20"/>
          <w:highlight w:val="yellow"/>
        </w:rPr>
        <w:t>Although the model demonstrates strong internal validity and interpretability, it is constrained by its retrospective single-center design and sample size. These characteristics may limit generalizability across broader Ghanaian or sub-Saharan populations. Future studies should incorporate multicenter cohorts and longitudinal biomarker trajectories such as PSA kinetics to enhance external validity and predictive precision.</w:t>
      </w:r>
    </w:p>
    <w:p w14:paraId="165B9D26" w14:textId="77777777" w:rsidR="00D64BE9" w:rsidRPr="009D7058" w:rsidRDefault="00D64BE9" w:rsidP="00D64BE9">
      <w:pPr>
        <w:jc w:val="both"/>
        <w:rPr>
          <w:rFonts w:ascii="Times New Roman" w:hAnsi="Times New Roman" w:cs="Times New Roman"/>
          <w:b/>
          <w:bCs/>
          <w:sz w:val="20"/>
          <w:szCs w:val="20"/>
        </w:rPr>
      </w:pPr>
      <w:r w:rsidRPr="009D7058">
        <w:rPr>
          <w:rFonts w:ascii="Times New Roman" w:hAnsi="Times New Roman" w:cs="Times New Roman"/>
          <w:b/>
          <w:bCs/>
          <w:sz w:val="20"/>
          <w:szCs w:val="20"/>
        </w:rPr>
        <w:t>Declarations</w:t>
      </w:r>
    </w:p>
    <w:p w14:paraId="36E03203" w14:textId="77777777" w:rsidR="002C648A" w:rsidRPr="009D7058" w:rsidRDefault="002C648A" w:rsidP="002C648A">
      <w:pPr>
        <w:jc w:val="both"/>
        <w:rPr>
          <w:rFonts w:ascii="Times New Roman" w:hAnsi="Times New Roman" w:cs="Times New Roman"/>
          <w:b/>
          <w:bCs/>
          <w:sz w:val="20"/>
          <w:szCs w:val="20"/>
        </w:rPr>
      </w:pPr>
      <w:r w:rsidRPr="009D7058">
        <w:rPr>
          <w:rFonts w:ascii="Times New Roman" w:hAnsi="Times New Roman" w:cs="Times New Roman"/>
          <w:b/>
          <w:bCs/>
          <w:sz w:val="20"/>
          <w:szCs w:val="20"/>
        </w:rPr>
        <w:t>Data availability</w:t>
      </w:r>
    </w:p>
    <w:p w14:paraId="51EB5F8D" w14:textId="77777777" w:rsidR="002C648A" w:rsidRPr="002C648A" w:rsidRDefault="002C648A" w:rsidP="002C648A">
      <w:pPr>
        <w:jc w:val="both"/>
        <w:rPr>
          <w:rFonts w:ascii="Times New Roman" w:hAnsi="Times New Roman" w:cs="Times New Roman"/>
          <w:sz w:val="20"/>
          <w:szCs w:val="20"/>
        </w:rPr>
      </w:pPr>
      <w:r w:rsidRPr="002C648A">
        <w:rPr>
          <w:rFonts w:ascii="Times New Roman" w:hAnsi="Times New Roman" w:cs="Times New Roman"/>
          <w:sz w:val="20"/>
          <w:szCs w:val="20"/>
        </w:rPr>
        <w:t>The data used to support the findings of this study are available from the corresponding author upon request.</w:t>
      </w:r>
    </w:p>
    <w:p w14:paraId="4DBD827B" w14:textId="77777777" w:rsidR="002C648A" w:rsidRPr="009D7058" w:rsidRDefault="002C648A" w:rsidP="002C648A">
      <w:pPr>
        <w:jc w:val="both"/>
        <w:rPr>
          <w:rFonts w:ascii="Times New Roman" w:hAnsi="Times New Roman" w:cs="Times New Roman"/>
          <w:b/>
          <w:bCs/>
          <w:sz w:val="20"/>
          <w:szCs w:val="20"/>
        </w:rPr>
      </w:pPr>
      <w:r w:rsidRPr="009D7058">
        <w:rPr>
          <w:rFonts w:ascii="Times New Roman" w:hAnsi="Times New Roman" w:cs="Times New Roman"/>
          <w:b/>
          <w:bCs/>
          <w:sz w:val="20"/>
          <w:szCs w:val="20"/>
        </w:rPr>
        <w:t>Ethical statement</w:t>
      </w:r>
    </w:p>
    <w:p w14:paraId="4F23ADE0" w14:textId="0E639231" w:rsidR="002C648A" w:rsidRPr="002C648A" w:rsidRDefault="002C648A" w:rsidP="002C648A">
      <w:pPr>
        <w:jc w:val="both"/>
        <w:rPr>
          <w:rFonts w:ascii="Times New Roman" w:hAnsi="Times New Roman" w:cs="Times New Roman"/>
          <w:sz w:val="20"/>
          <w:szCs w:val="20"/>
        </w:rPr>
      </w:pPr>
      <w:r w:rsidRPr="002C648A">
        <w:rPr>
          <w:rFonts w:ascii="Times New Roman" w:hAnsi="Times New Roman" w:cs="Times New Roman"/>
          <w:sz w:val="20"/>
          <w:szCs w:val="20"/>
        </w:rPr>
        <w:t>This study received ethical approval from the University Ethics Review Committee of Takoradi Technical University (Ref. No. TTU/ERC/15/021, dated May 27, 2015). The research used a secondary, de-identified dataset, and all procedures complied with the ethical</w:t>
      </w:r>
      <w:r w:rsidR="009D7058">
        <w:rPr>
          <w:rFonts w:ascii="Times New Roman" w:hAnsi="Times New Roman" w:cs="Times New Roman"/>
          <w:sz w:val="20"/>
          <w:szCs w:val="20"/>
        </w:rPr>
        <w:t xml:space="preserve"> </w:t>
      </w:r>
      <w:r w:rsidRPr="002C648A">
        <w:rPr>
          <w:rFonts w:ascii="Times New Roman" w:hAnsi="Times New Roman" w:cs="Times New Roman"/>
          <w:sz w:val="20"/>
          <w:szCs w:val="20"/>
        </w:rPr>
        <w:t>guidelines of the approving committee.</w:t>
      </w:r>
    </w:p>
    <w:p w14:paraId="26D24C88" w14:textId="77777777" w:rsidR="002C648A" w:rsidRPr="009D7058" w:rsidRDefault="002C648A" w:rsidP="002C648A">
      <w:pPr>
        <w:jc w:val="both"/>
        <w:rPr>
          <w:rFonts w:ascii="Times New Roman" w:hAnsi="Times New Roman" w:cs="Times New Roman"/>
          <w:b/>
          <w:bCs/>
          <w:sz w:val="20"/>
          <w:szCs w:val="20"/>
        </w:rPr>
      </w:pPr>
      <w:r w:rsidRPr="009D7058">
        <w:rPr>
          <w:rFonts w:ascii="Times New Roman" w:hAnsi="Times New Roman" w:cs="Times New Roman"/>
          <w:b/>
          <w:bCs/>
          <w:sz w:val="20"/>
          <w:szCs w:val="20"/>
        </w:rPr>
        <w:t>Declaration of competing interest</w:t>
      </w:r>
    </w:p>
    <w:p w14:paraId="43FFE2FD" w14:textId="77777777" w:rsidR="009D7058" w:rsidRDefault="002C648A" w:rsidP="002C648A">
      <w:pPr>
        <w:jc w:val="both"/>
        <w:rPr>
          <w:rFonts w:ascii="Times New Roman" w:hAnsi="Times New Roman" w:cs="Times New Roman"/>
          <w:sz w:val="20"/>
          <w:szCs w:val="20"/>
        </w:rPr>
      </w:pPr>
      <w:r w:rsidRPr="002C648A">
        <w:rPr>
          <w:rFonts w:ascii="Times New Roman" w:hAnsi="Times New Roman" w:cs="Times New Roman"/>
          <w:sz w:val="20"/>
          <w:szCs w:val="20"/>
        </w:rPr>
        <w:t>The authors declare that they have no known competing financial interests or personal relationships that could have appeared to</w:t>
      </w:r>
      <w:r w:rsidR="009D7058">
        <w:rPr>
          <w:rFonts w:ascii="Times New Roman" w:hAnsi="Times New Roman" w:cs="Times New Roman"/>
          <w:sz w:val="20"/>
          <w:szCs w:val="20"/>
        </w:rPr>
        <w:t xml:space="preserve"> </w:t>
      </w:r>
      <w:r w:rsidRPr="002C648A">
        <w:rPr>
          <w:rFonts w:ascii="Times New Roman" w:hAnsi="Times New Roman" w:cs="Times New Roman"/>
          <w:sz w:val="20"/>
          <w:szCs w:val="20"/>
        </w:rPr>
        <w:t>influence the work reported in this pape</w:t>
      </w:r>
      <w:r w:rsidR="009D7058">
        <w:rPr>
          <w:rFonts w:ascii="Times New Roman" w:hAnsi="Times New Roman" w:cs="Times New Roman"/>
          <w:sz w:val="20"/>
          <w:szCs w:val="20"/>
        </w:rPr>
        <w:t>r.</w:t>
      </w:r>
    </w:p>
    <w:p w14:paraId="4A48AE87" w14:textId="6307F99D" w:rsidR="00D64BE9" w:rsidRPr="009D7058" w:rsidRDefault="00D64BE9" w:rsidP="002C648A">
      <w:pPr>
        <w:jc w:val="both"/>
        <w:rPr>
          <w:rFonts w:ascii="Times New Roman" w:hAnsi="Times New Roman" w:cs="Times New Roman"/>
          <w:b/>
          <w:bCs/>
          <w:sz w:val="20"/>
          <w:szCs w:val="20"/>
        </w:rPr>
      </w:pPr>
      <w:r w:rsidRPr="009D7058">
        <w:rPr>
          <w:rFonts w:ascii="Times New Roman" w:hAnsi="Times New Roman" w:cs="Times New Roman"/>
          <w:b/>
          <w:bCs/>
          <w:sz w:val="20"/>
          <w:szCs w:val="20"/>
        </w:rPr>
        <w:t>Trial Number</w:t>
      </w:r>
    </w:p>
    <w:p w14:paraId="615C6089" w14:textId="77777777" w:rsidR="00D64BE9" w:rsidRDefault="00D64BE9" w:rsidP="00D64BE9">
      <w:pPr>
        <w:jc w:val="both"/>
        <w:rPr>
          <w:rFonts w:ascii="Times New Roman" w:hAnsi="Times New Roman" w:cs="Times New Roman"/>
          <w:sz w:val="20"/>
          <w:szCs w:val="20"/>
        </w:rPr>
      </w:pPr>
      <w:r w:rsidRPr="00117CC1">
        <w:rPr>
          <w:rFonts w:ascii="Times New Roman" w:hAnsi="Times New Roman" w:cs="Times New Roman"/>
          <w:sz w:val="20"/>
          <w:szCs w:val="20"/>
        </w:rPr>
        <w:t>Not applicable</w:t>
      </w:r>
    </w:p>
    <w:p w14:paraId="2FF04C66" w14:textId="77777777" w:rsidR="00D64BE9" w:rsidRPr="001653A8" w:rsidRDefault="00D64BE9" w:rsidP="00D64BE9">
      <w:pPr>
        <w:jc w:val="both"/>
        <w:rPr>
          <w:rFonts w:ascii="Times New Roman" w:hAnsi="Times New Roman" w:cs="Times New Roman"/>
          <w:b/>
          <w:bCs/>
          <w:sz w:val="20"/>
          <w:szCs w:val="20"/>
        </w:rPr>
      </w:pPr>
      <w:r w:rsidRPr="001653A8">
        <w:rPr>
          <w:rFonts w:ascii="Times New Roman" w:hAnsi="Times New Roman" w:cs="Times New Roman"/>
          <w:b/>
          <w:bCs/>
          <w:sz w:val="20"/>
          <w:szCs w:val="20"/>
        </w:rPr>
        <w:t>Authors Contributions</w:t>
      </w:r>
    </w:p>
    <w:p w14:paraId="30AFBCB9" w14:textId="7BBDE5E3" w:rsidR="00D64BE9" w:rsidRDefault="00D64BE9" w:rsidP="00D64BE9">
      <w:pPr>
        <w:jc w:val="both"/>
        <w:rPr>
          <w:rFonts w:ascii="Times New Roman" w:hAnsi="Times New Roman" w:cs="Times New Roman"/>
          <w:sz w:val="20"/>
          <w:szCs w:val="20"/>
        </w:rPr>
      </w:pPr>
      <w:r w:rsidRPr="0063064E">
        <w:rPr>
          <w:rFonts w:ascii="Times New Roman" w:hAnsi="Times New Roman" w:cs="Times New Roman"/>
          <w:b/>
          <w:bCs/>
          <w:sz w:val="20"/>
          <w:szCs w:val="20"/>
        </w:rPr>
        <w:t>F.A</w:t>
      </w:r>
      <w:r>
        <w:rPr>
          <w:rFonts w:ascii="Times New Roman" w:hAnsi="Times New Roman" w:cs="Times New Roman"/>
          <w:b/>
          <w:bCs/>
          <w:sz w:val="20"/>
          <w:szCs w:val="20"/>
        </w:rPr>
        <w:t>-</w:t>
      </w:r>
      <w:r w:rsidRPr="0063064E">
        <w:rPr>
          <w:rFonts w:ascii="Times New Roman" w:hAnsi="Times New Roman" w:cs="Times New Roman"/>
          <w:b/>
          <w:bCs/>
          <w:sz w:val="20"/>
          <w:szCs w:val="20"/>
        </w:rPr>
        <w:t>M</w:t>
      </w:r>
      <w:r w:rsidRPr="00726440">
        <w:rPr>
          <w:rFonts w:ascii="Times New Roman" w:hAnsi="Times New Roman" w:cs="Times New Roman"/>
          <w:sz w:val="20"/>
          <w:szCs w:val="20"/>
        </w:rPr>
        <w:t>.: Conceptualization, Validation, Methodology, Formal Analysis, Writing- Original Draft, Software, Writing - Review &amp; Editing.</w:t>
      </w:r>
    </w:p>
    <w:p w14:paraId="60E7CC9D" w14:textId="77777777" w:rsidR="00D64BE9" w:rsidRDefault="00D64BE9" w:rsidP="00D64BE9">
      <w:pPr>
        <w:jc w:val="both"/>
        <w:rPr>
          <w:rFonts w:ascii="Times New Roman" w:hAnsi="Times New Roman" w:cs="Times New Roman"/>
          <w:sz w:val="20"/>
          <w:szCs w:val="20"/>
        </w:rPr>
      </w:pPr>
      <w:r w:rsidRPr="0063064E">
        <w:rPr>
          <w:rFonts w:ascii="Times New Roman" w:hAnsi="Times New Roman" w:cs="Times New Roman"/>
          <w:b/>
          <w:bCs/>
          <w:sz w:val="20"/>
          <w:szCs w:val="20"/>
        </w:rPr>
        <w:t>S.B-</w:t>
      </w:r>
      <w:proofErr w:type="gramStart"/>
      <w:r w:rsidRPr="0063064E">
        <w:rPr>
          <w:rFonts w:ascii="Times New Roman" w:hAnsi="Times New Roman" w:cs="Times New Roman"/>
          <w:b/>
          <w:bCs/>
          <w:sz w:val="20"/>
          <w:szCs w:val="20"/>
        </w:rPr>
        <w:t>A</w:t>
      </w:r>
      <w:r w:rsidRPr="00726440">
        <w:rPr>
          <w:rFonts w:ascii="Times New Roman" w:hAnsi="Times New Roman" w:cs="Times New Roman"/>
          <w:sz w:val="20"/>
          <w:szCs w:val="20"/>
        </w:rPr>
        <w:t xml:space="preserve"> :</w:t>
      </w:r>
      <w:proofErr w:type="gramEnd"/>
      <w:r w:rsidRPr="00726440">
        <w:rPr>
          <w:rFonts w:ascii="Times New Roman" w:hAnsi="Times New Roman" w:cs="Times New Roman"/>
          <w:sz w:val="20"/>
          <w:szCs w:val="20"/>
        </w:rPr>
        <w:t xml:space="preserve"> Visualization, Writing - Review &amp; Editing, Investigation, Methodology. Data Collection, Data Curation,</w:t>
      </w:r>
    </w:p>
    <w:p w14:paraId="37A180D9" w14:textId="714C92D3" w:rsidR="00D64BE9" w:rsidRDefault="00D64BE9" w:rsidP="00D64BE9">
      <w:pPr>
        <w:jc w:val="both"/>
        <w:rPr>
          <w:rFonts w:ascii="Times New Roman" w:hAnsi="Times New Roman" w:cs="Times New Roman"/>
          <w:sz w:val="20"/>
          <w:szCs w:val="20"/>
        </w:rPr>
      </w:pPr>
      <w:proofErr w:type="gramStart"/>
      <w:r>
        <w:rPr>
          <w:rFonts w:ascii="Times New Roman" w:hAnsi="Times New Roman" w:cs="Times New Roman"/>
          <w:b/>
          <w:bCs/>
          <w:sz w:val="20"/>
          <w:szCs w:val="20"/>
        </w:rPr>
        <w:t xml:space="preserve">F.N.A. </w:t>
      </w:r>
      <w:r w:rsidRPr="00726440">
        <w:rPr>
          <w:rFonts w:ascii="Times New Roman" w:hAnsi="Times New Roman" w:cs="Times New Roman"/>
          <w:sz w:val="20"/>
          <w:szCs w:val="20"/>
        </w:rPr>
        <w:t>:</w:t>
      </w:r>
      <w:proofErr w:type="gramEnd"/>
      <w:r w:rsidRPr="00726440">
        <w:rPr>
          <w:rFonts w:ascii="Times New Roman" w:hAnsi="Times New Roman" w:cs="Times New Roman"/>
          <w:sz w:val="20"/>
          <w:szCs w:val="20"/>
        </w:rPr>
        <w:t xml:space="preserve"> Validation, Writing - Review &amp; Editing, Visualization, Investigation</w:t>
      </w:r>
    </w:p>
    <w:p w14:paraId="49D8C831" w14:textId="3F2927F5" w:rsidR="00D64BE9" w:rsidRPr="00117CC1" w:rsidRDefault="00D64BE9" w:rsidP="00D64BE9">
      <w:pPr>
        <w:jc w:val="both"/>
        <w:rPr>
          <w:rFonts w:ascii="Times New Roman" w:hAnsi="Times New Roman" w:cs="Times New Roman"/>
          <w:sz w:val="20"/>
          <w:szCs w:val="20"/>
        </w:rPr>
      </w:pPr>
      <w:r>
        <w:rPr>
          <w:rFonts w:ascii="Times New Roman" w:hAnsi="Times New Roman" w:cs="Times New Roman"/>
          <w:b/>
          <w:bCs/>
          <w:sz w:val="20"/>
          <w:szCs w:val="20"/>
        </w:rPr>
        <w:lastRenderedPageBreak/>
        <w:t>AK</w:t>
      </w:r>
      <w:r w:rsidRPr="00726440">
        <w:rPr>
          <w:rFonts w:ascii="Times New Roman" w:hAnsi="Times New Roman" w:cs="Times New Roman"/>
          <w:sz w:val="20"/>
          <w:szCs w:val="20"/>
        </w:rPr>
        <w:t>.: Visualization, Validation, Writing - Review &amp; Editing, Investigation.</w:t>
      </w:r>
    </w:p>
    <w:p w14:paraId="7A6E9679" w14:textId="77777777" w:rsidR="00612B51" w:rsidRPr="00DA4677" w:rsidRDefault="00612B51" w:rsidP="00612B51">
      <w:pPr>
        <w:jc w:val="both"/>
        <w:rPr>
          <w:rFonts w:ascii="Times New Roman" w:hAnsi="Times New Roman" w:cs="Times New Roman"/>
          <w:sz w:val="20"/>
          <w:szCs w:val="20"/>
        </w:rPr>
      </w:pPr>
    </w:p>
    <w:p w14:paraId="7773633B" w14:textId="77777777" w:rsidR="00140863" w:rsidRDefault="00140863" w:rsidP="00140863">
      <w:r>
        <w:t>Disclaimer (Artificial intelligence)</w:t>
      </w:r>
    </w:p>
    <w:p w14:paraId="20B2D6E1" w14:textId="77777777" w:rsidR="00140863" w:rsidRDefault="00140863" w:rsidP="00140863">
      <w:r>
        <w:t xml:space="preserve">Option 1: </w:t>
      </w:r>
    </w:p>
    <w:p w14:paraId="07EA46BD" w14:textId="77777777" w:rsidR="00140863" w:rsidRDefault="00140863" w:rsidP="00140863">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41A881B3" w14:textId="77777777" w:rsidR="00140863" w:rsidRDefault="00140863" w:rsidP="00140863">
      <w:r>
        <w:t xml:space="preserve">Option 2: </w:t>
      </w:r>
    </w:p>
    <w:p w14:paraId="78847CFA" w14:textId="77777777" w:rsidR="00140863" w:rsidRDefault="00140863" w:rsidP="00140863">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BB7191" w14:textId="77777777" w:rsidR="00140863" w:rsidRDefault="00140863" w:rsidP="00140863">
      <w:r>
        <w:t>Details of the AI usage are given below:</w:t>
      </w:r>
    </w:p>
    <w:p w14:paraId="6B008D22" w14:textId="77777777" w:rsidR="00140863" w:rsidRDefault="00140863" w:rsidP="00140863">
      <w:r>
        <w:t>1.</w:t>
      </w:r>
    </w:p>
    <w:p w14:paraId="0F3339CE" w14:textId="77777777" w:rsidR="00140863" w:rsidRDefault="00140863" w:rsidP="00140863">
      <w:r>
        <w:t>2.</w:t>
      </w:r>
    </w:p>
    <w:p w14:paraId="3B3D4F68" w14:textId="77777777" w:rsidR="00140863" w:rsidRPr="00D047BB" w:rsidRDefault="00140863" w:rsidP="00140863">
      <w:r>
        <w:t>3.</w:t>
      </w:r>
    </w:p>
    <w:p w14:paraId="3A1C0BC5" w14:textId="77777777" w:rsidR="00140863" w:rsidRPr="0063354D" w:rsidRDefault="00140863" w:rsidP="00140863"/>
    <w:p w14:paraId="60FC46E0" w14:textId="77777777" w:rsidR="00140863" w:rsidRPr="00F7241A" w:rsidRDefault="00140863" w:rsidP="00140863"/>
    <w:p w14:paraId="7F8FAA0C" w14:textId="77777777" w:rsidR="00612B51" w:rsidRPr="00DA4677" w:rsidRDefault="001D4AFD" w:rsidP="00612B51">
      <w:pPr>
        <w:rPr>
          <w:rFonts w:ascii="Times New Roman" w:hAnsi="Times New Roman" w:cs="Times New Roman"/>
          <w:b/>
          <w:bCs/>
          <w:sz w:val="20"/>
          <w:szCs w:val="20"/>
        </w:rPr>
      </w:pPr>
      <w:r w:rsidRPr="00DA4677">
        <w:rPr>
          <w:rFonts w:ascii="Times New Roman" w:hAnsi="Times New Roman" w:cs="Times New Roman"/>
          <w:b/>
          <w:bCs/>
          <w:sz w:val="20"/>
          <w:szCs w:val="20"/>
        </w:rPr>
        <w:t>References</w:t>
      </w:r>
      <w:bookmarkStart w:id="8" w:name="_Hlk211485127"/>
      <w:r w:rsidRPr="00DA4677">
        <w:rPr>
          <w:rFonts w:ascii="Times New Roman" w:hAnsi="Times New Roman" w:cs="Times New Roman"/>
          <w:b/>
          <w:bCs/>
          <w:vanish/>
          <w:sz w:val="20"/>
          <w:szCs w:val="20"/>
        </w:rPr>
        <w:t>Bottom of Form</w:t>
      </w:r>
    </w:p>
    <w:p w14:paraId="457B8592"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Abu </w:t>
      </w:r>
      <w:proofErr w:type="spellStart"/>
      <w:r w:rsidRPr="00DA4677">
        <w:rPr>
          <w:rFonts w:ascii="Times New Roman" w:hAnsi="Times New Roman" w:cs="Times New Roman"/>
          <w:sz w:val="20"/>
          <w:szCs w:val="20"/>
        </w:rPr>
        <w:t>Bonsra</w:t>
      </w:r>
      <w:proofErr w:type="spellEnd"/>
      <w:r w:rsidRPr="00DA4677">
        <w:rPr>
          <w:rFonts w:ascii="Times New Roman" w:hAnsi="Times New Roman" w:cs="Times New Roman"/>
          <w:sz w:val="20"/>
          <w:szCs w:val="20"/>
        </w:rPr>
        <w:t xml:space="preserve">, E., Justice, B., &amp; </w:t>
      </w:r>
      <w:proofErr w:type="spellStart"/>
      <w:r w:rsidRPr="00DA4677">
        <w:rPr>
          <w:rFonts w:ascii="Times New Roman" w:hAnsi="Times New Roman" w:cs="Times New Roman"/>
          <w:sz w:val="20"/>
          <w:szCs w:val="20"/>
        </w:rPr>
        <w:t>Ananga</w:t>
      </w:r>
      <w:proofErr w:type="spellEnd"/>
      <w:r w:rsidRPr="00DA4677">
        <w:rPr>
          <w:rFonts w:ascii="Times New Roman" w:hAnsi="Times New Roman" w:cs="Times New Roman"/>
          <w:sz w:val="20"/>
          <w:szCs w:val="20"/>
        </w:rPr>
        <w:t xml:space="preserve">, M. K. (2025). Suicidal behaviors among adults living with cancer in Ghana: prevalence and associated risk factors. </w:t>
      </w:r>
      <w:r w:rsidRPr="00DA4677">
        <w:rPr>
          <w:rFonts w:ascii="Times New Roman" w:hAnsi="Times New Roman" w:cs="Times New Roman"/>
          <w:i/>
          <w:iCs/>
          <w:sz w:val="20"/>
          <w:szCs w:val="20"/>
        </w:rPr>
        <w:t>BMC psychology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13</w:t>
      </w:r>
      <w:r w:rsidRPr="00DA4677">
        <w:rPr>
          <w:rFonts w:ascii="Times New Roman" w:hAnsi="Times New Roman" w:cs="Times New Roman"/>
          <w:sz w:val="20"/>
          <w:szCs w:val="20"/>
        </w:rPr>
        <w:t>(1), 1-15.</w:t>
      </w:r>
    </w:p>
    <w:p w14:paraId="2EC00B94" w14:textId="77777777" w:rsidR="00612B51"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Amaeshi</w:t>
      </w:r>
      <w:proofErr w:type="spellEnd"/>
      <w:r w:rsidRPr="00DA4677">
        <w:rPr>
          <w:rFonts w:ascii="Times New Roman" w:hAnsi="Times New Roman" w:cs="Times New Roman"/>
          <w:sz w:val="20"/>
          <w:szCs w:val="20"/>
        </w:rPr>
        <w:t xml:space="preserve">, L. C., </w:t>
      </w:r>
      <w:proofErr w:type="spellStart"/>
      <w:r w:rsidRPr="00DA4677">
        <w:rPr>
          <w:rFonts w:ascii="Times New Roman" w:hAnsi="Times New Roman" w:cs="Times New Roman"/>
          <w:sz w:val="20"/>
          <w:szCs w:val="20"/>
        </w:rPr>
        <w:t>Okunade</w:t>
      </w:r>
      <w:proofErr w:type="spellEnd"/>
      <w:r w:rsidRPr="00DA4677">
        <w:rPr>
          <w:rFonts w:ascii="Times New Roman" w:hAnsi="Times New Roman" w:cs="Times New Roman"/>
          <w:sz w:val="20"/>
          <w:szCs w:val="20"/>
        </w:rPr>
        <w:t xml:space="preserve">, K. S., &amp; </w:t>
      </w:r>
      <w:proofErr w:type="spellStart"/>
      <w:r w:rsidRPr="00DA4677">
        <w:rPr>
          <w:rFonts w:ascii="Times New Roman" w:hAnsi="Times New Roman" w:cs="Times New Roman"/>
          <w:sz w:val="20"/>
          <w:szCs w:val="20"/>
        </w:rPr>
        <w:t>Anorlu</w:t>
      </w:r>
      <w:proofErr w:type="spellEnd"/>
      <w:r w:rsidRPr="00DA4677">
        <w:rPr>
          <w:rFonts w:ascii="Times New Roman" w:hAnsi="Times New Roman" w:cs="Times New Roman"/>
          <w:sz w:val="20"/>
          <w:szCs w:val="20"/>
        </w:rPr>
        <w:t xml:space="preserve">, R. I. (2025). Current landscape of cancer genomics research in sub-Saharan Africa–a review of literature. </w:t>
      </w:r>
      <w:r w:rsidRPr="00DA4677">
        <w:rPr>
          <w:rFonts w:ascii="Times New Roman" w:hAnsi="Times New Roman" w:cs="Times New Roman"/>
          <w:i/>
          <w:iCs/>
          <w:sz w:val="20"/>
          <w:szCs w:val="20"/>
        </w:rPr>
        <w:t>Frontiers in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 1512005.</w:t>
      </w:r>
    </w:p>
    <w:p w14:paraId="188908EE" w14:textId="77777777" w:rsidR="00612B51" w:rsidRPr="00DA4677" w:rsidRDefault="001D4AFD" w:rsidP="00612B51">
      <w:pPr>
        <w:rPr>
          <w:rFonts w:ascii="Times New Roman" w:hAnsi="Times New Roman" w:cs="Times New Roman"/>
          <w:sz w:val="20"/>
          <w:szCs w:val="20"/>
        </w:rPr>
      </w:pPr>
      <w:r w:rsidRPr="00E643DC">
        <w:rPr>
          <w:rFonts w:ascii="Times New Roman" w:hAnsi="Times New Roman" w:cs="Times New Roman"/>
          <w:sz w:val="20"/>
          <w:szCs w:val="20"/>
        </w:rPr>
        <w:t xml:space="preserve">Aziz, M. K., Molony, D., </w:t>
      </w:r>
      <w:proofErr w:type="spellStart"/>
      <w:r w:rsidRPr="00E643DC">
        <w:rPr>
          <w:rFonts w:ascii="Times New Roman" w:hAnsi="Times New Roman" w:cs="Times New Roman"/>
          <w:sz w:val="20"/>
          <w:szCs w:val="20"/>
        </w:rPr>
        <w:t>Monlezun</w:t>
      </w:r>
      <w:proofErr w:type="spellEnd"/>
      <w:r w:rsidRPr="00E643DC">
        <w:rPr>
          <w:rFonts w:ascii="Times New Roman" w:hAnsi="Times New Roman" w:cs="Times New Roman"/>
          <w:sz w:val="20"/>
          <w:szCs w:val="20"/>
        </w:rPr>
        <w:t xml:space="preserve">, D., Holder, T., </w:t>
      </w:r>
      <w:proofErr w:type="spellStart"/>
      <w:r w:rsidRPr="00E643DC">
        <w:rPr>
          <w:rFonts w:ascii="Times New Roman" w:hAnsi="Times New Roman" w:cs="Times New Roman"/>
          <w:sz w:val="20"/>
          <w:szCs w:val="20"/>
        </w:rPr>
        <w:t>Brunckhorst</w:t>
      </w:r>
      <w:proofErr w:type="spellEnd"/>
      <w:r w:rsidRPr="00E643DC">
        <w:rPr>
          <w:rFonts w:ascii="Times New Roman" w:hAnsi="Times New Roman" w:cs="Times New Roman"/>
          <w:sz w:val="20"/>
          <w:szCs w:val="20"/>
        </w:rPr>
        <w:t>,</w:t>
      </w:r>
      <w:r w:rsidRPr="00DA4677">
        <w:rPr>
          <w:rFonts w:ascii="Times New Roman" w:hAnsi="Times New Roman" w:cs="Times New Roman"/>
          <w:sz w:val="20"/>
          <w:szCs w:val="20"/>
        </w:rPr>
        <w:t xml:space="preserve"> O., </w:t>
      </w:r>
      <w:proofErr w:type="spellStart"/>
      <w:r w:rsidRPr="00DA4677">
        <w:rPr>
          <w:rFonts w:ascii="Times New Roman" w:hAnsi="Times New Roman" w:cs="Times New Roman"/>
          <w:sz w:val="20"/>
          <w:szCs w:val="20"/>
        </w:rPr>
        <w:t>Higgason</w:t>
      </w:r>
      <w:proofErr w:type="spellEnd"/>
      <w:r w:rsidRPr="00DA4677">
        <w:rPr>
          <w:rFonts w:ascii="Times New Roman" w:hAnsi="Times New Roman" w:cs="Times New Roman"/>
          <w:sz w:val="20"/>
          <w:szCs w:val="20"/>
        </w:rPr>
        <w:t xml:space="preserve">, N., ... &amp; Canfield, S. (2025). Prostate cancer therapy Cardiotoxicity map (PROXMAP) for advanced disease States: a Systematic review and network Meta-analysis with Bayesian modeling of treatment Histories. </w:t>
      </w:r>
      <w:r w:rsidRPr="00DA4677">
        <w:rPr>
          <w:rFonts w:ascii="Times New Roman" w:hAnsi="Times New Roman" w:cs="Times New Roman"/>
          <w:i/>
          <w:iCs/>
          <w:sz w:val="20"/>
          <w:szCs w:val="20"/>
        </w:rPr>
        <w:t>European urology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87</w:t>
      </w:r>
      <w:r w:rsidRPr="00DA4677">
        <w:rPr>
          <w:rFonts w:ascii="Times New Roman" w:hAnsi="Times New Roman" w:cs="Times New Roman"/>
          <w:sz w:val="20"/>
          <w:szCs w:val="20"/>
        </w:rPr>
        <w:t>(1), 15-26.</w:t>
      </w:r>
    </w:p>
    <w:p w14:paraId="5C2855F8"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Belkahla</w:t>
      </w:r>
      <w:proofErr w:type="spellEnd"/>
      <w:r w:rsidRPr="00DA4677">
        <w:rPr>
          <w:rFonts w:ascii="Times New Roman" w:hAnsi="Times New Roman" w:cs="Times New Roman"/>
          <w:sz w:val="20"/>
          <w:szCs w:val="20"/>
        </w:rPr>
        <w:t xml:space="preserve">, S., </w:t>
      </w:r>
      <w:proofErr w:type="spellStart"/>
      <w:r w:rsidRPr="00DA4677">
        <w:rPr>
          <w:rFonts w:ascii="Times New Roman" w:hAnsi="Times New Roman" w:cs="Times New Roman"/>
          <w:sz w:val="20"/>
          <w:szCs w:val="20"/>
        </w:rPr>
        <w:t>Nahvi</w:t>
      </w:r>
      <w:proofErr w:type="spellEnd"/>
      <w:r w:rsidRPr="00DA4677">
        <w:rPr>
          <w:rFonts w:ascii="Times New Roman" w:hAnsi="Times New Roman" w:cs="Times New Roman"/>
          <w:sz w:val="20"/>
          <w:szCs w:val="20"/>
        </w:rPr>
        <w:t xml:space="preserve">, I., Biswas, S., </w:t>
      </w:r>
      <w:proofErr w:type="spellStart"/>
      <w:r w:rsidRPr="00DA4677">
        <w:rPr>
          <w:rFonts w:ascii="Times New Roman" w:hAnsi="Times New Roman" w:cs="Times New Roman"/>
          <w:sz w:val="20"/>
          <w:szCs w:val="20"/>
        </w:rPr>
        <w:t>Nahvi</w:t>
      </w:r>
      <w:proofErr w:type="spellEnd"/>
      <w:r w:rsidRPr="00DA4677">
        <w:rPr>
          <w:rFonts w:ascii="Times New Roman" w:hAnsi="Times New Roman" w:cs="Times New Roman"/>
          <w:sz w:val="20"/>
          <w:szCs w:val="20"/>
        </w:rPr>
        <w:t xml:space="preserve">, I., &amp; Ben Amor, N. (2022). Advances and development of prostate cancer, treatment, and strategies: A systemic review. </w:t>
      </w:r>
      <w:r w:rsidRPr="00DA4677">
        <w:rPr>
          <w:rFonts w:ascii="Times New Roman" w:hAnsi="Times New Roman" w:cs="Times New Roman"/>
          <w:i/>
          <w:iCs/>
          <w:sz w:val="20"/>
          <w:szCs w:val="20"/>
        </w:rPr>
        <w:t>Frontiers in Cell and Developmental Biology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10</w:t>
      </w:r>
      <w:r w:rsidRPr="00DA4677">
        <w:rPr>
          <w:rFonts w:ascii="Times New Roman" w:hAnsi="Times New Roman" w:cs="Times New Roman"/>
          <w:sz w:val="20"/>
          <w:szCs w:val="20"/>
        </w:rPr>
        <w:t>, 991330.</w:t>
      </w:r>
    </w:p>
    <w:p w14:paraId="1276FE30"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Bhandari, R., Chen, Y., Chow, E. J., Howell, R. M., Kenney, L. B., Krull, K. R., ... &amp; Armenian, S. H. (2025). Health Outcomes Beyond Age 50 Years in Survivors of Childhood Cancer: A Report </w:t>
      </w:r>
      <w:proofErr w:type="gramStart"/>
      <w:r w:rsidRPr="00DA4677">
        <w:rPr>
          <w:rFonts w:ascii="Times New Roman" w:hAnsi="Times New Roman" w:cs="Times New Roman"/>
          <w:sz w:val="20"/>
          <w:szCs w:val="20"/>
        </w:rPr>
        <w:t>From</w:t>
      </w:r>
      <w:proofErr w:type="gramEnd"/>
      <w:r w:rsidRPr="00DA4677">
        <w:rPr>
          <w:rFonts w:ascii="Times New Roman" w:hAnsi="Times New Roman" w:cs="Times New Roman"/>
          <w:sz w:val="20"/>
          <w:szCs w:val="20"/>
        </w:rPr>
        <w:t xml:space="preserve"> the Childhood Cancer Survivor Study. </w:t>
      </w:r>
      <w:r w:rsidRPr="00DA4677">
        <w:rPr>
          <w:rFonts w:ascii="Times New Roman" w:hAnsi="Times New Roman" w:cs="Times New Roman"/>
          <w:i/>
          <w:iCs/>
          <w:sz w:val="20"/>
          <w:szCs w:val="20"/>
        </w:rPr>
        <w:t>Journal of Clinical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43</w:t>
      </w:r>
      <w:r w:rsidRPr="00DA4677">
        <w:rPr>
          <w:rFonts w:ascii="Times New Roman" w:hAnsi="Times New Roman" w:cs="Times New Roman"/>
          <w:sz w:val="20"/>
          <w:szCs w:val="20"/>
        </w:rPr>
        <w:t>(27), 2998-3010.</w:t>
      </w:r>
    </w:p>
    <w:p w14:paraId="7A022AE9"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Bosson-Amedenu</w:t>
      </w:r>
      <w:proofErr w:type="spellEnd"/>
      <w:r w:rsidRPr="00DA4677">
        <w:rPr>
          <w:rFonts w:ascii="Times New Roman" w:hAnsi="Times New Roman" w:cs="Times New Roman"/>
          <w:sz w:val="20"/>
          <w:szCs w:val="20"/>
        </w:rPr>
        <w:t xml:space="preserve">, S., Turkson, A. J., </w:t>
      </w:r>
      <w:proofErr w:type="spellStart"/>
      <w:r w:rsidRPr="00DA4677">
        <w:rPr>
          <w:rFonts w:ascii="Times New Roman" w:hAnsi="Times New Roman" w:cs="Times New Roman"/>
          <w:sz w:val="20"/>
          <w:szCs w:val="20"/>
        </w:rPr>
        <w:t>Ayitey</w:t>
      </w:r>
      <w:proofErr w:type="spellEnd"/>
      <w:r w:rsidRPr="00DA4677">
        <w:rPr>
          <w:rFonts w:ascii="Times New Roman" w:hAnsi="Times New Roman" w:cs="Times New Roman"/>
          <w:sz w:val="20"/>
          <w:szCs w:val="20"/>
        </w:rPr>
        <w:t xml:space="preserve">, E., </w:t>
      </w:r>
      <w:proofErr w:type="spellStart"/>
      <w:r w:rsidRPr="00DA4677">
        <w:rPr>
          <w:rFonts w:ascii="Times New Roman" w:hAnsi="Times New Roman" w:cs="Times New Roman"/>
          <w:sz w:val="20"/>
          <w:szCs w:val="20"/>
        </w:rPr>
        <w:t>Baah</w:t>
      </w:r>
      <w:proofErr w:type="spellEnd"/>
      <w:r w:rsidRPr="00DA4677">
        <w:rPr>
          <w:rFonts w:ascii="Times New Roman" w:hAnsi="Times New Roman" w:cs="Times New Roman"/>
          <w:sz w:val="20"/>
          <w:szCs w:val="20"/>
        </w:rPr>
        <w:t xml:space="preserve">, E. M., </w:t>
      </w:r>
      <w:proofErr w:type="spellStart"/>
      <w:r w:rsidRPr="00DA4677">
        <w:rPr>
          <w:rFonts w:ascii="Times New Roman" w:hAnsi="Times New Roman" w:cs="Times New Roman"/>
          <w:sz w:val="20"/>
          <w:szCs w:val="20"/>
        </w:rPr>
        <w:t>Ayiah</w:t>
      </w:r>
      <w:proofErr w:type="spellEnd"/>
      <w:r w:rsidRPr="00DA4677">
        <w:rPr>
          <w:rFonts w:ascii="Times New Roman" w:hAnsi="Times New Roman" w:cs="Times New Roman"/>
          <w:sz w:val="20"/>
          <w:szCs w:val="20"/>
        </w:rPr>
        <w:t xml:space="preserve">-Mensah, F., &amp; </w:t>
      </w:r>
      <w:proofErr w:type="spellStart"/>
      <w:r w:rsidRPr="00DA4677">
        <w:rPr>
          <w:rFonts w:ascii="Times New Roman" w:hAnsi="Times New Roman" w:cs="Times New Roman"/>
          <w:sz w:val="20"/>
          <w:szCs w:val="20"/>
        </w:rPr>
        <w:t>Addor</w:t>
      </w:r>
      <w:proofErr w:type="spellEnd"/>
      <w:r w:rsidRPr="00DA4677">
        <w:rPr>
          <w:rFonts w:ascii="Times New Roman" w:hAnsi="Times New Roman" w:cs="Times New Roman"/>
          <w:sz w:val="20"/>
          <w:szCs w:val="20"/>
        </w:rPr>
        <w:t xml:space="preserve">, J. A. (2025). Covariate-Stratified Analysis of Prostate Cancer and Competing Risk Mortality in Ghana: A Bootstrapped Survival Analysis Approach. </w:t>
      </w:r>
      <w:r w:rsidRPr="00DA4677">
        <w:rPr>
          <w:rFonts w:ascii="Times New Roman" w:hAnsi="Times New Roman" w:cs="Times New Roman"/>
          <w:i/>
          <w:iCs/>
          <w:sz w:val="20"/>
          <w:szCs w:val="20"/>
        </w:rPr>
        <w:t>Scientific African</w:t>
      </w:r>
      <w:r w:rsidRPr="00DA4677">
        <w:rPr>
          <w:rFonts w:ascii="Times New Roman" w:hAnsi="Times New Roman" w:cs="Times New Roman"/>
          <w:sz w:val="20"/>
          <w:szCs w:val="20"/>
        </w:rPr>
        <w:t>, e02882.</w:t>
      </w:r>
    </w:p>
    <w:p w14:paraId="403524AE"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Dadee-Seshie</w:t>
      </w:r>
      <w:proofErr w:type="spellEnd"/>
      <w:r w:rsidRPr="00DA4677">
        <w:rPr>
          <w:rFonts w:ascii="Times New Roman" w:hAnsi="Times New Roman" w:cs="Times New Roman"/>
          <w:sz w:val="20"/>
          <w:szCs w:val="20"/>
        </w:rPr>
        <w:t xml:space="preserve">, D. S., </w:t>
      </w:r>
      <w:proofErr w:type="spellStart"/>
      <w:r w:rsidRPr="00DA4677">
        <w:rPr>
          <w:rFonts w:ascii="Times New Roman" w:hAnsi="Times New Roman" w:cs="Times New Roman"/>
          <w:sz w:val="20"/>
          <w:szCs w:val="20"/>
        </w:rPr>
        <w:t>Agbeteti</w:t>
      </w:r>
      <w:proofErr w:type="spellEnd"/>
      <w:r w:rsidRPr="00DA4677">
        <w:rPr>
          <w:rFonts w:ascii="Times New Roman" w:hAnsi="Times New Roman" w:cs="Times New Roman"/>
          <w:sz w:val="20"/>
          <w:szCs w:val="20"/>
        </w:rPr>
        <w:t xml:space="preserve">, S. G., </w:t>
      </w:r>
      <w:proofErr w:type="spellStart"/>
      <w:r w:rsidRPr="00DA4677">
        <w:rPr>
          <w:rFonts w:ascii="Times New Roman" w:hAnsi="Times New Roman" w:cs="Times New Roman"/>
          <w:sz w:val="20"/>
          <w:szCs w:val="20"/>
        </w:rPr>
        <w:t>Kpankyaano</w:t>
      </w:r>
      <w:proofErr w:type="spellEnd"/>
      <w:r w:rsidRPr="00DA4677">
        <w:rPr>
          <w:rFonts w:ascii="Times New Roman" w:hAnsi="Times New Roman" w:cs="Times New Roman"/>
          <w:sz w:val="20"/>
          <w:szCs w:val="20"/>
        </w:rPr>
        <w:t xml:space="preserve">, B., Adamu, A. F., </w:t>
      </w:r>
      <w:proofErr w:type="spellStart"/>
      <w:r w:rsidRPr="00DA4677">
        <w:rPr>
          <w:rFonts w:ascii="Times New Roman" w:hAnsi="Times New Roman" w:cs="Times New Roman"/>
          <w:sz w:val="20"/>
          <w:szCs w:val="20"/>
        </w:rPr>
        <w:t>Adanu</w:t>
      </w:r>
      <w:proofErr w:type="spellEnd"/>
      <w:r w:rsidRPr="00DA4677">
        <w:rPr>
          <w:rFonts w:ascii="Times New Roman" w:hAnsi="Times New Roman" w:cs="Times New Roman"/>
          <w:sz w:val="20"/>
          <w:szCs w:val="20"/>
        </w:rPr>
        <w:t xml:space="preserve">, S. K., Alhassan, Y., &amp; </w:t>
      </w:r>
      <w:proofErr w:type="spellStart"/>
      <w:r w:rsidRPr="00DA4677">
        <w:rPr>
          <w:rFonts w:ascii="Times New Roman" w:hAnsi="Times New Roman" w:cs="Times New Roman"/>
          <w:sz w:val="20"/>
          <w:szCs w:val="20"/>
        </w:rPr>
        <w:t>Adanu</w:t>
      </w:r>
      <w:proofErr w:type="spellEnd"/>
      <w:r w:rsidRPr="00DA4677">
        <w:rPr>
          <w:rFonts w:ascii="Times New Roman" w:hAnsi="Times New Roman" w:cs="Times New Roman"/>
          <w:sz w:val="20"/>
          <w:szCs w:val="20"/>
        </w:rPr>
        <w:t xml:space="preserve">, K. K. (2025). Productivity losses and treatment cost of Benign Prostatic Hyperplasia in Ghana. </w:t>
      </w:r>
      <w:proofErr w:type="spellStart"/>
      <w:r w:rsidRPr="00DA4677">
        <w:rPr>
          <w:rFonts w:ascii="Times New Roman" w:hAnsi="Times New Roman" w:cs="Times New Roman"/>
          <w:i/>
          <w:iCs/>
          <w:sz w:val="20"/>
          <w:szCs w:val="20"/>
        </w:rPr>
        <w:t>medRxiv</w:t>
      </w:r>
      <w:proofErr w:type="spellEnd"/>
      <w:r w:rsidRPr="00DA4677">
        <w:rPr>
          <w:rFonts w:ascii="Times New Roman" w:hAnsi="Times New Roman" w:cs="Times New Roman"/>
          <w:sz w:val="20"/>
          <w:szCs w:val="20"/>
        </w:rPr>
        <w:t>, 2025-03.</w:t>
      </w:r>
    </w:p>
    <w:p w14:paraId="51CD00C0"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Daniels, J., </w:t>
      </w:r>
      <w:proofErr w:type="spellStart"/>
      <w:r w:rsidRPr="00DA4677">
        <w:rPr>
          <w:rFonts w:ascii="Times New Roman" w:hAnsi="Times New Roman" w:cs="Times New Roman"/>
          <w:sz w:val="20"/>
          <w:szCs w:val="20"/>
        </w:rPr>
        <w:t>Kyei</w:t>
      </w:r>
      <w:proofErr w:type="spellEnd"/>
      <w:r w:rsidRPr="00DA4677">
        <w:rPr>
          <w:rFonts w:ascii="Times New Roman" w:hAnsi="Times New Roman" w:cs="Times New Roman"/>
          <w:sz w:val="20"/>
          <w:szCs w:val="20"/>
        </w:rPr>
        <w:t xml:space="preserve">, K. A., Frimpong-Boateng, P. D., &amp; Nyantakyi, A. Y. (2025). Sexual function outcomes in prostate and cervical cancer patients treated with radiotherapy in sub-Saharan Africa: A cross-sectional study. </w:t>
      </w:r>
      <w:proofErr w:type="spellStart"/>
      <w:r w:rsidRPr="00DA4677">
        <w:rPr>
          <w:rFonts w:ascii="Times New Roman" w:hAnsi="Times New Roman" w:cs="Times New Roman"/>
          <w:i/>
          <w:iCs/>
          <w:sz w:val="20"/>
          <w:szCs w:val="20"/>
        </w:rPr>
        <w:t>PLoS</w:t>
      </w:r>
      <w:proofErr w:type="spellEnd"/>
      <w:r w:rsidRPr="00DA4677">
        <w:rPr>
          <w:rFonts w:ascii="Times New Roman" w:hAnsi="Times New Roman" w:cs="Times New Roman"/>
          <w:i/>
          <w:iCs/>
          <w:sz w:val="20"/>
          <w:szCs w:val="20"/>
        </w:rPr>
        <w:t xml:space="preserve"> One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20</w:t>
      </w:r>
      <w:r w:rsidRPr="00DA4677">
        <w:rPr>
          <w:rFonts w:ascii="Times New Roman" w:hAnsi="Times New Roman" w:cs="Times New Roman"/>
          <w:sz w:val="20"/>
          <w:szCs w:val="20"/>
        </w:rPr>
        <w:t>(5), e0324662.</w:t>
      </w:r>
    </w:p>
    <w:p w14:paraId="40A2A1E9"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Dee, E. C., Iyengar, R., Narayan, A., Feliciano, E. J. G., Wu, J. F., Ho, F. D. V., ... &amp; Nguyen, P. L. (2025). National cancer system characteristics and prostate cancer outcomes: an analysis of global data. </w:t>
      </w:r>
      <w:r w:rsidRPr="00DA4677">
        <w:rPr>
          <w:rFonts w:ascii="Times New Roman" w:hAnsi="Times New Roman" w:cs="Times New Roman"/>
          <w:i/>
          <w:iCs/>
          <w:sz w:val="20"/>
          <w:szCs w:val="20"/>
        </w:rPr>
        <w:t>The Prostate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85</w:t>
      </w:r>
      <w:r w:rsidRPr="00DA4677">
        <w:rPr>
          <w:rFonts w:ascii="Times New Roman" w:hAnsi="Times New Roman" w:cs="Times New Roman"/>
          <w:sz w:val="20"/>
          <w:szCs w:val="20"/>
        </w:rPr>
        <w:t>(10), 947-953.</w:t>
      </w:r>
    </w:p>
    <w:p w14:paraId="3A2A5185"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lastRenderedPageBreak/>
        <w:t xml:space="preserve">Der, E. M., </w:t>
      </w:r>
      <w:proofErr w:type="spellStart"/>
      <w:r w:rsidRPr="00DA4677">
        <w:rPr>
          <w:rFonts w:ascii="Times New Roman" w:hAnsi="Times New Roman" w:cs="Times New Roman"/>
          <w:sz w:val="20"/>
          <w:szCs w:val="20"/>
        </w:rPr>
        <w:t>Muntaka</w:t>
      </w:r>
      <w:proofErr w:type="spellEnd"/>
      <w:r w:rsidRPr="00DA4677">
        <w:rPr>
          <w:rFonts w:ascii="Times New Roman" w:hAnsi="Times New Roman" w:cs="Times New Roman"/>
          <w:sz w:val="20"/>
          <w:szCs w:val="20"/>
        </w:rPr>
        <w:t xml:space="preserve">, A. J. M., &amp; </w:t>
      </w:r>
      <w:proofErr w:type="spellStart"/>
      <w:r w:rsidRPr="00DA4677">
        <w:rPr>
          <w:rFonts w:ascii="Times New Roman" w:hAnsi="Times New Roman" w:cs="Times New Roman"/>
          <w:sz w:val="20"/>
          <w:szCs w:val="20"/>
        </w:rPr>
        <w:t>Yenli</w:t>
      </w:r>
      <w:proofErr w:type="spellEnd"/>
      <w:r w:rsidRPr="00DA4677">
        <w:rPr>
          <w:rFonts w:ascii="Times New Roman" w:hAnsi="Times New Roman" w:cs="Times New Roman"/>
          <w:sz w:val="20"/>
          <w:szCs w:val="20"/>
        </w:rPr>
        <w:t xml:space="preserve">, E. M. T. (2025). The patterns of primary male genitourinary cancers in a tertiary referral hospital in northern Ghana. </w:t>
      </w:r>
      <w:r w:rsidRPr="00DA4677">
        <w:rPr>
          <w:rFonts w:ascii="Times New Roman" w:hAnsi="Times New Roman" w:cs="Times New Roman"/>
          <w:i/>
          <w:iCs/>
          <w:sz w:val="20"/>
          <w:szCs w:val="20"/>
        </w:rPr>
        <w:t>African Urology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5</w:t>
      </w:r>
      <w:r w:rsidRPr="00DA4677">
        <w:rPr>
          <w:rFonts w:ascii="Times New Roman" w:hAnsi="Times New Roman" w:cs="Times New Roman"/>
          <w:sz w:val="20"/>
          <w:szCs w:val="20"/>
        </w:rPr>
        <w:t>(1), 47-52.</w:t>
      </w:r>
    </w:p>
    <w:p w14:paraId="0486280C"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Dlamini, Z., </w:t>
      </w:r>
      <w:proofErr w:type="spellStart"/>
      <w:r w:rsidRPr="00DA4677">
        <w:rPr>
          <w:rFonts w:ascii="Times New Roman" w:hAnsi="Times New Roman" w:cs="Times New Roman"/>
          <w:sz w:val="20"/>
          <w:szCs w:val="20"/>
        </w:rPr>
        <w:t>Alaouna</w:t>
      </w:r>
      <w:proofErr w:type="spellEnd"/>
      <w:r w:rsidRPr="00DA4677">
        <w:rPr>
          <w:rFonts w:ascii="Times New Roman" w:hAnsi="Times New Roman" w:cs="Times New Roman"/>
          <w:sz w:val="20"/>
          <w:szCs w:val="20"/>
        </w:rPr>
        <w:t xml:space="preserve">, M., </w:t>
      </w:r>
      <w:proofErr w:type="spellStart"/>
      <w:r w:rsidRPr="00DA4677">
        <w:rPr>
          <w:rFonts w:ascii="Times New Roman" w:hAnsi="Times New Roman" w:cs="Times New Roman"/>
          <w:sz w:val="20"/>
          <w:szCs w:val="20"/>
        </w:rPr>
        <w:t>Marutha</w:t>
      </w:r>
      <w:proofErr w:type="spellEnd"/>
      <w:r w:rsidRPr="00DA4677">
        <w:rPr>
          <w:rFonts w:ascii="Times New Roman" w:hAnsi="Times New Roman" w:cs="Times New Roman"/>
          <w:sz w:val="20"/>
          <w:szCs w:val="20"/>
        </w:rPr>
        <w:t>, T., Mkhize-</w:t>
      </w:r>
      <w:proofErr w:type="spellStart"/>
      <w:r w:rsidRPr="00DA4677">
        <w:rPr>
          <w:rFonts w:ascii="Times New Roman" w:hAnsi="Times New Roman" w:cs="Times New Roman"/>
          <w:sz w:val="20"/>
          <w:szCs w:val="20"/>
        </w:rPr>
        <w:t>Kwitshana</w:t>
      </w:r>
      <w:proofErr w:type="spellEnd"/>
      <w:r w:rsidRPr="00DA4677">
        <w:rPr>
          <w:rFonts w:ascii="Times New Roman" w:hAnsi="Times New Roman" w:cs="Times New Roman"/>
          <w:sz w:val="20"/>
          <w:szCs w:val="20"/>
        </w:rPr>
        <w:t xml:space="preserve">, Z., </w:t>
      </w:r>
      <w:proofErr w:type="spellStart"/>
      <w:r w:rsidRPr="00DA4677">
        <w:rPr>
          <w:rFonts w:ascii="Times New Roman" w:hAnsi="Times New Roman" w:cs="Times New Roman"/>
          <w:sz w:val="20"/>
          <w:szCs w:val="20"/>
        </w:rPr>
        <w:t>Mbodi</w:t>
      </w:r>
      <w:proofErr w:type="spellEnd"/>
      <w:r w:rsidRPr="00DA4677">
        <w:rPr>
          <w:rFonts w:ascii="Times New Roman" w:hAnsi="Times New Roman" w:cs="Times New Roman"/>
          <w:sz w:val="20"/>
          <w:szCs w:val="20"/>
        </w:rPr>
        <w:t xml:space="preserve">, L., </w:t>
      </w:r>
      <w:proofErr w:type="spellStart"/>
      <w:r w:rsidRPr="00DA4677">
        <w:rPr>
          <w:rFonts w:ascii="Times New Roman" w:hAnsi="Times New Roman" w:cs="Times New Roman"/>
          <w:sz w:val="20"/>
          <w:szCs w:val="20"/>
        </w:rPr>
        <w:t>Chauke-Malinga</w:t>
      </w:r>
      <w:proofErr w:type="spellEnd"/>
      <w:r w:rsidRPr="00DA4677">
        <w:rPr>
          <w:rFonts w:ascii="Times New Roman" w:hAnsi="Times New Roman" w:cs="Times New Roman"/>
          <w:sz w:val="20"/>
          <w:szCs w:val="20"/>
        </w:rPr>
        <w:t xml:space="preserve">, N., ... &amp; Molefi, T. (2025). The Exposome Perspective: Environmental and Infectious Agents as Drivers of Cancer Disparities in Low-and Middle-Income Countries. </w:t>
      </w:r>
      <w:r w:rsidRPr="00DA4677">
        <w:rPr>
          <w:rFonts w:ascii="Times New Roman" w:hAnsi="Times New Roman" w:cs="Times New Roman"/>
          <w:i/>
          <w:iCs/>
          <w:sz w:val="20"/>
          <w:szCs w:val="20"/>
        </w:rPr>
        <w:t>Cancers</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17</w:t>
      </w:r>
      <w:r w:rsidRPr="00DA4677">
        <w:rPr>
          <w:rFonts w:ascii="Times New Roman" w:hAnsi="Times New Roman" w:cs="Times New Roman"/>
          <w:sz w:val="20"/>
          <w:szCs w:val="20"/>
        </w:rPr>
        <w:t>(15), 2537.</w:t>
      </w:r>
    </w:p>
    <w:p w14:paraId="29BB07D6"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Esteban, L. M., </w:t>
      </w:r>
      <w:proofErr w:type="spellStart"/>
      <w:r w:rsidRPr="00DA4677">
        <w:rPr>
          <w:rFonts w:ascii="Times New Roman" w:hAnsi="Times New Roman" w:cs="Times New Roman"/>
          <w:sz w:val="20"/>
          <w:szCs w:val="20"/>
        </w:rPr>
        <w:t>Borque</w:t>
      </w:r>
      <w:proofErr w:type="spellEnd"/>
      <w:r w:rsidRPr="00DA4677">
        <w:rPr>
          <w:rFonts w:ascii="Times New Roman" w:hAnsi="Times New Roman" w:cs="Times New Roman"/>
          <w:sz w:val="20"/>
          <w:szCs w:val="20"/>
        </w:rPr>
        <w:t xml:space="preserve">-Fernando, Á., </w:t>
      </w:r>
      <w:proofErr w:type="spellStart"/>
      <w:r w:rsidRPr="00DA4677">
        <w:rPr>
          <w:rFonts w:ascii="Times New Roman" w:hAnsi="Times New Roman" w:cs="Times New Roman"/>
          <w:sz w:val="20"/>
          <w:szCs w:val="20"/>
        </w:rPr>
        <w:t>Escorihuela</w:t>
      </w:r>
      <w:proofErr w:type="spellEnd"/>
      <w:r w:rsidRPr="00DA4677">
        <w:rPr>
          <w:rFonts w:ascii="Times New Roman" w:hAnsi="Times New Roman" w:cs="Times New Roman"/>
          <w:sz w:val="20"/>
          <w:szCs w:val="20"/>
        </w:rPr>
        <w:t>, M. E., Esteban-</w:t>
      </w:r>
      <w:proofErr w:type="spellStart"/>
      <w:r w:rsidRPr="00DA4677">
        <w:rPr>
          <w:rFonts w:ascii="Times New Roman" w:hAnsi="Times New Roman" w:cs="Times New Roman"/>
          <w:sz w:val="20"/>
          <w:szCs w:val="20"/>
        </w:rPr>
        <w:t>Escaño</w:t>
      </w:r>
      <w:proofErr w:type="spellEnd"/>
      <w:r w:rsidRPr="00DA4677">
        <w:rPr>
          <w:rFonts w:ascii="Times New Roman" w:hAnsi="Times New Roman" w:cs="Times New Roman"/>
          <w:sz w:val="20"/>
          <w:szCs w:val="20"/>
        </w:rPr>
        <w:t xml:space="preserve">, J., </w:t>
      </w:r>
      <w:proofErr w:type="spellStart"/>
      <w:r w:rsidRPr="00DA4677">
        <w:rPr>
          <w:rFonts w:ascii="Times New Roman" w:hAnsi="Times New Roman" w:cs="Times New Roman"/>
          <w:sz w:val="20"/>
          <w:szCs w:val="20"/>
        </w:rPr>
        <w:t>Abascal</w:t>
      </w:r>
      <w:proofErr w:type="spellEnd"/>
      <w:r w:rsidRPr="00DA4677">
        <w:rPr>
          <w:rFonts w:ascii="Times New Roman" w:hAnsi="Times New Roman" w:cs="Times New Roman"/>
          <w:sz w:val="20"/>
          <w:szCs w:val="20"/>
        </w:rPr>
        <w:t xml:space="preserve">, J. M., Servian, P., &amp; </w:t>
      </w:r>
      <w:proofErr w:type="spellStart"/>
      <w:r w:rsidRPr="00DA4677">
        <w:rPr>
          <w:rFonts w:ascii="Times New Roman" w:hAnsi="Times New Roman" w:cs="Times New Roman"/>
          <w:sz w:val="20"/>
          <w:szCs w:val="20"/>
        </w:rPr>
        <w:t>Morote</w:t>
      </w:r>
      <w:proofErr w:type="spellEnd"/>
      <w:r w:rsidRPr="00DA4677">
        <w:rPr>
          <w:rFonts w:ascii="Times New Roman" w:hAnsi="Times New Roman" w:cs="Times New Roman"/>
          <w:sz w:val="20"/>
          <w:szCs w:val="20"/>
        </w:rPr>
        <w:t xml:space="preserve">, J. (2025). Integrating radiological and clinical data for clinically significant prostate cancer detection with machine learning techniques. </w:t>
      </w:r>
      <w:r w:rsidRPr="00DA4677">
        <w:rPr>
          <w:rFonts w:ascii="Times New Roman" w:hAnsi="Times New Roman" w:cs="Times New Roman"/>
          <w:i/>
          <w:iCs/>
          <w:sz w:val="20"/>
          <w:szCs w:val="20"/>
        </w:rPr>
        <w:t>Scientific reports</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(1), 4261.</w:t>
      </w:r>
    </w:p>
    <w:p w14:paraId="07286E6B"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Flannery, B. T., Sandler, H. M., Lal, P., Feldman, M. D., Santa‐Rosario, J. C., Pathak, T., ... &amp; </w:t>
      </w:r>
      <w:proofErr w:type="spellStart"/>
      <w:r w:rsidRPr="00DA4677">
        <w:rPr>
          <w:rFonts w:ascii="Times New Roman" w:hAnsi="Times New Roman" w:cs="Times New Roman"/>
          <w:sz w:val="20"/>
          <w:szCs w:val="20"/>
        </w:rPr>
        <w:t>Madabhushi</w:t>
      </w:r>
      <w:proofErr w:type="spellEnd"/>
      <w:r w:rsidRPr="00DA4677">
        <w:rPr>
          <w:rFonts w:ascii="Times New Roman" w:hAnsi="Times New Roman" w:cs="Times New Roman"/>
          <w:sz w:val="20"/>
          <w:szCs w:val="20"/>
        </w:rPr>
        <w:t xml:space="preserve">, A. (2025). Stress testing deep learning models for prostate cancer detection on biopsies and surgical specimens. </w:t>
      </w:r>
      <w:r w:rsidRPr="00DA4677">
        <w:rPr>
          <w:rFonts w:ascii="Times New Roman" w:hAnsi="Times New Roman" w:cs="Times New Roman"/>
          <w:i/>
          <w:iCs/>
          <w:sz w:val="20"/>
          <w:szCs w:val="20"/>
        </w:rPr>
        <w:t>The Journal of Pathology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265</w:t>
      </w:r>
      <w:r w:rsidRPr="00DA4677">
        <w:rPr>
          <w:rFonts w:ascii="Times New Roman" w:hAnsi="Times New Roman" w:cs="Times New Roman"/>
          <w:sz w:val="20"/>
          <w:szCs w:val="20"/>
        </w:rPr>
        <w:t>(2), 146-157.</w:t>
      </w:r>
    </w:p>
    <w:p w14:paraId="3520B1E6"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Freedland, S. J., Hong, A., El-</w:t>
      </w:r>
      <w:proofErr w:type="spellStart"/>
      <w:r w:rsidRPr="00DA4677">
        <w:rPr>
          <w:rFonts w:ascii="Times New Roman" w:hAnsi="Times New Roman" w:cs="Times New Roman"/>
          <w:sz w:val="20"/>
          <w:szCs w:val="20"/>
        </w:rPr>
        <w:t>Chaar</w:t>
      </w:r>
      <w:proofErr w:type="spellEnd"/>
      <w:r w:rsidRPr="00DA4677">
        <w:rPr>
          <w:rFonts w:ascii="Times New Roman" w:hAnsi="Times New Roman" w:cs="Times New Roman"/>
          <w:sz w:val="20"/>
          <w:szCs w:val="20"/>
        </w:rPr>
        <w:t xml:space="preserve">, N., De </w:t>
      </w:r>
      <w:proofErr w:type="spellStart"/>
      <w:r w:rsidRPr="00DA4677">
        <w:rPr>
          <w:rFonts w:ascii="Times New Roman" w:hAnsi="Times New Roman" w:cs="Times New Roman"/>
          <w:sz w:val="20"/>
          <w:szCs w:val="20"/>
        </w:rPr>
        <w:t>Hoedt</w:t>
      </w:r>
      <w:proofErr w:type="spellEnd"/>
      <w:r w:rsidRPr="00DA4677">
        <w:rPr>
          <w:rFonts w:ascii="Times New Roman" w:hAnsi="Times New Roman" w:cs="Times New Roman"/>
          <w:sz w:val="20"/>
          <w:szCs w:val="20"/>
        </w:rPr>
        <w:t xml:space="preserve">, A. M., Kim, J., Evans, C., ... &amp; </w:t>
      </w:r>
      <w:proofErr w:type="spellStart"/>
      <w:r w:rsidRPr="00DA4677">
        <w:rPr>
          <w:rFonts w:ascii="Times New Roman" w:hAnsi="Times New Roman" w:cs="Times New Roman"/>
          <w:sz w:val="20"/>
          <w:szCs w:val="20"/>
        </w:rPr>
        <w:t>Polascik</w:t>
      </w:r>
      <w:proofErr w:type="spellEnd"/>
      <w:r w:rsidRPr="00DA4677">
        <w:rPr>
          <w:rFonts w:ascii="Times New Roman" w:hAnsi="Times New Roman" w:cs="Times New Roman"/>
          <w:sz w:val="20"/>
          <w:szCs w:val="20"/>
        </w:rPr>
        <w:t xml:space="preserve">, T. J. (2025). Survival benefit associated with first-line androgen receptor pathway inhibitors for de novo metastatic castration-sensitive prostate cancer. </w:t>
      </w:r>
      <w:r w:rsidRPr="00DA4677">
        <w:rPr>
          <w:rFonts w:ascii="Times New Roman" w:hAnsi="Times New Roman" w:cs="Times New Roman"/>
          <w:i/>
          <w:iCs/>
          <w:sz w:val="20"/>
          <w:szCs w:val="20"/>
        </w:rPr>
        <w:t>Prostate Cancer and Prostatic Diseases</w:t>
      </w:r>
      <w:r w:rsidRPr="00DA4677">
        <w:rPr>
          <w:rFonts w:ascii="Times New Roman" w:hAnsi="Times New Roman" w:cs="Times New Roman"/>
          <w:sz w:val="20"/>
          <w:szCs w:val="20"/>
        </w:rPr>
        <w:t>, 1-8.</w:t>
      </w:r>
    </w:p>
    <w:p w14:paraId="13A5B222" w14:textId="77777777" w:rsidR="00FB53A8" w:rsidRPr="00FB53A8" w:rsidRDefault="00FB53A8" w:rsidP="00FB53A8">
      <w:pPr>
        <w:rPr>
          <w:rFonts w:ascii="Times New Roman" w:eastAsia="Calibri" w:hAnsi="Times New Roman" w:cs="Times New Roman"/>
          <w:color w:val="222222"/>
          <w:kern w:val="0"/>
          <w:sz w:val="20"/>
          <w:szCs w:val="20"/>
          <w:shd w:val="clear" w:color="auto" w:fill="FFFFFF"/>
          <w14:ligatures w14:val="none"/>
        </w:rPr>
      </w:pPr>
      <w:r w:rsidRPr="00FB53A8">
        <w:rPr>
          <w:rFonts w:ascii="Times New Roman" w:eastAsia="Calibri" w:hAnsi="Times New Roman" w:cs="Times New Roman"/>
          <w:color w:val="222222"/>
          <w:kern w:val="0"/>
          <w:sz w:val="20"/>
          <w:szCs w:val="20"/>
          <w:shd w:val="clear" w:color="auto" w:fill="FFFFFF"/>
          <w14:ligatures w14:val="none"/>
        </w:rPr>
        <w:t>Gao, X., Li, H., You, C., Zhou, L., Shi, Q., Yang, Z., ... &amp; Zhang, Y. (2024). Challenges and Advances on Explainable Artificial Intelligence (AI): Diagnosing and Treating Tumors of the Female Reproductive Systems.</w:t>
      </w:r>
    </w:p>
    <w:p w14:paraId="425592C8" w14:textId="17C922ED"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Ghanem, A. S., Faludi, E. V., Bata, R., </w:t>
      </w:r>
      <w:proofErr w:type="spellStart"/>
      <w:r w:rsidRPr="00DA4677">
        <w:rPr>
          <w:rFonts w:ascii="Times New Roman" w:hAnsi="Times New Roman" w:cs="Times New Roman"/>
          <w:sz w:val="20"/>
          <w:szCs w:val="20"/>
        </w:rPr>
        <w:t>Mezei</w:t>
      </w:r>
      <w:proofErr w:type="spellEnd"/>
      <w:r w:rsidRPr="00DA4677">
        <w:rPr>
          <w:rFonts w:ascii="Times New Roman" w:hAnsi="Times New Roman" w:cs="Times New Roman"/>
          <w:sz w:val="20"/>
          <w:szCs w:val="20"/>
        </w:rPr>
        <w:t xml:space="preserve">, E., </w:t>
      </w:r>
      <w:proofErr w:type="spellStart"/>
      <w:r w:rsidRPr="00DA4677">
        <w:rPr>
          <w:rFonts w:ascii="Times New Roman" w:hAnsi="Times New Roman" w:cs="Times New Roman"/>
          <w:sz w:val="20"/>
          <w:szCs w:val="20"/>
        </w:rPr>
        <w:t>Hadar</w:t>
      </w:r>
      <w:proofErr w:type="spellEnd"/>
      <w:r w:rsidRPr="00DA4677">
        <w:rPr>
          <w:rFonts w:ascii="Times New Roman" w:hAnsi="Times New Roman" w:cs="Times New Roman"/>
          <w:sz w:val="20"/>
          <w:szCs w:val="20"/>
        </w:rPr>
        <w:t xml:space="preserve">, V., </w:t>
      </w:r>
      <w:proofErr w:type="spellStart"/>
      <w:r w:rsidRPr="00DA4677">
        <w:rPr>
          <w:rFonts w:ascii="Times New Roman" w:hAnsi="Times New Roman" w:cs="Times New Roman"/>
          <w:sz w:val="20"/>
          <w:szCs w:val="20"/>
        </w:rPr>
        <w:t>Móré</w:t>
      </w:r>
      <w:proofErr w:type="spellEnd"/>
      <w:r w:rsidRPr="00DA4677">
        <w:rPr>
          <w:rFonts w:ascii="Times New Roman" w:hAnsi="Times New Roman" w:cs="Times New Roman"/>
          <w:sz w:val="20"/>
          <w:szCs w:val="20"/>
        </w:rPr>
        <w:t xml:space="preserve">, M., ... &amp; Nagy, A. C. (2025). Cancer prevalence and its determinants in Hungary: Analyzing data from the 2009, 2014, and 2019 European Health Interview Surveys. </w:t>
      </w:r>
      <w:proofErr w:type="spellStart"/>
      <w:r w:rsidRPr="00DA4677">
        <w:rPr>
          <w:rFonts w:ascii="Times New Roman" w:hAnsi="Times New Roman" w:cs="Times New Roman"/>
          <w:i/>
          <w:iCs/>
          <w:sz w:val="20"/>
          <w:szCs w:val="20"/>
        </w:rPr>
        <w:t>PloS</w:t>
      </w:r>
      <w:proofErr w:type="spellEnd"/>
      <w:r w:rsidRPr="00DA4677">
        <w:rPr>
          <w:rFonts w:ascii="Times New Roman" w:hAnsi="Times New Roman" w:cs="Times New Roman"/>
          <w:i/>
          <w:iCs/>
          <w:sz w:val="20"/>
          <w:szCs w:val="20"/>
        </w:rPr>
        <w:t xml:space="preserve"> one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20</w:t>
      </w:r>
      <w:r w:rsidRPr="00DA4677">
        <w:rPr>
          <w:rFonts w:ascii="Times New Roman" w:hAnsi="Times New Roman" w:cs="Times New Roman"/>
          <w:sz w:val="20"/>
          <w:szCs w:val="20"/>
        </w:rPr>
        <w:t>(2), e0315689.</w:t>
      </w:r>
    </w:p>
    <w:p w14:paraId="67ECCE68"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Guo, F., </w:t>
      </w:r>
      <w:proofErr w:type="spellStart"/>
      <w:r w:rsidRPr="00DA4677">
        <w:rPr>
          <w:rFonts w:ascii="Times New Roman" w:hAnsi="Times New Roman" w:cs="Times New Roman"/>
          <w:sz w:val="20"/>
          <w:szCs w:val="20"/>
        </w:rPr>
        <w:t>Maolake</w:t>
      </w:r>
      <w:proofErr w:type="spellEnd"/>
      <w:r w:rsidRPr="00DA4677">
        <w:rPr>
          <w:rFonts w:ascii="Times New Roman" w:hAnsi="Times New Roman" w:cs="Times New Roman"/>
          <w:sz w:val="20"/>
          <w:szCs w:val="20"/>
        </w:rPr>
        <w:t xml:space="preserve">, A., Ni, Z., Li, X., Liu, B., Tang, Z., ... &amp; Li, J. (2025). Combination of PSA density and MLR improves the diagnostic accuracy of prostate cancer. </w:t>
      </w:r>
      <w:r w:rsidRPr="00DA4677">
        <w:rPr>
          <w:rFonts w:ascii="Times New Roman" w:hAnsi="Times New Roman" w:cs="Times New Roman"/>
          <w:i/>
          <w:iCs/>
          <w:sz w:val="20"/>
          <w:szCs w:val="20"/>
        </w:rPr>
        <w:t>Frontiers in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 1570584.</w:t>
      </w:r>
    </w:p>
    <w:p w14:paraId="02B75E20" w14:textId="77777777" w:rsidR="00612B51" w:rsidRPr="00DA4677" w:rsidRDefault="001D4AFD" w:rsidP="00612B51">
      <w:pPr>
        <w:rPr>
          <w:rFonts w:ascii="Times New Roman" w:hAnsi="Times New Roman" w:cs="Times New Roman"/>
          <w:sz w:val="20"/>
          <w:szCs w:val="20"/>
        </w:rPr>
      </w:pPr>
      <w:bookmarkStart w:id="9" w:name="_Hlk211483840"/>
      <w:r w:rsidRPr="00DA4677">
        <w:rPr>
          <w:rFonts w:ascii="Times New Roman" w:hAnsi="Times New Roman" w:cs="Times New Roman"/>
          <w:sz w:val="20"/>
          <w:szCs w:val="20"/>
        </w:rPr>
        <w:t>James</w:t>
      </w:r>
      <w:bookmarkEnd w:id="9"/>
      <w:r w:rsidRPr="00DA4677">
        <w:rPr>
          <w:rFonts w:ascii="Times New Roman" w:hAnsi="Times New Roman" w:cs="Times New Roman"/>
          <w:sz w:val="20"/>
          <w:szCs w:val="20"/>
        </w:rPr>
        <w:t xml:space="preserve">, N. D., </w:t>
      </w:r>
      <w:proofErr w:type="spellStart"/>
      <w:r w:rsidRPr="00DA4677">
        <w:rPr>
          <w:rFonts w:ascii="Times New Roman" w:hAnsi="Times New Roman" w:cs="Times New Roman"/>
          <w:sz w:val="20"/>
          <w:szCs w:val="20"/>
        </w:rPr>
        <w:t>Tannock</w:t>
      </w:r>
      <w:proofErr w:type="spellEnd"/>
      <w:r w:rsidRPr="00DA4677">
        <w:rPr>
          <w:rFonts w:ascii="Times New Roman" w:hAnsi="Times New Roman" w:cs="Times New Roman"/>
          <w:sz w:val="20"/>
          <w:szCs w:val="20"/>
        </w:rPr>
        <w:t xml:space="preserve">, I., </w:t>
      </w:r>
      <w:proofErr w:type="spellStart"/>
      <w:r w:rsidRPr="00DA4677">
        <w:rPr>
          <w:rFonts w:ascii="Times New Roman" w:hAnsi="Times New Roman" w:cs="Times New Roman"/>
          <w:sz w:val="20"/>
          <w:szCs w:val="20"/>
        </w:rPr>
        <w:t>N'Dow</w:t>
      </w:r>
      <w:proofErr w:type="spellEnd"/>
      <w:r w:rsidRPr="00DA4677">
        <w:rPr>
          <w:rFonts w:ascii="Times New Roman" w:hAnsi="Times New Roman" w:cs="Times New Roman"/>
          <w:sz w:val="20"/>
          <w:szCs w:val="20"/>
        </w:rPr>
        <w:t xml:space="preserve">, J., Feng, F., </w:t>
      </w:r>
      <w:proofErr w:type="spellStart"/>
      <w:r w:rsidRPr="00DA4677">
        <w:rPr>
          <w:rFonts w:ascii="Times New Roman" w:hAnsi="Times New Roman" w:cs="Times New Roman"/>
          <w:sz w:val="20"/>
          <w:szCs w:val="20"/>
        </w:rPr>
        <w:t>Gillessen</w:t>
      </w:r>
      <w:proofErr w:type="spellEnd"/>
      <w:r w:rsidRPr="00DA4677">
        <w:rPr>
          <w:rFonts w:ascii="Times New Roman" w:hAnsi="Times New Roman" w:cs="Times New Roman"/>
          <w:sz w:val="20"/>
          <w:szCs w:val="20"/>
        </w:rPr>
        <w:t xml:space="preserve">, S., Ali, S. A., ... &amp; </w:t>
      </w:r>
      <w:proofErr w:type="spellStart"/>
      <w:r w:rsidRPr="00DA4677">
        <w:rPr>
          <w:rFonts w:ascii="Times New Roman" w:hAnsi="Times New Roman" w:cs="Times New Roman"/>
          <w:sz w:val="20"/>
          <w:szCs w:val="20"/>
        </w:rPr>
        <w:t>Xie</w:t>
      </w:r>
      <w:proofErr w:type="spellEnd"/>
      <w:r w:rsidRPr="00DA4677">
        <w:rPr>
          <w:rFonts w:ascii="Times New Roman" w:hAnsi="Times New Roman" w:cs="Times New Roman"/>
          <w:sz w:val="20"/>
          <w:szCs w:val="20"/>
        </w:rPr>
        <w:t xml:space="preserve">, L. P. (2024). The Lancet Commission on prostate cancer: planning for the surge in cases. </w:t>
      </w:r>
      <w:r w:rsidRPr="00DA4677">
        <w:rPr>
          <w:rFonts w:ascii="Times New Roman" w:hAnsi="Times New Roman" w:cs="Times New Roman"/>
          <w:i/>
          <w:iCs/>
          <w:sz w:val="20"/>
          <w:szCs w:val="20"/>
        </w:rPr>
        <w:t>The Lancet</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403</w:t>
      </w:r>
      <w:r w:rsidRPr="00DA4677">
        <w:rPr>
          <w:rFonts w:ascii="Times New Roman" w:hAnsi="Times New Roman" w:cs="Times New Roman"/>
          <w:sz w:val="20"/>
          <w:szCs w:val="20"/>
        </w:rPr>
        <w:t>(10437), 1683-1722.</w:t>
      </w:r>
    </w:p>
    <w:p w14:paraId="4FA2AC25"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Kavak</w:t>
      </w:r>
      <w:proofErr w:type="spellEnd"/>
      <w:r w:rsidRPr="00DA4677">
        <w:rPr>
          <w:rFonts w:ascii="Times New Roman" w:hAnsi="Times New Roman" w:cs="Times New Roman"/>
          <w:sz w:val="20"/>
          <w:szCs w:val="20"/>
        </w:rPr>
        <w:t xml:space="preserve">, E. E., &amp; Dilli, İ. (2025). Progression‐Free Survival Prediction Performance of </w:t>
      </w:r>
      <w:proofErr w:type="spellStart"/>
      <w:r w:rsidRPr="00DA4677">
        <w:rPr>
          <w:rFonts w:ascii="Times New Roman" w:hAnsi="Times New Roman" w:cs="Times New Roman"/>
          <w:sz w:val="20"/>
          <w:szCs w:val="20"/>
        </w:rPr>
        <w:t>ChatGPT</w:t>
      </w:r>
      <w:proofErr w:type="spellEnd"/>
      <w:r w:rsidRPr="00DA4677">
        <w:rPr>
          <w:rFonts w:ascii="Times New Roman" w:hAnsi="Times New Roman" w:cs="Times New Roman"/>
          <w:sz w:val="20"/>
          <w:szCs w:val="20"/>
        </w:rPr>
        <w:t xml:space="preserve">: Analysis </w:t>
      </w:r>
      <w:proofErr w:type="gramStart"/>
      <w:r w:rsidRPr="00DA4677">
        <w:rPr>
          <w:rFonts w:ascii="Times New Roman" w:hAnsi="Times New Roman" w:cs="Times New Roman"/>
          <w:sz w:val="20"/>
          <w:szCs w:val="20"/>
        </w:rPr>
        <w:t>With</w:t>
      </w:r>
      <w:proofErr w:type="gramEnd"/>
      <w:r w:rsidRPr="00DA4677">
        <w:rPr>
          <w:rFonts w:ascii="Times New Roman" w:hAnsi="Times New Roman" w:cs="Times New Roman"/>
          <w:sz w:val="20"/>
          <w:szCs w:val="20"/>
        </w:rPr>
        <w:t xml:space="preserve"> Real Life Data in Early and Locally Advanced Prostate Cancer. </w:t>
      </w:r>
      <w:r w:rsidRPr="00DA4677">
        <w:rPr>
          <w:rFonts w:ascii="Times New Roman" w:hAnsi="Times New Roman" w:cs="Times New Roman"/>
          <w:i/>
          <w:iCs/>
          <w:sz w:val="20"/>
          <w:szCs w:val="20"/>
        </w:rPr>
        <w:t>The Prostate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85</w:t>
      </w:r>
      <w:r w:rsidRPr="00DA4677">
        <w:rPr>
          <w:rFonts w:ascii="Times New Roman" w:hAnsi="Times New Roman" w:cs="Times New Roman"/>
          <w:sz w:val="20"/>
          <w:szCs w:val="20"/>
        </w:rPr>
        <w:t>(7), 677-683.</w:t>
      </w:r>
    </w:p>
    <w:p w14:paraId="2EB2DBF7"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Kitson</w:t>
      </w:r>
      <w:proofErr w:type="spellEnd"/>
      <w:r w:rsidRPr="00DA4677">
        <w:rPr>
          <w:rFonts w:ascii="Times New Roman" w:hAnsi="Times New Roman" w:cs="Times New Roman"/>
          <w:sz w:val="20"/>
          <w:szCs w:val="20"/>
        </w:rPr>
        <w:t xml:space="preserve">-Mills, D., Donkor, A., Amoako, Y. A., </w:t>
      </w:r>
      <w:proofErr w:type="spellStart"/>
      <w:r w:rsidRPr="00DA4677">
        <w:rPr>
          <w:rFonts w:ascii="Times New Roman" w:hAnsi="Times New Roman" w:cs="Times New Roman"/>
          <w:sz w:val="20"/>
          <w:szCs w:val="20"/>
        </w:rPr>
        <w:t>Kyei</w:t>
      </w:r>
      <w:proofErr w:type="spellEnd"/>
      <w:r w:rsidRPr="00DA4677">
        <w:rPr>
          <w:rFonts w:ascii="Times New Roman" w:hAnsi="Times New Roman" w:cs="Times New Roman"/>
          <w:sz w:val="20"/>
          <w:szCs w:val="20"/>
        </w:rPr>
        <w:t xml:space="preserve">, K. A., Bonsu, E. B. O., </w:t>
      </w:r>
      <w:proofErr w:type="spellStart"/>
      <w:r w:rsidRPr="00DA4677">
        <w:rPr>
          <w:rFonts w:ascii="Times New Roman" w:hAnsi="Times New Roman" w:cs="Times New Roman"/>
          <w:sz w:val="20"/>
          <w:szCs w:val="20"/>
        </w:rPr>
        <w:t>Vanderpuye</w:t>
      </w:r>
      <w:proofErr w:type="spellEnd"/>
      <w:r w:rsidRPr="00DA4677">
        <w:rPr>
          <w:rFonts w:ascii="Times New Roman" w:hAnsi="Times New Roman" w:cs="Times New Roman"/>
          <w:sz w:val="20"/>
          <w:szCs w:val="20"/>
        </w:rPr>
        <w:t xml:space="preserve">, V., &amp; </w:t>
      </w:r>
      <w:proofErr w:type="spellStart"/>
      <w:r w:rsidRPr="00DA4677">
        <w:rPr>
          <w:rFonts w:ascii="Times New Roman" w:hAnsi="Times New Roman" w:cs="Times New Roman"/>
          <w:sz w:val="20"/>
          <w:szCs w:val="20"/>
        </w:rPr>
        <w:t>Wiafe</w:t>
      </w:r>
      <w:proofErr w:type="spellEnd"/>
      <w:r w:rsidRPr="00DA4677">
        <w:rPr>
          <w:rFonts w:ascii="Times New Roman" w:hAnsi="Times New Roman" w:cs="Times New Roman"/>
          <w:sz w:val="20"/>
          <w:szCs w:val="20"/>
        </w:rPr>
        <w:t xml:space="preserve">, Y. A. (2025). Outcomes and Toxicities After Treatment for Men Diagnosed With Localized Prostate Cancer in Low-and Middle-Income Countries: A Systematic Review and Meta-Analysis. </w:t>
      </w:r>
      <w:r w:rsidRPr="00DA4677">
        <w:rPr>
          <w:rFonts w:ascii="Times New Roman" w:hAnsi="Times New Roman" w:cs="Times New Roman"/>
          <w:i/>
          <w:iCs/>
          <w:sz w:val="20"/>
          <w:szCs w:val="20"/>
        </w:rPr>
        <w:t>Advances in Radiation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10</w:t>
      </w:r>
      <w:r w:rsidRPr="00DA4677">
        <w:rPr>
          <w:rFonts w:ascii="Times New Roman" w:hAnsi="Times New Roman" w:cs="Times New Roman"/>
          <w:sz w:val="20"/>
          <w:szCs w:val="20"/>
        </w:rPr>
        <w:t>(1), 101670.</w:t>
      </w:r>
    </w:p>
    <w:p w14:paraId="1EAD5904"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Kratzer</w:t>
      </w:r>
      <w:proofErr w:type="spellEnd"/>
      <w:r w:rsidRPr="00DA4677">
        <w:rPr>
          <w:rFonts w:ascii="Times New Roman" w:hAnsi="Times New Roman" w:cs="Times New Roman"/>
          <w:sz w:val="20"/>
          <w:szCs w:val="20"/>
        </w:rPr>
        <w:t xml:space="preserve">, T. B., </w:t>
      </w:r>
      <w:proofErr w:type="spellStart"/>
      <w:r w:rsidRPr="00DA4677">
        <w:rPr>
          <w:rFonts w:ascii="Times New Roman" w:hAnsi="Times New Roman" w:cs="Times New Roman"/>
          <w:sz w:val="20"/>
          <w:szCs w:val="20"/>
        </w:rPr>
        <w:t>Mazzitelli</w:t>
      </w:r>
      <w:proofErr w:type="spellEnd"/>
      <w:r w:rsidRPr="00DA4677">
        <w:rPr>
          <w:rFonts w:ascii="Times New Roman" w:hAnsi="Times New Roman" w:cs="Times New Roman"/>
          <w:sz w:val="20"/>
          <w:szCs w:val="20"/>
        </w:rPr>
        <w:t xml:space="preserve">, N., Star, J., </w:t>
      </w:r>
      <w:proofErr w:type="spellStart"/>
      <w:r w:rsidRPr="00DA4677">
        <w:rPr>
          <w:rFonts w:ascii="Times New Roman" w:hAnsi="Times New Roman" w:cs="Times New Roman"/>
          <w:sz w:val="20"/>
          <w:szCs w:val="20"/>
        </w:rPr>
        <w:t>Dahut</w:t>
      </w:r>
      <w:proofErr w:type="spellEnd"/>
      <w:r w:rsidRPr="00DA4677">
        <w:rPr>
          <w:rFonts w:ascii="Times New Roman" w:hAnsi="Times New Roman" w:cs="Times New Roman"/>
          <w:sz w:val="20"/>
          <w:szCs w:val="20"/>
        </w:rPr>
        <w:t xml:space="preserve">, W. L., Jemal, A., &amp; Siegel, R. L. (2025). Prostate cancer statistics, 2025. </w:t>
      </w:r>
      <w:r w:rsidRPr="00DA4677">
        <w:rPr>
          <w:rFonts w:ascii="Times New Roman" w:hAnsi="Times New Roman" w:cs="Times New Roman"/>
          <w:i/>
          <w:iCs/>
          <w:sz w:val="20"/>
          <w:szCs w:val="20"/>
        </w:rPr>
        <w:t>CA: A Cancer Journal for Clinicians</w:t>
      </w:r>
      <w:r w:rsidRPr="00DA4677">
        <w:rPr>
          <w:rFonts w:ascii="Times New Roman" w:hAnsi="Times New Roman" w:cs="Times New Roman"/>
          <w:sz w:val="20"/>
          <w:szCs w:val="20"/>
        </w:rPr>
        <w:t>.</w:t>
      </w:r>
    </w:p>
    <w:p w14:paraId="7B3CB076"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Liu, X., &amp; Jiang, H. (2025). The global, regional, and national prostate cancer burden and trends from 1990 to 2021, results from the global burden of disease study 2021. </w:t>
      </w:r>
      <w:r w:rsidRPr="00DA4677">
        <w:rPr>
          <w:rFonts w:ascii="Times New Roman" w:hAnsi="Times New Roman" w:cs="Times New Roman"/>
          <w:i/>
          <w:iCs/>
          <w:sz w:val="20"/>
          <w:szCs w:val="20"/>
        </w:rPr>
        <w:t>Frontiers in Public Health</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13</w:t>
      </w:r>
      <w:r w:rsidRPr="00DA4677">
        <w:rPr>
          <w:rFonts w:ascii="Times New Roman" w:hAnsi="Times New Roman" w:cs="Times New Roman"/>
          <w:sz w:val="20"/>
          <w:szCs w:val="20"/>
        </w:rPr>
        <w:t>, 1553747.</w:t>
      </w:r>
    </w:p>
    <w:p w14:paraId="624AA00B"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Marvaso</w:t>
      </w:r>
      <w:proofErr w:type="spellEnd"/>
      <w:r w:rsidRPr="00DA4677">
        <w:rPr>
          <w:rFonts w:ascii="Times New Roman" w:hAnsi="Times New Roman" w:cs="Times New Roman"/>
          <w:sz w:val="20"/>
          <w:szCs w:val="20"/>
        </w:rPr>
        <w:t xml:space="preserve">, G., Corrao, G., </w:t>
      </w:r>
      <w:proofErr w:type="spellStart"/>
      <w:r w:rsidRPr="00DA4677">
        <w:rPr>
          <w:rFonts w:ascii="Times New Roman" w:hAnsi="Times New Roman" w:cs="Times New Roman"/>
          <w:sz w:val="20"/>
          <w:szCs w:val="20"/>
        </w:rPr>
        <w:t>Zaffaroni</w:t>
      </w:r>
      <w:proofErr w:type="spellEnd"/>
      <w:r w:rsidRPr="00DA4677">
        <w:rPr>
          <w:rFonts w:ascii="Times New Roman" w:hAnsi="Times New Roman" w:cs="Times New Roman"/>
          <w:sz w:val="20"/>
          <w:szCs w:val="20"/>
        </w:rPr>
        <w:t xml:space="preserve">, M., </w:t>
      </w:r>
      <w:proofErr w:type="spellStart"/>
      <w:r w:rsidRPr="00DA4677">
        <w:rPr>
          <w:rFonts w:ascii="Times New Roman" w:hAnsi="Times New Roman" w:cs="Times New Roman"/>
          <w:sz w:val="20"/>
          <w:szCs w:val="20"/>
        </w:rPr>
        <w:t>Vincini</w:t>
      </w:r>
      <w:proofErr w:type="spellEnd"/>
      <w:r w:rsidRPr="00DA4677">
        <w:rPr>
          <w:rFonts w:ascii="Times New Roman" w:hAnsi="Times New Roman" w:cs="Times New Roman"/>
          <w:sz w:val="20"/>
          <w:szCs w:val="20"/>
        </w:rPr>
        <w:t xml:space="preserve">, M. G., </w:t>
      </w:r>
      <w:proofErr w:type="spellStart"/>
      <w:r w:rsidRPr="00DA4677">
        <w:rPr>
          <w:rFonts w:ascii="Times New Roman" w:hAnsi="Times New Roman" w:cs="Times New Roman"/>
          <w:sz w:val="20"/>
          <w:szCs w:val="20"/>
        </w:rPr>
        <w:t>Lorubbio</w:t>
      </w:r>
      <w:proofErr w:type="spellEnd"/>
      <w:r w:rsidRPr="00DA4677">
        <w:rPr>
          <w:rFonts w:ascii="Times New Roman" w:hAnsi="Times New Roman" w:cs="Times New Roman"/>
          <w:sz w:val="20"/>
          <w:szCs w:val="20"/>
        </w:rPr>
        <w:t xml:space="preserve">, C., Gandini, S., ... &amp; </w:t>
      </w:r>
      <w:proofErr w:type="spellStart"/>
      <w:r w:rsidRPr="00DA4677">
        <w:rPr>
          <w:rFonts w:ascii="Times New Roman" w:hAnsi="Times New Roman" w:cs="Times New Roman"/>
          <w:sz w:val="20"/>
          <w:szCs w:val="20"/>
        </w:rPr>
        <w:t>Jereczek</w:t>
      </w:r>
      <w:proofErr w:type="spellEnd"/>
      <w:r w:rsidRPr="00DA4677">
        <w:rPr>
          <w:rFonts w:ascii="Times New Roman" w:hAnsi="Times New Roman" w:cs="Times New Roman"/>
          <w:sz w:val="20"/>
          <w:szCs w:val="20"/>
        </w:rPr>
        <w:t xml:space="preserve">-Fossa, B. A. (2025). ADT with SBRT versus SBRT alone for hormone-sensitive </w:t>
      </w:r>
      <w:proofErr w:type="spellStart"/>
      <w:r w:rsidRPr="00DA4677">
        <w:rPr>
          <w:rFonts w:ascii="Times New Roman" w:hAnsi="Times New Roman" w:cs="Times New Roman"/>
          <w:sz w:val="20"/>
          <w:szCs w:val="20"/>
        </w:rPr>
        <w:t>oligorecurrent</w:t>
      </w:r>
      <w:proofErr w:type="spellEnd"/>
      <w:r w:rsidRPr="00DA4677">
        <w:rPr>
          <w:rFonts w:ascii="Times New Roman" w:hAnsi="Times New Roman" w:cs="Times New Roman"/>
          <w:sz w:val="20"/>
          <w:szCs w:val="20"/>
        </w:rPr>
        <w:t xml:space="preserve"> prostate cancer (RADIOSA): a randomized, open-label, phase 2 clinical trial. </w:t>
      </w:r>
      <w:r w:rsidRPr="00DA4677">
        <w:rPr>
          <w:rFonts w:ascii="Times New Roman" w:hAnsi="Times New Roman" w:cs="Times New Roman"/>
          <w:i/>
          <w:iCs/>
          <w:sz w:val="20"/>
          <w:szCs w:val="20"/>
        </w:rPr>
        <w:t>The Lancet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26</w:t>
      </w:r>
      <w:r w:rsidRPr="00DA4677">
        <w:rPr>
          <w:rFonts w:ascii="Times New Roman" w:hAnsi="Times New Roman" w:cs="Times New Roman"/>
          <w:sz w:val="20"/>
          <w:szCs w:val="20"/>
        </w:rPr>
        <w:t>(3), 300-311.</w:t>
      </w:r>
    </w:p>
    <w:p w14:paraId="63EAA587"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Obeng, F., Adamu, A. F., </w:t>
      </w:r>
      <w:proofErr w:type="spellStart"/>
      <w:r w:rsidRPr="00DA4677">
        <w:rPr>
          <w:rFonts w:ascii="Times New Roman" w:hAnsi="Times New Roman" w:cs="Times New Roman"/>
          <w:sz w:val="20"/>
          <w:szCs w:val="20"/>
        </w:rPr>
        <w:t>Gavor</w:t>
      </w:r>
      <w:proofErr w:type="spellEnd"/>
      <w:r w:rsidRPr="00DA4677">
        <w:rPr>
          <w:rFonts w:ascii="Times New Roman" w:hAnsi="Times New Roman" w:cs="Times New Roman"/>
          <w:sz w:val="20"/>
          <w:szCs w:val="20"/>
        </w:rPr>
        <w:t xml:space="preserve">, S. E., </w:t>
      </w:r>
      <w:proofErr w:type="spellStart"/>
      <w:r w:rsidRPr="00DA4677">
        <w:rPr>
          <w:rFonts w:ascii="Times New Roman" w:hAnsi="Times New Roman" w:cs="Times New Roman"/>
          <w:sz w:val="20"/>
          <w:szCs w:val="20"/>
        </w:rPr>
        <w:t>Setsoafia</w:t>
      </w:r>
      <w:proofErr w:type="spellEnd"/>
      <w:r w:rsidRPr="00DA4677">
        <w:rPr>
          <w:rFonts w:ascii="Times New Roman" w:hAnsi="Times New Roman" w:cs="Times New Roman"/>
          <w:sz w:val="20"/>
          <w:szCs w:val="20"/>
        </w:rPr>
        <w:t xml:space="preserve">, B. Y., </w:t>
      </w:r>
      <w:proofErr w:type="spellStart"/>
      <w:r w:rsidRPr="00DA4677">
        <w:rPr>
          <w:rFonts w:ascii="Times New Roman" w:hAnsi="Times New Roman" w:cs="Times New Roman"/>
          <w:sz w:val="20"/>
          <w:szCs w:val="20"/>
        </w:rPr>
        <w:t>Antwi</w:t>
      </w:r>
      <w:proofErr w:type="spellEnd"/>
      <w:r w:rsidRPr="00DA4677">
        <w:rPr>
          <w:rFonts w:ascii="Times New Roman" w:hAnsi="Times New Roman" w:cs="Times New Roman"/>
          <w:sz w:val="20"/>
          <w:szCs w:val="20"/>
        </w:rPr>
        <w:t xml:space="preserve">, E. K., </w:t>
      </w:r>
      <w:proofErr w:type="spellStart"/>
      <w:r w:rsidRPr="00DA4677">
        <w:rPr>
          <w:rFonts w:ascii="Times New Roman" w:hAnsi="Times New Roman" w:cs="Times New Roman"/>
          <w:sz w:val="20"/>
          <w:szCs w:val="20"/>
        </w:rPr>
        <w:t>Affram</w:t>
      </w:r>
      <w:proofErr w:type="spellEnd"/>
      <w:r w:rsidRPr="00DA4677">
        <w:rPr>
          <w:rFonts w:ascii="Times New Roman" w:hAnsi="Times New Roman" w:cs="Times New Roman"/>
          <w:sz w:val="20"/>
          <w:szCs w:val="20"/>
        </w:rPr>
        <w:t xml:space="preserve">, N., &amp; Ali, A. M. (2025). Case Report: Atypical prostate cancer presentation: rectal bleeding, pain, and psoriasiform dermatitis. </w:t>
      </w:r>
      <w:r w:rsidRPr="00DA4677">
        <w:rPr>
          <w:rFonts w:ascii="Times New Roman" w:hAnsi="Times New Roman" w:cs="Times New Roman"/>
          <w:i/>
          <w:iCs/>
          <w:sz w:val="20"/>
          <w:szCs w:val="20"/>
        </w:rPr>
        <w:t>Frontiers in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 1476988.</w:t>
      </w:r>
    </w:p>
    <w:p w14:paraId="3BDD1C96"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Ofori, B., </w:t>
      </w:r>
      <w:proofErr w:type="spellStart"/>
      <w:r w:rsidRPr="00DA4677">
        <w:rPr>
          <w:rFonts w:ascii="Times New Roman" w:hAnsi="Times New Roman" w:cs="Times New Roman"/>
          <w:sz w:val="20"/>
          <w:szCs w:val="20"/>
        </w:rPr>
        <w:t>Fosu</w:t>
      </w:r>
      <w:proofErr w:type="spellEnd"/>
      <w:r w:rsidRPr="00DA4677">
        <w:rPr>
          <w:rFonts w:ascii="Times New Roman" w:hAnsi="Times New Roman" w:cs="Times New Roman"/>
          <w:sz w:val="20"/>
          <w:szCs w:val="20"/>
        </w:rPr>
        <w:t xml:space="preserve">, K., </w:t>
      </w:r>
      <w:proofErr w:type="spellStart"/>
      <w:r w:rsidRPr="00DA4677">
        <w:rPr>
          <w:rFonts w:ascii="Times New Roman" w:hAnsi="Times New Roman" w:cs="Times New Roman"/>
          <w:sz w:val="20"/>
          <w:szCs w:val="20"/>
        </w:rPr>
        <w:t>Aikins</w:t>
      </w:r>
      <w:proofErr w:type="spellEnd"/>
      <w:r w:rsidRPr="00DA4677">
        <w:rPr>
          <w:rFonts w:ascii="Times New Roman" w:hAnsi="Times New Roman" w:cs="Times New Roman"/>
          <w:sz w:val="20"/>
          <w:szCs w:val="20"/>
        </w:rPr>
        <w:t xml:space="preserve">, A. R., &amp; Sarpong, K. A. N. (2025). The intersection of culture and prostate cancer care in Sub-Saharan Africa: a systematic review. </w:t>
      </w:r>
      <w:r w:rsidRPr="00DA4677">
        <w:rPr>
          <w:rFonts w:ascii="Times New Roman" w:hAnsi="Times New Roman" w:cs="Times New Roman"/>
          <w:i/>
          <w:iCs/>
          <w:sz w:val="20"/>
          <w:szCs w:val="20"/>
        </w:rPr>
        <w:t>African Journal of Urology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31</w:t>
      </w:r>
      <w:r w:rsidRPr="00DA4677">
        <w:rPr>
          <w:rFonts w:ascii="Times New Roman" w:hAnsi="Times New Roman" w:cs="Times New Roman"/>
          <w:sz w:val="20"/>
          <w:szCs w:val="20"/>
        </w:rPr>
        <w:t>(1), 41.</w:t>
      </w:r>
    </w:p>
    <w:p w14:paraId="3789B576" w14:textId="77777777" w:rsidR="00FB53A8" w:rsidRPr="00FB53A8" w:rsidRDefault="00FB53A8" w:rsidP="00FB53A8">
      <w:pPr>
        <w:rPr>
          <w:rFonts w:ascii="Times New Roman" w:eastAsia="Calibri" w:hAnsi="Times New Roman" w:cs="Times New Roman"/>
          <w:color w:val="222222"/>
          <w:kern w:val="0"/>
          <w:sz w:val="20"/>
          <w:szCs w:val="20"/>
          <w:shd w:val="clear" w:color="auto" w:fill="FFFFFF"/>
          <w14:ligatures w14:val="none"/>
        </w:rPr>
      </w:pPr>
      <w:proofErr w:type="spellStart"/>
      <w:r w:rsidRPr="00FB53A8">
        <w:rPr>
          <w:rFonts w:ascii="Times New Roman" w:eastAsia="Calibri" w:hAnsi="Times New Roman" w:cs="Times New Roman"/>
          <w:color w:val="222222"/>
          <w:kern w:val="0"/>
          <w:sz w:val="20"/>
          <w:szCs w:val="20"/>
          <w:shd w:val="clear" w:color="auto" w:fill="FFFFFF"/>
          <w14:ligatures w14:val="none"/>
        </w:rPr>
        <w:t>Pamungkas</w:t>
      </w:r>
      <w:proofErr w:type="spellEnd"/>
      <w:r w:rsidRPr="00FB53A8">
        <w:rPr>
          <w:rFonts w:ascii="Times New Roman" w:eastAsia="Calibri" w:hAnsi="Times New Roman" w:cs="Times New Roman"/>
          <w:color w:val="222222"/>
          <w:kern w:val="0"/>
          <w:sz w:val="20"/>
          <w:szCs w:val="20"/>
          <w:shd w:val="clear" w:color="auto" w:fill="FFFFFF"/>
          <w14:ligatures w14:val="none"/>
        </w:rPr>
        <w:t xml:space="preserve">, Y., Yulan, G., Aung, M. M., </w:t>
      </w:r>
      <w:proofErr w:type="spellStart"/>
      <w:r w:rsidRPr="00FB53A8">
        <w:rPr>
          <w:rFonts w:ascii="Times New Roman" w:eastAsia="Calibri" w:hAnsi="Times New Roman" w:cs="Times New Roman"/>
          <w:color w:val="222222"/>
          <w:kern w:val="0"/>
          <w:sz w:val="20"/>
          <w:szCs w:val="20"/>
          <w:shd w:val="clear" w:color="auto" w:fill="FFFFFF"/>
          <w14:ligatures w14:val="none"/>
        </w:rPr>
        <w:t>Crisnapati</w:t>
      </w:r>
      <w:proofErr w:type="spellEnd"/>
      <w:r w:rsidRPr="00FB53A8">
        <w:rPr>
          <w:rFonts w:ascii="Times New Roman" w:eastAsia="Calibri" w:hAnsi="Times New Roman" w:cs="Times New Roman"/>
          <w:color w:val="222222"/>
          <w:kern w:val="0"/>
          <w:sz w:val="20"/>
          <w:szCs w:val="20"/>
          <w:shd w:val="clear" w:color="auto" w:fill="FFFFFF"/>
          <w14:ligatures w14:val="none"/>
        </w:rPr>
        <w:t xml:space="preserve">, P. N., </w:t>
      </w:r>
      <w:proofErr w:type="spellStart"/>
      <w:r w:rsidRPr="00FB53A8">
        <w:rPr>
          <w:rFonts w:ascii="Times New Roman" w:eastAsia="Calibri" w:hAnsi="Times New Roman" w:cs="Times New Roman"/>
          <w:color w:val="222222"/>
          <w:kern w:val="0"/>
          <w:sz w:val="20"/>
          <w:szCs w:val="20"/>
          <w:shd w:val="clear" w:color="auto" w:fill="FFFFFF"/>
          <w14:ligatures w14:val="none"/>
        </w:rPr>
        <w:t>Thwe</w:t>
      </w:r>
      <w:proofErr w:type="spellEnd"/>
      <w:r w:rsidRPr="00FB53A8">
        <w:rPr>
          <w:rFonts w:ascii="Times New Roman" w:eastAsia="Calibri" w:hAnsi="Times New Roman" w:cs="Times New Roman"/>
          <w:color w:val="222222"/>
          <w:kern w:val="0"/>
          <w:sz w:val="20"/>
          <w:szCs w:val="20"/>
          <w:shd w:val="clear" w:color="auto" w:fill="FFFFFF"/>
          <w14:ligatures w14:val="none"/>
        </w:rPr>
        <w:t>, Y., &amp; Karim, A. (2025). Towards Trustworthy AI in Neuro-Oncology: A Systematic Review of Explainable AI Models for Brain Tumor Detection. </w:t>
      </w:r>
      <w:r w:rsidRPr="00FB53A8">
        <w:rPr>
          <w:rFonts w:ascii="Times New Roman" w:eastAsia="Calibri" w:hAnsi="Times New Roman" w:cs="Times New Roman"/>
          <w:i/>
          <w:iCs/>
          <w:color w:val="222222"/>
          <w:kern w:val="0"/>
          <w:sz w:val="20"/>
          <w:szCs w:val="20"/>
          <w:shd w:val="clear" w:color="auto" w:fill="FFFFFF"/>
          <w14:ligatures w14:val="none"/>
        </w:rPr>
        <w:t>Journal of Robotics and Control (JRC)</w:t>
      </w:r>
      <w:r w:rsidRPr="00FB53A8">
        <w:rPr>
          <w:rFonts w:ascii="Times New Roman" w:eastAsia="Calibri" w:hAnsi="Times New Roman" w:cs="Times New Roman"/>
          <w:color w:val="222222"/>
          <w:kern w:val="0"/>
          <w:sz w:val="20"/>
          <w:szCs w:val="20"/>
          <w:shd w:val="clear" w:color="auto" w:fill="FFFFFF"/>
          <w14:ligatures w14:val="none"/>
        </w:rPr>
        <w:t>, </w:t>
      </w:r>
      <w:r w:rsidRPr="00FB53A8">
        <w:rPr>
          <w:rFonts w:ascii="Times New Roman" w:eastAsia="Calibri" w:hAnsi="Times New Roman" w:cs="Times New Roman"/>
          <w:i/>
          <w:iCs/>
          <w:color w:val="222222"/>
          <w:kern w:val="0"/>
          <w:sz w:val="20"/>
          <w:szCs w:val="20"/>
          <w:shd w:val="clear" w:color="auto" w:fill="FFFFFF"/>
          <w14:ligatures w14:val="none"/>
        </w:rPr>
        <w:t>6</w:t>
      </w:r>
      <w:r w:rsidRPr="00FB53A8">
        <w:rPr>
          <w:rFonts w:ascii="Times New Roman" w:eastAsia="Calibri" w:hAnsi="Times New Roman" w:cs="Times New Roman"/>
          <w:color w:val="222222"/>
          <w:kern w:val="0"/>
          <w:sz w:val="20"/>
          <w:szCs w:val="20"/>
          <w:shd w:val="clear" w:color="auto" w:fill="FFFFFF"/>
          <w14:ligatures w14:val="none"/>
        </w:rPr>
        <w:t>(6), 2697-2714.</w:t>
      </w:r>
    </w:p>
    <w:p w14:paraId="2C9E7997" w14:textId="2F3BE5E1" w:rsidR="00612B51"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Preisser</w:t>
      </w:r>
      <w:proofErr w:type="spellEnd"/>
      <w:r w:rsidRPr="00DA4677">
        <w:rPr>
          <w:rFonts w:ascii="Times New Roman" w:hAnsi="Times New Roman" w:cs="Times New Roman"/>
          <w:sz w:val="20"/>
          <w:szCs w:val="20"/>
        </w:rPr>
        <w:t xml:space="preserve">, F., </w:t>
      </w:r>
      <w:proofErr w:type="spellStart"/>
      <w:r w:rsidRPr="00DA4677">
        <w:rPr>
          <w:rFonts w:ascii="Times New Roman" w:hAnsi="Times New Roman" w:cs="Times New Roman"/>
          <w:sz w:val="20"/>
          <w:szCs w:val="20"/>
        </w:rPr>
        <w:t>Tilki</w:t>
      </w:r>
      <w:proofErr w:type="spellEnd"/>
      <w:r w:rsidRPr="00DA4677">
        <w:rPr>
          <w:rFonts w:ascii="Times New Roman" w:hAnsi="Times New Roman" w:cs="Times New Roman"/>
          <w:sz w:val="20"/>
          <w:szCs w:val="20"/>
        </w:rPr>
        <w:t xml:space="preserve">, D., &amp; Benson, M. C. (2025). Prostate Cancer: Epidemiology. In </w:t>
      </w:r>
      <w:r w:rsidRPr="00DA4677">
        <w:rPr>
          <w:rFonts w:ascii="Times New Roman" w:hAnsi="Times New Roman" w:cs="Times New Roman"/>
          <w:i/>
          <w:iCs/>
          <w:sz w:val="20"/>
          <w:szCs w:val="20"/>
        </w:rPr>
        <w:t>Primer on Urology</w:t>
      </w:r>
      <w:r w:rsidRPr="00DA4677">
        <w:rPr>
          <w:rFonts w:ascii="Times New Roman" w:hAnsi="Times New Roman" w:cs="Times New Roman"/>
          <w:sz w:val="20"/>
          <w:szCs w:val="20"/>
        </w:rPr>
        <w:t xml:space="preserve"> (pp. 53-67). Cham: Springer Nature Switzerland.</w:t>
      </w:r>
    </w:p>
    <w:p w14:paraId="27EEADD3" w14:textId="1319844C" w:rsidR="00FB53A8" w:rsidRPr="0000040F" w:rsidRDefault="0000040F" w:rsidP="00612B51">
      <w:pPr>
        <w:rPr>
          <w:rFonts w:ascii="Times New Roman" w:eastAsia="Calibri" w:hAnsi="Times New Roman" w:cs="Times New Roman"/>
          <w:kern w:val="0"/>
          <w14:ligatures w14:val="none"/>
        </w:rPr>
      </w:pPr>
      <w:r w:rsidRPr="0000040F">
        <w:rPr>
          <w:rFonts w:ascii="Times New Roman" w:eastAsia="Calibri" w:hAnsi="Times New Roman" w:cs="Times New Roman"/>
          <w:color w:val="222222"/>
          <w:kern w:val="0"/>
          <w:sz w:val="20"/>
          <w:szCs w:val="20"/>
          <w:shd w:val="clear" w:color="auto" w:fill="FFFFFF"/>
          <w14:ligatures w14:val="none"/>
        </w:rPr>
        <w:t xml:space="preserve">Prince, E. W., Mirsky, D. M., Hankinson, T. C., &amp; </w:t>
      </w:r>
      <w:proofErr w:type="spellStart"/>
      <w:r w:rsidRPr="0000040F">
        <w:rPr>
          <w:rFonts w:ascii="Times New Roman" w:eastAsia="Calibri" w:hAnsi="Times New Roman" w:cs="Times New Roman"/>
          <w:color w:val="222222"/>
          <w:kern w:val="0"/>
          <w:sz w:val="20"/>
          <w:szCs w:val="20"/>
          <w:shd w:val="clear" w:color="auto" w:fill="FFFFFF"/>
          <w14:ligatures w14:val="none"/>
        </w:rPr>
        <w:t>Görg</w:t>
      </w:r>
      <w:proofErr w:type="spellEnd"/>
      <w:r w:rsidRPr="0000040F">
        <w:rPr>
          <w:rFonts w:ascii="Times New Roman" w:eastAsia="Calibri" w:hAnsi="Times New Roman" w:cs="Times New Roman"/>
          <w:color w:val="222222"/>
          <w:kern w:val="0"/>
          <w:sz w:val="20"/>
          <w:szCs w:val="20"/>
          <w:shd w:val="clear" w:color="auto" w:fill="FFFFFF"/>
          <w14:ligatures w14:val="none"/>
        </w:rPr>
        <w:t>, C. (2025). Current state and promise of user-centered design to harness explainable AI in clinical decision-support systems for patients with CNS tumors. </w:t>
      </w:r>
      <w:r w:rsidRPr="0000040F">
        <w:rPr>
          <w:rFonts w:ascii="Times New Roman" w:eastAsia="Calibri" w:hAnsi="Times New Roman" w:cs="Times New Roman"/>
          <w:i/>
          <w:iCs/>
          <w:color w:val="222222"/>
          <w:kern w:val="0"/>
          <w:sz w:val="20"/>
          <w:szCs w:val="20"/>
          <w:shd w:val="clear" w:color="auto" w:fill="FFFFFF"/>
          <w14:ligatures w14:val="none"/>
        </w:rPr>
        <w:t>Frontiers in Radiology</w:t>
      </w:r>
      <w:r w:rsidRPr="0000040F">
        <w:rPr>
          <w:rFonts w:ascii="Times New Roman" w:eastAsia="Calibri" w:hAnsi="Times New Roman" w:cs="Times New Roman"/>
          <w:color w:val="222222"/>
          <w:kern w:val="0"/>
          <w:sz w:val="20"/>
          <w:szCs w:val="20"/>
          <w:shd w:val="clear" w:color="auto" w:fill="FFFFFF"/>
          <w14:ligatures w14:val="none"/>
        </w:rPr>
        <w:t>, </w:t>
      </w:r>
      <w:r w:rsidRPr="0000040F">
        <w:rPr>
          <w:rFonts w:ascii="Times New Roman" w:eastAsia="Calibri" w:hAnsi="Times New Roman" w:cs="Times New Roman"/>
          <w:i/>
          <w:iCs/>
          <w:color w:val="222222"/>
          <w:kern w:val="0"/>
          <w:sz w:val="20"/>
          <w:szCs w:val="20"/>
          <w:shd w:val="clear" w:color="auto" w:fill="FFFFFF"/>
          <w14:ligatures w14:val="none"/>
        </w:rPr>
        <w:t>4</w:t>
      </w:r>
      <w:r w:rsidRPr="0000040F">
        <w:rPr>
          <w:rFonts w:ascii="Times New Roman" w:eastAsia="Calibri" w:hAnsi="Times New Roman" w:cs="Times New Roman"/>
          <w:color w:val="222222"/>
          <w:kern w:val="0"/>
          <w:sz w:val="20"/>
          <w:szCs w:val="20"/>
          <w:shd w:val="clear" w:color="auto" w:fill="FFFFFF"/>
          <w14:ligatures w14:val="none"/>
        </w:rPr>
        <w:t>, 1433457.</w:t>
      </w:r>
    </w:p>
    <w:bookmarkEnd w:id="8"/>
    <w:p w14:paraId="56AB5A30"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lastRenderedPageBreak/>
        <w:t xml:space="preserve">Sarpong, L. M., Acheampong, A., Badu, M., Adjei, S., Yakubu, J., </w:t>
      </w:r>
      <w:proofErr w:type="spellStart"/>
      <w:r w:rsidRPr="00DA4677">
        <w:rPr>
          <w:rFonts w:ascii="Times New Roman" w:hAnsi="Times New Roman" w:cs="Times New Roman"/>
          <w:sz w:val="20"/>
          <w:szCs w:val="20"/>
        </w:rPr>
        <w:t>Baah</w:t>
      </w:r>
      <w:proofErr w:type="spellEnd"/>
      <w:r w:rsidRPr="00DA4677">
        <w:rPr>
          <w:rFonts w:ascii="Times New Roman" w:hAnsi="Times New Roman" w:cs="Times New Roman"/>
          <w:sz w:val="20"/>
          <w:szCs w:val="20"/>
        </w:rPr>
        <w:t xml:space="preserve">, K. A., ... &amp; </w:t>
      </w:r>
      <w:proofErr w:type="spellStart"/>
      <w:r w:rsidRPr="00DA4677">
        <w:rPr>
          <w:rFonts w:ascii="Times New Roman" w:hAnsi="Times New Roman" w:cs="Times New Roman"/>
          <w:sz w:val="20"/>
          <w:szCs w:val="20"/>
        </w:rPr>
        <w:t>Amponsah</w:t>
      </w:r>
      <w:proofErr w:type="spellEnd"/>
      <w:r w:rsidRPr="00DA4677">
        <w:rPr>
          <w:rFonts w:ascii="Times New Roman" w:hAnsi="Times New Roman" w:cs="Times New Roman"/>
          <w:sz w:val="20"/>
          <w:szCs w:val="20"/>
        </w:rPr>
        <w:t xml:space="preserve">, I. K. (2025). Anti-Prostatic Carcinoma Activity of </w:t>
      </w:r>
      <w:proofErr w:type="spellStart"/>
      <w:r w:rsidRPr="00DA4677">
        <w:rPr>
          <w:rFonts w:ascii="Times New Roman" w:hAnsi="Times New Roman" w:cs="Times New Roman"/>
          <w:sz w:val="20"/>
          <w:szCs w:val="20"/>
        </w:rPr>
        <w:t>Entandrophragma</w:t>
      </w:r>
      <w:proofErr w:type="spellEnd"/>
      <w:r w:rsidRPr="00DA4677">
        <w:rPr>
          <w:rFonts w:ascii="Times New Roman" w:hAnsi="Times New Roman" w:cs="Times New Roman"/>
          <w:sz w:val="20"/>
          <w:szCs w:val="20"/>
        </w:rPr>
        <w:t xml:space="preserve"> </w:t>
      </w:r>
      <w:proofErr w:type="spellStart"/>
      <w:r w:rsidRPr="00DA4677">
        <w:rPr>
          <w:rFonts w:ascii="Times New Roman" w:hAnsi="Times New Roman" w:cs="Times New Roman"/>
          <w:sz w:val="20"/>
          <w:szCs w:val="20"/>
        </w:rPr>
        <w:t>angolense</w:t>
      </w:r>
      <w:proofErr w:type="spellEnd"/>
      <w:r w:rsidRPr="00DA4677">
        <w:rPr>
          <w:rFonts w:ascii="Times New Roman" w:hAnsi="Times New Roman" w:cs="Times New Roman"/>
          <w:sz w:val="20"/>
          <w:szCs w:val="20"/>
        </w:rPr>
        <w:t xml:space="preserve"> and Methyl </w:t>
      </w:r>
      <w:proofErr w:type="spellStart"/>
      <w:r w:rsidRPr="00DA4677">
        <w:rPr>
          <w:rFonts w:ascii="Times New Roman" w:hAnsi="Times New Roman" w:cs="Times New Roman"/>
          <w:sz w:val="20"/>
          <w:szCs w:val="20"/>
        </w:rPr>
        <w:t>Angolensate</w:t>
      </w:r>
      <w:proofErr w:type="spellEnd"/>
      <w:r w:rsidRPr="00DA4677">
        <w:rPr>
          <w:rFonts w:ascii="Times New Roman" w:hAnsi="Times New Roman" w:cs="Times New Roman"/>
          <w:sz w:val="20"/>
          <w:szCs w:val="20"/>
        </w:rPr>
        <w:t xml:space="preserve">: In Vitro and In Silico Analyses. </w:t>
      </w:r>
      <w:r w:rsidRPr="00DA4677">
        <w:rPr>
          <w:rFonts w:ascii="Times New Roman" w:hAnsi="Times New Roman" w:cs="Times New Roman"/>
          <w:i/>
          <w:iCs/>
          <w:sz w:val="20"/>
          <w:szCs w:val="20"/>
        </w:rPr>
        <w:t>Natural Product Communications</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20</w:t>
      </w:r>
      <w:r w:rsidRPr="00DA4677">
        <w:rPr>
          <w:rFonts w:ascii="Times New Roman" w:hAnsi="Times New Roman" w:cs="Times New Roman"/>
          <w:sz w:val="20"/>
          <w:szCs w:val="20"/>
        </w:rPr>
        <w:t>(10), 1934578X251384534.</w:t>
      </w:r>
    </w:p>
    <w:p w14:paraId="06AFD675"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Wu, Y. C., Wang, S. I., Lu, L. Y., Wu, M. Y., Wu, P. L., Hsieh, T. Y., &amp; Sung, W. W. (2025). The Predictive Role of the Gleason Score in Determining Prognosis to Systematic Treatment in Metastatic Castration-Sensitive Prostate Cancer: A Systematic Review and Network Meta-Analysis. </w:t>
      </w:r>
      <w:r w:rsidRPr="00DA4677">
        <w:rPr>
          <w:rFonts w:ascii="Times New Roman" w:hAnsi="Times New Roman" w:cs="Times New Roman"/>
          <w:i/>
          <w:iCs/>
          <w:sz w:val="20"/>
          <w:szCs w:val="20"/>
        </w:rPr>
        <w:t>Journal of Clinical Medicine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14</w:t>
      </w:r>
      <w:r w:rsidRPr="00DA4677">
        <w:rPr>
          <w:rFonts w:ascii="Times New Roman" w:hAnsi="Times New Roman" w:cs="Times New Roman"/>
          <w:sz w:val="20"/>
          <w:szCs w:val="20"/>
        </w:rPr>
        <w:t>(4), 1326.</w:t>
      </w:r>
    </w:p>
    <w:p w14:paraId="22C2F303"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Xiong</w:t>
      </w:r>
      <w:proofErr w:type="spellEnd"/>
      <w:r w:rsidRPr="00DA4677">
        <w:rPr>
          <w:rFonts w:ascii="Times New Roman" w:hAnsi="Times New Roman" w:cs="Times New Roman"/>
          <w:sz w:val="20"/>
          <w:szCs w:val="20"/>
        </w:rPr>
        <w:t xml:space="preserve">, J., Liu, Y., </w:t>
      </w:r>
      <w:proofErr w:type="spellStart"/>
      <w:r w:rsidRPr="00DA4677">
        <w:rPr>
          <w:rFonts w:ascii="Times New Roman" w:hAnsi="Times New Roman" w:cs="Times New Roman"/>
          <w:sz w:val="20"/>
          <w:szCs w:val="20"/>
        </w:rPr>
        <w:t>Qiao</w:t>
      </w:r>
      <w:proofErr w:type="spellEnd"/>
      <w:r w:rsidRPr="00DA4677">
        <w:rPr>
          <w:rFonts w:ascii="Times New Roman" w:hAnsi="Times New Roman" w:cs="Times New Roman"/>
          <w:sz w:val="20"/>
          <w:szCs w:val="20"/>
        </w:rPr>
        <w:t xml:space="preserve">, X., Ai, G., Ma, J., &amp; He, X. (2025). A novel composite index of PSA and periprostatic adipose tissue quantification for enhancing high-grade prostate cancer prediction. </w:t>
      </w:r>
      <w:r w:rsidRPr="00DA4677">
        <w:rPr>
          <w:rFonts w:ascii="Times New Roman" w:hAnsi="Times New Roman" w:cs="Times New Roman"/>
          <w:i/>
          <w:iCs/>
          <w:sz w:val="20"/>
          <w:szCs w:val="20"/>
        </w:rPr>
        <w:t>BMC urology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25</w:t>
      </w:r>
      <w:r w:rsidRPr="00DA4677">
        <w:rPr>
          <w:rFonts w:ascii="Times New Roman" w:hAnsi="Times New Roman" w:cs="Times New Roman"/>
          <w:sz w:val="20"/>
          <w:szCs w:val="20"/>
        </w:rPr>
        <w:t>(1), 199.</w:t>
      </w:r>
    </w:p>
    <w:p w14:paraId="2BF18FE2" w14:textId="77777777" w:rsidR="00612B51" w:rsidRPr="00DA4677" w:rsidRDefault="001D4AFD"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Yeasin</w:t>
      </w:r>
      <w:proofErr w:type="spellEnd"/>
      <w:r w:rsidRPr="00DA4677">
        <w:rPr>
          <w:rFonts w:ascii="Times New Roman" w:hAnsi="Times New Roman" w:cs="Times New Roman"/>
          <w:sz w:val="20"/>
          <w:szCs w:val="20"/>
        </w:rPr>
        <w:t xml:space="preserve">, A., Hossain, M., </w:t>
      </w:r>
      <w:proofErr w:type="spellStart"/>
      <w:r w:rsidRPr="00DA4677">
        <w:rPr>
          <w:rFonts w:ascii="Times New Roman" w:hAnsi="Times New Roman" w:cs="Times New Roman"/>
          <w:sz w:val="20"/>
          <w:szCs w:val="20"/>
        </w:rPr>
        <w:t>Baral</w:t>
      </w:r>
      <w:proofErr w:type="spellEnd"/>
      <w:r w:rsidRPr="00DA4677">
        <w:rPr>
          <w:rFonts w:ascii="Times New Roman" w:hAnsi="Times New Roman" w:cs="Times New Roman"/>
          <w:sz w:val="20"/>
          <w:szCs w:val="20"/>
        </w:rPr>
        <w:t xml:space="preserve">, S., Chen, J., &amp; Sun, W. (2025). The diagnostic value of prostate health index combined with soluble e-cadherin for prostate cancer. </w:t>
      </w:r>
      <w:r w:rsidRPr="00DA4677">
        <w:rPr>
          <w:rFonts w:ascii="Times New Roman" w:hAnsi="Times New Roman" w:cs="Times New Roman"/>
          <w:i/>
          <w:iCs/>
          <w:sz w:val="20"/>
          <w:szCs w:val="20"/>
        </w:rPr>
        <w:t>Frontiers in Endocrinology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16</w:t>
      </w:r>
      <w:r w:rsidRPr="00DA4677">
        <w:rPr>
          <w:rFonts w:ascii="Times New Roman" w:hAnsi="Times New Roman" w:cs="Times New Roman"/>
          <w:sz w:val="20"/>
          <w:szCs w:val="20"/>
        </w:rPr>
        <w:t>, 1531866.</w:t>
      </w:r>
    </w:p>
    <w:p w14:paraId="6D29AA1D"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Zhang, X., Li, Y., Yan, C., Ma, L., Yu, M., Yang, Y., ... &amp; Peng, L. (2025). Global trends in testicular and prostate cancer among adolescents and young adult males aged 15–49 years, 1990–2021: insights from the GBD study. </w:t>
      </w:r>
      <w:r w:rsidRPr="00DA4677">
        <w:rPr>
          <w:rFonts w:ascii="Times New Roman" w:hAnsi="Times New Roman" w:cs="Times New Roman"/>
          <w:i/>
          <w:iCs/>
          <w:sz w:val="20"/>
          <w:szCs w:val="20"/>
        </w:rPr>
        <w:t>Scientific Reports</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(1), 23388.</w:t>
      </w:r>
    </w:p>
    <w:p w14:paraId="727012A4"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Zhao, X., Liu, S., Zou, Z., &amp; Liang, C. (2025). Global, regional, and national prevalence of prostate cancer from 1990 to 2021: a trend and health inequality analyses. </w:t>
      </w:r>
      <w:r w:rsidRPr="00DA4677">
        <w:rPr>
          <w:rFonts w:ascii="Times New Roman" w:hAnsi="Times New Roman" w:cs="Times New Roman"/>
          <w:i/>
          <w:iCs/>
          <w:sz w:val="20"/>
          <w:szCs w:val="20"/>
        </w:rPr>
        <w:t>Frontiers in Public Health</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13</w:t>
      </w:r>
      <w:r w:rsidRPr="00DA4677">
        <w:rPr>
          <w:rFonts w:ascii="Times New Roman" w:hAnsi="Times New Roman" w:cs="Times New Roman"/>
          <w:sz w:val="20"/>
          <w:szCs w:val="20"/>
        </w:rPr>
        <w:t>, 1595159.</w:t>
      </w:r>
    </w:p>
    <w:p w14:paraId="50882460"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Zhu, X., Che, X., Yang, R., Bao, B., &amp; Chu, G. (2025). Global, Regional, and National Burden of Cancer in the Elderly Population, 1990–2021: Analysis of Data </w:t>
      </w:r>
      <w:proofErr w:type="gramStart"/>
      <w:r w:rsidRPr="00DA4677">
        <w:rPr>
          <w:rFonts w:ascii="Times New Roman" w:hAnsi="Times New Roman" w:cs="Times New Roman"/>
          <w:sz w:val="20"/>
          <w:szCs w:val="20"/>
        </w:rPr>
        <w:t>From</w:t>
      </w:r>
      <w:proofErr w:type="gramEnd"/>
      <w:r w:rsidRPr="00DA4677">
        <w:rPr>
          <w:rFonts w:ascii="Times New Roman" w:hAnsi="Times New Roman" w:cs="Times New Roman"/>
          <w:sz w:val="20"/>
          <w:szCs w:val="20"/>
        </w:rPr>
        <w:t xml:space="preserve"> the Global Burden of Disease Study 2021. </w:t>
      </w:r>
      <w:r w:rsidRPr="00DA4677">
        <w:rPr>
          <w:rFonts w:ascii="Times New Roman" w:hAnsi="Times New Roman" w:cs="Times New Roman"/>
          <w:i/>
          <w:iCs/>
          <w:sz w:val="20"/>
          <w:szCs w:val="20"/>
        </w:rPr>
        <w:t>Med Research</w:t>
      </w:r>
      <w:r w:rsidRPr="00DA4677">
        <w:rPr>
          <w:rFonts w:ascii="Times New Roman" w:hAnsi="Times New Roman" w:cs="Times New Roman"/>
          <w:sz w:val="20"/>
          <w:szCs w:val="20"/>
        </w:rPr>
        <w:t>.</w:t>
      </w:r>
    </w:p>
    <w:p w14:paraId="11E84807" w14:textId="77777777" w:rsidR="00612B51" w:rsidRPr="00DA4677" w:rsidRDefault="001D4AFD" w:rsidP="00612B51">
      <w:pPr>
        <w:rPr>
          <w:rFonts w:ascii="Times New Roman" w:hAnsi="Times New Roman" w:cs="Times New Roman"/>
          <w:sz w:val="20"/>
          <w:szCs w:val="20"/>
        </w:rPr>
      </w:pPr>
      <w:r w:rsidRPr="00DA4677">
        <w:rPr>
          <w:rFonts w:ascii="Times New Roman" w:hAnsi="Times New Roman" w:cs="Times New Roman"/>
          <w:sz w:val="20"/>
          <w:szCs w:val="20"/>
        </w:rPr>
        <w:t xml:space="preserve">Zi, H., Liu, M. Y., Luo, L. S., Huang, Q., Luo, P. C., Luan, H. H., ... &amp; Zeng, X. T. (2024). Global burden of benign prostatic hyperplasia, urinary tract infections, urolithiasis, bladder cancer, kidney cancer, and prostate cancer from 1990 to 2021. </w:t>
      </w:r>
      <w:r w:rsidRPr="00DA4677">
        <w:rPr>
          <w:rFonts w:ascii="Times New Roman" w:hAnsi="Times New Roman" w:cs="Times New Roman"/>
          <w:i/>
          <w:iCs/>
          <w:sz w:val="20"/>
          <w:szCs w:val="20"/>
        </w:rPr>
        <w:t>Military Medical Research</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11</w:t>
      </w:r>
      <w:r w:rsidRPr="00DA4677">
        <w:rPr>
          <w:rFonts w:ascii="Times New Roman" w:hAnsi="Times New Roman" w:cs="Times New Roman"/>
          <w:sz w:val="20"/>
          <w:szCs w:val="20"/>
        </w:rPr>
        <w:t>(1), 64.</w:t>
      </w:r>
    </w:p>
    <w:p w14:paraId="171FDD28" w14:textId="77777777" w:rsidR="004A1DEA" w:rsidRPr="00571986" w:rsidRDefault="004A1DEA" w:rsidP="00571986">
      <w:pPr>
        <w:jc w:val="center"/>
        <w:rPr>
          <w:rFonts w:ascii="Times New Roman" w:hAnsi="Times New Roman" w:cs="Times New Roman"/>
          <w:b/>
          <w:bCs/>
          <w:sz w:val="20"/>
          <w:szCs w:val="20"/>
        </w:rPr>
      </w:pPr>
    </w:p>
    <w:p w14:paraId="458C6F60" w14:textId="25FD8E34" w:rsidR="00AF5B97" w:rsidRDefault="00571986" w:rsidP="00571986">
      <w:pPr>
        <w:jc w:val="center"/>
        <w:rPr>
          <w:rFonts w:ascii="Times New Roman" w:hAnsi="Times New Roman" w:cs="Times New Roman"/>
          <w:b/>
          <w:bCs/>
          <w:sz w:val="20"/>
          <w:szCs w:val="20"/>
        </w:rPr>
      </w:pPr>
      <w:r w:rsidRPr="00571986">
        <w:rPr>
          <w:rFonts w:ascii="Times New Roman" w:hAnsi="Times New Roman" w:cs="Times New Roman"/>
          <w:b/>
          <w:bCs/>
          <w:sz w:val="20"/>
          <w:szCs w:val="20"/>
        </w:rPr>
        <w:t>SUPPLEMENTARY MATERIALS</w:t>
      </w:r>
    </w:p>
    <w:p w14:paraId="78417CBE" w14:textId="6F4C9FBE" w:rsidR="00571986" w:rsidRPr="00571986" w:rsidRDefault="00571986" w:rsidP="00571986">
      <w:pPr>
        <w:jc w:val="center"/>
        <w:rPr>
          <w:rFonts w:ascii="Times New Roman" w:hAnsi="Times New Roman" w:cs="Times New Roman"/>
          <w:b/>
          <w:bCs/>
          <w:sz w:val="20"/>
          <w:szCs w:val="20"/>
        </w:rPr>
      </w:pPr>
      <w:r>
        <w:rPr>
          <w:rFonts w:ascii="Times New Roman" w:hAnsi="Times New Roman" w:cs="Times New Roman"/>
          <w:b/>
          <w:bCs/>
          <w:sz w:val="20"/>
          <w:szCs w:val="20"/>
        </w:rPr>
        <w:t xml:space="preserve">Appendices </w:t>
      </w:r>
    </w:p>
    <w:p w14:paraId="5E9A1828" w14:textId="5077B279" w:rsidR="00AF5B97" w:rsidRDefault="00AF5B97" w:rsidP="00612B51">
      <w:pPr>
        <w:rPr>
          <w:rFonts w:ascii="Times New Roman" w:hAnsi="Times New Roman" w:cs="Times New Roman"/>
          <w:sz w:val="20"/>
          <w:szCs w:val="20"/>
        </w:rPr>
      </w:pPr>
      <w:r w:rsidRPr="00AF5B97">
        <w:rPr>
          <w:rFonts w:ascii="Cambria" w:eastAsia="Times New Roman" w:hAnsi="Cambria" w:cs="Times New Roman"/>
          <w:noProof/>
          <w:kern w:val="0"/>
          <w:sz w:val="24"/>
          <w:szCs w:val="24"/>
          <w14:ligatures w14:val="none"/>
        </w:rPr>
        <w:drawing>
          <wp:inline distT="0" distB="0" distL="0" distR="0" wp14:anchorId="1B0699F6" wp14:editId="36821032">
            <wp:extent cx="5730240" cy="2457192"/>
            <wp:effectExtent l="0" t="0" r="3810" b="635"/>
            <wp:docPr id="982852314" name="Picture 9828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4"/>
                    <a:srcRect t="6068"/>
                    <a:stretch>
                      <a:fillRect/>
                    </a:stretch>
                  </pic:blipFill>
                  <pic:spPr bwMode="auto">
                    <a:xfrm>
                      <a:off x="0" y="0"/>
                      <a:ext cx="5741691" cy="2462102"/>
                    </a:xfrm>
                    <a:prstGeom prst="rect">
                      <a:avLst/>
                    </a:prstGeom>
                    <a:noFill/>
                    <a:ln>
                      <a:noFill/>
                    </a:ln>
                    <a:extLst>
                      <a:ext uri="{53640926-AAD7-44D8-BBD7-CCE9431645EC}">
                        <a14:shadowObscured xmlns:a14="http://schemas.microsoft.com/office/drawing/2010/main"/>
                      </a:ext>
                    </a:extLst>
                  </pic:spPr>
                </pic:pic>
              </a:graphicData>
            </a:graphic>
          </wp:inline>
        </w:drawing>
      </w:r>
    </w:p>
    <w:p w14:paraId="0E7DF790" w14:textId="33B6FFCC" w:rsidR="00AF5B97" w:rsidRDefault="00AF5B97" w:rsidP="00612B51">
      <w:pPr>
        <w:rPr>
          <w:rFonts w:ascii="Times New Roman" w:hAnsi="Times New Roman" w:cs="Times New Roman"/>
          <w:sz w:val="20"/>
          <w:szCs w:val="20"/>
        </w:rPr>
      </w:pPr>
      <w:r w:rsidRPr="00AF5B97">
        <w:rPr>
          <w:rFonts w:ascii="Times New Roman" w:hAnsi="Times New Roman" w:cs="Times New Roman"/>
          <w:sz w:val="20"/>
          <w:szCs w:val="20"/>
        </w:rPr>
        <w:t>Figure S1. Complementary Log–Log Survival Plot by Age Quartiles</w:t>
      </w:r>
    </w:p>
    <w:p w14:paraId="16260DFC" w14:textId="61C94323" w:rsidR="00AF5B97" w:rsidRDefault="00AF5B97" w:rsidP="00612B51">
      <w:pPr>
        <w:rPr>
          <w:rFonts w:ascii="Times New Roman" w:hAnsi="Times New Roman" w:cs="Times New Roman"/>
          <w:sz w:val="20"/>
          <w:szCs w:val="20"/>
        </w:rPr>
      </w:pPr>
      <w:r w:rsidRPr="00AF5B97">
        <w:rPr>
          <w:rFonts w:ascii="Cambria" w:eastAsia="Times New Roman" w:hAnsi="Cambria" w:cs="Times New Roman"/>
          <w:noProof/>
          <w:kern w:val="0"/>
          <w:sz w:val="24"/>
          <w:szCs w:val="24"/>
          <w14:ligatures w14:val="none"/>
        </w:rPr>
        <w:lastRenderedPageBreak/>
        <w:drawing>
          <wp:inline distT="0" distB="0" distL="0" distR="0" wp14:anchorId="01217DDF" wp14:editId="0365C2B4">
            <wp:extent cx="5729605" cy="2552055"/>
            <wp:effectExtent l="0" t="0" r="4445" b="1270"/>
            <wp:docPr id="201734407" name="Picture 20173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rotWithShape="1">
                    <a:blip r:embed="rId15"/>
                    <a:srcRect t="7161"/>
                    <a:stretch>
                      <a:fillRect/>
                    </a:stretch>
                  </pic:blipFill>
                  <pic:spPr bwMode="auto">
                    <a:xfrm>
                      <a:off x="0" y="0"/>
                      <a:ext cx="5746766" cy="2559699"/>
                    </a:xfrm>
                    <a:prstGeom prst="rect">
                      <a:avLst/>
                    </a:prstGeom>
                    <a:noFill/>
                    <a:ln>
                      <a:noFill/>
                    </a:ln>
                    <a:extLst>
                      <a:ext uri="{53640926-AAD7-44D8-BBD7-CCE9431645EC}">
                        <a14:shadowObscured xmlns:a14="http://schemas.microsoft.com/office/drawing/2010/main"/>
                      </a:ext>
                    </a:extLst>
                  </pic:spPr>
                </pic:pic>
              </a:graphicData>
            </a:graphic>
          </wp:inline>
        </w:drawing>
      </w:r>
    </w:p>
    <w:p w14:paraId="2C2C5DD2" w14:textId="162CEE1E" w:rsidR="00AF5B97" w:rsidRPr="00DA4677" w:rsidRDefault="00AF5B97" w:rsidP="00612B51">
      <w:pPr>
        <w:rPr>
          <w:rFonts w:ascii="Times New Roman" w:hAnsi="Times New Roman" w:cs="Times New Roman"/>
          <w:sz w:val="20"/>
          <w:szCs w:val="20"/>
        </w:rPr>
      </w:pPr>
      <w:r>
        <w:t>Figure S2. Complementary Log–Log Survival Plot by Tumor Size Quartiles</w:t>
      </w:r>
    </w:p>
    <w:sectPr w:rsidR="00AF5B97" w:rsidRPr="00DA4677" w:rsidSect="0054579B">
      <w:pgSz w:w="11906" w:h="16838"/>
      <w:pgMar w:top="426" w:right="1440" w:bottom="1276"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31F061E" w16cex:dateUtc="2025-11-14T13:57: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1"/>
    <w:multiLevelType w:val="multilevel"/>
    <w:tmpl w:val="F43C4C3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279E0F59"/>
    <w:multiLevelType w:val="multilevel"/>
    <w:tmpl w:val="1BDA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AD1CA5"/>
    <w:multiLevelType w:val="multilevel"/>
    <w:tmpl w:val="4ED82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091F79"/>
    <w:multiLevelType w:val="multilevel"/>
    <w:tmpl w:val="175E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B51"/>
    <w:rsid w:val="0000040F"/>
    <w:rsid w:val="000129BF"/>
    <w:rsid w:val="000438A7"/>
    <w:rsid w:val="00074DFF"/>
    <w:rsid w:val="000F1860"/>
    <w:rsid w:val="000F4926"/>
    <w:rsid w:val="00140863"/>
    <w:rsid w:val="001655C8"/>
    <w:rsid w:val="001C5159"/>
    <w:rsid w:val="001D4AFD"/>
    <w:rsid w:val="001E7574"/>
    <w:rsid w:val="00221ADC"/>
    <w:rsid w:val="00274234"/>
    <w:rsid w:val="0029581E"/>
    <w:rsid w:val="002C648A"/>
    <w:rsid w:val="002E4BDD"/>
    <w:rsid w:val="00321D3E"/>
    <w:rsid w:val="00347080"/>
    <w:rsid w:val="00357E4A"/>
    <w:rsid w:val="003757C8"/>
    <w:rsid w:val="003D29D7"/>
    <w:rsid w:val="003E109A"/>
    <w:rsid w:val="00425F97"/>
    <w:rsid w:val="004A1DEA"/>
    <w:rsid w:val="004F11CD"/>
    <w:rsid w:val="0054579B"/>
    <w:rsid w:val="005469AE"/>
    <w:rsid w:val="00554553"/>
    <w:rsid w:val="00571986"/>
    <w:rsid w:val="00612B51"/>
    <w:rsid w:val="00636F42"/>
    <w:rsid w:val="00651F7E"/>
    <w:rsid w:val="00695527"/>
    <w:rsid w:val="006B7505"/>
    <w:rsid w:val="006C527F"/>
    <w:rsid w:val="006E6872"/>
    <w:rsid w:val="00774E50"/>
    <w:rsid w:val="00780E21"/>
    <w:rsid w:val="00786A5A"/>
    <w:rsid w:val="00797704"/>
    <w:rsid w:val="007B413A"/>
    <w:rsid w:val="007C013F"/>
    <w:rsid w:val="00816922"/>
    <w:rsid w:val="00864223"/>
    <w:rsid w:val="00931E4C"/>
    <w:rsid w:val="00946186"/>
    <w:rsid w:val="009960F9"/>
    <w:rsid w:val="00997531"/>
    <w:rsid w:val="009A43FA"/>
    <w:rsid w:val="009D7058"/>
    <w:rsid w:val="009F731F"/>
    <w:rsid w:val="00A4562F"/>
    <w:rsid w:val="00A62B9C"/>
    <w:rsid w:val="00A9124B"/>
    <w:rsid w:val="00AF5B97"/>
    <w:rsid w:val="00B34A34"/>
    <w:rsid w:val="00B6513F"/>
    <w:rsid w:val="00BC7D0E"/>
    <w:rsid w:val="00C653E8"/>
    <w:rsid w:val="00CD3BD5"/>
    <w:rsid w:val="00CD5226"/>
    <w:rsid w:val="00D260C9"/>
    <w:rsid w:val="00D64BE9"/>
    <w:rsid w:val="00D8269F"/>
    <w:rsid w:val="00D91915"/>
    <w:rsid w:val="00DA4677"/>
    <w:rsid w:val="00DD7901"/>
    <w:rsid w:val="00E05C83"/>
    <w:rsid w:val="00E24908"/>
    <w:rsid w:val="00E3366F"/>
    <w:rsid w:val="00E365ED"/>
    <w:rsid w:val="00E4583C"/>
    <w:rsid w:val="00E643DC"/>
    <w:rsid w:val="00E76BDD"/>
    <w:rsid w:val="00EF748B"/>
    <w:rsid w:val="00F97504"/>
    <w:rsid w:val="00FB5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6F937"/>
  <w15:docId w15:val="{17892552-307E-4FDC-BC61-B37BE8D4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B51"/>
    <w:rPr>
      <w:lang w:val="en-US"/>
    </w:rPr>
  </w:style>
  <w:style w:type="paragraph" w:styleId="Heading1">
    <w:name w:val="heading 1"/>
    <w:basedOn w:val="Normal"/>
    <w:next w:val="Normal"/>
    <w:link w:val="Heading1Char"/>
    <w:uiPriority w:val="9"/>
    <w:qFormat/>
    <w:rsid w:val="00612B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12B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12B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2B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2B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2B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2B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2B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2B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B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12B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12B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2B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2B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2B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B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B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B51"/>
    <w:rPr>
      <w:rFonts w:eastAsiaTheme="majorEastAsia" w:cstheme="majorBidi"/>
      <w:color w:val="272727" w:themeColor="text1" w:themeTint="D8"/>
    </w:rPr>
  </w:style>
  <w:style w:type="paragraph" w:styleId="Title">
    <w:name w:val="Title"/>
    <w:basedOn w:val="Normal"/>
    <w:next w:val="Normal"/>
    <w:link w:val="TitleChar"/>
    <w:uiPriority w:val="10"/>
    <w:qFormat/>
    <w:rsid w:val="00612B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B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B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B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B51"/>
    <w:pPr>
      <w:spacing w:before="160"/>
      <w:jc w:val="center"/>
    </w:pPr>
    <w:rPr>
      <w:i/>
      <w:iCs/>
      <w:color w:val="404040" w:themeColor="text1" w:themeTint="BF"/>
    </w:rPr>
  </w:style>
  <w:style w:type="character" w:customStyle="1" w:styleId="QuoteChar">
    <w:name w:val="Quote Char"/>
    <w:basedOn w:val="DefaultParagraphFont"/>
    <w:link w:val="Quote"/>
    <w:uiPriority w:val="29"/>
    <w:rsid w:val="00612B51"/>
    <w:rPr>
      <w:i/>
      <w:iCs/>
      <w:color w:val="404040" w:themeColor="text1" w:themeTint="BF"/>
    </w:rPr>
  </w:style>
  <w:style w:type="paragraph" w:styleId="ListParagraph">
    <w:name w:val="List Paragraph"/>
    <w:basedOn w:val="Normal"/>
    <w:uiPriority w:val="34"/>
    <w:qFormat/>
    <w:rsid w:val="00612B51"/>
    <w:pPr>
      <w:ind w:left="720"/>
      <w:contextualSpacing/>
    </w:pPr>
  </w:style>
  <w:style w:type="character" w:styleId="IntenseEmphasis">
    <w:name w:val="Intense Emphasis"/>
    <w:basedOn w:val="DefaultParagraphFont"/>
    <w:uiPriority w:val="21"/>
    <w:qFormat/>
    <w:rsid w:val="00612B51"/>
    <w:rPr>
      <w:i/>
      <w:iCs/>
      <w:color w:val="2F5496" w:themeColor="accent1" w:themeShade="BF"/>
    </w:rPr>
  </w:style>
  <w:style w:type="paragraph" w:styleId="IntenseQuote">
    <w:name w:val="Intense Quote"/>
    <w:basedOn w:val="Normal"/>
    <w:next w:val="Normal"/>
    <w:link w:val="IntenseQuoteChar"/>
    <w:uiPriority w:val="30"/>
    <w:qFormat/>
    <w:rsid w:val="00612B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2B51"/>
    <w:rPr>
      <w:i/>
      <w:iCs/>
      <w:color w:val="2F5496" w:themeColor="accent1" w:themeShade="BF"/>
    </w:rPr>
  </w:style>
  <w:style w:type="character" w:styleId="IntenseReference">
    <w:name w:val="Intense Reference"/>
    <w:basedOn w:val="DefaultParagraphFont"/>
    <w:uiPriority w:val="32"/>
    <w:qFormat/>
    <w:rsid w:val="00612B51"/>
    <w:rPr>
      <w:b/>
      <w:bCs/>
      <w:smallCaps/>
      <w:color w:val="2F5496" w:themeColor="accent1" w:themeShade="BF"/>
      <w:spacing w:val="5"/>
    </w:rPr>
  </w:style>
  <w:style w:type="character" w:styleId="Hyperlink">
    <w:name w:val="Hyperlink"/>
    <w:basedOn w:val="DefaultParagraphFont"/>
    <w:uiPriority w:val="99"/>
    <w:unhideWhenUsed/>
    <w:rsid w:val="00612B51"/>
    <w:rPr>
      <w:color w:val="0563C1" w:themeColor="hyperlink"/>
      <w:u w:val="single"/>
    </w:rPr>
  </w:style>
  <w:style w:type="paragraph" w:styleId="BodyText">
    <w:name w:val="Body Text"/>
    <w:basedOn w:val="Normal"/>
    <w:link w:val="BodyTextChar"/>
    <w:qFormat/>
    <w:rsid w:val="00612B51"/>
    <w:pPr>
      <w:spacing w:before="180" w:after="180" w:line="240" w:lineRule="auto"/>
    </w:pPr>
    <w:rPr>
      <w:rFonts w:ascii="Times New Roman" w:hAnsi="Times New Roman"/>
      <w:kern w:val="0"/>
      <w:sz w:val="24"/>
      <w:szCs w:val="24"/>
      <w14:ligatures w14:val="none"/>
    </w:rPr>
  </w:style>
  <w:style w:type="character" w:customStyle="1" w:styleId="BodyTextChar">
    <w:name w:val="Body Text Char"/>
    <w:basedOn w:val="DefaultParagraphFont"/>
    <w:link w:val="BodyText"/>
    <w:rsid w:val="00612B51"/>
    <w:rPr>
      <w:rFonts w:ascii="Times New Roman" w:hAnsi="Times New Roman"/>
      <w:kern w:val="0"/>
      <w:sz w:val="24"/>
      <w:szCs w:val="24"/>
      <w:lang w:val="en-US"/>
      <w14:ligatures w14:val="none"/>
    </w:rPr>
  </w:style>
  <w:style w:type="paragraph" w:customStyle="1" w:styleId="FirstParagraph">
    <w:name w:val="First Paragraph"/>
    <w:basedOn w:val="BodyText"/>
    <w:next w:val="BodyText"/>
    <w:qFormat/>
    <w:rsid w:val="00612B51"/>
  </w:style>
  <w:style w:type="paragraph" w:customStyle="1" w:styleId="Compact">
    <w:name w:val="Compact"/>
    <w:basedOn w:val="BodyText"/>
    <w:qFormat/>
    <w:rsid w:val="00612B51"/>
    <w:pPr>
      <w:spacing w:before="36" w:after="36"/>
    </w:pPr>
  </w:style>
  <w:style w:type="character" w:styleId="PlaceholderText">
    <w:name w:val="Placeholder Text"/>
    <w:basedOn w:val="DefaultParagraphFont"/>
    <w:uiPriority w:val="99"/>
    <w:semiHidden/>
    <w:rsid w:val="00612B51"/>
    <w:rPr>
      <w:color w:val="666666"/>
    </w:rPr>
  </w:style>
  <w:style w:type="paragraph" w:styleId="NormalWeb">
    <w:name w:val="Normal (Web)"/>
    <w:basedOn w:val="Normal"/>
    <w:uiPriority w:val="99"/>
    <w:unhideWhenUsed/>
    <w:rsid w:val="00612B51"/>
    <w:pPr>
      <w:spacing w:before="100" w:beforeAutospacing="1" w:after="100" w:afterAutospacing="1" w:line="240" w:lineRule="auto"/>
    </w:pPr>
    <w:rPr>
      <w:rFonts w:ascii="Times New Roman" w:eastAsia="Times New Roman" w:hAnsi="Times New Roman" w:cs="Times New Roman"/>
      <w:kern w:val="0"/>
      <w:sz w:val="24"/>
      <w:szCs w:val="24"/>
      <w:lang w:eastAsia=""/>
      <w14:ligatures w14:val="none"/>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paragraph" w:styleId="CommentSubject">
    <w:name w:val="annotation subject"/>
    <w:basedOn w:val="CommentText"/>
    <w:next w:val="CommentText"/>
    <w:link w:val="CommentSubjectChar"/>
    <w:uiPriority w:val="99"/>
    <w:semiHidden/>
    <w:unhideWhenUsed/>
    <w:rsid w:val="004F11CD"/>
    <w:rPr>
      <w:b/>
      <w:bCs/>
    </w:rPr>
  </w:style>
  <w:style w:type="character" w:customStyle="1" w:styleId="CommentSubjectChar">
    <w:name w:val="Comment Subject Char"/>
    <w:basedOn w:val="CommentTextChar"/>
    <w:link w:val="CommentSubject"/>
    <w:uiPriority w:val="99"/>
    <w:semiHidden/>
    <w:rsid w:val="004F11CD"/>
    <w:rPr>
      <w:b/>
      <w:bCs/>
      <w:sz w:val="20"/>
      <w:szCs w:val="20"/>
      <w:lang w:val="en-US"/>
    </w:rPr>
  </w:style>
  <w:style w:type="character" w:styleId="Emphasis">
    <w:name w:val="Emphasis"/>
    <w:basedOn w:val="DefaultParagraphFont"/>
    <w:uiPriority w:val="20"/>
    <w:qFormat/>
    <w:rsid w:val="00780E21"/>
    <w:rPr>
      <w:i/>
      <w:iCs/>
    </w:rPr>
  </w:style>
  <w:style w:type="paragraph" w:styleId="BalloonText">
    <w:name w:val="Balloon Text"/>
    <w:basedOn w:val="Normal"/>
    <w:link w:val="BalloonTextChar"/>
    <w:uiPriority w:val="99"/>
    <w:semiHidden/>
    <w:unhideWhenUsed/>
    <w:rsid w:val="001D4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AF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8237</Words>
  <Characters>46956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Ayiah-Mensah</dc:creator>
  <cp:lastModifiedBy>Editor GP 005</cp:lastModifiedBy>
  <cp:revision>9</cp:revision>
  <cp:lastPrinted>2025-11-13T14:59:00Z</cp:lastPrinted>
  <dcterms:created xsi:type="dcterms:W3CDTF">2025-11-28T12:59:00Z</dcterms:created>
  <dcterms:modified xsi:type="dcterms:W3CDTF">2025-11-29T12:24:00Z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2025-11-13T12:31:29Z</vt:filetime>
  </property>
</Properties>
</file>