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3E9182" w14:textId="32C31DDD" w:rsidR="00750A91" w:rsidRPr="00A74B2B" w:rsidRDefault="00F00E75" w:rsidP="00F00E75">
      <w:pPr>
        <w:spacing w:after="0" w:line="360" w:lineRule="auto"/>
        <w:jc w:val="center"/>
        <w:rPr>
          <w:rFonts w:ascii="Times New Roman" w:hAnsi="Times New Roman"/>
          <w:b/>
          <w:bCs/>
          <w:sz w:val="28"/>
          <w:szCs w:val="28"/>
        </w:rPr>
      </w:pPr>
      <w:r w:rsidRPr="009D50B9">
        <w:rPr>
          <w:rFonts w:ascii="Times New Roman" w:hAnsi="Times New Roman"/>
          <w:b/>
          <w:bCs/>
          <w:sz w:val="28"/>
          <w:szCs w:val="28"/>
        </w:rPr>
        <w:t>Biosurfactant</w:t>
      </w:r>
      <w:r w:rsidR="004A380C" w:rsidRPr="009D50B9">
        <w:rPr>
          <w:rFonts w:ascii="Times New Roman" w:hAnsi="Times New Roman"/>
          <w:b/>
          <w:bCs/>
          <w:sz w:val="28"/>
          <w:szCs w:val="28"/>
        </w:rPr>
        <w:t>s</w:t>
      </w:r>
      <w:r w:rsidRPr="009D50B9">
        <w:rPr>
          <w:rFonts w:ascii="Times New Roman" w:hAnsi="Times New Roman"/>
          <w:b/>
          <w:bCs/>
          <w:sz w:val="28"/>
          <w:szCs w:val="28"/>
        </w:rPr>
        <w:t xml:space="preserve"> Producing </w:t>
      </w:r>
      <w:r w:rsidR="00613449" w:rsidRPr="009D50B9">
        <w:rPr>
          <w:rFonts w:ascii="Times New Roman" w:hAnsi="Times New Roman"/>
          <w:b/>
          <w:bCs/>
          <w:sz w:val="28"/>
          <w:szCs w:val="28"/>
        </w:rPr>
        <w:t xml:space="preserve">Bacteria </w:t>
      </w:r>
      <w:r w:rsidRPr="009D50B9">
        <w:rPr>
          <w:rFonts w:ascii="Times New Roman" w:hAnsi="Times New Roman"/>
          <w:b/>
          <w:bCs/>
          <w:sz w:val="28"/>
          <w:szCs w:val="28"/>
        </w:rPr>
        <w:t xml:space="preserve">as Dual Agents for Plant Growth Promotion and Biocontrol of </w:t>
      </w:r>
      <w:r w:rsidRPr="009D50B9">
        <w:rPr>
          <w:rFonts w:ascii="Times New Roman" w:hAnsi="Times New Roman"/>
          <w:b/>
          <w:bCs/>
          <w:i/>
          <w:iCs/>
          <w:sz w:val="28"/>
          <w:szCs w:val="28"/>
        </w:rPr>
        <w:t xml:space="preserve">Pyricularia </w:t>
      </w:r>
      <w:r w:rsidR="005C16C6" w:rsidRPr="005C16C6">
        <w:rPr>
          <w:rFonts w:ascii="Times New Roman" w:hAnsi="Times New Roman"/>
          <w:b/>
          <w:bCs/>
          <w:i/>
          <w:iCs/>
          <w:sz w:val="28"/>
          <w:szCs w:val="28"/>
        </w:rPr>
        <w:t>grisea</w:t>
      </w:r>
      <w:r w:rsidRPr="005C16C6">
        <w:rPr>
          <w:rFonts w:ascii="Times New Roman" w:hAnsi="Times New Roman"/>
          <w:b/>
          <w:bCs/>
          <w:sz w:val="32"/>
          <w:szCs w:val="32"/>
        </w:rPr>
        <w:t xml:space="preserve"> </w:t>
      </w:r>
      <w:r w:rsidRPr="009D50B9">
        <w:rPr>
          <w:rFonts w:ascii="Times New Roman" w:hAnsi="Times New Roman"/>
          <w:b/>
          <w:bCs/>
          <w:sz w:val="28"/>
          <w:szCs w:val="28"/>
        </w:rPr>
        <w:t>in Finger Millet</w:t>
      </w:r>
      <w:r w:rsidR="0015023F" w:rsidRPr="009D50B9">
        <w:rPr>
          <w:rFonts w:ascii="Times New Roman" w:hAnsi="Times New Roman"/>
          <w:b/>
          <w:bCs/>
          <w:sz w:val="28"/>
          <w:szCs w:val="28"/>
        </w:rPr>
        <w:t xml:space="preserve"> under </w:t>
      </w:r>
      <w:r w:rsidR="0015023F" w:rsidRPr="009D50B9">
        <w:rPr>
          <w:rFonts w:ascii="Times New Roman" w:hAnsi="Times New Roman"/>
          <w:b/>
          <w:bCs/>
          <w:i/>
          <w:iCs/>
          <w:sz w:val="28"/>
          <w:szCs w:val="28"/>
        </w:rPr>
        <w:t>in vitro</w:t>
      </w:r>
      <w:r w:rsidR="0015023F" w:rsidRPr="009D50B9">
        <w:rPr>
          <w:rFonts w:ascii="Times New Roman" w:hAnsi="Times New Roman"/>
          <w:b/>
          <w:bCs/>
          <w:sz w:val="28"/>
          <w:szCs w:val="28"/>
        </w:rPr>
        <w:t xml:space="preserve"> </w:t>
      </w:r>
      <w:r w:rsidR="00A121BF" w:rsidRPr="009D50B9">
        <w:rPr>
          <w:rFonts w:ascii="Times New Roman" w:hAnsi="Times New Roman"/>
          <w:b/>
          <w:bCs/>
          <w:sz w:val="28"/>
          <w:szCs w:val="28"/>
        </w:rPr>
        <w:t>Condition</w:t>
      </w:r>
    </w:p>
    <w:p w14:paraId="738EF55B" w14:textId="56E49626" w:rsidR="00F00E75" w:rsidRPr="009D50B9" w:rsidRDefault="00F00E75" w:rsidP="00A121BF">
      <w:pPr>
        <w:spacing w:after="0" w:line="360" w:lineRule="auto"/>
        <w:jc w:val="center"/>
        <w:rPr>
          <w:rFonts w:ascii="Times New Roman" w:hAnsi="Times New Roman"/>
          <w:b/>
          <w:bCs/>
          <w:sz w:val="28"/>
          <w:szCs w:val="28"/>
        </w:rPr>
      </w:pPr>
      <w:r w:rsidRPr="009D50B9">
        <w:rPr>
          <w:rFonts w:ascii="Times New Roman" w:hAnsi="Times New Roman"/>
          <w:b/>
          <w:bCs/>
          <w:sz w:val="28"/>
          <w:szCs w:val="28"/>
        </w:rPr>
        <w:t>Abstract</w:t>
      </w:r>
    </w:p>
    <w:p w14:paraId="0ADEBB3E" w14:textId="0FCA9D9D" w:rsidR="009D121B" w:rsidRDefault="0013497F" w:rsidP="00A52454">
      <w:pPr>
        <w:spacing w:after="0" w:line="360" w:lineRule="auto"/>
        <w:jc w:val="both"/>
        <w:rPr>
          <w:rFonts w:ascii="Times New Roman" w:hAnsi="Times New Roman"/>
          <w:sz w:val="24"/>
          <w:szCs w:val="24"/>
        </w:rPr>
      </w:pPr>
      <w:bookmarkStart w:id="0" w:name="_Hlk211335459"/>
      <w:r w:rsidRPr="009D50B9">
        <w:rPr>
          <w:rFonts w:ascii="Times New Roman" w:hAnsi="Times New Roman"/>
          <w:sz w:val="24"/>
          <w:szCs w:val="24"/>
        </w:rPr>
        <w:t xml:space="preserve">The present study investigates the potential of biosurfactant producing bacteria isolated from hydrocarbon contaminated soils as dual agents for plant growth promotion and biocontrol of </w:t>
      </w:r>
      <w:r w:rsidRPr="009D50B9">
        <w:rPr>
          <w:rFonts w:ascii="Times New Roman" w:hAnsi="Times New Roman"/>
          <w:i/>
          <w:iCs/>
          <w:sz w:val="24"/>
          <w:szCs w:val="24"/>
        </w:rPr>
        <w:t>Pyricularia grisea</w:t>
      </w:r>
      <w:r w:rsidRPr="009D50B9">
        <w:rPr>
          <w:rFonts w:ascii="Times New Roman" w:hAnsi="Times New Roman"/>
          <w:sz w:val="24"/>
          <w:szCs w:val="24"/>
        </w:rPr>
        <w:t>, the causal pathogen of blast disease in finger millet (</w:t>
      </w:r>
      <w:r w:rsidRPr="009D50B9">
        <w:rPr>
          <w:rFonts w:ascii="Times New Roman" w:hAnsi="Times New Roman"/>
          <w:i/>
          <w:iCs/>
          <w:sz w:val="24"/>
          <w:szCs w:val="24"/>
        </w:rPr>
        <w:t>Eleusine coracana</w:t>
      </w:r>
      <w:r w:rsidRPr="009D50B9">
        <w:rPr>
          <w:rFonts w:ascii="Times New Roman" w:hAnsi="Times New Roman"/>
          <w:sz w:val="24"/>
          <w:szCs w:val="24"/>
        </w:rPr>
        <w:t xml:space="preserve">) under </w:t>
      </w:r>
      <w:r w:rsidRPr="009D50B9">
        <w:rPr>
          <w:rFonts w:ascii="Times New Roman" w:hAnsi="Times New Roman"/>
          <w:i/>
          <w:iCs/>
          <w:sz w:val="24"/>
          <w:szCs w:val="24"/>
        </w:rPr>
        <w:t>in vitro</w:t>
      </w:r>
      <w:r w:rsidRPr="009D50B9">
        <w:rPr>
          <w:rFonts w:ascii="Times New Roman" w:hAnsi="Times New Roman"/>
          <w:sz w:val="24"/>
          <w:szCs w:val="24"/>
        </w:rPr>
        <w:t xml:space="preserve"> experimental conditions. Enrichment culture techniques yielded sixty-eight bacterial isolates among</w:t>
      </w:r>
      <w:r w:rsidR="0097233D" w:rsidRPr="009D50B9">
        <w:rPr>
          <w:rFonts w:ascii="Times New Roman" w:hAnsi="Times New Roman"/>
          <w:sz w:val="24"/>
          <w:szCs w:val="24"/>
        </w:rPr>
        <w:t>st which</w:t>
      </w:r>
      <w:r w:rsidRPr="009D50B9">
        <w:rPr>
          <w:rFonts w:ascii="Times New Roman" w:hAnsi="Times New Roman"/>
          <w:sz w:val="24"/>
          <w:szCs w:val="24"/>
        </w:rPr>
        <w:t xml:space="preserve">, five were efficient </w:t>
      </w:r>
      <w:r w:rsidRPr="003A3598">
        <w:rPr>
          <w:rFonts w:ascii="Times New Roman" w:hAnsi="Times New Roman"/>
          <w:sz w:val="24"/>
          <w:szCs w:val="24"/>
        </w:rPr>
        <w:t>biosu</w:t>
      </w:r>
      <w:r w:rsidR="00C829F3" w:rsidRPr="003A3598">
        <w:rPr>
          <w:rFonts w:ascii="Times New Roman" w:hAnsi="Times New Roman"/>
          <w:sz w:val="24"/>
          <w:szCs w:val="24"/>
        </w:rPr>
        <w:t>r</w:t>
      </w:r>
      <w:r w:rsidRPr="003A3598">
        <w:rPr>
          <w:rFonts w:ascii="Times New Roman" w:hAnsi="Times New Roman"/>
          <w:sz w:val="24"/>
          <w:szCs w:val="24"/>
        </w:rPr>
        <w:t>factant</w:t>
      </w:r>
      <w:r w:rsidRPr="009D50B9">
        <w:rPr>
          <w:rFonts w:ascii="Times New Roman" w:hAnsi="Times New Roman"/>
          <w:sz w:val="24"/>
          <w:szCs w:val="24"/>
        </w:rPr>
        <w:t xml:space="preserve"> producers </w:t>
      </w:r>
      <w:r w:rsidRPr="009D50B9">
        <w:rPr>
          <w:rFonts w:ascii="Times New Roman" w:hAnsi="Times New Roman"/>
          <w:i/>
          <w:iCs/>
          <w:sz w:val="24"/>
          <w:szCs w:val="24"/>
        </w:rPr>
        <w:t>viz</w:t>
      </w:r>
      <w:r w:rsidRPr="009D50B9">
        <w:rPr>
          <w:rFonts w:ascii="Times New Roman" w:hAnsi="Times New Roman"/>
          <w:sz w:val="24"/>
          <w:szCs w:val="24"/>
        </w:rPr>
        <w:t>., BSB-2, BSB-4, BSB-11, BSB-41 and BSR-51. BSB-2 and BSB-41 demonstrated efficient phosphate (1.55 mg/L, 1.48 mg/L) and potassium solubilization (2.66 mg/L, 2.43 mg/L) indicating strong nutrient-</w:t>
      </w:r>
      <w:r w:rsidR="00C2105E" w:rsidRPr="009D50B9">
        <w:rPr>
          <w:rFonts w:ascii="Times New Roman" w:hAnsi="Times New Roman"/>
          <w:sz w:val="24"/>
          <w:szCs w:val="24"/>
        </w:rPr>
        <w:t>solubilization</w:t>
      </w:r>
      <w:r w:rsidRPr="009D50B9">
        <w:rPr>
          <w:rFonts w:ascii="Times New Roman" w:hAnsi="Times New Roman"/>
          <w:sz w:val="24"/>
          <w:szCs w:val="24"/>
        </w:rPr>
        <w:t xml:space="preserve"> potential. </w:t>
      </w:r>
      <w:r w:rsidR="00F26424" w:rsidRPr="00F26424">
        <w:rPr>
          <w:rFonts w:ascii="Times New Roman" w:hAnsi="Times New Roman"/>
          <w:sz w:val="24"/>
          <w:szCs w:val="24"/>
        </w:rPr>
        <w:t>Antifungal assays using the poison food technique revealed that at 4 mg/mL</w:t>
      </w:r>
      <w:r w:rsidR="00F26424">
        <w:rPr>
          <w:rFonts w:ascii="Times New Roman" w:hAnsi="Times New Roman"/>
          <w:sz w:val="24"/>
          <w:szCs w:val="24"/>
        </w:rPr>
        <w:t>,</w:t>
      </w:r>
      <w:r w:rsidR="00F26424" w:rsidRPr="00F26424">
        <w:rPr>
          <w:rFonts w:ascii="Times New Roman" w:hAnsi="Times New Roman"/>
          <w:sz w:val="24"/>
          <w:szCs w:val="24"/>
        </w:rPr>
        <w:t xml:space="preserve"> </w:t>
      </w:r>
      <w:r w:rsidR="00F26424" w:rsidRPr="005D44D3">
        <w:rPr>
          <w:rFonts w:ascii="Times New Roman" w:hAnsi="Times New Roman"/>
          <w:sz w:val="24"/>
          <w:szCs w:val="24"/>
        </w:rPr>
        <w:t>BSB-2 (71.28%)</w:t>
      </w:r>
      <w:r w:rsidR="005C79E3">
        <w:rPr>
          <w:rFonts w:ascii="Times New Roman" w:hAnsi="Times New Roman"/>
          <w:sz w:val="24"/>
          <w:szCs w:val="24"/>
        </w:rPr>
        <w:t xml:space="preserve"> showed</w:t>
      </w:r>
      <w:r w:rsidR="005C79E3" w:rsidRPr="005C79E3">
        <w:t xml:space="preserve"> </w:t>
      </w:r>
      <w:r w:rsidR="005C79E3" w:rsidRPr="005C79E3">
        <w:rPr>
          <w:rFonts w:ascii="Times New Roman" w:hAnsi="Times New Roman"/>
          <w:sz w:val="24"/>
          <w:szCs w:val="24"/>
        </w:rPr>
        <w:t>the highest</w:t>
      </w:r>
      <w:r w:rsidR="005C79E3">
        <w:rPr>
          <w:rFonts w:ascii="Times New Roman" w:hAnsi="Times New Roman"/>
          <w:sz w:val="24"/>
          <w:szCs w:val="24"/>
        </w:rPr>
        <w:t xml:space="preserve"> </w:t>
      </w:r>
      <w:r w:rsidR="005C79E3" w:rsidRPr="005C79E3">
        <w:rPr>
          <w:rFonts w:ascii="Times New Roman" w:hAnsi="Times New Roman"/>
          <w:sz w:val="24"/>
          <w:szCs w:val="24"/>
        </w:rPr>
        <w:t>inhibit</w:t>
      </w:r>
      <w:r w:rsidR="005C79E3">
        <w:rPr>
          <w:rFonts w:ascii="Times New Roman" w:hAnsi="Times New Roman"/>
          <w:sz w:val="24"/>
          <w:szCs w:val="24"/>
        </w:rPr>
        <w:t>ion</w:t>
      </w:r>
      <w:r w:rsidR="005C79E3" w:rsidRPr="005C79E3">
        <w:rPr>
          <w:rFonts w:ascii="Times New Roman" w:hAnsi="Times New Roman"/>
          <w:sz w:val="24"/>
          <w:szCs w:val="24"/>
        </w:rPr>
        <w:t xml:space="preserve"> </w:t>
      </w:r>
      <w:r w:rsidR="005C79E3">
        <w:rPr>
          <w:rFonts w:ascii="Times New Roman" w:hAnsi="Times New Roman"/>
          <w:sz w:val="24"/>
          <w:szCs w:val="24"/>
        </w:rPr>
        <w:t>of</w:t>
      </w:r>
      <w:r w:rsidR="005C79E3" w:rsidRPr="005C79E3">
        <w:rPr>
          <w:rFonts w:ascii="Times New Roman" w:hAnsi="Times New Roman"/>
          <w:sz w:val="24"/>
          <w:szCs w:val="24"/>
        </w:rPr>
        <w:t xml:space="preserve"> mycelial growth of </w:t>
      </w:r>
      <w:r w:rsidR="005C79E3" w:rsidRPr="005C79E3">
        <w:rPr>
          <w:rFonts w:ascii="Times New Roman" w:hAnsi="Times New Roman"/>
          <w:i/>
          <w:iCs/>
          <w:sz w:val="24"/>
          <w:szCs w:val="24"/>
        </w:rPr>
        <w:t>Pyricularia grisea</w:t>
      </w:r>
      <w:r w:rsidR="005C79E3" w:rsidRPr="005C79E3">
        <w:rPr>
          <w:rFonts w:ascii="Times New Roman" w:hAnsi="Times New Roman"/>
          <w:sz w:val="24"/>
          <w:szCs w:val="24"/>
        </w:rPr>
        <w:t xml:space="preserve"> </w:t>
      </w:r>
      <w:r w:rsidR="00F26424" w:rsidRPr="005D44D3">
        <w:rPr>
          <w:rFonts w:ascii="Times New Roman" w:hAnsi="Times New Roman"/>
          <w:sz w:val="24"/>
          <w:szCs w:val="24"/>
        </w:rPr>
        <w:t>followed by BSB-41 (70.05%)</w:t>
      </w:r>
      <w:r w:rsidR="00F26424">
        <w:rPr>
          <w:rFonts w:ascii="Times New Roman" w:hAnsi="Times New Roman"/>
          <w:i/>
          <w:iCs/>
          <w:sz w:val="24"/>
          <w:szCs w:val="24"/>
        </w:rPr>
        <w:t>.</w:t>
      </w:r>
      <w:r w:rsidR="00F26424">
        <w:rPr>
          <w:rFonts w:ascii="Times New Roman" w:hAnsi="Times New Roman"/>
          <w:sz w:val="24"/>
          <w:szCs w:val="24"/>
        </w:rPr>
        <w:t xml:space="preserve"> </w:t>
      </w:r>
      <w:r w:rsidR="00F26424" w:rsidRPr="00F26424">
        <w:rPr>
          <w:rFonts w:ascii="Times New Roman" w:hAnsi="Times New Roman"/>
          <w:sz w:val="24"/>
          <w:szCs w:val="24"/>
        </w:rPr>
        <w:t xml:space="preserve">BSB-2 exhibited the highest biomass reduction </w:t>
      </w:r>
      <w:r w:rsidR="00930F55" w:rsidRPr="00930F55">
        <w:rPr>
          <w:rFonts w:ascii="Times New Roman" w:hAnsi="Times New Roman"/>
          <w:sz w:val="24"/>
          <w:szCs w:val="24"/>
        </w:rPr>
        <w:t xml:space="preserve">of </w:t>
      </w:r>
      <w:r w:rsidR="00930F55" w:rsidRPr="00930F55">
        <w:rPr>
          <w:rFonts w:ascii="Times New Roman" w:hAnsi="Times New Roman"/>
          <w:i/>
          <w:iCs/>
          <w:sz w:val="24"/>
          <w:szCs w:val="24"/>
        </w:rPr>
        <w:t>Pyricularia grisea</w:t>
      </w:r>
      <w:r w:rsidR="00930F55" w:rsidRPr="00930F55">
        <w:rPr>
          <w:rFonts w:ascii="Times New Roman" w:hAnsi="Times New Roman"/>
          <w:sz w:val="24"/>
          <w:szCs w:val="24"/>
        </w:rPr>
        <w:t xml:space="preserve"> </w:t>
      </w:r>
      <w:r w:rsidR="00F26424" w:rsidRPr="00F26424">
        <w:rPr>
          <w:rFonts w:ascii="Times New Roman" w:hAnsi="Times New Roman"/>
          <w:sz w:val="24"/>
          <w:szCs w:val="24"/>
        </w:rPr>
        <w:t>(82.50 %), followed by BSB-41 (78.93%).</w:t>
      </w:r>
      <w:r w:rsidR="00F26424">
        <w:rPr>
          <w:rFonts w:ascii="Times New Roman" w:hAnsi="Times New Roman"/>
          <w:sz w:val="24"/>
          <w:szCs w:val="24"/>
        </w:rPr>
        <w:t xml:space="preserve"> </w:t>
      </w:r>
      <w:r w:rsidRPr="009D50B9">
        <w:rPr>
          <w:rFonts w:ascii="Times New Roman" w:hAnsi="Times New Roman"/>
          <w:sz w:val="24"/>
          <w:szCs w:val="24"/>
        </w:rPr>
        <w:t>Elevated levels of β-1,3-glucanase (</w:t>
      </w:r>
      <w:r w:rsidR="00D7277E" w:rsidRPr="00D7277E">
        <w:rPr>
          <w:rFonts w:ascii="Times New Roman" w:hAnsi="Times New Roman"/>
          <w:sz w:val="24"/>
          <w:szCs w:val="24"/>
        </w:rPr>
        <w:t>BSB-2</w:t>
      </w:r>
      <w:r w:rsidR="00D7277E">
        <w:rPr>
          <w:rFonts w:ascii="Times New Roman" w:hAnsi="Times New Roman"/>
          <w:sz w:val="24"/>
          <w:szCs w:val="24"/>
        </w:rPr>
        <w:t xml:space="preserve">: </w:t>
      </w:r>
      <w:r w:rsidRPr="009D50B9">
        <w:rPr>
          <w:rFonts w:ascii="Times New Roman" w:hAnsi="Times New Roman"/>
          <w:sz w:val="24"/>
          <w:szCs w:val="24"/>
        </w:rPr>
        <w:t xml:space="preserve">4.10 U/mL, </w:t>
      </w:r>
      <w:r w:rsidR="00D7277E" w:rsidRPr="005D44D3">
        <w:rPr>
          <w:rFonts w:ascii="Times New Roman" w:hAnsi="Times New Roman"/>
          <w:sz w:val="24"/>
          <w:szCs w:val="24"/>
        </w:rPr>
        <w:t>BSB-41</w:t>
      </w:r>
      <w:r w:rsidR="00D7277E">
        <w:rPr>
          <w:rFonts w:ascii="Times New Roman" w:hAnsi="Times New Roman"/>
          <w:sz w:val="24"/>
          <w:szCs w:val="24"/>
        </w:rPr>
        <w:t>:</w:t>
      </w:r>
      <w:r w:rsidR="00D7277E" w:rsidRPr="005D44D3">
        <w:rPr>
          <w:rFonts w:ascii="Times New Roman" w:hAnsi="Times New Roman"/>
          <w:sz w:val="24"/>
          <w:szCs w:val="24"/>
        </w:rPr>
        <w:t xml:space="preserve"> </w:t>
      </w:r>
      <w:r w:rsidRPr="009D50B9">
        <w:rPr>
          <w:rFonts w:ascii="Times New Roman" w:hAnsi="Times New Roman"/>
          <w:sz w:val="24"/>
          <w:szCs w:val="24"/>
        </w:rPr>
        <w:t xml:space="preserve">3.75 U/mL) and chitinase activity (BSB-2: 2.87 U/mL) further confirmed their enzymatic role in pathogen degradation. </w:t>
      </w:r>
      <w:r w:rsidR="00285A2E" w:rsidRPr="00285A2E">
        <w:rPr>
          <w:rFonts w:ascii="Times New Roman" w:hAnsi="Times New Roman"/>
          <w:sz w:val="24"/>
          <w:szCs w:val="24"/>
          <w:highlight w:val="yellow"/>
        </w:rPr>
        <w:t xml:space="preserve">The dual mechanism </w:t>
      </w:r>
      <w:r w:rsidR="00673726" w:rsidRPr="00673726">
        <w:rPr>
          <w:rFonts w:ascii="Times New Roman" w:hAnsi="Times New Roman"/>
          <w:sz w:val="24"/>
          <w:szCs w:val="24"/>
          <w:highlight w:val="yellow"/>
        </w:rPr>
        <w:t xml:space="preserve">of biosurfactant </w:t>
      </w:r>
      <w:r w:rsidR="00285A2E" w:rsidRPr="00673726">
        <w:rPr>
          <w:rFonts w:ascii="Times New Roman" w:hAnsi="Times New Roman"/>
          <w:sz w:val="24"/>
          <w:szCs w:val="24"/>
          <w:highlight w:val="yellow"/>
        </w:rPr>
        <w:t xml:space="preserve">combines nutrient solubilization (P, K) with enzymatic (glucanase, chitinase) </w:t>
      </w:r>
      <w:r w:rsidR="00AE143A" w:rsidRPr="00673726">
        <w:rPr>
          <w:rFonts w:ascii="Times New Roman" w:hAnsi="Times New Roman"/>
          <w:sz w:val="24"/>
          <w:szCs w:val="24"/>
          <w:highlight w:val="yellow"/>
        </w:rPr>
        <w:t>activities of the isolates resulted in effective fungal suppression</w:t>
      </w:r>
      <w:r w:rsidR="00AE143A" w:rsidRPr="00AE143A">
        <w:rPr>
          <w:rFonts w:ascii="Times New Roman" w:hAnsi="Times New Roman"/>
          <w:sz w:val="24"/>
          <w:szCs w:val="24"/>
        </w:rPr>
        <w:t xml:space="preserve"> </w:t>
      </w:r>
      <w:r w:rsidR="00A52454" w:rsidRPr="009D50B9">
        <w:rPr>
          <w:rFonts w:ascii="Times New Roman" w:hAnsi="Times New Roman"/>
          <w:sz w:val="24"/>
          <w:szCs w:val="24"/>
        </w:rPr>
        <w:t xml:space="preserve">and improved nutrient bioavailability, indicating a synergistic mechanism of action. Their multifunctional traits position them as promising bioinoculants for integrated nutrient and disease management in finger millet cultivation. </w:t>
      </w:r>
      <w:r w:rsidR="009D121B" w:rsidRPr="009D121B">
        <w:rPr>
          <w:rFonts w:ascii="Times New Roman" w:hAnsi="Times New Roman"/>
          <w:sz w:val="24"/>
          <w:szCs w:val="24"/>
          <w:highlight w:val="yellow"/>
        </w:rPr>
        <w:t>The study emphasizes the potential of biosurfactant producing bacteria as environmentally safe solutions for promoting plant growth and biocontrol agents that enhance soil health, suppress pathogens, boost crop productivity, and strengthen long-term agricultural sustainability.</w:t>
      </w:r>
    </w:p>
    <w:p w14:paraId="1F1A9B26" w14:textId="3FD4A166" w:rsidR="00B06C88" w:rsidRPr="009D50B9" w:rsidRDefault="002851FF" w:rsidP="002851FF">
      <w:pPr>
        <w:spacing w:after="0" w:line="360" w:lineRule="auto"/>
        <w:jc w:val="both"/>
        <w:rPr>
          <w:rFonts w:ascii="Times New Roman" w:hAnsi="Times New Roman"/>
          <w:i/>
          <w:iCs/>
          <w:sz w:val="24"/>
          <w:szCs w:val="24"/>
        </w:rPr>
      </w:pPr>
      <w:r w:rsidRPr="009D50B9">
        <w:rPr>
          <w:rFonts w:ascii="Times New Roman" w:hAnsi="Times New Roman"/>
          <w:b/>
          <w:bCs/>
          <w:sz w:val="24"/>
          <w:szCs w:val="24"/>
        </w:rPr>
        <w:t>Keywords</w:t>
      </w:r>
      <w:r w:rsidRPr="009D50B9">
        <w:rPr>
          <w:rFonts w:ascii="Times New Roman" w:hAnsi="Times New Roman"/>
          <w:sz w:val="24"/>
          <w:szCs w:val="24"/>
        </w:rPr>
        <w:t>: Biosurfactant producing bacteria, Biocontrol, Finger millet (</w:t>
      </w:r>
      <w:r w:rsidRPr="009D50B9">
        <w:rPr>
          <w:rFonts w:ascii="Times New Roman" w:hAnsi="Times New Roman"/>
          <w:i/>
          <w:iCs/>
          <w:sz w:val="24"/>
          <w:szCs w:val="24"/>
        </w:rPr>
        <w:t>Eleusine coracana</w:t>
      </w:r>
      <w:r w:rsidRPr="009D50B9">
        <w:rPr>
          <w:rFonts w:ascii="Times New Roman" w:hAnsi="Times New Roman"/>
          <w:sz w:val="24"/>
          <w:szCs w:val="24"/>
        </w:rPr>
        <w:t xml:space="preserve">), </w:t>
      </w:r>
      <w:r w:rsidR="0030425D" w:rsidRPr="009D50B9">
        <w:rPr>
          <w:rFonts w:ascii="Times New Roman" w:hAnsi="Times New Roman"/>
          <w:sz w:val="24"/>
          <w:szCs w:val="24"/>
        </w:rPr>
        <w:tab/>
        <w:t xml:space="preserve">        </w:t>
      </w:r>
      <w:r w:rsidRPr="009D50B9">
        <w:rPr>
          <w:rFonts w:ascii="Times New Roman" w:hAnsi="Times New Roman"/>
          <w:sz w:val="24"/>
          <w:szCs w:val="24"/>
        </w:rPr>
        <w:t xml:space="preserve">Plant growth promoting microorganisms, </w:t>
      </w:r>
      <w:r w:rsidRPr="009D50B9">
        <w:rPr>
          <w:rFonts w:ascii="Times New Roman" w:hAnsi="Times New Roman"/>
          <w:i/>
          <w:iCs/>
          <w:sz w:val="24"/>
          <w:szCs w:val="24"/>
        </w:rPr>
        <w:t>Pyricularia grisea.</w:t>
      </w:r>
    </w:p>
    <w:bookmarkEnd w:id="0"/>
    <w:p w14:paraId="2087C4F2" w14:textId="44F9EB61" w:rsidR="002347E4" w:rsidRPr="009D50B9" w:rsidRDefault="002347E4" w:rsidP="00381B11">
      <w:pPr>
        <w:pStyle w:val="ListParagraph"/>
        <w:numPr>
          <w:ilvl w:val="0"/>
          <w:numId w:val="2"/>
        </w:numPr>
        <w:spacing w:after="0" w:line="360" w:lineRule="auto"/>
        <w:ind w:left="360"/>
        <w:rPr>
          <w:rFonts w:ascii="Times New Roman" w:hAnsi="Times New Roman"/>
          <w:b/>
          <w:bCs/>
          <w:sz w:val="28"/>
          <w:szCs w:val="28"/>
        </w:rPr>
      </w:pPr>
      <w:r w:rsidRPr="009D50B9">
        <w:rPr>
          <w:rFonts w:ascii="Times New Roman" w:hAnsi="Times New Roman"/>
          <w:b/>
          <w:bCs/>
          <w:sz w:val="28"/>
          <w:szCs w:val="28"/>
        </w:rPr>
        <w:t xml:space="preserve">Introduction </w:t>
      </w:r>
    </w:p>
    <w:p w14:paraId="6C2D7A20" w14:textId="43A64A03" w:rsidR="002347E4" w:rsidRPr="009D50B9" w:rsidRDefault="00CE7661" w:rsidP="003F50A0">
      <w:pPr>
        <w:spacing w:after="0" w:line="360" w:lineRule="auto"/>
        <w:jc w:val="both"/>
        <w:rPr>
          <w:rFonts w:ascii="Times New Roman" w:hAnsi="Times New Roman"/>
          <w:sz w:val="24"/>
          <w:szCs w:val="24"/>
        </w:rPr>
      </w:pPr>
      <w:r w:rsidRPr="009D50B9">
        <w:rPr>
          <w:rFonts w:ascii="Times New Roman" w:hAnsi="Times New Roman"/>
          <w:sz w:val="24"/>
          <w:szCs w:val="24"/>
        </w:rPr>
        <w:tab/>
      </w:r>
      <w:r w:rsidR="00F202EC">
        <w:rPr>
          <w:rFonts w:ascii="Times New Roman" w:hAnsi="Times New Roman"/>
          <w:sz w:val="24"/>
          <w:szCs w:val="24"/>
        </w:rPr>
        <w:t>“</w:t>
      </w:r>
      <w:r w:rsidR="002347E4" w:rsidRPr="009D50B9">
        <w:rPr>
          <w:rFonts w:ascii="Times New Roman" w:hAnsi="Times New Roman"/>
          <w:sz w:val="24"/>
          <w:szCs w:val="24"/>
        </w:rPr>
        <w:t>Finger millet (</w:t>
      </w:r>
      <w:proofErr w:type="spellStart"/>
      <w:r w:rsidR="002347E4" w:rsidRPr="009D50B9">
        <w:rPr>
          <w:rFonts w:ascii="Times New Roman" w:hAnsi="Times New Roman"/>
          <w:i/>
          <w:iCs/>
          <w:sz w:val="24"/>
          <w:szCs w:val="24"/>
        </w:rPr>
        <w:t>Eleusine</w:t>
      </w:r>
      <w:proofErr w:type="spellEnd"/>
      <w:r w:rsidR="002347E4" w:rsidRPr="009D50B9">
        <w:rPr>
          <w:rFonts w:ascii="Times New Roman" w:hAnsi="Times New Roman"/>
          <w:i/>
          <w:iCs/>
          <w:sz w:val="24"/>
          <w:szCs w:val="24"/>
        </w:rPr>
        <w:t xml:space="preserve"> </w:t>
      </w:r>
      <w:proofErr w:type="spellStart"/>
      <w:r w:rsidR="002347E4" w:rsidRPr="009D50B9">
        <w:rPr>
          <w:rFonts w:ascii="Times New Roman" w:hAnsi="Times New Roman"/>
          <w:i/>
          <w:iCs/>
          <w:sz w:val="24"/>
          <w:szCs w:val="24"/>
        </w:rPr>
        <w:t>coracana</w:t>
      </w:r>
      <w:proofErr w:type="spellEnd"/>
      <w:r w:rsidR="002347E4" w:rsidRPr="009D50B9">
        <w:rPr>
          <w:rFonts w:ascii="Times New Roman" w:hAnsi="Times New Roman"/>
          <w:sz w:val="24"/>
          <w:szCs w:val="24"/>
        </w:rPr>
        <w:t>) is a domesticated crop of African origin and it is spread throughout the world. It is also known as korakan, ragi, or dagusa in India. Even though the wild progenitor species (</w:t>
      </w:r>
      <w:r w:rsidR="002347E4" w:rsidRPr="009D50B9">
        <w:rPr>
          <w:rFonts w:ascii="Times New Roman" w:hAnsi="Times New Roman"/>
          <w:i/>
          <w:iCs/>
          <w:sz w:val="24"/>
          <w:szCs w:val="24"/>
        </w:rPr>
        <w:t>Eleusine africana</w:t>
      </w:r>
      <w:r w:rsidR="002347E4" w:rsidRPr="009D50B9">
        <w:rPr>
          <w:rFonts w:ascii="Times New Roman" w:hAnsi="Times New Roman"/>
          <w:sz w:val="24"/>
          <w:szCs w:val="24"/>
        </w:rPr>
        <w:t>) is well recognized, this species was first domesticated in Africa. Ecologically, it is thought to originate from a highland region as a crop</w:t>
      </w:r>
      <w:r w:rsidR="0065596D" w:rsidRPr="009D50B9">
        <w:rPr>
          <w:rFonts w:ascii="Times New Roman" w:hAnsi="Times New Roman"/>
          <w:sz w:val="24"/>
          <w:szCs w:val="24"/>
        </w:rPr>
        <w:t>.</w:t>
      </w:r>
      <w:r w:rsidR="002347E4" w:rsidRPr="009D50B9">
        <w:rPr>
          <w:rFonts w:ascii="Times New Roman" w:hAnsi="Times New Roman"/>
          <w:sz w:val="24"/>
          <w:szCs w:val="24"/>
        </w:rPr>
        <w:t xml:space="preserve"> The crop is grown in a wide range of challenging environmental situations. Finger millet </w:t>
      </w:r>
      <w:r w:rsidR="0065596D" w:rsidRPr="009D50B9">
        <w:rPr>
          <w:rFonts w:ascii="Times New Roman" w:hAnsi="Times New Roman"/>
          <w:sz w:val="24"/>
          <w:szCs w:val="24"/>
        </w:rPr>
        <w:t xml:space="preserve">is a </w:t>
      </w:r>
      <w:r w:rsidR="002347E4" w:rsidRPr="009D50B9">
        <w:rPr>
          <w:rFonts w:ascii="Times New Roman" w:hAnsi="Times New Roman"/>
          <w:sz w:val="24"/>
          <w:szCs w:val="24"/>
        </w:rPr>
        <w:lastRenderedPageBreak/>
        <w:t>blessing for vast arid and semi-arid regions because it can be cultivated on low-fertility soils. Finger millet is regarded as a staple food and it is used as animal feed (straw) in industrialized countries and as food (grains) in underdeveloped</w:t>
      </w:r>
      <w:r w:rsidR="00F202EC">
        <w:rPr>
          <w:rFonts w:ascii="Times New Roman" w:hAnsi="Times New Roman"/>
          <w:sz w:val="24"/>
          <w:szCs w:val="24"/>
        </w:rPr>
        <w:t>”</w:t>
      </w:r>
      <w:r w:rsidR="00223B73" w:rsidRPr="009D50B9">
        <w:t xml:space="preserve"> (</w:t>
      </w:r>
      <w:proofErr w:type="spellStart"/>
      <w:r w:rsidR="00223B73" w:rsidRPr="009D50B9">
        <w:rPr>
          <w:rFonts w:ascii="Times New Roman" w:hAnsi="Times New Roman"/>
          <w:sz w:val="24"/>
          <w:szCs w:val="24"/>
        </w:rPr>
        <w:t>Ceasar</w:t>
      </w:r>
      <w:proofErr w:type="spellEnd"/>
      <w:r w:rsidR="00223B73" w:rsidRPr="009D50B9">
        <w:rPr>
          <w:rFonts w:ascii="Times New Roman" w:hAnsi="Times New Roman"/>
          <w:sz w:val="24"/>
          <w:szCs w:val="24"/>
        </w:rPr>
        <w:t xml:space="preserve"> </w:t>
      </w:r>
      <w:r w:rsidR="00223B73" w:rsidRPr="009D50B9">
        <w:rPr>
          <w:rFonts w:ascii="Times New Roman" w:hAnsi="Times New Roman"/>
          <w:i/>
          <w:iCs/>
          <w:sz w:val="24"/>
          <w:szCs w:val="24"/>
        </w:rPr>
        <w:t>et al</w:t>
      </w:r>
      <w:r w:rsidR="00223B73" w:rsidRPr="009D50B9">
        <w:rPr>
          <w:rFonts w:ascii="Times New Roman" w:hAnsi="Times New Roman"/>
          <w:sz w:val="24"/>
          <w:szCs w:val="24"/>
        </w:rPr>
        <w:t>., 2018)</w:t>
      </w:r>
      <w:r w:rsidR="005C16C6">
        <w:rPr>
          <w:rFonts w:ascii="Times New Roman" w:hAnsi="Times New Roman"/>
          <w:sz w:val="24"/>
          <w:szCs w:val="24"/>
        </w:rPr>
        <w:t>.</w:t>
      </w:r>
      <w:r w:rsidR="002347E4" w:rsidRPr="009D50B9">
        <w:rPr>
          <w:rFonts w:ascii="Times New Roman" w:hAnsi="Times New Roman"/>
          <w:sz w:val="24"/>
          <w:szCs w:val="24"/>
        </w:rPr>
        <w:t xml:space="preserve"> It is a major crop of semi-arid and arid regions and developing nations of Asia and Africa</w:t>
      </w:r>
      <w:r w:rsidR="00223B73" w:rsidRPr="009D50B9">
        <w:t xml:space="preserve"> (</w:t>
      </w:r>
      <w:r w:rsidR="00223B73" w:rsidRPr="009D50B9">
        <w:rPr>
          <w:rFonts w:ascii="Times New Roman" w:hAnsi="Times New Roman"/>
          <w:sz w:val="24"/>
          <w:szCs w:val="24"/>
        </w:rPr>
        <w:t xml:space="preserve">Ceasar </w:t>
      </w:r>
      <w:r w:rsidR="00223B73" w:rsidRPr="009D50B9">
        <w:rPr>
          <w:rFonts w:ascii="Times New Roman" w:hAnsi="Times New Roman"/>
          <w:i/>
          <w:iCs/>
          <w:sz w:val="24"/>
          <w:szCs w:val="24"/>
        </w:rPr>
        <w:t>et al</w:t>
      </w:r>
      <w:r w:rsidR="00223B73" w:rsidRPr="009D50B9">
        <w:rPr>
          <w:rFonts w:ascii="Times New Roman" w:hAnsi="Times New Roman"/>
          <w:sz w:val="24"/>
          <w:szCs w:val="24"/>
        </w:rPr>
        <w:t xml:space="preserve">., 2018; Krishna </w:t>
      </w:r>
      <w:r w:rsidR="00223B73" w:rsidRPr="009D50B9">
        <w:rPr>
          <w:rFonts w:ascii="Times New Roman" w:hAnsi="Times New Roman"/>
          <w:i/>
          <w:iCs/>
          <w:sz w:val="24"/>
          <w:szCs w:val="24"/>
        </w:rPr>
        <w:t>et al</w:t>
      </w:r>
      <w:r w:rsidR="00223B73" w:rsidRPr="009D50B9">
        <w:rPr>
          <w:rFonts w:ascii="Times New Roman" w:hAnsi="Times New Roman"/>
          <w:sz w:val="24"/>
          <w:szCs w:val="24"/>
        </w:rPr>
        <w:t>., 2018)</w:t>
      </w:r>
      <w:r w:rsidR="002347E4" w:rsidRPr="009D50B9">
        <w:rPr>
          <w:rFonts w:ascii="Times New Roman" w:hAnsi="Times New Roman"/>
          <w:sz w:val="24"/>
          <w:szCs w:val="24"/>
        </w:rPr>
        <w:t xml:space="preserve">. </w:t>
      </w:r>
      <w:r w:rsidR="00F202EC">
        <w:rPr>
          <w:rFonts w:ascii="Times New Roman" w:hAnsi="Times New Roman"/>
          <w:sz w:val="24"/>
          <w:szCs w:val="24"/>
        </w:rPr>
        <w:t>“</w:t>
      </w:r>
      <w:r w:rsidR="002347E4" w:rsidRPr="009D50B9">
        <w:rPr>
          <w:rFonts w:ascii="Times New Roman" w:hAnsi="Times New Roman"/>
          <w:sz w:val="24"/>
          <w:szCs w:val="24"/>
        </w:rPr>
        <w:t>Finger millet is the fourth most produced millet in the world, behind sorghum (</w:t>
      </w:r>
      <w:r w:rsidR="002347E4" w:rsidRPr="009D50B9">
        <w:rPr>
          <w:rFonts w:ascii="Times New Roman" w:hAnsi="Times New Roman"/>
          <w:i/>
          <w:iCs/>
          <w:sz w:val="24"/>
          <w:szCs w:val="24"/>
        </w:rPr>
        <w:t>Sorghum bicolor</w:t>
      </w:r>
      <w:r w:rsidR="002347E4" w:rsidRPr="009D50B9">
        <w:rPr>
          <w:rFonts w:ascii="Times New Roman" w:hAnsi="Times New Roman"/>
          <w:sz w:val="24"/>
          <w:szCs w:val="24"/>
        </w:rPr>
        <w:t>), pearl millet (</w:t>
      </w:r>
      <w:r w:rsidR="002347E4" w:rsidRPr="009D50B9">
        <w:rPr>
          <w:rFonts w:ascii="Times New Roman" w:hAnsi="Times New Roman"/>
          <w:i/>
          <w:iCs/>
          <w:sz w:val="24"/>
          <w:szCs w:val="24"/>
        </w:rPr>
        <w:t>Pennisetum glaucum</w:t>
      </w:r>
      <w:r w:rsidR="002347E4" w:rsidRPr="009D50B9">
        <w:rPr>
          <w:rFonts w:ascii="Times New Roman" w:hAnsi="Times New Roman"/>
          <w:sz w:val="24"/>
          <w:szCs w:val="24"/>
        </w:rPr>
        <w:t>), and foxtail millet (</w:t>
      </w:r>
      <w:r w:rsidR="002347E4" w:rsidRPr="009D50B9">
        <w:rPr>
          <w:rFonts w:ascii="Times New Roman" w:hAnsi="Times New Roman"/>
          <w:i/>
          <w:iCs/>
          <w:sz w:val="24"/>
          <w:szCs w:val="24"/>
        </w:rPr>
        <w:t>Setaria italica</w:t>
      </w:r>
      <w:r w:rsidR="002347E4" w:rsidRPr="009D50B9">
        <w:rPr>
          <w:rFonts w:ascii="Times New Roman" w:hAnsi="Times New Roman"/>
          <w:sz w:val="24"/>
          <w:szCs w:val="24"/>
        </w:rPr>
        <w:t xml:space="preserve">). Millet grains are rich in vitamins, iron, carbohydrates, calcium (Ca), potassium, zinc, phosphorus, magnesium, and vital amino acids, they are also nutritionally superior to rice and wheat. The seed coat (testa), embryo, and endosperm are the three primary components of the finger millet grain. Finger millet grain are red, yellow, white, tan, red, brown, and violet, in color and this type of variety grown around the world. It is compared to other millets including foxtail millet, pearl millet, Kodo millet, and proso millet, finger millet distinctive due to the existence of five layered testa. This might be one of the reasons why finger millet has a greater level of dietary </w:t>
      </w:r>
      <w:r w:rsidRPr="009D50B9">
        <w:rPr>
          <w:rFonts w:ascii="Times New Roman" w:hAnsi="Times New Roman"/>
          <w:sz w:val="24"/>
          <w:szCs w:val="24"/>
        </w:rPr>
        <w:t>fibre</w:t>
      </w:r>
      <w:r w:rsidR="002347E4" w:rsidRPr="009D50B9">
        <w:rPr>
          <w:rFonts w:ascii="Times New Roman" w:hAnsi="Times New Roman"/>
          <w:sz w:val="24"/>
          <w:szCs w:val="24"/>
        </w:rPr>
        <w:t>. Finger millet’s ability to withstand droughts may be linked to its high antioxidant content. In underdeveloped countries, there is huge potential for millet grains to be transformed into foods and beverages with additional value</w:t>
      </w:r>
      <w:r w:rsidR="00F202EC">
        <w:rPr>
          <w:rFonts w:ascii="Times New Roman" w:hAnsi="Times New Roman"/>
          <w:sz w:val="24"/>
          <w:szCs w:val="24"/>
        </w:rPr>
        <w:t>”</w:t>
      </w:r>
      <w:r w:rsidR="00F82536" w:rsidRPr="009D50B9">
        <w:t xml:space="preserve"> (</w:t>
      </w:r>
      <w:r w:rsidR="00F82536" w:rsidRPr="009D50B9">
        <w:rPr>
          <w:rFonts w:ascii="Times New Roman" w:hAnsi="Times New Roman"/>
          <w:sz w:val="24"/>
          <w:szCs w:val="24"/>
        </w:rPr>
        <w:t xml:space="preserve">Maharajan </w:t>
      </w:r>
      <w:r w:rsidR="00F82536" w:rsidRPr="009D50B9">
        <w:rPr>
          <w:rFonts w:ascii="Times New Roman" w:hAnsi="Times New Roman"/>
          <w:i/>
          <w:iCs/>
          <w:sz w:val="24"/>
          <w:szCs w:val="24"/>
        </w:rPr>
        <w:t>et al</w:t>
      </w:r>
      <w:r w:rsidR="00F82536" w:rsidRPr="009D50B9">
        <w:rPr>
          <w:rFonts w:ascii="Times New Roman" w:hAnsi="Times New Roman"/>
          <w:sz w:val="24"/>
          <w:szCs w:val="24"/>
        </w:rPr>
        <w:t>., 2021)</w:t>
      </w:r>
      <w:r w:rsidR="005C16C6">
        <w:rPr>
          <w:rFonts w:ascii="Times New Roman" w:hAnsi="Times New Roman"/>
          <w:sz w:val="24"/>
          <w:szCs w:val="24"/>
        </w:rPr>
        <w:t>.</w:t>
      </w:r>
    </w:p>
    <w:p w14:paraId="4D43FF44" w14:textId="047877E6" w:rsidR="00381B11" w:rsidRPr="009D50B9" w:rsidRDefault="00381B11" w:rsidP="003F001A">
      <w:pPr>
        <w:pStyle w:val="ListParagraph"/>
        <w:numPr>
          <w:ilvl w:val="0"/>
          <w:numId w:val="2"/>
        </w:numPr>
        <w:spacing w:before="240" w:after="0" w:line="360" w:lineRule="auto"/>
        <w:ind w:left="360"/>
        <w:rPr>
          <w:rFonts w:ascii="Times New Roman" w:hAnsi="Times New Roman"/>
          <w:b/>
          <w:bCs/>
          <w:sz w:val="24"/>
          <w:szCs w:val="24"/>
        </w:rPr>
      </w:pPr>
      <w:r w:rsidRPr="009D50B9">
        <w:rPr>
          <w:rFonts w:ascii="Times New Roman" w:hAnsi="Times New Roman"/>
          <w:b/>
          <w:bCs/>
          <w:sz w:val="24"/>
          <w:szCs w:val="24"/>
        </w:rPr>
        <w:t>MATERIAL AND METHODS</w:t>
      </w:r>
    </w:p>
    <w:p w14:paraId="571F4D0C" w14:textId="4283AAF4" w:rsidR="005C16C6" w:rsidRPr="005C16C6" w:rsidRDefault="003F001A" w:rsidP="00D96C5E">
      <w:pPr>
        <w:spacing w:after="0" w:line="360" w:lineRule="auto"/>
        <w:jc w:val="both"/>
        <w:rPr>
          <w:rFonts w:ascii="Times New Roman" w:hAnsi="Times New Roman"/>
          <w:sz w:val="24"/>
          <w:szCs w:val="24"/>
        </w:rPr>
      </w:pPr>
      <w:r w:rsidRPr="009D50B9">
        <w:rPr>
          <w:rFonts w:ascii="Times New Roman" w:hAnsi="Times New Roman"/>
          <w:sz w:val="24"/>
          <w:szCs w:val="24"/>
        </w:rPr>
        <w:tab/>
      </w:r>
      <w:r w:rsidR="00381B11" w:rsidRPr="009D50B9">
        <w:rPr>
          <w:rFonts w:ascii="Times New Roman" w:hAnsi="Times New Roman"/>
          <w:sz w:val="24"/>
          <w:szCs w:val="24"/>
        </w:rPr>
        <w:t xml:space="preserve">Following the enrichment culture technique, a total of 68 bacterial isolates were isolated </w:t>
      </w:r>
      <w:r w:rsidR="00E77FE7" w:rsidRPr="009D50B9">
        <w:rPr>
          <w:rFonts w:ascii="Times New Roman" w:hAnsi="Times New Roman"/>
          <w:sz w:val="24"/>
          <w:szCs w:val="24"/>
        </w:rPr>
        <w:t xml:space="preserve">which were collected from hydrocarbon contaminated sites in Peenya industrial area Bengaluru and Raichur, </w:t>
      </w:r>
      <w:r w:rsidR="00381B11" w:rsidRPr="009D50B9">
        <w:rPr>
          <w:rFonts w:ascii="Times New Roman" w:hAnsi="Times New Roman"/>
          <w:sz w:val="24"/>
          <w:szCs w:val="24"/>
        </w:rPr>
        <w:t xml:space="preserve">in minimal medium amended with 2 per cent (v/v) crude oil as the sole carbon source. Five bacterial isolates BSB-2, BSB-4, BSB-11, BSB-41 and BSR-51 were selected as efficient biosurfactant producers based on qualitative and quantitative screening methods </w:t>
      </w:r>
      <w:r w:rsidR="005C16C6" w:rsidRPr="009D50B9">
        <w:rPr>
          <w:rFonts w:ascii="Times New Roman" w:eastAsia="Times New Roman" w:hAnsi="Times New Roman"/>
          <w:sz w:val="24"/>
          <w:szCs w:val="24"/>
        </w:rPr>
        <w:t>(</w:t>
      </w:r>
      <w:r w:rsidR="00E56637" w:rsidRPr="009D50B9">
        <w:rPr>
          <w:rFonts w:ascii="Times New Roman" w:eastAsia="Times New Roman" w:hAnsi="Times New Roman"/>
          <w:sz w:val="24"/>
          <w:szCs w:val="24"/>
        </w:rPr>
        <w:t>Mamtha and</w:t>
      </w:r>
      <w:r w:rsidR="00381B11" w:rsidRPr="009D50B9">
        <w:rPr>
          <w:rFonts w:ascii="Times New Roman" w:eastAsia="Times New Roman" w:hAnsi="Times New Roman"/>
          <w:sz w:val="24"/>
          <w:szCs w:val="24"/>
        </w:rPr>
        <w:t xml:space="preserve"> </w:t>
      </w:r>
      <w:r w:rsidR="00E56637" w:rsidRPr="009D50B9">
        <w:rPr>
          <w:rFonts w:ascii="Times New Roman" w:eastAsia="Times New Roman" w:hAnsi="Times New Roman"/>
          <w:sz w:val="24"/>
          <w:szCs w:val="24"/>
        </w:rPr>
        <w:t>Tamilvendan</w:t>
      </w:r>
      <w:r w:rsidR="005C16C6">
        <w:rPr>
          <w:rFonts w:ascii="Times New Roman" w:eastAsia="Times New Roman" w:hAnsi="Times New Roman"/>
          <w:sz w:val="24"/>
          <w:szCs w:val="24"/>
        </w:rPr>
        <w:t>,</w:t>
      </w:r>
      <w:r w:rsidR="00E56637" w:rsidRPr="009D50B9">
        <w:rPr>
          <w:rFonts w:ascii="Times New Roman" w:eastAsia="Times New Roman" w:hAnsi="Times New Roman"/>
          <w:sz w:val="24"/>
          <w:szCs w:val="24"/>
        </w:rPr>
        <w:t xml:space="preserve"> </w:t>
      </w:r>
      <w:r w:rsidR="00381B11" w:rsidRPr="009D50B9">
        <w:rPr>
          <w:rFonts w:ascii="Times New Roman" w:eastAsia="Times New Roman" w:hAnsi="Times New Roman"/>
          <w:sz w:val="24"/>
          <w:szCs w:val="24"/>
        </w:rPr>
        <w:t>2025)</w:t>
      </w:r>
      <w:r w:rsidR="00381B11" w:rsidRPr="009D50B9">
        <w:rPr>
          <w:rFonts w:ascii="Times New Roman" w:hAnsi="Times New Roman"/>
          <w:sz w:val="24"/>
          <w:szCs w:val="24"/>
        </w:rPr>
        <w:t xml:space="preserve"> </w:t>
      </w:r>
      <w:r w:rsidR="00381B11" w:rsidRPr="009D50B9">
        <w:rPr>
          <w:rFonts w:ascii="Times New Roman" w:eastAsia="Times New Roman" w:hAnsi="Times New Roman"/>
          <w:sz w:val="24"/>
          <w:szCs w:val="24"/>
        </w:rPr>
        <w:t xml:space="preserve">and </w:t>
      </w:r>
      <w:r w:rsidR="00381B11" w:rsidRPr="009D50B9">
        <w:rPr>
          <w:rFonts w:ascii="Times New Roman" w:hAnsi="Times New Roman"/>
          <w:sz w:val="24"/>
          <w:szCs w:val="24"/>
        </w:rPr>
        <w:t>these same isolates were evaluate</w:t>
      </w:r>
      <w:r w:rsidR="005C16C6">
        <w:rPr>
          <w:rFonts w:ascii="Times New Roman" w:hAnsi="Times New Roman"/>
          <w:sz w:val="24"/>
          <w:szCs w:val="24"/>
        </w:rPr>
        <w:t>d for</w:t>
      </w:r>
      <w:r w:rsidR="00381B11" w:rsidRPr="009D50B9">
        <w:rPr>
          <w:rFonts w:ascii="Times New Roman" w:hAnsi="Times New Roman"/>
          <w:sz w:val="24"/>
          <w:szCs w:val="24"/>
        </w:rPr>
        <w:t xml:space="preserve"> their plant growth promoting and biocontrol potentials</w:t>
      </w:r>
      <w:r w:rsidR="005C16C6">
        <w:rPr>
          <w:rFonts w:ascii="Times New Roman" w:hAnsi="Times New Roman"/>
          <w:sz w:val="24"/>
          <w:szCs w:val="24"/>
        </w:rPr>
        <w:t xml:space="preserve"> against </w:t>
      </w:r>
      <w:r w:rsidR="005C16C6" w:rsidRPr="009D50B9">
        <w:rPr>
          <w:rFonts w:ascii="Times New Roman" w:hAnsi="Times New Roman"/>
          <w:i/>
          <w:iCs/>
          <w:sz w:val="24"/>
          <w:szCs w:val="24"/>
        </w:rPr>
        <w:t>Pyricularia grisea</w:t>
      </w:r>
      <w:r w:rsidR="00381B11" w:rsidRPr="009D50B9">
        <w:rPr>
          <w:rFonts w:ascii="Times New Roman" w:hAnsi="Times New Roman"/>
          <w:sz w:val="24"/>
          <w:szCs w:val="24"/>
        </w:rPr>
        <w:t xml:space="preserve"> under </w:t>
      </w:r>
      <w:r w:rsidR="00381B11" w:rsidRPr="009D50B9">
        <w:rPr>
          <w:rStyle w:val="Emphasis"/>
          <w:rFonts w:ascii="Times New Roman" w:hAnsi="Times New Roman"/>
          <w:sz w:val="24"/>
          <w:szCs w:val="24"/>
        </w:rPr>
        <w:t>in vitro</w:t>
      </w:r>
      <w:r w:rsidR="00381B11" w:rsidRPr="009D50B9">
        <w:rPr>
          <w:rFonts w:ascii="Times New Roman" w:hAnsi="Times New Roman"/>
          <w:sz w:val="24"/>
          <w:szCs w:val="24"/>
        </w:rPr>
        <w:t xml:space="preserve"> conditions. </w:t>
      </w:r>
    </w:p>
    <w:p w14:paraId="2D49B1F3" w14:textId="4A1DB1BA" w:rsidR="003F001A" w:rsidRPr="009D50B9" w:rsidRDefault="003F001A" w:rsidP="00D96C5E">
      <w:pPr>
        <w:spacing w:after="0" w:line="360" w:lineRule="auto"/>
        <w:jc w:val="both"/>
        <w:rPr>
          <w:rFonts w:ascii="Times New Roman" w:hAnsi="Times New Roman"/>
          <w:sz w:val="24"/>
          <w:szCs w:val="24"/>
        </w:rPr>
      </w:pPr>
      <w:r w:rsidRPr="009D50B9">
        <w:rPr>
          <w:rFonts w:ascii="Times New Roman" w:eastAsia="Times New Roman" w:hAnsi="Times New Roman"/>
          <w:b/>
          <w:bCs/>
          <w:sz w:val="24"/>
          <w:szCs w:val="24"/>
        </w:rPr>
        <w:t xml:space="preserve">2.1 Screening of </w:t>
      </w:r>
      <w:bookmarkStart w:id="1" w:name="_Hlk205766815"/>
      <w:r w:rsidR="00D96C5E" w:rsidRPr="009D50B9">
        <w:rPr>
          <w:rFonts w:ascii="Times New Roman" w:eastAsia="Times New Roman" w:hAnsi="Times New Roman"/>
          <w:b/>
          <w:bCs/>
          <w:sz w:val="24"/>
          <w:szCs w:val="24"/>
        </w:rPr>
        <w:t xml:space="preserve">biosurfactant producing </w:t>
      </w:r>
      <w:r w:rsidRPr="009D50B9">
        <w:rPr>
          <w:rFonts w:ascii="Times New Roman" w:eastAsia="Times New Roman" w:hAnsi="Times New Roman"/>
          <w:b/>
          <w:bCs/>
          <w:sz w:val="24"/>
          <w:szCs w:val="24"/>
        </w:rPr>
        <w:t>bacterial isolates</w:t>
      </w:r>
      <w:r w:rsidRPr="009D50B9">
        <w:rPr>
          <w:rFonts w:ascii="Times New Roman" w:eastAsia="Times New Roman" w:hAnsi="Times New Roman"/>
          <w:sz w:val="24"/>
          <w:szCs w:val="24"/>
          <w:lang w:val="en-US"/>
        </w:rPr>
        <w:t xml:space="preserve"> </w:t>
      </w:r>
      <w:r w:rsidRPr="009D50B9">
        <w:rPr>
          <w:rFonts w:ascii="Times New Roman" w:eastAsia="Times New Roman" w:hAnsi="Times New Roman"/>
          <w:b/>
          <w:bCs/>
          <w:sz w:val="24"/>
          <w:szCs w:val="24"/>
        </w:rPr>
        <w:t xml:space="preserve">for their </w:t>
      </w:r>
      <w:r w:rsidRPr="009D50B9">
        <w:rPr>
          <w:rFonts w:ascii="Times New Roman" w:eastAsia="Times New Roman" w:hAnsi="Times New Roman"/>
          <w:b/>
          <w:bCs/>
          <w:sz w:val="24"/>
          <w:szCs w:val="24"/>
          <w:lang w:val="en-US"/>
        </w:rPr>
        <w:t xml:space="preserve">role in </w:t>
      </w:r>
      <w:bookmarkEnd w:id="1"/>
      <w:r w:rsidRPr="009D50B9">
        <w:rPr>
          <w:rFonts w:ascii="Times New Roman" w:eastAsia="Times New Roman" w:hAnsi="Times New Roman"/>
          <w:b/>
          <w:bCs/>
          <w:sz w:val="24"/>
          <w:szCs w:val="24"/>
        </w:rPr>
        <w:t xml:space="preserve">plant growth promotion and biocontrol potentials under </w:t>
      </w:r>
      <w:r w:rsidRPr="009D50B9">
        <w:rPr>
          <w:rFonts w:ascii="Times New Roman" w:eastAsia="Times New Roman" w:hAnsi="Times New Roman"/>
          <w:b/>
          <w:bCs/>
          <w:i/>
          <w:iCs/>
          <w:sz w:val="24"/>
          <w:szCs w:val="24"/>
        </w:rPr>
        <w:t>in vitro</w:t>
      </w:r>
      <w:r w:rsidRPr="009D50B9">
        <w:rPr>
          <w:rFonts w:ascii="Times New Roman" w:eastAsia="Times New Roman" w:hAnsi="Times New Roman"/>
          <w:b/>
          <w:bCs/>
          <w:sz w:val="24"/>
          <w:szCs w:val="24"/>
        </w:rPr>
        <w:t xml:space="preserve"> conditions</w:t>
      </w:r>
    </w:p>
    <w:p w14:paraId="77CB00DD" w14:textId="248E500C" w:rsidR="005945A8" w:rsidRPr="009D50B9" w:rsidRDefault="003F001A" w:rsidP="003F50A0">
      <w:pPr>
        <w:autoSpaceDE w:val="0"/>
        <w:autoSpaceDN w:val="0"/>
        <w:adjustRightInd w:val="0"/>
        <w:spacing w:after="0" w:line="360" w:lineRule="auto"/>
        <w:rPr>
          <w:rFonts w:ascii="Times New Roman" w:hAnsi="Times New Roman"/>
          <w:sz w:val="24"/>
          <w:szCs w:val="24"/>
        </w:rPr>
      </w:pPr>
      <w:r w:rsidRPr="009D50B9">
        <w:rPr>
          <w:rFonts w:ascii="Times New Roman" w:hAnsi="Times New Roman"/>
          <w:b/>
          <w:bCs/>
          <w:sz w:val="24"/>
          <w:szCs w:val="24"/>
        </w:rPr>
        <w:t>2.1.1</w:t>
      </w:r>
      <w:r w:rsidRPr="009D50B9">
        <w:rPr>
          <w:rFonts w:ascii="Times New Roman" w:hAnsi="Times New Roman"/>
          <w:b/>
          <w:bCs/>
          <w:i/>
          <w:iCs/>
          <w:sz w:val="24"/>
          <w:szCs w:val="24"/>
        </w:rPr>
        <w:t xml:space="preserve"> </w:t>
      </w:r>
      <w:r w:rsidR="005945A8" w:rsidRPr="009D50B9">
        <w:rPr>
          <w:rFonts w:ascii="Times New Roman" w:hAnsi="Times New Roman"/>
          <w:b/>
          <w:bCs/>
          <w:i/>
          <w:iCs/>
          <w:sz w:val="24"/>
          <w:szCs w:val="24"/>
        </w:rPr>
        <w:t xml:space="preserve">In vitro </w:t>
      </w:r>
      <w:r w:rsidR="005945A8" w:rsidRPr="009D50B9">
        <w:rPr>
          <w:rFonts w:ascii="Times New Roman" w:hAnsi="Times New Roman"/>
          <w:b/>
          <w:bCs/>
          <w:sz w:val="24"/>
          <w:szCs w:val="24"/>
        </w:rPr>
        <w:t xml:space="preserve">solubilization of inorganic phosphate </w:t>
      </w:r>
    </w:p>
    <w:p w14:paraId="1E8AB0F0" w14:textId="3D6287F0" w:rsidR="00CB2ED1" w:rsidRPr="009D50B9" w:rsidRDefault="00CB2ED1" w:rsidP="003F50A0">
      <w:pPr>
        <w:shd w:val="clear" w:color="auto" w:fill="FFFFFF"/>
        <w:spacing w:after="0" w:line="360" w:lineRule="auto"/>
        <w:ind w:firstLine="720"/>
        <w:jc w:val="both"/>
        <w:rPr>
          <w:rFonts w:ascii="Times New Roman" w:eastAsia="Times New Roman" w:hAnsi="Times New Roman"/>
          <w:sz w:val="24"/>
          <w:szCs w:val="24"/>
          <w:lang w:bidi="kn-IN"/>
        </w:rPr>
      </w:pPr>
      <w:bookmarkStart w:id="2" w:name="_Hlk206069945"/>
      <w:r w:rsidRPr="009D50B9">
        <w:rPr>
          <w:rFonts w:ascii="Times New Roman" w:eastAsia="Times New Roman" w:hAnsi="Times New Roman"/>
          <w:sz w:val="24"/>
          <w:szCs w:val="24"/>
          <w:lang w:bidi="kn-IN"/>
        </w:rPr>
        <w:t>Phosphate solubilization was screened on Pikovskaya’s agar with tricalcium phosphate (TCP), where halo formation indicated positive activity. Positive strains were quantified in NBRIP broth (5 g L⁻¹ TCP, pH 7) after 7 days at 30 °C, 120 rpm. Cultures were centrifuged, and supernatants reacted with ammonium paramolybdate-ascorbic acid reagent. Absorbance was measured at 880 nm, and soluble phosphorus was determined using a KH</w:t>
      </w:r>
      <w:r w:rsidRPr="00411DB7">
        <w:rPr>
          <w:rFonts w:ascii="Times New Roman" w:eastAsia="Times New Roman" w:hAnsi="Times New Roman"/>
          <w:sz w:val="24"/>
          <w:szCs w:val="24"/>
          <w:vertAlign w:val="subscript"/>
          <w:lang w:bidi="kn-IN"/>
        </w:rPr>
        <w:t>₂</w:t>
      </w:r>
      <w:r w:rsidRPr="009D50B9">
        <w:rPr>
          <w:rFonts w:ascii="Times New Roman" w:eastAsia="Times New Roman" w:hAnsi="Times New Roman"/>
          <w:sz w:val="24"/>
          <w:szCs w:val="24"/>
          <w:lang w:bidi="kn-IN"/>
        </w:rPr>
        <w:t>PO</w:t>
      </w:r>
      <w:r w:rsidRPr="00411DB7">
        <w:rPr>
          <w:rFonts w:ascii="Times New Roman" w:eastAsia="Times New Roman" w:hAnsi="Times New Roman"/>
          <w:sz w:val="24"/>
          <w:szCs w:val="24"/>
          <w:vertAlign w:val="subscript"/>
          <w:lang w:bidi="kn-IN"/>
        </w:rPr>
        <w:t>₄</w:t>
      </w:r>
      <w:r w:rsidRPr="009D50B9">
        <w:rPr>
          <w:rFonts w:ascii="Times New Roman" w:eastAsia="Times New Roman" w:hAnsi="Times New Roman"/>
          <w:sz w:val="24"/>
          <w:szCs w:val="24"/>
          <w:lang w:bidi="kn-IN"/>
        </w:rPr>
        <w:t xml:space="preserve"> standard curve (Murphy and Riley, 1962).</w:t>
      </w:r>
    </w:p>
    <w:p w14:paraId="3E1C9129" w14:textId="3FFFDB01" w:rsidR="005945A8" w:rsidRPr="009D50B9" w:rsidRDefault="005945A8" w:rsidP="003F50A0">
      <w:pPr>
        <w:shd w:val="clear" w:color="auto" w:fill="FFFFFF"/>
        <w:spacing w:after="0" w:line="360" w:lineRule="auto"/>
        <w:ind w:firstLine="720"/>
        <w:jc w:val="center"/>
        <w:rPr>
          <w:rFonts w:ascii="Times New Roman" w:hAnsi="Times New Roman"/>
          <w:bCs/>
          <w:sz w:val="24"/>
          <w:szCs w:val="24"/>
        </w:rPr>
      </w:pPr>
      <m:oMathPara>
        <m:oMath>
          <m:r>
            <m:rPr>
              <m:sty m:val="p"/>
            </m:rPr>
            <w:rPr>
              <w:rFonts w:ascii="Cambria Math" w:hAnsi="Cambria Math"/>
              <w:sz w:val="24"/>
              <w:szCs w:val="24"/>
            </w:rPr>
            <w:lastRenderedPageBreak/>
            <m:t>P (mg/L)=</m:t>
          </m:r>
          <m:f>
            <m:fPr>
              <m:ctrlPr>
                <w:rPr>
                  <w:rFonts w:ascii="Cambria Math" w:eastAsia="Times New Roman" w:hAnsi="Cambria Math"/>
                  <w:iCs/>
                  <w:sz w:val="24"/>
                  <w:szCs w:val="24"/>
                  <w:lang w:val="en-US"/>
                </w:rPr>
              </m:ctrlPr>
            </m:fPr>
            <m:num>
              <m:r>
                <m:rPr>
                  <m:sty m:val="p"/>
                </m:rPr>
                <w:rPr>
                  <w:rFonts w:ascii="Cambria Math" w:hAnsi="Cambria Math"/>
                  <w:sz w:val="24"/>
                  <w:szCs w:val="24"/>
                </w:rPr>
                <m:t>A-B</m:t>
              </m:r>
            </m:num>
            <m:den>
              <m:r>
                <m:rPr>
                  <m:sty m:val="p"/>
                </m:rPr>
                <w:rPr>
                  <w:rFonts w:ascii="Cambria Math" w:hAnsi="Cambria Math"/>
                  <w:sz w:val="24"/>
                  <w:szCs w:val="24"/>
                </w:rPr>
                <m:t>m</m:t>
              </m:r>
            </m:den>
          </m:f>
          <m:r>
            <m:rPr>
              <m:sty m:val="p"/>
            </m:rPr>
            <w:rPr>
              <w:rFonts w:ascii="Cambria Math" w:hAnsi="Cambria Math"/>
              <w:sz w:val="24"/>
              <w:szCs w:val="24"/>
            </w:rPr>
            <m:t>×100</m:t>
          </m:r>
        </m:oMath>
      </m:oMathPara>
      <w:bookmarkEnd w:id="2"/>
    </w:p>
    <w:p w14:paraId="68F9AF41" w14:textId="77777777" w:rsidR="005945A8" w:rsidRPr="009D50B9" w:rsidRDefault="005945A8" w:rsidP="003F50A0">
      <w:pPr>
        <w:shd w:val="clear" w:color="auto" w:fill="FFFFFF"/>
        <w:spacing w:after="0" w:line="360" w:lineRule="auto"/>
        <w:ind w:firstLine="720"/>
        <w:rPr>
          <w:rFonts w:ascii="Times New Roman" w:hAnsi="Times New Roman"/>
          <w:bCs/>
          <w:sz w:val="24"/>
          <w:szCs w:val="24"/>
          <w:lang w:val="en-US"/>
        </w:rPr>
      </w:pPr>
      <w:r w:rsidRPr="009D50B9">
        <w:rPr>
          <w:rFonts w:ascii="Times New Roman" w:hAnsi="Times New Roman"/>
          <w:bCs/>
          <w:sz w:val="24"/>
          <w:szCs w:val="24"/>
          <w:lang w:val="en-US"/>
        </w:rPr>
        <w:t>Where,</w:t>
      </w:r>
    </w:p>
    <w:p w14:paraId="4DC536E4" w14:textId="77777777" w:rsidR="005945A8" w:rsidRPr="009D50B9" w:rsidRDefault="005945A8" w:rsidP="003F50A0">
      <w:pPr>
        <w:shd w:val="clear" w:color="auto" w:fill="FFFFFF"/>
        <w:spacing w:after="0" w:line="360" w:lineRule="auto"/>
        <w:ind w:firstLine="720"/>
        <w:rPr>
          <w:rFonts w:ascii="Times New Roman" w:hAnsi="Times New Roman"/>
          <w:bCs/>
          <w:sz w:val="28"/>
          <w:szCs w:val="28"/>
          <w:lang w:val="en-US"/>
        </w:rPr>
      </w:pPr>
      <w:r w:rsidRPr="009D50B9">
        <w:rPr>
          <w:rFonts w:ascii="Times New Roman" w:hAnsi="Times New Roman"/>
          <w:sz w:val="24"/>
          <w:szCs w:val="24"/>
        </w:rPr>
        <w:tab/>
        <w:t>P= Phosphorus solubilized in original culture filtrate (mg P/L)</w:t>
      </w:r>
    </w:p>
    <w:p w14:paraId="21D7A059" w14:textId="09323273" w:rsidR="005945A8" w:rsidRPr="009D50B9" w:rsidRDefault="005945A8" w:rsidP="003F50A0">
      <w:pPr>
        <w:pStyle w:val="NormalWeb"/>
        <w:spacing w:before="0" w:beforeAutospacing="0" w:after="0" w:afterAutospacing="0" w:line="360" w:lineRule="auto"/>
      </w:pPr>
      <w:r w:rsidRPr="009D50B9">
        <w:rPr>
          <w:rStyle w:val="mord"/>
        </w:rPr>
        <w:tab/>
      </w:r>
      <w:r w:rsidR="002851FF" w:rsidRPr="009D50B9">
        <w:rPr>
          <w:rStyle w:val="mord"/>
        </w:rPr>
        <w:tab/>
      </w:r>
      <w:r w:rsidRPr="009D50B9">
        <w:rPr>
          <w:rStyle w:val="mord"/>
        </w:rPr>
        <w:t>A</w:t>
      </w:r>
      <w:r w:rsidRPr="009D50B9">
        <w:t xml:space="preserve"> = Absorbance of sample at 880 nm</w:t>
      </w:r>
    </w:p>
    <w:p w14:paraId="682F2FCD" w14:textId="65C60C70" w:rsidR="005945A8" w:rsidRPr="009D50B9" w:rsidRDefault="005945A8" w:rsidP="003F50A0">
      <w:pPr>
        <w:pStyle w:val="NormalWeb"/>
        <w:spacing w:before="0" w:beforeAutospacing="0" w:after="0" w:afterAutospacing="0" w:line="360" w:lineRule="auto"/>
      </w:pPr>
      <w:r w:rsidRPr="009D50B9">
        <w:rPr>
          <w:rStyle w:val="mord"/>
        </w:rPr>
        <w:tab/>
      </w:r>
      <w:r w:rsidR="002851FF" w:rsidRPr="009D50B9">
        <w:rPr>
          <w:rStyle w:val="mord"/>
        </w:rPr>
        <w:tab/>
      </w:r>
      <w:r w:rsidRPr="009D50B9">
        <w:rPr>
          <w:rStyle w:val="mord"/>
        </w:rPr>
        <w:t>m</w:t>
      </w:r>
      <w:r w:rsidRPr="009D50B9">
        <w:t xml:space="preserve"> = Slope of standard curve </w:t>
      </w:r>
    </w:p>
    <w:p w14:paraId="7D0C3614" w14:textId="1683B6FF" w:rsidR="00263FAD" w:rsidRPr="009D50B9" w:rsidRDefault="005945A8" w:rsidP="007C1AAF">
      <w:pPr>
        <w:pStyle w:val="NormalWeb"/>
        <w:spacing w:before="0" w:beforeAutospacing="0" w:after="0" w:afterAutospacing="0" w:line="360" w:lineRule="auto"/>
      </w:pPr>
      <w:r w:rsidRPr="009D50B9">
        <w:rPr>
          <w:rStyle w:val="mord"/>
        </w:rPr>
        <w:tab/>
      </w:r>
      <w:r w:rsidR="002851FF" w:rsidRPr="009D50B9">
        <w:rPr>
          <w:rStyle w:val="mord"/>
        </w:rPr>
        <w:tab/>
      </w:r>
      <w:r w:rsidR="00411DB7" w:rsidRPr="009D50B9">
        <w:rPr>
          <w:rStyle w:val="mord"/>
        </w:rPr>
        <w:t>B</w:t>
      </w:r>
      <w:r w:rsidRPr="009D50B9">
        <w:t xml:space="preserve"> = Intercept of standard curve</w:t>
      </w:r>
    </w:p>
    <w:p w14:paraId="50779601" w14:textId="3E239E2E" w:rsidR="002851FF" w:rsidRPr="009D50B9" w:rsidRDefault="003F001A" w:rsidP="00A83E00">
      <w:pPr>
        <w:tabs>
          <w:tab w:val="left" w:pos="1745"/>
        </w:tabs>
        <w:spacing w:after="0" w:line="360" w:lineRule="auto"/>
        <w:jc w:val="both"/>
        <w:rPr>
          <w:rFonts w:ascii="Times New Roman" w:hAnsi="Times New Roman"/>
          <w:b/>
          <w:sz w:val="24"/>
          <w:szCs w:val="24"/>
        </w:rPr>
      </w:pPr>
      <w:r w:rsidRPr="009D50B9">
        <w:rPr>
          <w:rFonts w:ascii="Times New Roman" w:hAnsi="Times New Roman"/>
          <w:b/>
          <w:sz w:val="24"/>
          <w:szCs w:val="24"/>
        </w:rPr>
        <w:t xml:space="preserve">2.1.2 </w:t>
      </w:r>
      <w:r w:rsidR="00F86581" w:rsidRPr="009D50B9">
        <w:rPr>
          <w:rFonts w:ascii="Times New Roman" w:hAnsi="Times New Roman"/>
          <w:b/>
          <w:bCs/>
          <w:i/>
          <w:iCs/>
          <w:sz w:val="24"/>
          <w:szCs w:val="24"/>
        </w:rPr>
        <w:t xml:space="preserve">In vitro </w:t>
      </w:r>
      <w:r w:rsidR="005945A8" w:rsidRPr="009D50B9">
        <w:rPr>
          <w:rFonts w:ascii="Times New Roman" w:hAnsi="Times New Roman"/>
          <w:b/>
          <w:sz w:val="24"/>
          <w:szCs w:val="24"/>
        </w:rPr>
        <w:t>Potassium solubilization</w:t>
      </w:r>
    </w:p>
    <w:p w14:paraId="635DBE62" w14:textId="55F5D947" w:rsidR="00965541" w:rsidRPr="009D50B9" w:rsidRDefault="002851FF" w:rsidP="00A83E00">
      <w:pPr>
        <w:tabs>
          <w:tab w:val="left" w:pos="1745"/>
        </w:tabs>
        <w:spacing w:after="0" w:line="360" w:lineRule="auto"/>
        <w:jc w:val="both"/>
        <w:rPr>
          <w:rFonts w:ascii="Times New Roman" w:hAnsi="Times New Roman"/>
          <w:b/>
          <w:sz w:val="24"/>
          <w:szCs w:val="24"/>
        </w:rPr>
      </w:pPr>
      <w:r w:rsidRPr="009D50B9">
        <w:rPr>
          <w:rFonts w:ascii="Times New Roman" w:hAnsi="Times New Roman"/>
          <w:b/>
          <w:sz w:val="24"/>
          <w:szCs w:val="24"/>
        </w:rPr>
        <w:t xml:space="preserve">             </w:t>
      </w:r>
      <w:r w:rsidR="00965541" w:rsidRPr="009D50B9">
        <w:rPr>
          <w:rFonts w:ascii="Times New Roman" w:hAnsi="Times New Roman"/>
          <w:bCs/>
          <w:sz w:val="24"/>
          <w:szCs w:val="24"/>
        </w:rPr>
        <w:t xml:space="preserve">Potassium solubilization was evaluated on Alexandrov agar with mica as an insoluble potassium source, 5 µL of the bacterial culture inoculated into 5 mm wells and incubated at 30 °C for 3 days (clear zones indicating positive activity). For quantification, 1 mL of overnight culture was inoculated into 50 mL minimal broth with 2% insoluble potassium source, grown at 30 °C, 150 rpm for 15 days. Cultures were centrifuged at 15,000 rpm for 20 mins. then the supernatant was filtered using a 0.2 µm membrane and the soluble potassium concentration </w:t>
      </w:r>
      <w:r w:rsidR="008021BF">
        <w:rPr>
          <w:rFonts w:ascii="Times New Roman" w:hAnsi="Times New Roman"/>
          <w:bCs/>
          <w:sz w:val="24"/>
          <w:szCs w:val="24"/>
        </w:rPr>
        <w:t xml:space="preserve">was </w:t>
      </w:r>
      <w:r w:rsidR="00965541" w:rsidRPr="009D50B9">
        <w:rPr>
          <w:rFonts w:ascii="Times New Roman" w:hAnsi="Times New Roman"/>
          <w:bCs/>
          <w:sz w:val="24"/>
          <w:szCs w:val="24"/>
        </w:rPr>
        <w:t>determined using a flame photometer</w:t>
      </w:r>
      <w:r w:rsidR="00905B1F" w:rsidRPr="009D50B9">
        <w:rPr>
          <w:rFonts w:ascii="Times New Roman" w:hAnsi="Times New Roman"/>
          <w:bCs/>
          <w:sz w:val="24"/>
          <w:szCs w:val="24"/>
        </w:rPr>
        <w:t xml:space="preserve"> (</w:t>
      </w:r>
      <w:r w:rsidR="00905B1F" w:rsidRPr="009D50B9">
        <w:rPr>
          <w:rFonts w:ascii="Times New Roman" w:hAnsi="Times New Roman"/>
          <w:sz w:val="24"/>
          <w:szCs w:val="24"/>
        </w:rPr>
        <w:t xml:space="preserve">Rajawat </w:t>
      </w:r>
      <w:r w:rsidR="00905B1F" w:rsidRPr="009D50B9">
        <w:rPr>
          <w:rFonts w:ascii="Times New Roman" w:hAnsi="Times New Roman"/>
          <w:i/>
          <w:iCs/>
          <w:sz w:val="24"/>
          <w:szCs w:val="24"/>
        </w:rPr>
        <w:t>et al</w:t>
      </w:r>
      <w:r w:rsidR="00905B1F" w:rsidRPr="009D50B9">
        <w:rPr>
          <w:rFonts w:ascii="Times New Roman" w:hAnsi="Times New Roman"/>
          <w:sz w:val="24"/>
          <w:szCs w:val="24"/>
        </w:rPr>
        <w:t>., 2013).</w:t>
      </w:r>
    </w:p>
    <w:p w14:paraId="7DF6F94E" w14:textId="5F1AE047" w:rsidR="007A18DB" w:rsidRPr="009D50B9" w:rsidRDefault="003F001A" w:rsidP="003F50A0">
      <w:pPr>
        <w:autoSpaceDE w:val="0"/>
        <w:autoSpaceDN w:val="0"/>
        <w:adjustRightInd w:val="0"/>
        <w:spacing w:after="0" w:line="360" w:lineRule="auto"/>
        <w:jc w:val="both"/>
        <w:rPr>
          <w:rFonts w:ascii="Times New Roman" w:eastAsia="Times New Roman" w:hAnsi="Times New Roman"/>
          <w:b/>
          <w:bCs/>
          <w:sz w:val="24"/>
          <w:szCs w:val="24"/>
          <w:lang w:val="en-GB"/>
        </w:rPr>
      </w:pPr>
      <w:bookmarkStart w:id="3" w:name="_Hlk205758997"/>
      <w:r w:rsidRPr="009D50B9">
        <w:rPr>
          <w:rFonts w:ascii="Times New Roman" w:eastAsia="Times New Roman" w:hAnsi="Times New Roman"/>
          <w:b/>
          <w:bCs/>
          <w:sz w:val="24"/>
          <w:szCs w:val="24"/>
          <w:lang w:val="en-GB"/>
        </w:rPr>
        <w:t>2.2.3</w:t>
      </w:r>
      <w:r w:rsidRPr="009D50B9">
        <w:rPr>
          <w:rFonts w:ascii="Times New Roman" w:eastAsia="Times New Roman" w:hAnsi="Times New Roman"/>
          <w:b/>
          <w:bCs/>
          <w:i/>
          <w:iCs/>
          <w:sz w:val="24"/>
          <w:szCs w:val="24"/>
          <w:lang w:val="en-GB"/>
        </w:rPr>
        <w:t xml:space="preserve"> </w:t>
      </w:r>
      <w:r w:rsidR="00B9594E" w:rsidRPr="009D50B9">
        <w:rPr>
          <w:rFonts w:ascii="Times New Roman" w:eastAsia="Times New Roman" w:hAnsi="Times New Roman"/>
          <w:b/>
          <w:bCs/>
          <w:i/>
          <w:iCs/>
          <w:sz w:val="24"/>
          <w:szCs w:val="24"/>
          <w:lang w:val="en-GB"/>
        </w:rPr>
        <w:t>In vitro</w:t>
      </w:r>
      <w:r w:rsidR="00B9594E" w:rsidRPr="009D50B9">
        <w:rPr>
          <w:rFonts w:ascii="Times New Roman" w:eastAsia="Times New Roman" w:hAnsi="Times New Roman"/>
          <w:b/>
          <w:bCs/>
          <w:sz w:val="24"/>
          <w:szCs w:val="24"/>
          <w:lang w:val="en-GB"/>
        </w:rPr>
        <w:t xml:space="preserve"> antagonism against </w:t>
      </w:r>
      <w:r w:rsidR="00B9594E" w:rsidRPr="009D50B9">
        <w:rPr>
          <w:rFonts w:ascii="Times New Roman" w:eastAsia="Times New Roman" w:hAnsi="Times New Roman"/>
          <w:b/>
          <w:bCs/>
          <w:i/>
          <w:iCs/>
          <w:sz w:val="24"/>
          <w:szCs w:val="24"/>
          <w:lang w:val="en-GB"/>
        </w:rPr>
        <w:t>Pyricularia</w:t>
      </w:r>
      <w:r w:rsidR="00B9594E" w:rsidRPr="009D50B9">
        <w:rPr>
          <w:rFonts w:ascii="Times New Roman" w:eastAsia="Times New Roman" w:hAnsi="Times New Roman"/>
          <w:b/>
          <w:bCs/>
          <w:sz w:val="24"/>
          <w:szCs w:val="24"/>
          <w:lang w:val="en-GB"/>
        </w:rPr>
        <w:t xml:space="preserve"> </w:t>
      </w:r>
      <w:r w:rsidR="00B9594E" w:rsidRPr="009D50B9">
        <w:rPr>
          <w:rFonts w:ascii="Times New Roman" w:eastAsia="Times New Roman" w:hAnsi="Times New Roman"/>
          <w:b/>
          <w:bCs/>
          <w:i/>
          <w:iCs/>
          <w:sz w:val="24"/>
          <w:szCs w:val="24"/>
          <w:lang w:val="en-GB"/>
        </w:rPr>
        <w:t>grisea</w:t>
      </w:r>
      <w:r w:rsidR="00B9594E" w:rsidRPr="009D50B9">
        <w:rPr>
          <w:rFonts w:ascii="Times New Roman" w:eastAsia="Times New Roman" w:hAnsi="Times New Roman"/>
          <w:b/>
          <w:bCs/>
          <w:sz w:val="24"/>
          <w:szCs w:val="24"/>
          <w:lang w:val="en-GB"/>
        </w:rPr>
        <w:t xml:space="preserve"> using biosurfactants producing </w:t>
      </w:r>
      <w:r w:rsidRPr="009D50B9">
        <w:rPr>
          <w:rFonts w:ascii="Times New Roman" w:eastAsia="Times New Roman" w:hAnsi="Times New Roman"/>
          <w:b/>
          <w:bCs/>
          <w:sz w:val="24"/>
          <w:szCs w:val="24"/>
          <w:lang w:val="en-GB"/>
        </w:rPr>
        <w:tab/>
      </w:r>
      <w:r w:rsidR="00B9594E" w:rsidRPr="009D50B9">
        <w:rPr>
          <w:rFonts w:ascii="Times New Roman" w:eastAsia="Times New Roman" w:hAnsi="Times New Roman"/>
          <w:b/>
          <w:bCs/>
          <w:sz w:val="24"/>
          <w:szCs w:val="24"/>
          <w:lang w:val="en-GB"/>
        </w:rPr>
        <w:t xml:space="preserve">bacterial </w:t>
      </w:r>
      <w:bookmarkEnd w:id="3"/>
      <w:r w:rsidR="004D23D3">
        <w:rPr>
          <w:rFonts w:ascii="Times New Roman" w:eastAsia="Times New Roman" w:hAnsi="Times New Roman"/>
          <w:b/>
          <w:bCs/>
          <w:sz w:val="24"/>
          <w:szCs w:val="24"/>
          <w:lang w:val="en-GB"/>
        </w:rPr>
        <w:t>isolates</w:t>
      </w:r>
    </w:p>
    <w:p w14:paraId="1E709EDC" w14:textId="6D0C7F68" w:rsidR="00B9594E" w:rsidRDefault="007A18DB" w:rsidP="002851FF">
      <w:pPr>
        <w:autoSpaceDE w:val="0"/>
        <w:autoSpaceDN w:val="0"/>
        <w:adjustRightInd w:val="0"/>
        <w:spacing w:after="0" w:line="360" w:lineRule="auto"/>
        <w:ind w:firstLine="720"/>
        <w:jc w:val="both"/>
        <w:rPr>
          <w:rFonts w:ascii="Times New Roman" w:eastAsia="Times New Roman" w:hAnsi="Times New Roman"/>
          <w:sz w:val="24"/>
          <w:szCs w:val="24"/>
        </w:rPr>
      </w:pPr>
      <w:r w:rsidRPr="009D50B9">
        <w:rPr>
          <w:rFonts w:ascii="Times New Roman" w:eastAsia="Times New Roman" w:hAnsi="Times New Roman"/>
          <w:sz w:val="24"/>
          <w:szCs w:val="24"/>
        </w:rPr>
        <w:t xml:space="preserve">Leaves of finger millet showing sign of blast </w:t>
      </w:r>
      <w:r w:rsidR="002677A1" w:rsidRPr="009D50B9">
        <w:rPr>
          <w:rFonts w:ascii="Times New Roman" w:eastAsia="Times New Roman" w:hAnsi="Times New Roman"/>
          <w:sz w:val="24"/>
          <w:szCs w:val="24"/>
        </w:rPr>
        <w:t xml:space="preserve">symptoms </w:t>
      </w:r>
      <w:r w:rsidRPr="009D50B9">
        <w:rPr>
          <w:rFonts w:ascii="Times New Roman" w:eastAsia="Times New Roman" w:hAnsi="Times New Roman"/>
          <w:sz w:val="24"/>
          <w:szCs w:val="24"/>
        </w:rPr>
        <w:t xml:space="preserve">were disinfected on the surface, cut into small pieces and put on PDA for pathogen isolation at 25 ± 2 °C. The fungal </w:t>
      </w:r>
      <w:r w:rsidR="00B84C53" w:rsidRPr="00B84C53">
        <w:rPr>
          <w:rFonts w:ascii="Times New Roman" w:eastAsia="Times New Roman" w:hAnsi="Times New Roman"/>
          <w:sz w:val="24"/>
          <w:szCs w:val="24"/>
        </w:rPr>
        <w:t>hyphae</w:t>
      </w:r>
      <w:r w:rsidR="00B84C53">
        <w:rPr>
          <w:rFonts w:ascii="Times New Roman" w:eastAsia="Times New Roman" w:hAnsi="Times New Roman"/>
          <w:sz w:val="24"/>
          <w:szCs w:val="24"/>
        </w:rPr>
        <w:t xml:space="preserve"> </w:t>
      </w:r>
      <w:r w:rsidR="00E37A18" w:rsidRPr="00E37A18">
        <w:rPr>
          <w:rFonts w:ascii="Times New Roman" w:eastAsia="Times New Roman" w:hAnsi="Times New Roman"/>
          <w:sz w:val="24"/>
          <w:szCs w:val="24"/>
          <w:highlight w:val="yellow"/>
        </w:rPr>
        <w:t>were</w:t>
      </w:r>
      <w:r w:rsidRPr="009D50B9">
        <w:rPr>
          <w:rFonts w:ascii="Times New Roman" w:eastAsia="Times New Roman" w:hAnsi="Times New Roman"/>
          <w:sz w:val="24"/>
          <w:szCs w:val="24"/>
        </w:rPr>
        <w:t xml:space="preserve"> examined </w:t>
      </w:r>
      <w:r w:rsidR="00DB6FCD" w:rsidRPr="009D50B9">
        <w:rPr>
          <w:rFonts w:ascii="Times New Roman" w:eastAsia="Times New Roman" w:hAnsi="Times New Roman"/>
          <w:sz w:val="24"/>
          <w:szCs w:val="24"/>
        </w:rPr>
        <w:t>under</w:t>
      </w:r>
      <w:r w:rsidRPr="009D50B9">
        <w:rPr>
          <w:rFonts w:ascii="Times New Roman" w:eastAsia="Times New Roman" w:hAnsi="Times New Roman"/>
          <w:sz w:val="24"/>
          <w:szCs w:val="24"/>
        </w:rPr>
        <w:t xml:space="preserve"> microscopy for conidia morphological characteristics. </w:t>
      </w:r>
    </w:p>
    <w:p w14:paraId="08FFFD8C" w14:textId="3C588874" w:rsidR="00B9594E" w:rsidRPr="009D50B9" w:rsidRDefault="003F001A" w:rsidP="003F50A0">
      <w:pPr>
        <w:autoSpaceDE w:val="0"/>
        <w:autoSpaceDN w:val="0"/>
        <w:adjustRightInd w:val="0"/>
        <w:spacing w:after="0" w:line="360" w:lineRule="auto"/>
        <w:jc w:val="both"/>
        <w:rPr>
          <w:rFonts w:ascii="Times New Roman" w:eastAsia="Times New Roman" w:hAnsi="Times New Roman"/>
          <w:b/>
          <w:bCs/>
          <w:sz w:val="24"/>
          <w:szCs w:val="24"/>
          <w:lang w:val="en-GB"/>
        </w:rPr>
      </w:pPr>
      <w:r w:rsidRPr="009D50B9">
        <w:rPr>
          <w:rFonts w:ascii="Times New Roman" w:eastAsia="Times New Roman" w:hAnsi="Times New Roman"/>
          <w:b/>
          <w:bCs/>
          <w:sz w:val="24"/>
          <w:szCs w:val="24"/>
          <w:lang w:val="en-GB"/>
        </w:rPr>
        <w:t xml:space="preserve">2.2.4 </w:t>
      </w:r>
      <w:r w:rsidR="00B9594E" w:rsidRPr="009D50B9">
        <w:rPr>
          <w:rFonts w:ascii="Times New Roman" w:eastAsia="Times New Roman" w:hAnsi="Times New Roman"/>
          <w:b/>
          <w:bCs/>
          <w:sz w:val="24"/>
          <w:szCs w:val="24"/>
          <w:lang w:val="en-GB"/>
        </w:rPr>
        <w:t>Poison food technique</w:t>
      </w:r>
    </w:p>
    <w:p w14:paraId="5675FEB7" w14:textId="69F56B06" w:rsidR="007A18DB" w:rsidRPr="009D50B9" w:rsidRDefault="002851FF" w:rsidP="003F50A0">
      <w:pPr>
        <w:autoSpaceDE w:val="0"/>
        <w:autoSpaceDN w:val="0"/>
        <w:adjustRightInd w:val="0"/>
        <w:spacing w:after="0" w:line="360" w:lineRule="auto"/>
        <w:jc w:val="both"/>
        <w:rPr>
          <w:rFonts w:ascii="Times New Roman" w:eastAsia="Times New Roman" w:hAnsi="Times New Roman"/>
          <w:sz w:val="24"/>
          <w:szCs w:val="24"/>
          <w:lang w:val="en-GB"/>
        </w:rPr>
      </w:pPr>
      <w:r w:rsidRPr="009D50B9">
        <w:rPr>
          <w:rFonts w:ascii="Times New Roman" w:eastAsia="Times New Roman" w:hAnsi="Times New Roman"/>
          <w:sz w:val="24"/>
          <w:szCs w:val="24"/>
          <w:lang w:val="en-GB"/>
        </w:rPr>
        <w:tab/>
      </w:r>
      <w:r w:rsidR="0029048C" w:rsidRPr="0029048C">
        <w:rPr>
          <w:rFonts w:ascii="Times New Roman" w:eastAsia="Times New Roman" w:hAnsi="Times New Roman"/>
          <w:sz w:val="24"/>
          <w:szCs w:val="24"/>
          <w:lang w:val="en-GB"/>
        </w:rPr>
        <w:t xml:space="preserve">The bacterial strains were cultured in 100 mL minimal medium supplemented with crude oil and incubated at 30 °C for 7 days at 120 rpm. After incubation, cultures were centrifuged at 5000 rpm for 20 mins. and the supernatant was collected and acidified to pH 2 with 0.1 N HCl, then stored at 4 °C overnight for precipitation. An equal volume of chloroform: methanol (2:1) was added, the mixture was shaken and left to evaporate overnight, and the resulting white precipitate was collected as crude biosurfactant (Nayarisseri </w:t>
      </w:r>
      <w:r w:rsidR="0029048C" w:rsidRPr="0029048C">
        <w:rPr>
          <w:rFonts w:ascii="Times New Roman" w:eastAsia="Times New Roman" w:hAnsi="Times New Roman"/>
          <w:i/>
          <w:iCs/>
          <w:sz w:val="24"/>
          <w:szCs w:val="24"/>
          <w:lang w:val="en-GB"/>
        </w:rPr>
        <w:t>et al</w:t>
      </w:r>
      <w:r w:rsidR="0029048C" w:rsidRPr="0029048C">
        <w:rPr>
          <w:rFonts w:ascii="Times New Roman" w:eastAsia="Times New Roman" w:hAnsi="Times New Roman"/>
          <w:sz w:val="24"/>
          <w:szCs w:val="24"/>
          <w:lang w:val="en-GB"/>
        </w:rPr>
        <w:t>., 2018).</w:t>
      </w:r>
      <w:r w:rsidR="0029048C">
        <w:rPr>
          <w:rFonts w:ascii="Times New Roman" w:eastAsia="Times New Roman" w:hAnsi="Times New Roman"/>
          <w:sz w:val="24"/>
          <w:szCs w:val="24"/>
          <w:lang w:val="en-GB"/>
        </w:rPr>
        <w:t xml:space="preserve"> </w:t>
      </w:r>
      <w:r w:rsidR="007A18DB" w:rsidRPr="009D50B9">
        <w:rPr>
          <w:rFonts w:ascii="Times New Roman" w:eastAsia="Times New Roman" w:hAnsi="Times New Roman"/>
          <w:sz w:val="24"/>
          <w:szCs w:val="24"/>
          <w:lang w:val="en-GB"/>
        </w:rPr>
        <w:t xml:space="preserve">To evaluate antifungal properties, potato dextrose agar (PDA) </w:t>
      </w:r>
      <w:r w:rsidR="00147F5C">
        <w:rPr>
          <w:rFonts w:ascii="Times New Roman" w:eastAsia="Times New Roman" w:hAnsi="Times New Roman"/>
          <w:sz w:val="24"/>
          <w:szCs w:val="24"/>
          <w:lang w:val="en-GB"/>
        </w:rPr>
        <w:t xml:space="preserve">was </w:t>
      </w:r>
      <w:r w:rsidR="007A18DB" w:rsidRPr="009D50B9">
        <w:rPr>
          <w:rFonts w:ascii="Times New Roman" w:eastAsia="Times New Roman" w:hAnsi="Times New Roman"/>
          <w:sz w:val="24"/>
          <w:szCs w:val="24"/>
          <w:lang w:val="en-GB"/>
        </w:rPr>
        <w:t xml:space="preserve">supplemented with </w:t>
      </w:r>
      <w:r w:rsidR="00147F5C" w:rsidRPr="009D50B9">
        <w:rPr>
          <w:rFonts w:ascii="Times New Roman" w:eastAsia="Times New Roman" w:hAnsi="Times New Roman"/>
          <w:sz w:val="24"/>
          <w:szCs w:val="24"/>
          <w:lang w:val="en-GB"/>
        </w:rPr>
        <w:t xml:space="preserve">crude </w:t>
      </w:r>
      <w:r w:rsidR="007A18DB" w:rsidRPr="009D50B9">
        <w:rPr>
          <w:rFonts w:ascii="Times New Roman" w:eastAsia="Times New Roman" w:hAnsi="Times New Roman"/>
          <w:sz w:val="24"/>
          <w:szCs w:val="24"/>
          <w:lang w:val="en-GB"/>
        </w:rPr>
        <w:t xml:space="preserve">extracts of biosurfactant at </w:t>
      </w:r>
      <w:r w:rsidR="00FE146C">
        <w:rPr>
          <w:rFonts w:ascii="Times New Roman" w:eastAsia="Times New Roman" w:hAnsi="Times New Roman"/>
          <w:sz w:val="24"/>
          <w:szCs w:val="24"/>
          <w:lang w:val="en-GB"/>
        </w:rPr>
        <w:t>2 mg/L and 4 mg/L</w:t>
      </w:r>
      <w:r w:rsidR="007A18DB" w:rsidRPr="009D50B9">
        <w:rPr>
          <w:rFonts w:ascii="Times New Roman" w:eastAsia="Times New Roman" w:hAnsi="Times New Roman"/>
          <w:sz w:val="24"/>
          <w:szCs w:val="24"/>
          <w:lang w:val="en-GB"/>
        </w:rPr>
        <w:t xml:space="preserve"> concentrations</w:t>
      </w:r>
      <w:r w:rsidR="00FE146C">
        <w:rPr>
          <w:rFonts w:ascii="Times New Roman" w:eastAsia="Times New Roman" w:hAnsi="Times New Roman"/>
          <w:sz w:val="24"/>
          <w:szCs w:val="24"/>
          <w:lang w:val="en-GB"/>
        </w:rPr>
        <w:t xml:space="preserve"> and f</w:t>
      </w:r>
      <w:r w:rsidR="007A18DB" w:rsidRPr="009D50B9">
        <w:rPr>
          <w:rFonts w:ascii="Times New Roman" w:eastAsia="Times New Roman" w:hAnsi="Times New Roman"/>
          <w:sz w:val="24"/>
          <w:szCs w:val="24"/>
          <w:lang w:val="en-GB"/>
        </w:rPr>
        <w:t xml:space="preserve">ungal agar plugs were </w:t>
      </w:r>
      <w:r w:rsidR="00FE146C">
        <w:rPr>
          <w:rFonts w:ascii="Times New Roman" w:eastAsia="Times New Roman" w:hAnsi="Times New Roman"/>
          <w:sz w:val="24"/>
          <w:szCs w:val="24"/>
          <w:lang w:val="en-GB"/>
        </w:rPr>
        <w:t>inoculated</w:t>
      </w:r>
      <w:r w:rsidR="007A18DB" w:rsidRPr="009D50B9">
        <w:rPr>
          <w:rFonts w:ascii="Times New Roman" w:eastAsia="Times New Roman" w:hAnsi="Times New Roman"/>
          <w:sz w:val="24"/>
          <w:szCs w:val="24"/>
          <w:lang w:val="en-GB"/>
        </w:rPr>
        <w:t xml:space="preserve"> to the centre of the plate</w:t>
      </w:r>
      <w:r w:rsidR="00FE146C">
        <w:rPr>
          <w:rFonts w:ascii="Times New Roman" w:eastAsia="Times New Roman" w:hAnsi="Times New Roman"/>
          <w:sz w:val="24"/>
          <w:szCs w:val="24"/>
          <w:lang w:val="en-GB"/>
        </w:rPr>
        <w:t xml:space="preserve"> and </w:t>
      </w:r>
      <w:r w:rsidR="007A18DB" w:rsidRPr="009D50B9">
        <w:rPr>
          <w:rFonts w:ascii="Times New Roman" w:eastAsia="Times New Roman" w:hAnsi="Times New Roman"/>
          <w:sz w:val="24"/>
          <w:szCs w:val="24"/>
          <w:lang w:val="en-GB"/>
        </w:rPr>
        <w:t xml:space="preserve">was incubated at the temperature of 27 ± 2 °C. The plates without biosurfactant acted as the control plates. Mycelial growth was primarily measured throughout the radius and percent inhibition was calculated (Leelasuphakul </w:t>
      </w:r>
      <w:r w:rsidR="007A18DB" w:rsidRPr="009D50B9">
        <w:rPr>
          <w:rFonts w:ascii="Times New Roman" w:eastAsia="Times New Roman" w:hAnsi="Times New Roman"/>
          <w:i/>
          <w:iCs/>
          <w:sz w:val="24"/>
          <w:szCs w:val="24"/>
          <w:lang w:val="en-GB"/>
        </w:rPr>
        <w:t>et al</w:t>
      </w:r>
      <w:r w:rsidR="007A18DB" w:rsidRPr="009D50B9">
        <w:rPr>
          <w:rFonts w:ascii="Times New Roman" w:eastAsia="Times New Roman" w:hAnsi="Times New Roman"/>
          <w:sz w:val="24"/>
          <w:szCs w:val="24"/>
          <w:lang w:val="en-GB"/>
        </w:rPr>
        <w:t>., 2008).</w:t>
      </w:r>
    </w:p>
    <w:p w14:paraId="49C51AD5" w14:textId="7F1EAA3E" w:rsidR="00B9594E" w:rsidRPr="009D50B9" w:rsidRDefault="00B9594E" w:rsidP="003F50A0">
      <w:pPr>
        <w:autoSpaceDE w:val="0"/>
        <w:autoSpaceDN w:val="0"/>
        <w:adjustRightInd w:val="0"/>
        <w:spacing w:after="0" w:line="360" w:lineRule="auto"/>
        <w:jc w:val="both"/>
        <w:rPr>
          <w:rFonts w:ascii="Times New Roman" w:eastAsia="Times New Roman" w:hAnsi="Times New Roman"/>
          <w:sz w:val="24"/>
          <w:szCs w:val="24"/>
          <w:lang w:val="en-US"/>
        </w:rPr>
      </w:pPr>
      <m:oMathPara>
        <m:oMath>
          <m:r>
            <m:rPr>
              <m:sty m:val="p"/>
            </m:rPr>
            <w:rPr>
              <w:rFonts w:ascii="Cambria Math" w:eastAsia="Times New Roman" w:hAnsi="Cambria Math"/>
              <w:sz w:val="24"/>
              <w:szCs w:val="24"/>
              <w:lang w:val="en-US"/>
            </w:rPr>
            <w:lastRenderedPageBreak/>
            <m:t>I</m:t>
          </m:r>
          <m:r>
            <w:rPr>
              <w:rFonts w:ascii="Cambria Math" w:eastAsia="Times New Roman" w:hAnsi="Cambria Math"/>
              <w:sz w:val="24"/>
              <w:szCs w:val="24"/>
              <w:lang w:val="en-US"/>
            </w:rPr>
            <m:t>=</m:t>
          </m:r>
          <m:f>
            <m:fPr>
              <m:ctrlPr>
                <w:rPr>
                  <w:rFonts w:ascii="Cambria Math" w:eastAsia="Times New Roman" w:hAnsi="Cambria Math"/>
                  <w:iCs/>
                  <w:sz w:val="24"/>
                  <w:szCs w:val="24"/>
                  <w:lang w:val="en-US"/>
                </w:rPr>
              </m:ctrlPr>
            </m:fPr>
            <m:num>
              <m:r>
                <m:rPr>
                  <m:sty m:val="p"/>
                </m:rPr>
                <w:rPr>
                  <w:rFonts w:ascii="Cambria Math" w:eastAsia="Times New Roman" w:hAnsi="Cambria Math"/>
                  <w:sz w:val="24"/>
                  <w:szCs w:val="24"/>
                  <w:lang w:val="en-US"/>
                </w:rPr>
                <m:t>C-T</m:t>
              </m:r>
            </m:num>
            <m:den>
              <m:r>
                <m:rPr>
                  <m:sty m:val="p"/>
                </m:rPr>
                <w:rPr>
                  <w:rFonts w:ascii="Cambria Math" w:eastAsia="Times New Roman" w:hAnsi="Cambria Math"/>
                  <w:sz w:val="24"/>
                  <w:szCs w:val="24"/>
                  <w:lang w:val="en-US"/>
                </w:rPr>
                <m:t>T</m:t>
              </m:r>
            </m:den>
          </m:f>
          <m:r>
            <w:rPr>
              <w:rFonts w:ascii="Cambria Math" w:eastAsia="Times New Roman" w:hAnsi="Cambria Math"/>
              <w:sz w:val="24"/>
              <w:szCs w:val="24"/>
              <w:lang w:val="en-US"/>
            </w:rPr>
            <m:t>×100</m:t>
          </m:r>
        </m:oMath>
      </m:oMathPara>
    </w:p>
    <w:p w14:paraId="29A34994" w14:textId="77777777" w:rsidR="00B9594E" w:rsidRPr="009D50B9" w:rsidRDefault="00B9594E"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t xml:space="preserve">Where, </w:t>
      </w:r>
    </w:p>
    <w:p w14:paraId="784A7154" w14:textId="77777777" w:rsidR="00B9594E" w:rsidRPr="009D50B9" w:rsidRDefault="00B9594E"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tab/>
        <w:t xml:space="preserve">I = </w:t>
      </w:r>
      <w:r w:rsidRPr="009D50B9">
        <w:rPr>
          <w:rFonts w:ascii="Times New Roman" w:eastAsia="Times New Roman" w:hAnsi="Times New Roman"/>
          <w:i/>
          <w:iCs/>
          <w:sz w:val="24"/>
          <w:szCs w:val="24"/>
        </w:rPr>
        <w:t xml:space="preserve">Per cent </w:t>
      </w:r>
      <w:r w:rsidRPr="009D50B9">
        <w:rPr>
          <w:rFonts w:ascii="Times New Roman" w:eastAsia="Times New Roman" w:hAnsi="Times New Roman"/>
          <w:sz w:val="24"/>
          <w:szCs w:val="24"/>
        </w:rPr>
        <w:t xml:space="preserve">inhibition, </w:t>
      </w:r>
    </w:p>
    <w:p w14:paraId="5AEA970E" w14:textId="77777777" w:rsidR="00B9594E" w:rsidRPr="009D50B9" w:rsidRDefault="00B9594E" w:rsidP="003F50A0">
      <w:pPr>
        <w:autoSpaceDE w:val="0"/>
        <w:autoSpaceDN w:val="0"/>
        <w:adjustRightInd w:val="0"/>
        <w:spacing w:after="0" w:line="360" w:lineRule="auto"/>
        <w:jc w:val="both"/>
        <w:rPr>
          <w:rFonts w:ascii="Times New Roman" w:eastAsia="Times New Roman" w:hAnsi="Times New Roman"/>
          <w:sz w:val="24"/>
          <w:szCs w:val="24"/>
          <w:lang w:val="en-US"/>
        </w:rPr>
      </w:pPr>
      <w:r w:rsidRPr="009D50B9">
        <w:rPr>
          <w:rFonts w:ascii="Times New Roman" w:eastAsia="Times New Roman" w:hAnsi="Times New Roman"/>
          <w:sz w:val="24"/>
          <w:szCs w:val="24"/>
        </w:rPr>
        <w:t xml:space="preserve">            C = </w:t>
      </w:r>
      <w:r w:rsidRPr="009D50B9">
        <w:rPr>
          <w:rFonts w:ascii="Times New Roman" w:eastAsia="Times New Roman" w:hAnsi="Times New Roman"/>
          <w:sz w:val="24"/>
          <w:szCs w:val="24"/>
          <w:lang w:val="en-US"/>
        </w:rPr>
        <w:t xml:space="preserve">Radial growth of </w:t>
      </w:r>
      <w:r w:rsidRPr="009D50B9">
        <w:rPr>
          <w:rFonts w:ascii="Times New Roman" w:eastAsia="Times New Roman" w:hAnsi="Times New Roman"/>
          <w:sz w:val="24"/>
          <w:szCs w:val="24"/>
          <w:lang w:val="en-GB"/>
        </w:rPr>
        <w:t xml:space="preserve">pathogen </w:t>
      </w:r>
      <w:r w:rsidRPr="009D50B9">
        <w:rPr>
          <w:rFonts w:ascii="Times New Roman" w:eastAsia="Times New Roman" w:hAnsi="Times New Roman"/>
          <w:sz w:val="24"/>
          <w:szCs w:val="24"/>
          <w:lang w:val="en-US"/>
        </w:rPr>
        <w:t>in control plate (mm)</w:t>
      </w:r>
    </w:p>
    <w:p w14:paraId="34A7B2B8" w14:textId="6FA62001" w:rsidR="00AA3FD7" w:rsidRPr="009D50B9" w:rsidRDefault="00B9594E" w:rsidP="00D96C5E">
      <w:pPr>
        <w:autoSpaceDE w:val="0"/>
        <w:autoSpaceDN w:val="0"/>
        <w:adjustRightInd w:val="0"/>
        <w:spacing w:line="360" w:lineRule="auto"/>
        <w:jc w:val="both"/>
        <w:rPr>
          <w:rFonts w:ascii="Times New Roman" w:eastAsia="Times New Roman" w:hAnsi="Times New Roman"/>
          <w:sz w:val="24"/>
          <w:szCs w:val="24"/>
          <w:lang w:val="en-US"/>
        </w:rPr>
      </w:pPr>
      <w:r w:rsidRPr="009D50B9">
        <w:rPr>
          <w:rFonts w:ascii="Times New Roman" w:eastAsia="Times New Roman" w:hAnsi="Times New Roman"/>
          <w:sz w:val="24"/>
          <w:szCs w:val="24"/>
        </w:rPr>
        <w:t xml:space="preserve">            T = </w:t>
      </w:r>
      <w:r w:rsidRPr="009D50B9">
        <w:rPr>
          <w:rFonts w:ascii="Times New Roman" w:eastAsia="Times New Roman" w:hAnsi="Times New Roman"/>
          <w:sz w:val="24"/>
          <w:szCs w:val="24"/>
          <w:lang w:val="en-US"/>
        </w:rPr>
        <w:t xml:space="preserve">Radial growth of </w:t>
      </w:r>
      <w:r w:rsidRPr="009D50B9">
        <w:rPr>
          <w:rFonts w:ascii="Times New Roman" w:eastAsia="Times New Roman" w:hAnsi="Times New Roman"/>
          <w:sz w:val="24"/>
          <w:szCs w:val="24"/>
          <w:lang w:val="en-GB"/>
        </w:rPr>
        <w:t xml:space="preserve">pathogen </w:t>
      </w:r>
      <w:r w:rsidRPr="009D50B9">
        <w:rPr>
          <w:rFonts w:ascii="Times New Roman" w:eastAsia="Times New Roman" w:hAnsi="Times New Roman"/>
          <w:sz w:val="24"/>
          <w:szCs w:val="24"/>
          <w:lang w:val="en-US"/>
        </w:rPr>
        <w:t>in treated plate (mm)</w:t>
      </w:r>
    </w:p>
    <w:p w14:paraId="02C39B88" w14:textId="6EE725F2" w:rsidR="005945A8" w:rsidRPr="009D50B9" w:rsidRDefault="003F001A" w:rsidP="003F50A0">
      <w:pPr>
        <w:autoSpaceDE w:val="0"/>
        <w:autoSpaceDN w:val="0"/>
        <w:adjustRightInd w:val="0"/>
        <w:spacing w:after="0" w:line="360" w:lineRule="auto"/>
        <w:jc w:val="both"/>
        <w:rPr>
          <w:rFonts w:ascii="Times New Roman" w:eastAsia="Times New Roman" w:hAnsi="Times New Roman"/>
          <w:b/>
          <w:bCs/>
          <w:sz w:val="24"/>
          <w:szCs w:val="24"/>
        </w:rPr>
      </w:pPr>
      <w:r w:rsidRPr="009D50B9">
        <w:rPr>
          <w:rFonts w:ascii="Times New Roman" w:eastAsia="Times New Roman" w:hAnsi="Times New Roman"/>
          <w:b/>
          <w:bCs/>
          <w:sz w:val="24"/>
          <w:szCs w:val="24"/>
        </w:rPr>
        <w:t xml:space="preserve">2.2.5 </w:t>
      </w:r>
      <w:r w:rsidR="00171FEE" w:rsidRPr="009D50B9">
        <w:rPr>
          <w:rFonts w:ascii="Times New Roman" w:eastAsia="Times New Roman" w:hAnsi="Times New Roman"/>
          <w:b/>
          <w:bCs/>
          <w:sz w:val="24"/>
          <w:szCs w:val="24"/>
        </w:rPr>
        <w:t xml:space="preserve">Mycelial </w:t>
      </w:r>
      <w:r w:rsidR="005945A8" w:rsidRPr="009D50B9">
        <w:rPr>
          <w:rFonts w:ascii="Times New Roman" w:eastAsia="Times New Roman" w:hAnsi="Times New Roman"/>
          <w:b/>
          <w:bCs/>
          <w:sz w:val="24"/>
          <w:szCs w:val="24"/>
        </w:rPr>
        <w:t>mat weight</w:t>
      </w:r>
      <w:r w:rsidR="00171FEE" w:rsidRPr="009D50B9">
        <w:rPr>
          <w:rFonts w:ascii="Times New Roman" w:eastAsia="Times New Roman" w:hAnsi="Times New Roman"/>
          <w:b/>
          <w:bCs/>
          <w:sz w:val="24"/>
          <w:szCs w:val="24"/>
        </w:rPr>
        <w:t xml:space="preserve"> reduction</w:t>
      </w:r>
      <w:r w:rsidR="005945A8" w:rsidRPr="009D50B9">
        <w:rPr>
          <w:rFonts w:ascii="Times New Roman" w:eastAsia="Times New Roman" w:hAnsi="Times New Roman"/>
          <w:b/>
          <w:bCs/>
          <w:sz w:val="24"/>
          <w:szCs w:val="24"/>
        </w:rPr>
        <w:t xml:space="preserve"> determination</w:t>
      </w:r>
    </w:p>
    <w:p w14:paraId="1A315B24" w14:textId="322CF1EC" w:rsidR="005945A8" w:rsidRPr="009D50B9" w:rsidRDefault="005945A8"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tab/>
      </w:r>
      <w:r w:rsidR="007A18DB" w:rsidRPr="009D50B9">
        <w:rPr>
          <w:rFonts w:ascii="Times New Roman" w:eastAsia="Times New Roman" w:hAnsi="Times New Roman"/>
          <w:sz w:val="24"/>
          <w:szCs w:val="24"/>
        </w:rPr>
        <w:t>Fungal discs were grown in potato dextrose broth flasks that were co-inoculated with the bacterial cultures (10⁶ cfu/mL) and incubated at 30 °C for 10 days. The resultant mycelial mats were filtered, dried to a constant weight, and measured against controls. Fungal growth inhibition was calculated on the basis of reduced mycelial weight (Opgenorth and Endo, 1983).</w:t>
      </w:r>
    </w:p>
    <w:p w14:paraId="7282247B" w14:textId="3DEAF2F2" w:rsidR="005945A8" w:rsidRPr="009D50B9" w:rsidRDefault="005945A8" w:rsidP="003F50A0">
      <w:pPr>
        <w:autoSpaceDE w:val="0"/>
        <w:autoSpaceDN w:val="0"/>
        <w:adjustRightInd w:val="0"/>
        <w:spacing w:after="0" w:line="360" w:lineRule="auto"/>
        <w:jc w:val="center"/>
        <w:rPr>
          <w:rFonts w:ascii="Times New Roman" w:eastAsia="Times New Roman" w:hAnsi="Times New Roman"/>
          <w:sz w:val="24"/>
          <w:szCs w:val="24"/>
        </w:rPr>
      </w:pPr>
      <w:r w:rsidRPr="009D50B9">
        <w:rPr>
          <w:rFonts w:ascii="Times New Roman" w:eastAsia="Times New Roman" w:hAnsi="Times New Roman"/>
          <w:sz w:val="24"/>
          <w:szCs w:val="24"/>
        </w:rPr>
        <w:t xml:space="preserve">Per cent inhibition=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T1-T4</m:t>
            </m:r>
          </m:num>
          <m:den>
            <m:r>
              <m:rPr>
                <m:sty m:val="p"/>
              </m:rPr>
              <w:rPr>
                <w:rFonts w:ascii="Cambria Math" w:eastAsia="Times New Roman" w:hAnsi="Cambria Math"/>
                <w:sz w:val="24"/>
                <w:szCs w:val="24"/>
              </w:rPr>
              <m:t>T1</m:t>
            </m:r>
          </m:den>
        </m:f>
        <m:r>
          <m:rPr>
            <m:sty m:val="p"/>
          </m:rPr>
          <w:rPr>
            <w:rFonts w:ascii="Cambria Math" w:eastAsia="Times New Roman" w:hAnsi="Cambria Math"/>
            <w:sz w:val="24"/>
            <w:szCs w:val="24"/>
          </w:rPr>
          <m:t>×100</m:t>
        </m:r>
      </m:oMath>
      <w:r w:rsidRPr="009D50B9">
        <w:rPr>
          <w:rFonts w:ascii="Times New Roman" w:eastAsia="Times New Roman" w:hAnsi="Times New Roman"/>
          <w:sz w:val="24"/>
          <w:szCs w:val="24"/>
        </w:rPr>
        <w:br/>
      </w:r>
    </w:p>
    <w:p w14:paraId="05BE6990" w14:textId="77777777" w:rsidR="005945A8" w:rsidRPr="009D50B9" w:rsidRDefault="005945A8"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t xml:space="preserve">Where, </w:t>
      </w:r>
    </w:p>
    <w:p w14:paraId="74E47BEC" w14:textId="77777777" w:rsidR="005945A8" w:rsidRPr="009D50B9" w:rsidRDefault="005945A8"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tab/>
        <w:t xml:space="preserve"> T</w:t>
      </w:r>
      <w:r w:rsidRPr="009D50B9">
        <w:rPr>
          <w:rFonts w:ascii="Times New Roman" w:eastAsia="Times New Roman" w:hAnsi="Times New Roman"/>
          <w:sz w:val="24"/>
          <w:szCs w:val="24"/>
          <w:vertAlign w:val="subscript"/>
        </w:rPr>
        <w:t>1</w:t>
      </w:r>
      <w:r w:rsidRPr="009D50B9">
        <w:rPr>
          <w:rFonts w:ascii="Times New Roman" w:eastAsia="Times New Roman" w:hAnsi="Times New Roman"/>
          <w:sz w:val="24"/>
          <w:szCs w:val="24"/>
        </w:rPr>
        <w:t xml:space="preserve">- Pathogen </w:t>
      </w:r>
    </w:p>
    <w:p w14:paraId="7C72F8ED" w14:textId="77777777" w:rsidR="005945A8" w:rsidRPr="009D50B9" w:rsidRDefault="005945A8"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t xml:space="preserve">             T</w:t>
      </w:r>
      <w:r w:rsidRPr="009D50B9">
        <w:rPr>
          <w:rFonts w:ascii="Times New Roman" w:eastAsia="Times New Roman" w:hAnsi="Times New Roman"/>
          <w:sz w:val="24"/>
          <w:szCs w:val="24"/>
          <w:vertAlign w:val="subscript"/>
        </w:rPr>
        <w:t>2</w:t>
      </w:r>
      <w:r w:rsidRPr="009D50B9">
        <w:rPr>
          <w:rFonts w:ascii="Times New Roman" w:eastAsia="Times New Roman" w:hAnsi="Times New Roman"/>
          <w:sz w:val="24"/>
          <w:szCs w:val="24"/>
        </w:rPr>
        <w:t xml:space="preserve">- </w:t>
      </w:r>
      <w:r w:rsidRPr="009D50B9">
        <w:rPr>
          <w:rFonts w:ascii="Times New Roman" w:eastAsia="Times New Roman" w:hAnsi="Times New Roman"/>
          <w:sz w:val="24"/>
          <w:szCs w:val="24"/>
          <w:lang w:val="en-US"/>
        </w:rPr>
        <w:t xml:space="preserve">Biosurfactant producing bacterial strains </w:t>
      </w:r>
    </w:p>
    <w:p w14:paraId="61C4A763" w14:textId="77777777" w:rsidR="005945A8" w:rsidRPr="009D50B9" w:rsidRDefault="005945A8"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t xml:space="preserve">             T</w:t>
      </w:r>
      <w:r w:rsidRPr="009D50B9">
        <w:rPr>
          <w:rFonts w:ascii="Times New Roman" w:eastAsia="Times New Roman" w:hAnsi="Times New Roman"/>
          <w:sz w:val="24"/>
          <w:szCs w:val="24"/>
          <w:vertAlign w:val="subscript"/>
        </w:rPr>
        <w:t>3</w:t>
      </w:r>
      <w:r w:rsidRPr="009D50B9">
        <w:rPr>
          <w:rFonts w:ascii="Times New Roman" w:eastAsia="Times New Roman" w:hAnsi="Times New Roman"/>
          <w:sz w:val="24"/>
          <w:szCs w:val="24"/>
        </w:rPr>
        <w:t xml:space="preserve">- </w:t>
      </w:r>
      <w:r w:rsidRPr="009D50B9">
        <w:rPr>
          <w:rFonts w:ascii="Times New Roman" w:eastAsia="Times New Roman" w:hAnsi="Times New Roman"/>
          <w:sz w:val="24"/>
          <w:szCs w:val="24"/>
          <w:lang w:val="en-US"/>
        </w:rPr>
        <w:t xml:space="preserve">Biosurfactant producing bacterial </w:t>
      </w:r>
      <w:r w:rsidRPr="009D50B9">
        <w:rPr>
          <w:rFonts w:ascii="Times New Roman" w:eastAsia="Times New Roman" w:hAnsi="Times New Roman"/>
          <w:sz w:val="24"/>
          <w:szCs w:val="24"/>
        </w:rPr>
        <w:t xml:space="preserve">strains and pathogen </w:t>
      </w:r>
    </w:p>
    <w:p w14:paraId="50567494" w14:textId="7A2292EA" w:rsidR="005945A8" w:rsidRPr="009D50B9" w:rsidRDefault="005945A8"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t xml:space="preserve">             T</w:t>
      </w:r>
      <w:r w:rsidRPr="009D50B9">
        <w:rPr>
          <w:rFonts w:ascii="Times New Roman" w:eastAsia="Times New Roman" w:hAnsi="Times New Roman"/>
          <w:sz w:val="24"/>
          <w:szCs w:val="24"/>
          <w:vertAlign w:val="subscript"/>
        </w:rPr>
        <w:t>4</w:t>
      </w:r>
      <w:r w:rsidRPr="009D50B9">
        <w:rPr>
          <w:rFonts w:ascii="Times New Roman" w:eastAsia="Times New Roman" w:hAnsi="Times New Roman"/>
          <w:sz w:val="24"/>
          <w:szCs w:val="24"/>
        </w:rPr>
        <w:t>- (T</w:t>
      </w:r>
      <w:r w:rsidR="000C6122" w:rsidRPr="000C6122">
        <w:rPr>
          <w:rFonts w:ascii="Times New Roman" w:eastAsia="Times New Roman" w:hAnsi="Times New Roman"/>
          <w:sz w:val="24"/>
          <w:szCs w:val="24"/>
          <w:vertAlign w:val="subscript"/>
        </w:rPr>
        <w:t>3</w:t>
      </w:r>
      <w:r w:rsidRPr="009D50B9">
        <w:rPr>
          <w:rFonts w:ascii="Times New Roman" w:eastAsia="Times New Roman" w:hAnsi="Times New Roman"/>
          <w:sz w:val="24"/>
          <w:szCs w:val="24"/>
        </w:rPr>
        <w:t>-T</w:t>
      </w:r>
      <w:r w:rsidR="000C6122">
        <w:rPr>
          <w:rFonts w:ascii="Times New Roman" w:eastAsia="Times New Roman" w:hAnsi="Times New Roman"/>
          <w:sz w:val="24"/>
          <w:szCs w:val="24"/>
          <w:vertAlign w:val="subscript"/>
        </w:rPr>
        <w:t>2</w:t>
      </w:r>
      <w:r w:rsidRPr="009D50B9">
        <w:rPr>
          <w:rFonts w:ascii="Times New Roman" w:eastAsia="Times New Roman" w:hAnsi="Times New Roman"/>
          <w:sz w:val="24"/>
          <w:szCs w:val="24"/>
        </w:rPr>
        <w:t>)</w:t>
      </w:r>
    </w:p>
    <w:p w14:paraId="31C6C91A" w14:textId="2A46B34C" w:rsidR="005945A8" w:rsidRPr="009D50B9" w:rsidRDefault="003F001A" w:rsidP="003F50A0">
      <w:pPr>
        <w:autoSpaceDE w:val="0"/>
        <w:autoSpaceDN w:val="0"/>
        <w:adjustRightInd w:val="0"/>
        <w:spacing w:after="0" w:line="360" w:lineRule="auto"/>
        <w:jc w:val="both"/>
        <w:rPr>
          <w:rFonts w:ascii="Times New Roman" w:eastAsia="Times New Roman" w:hAnsi="Times New Roman"/>
          <w:b/>
          <w:bCs/>
          <w:sz w:val="24"/>
          <w:szCs w:val="24"/>
        </w:rPr>
      </w:pPr>
      <w:r w:rsidRPr="009D50B9">
        <w:rPr>
          <w:rFonts w:ascii="Times New Roman" w:eastAsia="Times New Roman" w:hAnsi="Times New Roman"/>
          <w:b/>
          <w:bCs/>
          <w:sz w:val="24"/>
          <w:szCs w:val="24"/>
        </w:rPr>
        <w:t xml:space="preserve">2.2.6 </w:t>
      </w:r>
      <w:r w:rsidR="005945A8" w:rsidRPr="009D50B9">
        <w:rPr>
          <w:rFonts w:ascii="Times New Roman" w:eastAsia="Times New Roman" w:hAnsi="Times New Roman"/>
          <w:b/>
          <w:bCs/>
          <w:sz w:val="24"/>
          <w:szCs w:val="24"/>
        </w:rPr>
        <w:t xml:space="preserve">Quantification of biocontrol determinants by efficient </w:t>
      </w:r>
      <w:r w:rsidR="005945A8" w:rsidRPr="009D50B9">
        <w:rPr>
          <w:rFonts w:ascii="Times New Roman" w:eastAsia="Times New Roman" w:hAnsi="Times New Roman"/>
          <w:b/>
          <w:bCs/>
          <w:sz w:val="24"/>
          <w:szCs w:val="24"/>
          <w:lang w:val="en-US"/>
        </w:rPr>
        <w:t>biosurfactant producing</w:t>
      </w:r>
      <w:r w:rsidR="00171FEE" w:rsidRPr="009D50B9">
        <w:rPr>
          <w:rFonts w:ascii="Times New Roman" w:eastAsia="Times New Roman" w:hAnsi="Times New Roman"/>
          <w:b/>
          <w:bCs/>
          <w:sz w:val="24"/>
          <w:szCs w:val="24"/>
          <w:lang w:val="en-US"/>
        </w:rPr>
        <w:t xml:space="preserve"> </w:t>
      </w:r>
      <w:r w:rsidR="00A315DC" w:rsidRPr="009D50B9">
        <w:rPr>
          <w:rFonts w:ascii="Times New Roman" w:eastAsia="Times New Roman" w:hAnsi="Times New Roman"/>
          <w:b/>
          <w:bCs/>
          <w:sz w:val="24"/>
          <w:szCs w:val="24"/>
          <w:lang w:val="en-US"/>
        </w:rPr>
        <w:tab/>
      </w:r>
      <w:r w:rsidR="005945A8" w:rsidRPr="009D50B9">
        <w:rPr>
          <w:rFonts w:ascii="Times New Roman" w:eastAsia="Times New Roman" w:hAnsi="Times New Roman"/>
          <w:b/>
          <w:bCs/>
          <w:sz w:val="24"/>
          <w:szCs w:val="24"/>
          <w:lang w:val="en-US"/>
        </w:rPr>
        <w:t xml:space="preserve">bacterial </w:t>
      </w:r>
      <w:r w:rsidR="004D23D3" w:rsidRPr="004D23D3">
        <w:rPr>
          <w:rFonts w:ascii="Times New Roman" w:eastAsia="Times New Roman" w:hAnsi="Times New Roman"/>
          <w:b/>
          <w:bCs/>
          <w:sz w:val="24"/>
          <w:szCs w:val="24"/>
          <w:lang w:val="en-US"/>
        </w:rPr>
        <w:t>isolates</w:t>
      </w:r>
    </w:p>
    <w:p w14:paraId="321DAC75" w14:textId="1EC5B79B" w:rsidR="005945A8" w:rsidRPr="009D50B9" w:rsidRDefault="003F001A" w:rsidP="003F50A0">
      <w:pPr>
        <w:autoSpaceDE w:val="0"/>
        <w:autoSpaceDN w:val="0"/>
        <w:adjustRightInd w:val="0"/>
        <w:spacing w:after="0" w:line="360" w:lineRule="auto"/>
        <w:jc w:val="both"/>
        <w:rPr>
          <w:rFonts w:ascii="Times New Roman" w:eastAsia="Times New Roman" w:hAnsi="Times New Roman"/>
          <w:b/>
          <w:bCs/>
          <w:sz w:val="24"/>
          <w:szCs w:val="24"/>
        </w:rPr>
      </w:pPr>
      <w:r w:rsidRPr="009D50B9">
        <w:rPr>
          <w:rFonts w:ascii="Times New Roman" w:eastAsia="Times New Roman" w:hAnsi="Times New Roman"/>
          <w:b/>
          <w:bCs/>
          <w:sz w:val="24"/>
          <w:szCs w:val="24"/>
        </w:rPr>
        <w:t xml:space="preserve">2.2.6.1 </w:t>
      </w:r>
      <w:r w:rsidR="005945A8" w:rsidRPr="009D50B9">
        <w:rPr>
          <w:rFonts w:ascii="Times New Roman" w:eastAsia="Times New Roman" w:hAnsi="Times New Roman"/>
          <w:b/>
          <w:bCs/>
          <w:sz w:val="24"/>
          <w:szCs w:val="24"/>
        </w:rPr>
        <w:t>Glucanase</w:t>
      </w:r>
    </w:p>
    <w:p w14:paraId="56D5588C" w14:textId="6B0D5711" w:rsidR="00A534D1" w:rsidRPr="009D50B9" w:rsidRDefault="005945A8"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tab/>
      </w:r>
      <w:r w:rsidR="00A534D1" w:rsidRPr="009D50B9">
        <w:rPr>
          <w:rFonts w:ascii="Times New Roman" w:eastAsia="Times New Roman" w:hAnsi="Times New Roman"/>
          <w:sz w:val="24"/>
          <w:szCs w:val="24"/>
        </w:rPr>
        <w:t xml:space="preserve">Glucanase activity of biosurfactant producing strains was quantified using the DNS method (Wood and Bhat, 1988). Strains were grown in medium containing 1% laminarin at 37 °C, 130 rpm for 96 hrs. and the cell-free supernatant served as crude enzyme extract. The reaction mixture (enzyme extract: DNS reagent, 1:2 v/v) was </w:t>
      </w:r>
      <w:r w:rsidR="00011FD2" w:rsidRPr="009D50B9">
        <w:rPr>
          <w:rFonts w:ascii="Times New Roman" w:eastAsia="Times New Roman" w:hAnsi="Times New Roman"/>
          <w:sz w:val="24"/>
          <w:szCs w:val="24"/>
        </w:rPr>
        <w:t>kept in water bath for</w:t>
      </w:r>
      <w:r w:rsidR="00A534D1" w:rsidRPr="009D50B9">
        <w:rPr>
          <w:rFonts w:ascii="Times New Roman" w:eastAsia="Times New Roman" w:hAnsi="Times New Roman"/>
          <w:sz w:val="24"/>
          <w:szCs w:val="24"/>
        </w:rPr>
        <w:t xml:space="preserve"> 15 mins. and cooled. Absorbance was measured at 500 nm and enzyme activity was expressed as Units/mL using a glucose standard curve.</w:t>
      </w:r>
    </w:p>
    <w:p w14:paraId="382C001F" w14:textId="748D247B" w:rsidR="005945A8" w:rsidRPr="009D50B9" w:rsidRDefault="003F001A" w:rsidP="004755D0">
      <w:pPr>
        <w:autoSpaceDE w:val="0"/>
        <w:autoSpaceDN w:val="0"/>
        <w:adjustRightInd w:val="0"/>
        <w:spacing w:after="0" w:line="360" w:lineRule="auto"/>
        <w:jc w:val="both"/>
        <w:rPr>
          <w:rFonts w:ascii="Times New Roman" w:hAnsi="Times New Roman"/>
          <w:sz w:val="24"/>
          <w:szCs w:val="24"/>
        </w:rPr>
      </w:pPr>
      <w:r w:rsidRPr="009D50B9">
        <w:rPr>
          <w:rFonts w:ascii="Times New Roman" w:eastAsia="Times New Roman" w:hAnsi="Times New Roman"/>
          <w:b/>
          <w:bCs/>
          <w:sz w:val="24"/>
          <w:szCs w:val="24"/>
        </w:rPr>
        <w:t xml:space="preserve">2.2.6.2 </w:t>
      </w:r>
      <w:r w:rsidR="005945A8" w:rsidRPr="009D50B9">
        <w:rPr>
          <w:rFonts w:ascii="Times New Roman" w:eastAsia="Times New Roman" w:hAnsi="Times New Roman"/>
          <w:b/>
          <w:bCs/>
          <w:sz w:val="24"/>
          <w:szCs w:val="24"/>
        </w:rPr>
        <w:t>Assay of chitinases</w:t>
      </w:r>
    </w:p>
    <w:p w14:paraId="761F8431" w14:textId="099D3B45" w:rsidR="00A534D1" w:rsidRPr="009D50B9" w:rsidRDefault="005945A8"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tab/>
      </w:r>
      <w:r w:rsidR="00A534D1" w:rsidRPr="009D50B9">
        <w:rPr>
          <w:rFonts w:ascii="Times New Roman" w:eastAsia="Times New Roman" w:hAnsi="Times New Roman"/>
          <w:sz w:val="24"/>
          <w:szCs w:val="24"/>
        </w:rPr>
        <w:t xml:space="preserve">Chitinase activity was performed using colloidal chitin produced from crab shell chitin (Boller and Mauch, 1988). Biosurfactant producing strains were cultured at 37 °C and 130 rpm in a medium containing 1% colloidal chitin for 96 hrs. after which the cell-free supernatant served as crude enzyme. The reaction was performed using the following mixture (1 mL enzyme + 300 μL 1% chitin in 50 mM sodium acetate buffer pH 6.0) and was incubated at 40 </w:t>
      </w:r>
      <w:r w:rsidR="00A534D1" w:rsidRPr="009D50B9">
        <w:rPr>
          <w:rFonts w:ascii="Times New Roman" w:eastAsia="Times New Roman" w:hAnsi="Times New Roman"/>
          <w:sz w:val="24"/>
          <w:szCs w:val="24"/>
        </w:rPr>
        <w:lastRenderedPageBreak/>
        <w:t>°C for 30 mins. before being stopped with DNS reagent. Absorbance at 550 nm was measured and activity expressed as nmol GlcNAc equivalents min⁻¹ mL⁻¹.</w:t>
      </w:r>
    </w:p>
    <w:p w14:paraId="1753C3E8" w14:textId="3117A6D7" w:rsidR="009C1396" w:rsidRPr="009D50B9" w:rsidRDefault="003F001A" w:rsidP="004755D0">
      <w:pPr>
        <w:autoSpaceDE w:val="0"/>
        <w:autoSpaceDN w:val="0"/>
        <w:adjustRightInd w:val="0"/>
        <w:spacing w:after="0" w:line="360" w:lineRule="auto"/>
        <w:jc w:val="both"/>
        <w:rPr>
          <w:rFonts w:ascii="Times New Roman" w:hAnsi="Times New Roman"/>
          <w:b/>
          <w:bCs/>
          <w:sz w:val="24"/>
          <w:szCs w:val="24"/>
        </w:rPr>
      </w:pPr>
      <w:r w:rsidRPr="009D50B9">
        <w:rPr>
          <w:rFonts w:ascii="Times New Roman" w:hAnsi="Times New Roman"/>
          <w:b/>
          <w:bCs/>
          <w:sz w:val="24"/>
          <w:szCs w:val="24"/>
        </w:rPr>
        <w:t xml:space="preserve">2.2 </w:t>
      </w:r>
      <w:r w:rsidR="009C1396" w:rsidRPr="009D50B9">
        <w:rPr>
          <w:rFonts w:ascii="Times New Roman" w:hAnsi="Times New Roman"/>
          <w:b/>
          <w:bCs/>
          <w:sz w:val="24"/>
          <w:szCs w:val="24"/>
        </w:rPr>
        <w:t>Statistical analysis</w:t>
      </w:r>
    </w:p>
    <w:p w14:paraId="4845E2BA" w14:textId="731F52F6" w:rsidR="009C1396" w:rsidRPr="009D50B9" w:rsidRDefault="009C1396" w:rsidP="003F50A0">
      <w:pPr>
        <w:autoSpaceDE w:val="0"/>
        <w:autoSpaceDN w:val="0"/>
        <w:adjustRightInd w:val="0"/>
        <w:spacing w:after="0" w:line="360" w:lineRule="auto"/>
        <w:jc w:val="both"/>
        <w:rPr>
          <w:rFonts w:ascii="Times New Roman" w:hAnsi="Times New Roman"/>
          <w:sz w:val="24"/>
          <w:szCs w:val="24"/>
        </w:rPr>
      </w:pPr>
      <w:r w:rsidRPr="009D50B9">
        <w:rPr>
          <w:rFonts w:ascii="Times New Roman" w:hAnsi="Times New Roman"/>
          <w:sz w:val="24"/>
          <w:szCs w:val="24"/>
        </w:rPr>
        <w:tab/>
        <w:t>Data obtained from laboratory were statistically analyzed using OPSTAT online statistical tool (O.P. Sheoran, Computer Programmer at CCS HAU, Hisar, India). Statistically significant differences between the treatments were analyzed using analysis of variance (ANOVA) and Duncan’s Multiple Range Test (DMRT) at 1% significance level (Panse and Sukhatme, 1967).</w:t>
      </w:r>
    </w:p>
    <w:p w14:paraId="68A96885" w14:textId="07328D36" w:rsidR="00740254" w:rsidRPr="009D50B9" w:rsidRDefault="003F001A" w:rsidP="00740254">
      <w:pPr>
        <w:autoSpaceDE w:val="0"/>
        <w:autoSpaceDN w:val="0"/>
        <w:adjustRightInd w:val="0"/>
        <w:spacing w:after="0" w:line="360" w:lineRule="auto"/>
        <w:jc w:val="both"/>
        <w:rPr>
          <w:rFonts w:ascii="Times New Roman" w:hAnsi="Times New Roman"/>
          <w:b/>
          <w:bCs/>
          <w:sz w:val="24"/>
          <w:szCs w:val="24"/>
        </w:rPr>
      </w:pPr>
      <w:r w:rsidRPr="009D50B9">
        <w:rPr>
          <w:rFonts w:ascii="Times New Roman" w:hAnsi="Times New Roman"/>
          <w:b/>
          <w:bCs/>
          <w:sz w:val="24"/>
          <w:szCs w:val="24"/>
        </w:rPr>
        <w:t xml:space="preserve">3 </w:t>
      </w:r>
      <w:r w:rsidR="00740254" w:rsidRPr="009D50B9">
        <w:rPr>
          <w:rFonts w:ascii="Times New Roman" w:hAnsi="Times New Roman"/>
          <w:b/>
          <w:bCs/>
          <w:sz w:val="24"/>
          <w:szCs w:val="24"/>
        </w:rPr>
        <w:t>Results and Discussion</w:t>
      </w:r>
    </w:p>
    <w:p w14:paraId="32A193D0" w14:textId="0872EB39" w:rsidR="00AF1F81" w:rsidRDefault="009C1396" w:rsidP="003F50A0">
      <w:pPr>
        <w:autoSpaceDE w:val="0"/>
        <w:autoSpaceDN w:val="0"/>
        <w:adjustRightInd w:val="0"/>
        <w:spacing w:after="0" w:line="360" w:lineRule="auto"/>
        <w:jc w:val="both"/>
        <w:rPr>
          <w:rFonts w:ascii="Times New Roman" w:hAnsi="Times New Roman"/>
          <w:sz w:val="24"/>
          <w:szCs w:val="24"/>
        </w:rPr>
      </w:pPr>
      <w:r w:rsidRPr="009D50B9">
        <w:rPr>
          <w:rFonts w:ascii="Times New Roman" w:hAnsi="Times New Roman"/>
          <w:sz w:val="24"/>
          <w:szCs w:val="24"/>
        </w:rPr>
        <w:tab/>
        <w:t xml:space="preserve">Plant pathogens cause significant agricultural damages ranging from 10 to 40 per cent depending on the crops before or after harvest, resulting in huge economic losses (Savary </w:t>
      </w:r>
      <w:r w:rsidRPr="009D50B9">
        <w:rPr>
          <w:rFonts w:ascii="Times New Roman" w:hAnsi="Times New Roman"/>
          <w:i/>
          <w:iCs/>
          <w:sz w:val="24"/>
          <w:szCs w:val="24"/>
        </w:rPr>
        <w:t>et al</w:t>
      </w:r>
      <w:r w:rsidRPr="009D50B9">
        <w:rPr>
          <w:rFonts w:ascii="Times New Roman" w:hAnsi="Times New Roman"/>
          <w:sz w:val="24"/>
          <w:szCs w:val="24"/>
        </w:rPr>
        <w:t xml:space="preserve">., 2019). Although chemical pesticides are widely used, their adverse effects on human and environmental health necessitate sustainable alternatives (Popp </w:t>
      </w:r>
      <w:r w:rsidRPr="009D50B9">
        <w:rPr>
          <w:rFonts w:ascii="Times New Roman" w:hAnsi="Times New Roman"/>
          <w:i/>
          <w:iCs/>
          <w:sz w:val="24"/>
          <w:szCs w:val="24"/>
        </w:rPr>
        <w:t>et al</w:t>
      </w:r>
      <w:r w:rsidRPr="009D50B9">
        <w:rPr>
          <w:rFonts w:ascii="Times New Roman" w:hAnsi="Times New Roman"/>
          <w:sz w:val="24"/>
          <w:szCs w:val="24"/>
        </w:rPr>
        <w:t xml:space="preserve">., 2013). Biological control offers an eco-friendly strategy by employing antagonistic microbes that suppress pathogens through competition, induction of host defense and antimicrobial metabolite production (Crouzet </w:t>
      </w:r>
      <w:r w:rsidRPr="009D50B9">
        <w:rPr>
          <w:rFonts w:ascii="Times New Roman" w:hAnsi="Times New Roman"/>
          <w:i/>
          <w:iCs/>
          <w:sz w:val="24"/>
          <w:szCs w:val="24"/>
        </w:rPr>
        <w:t>et al</w:t>
      </w:r>
      <w:r w:rsidRPr="009D50B9">
        <w:rPr>
          <w:rFonts w:ascii="Times New Roman" w:hAnsi="Times New Roman"/>
          <w:sz w:val="24"/>
          <w:szCs w:val="24"/>
        </w:rPr>
        <w:t xml:space="preserve">., 2020). Given the increasing emphasis on sustainable and eco-friendly approaches in agriculture, biosurfactants have gained attention due to their antimicrobial properties, surface activity and ability to disrupt pathogen colonization. </w:t>
      </w:r>
      <w:r w:rsidRPr="009D50B9">
        <w:rPr>
          <w:rFonts w:ascii="Times New Roman" w:hAnsi="Times New Roman"/>
          <w:sz w:val="24"/>
          <w:szCs w:val="24"/>
          <w:lang w:val="en-GB"/>
        </w:rPr>
        <w:t xml:space="preserve">Hence, it is </w:t>
      </w:r>
      <w:r w:rsidR="006137B6" w:rsidRPr="009D50B9">
        <w:rPr>
          <w:rFonts w:ascii="Times New Roman" w:hAnsi="Times New Roman"/>
          <w:sz w:val="24"/>
          <w:szCs w:val="24"/>
          <w:lang w:val="en-GB"/>
        </w:rPr>
        <w:t xml:space="preserve">inferred </w:t>
      </w:r>
      <w:r w:rsidRPr="009D50B9">
        <w:rPr>
          <w:rFonts w:ascii="Times New Roman" w:hAnsi="Times New Roman"/>
          <w:sz w:val="24"/>
          <w:szCs w:val="24"/>
          <w:lang w:val="en-GB"/>
        </w:rPr>
        <w:t xml:space="preserve">in the present study that biosurfactant producing bacteria manage the blast disease </w:t>
      </w:r>
      <w:r w:rsidRPr="009D50B9">
        <w:rPr>
          <w:rFonts w:ascii="Times New Roman" w:hAnsi="Times New Roman"/>
          <w:i/>
          <w:iCs/>
          <w:sz w:val="24"/>
          <w:szCs w:val="24"/>
        </w:rPr>
        <w:t>Pyricularia</w:t>
      </w:r>
      <w:r w:rsidRPr="009D50B9">
        <w:rPr>
          <w:rFonts w:ascii="Times New Roman" w:hAnsi="Times New Roman"/>
          <w:sz w:val="24"/>
          <w:szCs w:val="24"/>
        </w:rPr>
        <w:t xml:space="preserve"> </w:t>
      </w:r>
      <w:r w:rsidRPr="009D50B9">
        <w:rPr>
          <w:rFonts w:ascii="Times New Roman" w:hAnsi="Times New Roman"/>
          <w:i/>
          <w:iCs/>
          <w:sz w:val="24"/>
          <w:szCs w:val="24"/>
        </w:rPr>
        <w:t>grisea</w:t>
      </w:r>
      <w:r w:rsidRPr="009D50B9">
        <w:rPr>
          <w:rFonts w:ascii="Times New Roman" w:hAnsi="Times New Roman"/>
          <w:sz w:val="24"/>
          <w:szCs w:val="24"/>
          <w:lang w:val="en-GB"/>
        </w:rPr>
        <w:t xml:space="preserve"> </w:t>
      </w:r>
      <w:r w:rsidR="003C3D36" w:rsidRPr="009D50B9">
        <w:rPr>
          <w:rFonts w:ascii="Times New Roman" w:hAnsi="Times New Roman"/>
          <w:sz w:val="24"/>
          <w:szCs w:val="24"/>
          <w:lang w:val="en-GB"/>
        </w:rPr>
        <w:t xml:space="preserve">under </w:t>
      </w:r>
      <w:r w:rsidR="003C3D36" w:rsidRPr="009D50B9">
        <w:rPr>
          <w:rFonts w:ascii="Times New Roman" w:hAnsi="Times New Roman"/>
          <w:i/>
          <w:iCs/>
          <w:sz w:val="24"/>
          <w:szCs w:val="24"/>
          <w:lang w:val="en-GB"/>
        </w:rPr>
        <w:t>in vitro</w:t>
      </w:r>
      <w:r w:rsidR="003C3D36" w:rsidRPr="009D50B9">
        <w:rPr>
          <w:rFonts w:ascii="Times New Roman" w:hAnsi="Times New Roman"/>
          <w:sz w:val="24"/>
          <w:szCs w:val="24"/>
          <w:lang w:val="en-GB"/>
        </w:rPr>
        <w:t xml:space="preserve">. </w:t>
      </w:r>
      <w:r w:rsidRPr="009D50B9">
        <w:rPr>
          <w:rFonts w:ascii="Times New Roman" w:hAnsi="Times New Roman"/>
          <w:sz w:val="24"/>
          <w:szCs w:val="24"/>
        </w:rPr>
        <w:t xml:space="preserve">The present study aimed to explore the potential of biosurfactant producing bacteria in managing </w:t>
      </w:r>
      <w:r w:rsidRPr="009D50B9">
        <w:rPr>
          <w:rFonts w:ascii="Times New Roman" w:hAnsi="Times New Roman"/>
          <w:i/>
          <w:iCs/>
          <w:sz w:val="24"/>
          <w:szCs w:val="24"/>
        </w:rPr>
        <w:t>Pyricularia</w:t>
      </w:r>
      <w:r w:rsidRPr="009D50B9">
        <w:rPr>
          <w:rFonts w:ascii="Times New Roman" w:hAnsi="Times New Roman"/>
          <w:sz w:val="24"/>
          <w:szCs w:val="24"/>
        </w:rPr>
        <w:t xml:space="preserve"> </w:t>
      </w:r>
      <w:r w:rsidRPr="009D50B9">
        <w:rPr>
          <w:rFonts w:ascii="Times New Roman" w:hAnsi="Times New Roman"/>
          <w:i/>
          <w:iCs/>
          <w:sz w:val="24"/>
          <w:szCs w:val="24"/>
        </w:rPr>
        <w:t>grisea</w:t>
      </w:r>
      <w:r w:rsidRPr="009D50B9">
        <w:rPr>
          <w:rFonts w:ascii="Times New Roman" w:hAnsi="Times New Roman"/>
          <w:sz w:val="24"/>
          <w:szCs w:val="24"/>
        </w:rPr>
        <w:t>, the causative agent of blast disease in finger millet (</w:t>
      </w:r>
      <w:r w:rsidRPr="009D50B9">
        <w:rPr>
          <w:rFonts w:ascii="Times New Roman" w:hAnsi="Times New Roman"/>
          <w:i/>
          <w:iCs/>
          <w:sz w:val="24"/>
          <w:szCs w:val="24"/>
        </w:rPr>
        <w:t>Eleusine coracana</w:t>
      </w:r>
      <w:r w:rsidRPr="009D50B9">
        <w:rPr>
          <w:rFonts w:ascii="Times New Roman" w:hAnsi="Times New Roman"/>
          <w:sz w:val="24"/>
          <w:szCs w:val="24"/>
        </w:rPr>
        <w:t>),</w:t>
      </w:r>
      <w:r w:rsidR="006137B6" w:rsidRPr="009D50B9">
        <w:rPr>
          <w:rFonts w:ascii="Times New Roman" w:hAnsi="Times New Roman"/>
          <w:sz w:val="24"/>
          <w:szCs w:val="24"/>
        </w:rPr>
        <w:t xml:space="preserve"> t</w:t>
      </w:r>
      <w:r w:rsidRPr="009D50B9">
        <w:rPr>
          <w:rFonts w:ascii="Times New Roman" w:hAnsi="Times New Roman"/>
          <w:sz w:val="24"/>
          <w:szCs w:val="24"/>
        </w:rPr>
        <w:t xml:space="preserve">he results obtained from various </w:t>
      </w:r>
      <w:r w:rsidRPr="009D50B9">
        <w:rPr>
          <w:rFonts w:ascii="Times New Roman" w:hAnsi="Times New Roman"/>
          <w:i/>
          <w:iCs/>
          <w:sz w:val="24"/>
          <w:szCs w:val="24"/>
        </w:rPr>
        <w:t>in vitro</w:t>
      </w:r>
      <w:r w:rsidRPr="009D50B9">
        <w:rPr>
          <w:rFonts w:ascii="Times New Roman" w:hAnsi="Times New Roman"/>
          <w:sz w:val="24"/>
          <w:szCs w:val="24"/>
        </w:rPr>
        <w:t xml:space="preserve"> experiments were analyzed, critically interpreted and presente</w:t>
      </w:r>
      <w:r w:rsidR="003C3D36" w:rsidRPr="009D50B9">
        <w:rPr>
          <w:rFonts w:ascii="Times New Roman" w:hAnsi="Times New Roman"/>
          <w:sz w:val="24"/>
          <w:szCs w:val="24"/>
        </w:rPr>
        <w:t>d</w:t>
      </w:r>
      <w:r w:rsidRPr="009D50B9">
        <w:rPr>
          <w:rFonts w:ascii="Times New Roman" w:hAnsi="Times New Roman"/>
          <w:sz w:val="24"/>
          <w:szCs w:val="24"/>
        </w:rPr>
        <w:t>.</w:t>
      </w:r>
      <w:r w:rsidR="002C4A22" w:rsidRPr="009D50B9">
        <w:rPr>
          <w:rFonts w:ascii="Times New Roman" w:hAnsi="Times New Roman"/>
          <w:sz w:val="24"/>
          <w:szCs w:val="24"/>
        </w:rPr>
        <w:t xml:space="preserve"> </w:t>
      </w:r>
    </w:p>
    <w:p w14:paraId="7E73E3B6" w14:textId="6DAE2037" w:rsidR="00A03835" w:rsidRPr="009D50B9" w:rsidRDefault="003F001A" w:rsidP="003F50A0">
      <w:pPr>
        <w:autoSpaceDE w:val="0"/>
        <w:autoSpaceDN w:val="0"/>
        <w:adjustRightInd w:val="0"/>
        <w:spacing w:after="0" w:line="360" w:lineRule="auto"/>
        <w:jc w:val="both"/>
        <w:rPr>
          <w:rFonts w:ascii="Times New Roman" w:hAnsi="Times New Roman"/>
          <w:b/>
          <w:bCs/>
          <w:sz w:val="24"/>
          <w:szCs w:val="24"/>
        </w:rPr>
      </w:pPr>
      <w:r w:rsidRPr="009D50B9">
        <w:rPr>
          <w:rFonts w:ascii="Times New Roman" w:hAnsi="Times New Roman"/>
          <w:b/>
          <w:iCs/>
          <w:sz w:val="24"/>
          <w:szCs w:val="24"/>
        </w:rPr>
        <w:t>3.1</w:t>
      </w:r>
      <w:r w:rsidRPr="009D50B9">
        <w:rPr>
          <w:rFonts w:ascii="Times New Roman" w:hAnsi="Times New Roman"/>
          <w:b/>
          <w:i/>
          <w:sz w:val="24"/>
          <w:szCs w:val="24"/>
        </w:rPr>
        <w:t xml:space="preserve"> </w:t>
      </w:r>
      <w:r w:rsidR="00A03835" w:rsidRPr="009D50B9">
        <w:rPr>
          <w:rFonts w:ascii="Times New Roman" w:hAnsi="Times New Roman"/>
          <w:b/>
          <w:i/>
          <w:sz w:val="24"/>
          <w:szCs w:val="24"/>
        </w:rPr>
        <w:t>In vitro</w:t>
      </w:r>
      <w:r w:rsidR="00A03835" w:rsidRPr="009D50B9">
        <w:rPr>
          <w:rFonts w:ascii="Times New Roman" w:hAnsi="Times New Roman"/>
          <w:b/>
          <w:sz w:val="24"/>
          <w:szCs w:val="24"/>
        </w:rPr>
        <w:t xml:space="preserve"> solubilization of inorganic phosphate</w:t>
      </w:r>
    </w:p>
    <w:p w14:paraId="27372BCC" w14:textId="0181E270" w:rsidR="00BB7E85" w:rsidRDefault="00F202EC" w:rsidP="003F50A0">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w:t>
      </w:r>
      <w:r w:rsidR="00A03835" w:rsidRPr="009D50B9">
        <w:rPr>
          <w:rFonts w:ascii="Times New Roman" w:hAnsi="Times New Roman"/>
          <w:sz w:val="24"/>
          <w:szCs w:val="24"/>
        </w:rPr>
        <w:t>Phosphorus (P) is abundant in soil and is essential for plant growth and development, however, it is easily rendered insoluble in complexes of different types of phosphates, which may lead to P deficiency. Therefore, increases in the amount of P released from phosphate minerals using microbial inoculants is an important aspect of agriculture</w:t>
      </w:r>
      <w:r>
        <w:rPr>
          <w:rFonts w:ascii="Times New Roman" w:hAnsi="Times New Roman"/>
          <w:sz w:val="24"/>
          <w:szCs w:val="24"/>
        </w:rPr>
        <w:t>”</w:t>
      </w:r>
      <w:r w:rsidR="00A03835" w:rsidRPr="009D50B9">
        <w:rPr>
          <w:rFonts w:ascii="Times New Roman" w:hAnsi="Times New Roman"/>
          <w:sz w:val="24"/>
          <w:szCs w:val="24"/>
        </w:rPr>
        <w:t xml:space="preserve"> (Damo </w:t>
      </w:r>
      <w:r w:rsidR="00A03835" w:rsidRPr="009D50B9">
        <w:rPr>
          <w:rFonts w:ascii="Times New Roman" w:hAnsi="Times New Roman"/>
          <w:i/>
          <w:iCs/>
          <w:sz w:val="24"/>
          <w:szCs w:val="24"/>
        </w:rPr>
        <w:t>et al.</w:t>
      </w:r>
      <w:r w:rsidR="00A03835" w:rsidRPr="009D50B9">
        <w:rPr>
          <w:rFonts w:ascii="Times New Roman" w:hAnsi="Times New Roman"/>
          <w:sz w:val="24"/>
          <w:szCs w:val="24"/>
        </w:rPr>
        <w:t xml:space="preserve"> 2022).  The plant growth promoting (PGP) potential of bacterial strains was assessed through formation of halo zone</w:t>
      </w:r>
      <w:r w:rsidR="00412D9A" w:rsidRPr="009D50B9">
        <w:rPr>
          <w:rFonts w:ascii="Times New Roman" w:hAnsi="Times New Roman"/>
          <w:sz w:val="24"/>
          <w:szCs w:val="24"/>
        </w:rPr>
        <w:t xml:space="preserve"> </w:t>
      </w:r>
      <w:r w:rsidR="00A03835" w:rsidRPr="009D50B9">
        <w:rPr>
          <w:rFonts w:ascii="Times New Roman" w:hAnsi="Times New Roman"/>
          <w:sz w:val="24"/>
          <w:szCs w:val="24"/>
        </w:rPr>
        <w:t xml:space="preserve">and the strains which showed positive results were evaluated quantitatively for phosphate solubilization (Table </w:t>
      </w:r>
      <w:r w:rsidR="00AF1F81" w:rsidRPr="009D50B9">
        <w:rPr>
          <w:rFonts w:ascii="Times New Roman" w:hAnsi="Times New Roman"/>
          <w:sz w:val="24"/>
          <w:szCs w:val="24"/>
        </w:rPr>
        <w:t>1</w:t>
      </w:r>
      <w:r w:rsidR="004D2563" w:rsidRPr="009D50B9">
        <w:rPr>
          <w:rFonts w:ascii="Times New Roman" w:hAnsi="Times New Roman"/>
          <w:sz w:val="24"/>
          <w:szCs w:val="24"/>
        </w:rPr>
        <w:t>; Plate 1</w:t>
      </w:r>
      <w:r w:rsidR="00A03835" w:rsidRPr="009D50B9">
        <w:rPr>
          <w:rFonts w:ascii="Times New Roman" w:hAnsi="Times New Roman"/>
          <w:sz w:val="24"/>
          <w:szCs w:val="24"/>
        </w:rPr>
        <w:t xml:space="preserve">).  </w:t>
      </w:r>
    </w:p>
    <w:p w14:paraId="53CB8CDD" w14:textId="42E7D3C1" w:rsidR="00A74B2B" w:rsidRDefault="00A74B2B" w:rsidP="003F50A0">
      <w:pPr>
        <w:autoSpaceDE w:val="0"/>
        <w:autoSpaceDN w:val="0"/>
        <w:adjustRightInd w:val="0"/>
        <w:spacing w:after="0" w:line="360" w:lineRule="auto"/>
        <w:ind w:firstLine="720"/>
        <w:jc w:val="both"/>
        <w:rPr>
          <w:rFonts w:ascii="Times New Roman" w:hAnsi="Times New Roman"/>
          <w:sz w:val="24"/>
          <w:szCs w:val="24"/>
        </w:rPr>
      </w:pPr>
    </w:p>
    <w:p w14:paraId="52B358F2" w14:textId="77777777" w:rsidR="00A74B2B" w:rsidRPr="009D50B9" w:rsidRDefault="00A74B2B" w:rsidP="003F50A0">
      <w:pPr>
        <w:autoSpaceDE w:val="0"/>
        <w:autoSpaceDN w:val="0"/>
        <w:adjustRightInd w:val="0"/>
        <w:spacing w:after="0" w:line="360" w:lineRule="auto"/>
        <w:ind w:firstLine="720"/>
        <w:jc w:val="both"/>
        <w:rPr>
          <w:rFonts w:ascii="Times New Roman" w:hAnsi="Times New Roman"/>
          <w:sz w:val="24"/>
          <w:szCs w:val="24"/>
        </w:rPr>
      </w:pPr>
    </w:p>
    <w:p w14:paraId="1A83FC54" w14:textId="7A627B6A" w:rsidR="00A03835" w:rsidRPr="009D50B9" w:rsidRDefault="00A03835" w:rsidP="001A79BC">
      <w:pPr>
        <w:autoSpaceDE w:val="0"/>
        <w:autoSpaceDN w:val="0"/>
        <w:adjustRightInd w:val="0"/>
        <w:spacing w:after="0" w:line="276" w:lineRule="auto"/>
        <w:ind w:left="1080" w:hanging="1080"/>
        <w:jc w:val="both"/>
        <w:rPr>
          <w:rFonts w:ascii="Times New Roman" w:hAnsi="Times New Roman"/>
          <w:b/>
          <w:bCs/>
          <w:sz w:val="24"/>
          <w:szCs w:val="24"/>
        </w:rPr>
      </w:pPr>
      <w:r w:rsidRPr="009D50B9">
        <w:rPr>
          <w:rFonts w:ascii="Times New Roman" w:hAnsi="Times New Roman"/>
          <w:b/>
          <w:bCs/>
          <w:sz w:val="24"/>
          <w:szCs w:val="24"/>
        </w:rPr>
        <w:lastRenderedPageBreak/>
        <w:t xml:space="preserve">Table </w:t>
      </w:r>
      <w:r w:rsidR="00BF5302" w:rsidRPr="009D50B9">
        <w:rPr>
          <w:rFonts w:ascii="Times New Roman" w:hAnsi="Times New Roman"/>
          <w:b/>
          <w:bCs/>
          <w:sz w:val="24"/>
          <w:szCs w:val="24"/>
        </w:rPr>
        <w:t>1</w:t>
      </w:r>
      <w:r w:rsidRPr="009D50B9">
        <w:rPr>
          <w:rFonts w:ascii="Times New Roman" w:hAnsi="Times New Roman"/>
          <w:b/>
          <w:bCs/>
          <w:sz w:val="24"/>
          <w:szCs w:val="24"/>
        </w:rPr>
        <w:t xml:space="preserve">: Quantitative estimation of plant growth promoting traits of biosurfactant producing bacterial </w:t>
      </w:r>
      <w:r w:rsidR="004D23D3" w:rsidRPr="004D23D3">
        <w:rPr>
          <w:rFonts w:ascii="Times New Roman" w:hAnsi="Times New Roman"/>
          <w:b/>
          <w:bCs/>
          <w:sz w:val="24"/>
          <w:szCs w:val="24"/>
        </w:rPr>
        <w:t>isolates</w:t>
      </w:r>
    </w:p>
    <w:tbl>
      <w:tblPr>
        <w:tblStyle w:val="TableGrid1"/>
        <w:tblW w:w="5000" w:type="pct"/>
        <w:tblLook w:val="04A0" w:firstRow="1" w:lastRow="0" w:firstColumn="1" w:lastColumn="0" w:noHBand="0" w:noVBand="1"/>
      </w:tblPr>
      <w:tblGrid>
        <w:gridCol w:w="2546"/>
        <w:gridCol w:w="3545"/>
        <w:gridCol w:w="2925"/>
      </w:tblGrid>
      <w:tr w:rsidR="009D50B9" w:rsidRPr="009D50B9" w14:paraId="2F0F947C" w14:textId="77777777" w:rsidTr="000619A4">
        <w:trPr>
          <w:trHeight w:val="20"/>
        </w:trPr>
        <w:tc>
          <w:tcPr>
            <w:tcW w:w="1412" w:type="pct"/>
            <w:vAlign w:val="center"/>
          </w:tcPr>
          <w:p w14:paraId="5473D671"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b/>
                <w:bCs/>
                <w:sz w:val="24"/>
                <w:szCs w:val="24"/>
              </w:rPr>
              <w:t>Isolates</w:t>
            </w:r>
          </w:p>
        </w:tc>
        <w:tc>
          <w:tcPr>
            <w:tcW w:w="1966" w:type="pct"/>
            <w:vAlign w:val="center"/>
          </w:tcPr>
          <w:p w14:paraId="5DEC92A5" w14:textId="0AD3F55A"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b/>
                <w:bCs/>
                <w:sz w:val="24"/>
                <w:szCs w:val="24"/>
              </w:rPr>
              <w:t xml:space="preserve">Phosphate </w:t>
            </w:r>
            <w:r w:rsidR="000619A4" w:rsidRPr="009D50B9">
              <w:rPr>
                <w:rFonts w:ascii="Times New Roman" w:hAnsi="Times New Roman"/>
                <w:b/>
                <w:bCs/>
                <w:sz w:val="24"/>
                <w:szCs w:val="24"/>
              </w:rPr>
              <w:t xml:space="preserve">solubilization </w:t>
            </w:r>
            <w:r w:rsidRPr="009D50B9">
              <w:rPr>
                <w:rFonts w:ascii="Times New Roman" w:hAnsi="Times New Roman"/>
                <w:b/>
                <w:bCs/>
                <w:sz w:val="24"/>
                <w:szCs w:val="24"/>
              </w:rPr>
              <w:t>(mg/L)</w:t>
            </w:r>
          </w:p>
        </w:tc>
        <w:tc>
          <w:tcPr>
            <w:tcW w:w="1622" w:type="pct"/>
            <w:vAlign w:val="center"/>
          </w:tcPr>
          <w:p w14:paraId="64872126" w14:textId="1EAFAEE6" w:rsidR="000E654A" w:rsidRPr="009D50B9" w:rsidRDefault="000E654A" w:rsidP="004F1B4A">
            <w:pPr>
              <w:spacing w:line="276" w:lineRule="auto"/>
              <w:jc w:val="center"/>
              <w:rPr>
                <w:rFonts w:ascii="Times New Roman" w:hAnsi="Times New Roman"/>
                <w:b/>
                <w:bCs/>
                <w:sz w:val="24"/>
                <w:szCs w:val="24"/>
                <w:lang w:val="sv-SE"/>
              </w:rPr>
            </w:pPr>
            <w:r w:rsidRPr="009D50B9">
              <w:rPr>
                <w:rFonts w:ascii="Times New Roman" w:hAnsi="Times New Roman"/>
                <w:b/>
                <w:bCs/>
                <w:sz w:val="24"/>
                <w:szCs w:val="24"/>
                <w:lang w:val="sv-SE"/>
              </w:rPr>
              <w:t xml:space="preserve">K </w:t>
            </w:r>
            <w:r w:rsidR="000619A4" w:rsidRPr="009D50B9">
              <w:rPr>
                <w:rFonts w:ascii="Times New Roman" w:hAnsi="Times New Roman"/>
                <w:b/>
                <w:bCs/>
                <w:sz w:val="24"/>
                <w:szCs w:val="24"/>
                <w:lang w:val="sv-SE"/>
              </w:rPr>
              <w:t xml:space="preserve">solubilization </w:t>
            </w:r>
            <w:r w:rsidRPr="009D50B9">
              <w:rPr>
                <w:rFonts w:ascii="Times New Roman" w:hAnsi="Times New Roman"/>
                <w:b/>
                <w:bCs/>
                <w:sz w:val="24"/>
                <w:szCs w:val="24"/>
                <w:lang w:val="sv-SE"/>
              </w:rPr>
              <w:t>(mg/L)</w:t>
            </w:r>
          </w:p>
        </w:tc>
      </w:tr>
      <w:tr w:rsidR="009D50B9" w:rsidRPr="009D50B9" w14:paraId="3071DC8C" w14:textId="77777777" w:rsidTr="000619A4">
        <w:trPr>
          <w:trHeight w:val="20"/>
        </w:trPr>
        <w:tc>
          <w:tcPr>
            <w:tcW w:w="1412" w:type="pct"/>
          </w:tcPr>
          <w:p w14:paraId="03C01F2F" w14:textId="77777777" w:rsidR="000E654A" w:rsidRPr="009D50B9" w:rsidRDefault="000E654A" w:rsidP="004F1B4A">
            <w:pPr>
              <w:spacing w:line="276" w:lineRule="auto"/>
              <w:rPr>
                <w:rFonts w:ascii="Times New Roman" w:hAnsi="Times New Roman"/>
                <w:b/>
                <w:bCs/>
                <w:sz w:val="24"/>
                <w:szCs w:val="24"/>
              </w:rPr>
            </w:pPr>
            <w:r w:rsidRPr="009D50B9">
              <w:rPr>
                <w:rFonts w:ascii="Times New Roman" w:hAnsi="Times New Roman"/>
                <w:sz w:val="24"/>
                <w:szCs w:val="24"/>
              </w:rPr>
              <w:t>Control</w:t>
            </w:r>
          </w:p>
        </w:tc>
        <w:tc>
          <w:tcPr>
            <w:tcW w:w="1966" w:type="pct"/>
            <w:vAlign w:val="center"/>
          </w:tcPr>
          <w:p w14:paraId="49544EDC"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0.42</w:t>
            </w:r>
            <w:r w:rsidRPr="009D50B9">
              <w:rPr>
                <w:rFonts w:ascii="Times New Roman" w:hAnsi="Times New Roman"/>
                <w:sz w:val="24"/>
                <w:szCs w:val="24"/>
                <w:vertAlign w:val="superscript"/>
              </w:rPr>
              <w:t>f</w:t>
            </w:r>
          </w:p>
        </w:tc>
        <w:tc>
          <w:tcPr>
            <w:tcW w:w="1622" w:type="pct"/>
            <w:vAlign w:val="center"/>
          </w:tcPr>
          <w:p w14:paraId="4B5FACB8"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0.14</w:t>
            </w:r>
            <w:r w:rsidRPr="009D50B9">
              <w:rPr>
                <w:rFonts w:ascii="Times New Roman" w:hAnsi="Times New Roman"/>
                <w:sz w:val="24"/>
                <w:szCs w:val="24"/>
                <w:vertAlign w:val="superscript"/>
              </w:rPr>
              <w:t>d</w:t>
            </w:r>
          </w:p>
        </w:tc>
      </w:tr>
      <w:tr w:rsidR="009D50B9" w:rsidRPr="009D50B9" w14:paraId="67CA5850" w14:textId="77777777" w:rsidTr="000619A4">
        <w:trPr>
          <w:trHeight w:val="20"/>
        </w:trPr>
        <w:tc>
          <w:tcPr>
            <w:tcW w:w="1412" w:type="pct"/>
          </w:tcPr>
          <w:p w14:paraId="1B26A833" w14:textId="0EB14BCD" w:rsidR="000E654A" w:rsidRPr="009D50B9" w:rsidRDefault="000E654A" w:rsidP="004F1B4A">
            <w:pPr>
              <w:spacing w:line="276" w:lineRule="auto"/>
              <w:rPr>
                <w:rFonts w:ascii="Times New Roman" w:hAnsi="Times New Roman"/>
                <w:b/>
                <w:bCs/>
                <w:sz w:val="24"/>
                <w:szCs w:val="24"/>
              </w:rPr>
            </w:pPr>
            <w:r w:rsidRPr="009D50B9">
              <w:rPr>
                <w:rFonts w:ascii="Times New Roman" w:hAnsi="Times New Roman"/>
                <w:sz w:val="24"/>
                <w:szCs w:val="24"/>
              </w:rPr>
              <w:t>BSB</w:t>
            </w:r>
            <w:r w:rsidR="000619A4" w:rsidRPr="009D50B9">
              <w:rPr>
                <w:rFonts w:ascii="Times New Roman" w:hAnsi="Times New Roman"/>
                <w:sz w:val="24"/>
                <w:szCs w:val="24"/>
              </w:rPr>
              <w:t>-2</w:t>
            </w:r>
          </w:p>
        </w:tc>
        <w:tc>
          <w:tcPr>
            <w:tcW w:w="1966" w:type="pct"/>
            <w:vAlign w:val="center"/>
          </w:tcPr>
          <w:p w14:paraId="2C21BE2C"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1.55</w:t>
            </w:r>
            <w:r w:rsidRPr="009D50B9">
              <w:rPr>
                <w:rFonts w:ascii="Times New Roman" w:hAnsi="Times New Roman"/>
                <w:sz w:val="24"/>
                <w:szCs w:val="24"/>
                <w:vertAlign w:val="superscript"/>
              </w:rPr>
              <w:t>a</w:t>
            </w:r>
          </w:p>
        </w:tc>
        <w:tc>
          <w:tcPr>
            <w:tcW w:w="1622" w:type="pct"/>
            <w:vAlign w:val="center"/>
          </w:tcPr>
          <w:p w14:paraId="22EC8C2D"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2.66</w:t>
            </w:r>
            <w:r w:rsidRPr="009D50B9">
              <w:rPr>
                <w:rFonts w:ascii="Times New Roman" w:hAnsi="Times New Roman"/>
                <w:sz w:val="24"/>
                <w:szCs w:val="24"/>
                <w:vertAlign w:val="superscript"/>
              </w:rPr>
              <w:t>a</w:t>
            </w:r>
          </w:p>
        </w:tc>
      </w:tr>
      <w:tr w:rsidR="009D50B9" w:rsidRPr="009D50B9" w14:paraId="0FC8277A" w14:textId="77777777" w:rsidTr="000619A4">
        <w:trPr>
          <w:trHeight w:val="20"/>
        </w:trPr>
        <w:tc>
          <w:tcPr>
            <w:tcW w:w="1412" w:type="pct"/>
          </w:tcPr>
          <w:p w14:paraId="58AAD738" w14:textId="42B5BA75" w:rsidR="000E654A" w:rsidRPr="009D50B9" w:rsidRDefault="000E654A" w:rsidP="004F1B4A">
            <w:pPr>
              <w:spacing w:line="276" w:lineRule="auto"/>
              <w:rPr>
                <w:rFonts w:ascii="Times New Roman" w:hAnsi="Times New Roman"/>
                <w:b/>
                <w:bCs/>
                <w:sz w:val="24"/>
                <w:szCs w:val="24"/>
              </w:rPr>
            </w:pPr>
            <w:r w:rsidRPr="009D50B9">
              <w:rPr>
                <w:rFonts w:ascii="Times New Roman" w:hAnsi="Times New Roman"/>
                <w:sz w:val="24"/>
                <w:szCs w:val="24"/>
              </w:rPr>
              <w:t>BSB</w:t>
            </w:r>
            <w:r w:rsidR="000619A4" w:rsidRPr="009D50B9">
              <w:rPr>
                <w:rFonts w:ascii="Times New Roman" w:hAnsi="Times New Roman"/>
                <w:sz w:val="24"/>
                <w:szCs w:val="24"/>
              </w:rPr>
              <w:t>-4</w:t>
            </w:r>
            <w:r w:rsidRPr="009D50B9">
              <w:rPr>
                <w:rFonts w:ascii="Times New Roman" w:hAnsi="Times New Roman"/>
                <w:sz w:val="24"/>
                <w:szCs w:val="24"/>
              </w:rPr>
              <w:t xml:space="preserve"> </w:t>
            </w:r>
          </w:p>
        </w:tc>
        <w:tc>
          <w:tcPr>
            <w:tcW w:w="1966" w:type="pct"/>
            <w:vAlign w:val="center"/>
          </w:tcPr>
          <w:p w14:paraId="4092751C"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1.35</w:t>
            </w:r>
            <w:r w:rsidRPr="009D50B9">
              <w:rPr>
                <w:rFonts w:ascii="Times New Roman" w:hAnsi="Times New Roman"/>
                <w:sz w:val="24"/>
                <w:szCs w:val="24"/>
                <w:vertAlign w:val="superscript"/>
              </w:rPr>
              <w:t>c</w:t>
            </w:r>
          </w:p>
        </w:tc>
        <w:tc>
          <w:tcPr>
            <w:tcW w:w="1622" w:type="pct"/>
            <w:vAlign w:val="center"/>
          </w:tcPr>
          <w:p w14:paraId="15238C40"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1.75</w:t>
            </w:r>
            <w:r w:rsidRPr="009D50B9">
              <w:rPr>
                <w:rFonts w:ascii="Times New Roman" w:hAnsi="Times New Roman"/>
                <w:sz w:val="24"/>
                <w:szCs w:val="24"/>
                <w:vertAlign w:val="superscript"/>
              </w:rPr>
              <w:t>b</w:t>
            </w:r>
          </w:p>
        </w:tc>
      </w:tr>
      <w:tr w:rsidR="009D50B9" w:rsidRPr="009D50B9" w14:paraId="7B4771F3" w14:textId="77777777" w:rsidTr="000619A4">
        <w:trPr>
          <w:trHeight w:val="20"/>
        </w:trPr>
        <w:tc>
          <w:tcPr>
            <w:tcW w:w="1412" w:type="pct"/>
          </w:tcPr>
          <w:p w14:paraId="0C9F3DF4" w14:textId="50BF032E" w:rsidR="000E654A" w:rsidRPr="009D50B9" w:rsidRDefault="000E654A" w:rsidP="004F1B4A">
            <w:pPr>
              <w:spacing w:line="276" w:lineRule="auto"/>
              <w:rPr>
                <w:rFonts w:ascii="Times New Roman" w:hAnsi="Times New Roman"/>
                <w:b/>
                <w:bCs/>
                <w:sz w:val="24"/>
                <w:szCs w:val="24"/>
              </w:rPr>
            </w:pPr>
            <w:r w:rsidRPr="009D50B9">
              <w:rPr>
                <w:rFonts w:ascii="Times New Roman" w:hAnsi="Times New Roman"/>
                <w:sz w:val="24"/>
                <w:szCs w:val="24"/>
              </w:rPr>
              <w:t>BSB</w:t>
            </w:r>
            <w:r w:rsidR="000619A4" w:rsidRPr="009D50B9">
              <w:rPr>
                <w:rFonts w:ascii="Times New Roman" w:hAnsi="Times New Roman"/>
                <w:sz w:val="24"/>
                <w:szCs w:val="24"/>
              </w:rPr>
              <w:t>-11</w:t>
            </w:r>
            <w:r w:rsidRPr="009D50B9">
              <w:rPr>
                <w:rFonts w:ascii="Times New Roman" w:hAnsi="Times New Roman"/>
                <w:sz w:val="24"/>
                <w:szCs w:val="24"/>
              </w:rPr>
              <w:t xml:space="preserve"> </w:t>
            </w:r>
          </w:p>
        </w:tc>
        <w:tc>
          <w:tcPr>
            <w:tcW w:w="1966" w:type="pct"/>
            <w:vAlign w:val="center"/>
          </w:tcPr>
          <w:p w14:paraId="47A06F43"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1.21</w:t>
            </w:r>
            <w:r w:rsidRPr="009D50B9">
              <w:rPr>
                <w:rFonts w:ascii="Times New Roman" w:hAnsi="Times New Roman"/>
                <w:sz w:val="24"/>
                <w:szCs w:val="24"/>
                <w:vertAlign w:val="superscript"/>
              </w:rPr>
              <w:t>d</w:t>
            </w:r>
          </w:p>
        </w:tc>
        <w:tc>
          <w:tcPr>
            <w:tcW w:w="1622" w:type="pct"/>
            <w:vAlign w:val="center"/>
          </w:tcPr>
          <w:p w14:paraId="56830443"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0.63</w:t>
            </w:r>
            <w:r w:rsidRPr="009D50B9">
              <w:rPr>
                <w:rFonts w:ascii="Times New Roman" w:hAnsi="Times New Roman"/>
                <w:sz w:val="24"/>
                <w:szCs w:val="24"/>
                <w:vertAlign w:val="superscript"/>
              </w:rPr>
              <w:t>c</w:t>
            </w:r>
          </w:p>
        </w:tc>
      </w:tr>
      <w:tr w:rsidR="009D50B9" w:rsidRPr="009D50B9" w14:paraId="19C638D0" w14:textId="77777777" w:rsidTr="000619A4">
        <w:trPr>
          <w:trHeight w:val="20"/>
        </w:trPr>
        <w:tc>
          <w:tcPr>
            <w:tcW w:w="1412" w:type="pct"/>
          </w:tcPr>
          <w:p w14:paraId="7EEB81E4" w14:textId="4AE9CC09" w:rsidR="000E654A" w:rsidRPr="009D50B9" w:rsidRDefault="000E654A" w:rsidP="004F1B4A">
            <w:pPr>
              <w:spacing w:line="276" w:lineRule="auto"/>
              <w:rPr>
                <w:rFonts w:ascii="Times New Roman" w:hAnsi="Times New Roman"/>
                <w:b/>
                <w:bCs/>
                <w:sz w:val="24"/>
                <w:szCs w:val="24"/>
              </w:rPr>
            </w:pPr>
            <w:r w:rsidRPr="009D50B9">
              <w:rPr>
                <w:rFonts w:ascii="Times New Roman" w:hAnsi="Times New Roman"/>
                <w:sz w:val="24"/>
                <w:szCs w:val="24"/>
              </w:rPr>
              <w:t>BSB</w:t>
            </w:r>
            <w:r w:rsidR="000619A4" w:rsidRPr="009D50B9">
              <w:rPr>
                <w:rFonts w:ascii="Times New Roman" w:hAnsi="Times New Roman"/>
                <w:sz w:val="24"/>
                <w:szCs w:val="24"/>
              </w:rPr>
              <w:t>-41</w:t>
            </w:r>
            <w:r w:rsidRPr="009D50B9">
              <w:rPr>
                <w:rFonts w:ascii="Times New Roman" w:hAnsi="Times New Roman"/>
                <w:sz w:val="24"/>
                <w:szCs w:val="24"/>
              </w:rPr>
              <w:t xml:space="preserve"> </w:t>
            </w:r>
          </w:p>
        </w:tc>
        <w:tc>
          <w:tcPr>
            <w:tcW w:w="1966" w:type="pct"/>
            <w:vAlign w:val="center"/>
          </w:tcPr>
          <w:p w14:paraId="3FF16A11"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1.48</w:t>
            </w:r>
            <w:r w:rsidRPr="009D50B9">
              <w:rPr>
                <w:rFonts w:ascii="Times New Roman" w:hAnsi="Times New Roman"/>
                <w:sz w:val="24"/>
                <w:szCs w:val="24"/>
                <w:vertAlign w:val="superscript"/>
              </w:rPr>
              <w:t>b</w:t>
            </w:r>
          </w:p>
        </w:tc>
        <w:tc>
          <w:tcPr>
            <w:tcW w:w="1622" w:type="pct"/>
            <w:vAlign w:val="center"/>
          </w:tcPr>
          <w:p w14:paraId="3EB751B4"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2.43</w:t>
            </w:r>
            <w:r w:rsidRPr="009D50B9">
              <w:rPr>
                <w:rFonts w:ascii="Times New Roman" w:hAnsi="Times New Roman"/>
                <w:sz w:val="24"/>
                <w:szCs w:val="24"/>
                <w:vertAlign w:val="superscript"/>
              </w:rPr>
              <w:t>a</w:t>
            </w:r>
          </w:p>
        </w:tc>
      </w:tr>
      <w:tr w:rsidR="009D50B9" w:rsidRPr="009D50B9" w14:paraId="0DFFEEB8" w14:textId="77777777" w:rsidTr="000619A4">
        <w:trPr>
          <w:trHeight w:val="20"/>
        </w:trPr>
        <w:tc>
          <w:tcPr>
            <w:tcW w:w="1412" w:type="pct"/>
          </w:tcPr>
          <w:p w14:paraId="647E55E8" w14:textId="4F882AAA" w:rsidR="000E654A" w:rsidRPr="009D50B9" w:rsidRDefault="000E654A" w:rsidP="004F1B4A">
            <w:pPr>
              <w:spacing w:line="276" w:lineRule="auto"/>
              <w:rPr>
                <w:rFonts w:ascii="Times New Roman" w:hAnsi="Times New Roman"/>
                <w:b/>
                <w:bCs/>
                <w:sz w:val="24"/>
                <w:szCs w:val="24"/>
              </w:rPr>
            </w:pPr>
            <w:bookmarkStart w:id="4" w:name="_Hlk213192389"/>
            <w:r w:rsidRPr="009D50B9">
              <w:rPr>
                <w:rFonts w:ascii="Times New Roman" w:hAnsi="Times New Roman"/>
                <w:sz w:val="24"/>
                <w:szCs w:val="24"/>
              </w:rPr>
              <w:t>BSR</w:t>
            </w:r>
            <w:r w:rsidR="000619A4" w:rsidRPr="009D50B9">
              <w:rPr>
                <w:rFonts w:ascii="Times New Roman" w:hAnsi="Times New Roman"/>
                <w:sz w:val="24"/>
                <w:szCs w:val="24"/>
              </w:rPr>
              <w:t>-51</w:t>
            </w:r>
            <w:bookmarkEnd w:id="4"/>
          </w:p>
        </w:tc>
        <w:tc>
          <w:tcPr>
            <w:tcW w:w="1966" w:type="pct"/>
            <w:vAlign w:val="center"/>
          </w:tcPr>
          <w:p w14:paraId="275890AE"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1.31</w:t>
            </w:r>
            <w:r w:rsidRPr="009D50B9">
              <w:rPr>
                <w:rFonts w:ascii="Times New Roman" w:hAnsi="Times New Roman"/>
                <w:sz w:val="24"/>
                <w:szCs w:val="24"/>
                <w:vertAlign w:val="superscript"/>
              </w:rPr>
              <w:t>c</w:t>
            </w:r>
          </w:p>
        </w:tc>
        <w:tc>
          <w:tcPr>
            <w:tcW w:w="1622" w:type="pct"/>
            <w:vAlign w:val="center"/>
          </w:tcPr>
          <w:p w14:paraId="749EDFE3"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2.00</w:t>
            </w:r>
            <w:r w:rsidRPr="009D50B9">
              <w:rPr>
                <w:rFonts w:ascii="Times New Roman" w:hAnsi="Times New Roman"/>
                <w:sz w:val="24"/>
                <w:szCs w:val="24"/>
                <w:vertAlign w:val="superscript"/>
              </w:rPr>
              <w:t>b</w:t>
            </w:r>
          </w:p>
        </w:tc>
      </w:tr>
      <w:tr w:rsidR="009D50B9" w:rsidRPr="009D50B9" w14:paraId="34FAB437" w14:textId="77777777" w:rsidTr="000619A4">
        <w:trPr>
          <w:trHeight w:val="20"/>
        </w:trPr>
        <w:tc>
          <w:tcPr>
            <w:tcW w:w="1412" w:type="pct"/>
          </w:tcPr>
          <w:p w14:paraId="2E75C802" w14:textId="77777777" w:rsidR="000E654A" w:rsidRPr="009D50B9" w:rsidRDefault="000E654A" w:rsidP="004F1B4A">
            <w:pPr>
              <w:spacing w:line="276" w:lineRule="auto"/>
              <w:rPr>
                <w:rFonts w:ascii="Times New Roman" w:hAnsi="Times New Roman"/>
                <w:b/>
                <w:bCs/>
                <w:sz w:val="24"/>
                <w:szCs w:val="24"/>
              </w:rPr>
            </w:pPr>
            <w:r w:rsidRPr="009D50B9">
              <w:rPr>
                <w:rFonts w:ascii="Times New Roman" w:hAnsi="Times New Roman"/>
                <w:i/>
                <w:iCs/>
                <w:sz w:val="24"/>
                <w:szCs w:val="24"/>
              </w:rPr>
              <w:t>Bacillus</w:t>
            </w:r>
            <w:r w:rsidRPr="009D50B9">
              <w:rPr>
                <w:rFonts w:ascii="Times New Roman" w:hAnsi="Times New Roman"/>
                <w:sz w:val="24"/>
                <w:szCs w:val="24"/>
              </w:rPr>
              <w:t xml:space="preserve"> sp. (MCC4316) -Reference</w:t>
            </w:r>
          </w:p>
        </w:tc>
        <w:tc>
          <w:tcPr>
            <w:tcW w:w="1966" w:type="pct"/>
            <w:vAlign w:val="center"/>
          </w:tcPr>
          <w:p w14:paraId="0A647A34" w14:textId="77777777" w:rsidR="000E654A" w:rsidRPr="009D50B9" w:rsidRDefault="000E654A" w:rsidP="004F1B4A">
            <w:pPr>
              <w:spacing w:line="276" w:lineRule="auto"/>
              <w:jc w:val="center"/>
              <w:rPr>
                <w:rFonts w:ascii="Times New Roman" w:hAnsi="Times New Roman"/>
                <w:sz w:val="24"/>
                <w:szCs w:val="24"/>
              </w:rPr>
            </w:pPr>
            <w:r w:rsidRPr="009D50B9">
              <w:rPr>
                <w:rFonts w:ascii="Times New Roman" w:hAnsi="Times New Roman"/>
                <w:sz w:val="24"/>
                <w:szCs w:val="24"/>
              </w:rPr>
              <w:t>1.12</w:t>
            </w:r>
            <w:r w:rsidRPr="009D50B9">
              <w:rPr>
                <w:rFonts w:ascii="Times New Roman" w:hAnsi="Times New Roman"/>
                <w:sz w:val="24"/>
                <w:szCs w:val="24"/>
                <w:vertAlign w:val="superscript"/>
              </w:rPr>
              <w:t>e</w:t>
            </w:r>
          </w:p>
        </w:tc>
        <w:tc>
          <w:tcPr>
            <w:tcW w:w="1622" w:type="pct"/>
            <w:vAlign w:val="center"/>
          </w:tcPr>
          <w:p w14:paraId="5A7E2913" w14:textId="77777777" w:rsidR="000E654A" w:rsidRPr="009D50B9" w:rsidRDefault="000E654A" w:rsidP="004F1B4A">
            <w:pPr>
              <w:spacing w:line="276" w:lineRule="auto"/>
              <w:jc w:val="center"/>
              <w:rPr>
                <w:rFonts w:ascii="Times New Roman" w:hAnsi="Times New Roman"/>
                <w:sz w:val="24"/>
                <w:szCs w:val="24"/>
              </w:rPr>
            </w:pPr>
            <w:r w:rsidRPr="009D50B9">
              <w:rPr>
                <w:rFonts w:ascii="Times New Roman" w:hAnsi="Times New Roman"/>
                <w:sz w:val="24"/>
                <w:szCs w:val="24"/>
              </w:rPr>
              <w:t>0.21</w:t>
            </w:r>
            <w:r w:rsidRPr="009D50B9">
              <w:rPr>
                <w:rFonts w:ascii="Times New Roman" w:hAnsi="Times New Roman"/>
                <w:sz w:val="24"/>
                <w:szCs w:val="24"/>
                <w:vertAlign w:val="superscript"/>
              </w:rPr>
              <w:t>d</w:t>
            </w:r>
          </w:p>
        </w:tc>
      </w:tr>
    </w:tbl>
    <w:p w14:paraId="6D0B2625" w14:textId="77777777" w:rsidR="00740254" w:rsidRPr="009D50B9" w:rsidRDefault="00A03835" w:rsidP="00E35EEA">
      <w:pPr>
        <w:autoSpaceDE w:val="0"/>
        <w:autoSpaceDN w:val="0"/>
        <w:adjustRightInd w:val="0"/>
        <w:spacing w:line="276" w:lineRule="auto"/>
        <w:ind w:left="573" w:hanging="630"/>
        <w:jc w:val="both"/>
        <w:rPr>
          <w:rFonts w:ascii="Times New Roman" w:hAnsi="Times New Roman"/>
          <w:sz w:val="24"/>
          <w:szCs w:val="24"/>
        </w:rPr>
      </w:pPr>
      <w:r w:rsidRPr="009D50B9">
        <w:rPr>
          <w:rFonts w:ascii="Times New Roman" w:hAnsi="Times New Roman"/>
          <w:b/>
          <w:bCs/>
          <w:sz w:val="24"/>
          <w:szCs w:val="24"/>
        </w:rPr>
        <w:t>Note:</w:t>
      </w:r>
      <w:r w:rsidRPr="009D50B9">
        <w:rPr>
          <w:rFonts w:ascii="Times New Roman" w:hAnsi="Times New Roman"/>
          <w:sz w:val="24"/>
          <w:szCs w:val="24"/>
        </w:rPr>
        <w:tab/>
        <w:t>Values are mean (±SE) (n=3) and values followed by the same letter in each column are not significantly different from each other as determined by DMRT (p&gt;0.05). BSB-Biosurfactant producing bacteria isolated from Bengaluru; BSR-Biosurfactant producing bacteria isolated from Raichur.</w:t>
      </w:r>
    </w:p>
    <w:p w14:paraId="25535E1B" w14:textId="7703CB5B" w:rsidR="00113399" w:rsidRPr="00217D9D" w:rsidRDefault="00740254" w:rsidP="00C965A6">
      <w:pPr>
        <w:autoSpaceDE w:val="0"/>
        <w:autoSpaceDN w:val="0"/>
        <w:adjustRightInd w:val="0"/>
        <w:spacing w:line="360" w:lineRule="auto"/>
        <w:ind w:left="-57"/>
        <w:jc w:val="both"/>
        <w:rPr>
          <w:rFonts w:ascii="Times New Roman" w:hAnsi="Times New Roman"/>
          <w:color w:val="00B050"/>
          <w:sz w:val="24"/>
          <w:szCs w:val="24"/>
        </w:rPr>
      </w:pPr>
      <w:r w:rsidRPr="009D50B9">
        <w:rPr>
          <w:rFonts w:ascii="Times New Roman" w:hAnsi="Times New Roman"/>
          <w:i/>
          <w:iCs/>
          <w:sz w:val="24"/>
          <w:szCs w:val="24"/>
        </w:rPr>
        <w:tab/>
      </w:r>
      <w:r w:rsidRPr="009D50B9">
        <w:rPr>
          <w:rFonts w:ascii="Times New Roman" w:hAnsi="Times New Roman"/>
          <w:i/>
          <w:iCs/>
          <w:sz w:val="24"/>
          <w:szCs w:val="24"/>
        </w:rPr>
        <w:tab/>
      </w:r>
      <w:r w:rsidR="00797F40" w:rsidRPr="009D50B9">
        <w:rPr>
          <w:rFonts w:ascii="Times New Roman" w:hAnsi="Times New Roman"/>
          <w:sz w:val="24"/>
          <w:szCs w:val="24"/>
        </w:rPr>
        <w:t>BSB-2</w:t>
      </w:r>
      <w:r w:rsidR="000A02AC" w:rsidRPr="009D50B9">
        <w:rPr>
          <w:rFonts w:ascii="Times New Roman" w:hAnsi="Times New Roman"/>
          <w:sz w:val="24"/>
          <w:szCs w:val="24"/>
        </w:rPr>
        <w:t xml:space="preserve"> exhibited the highest phosphate solubilization activity (1.55 mg/L), significantly outperforming all other strains</w:t>
      </w:r>
      <w:r w:rsidR="00217D9D">
        <w:rPr>
          <w:rFonts w:ascii="Times New Roman" w:hAnsi="Times New Roman"/>
          <w:sz w:val="24"/>
          <w:szCs w:val="24"/>
        </w:rPr>
        <w:t>.</w:t>
      </w:r>
      <w:r w:rsidR="002B37B6">
        <w:t xml:space="preserve"> </w:t>
      </w:r>
      <w:r w:rsidR="00797F40" w:rsidRPr="009D50B9">
        <w:rPr>
          <w:rFonts w:ascii="Times New Roman" w:hAnsi="Times New Roman"/>
          <w:sz w:val="24"/>
          <w:szCs w:val="24"/>
        </w:rPr>
        <w:t xml:space="preserve">BSB-41 </w:t>
      </w:r>
      <w:r w:rsidR="000A02AC" w:rsidRPr="009D50B9">
        <w:rPr>
          <w:rFonts w:ascii="Times New Roman" w:hAnsi="Times New Roman"/>
          <w:sz w:val="24"/>
          <w:szCs w:val="24"/>
        </w:rPr>
        <w:t xml:space="preserve">showed strong solubilization abilities (1.48 mg/L), followed by </w:t>
      </w:r>
      <w:r w:rsidR="00797F40" w:rsidRPr="009D50B9">
        <w:rPr>
          <w:rFonts w:ascii="Times New Roman" w:hAnsi="Times New Roman"/>
          <w:sz w:val="24"/>
          <w:szCs w:val="24"/>
        </w:rPr>
        <w:t xml:space="preserve">BSB-11 </w:t>
      </w:r>
      <w:r w:rsidR="000A02AC" w:rsidRPr="009D50B9">
        <w:rPr>
          <w:rFonts w:ascii="Times New Roman" w:hAnsi="Times New Roman"/>
          <w:sz w:val="24"/>
          <w:szCs w:val="24"/>
        </w:rPr>
        <w:t xml:space="preserve">(1.35 mg/L), respectively. </w:t>
      </w:r>
      <w:r w:rsidR="00797F40" w:rsidRPr="009D50B9">
        <w:rPr>
          <w:rFonts w:ascii="Times New Roman" w:hAnsi="Times New Roman"/>
          <w:sz w:val="24"/>
          <w:szCs w:val="24"/>
        </w:rPr>
        <w:t xml:space="preserve">BSR-51 </w:t>
      </w:r>
      <w:r w:rsidR="000A02AC" w:rsidRPr="009D50B9">
        <w:rPr>
          <w:rFonts w:ascii="Times New Roman" w:hAnsi="Times New Roman"/>
          <w:sz w:val="24"/>
          <w:szCs w:val="24"/>
        </w:rPr>
        <w:t xml:space="preserve">and </w:t>
      </w:r>
      <w:r w:rsidR="00797F40" w:rsidRPr="009D50B9">
        <w:rPr>
          <w:rFonts w:ascii="Times New Roman" w:hAnsi="Times New Roman"/>
          <w:sz w:val="24"/>
          <w:szCs w:val="24"/>
        </w:rPr>
        <w:t xml:space="preserve">BSB-11 </w:t>
      </w:r>
      <w:r w:rsidR="000A02AC" w:rsidRPr="009D50B9">
        <w:rPr>
          <w:rFonts w:ascii="Times New Roman" w:hAnsi="Times New Roman"/>
          <w:sz w:val="24"/>
          <w:szCs w:val="24"/>
        </w:rPr>
        <w:t xml:space="preserve">showed moderate activity with values of 1.31 mg/L and 1.21 mg/L, respectively. </w:t>
      </w:r>
      <w:r w:rsidR="000A02AC" w:rsidRPr="009D50B9">
        <w:rPr>
          <w:rFonts w:ascii="Times New Roman" w:hAnsi="Times New Roman"/>
          <w:i/>
          <w:iCs/>
          <w:sz w:val="24"/>
          <w:szCs w:val="24"/>
        </w:rPr>
        <w:t>Bacillus</w:t>
      </w:r>
      <w:r w:rsidR="000A02AC" w:rsidRPr="009D50B9">
        <w:rPr>
          <w:rFonts w:ascii="Times New Roman" w:hAnsi="Times New Roman"/>
          <w:sz w:val="24"/>
          <w:szCs w:val="24"/>
        </w:rPr>
        <w:t xml:space="preserve"> sp. (MCC4316) had the lowest solubilization among the isolates (1.12 mg/L)</w:t>
      </w:r>
      <w:r w:rsidR="00143129">
        <w:rPr>
          <w:rFonts w:ascii="Times New Roman" w:hAnsi="Times New Roman"/>
          <w:sz w:val="24"/>
          <w:szCs w:val="24"/>
        </w:rPr>
        <w:t>.</w:t>
      </w:r>
      <w:r w:rsidR="000A02AC" w:rsidRPr="009D50B9">
        <w:rPr>
          <w:rFonts w:ascii="Times New Roman" w:hAnsi="Times New Roman"/>
          <w:sz w:val="24"/>
          <w:szCs w:val="24"/>
        </w:rPr>
        <w:t xml:space="preserve"> </w:t>
      </w:r>
      <w:r w:rsidR="00143129" w:rsidRPr="009D50B9">
        <w:rPr>
          <w:rFonts w:ascii="Times New Roman" w:hAnsi="Times New Roman"/>
          <w:sz w:val="24"/>
          <w:szCs w:val="24"/>
        </w:rPr>
        <w:t xml:space="preserve">Control </w:t>
      </w:r>
      <w:r w:rsidR="00143129">
        <w:rPr>
          <w:rFonts w:ascii="Times New Roman" w:hAnsi="Times New Roman"/>
          <w:sz w:val="24"/>
          <w:szCs w:val="24"/>
        </w:rPr>
        <w:t xml:space="preserve">showed </w:t>
      </w:r>
      <w:r w:rsidR="000A02AC" w:rsidRPr="009D50B9">
        <w:rPr>
          <w:rFonts w:ascii="Times New Roman" w:hAnsi="Times New Roman"/>
          <w:sz w:val="24"/>
          <w:szCs w:val="24"/>
        </w:rPr>
        <w:t>(0.42 mg/L)</w:t>
      </w:r>
      <w:r w:rsidR="00143129" w:rsidRPr="00143129">
        <w:t xml:space="preserve"> </w:t>
      </w:r>
      <w:r w:rsidR="00143129" w:rsidRPr="00143129">
        <w:rPr>
          <w:rFonts w:ascii="Times New Roman" w:hAnsi="Times New Roman"/>
          <w:sz w:val="24"/>
          <w:szCs w:val="24"/>
        </w:rPr>
        <w:t>phosphate solubilization activity</w:t>
      </w:r>
      <w:r w:rsidR="00EE4C04">
        <w:rPr>
          <w:rFonts w:ascii="Times New Roman" w:hAnsi="Times New Roman"/>
          <w:sz w:val="24"/>
          <w:szCs w:val="24"/>
        </w:rPr>
        <w:t xml:space="preserve"> which was in accordance the findings of </w:t>
      </w:r>
      <w:r w:rsidR="00EE4C04" w:rsidRPr="00EE4C04">
        <w:rPr>
          <w:rFonts w:ascii="Times New Roman" w:hAnsi="Times New Roman"/>
          <w:sz w:val="24"/>
          <w:szCs w:val="24"/>
        </w:rPr>
        <w:t>Aliyat</w:t>
      </w:r>
      <w:r w:rsidR="00EE4C04">
        <w:rPr>
          <w:rFonts w:ascii="Times New Roman" w:hAnsi="Times New Roman"/>
          <w:sz w:val="24"/>
          <w:szCs w:val="24"/>
        </w:rPr>
        <w:t xml:space="preserve"> </w:t>
      </w:r>
      <w:r w:rsidR="00EE4C04" w:rsidRPr="00EE4C04">
        <w:rPr>
          <w:rFonts w:ascii="Times New Roman" w:hAnsi="Times New Roman"/>
          <w:i/>
          <w:iCs/>
          <w:sz w:val="24"/>
          <w:szCs w:val="24"/>
        </w:rPr>
        <w:t>et al</w:t>
      </w:r>
      <w:r w:rsidR="00EE4C04">
        <w:rPr>
          <w:rFonts w:ascii="Times New Roman" w:hAnsi="Times New Roman"/>
          <w:sz w:val="24"/>
          <w:szCs w:val="24"/>
        </w:rPr>
        <w:t>. (2020)</w:t>
      </w:r>
      <w:r w:rsidR="006D23AF">
        <w:rPr>
          <w:rFonts w:ascii="Times New Roman" w:hAnsi="Times New Roman"/>
          <w:sz w:val="24"/>
          <w:szCs w:val="24"/>
        </w:rPr>
        <w:t xml:space="preserve"> where</w:t>
      </w:r>
      <w:r w:rsidR="006D23AF" w:rsidRPr="006D23AF">
        <w:t xml:space="preserve"> </w:t>
      </w:r>
      <w:r w:rsidR="006D23AF" w:rsidRPr="006D23AF">
        <w:rPr>
          <w:rFonts w:ascii="Times New Roman" w:hAnsi="Times New Roman"/>
          <w:sz w:val="24"/>
          <w:szCs w:val="24"/>
        </w:rPr>
        <w:t>27 strains were isolated on selective medium NBRIP</w:t>
      </w:r>
      <w:r w:rsidR="00390E22">
        <w:rPr>
          <w:rFonts w:ascii="Times New Roman" w:hAnsi="Times New Roman"/>
          <w:sz w:val="24"/>
          <w:szCs w:val="24"/>
        </w:rPr>
        <w:t>,</w:t>
      </w:r>
      <w:r w:rsidR="006D23AF" w:rsidRPr="006D23AF">
        <w:rPr>
          <w:rFonts w:ascii="Times New Roman" w:hAnsi="Times New Roman"/>
          <w:sz w:val="24"/>
          <w:szCs w:val="24"/>
        </w:rPr>
        <w:t xml:space="preserve"> </w:t>
      </w:r>
      <w:r w:rsidR="00390E22" w:rsidRPr="006D23AF">
        <w:rPr>
          <w:rFonts w:ascii="Times New Roman" w:hAnsi="Times New Roman"/>
          <w:sz w:val="24"/>
          <w:szCs w:val="24"/>
        </w:rPr>
        <w:t xml:space="preserve">all </w:t>
      </w:r>
      <w:r w:rsidR="006D23AF">
        <w:rPr>
          <w:rFonts w:ascii="Times New Roman" w:hAnsi="Times New Roman"/>
          <w:sz w:val="24"/>
          <w:szCs w:val="24"/>
        </w:rPr>
        <w:t xml:space="preserve">the strains </w:t>
      </w:r>
      <w:r w:rsidR="006D23AF" w:rsidRPr="006D23AF">
        <w:rPr>
          <w:rFonts w:ascii="Times New Roman" w:hAnsi="Times New Roman"/>
          <w:sz w:val="24"/>
          <w:szCs w:val="24"/>
        </w:rPr>
        <w:t xml:space="preserve">showed significant different abilities to solubilize </w:t>
      </w:r>
      <w:r w:rsidR="00390E22" w:rsidRPr="00390E22">
        <w:rPr>
          <w:rFonts w:ascii="Times New Roman" w:hAnsi="Times New Roman"/>
          <w:sz w:val="24"/>
          <w:szCs w:val="24"/>
        </w:rPr>
        <w:t>phosphate</w:t>
      </w:r>
      <w:r w:rsidR="00C46DA2">
        <w:rPr>
          <w:rFonts w:ascii="Times New Roman" w:hAnsi="Times New Roman"/>
          <w:sz w:val="24"/>
          <w:szCs w:val="24"/>
        </w:rPr>
        <w:t>,</w:t>
      </w:r>
      <w:r w:rsidR="006D23AF" w:rsidRPr="006D23AF">
        <w:rPr>
          <w:rFonts w:ascii="Times New Roman" w:hAnsi="Times New Roman"/>
          <w:sz w:val="24"/>
          <w:szCs w:val="24"/>
        </w:rPr>
        <w:t xml:space="preserve"> BM11 was the most efficient strain in NBRIP liquid medium releasing 174.33μg/ml soluble P</w:t>
      </w:r>
      <w:r w:rsidR="006D23AF">
        <w:rPr>
          <w:rFonts w:ascii="Times New Roman" w:hAnsi="Times New Roman"/>
          <w:sz w:val="24"/>
          <w:szCs w:val="24"/>
        </w:rPr>
        <w:t xml:space="preserve"> and </w:t>
      </w:r>
      <w:r w:rsidR="006D23AF" w:rsidRPr="006D23AF">
        <w:rPr>
          <w:rFonts w:ascii="Times New Roman" w:hAnsi="Times New Roman"/>
          <w:sz w:val="24"/>
          <w:szCs w:val="24"/>
        </w:rPr>
        <w:t xml:space="preserve">in the control, 12±1.6 μg/ml of P was solubilized in the culture medium </w:t>
      </w:r>
      <w:r w:rsidR="000A02AC" w:rsidRPr="009D50B9">
        <w:rPr>
          <w:rFonts w:ascii="Times New Roman" w:hAnsi="Times New Roman"/>
          <w:sz w:val="24"/>
          <w:szCs w:val="24"/>
        </w:rPr>
        <w:t xml:space="preserve">indicating the positive impact of bacterial </w:t>
      </w:r>
      <w:r w:rsidR="006C1DF1" w:rsidRPr="009D50B9">
        <w:rPr>
          <w:rFonts w:ascii="Times New Roman" w:hAnsi="Times New Roman"/>
          <w:sz w:val="24"/>
          <w:szCs w:val="24"/>
        </w:rPr>
        <w:t>inoculation</w:t>
      </w:r>
      <w:r w:rsidR="006C1DF1" w:rsidRPr="006C1DF1">
        <w:t xml:space="preserve">. </w:t>
      </w:r>
      <w:r w:rsidR="006C1DF1" w:rsidRPr="00EE4C04">
        <w:rPr>
          <w:rFonts w:ascii="Times New Roman" w:hAnsi="Times New Roman"/>
          <w:sz w:val="24"/>
          <w:szCs w:val="24"/>
        </w:rPr>
        <w:t>The</w:t>
      </w:r>
      <w:r w:rsidR="006C1DF1" w:rsidRPr="00EE4C04">
        <w:rPr>
          <w:rFonts w:ascii="Times New Roman" w:hAnsi="Times New Roman"/>
          <w:sz w:val="28"/>
          <w:szCs w:val="28"/>
        </w:rPr>
        <w:t xml:space="preserve"> </w:t>
      </w:r>
      <w:r w:rsidR="006C1DF1" w:rsidRPr="006C1DF1">
        <w:rPr>
          <w:rFonts w:ascii="Times New Roman" w:hAnsi="Times New Roman"/>
          <w:sz w:val="24"/>
          <w:szCs w:val="24"/>
        </w:rPr>
        <w:t>molybdate-based colorimetric assay used for phosphate quantification</w:t>
      </w:r>
      <w:r w:rsidR="00EE4C04">
        <w:rPr>
          <w:rFonts w:ascii="Times New Roman" w:hAnsi="Times New Roman"/>
          <w:sz w:val="24"/>
          <w:szCs w:val="24"/>
        </w:rPr>
        <w:t xml:space="preserve"> </w:t>
      </w:r>
      <w:r w:rsidR="006C1DF1" w:rsidRPr="006C1DF1">
        <w:rPr>
          <w:rFonts w:ascii="Times New Roman" w:hAnsi="Times New Roman"/>
          <w:sz w:val="24"/>
          <w:szCs w:val="24"/>
        </w:rPr>
        <w:t>is very sensitive, capable of detecting trace phosphate. Thus, even a small background level becomes measurable.</w:t>
      </w:r>
      <w:r w:rsidRPr="009D50B9">
        <w:rPr>
          <w:rFonts w:ascii="Times New Roman" w:hAnsi="Times New Roman"/>
          <w:sz w:val="24"/>
          <w:szCs w:val="24"/>
        </w:rPr>
        <w:t xml:space="preserve"> </w:t>
      </w:r>
      <w:r w:rsidR="00F202EC">
        <w:rPr>
          <w:rFonts w:ascii="Times New Roman" w:hAnsi="Times New Roman"/>
          <w:sz w:val="24"/>
          <w:szCs w:val="24"/>
        </w:rPr>
        <w:t>“</w:t>
      </w:r>
      <w:r w:rsidR="002B37B6" w:rsidRPr="00A8644C">
        <w:rPr>
          <w:rFonts w:ascii="Times New Roman" w:hAnsi="Times New Roman"/>
          <w:sz w:val="24"/>
          <w:szCs w:val="24"/>
        </w:rPr>
        <w:t>Several phosphate solubilizing microorganisms (PSMs) are reported to play a crucial role in the transformation of insoluble phosphates into soluble phosphorus by the production of phosphatase, phytase, organic acids</w:t>
      </w:r>
      <w:r w:rsidR="002B37B6" w:rsidRPr="00A8644C">
        <w:t xml:space="preserve"> </w:t>
      </w:r>
      <w:r w:rsidR="002B37B6" w:rsidRPr="00A8644C">
        <w:rPr>
          <w:rFonts w:ascii="Times New Roman" w:hAnsi="Times New Roman"/>
          <w:sz w:val="24"/>
          <w:szCs w:val="24"/>
        </w:rPr>
        <w:t>chelation, mineralization, and lowering pH</w:t>
      </w:r>
      <w:r w:rsidR="00F202EC">
        <w:rPr>
          <w:rFonts w:ascii="Times New Roman" w:hAnsi="Times New Roman"/>
          <w:sz w:val="24"/>
          <w:szCs w:val="24"/>
        </w:rPr>
        <w:t>”</w:t>
      </w:r>
      <w:r w:rsidR="002B37B6" w:rsidRPr="00A8644C">
        <w:rPr>
          <w:rFonts w:ascii="Times New Roman" w:hAnsi="Times New Roman"/>
          <w:sz w:val="24"/>
          <w:szCs w:val="24"/>
        </w:rPr>
        <w:t xml:space="preserve"> (</w:t>
      </w:r>
      <w:proofErr w:type="spellStart"/>
      <w:r w:rsidR="002B37B6" w:rsidRPr="00A8644C">
        <w:rPr>
          <w:rFonts w:ascii="Times New Roman" w:hAnsi="Times New Roman"/>
          <w:sz w:val="24"/>
          <w:szCs w:val="24"/>
        </w:rPr>
        <w:t>Kalayu</w:t>
      </w:r>
      <w:proofErr w:type="spellEnd"/>
      <w:r w:rsidR="002B37B6" w:rsidRPr="00A8644C">
        <w:rPr>
          <w:rFonts w:ascii="Times New Roman" w:hAnsi="Times New Roman"/>
          <w:sz w:val="24"/>
          <w:szCs w:val="24"/>
        </w:rPr>
        <w:t xml:space="preserve"> 2019; Xiao </w:t>
      </w:r>
      <w:r w:rsidR="002B37B6" w:rsidRPr="00C965A6">
        <w:rPr>
          <w:rFonts w:ascii="Times New Roman" w:hAnsi="Times New Roman"/>
          <w:i/>
          <w:iCs/>
          <w:sz w:val="24"/>
          <w:szCs w:val="24"/>
        </w:rPr>
        <w:t>et al</w:t>
      </w:r>
      <w:r w:rsidR="002B37B6" w:rsidRPr="00A8644C">
        <w:rPr>
          <w:rFonts w:ascii="Times New Roman" w:hAnsi="Times New Roman"/>
          <w:sz w:val="24"/>
          <w:szCs w:val="24"/>
        </w:rPr>
        <w:t>.</w:t>
      </w:r>
      <w:r w:rsidR="007E75BA">
        <w:rPr>
          <w:rFonts w:ascii="Times New Roman" w:hAnsi="Times New Roman"/>
          <w:sz w:val="24"/>
          <w:szCs w:val="24"/>
        </w:rPr>
        <w:t>,</w:t>
      </w:r>
      <w:r w:rsidR="002B37B6" w:rsidRPr="00A8644C">
        <w:rPr>
          <w:rFonts w:ascii="Times New Roman" w:hAnsi="Times New Roman"/>
          <w:sz w:val="24"/>
          <w:szCs w:val="24"/>
        </w:rPr>
        <w:t xml:space="preserve"> 2020).</w:t>
      </w:r>
    </w:p>
    <w:p w14:paraId="6B02C070" w14:textId="2728D44B" w:rsidR="00113399" w:rsidRPr="009D50B9" w:rsidRDefault="00113399" w:rsidP="00A05880">
      <w:pPr>
        <w:autoSpaceDE w:val="0"/>
        <w:autoSpaceDN w:val="0"/>
        <w:adjustRightInd w:val="0"/>
        <w:spacing w:line="360" w:lineRule="auto"/>
        <w:ind w:left="-57"/>
        <w:jc w:val="both"/>
        <w:rPr>
          <w:rFonts w:ascii="Times New Roman" w:hAnsi="Times New Roman"/>
          <w:sz w:val="24"/>
          <w:szCs w:val="24"/>
        </w:rPr>
      </w:pPr>
      <w:r w:rsidRPr="009D50B9">
        <w:rPr>
          <w:noProof/>
          <w:lang w:val="en-US"/>
        </w:rPr>
        <w:lastRenderedPageBreak/>
        <w:drawing>
          <wp:inline distT="0" distB="0" distL="0" distR="0" wp14:anchorId="4754E56D" wp14:editId="2A1FF5E3">
            <wp:extent cx="5731510" cy="29876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987675"/>
                    </a:xfrm>
                    <a:prstGeom prst="rect">
                      <a:avLst/>
                    </a:prstGeom>
                  </pic:spPr>
                </pic:pic>
              </a:graphicData>
            </a:graphic>
          </wp:inline>
        </w:drawing>
      </w:r>
    </w:p>
    <w:p w14:paraId="6464F804" w14:textId="67584FE3" w:rsidR="00113399" w:rsidRPr="00D6359D" w:rsidRDefault="00113399" w:rsidP="00113399">
      <w:pPr>
        <w:spacing w:after="0" w:line="276" w:lineRule="auto"/>
        <w:ind w:left="990" w:hanging="990"/>
        <w:jc w:val="both"/>
        <w:rPr>
          <w:rFonts w:ascii="Times New Roman" w:hAnsi="Times New Roman"/>
          <w:b/>
          <w:noProof/>
          <w:sz w:val="24"/>
          <w:szCs w:val="24"/>
          <w:lang w:eastAsia="en-IN"/>
        </w:rPr>
      </w:pPr>
      <w:r w:rsidRPr="00D6359D">
        <w:rPr>
          <w:rFonts w:ascii="Times New Roman" w:hAnsi="Times New Roman"/>
          <w:b/>
          <w:noProof/>
          <w:sz w:val="24"/>
          <w:szCs w:val="24"/>
          <w:lang w:eastAsia="en-IN"/>
        </w:rPr>
        <w:t>Plate 1:</w:t>
      </w:r>
      <w:r w:rsidRPr="00D6359D">
        <w:rPr>
          <w:rFonts w:ascii="Times New Roman" w:hAnsi="Times New Roman"/>
          <w:b/>
          <w:noProof/>
          <w:sz w:val="24"/>
          <w:szCs w:val="24"/>
          <w:lang w:eastAsia="en-IN"/>
        </w:rPr>
        <w:tab/>
        <w:t>Phosphate</w:t>
      </w:r>
      <w:r w:rsidRPr="00D6359D">
        <w:rPr>
          <w:rFonts w:ascii="Times New Roman" w:hAnsi="Times New Roman"/>
          <w:b/>
          <w:noProof/>
          <w:sz w:val="24"/>
          <w:szCs w:val="24"/>
          <w:vertAlign w:val="subscript"/>
          <w:lang w:eastAsia="en-IN"/>
        </w:rPr>
        <w:t xml:space="preserve"> </w:t>
      </w:r>
      <w:r w:rsidRPr="00D6359D">
        <w:rPr>
          <w:rFonts w:ascii="Times New Roman" w:hAnsi="Times New Roman"/>
          <w:b/>
          <w:noProof/>
          <w:sz w:val="24"/>
          <w:szCs w:val="24"/>
          <w:lang w:eastAsia="en-IN"/>
        </w:rPr>
        <w:t>solubilization zone produced by biosurfactant producing isolates on Pikovskaya’s agar</w:t>
      </w:r>
      <w:r w:rsidR="00B23EB8" w:rsidRPr="00D6359D">
        <w:rPr>
          <w:rFonts w:ascii="Times New Roman" w:hAnsi="Times New Roman"/>
          <w:b/>
          <w:noProof/>
          <w:sz w:val="24"/>
          <w:szCs w:val="24"/>
          <w:lang w:eastAsia="en-IN"/>
        </w:rPr>
        <w:t xml:space="preserve"> after 7 days </w:t>
      </w:r>
      <w:r w:rsidR="00D6359D">
        <w:rPr>
          <w:rFonts w:ascii="Times New Roman" w:hAnsi="Times New Roman"/>
          <w:b/>
          <w:noProof/>
          <w:sz w:val="24"/>
          <w:szCs w:val="24"/>
          <w:lang w:eastAsia="en-IN"/>
        </w:rPr>
        <w:t>after</w:t>
      </w:r>
      <w:r w:rsidR="00B23EB8" w:rsidRPr="00D6359D">
        <w:rPr>
          <w:rFonts w:ascii="Times New Roman" w:hAnsi="Times New Roman"/>
          <w:b/>
          <w:noProof/>
          <w:sz w:val="24"/>
          <w:szCs w:val="24"/>
          <w:lang w:eastAsia="en-IN"/>
        </w:rPr>
        <w:t xml:space="preserve"> inoculation</w:t>
      </w:r>
    </w:p>
    <w:p w14:paraId="693BE9DC" w14:textId="2E4637D2" w:rsidR="003770D5" w:rsidRPr="00F925BF" w:rsidRDefault="00113399" w:rsidP="00270ACB">
      <w:pPr>
        <w:spacing w:after="0" w:line="360" w:lineRule="auto"/>
        <w:jc w:val="both"/>
        <w:rPr>
          <w:rFonts w:ascii="Times New Roman" w:hAnsi="Times New Roman"/>
          <w:color w:val="000000" w:themeColor="text1"/>
          <w:sz w:val="24"/>
          <w:szCs w:val="24"/>
        </w:rPr>
      </w:pPr>
      <w:r w:rsidRPr="009D50B9">
        <w:rPr>
          <w:rFonts w:ascii="Times New Roman" w:hAnsi="Times New Roman"/>
          <w:sz w:val="24"/>
          <w:szCs w:val="24"/>
        </w:rPr>
        <w:tab/>
        <w:t xml:space="preserve">Similarly, Ravinder </w:t>
      </w:r>
      <w:r w:rsidRPr="009D50B9">
        <w:rPr>
          <w:rFonts w:ascii="Times New Roman" w:hAnsi="Times New Roman"/>
          <w:i/>
          <w:iCs/>
          <w:sz w:val="24"/>
          <w:szCs w:val="24"/>
        </w:rPr>
        <w:t>et al</w:t>
      </w:r>
      <w:r w:rsidRPr="009D50B9">
        <w:rPr>
          <w:rFonts w:ascii="Times New Roman" w:hAnsi="Times New Roman"/>
          <w:sz w:val="24"/>
          <w:szCs w:val="24"/>
        </w:rPr>
        <w:t xml:space="preserve">. (2022) showed </w:t>
      </w:r>
      <w:r w:rsidRPr="009D50B9">
        <w:rPr>
          <w:rFonts w:ascii="Times New Roman" w:hAnsi="Times New Roman"/>
          <w:i/>
          <w:iCs/>
          <w:sz w:val="24"/>
          <w:szCs w:val="24"/>
        </w:rPr>
        <w:t>Streptomyces puniceus</w:t>
      </w:r>
      <w:r w:rsidRPr="009D50B9">
        <w:rPr>
          <w:rFonts w:ascii="Times New Roman" w:hAnsi="Times New Roman"/>
          <w:sz w:val="24"/>
          <w:szCs w:val="24"/>
        </w:rPr>
        <w:t xml:space="preserve"> RHPR9 exhibited plant growth promoting traits, producing 41 µg/mL IAA, solubilizing 749.1 µg/mL phosphate and enhancing chilli seed vigor and biomass by 65.00%.</w:t>
      </w:r>
      <w:r w:rsidRPr="009D50B9">
        <w:rPr>
          <w:rFonts w:ascii="Times New Roman" w:eastAsia="Times New Roman" w:hAnsi="Times New Roman"/>
          <w:sz w:val="24"/>
          <w:szCs w:val="24"/>
          <w:lang w:eastAsia="en-IN"/>
        </w:rPr>
        <w:t xml:space="preserve"> Likewise,</w:t>
      </w:r>
      <w:r w:rsidRPr="009D50B9">
        <w:rPr>
          <w:rFonts w:ascii="Times New Roman" w:eastAsia="Times New Roman" w:hAnsi="Times New Roman"/>
          <w:i/>
          <w:iCs/>
          <w:sz w:val="24"/>
          <w:szCs w:val="24"/>
          <w:lang w:eastAsia="en-IN"/>
        </w:rPr>
        <w:t xml:space="preserve"> </w:t>
      </w:r>
      <w:r w:rsidRPr="009D50B9">
        <w:rPr>
          <w:rFonts w:ascii="Times New Roman" w:hAnsi="Times New Roman"/>
          <w:sz w:val="24"/>
          <w:szCs w:val="24"/>
        </w:rPr>
        <w:t xml:space="preserve">Ambust </w:t>
      </w:r>
      <w:r w:rsidRPr="009D50B9">
        <w:rPr>
          <w:rFonts w:ascii="Times New Roman" w:hAnsi="Times New Roman"/>
          <w:i/>
          <w:iCs/>
          <w:sz w:val="24"/>
          <w:szCs w:val="24"/>
        </w:rPr>
        <w:t>et al</w:t>
      </w:r>
      <w:r w:rsidRPr="009D50B9">
        <w:rPr>
          <w:rFonts w:ascii="Times New Roman" w:hAnsi="Times New Roman"/>
          <w:sz w:val="24"/>
          <w:szCs w:val="24"/>
        </w:rPr>
        <w:t xml:space="preserve">. (2021) isolated </w:t>
      </w:r>
      <w:r w:rsidRPr="009D50B9">
        <w:rPr>
          <w:rFonts w:ascii="Times New Roman" w:hAnsi="Times New Roman"/>
          <w:i/>
          <w:iCs/>
          <w:sz w:val="24"/>
          <w:szCs w:val="24"/>
        </w:rPr>
        <w:t>Pseudomonas</w:t>
      </w:r>
      <w:r w:rsidRPr="009D50B9">
        <w:rPr>
          <w:rFonts w:ascii="Times New Roman" w:hAnsi="Times New Roman"/>
          <w:sz w:val="24"/>
          <w:szCs w:val="24"/>
        </w:rPr>
        <w:t xml:space="preserve"> sp. SA3, a potent plant growth promoting bacterium exhibited significant phosphate solubilization activity at 93.46 μg/mL, alongside siderophore and IAA production. </w:t>
      </w:r>
      <w:r w:rsidRPr="009D50B9">
        <w:rPr>
          <w:rFonts w:ascii="Times New Roman" w:eastAsia="Times New Roman" w:hAnsi="Times New Roman"/>
          <w:sz w:val="24"/>
          <w:szCs w:val="24"/>
          <w:lang w:eastAsia="en-IN"/>
        </w:rPr>
        <w:t>A comparable study conducted,</w:t>
      </w:r>
      <w:r w:rsidRPr="009D50B9">
        <w:rPr>
          <w:rFonts w:ascii="Times New Roman" w:eastAsia="Times New Roman" w:hAnsi="Times New Roman"/>
          <w:i/>
          <w:iCs/>
          <w:sz w:val="24"/>
          <w:szCs w:val="24"/>
          <w:lang w:eastAsia="en-IN"/>
        </w:rPr>
        <w:t xml:space="preserve"> </w:t>
      </w:r>
      <w:r w:rsidRPr="009D50B9">
        <w:rPr>
          <w:rFonts w:ascii="Times New Roman" w:hAnsi="Times New Roman"/>
          <w:sz w:val="24"/>
          <w:szCs w:val="24"/>
        </w:rPr>
        <w:t xml:space="preserve">Mishra </w:t>
      </w:r>
      <w:r w:rsidRPr="009D50B9">
        <w:rPr>
          <w:rFonts w:ascii="Times New Roman" w:hAnsi="Times New Roman"/>
          <w:i/>
          <w:iCs/>
          <w:sz w:val="24"/>
          <w:szCs w:val="24"/>
        </w:rPr>
        <w:t>et al</w:t>
      </w:r>
      <w:r w:rsidRPr="009D50B9">
        <w:rPr>
          <w:rFonts w:ascii="Times New Roman" w:hAnsi="Times New Roman"/>
          <w:sz w:val="24"/>
          <w:szCs w:val="24"/>
        </w:rPr>
        <w:t xml:space="preserve">. (2020) investigated </w:t>
      </w:r>
      <w:r w:rsidRPr="009D50B9">
        <w:rPr>
          <w:rFonts w:ascii="Times New Roman" w:hAnsi="Times New Roman"/>
          <w:i/>
          <w:iCs/>
          <w:sz w:val="24"/>
          <w:szCs w:val="24"/>
        </w:rPr>
        <w:t>Pseudomonas putida</w:t>
      </w:r>
      <w:r w:rsidRPr="009D50B9">
        <w:rPr>
          <w:rFonts w:ascii="Times New Roman" w:hAnsi="Times New Roman"/>
          <w:sz w:val="24"/>
          <w:szCs w:val="24"/>
        </w:rPr>
        <w:t xml:space="preserve"> BSP9 for plant growth promotion and biosurfactant production, the isolate solubilized phosphate, while its biosurfactant, identified as a glycolipid rhamnolipid. Similarly, Chopra </w:t>
      </w:r>
      <w:r w:rsidRPr="009D50B9">
        <w:rPr>
          <w:rFonts w:ascii="Times New Roman" w:hAnsi="Times New Roman"/>
          <w:i/>
          <w:iCs/>
          <w:sz w:val="24"/>
          <w:szCs w:val="24"/>
        </w:rPr>
        <w:t>et al</w:t>
      </w:r>
      <w:r w:rsidRPr="009D50B9">
        <w:rPr>
          <w:rFonts w:ascii="Times New Roman" w:hAnsi="Times New Roman"/>
          <w:sz w:val="24"/>
          <w:szCs w:val="24"/>
        </w:rPr>
        <w:t xml:space="preserve">. (2020) reported </w:t>
      </w:r>
      <w:r w:rsidRPr="009D50B9">
        <w:rPr>
          <w:rFonts w:ascii="Times New Roman" w:hAnsi="Times New Roman"/>
          <w:i/>
          <w:iCs/>
          <w:sz w:val="24"/>
          <w:szCs w:val="24"/>
        </w:rPr>
        <w:t>Pseudomonas aeruginosa</w:t>
      </w:r>
      <w:r w:rsidRPr="009D50B9">
        <w:rPr>
          <w:rFonts w:ascii="Times New Roman" w:hAnsi="Times New Roman"/>
          <w:sz w:val="24"/>
          <w:szCs w:val="24"/>
        </w:rPr>
        <w:t xml:space="preserve"> RTE4 as effective biosurfactant producer and it solubilized 46 µg/mL of tricalcium phosphate</w:t>
      </w:r>
      <w:r w:rsidRPr="00C829F3">
        <w:rPr>
          <w:rFonts w:ascii="Times New Roman" w:hAnsi="Times New Roman"/>
          <w:color w:val="00B050"/>
          <w:sz w:val="24"/>
          <w:szCs w:val="24"/>
          <w:highlight w:val="yellow"/>
        </w:rPr>
        <w:t>.</w:t>
      </w:r>
      <w:r w:rsidR="00270ACB">
        <w:rPr>
          <w:color w:val="00B050"/>
          <w:highlight w:val="yellow"/>
        </w:rPr>
        <w:t xml:space="preserve"> </w:t>
      </w:r>
      <w:r w:rsidR="00270ACB" w:rsidRPr="00C829F3">
        <w:rPr>
          <w:rFonts w:ascii="Times New Roman" w:hAnsi="Times New Roman"/>
          <w:color w:val="000000" w:themeColor="text1"/>
          <w:sz w:val="24"/>
          <w:szCs w:val="24"/>
          <w:highlight w:val="yellow"/>
        </w:rPr>
        <w:t xml:space="preserve">These results </w:t>
      </w:r>
      <w:r w:rsidR="00F925BF">
        <w:rPr>
          <w:rFonts w:ascii="Times New Roman" w:hAnsi="Times New Roman"/>
          <w:color w:val="000000" w:themeColor="text1"/>
          <w:sz w:val="24"/>
          <w:szCs w:val="24"/>
          <w:highlight w:val="yellow"/>
        </w:rPr>
        <w:t xml:space="preserve">are </w:t>
      </w:r>
      <w:r w:rsidR="00270ACB">
        <w:rPr>
          <w:rFonts w:ascii="Times New Roman" w:hAnsi="Times New Roman"/>
          <w:color w:val="000000" w:themeColor="text1"/>
          <w:sz w:val="24"/>
          <w:szCs w:val="24"/>
          <w:highlight w:val="yellow"/>
        </w:rPr>
        <w:t xml:space="preserve">also in </w:t>
      </w:r>
      <w:r w:rsidR="00270ACB" w:rsidRPr="00C829F3">
        <w:rPr>
          <w:rFonts w:ascii="Times New Roman" w:hAnsi="Times New Roman"/>
          <w:color w:val="000000" w:themeColor="text1"/>
          <w:sz w:val="24"/>
          <w:szCs w:val="24"/>
          <w:highlight w:val="yellow"/>
        </w:rPr>
        <w:t>agree</w:t>
      </w:r>
      <w:r w:rsidR="00270ACB">
        <w:rPr>
          <w:rFonts w:ascii="Times New Roman" w:hAnsi="Times New Roman"/>
          <w:color w:val="000000" w:themeColor="text1"/>
          <w:sz w:val="24"/>
          <w:szCs w:val="24"/>
          <w:highlight w:val="yellow"/>
        </w:rPr>
        <w:t xml:space="preserve">ment </w:t>
      </w:r>
      <w:r w:rsidR="00270ACB" w:rsidRPr="00C829F3">
        <w:rPr>
          <w:rFonts w:ascii="Times New Roman" w:hAnsi="Times New Roman"/>
          <w:color w:val="000000" w:themeColor="text1"/>
          <w:sz w:val="24"/>
          <w:szCs w:val="24"/>
          <w:highlight w:val="yellow"/>
        </w:rPr>
        <w:t xml:space="preserve">with Zeynali </w:t>
      </w:r>
      <w:r w:rsidR="00270ACB" w:rsidRPr="00C829F3">
        <w:rPr>
          <w:rFonts w:ascii="Times New Roman" w:hAnsi="Times New Roman"/>
          <w:i/>
          <w:iCs/>
          <w:color w:val="000000" w:themeColor="text1"/>
          <w:sz w:val="24"/>
          <w:szCs w:val="24"/>
          <w:highlight w:val="yellow"/>
        </w:rPr>
        <w:t>et al</w:t>
      </w:r>
      <w:r w:rsidR="00270ACB" w:rsidRPr="00C829F3">
        <w:rPr>
          <w:rFonts w:ascii="Times New Roman" w:hAnsi="Times New Roman"/>
          <w:color w:val="000000" w:themeColor="text1"/>
          <w:sz w:val="24"/>
          <w:szCs w:val="24"/>
          <w:highlight w:val="yellow"/>
        </w:rPr>
        <w:t>. (2025)</w:t>
      </w:r>
      <w:r w:rsidR="00270ACB">
        <w:rPr>
          <w:rFonts w:ascii="Times New Roman" w:hAnsi="Times New Roman"/>
          <w:color w:val="000000" w:themeColor="text1"/>
          <w:sz w:val="24"/>
          <w:szCs w:val="24"/>
          <w:highlight w:val="yellow"/>
        </w:rPr>
        <w:t xml:space="preserve">, </w:t>
      </w:r>
      <w:r w:rsidR="00270ACB" w:rsidRPr="00C829F3">
        <w:rPr>
          <w:rFonts w:ascii="Times New Roman" w:hAnsi="Times New Roman"/>
          <w:color w:val="000000" w:themeColor="text1"/>
          <w:sz w:val="24"/>
          <w:szCs w:val="24"/>
          <w:highlight w:val="yellow"/>
        </w:rPr>
        <w:t xml:space="preserve">who reported </w:t>
      </w:r>
      <w:r w:rsidR="00270ACB">
        <w:rPr>
          <w:rFonts w:ascii="Times New Roman" w:hAnsi="Times New Roman"/>
          <w:color w:val="000000" w:themeColor="text1"/>
          <w:sz w:val="24"/>
          <w:szCs w:val="24"/>
          <w:highlight w:val="yellow"/>
        </w:rPr>
        <w:t xml:space="preserve">that two of </w:t>
      </w:r>
      <w:r w:rsidR="00270ACB" w:rsidRPr="00C829F3">
        <w:rPr>
          <w:rFonts w:ascii="Times New Roman" w:hAnsi="Times New Roman"/>
          <w:color w:val="000000" w:themeColor="text1"/>
          <w:sz w:val="24"/>
          <w:szCs w:val="24"/>
          <w:highlight w:val="yellow"/>
        </w:rPr>
        <w:t>seven bacterial strains</w:t>
      </w:r>
      <w:r w:rsidR="00270ACB">
        <w:rPr>
          <w:rFonts w:ascii="Times New Roman" w:hAnsi="Times New Roman"/>
          <w:color w:val="000000" w:themeColor="text1"/>
          <w:sz w:val="24"/>
          <w:szCs w:val="24"/>
          <w:highlight w:val="yellow"/>
        </w:rPr>
        <w:t xml:space="preserve"> (</w:t>
      </w:r>
      <w:r w:rsidR="00270ACB" w:rsidRPr="00C829F3">
        <w:rPr>
          <w:rFonts w:ascii="Times New Roman" w:hAnsi="Times New Roman"/>
          <w:color w:val="000000" w:themeColor="text1"/>
          <w:sz w:val="24"/>
          <w:szCs w:val="24"/>
          <w:highlight w:val="yellow"/>
        </w:rPr>
        <w:t>NW7 and NW5</w:t>
      </w:r>
      <w:r w:rsidR="00270ACB">
        <w:rPr>
          <w:rFonts w:ascii="Times New Roman" w:hAnsi="Times New Roman"/>
          <w:color w:val="000000" w:themeColor="text1"/>
          <w:sz w:val="24"/>
          <w:szCs w:val="24"/>
          <w:highlight w:val="yellow"/>
        </w:rPr>
        <w:t>)</w:t>
      </w:r>
      <w:r w:rsidR="00270ACB" w:rsidRPr="00C829F3">
        <w:rPr>
          <w:rFonts w:ascii="Times New Roman" w:hAnsi="Times New Roman"/>
          <w:color w:val="000000" w:themeColor="text1"/>
          <w:sz w:val="24"/>
          <w:szCs w:val="24"/>
          <w:highlight w:val="yellow"/>
        </w:rPr>
        <w:t xml:space="preserve"> isolated from contaminated drilling mud, </w:t>
      </w:r>
      <w:r w:rsidR="00270ACB">
        <w:rPr>
          <w:rFonts w:ascii="Times New Roman" w:hAnsi="Times New Roman"/>
          <w:color w:val="000000" w:themeColor="text1"/>
          <w:sz w:val="24"/>
          <w:szCs w:val="24"/>
          <w:highlight w:val="yellow"/>
        </w:rPr>
        <w:t>showed</w:t>
      </w:r>
      <w:r w:rsidR="00270ACB" w:rsidRPr="00C829F3">
        <w:rPr>
          <w:rFonts w:ascii="Times New Roman" w:hAnsi="Times New Roman"/>
          <w:color w:val="000000" w:themeColor="text1"/>
          <w:sz w:val="24"/>
          <w:szCs w:val="24"/>
          <w:highlight w:val="yellow"/>
        </w:rPr>
        <w:t xml:space="preserve"> the highest phosphate solubilization</w:t>
      </w:r>
      <w:r w:rsidR="00270ACB">
        <w:rPr>
          <w:rFonts w:ascii="Times New Roman" w:hAnsi="Times New Roman"/>
          <w:color w:val="000000" w:themeColor="text1"/>
          <w:sz w:val="24"/>
          <w:szCs w:val="24"/>
          <w:highlight w:val="yellow"/>
        </w:rPr>
        <w:t xml:space="preserve"> index </w:t>
      </w:r>
      <w:r w:rsidR="00270ACB" w:rsidRPr="00C829F3">
        <w:rPr>
          <w:rFonts w:ascii="Times New Roman" w:hAnsi="Times New Roman"/>
          <w:color w:val="000000" w:themeColor="text1"/>
          <w:sz w:val="24"/>
          <w:szCs w:val="24"/>
          <w:highlight w:val="yellow"/>
        </w:rPr>
        <w:t>(3.76 and 2.83)</w:t>
      </w:r>
      <w:r w:rsidR="00270ACB">
        <w:rPr>
          <w:rFonts w:ascii="Times New Roman" w:hAnsi="Times New Roman"/>
          <w:color w:val="000000" w:themeColor="text1"/>
          <w:sz w:val="24"/>
          <w:szCs w:val="24"/>
        </w:rPr>
        <w:t xml:space="preserve">. </w:t>
      </w:r>
      <w:r w:rsidR="00270ACB" w:rsidRPr="003770D5">
        <w:rPr>
          <w:rFonts w:ascii="Times New Roman" w:hAnsi="Times New Roman"/>
          <w:bCs/>
          <w:noProof/>
          <w:color w:val="000000" w:themeColor="text1"/>
          <w:sz w:val="24"/>
          <w:szCs w:val="24"/>
          <w:highlight w:val="yellow"/>
          <w:lang w:eastAsia="en-IN"/>
        </w:rPr>
        <w:t xml:space="preserve">Pacwa-Płociniczak </w:t>
      </w:r>
      <w:r w:rsidR="00270ACB" w:rsidRPr="003770D5">
        <w:rPr>
          <w:rFonts w:ascii="Times New Roman" w:hAnsi="Times New Roman"/>
          <w:bCs/>
          <w:i/>
          <w:iCs/>
          <w:noProof/>
          <w:color w:val="000000" w:themeColor="text1"/>
          <w:sz w:val="24"/>
          <w:szCs w:val="24"/>
          <w:highlight w:val="yellow"/>
          <w:lang w:eastAsia="en-IN"/>
        </w:rPr>
        <w:t>et al</w:t>
      </w:r>
      <w:r w:rsidR="00270ACB" w:rsidRPr="003770D5">
        <w:rPr>
          <w:rFonts w:ascii="Times New Roman" w:hAnsi="Times New Roman"/>
          <w:bCs/>
          <w:noProof/>
          <w:color w:val="000000" w:themeColor="text1"/>
          <w:sz w:val="24"/>
          <w:szCs w:val="24"/>
          <w:highlight w:val="yellow"/>
          <w:lang w:eastAsia="en-IN"/>
        </w:rPr>
        <w:t>. (2016) isolated 42 hydrocarbon degrading bacteria from petroleum contaminated soil and screened them for plant growth promoting traits</w:t>
      </w:r>
      <w:r w:rsidR="00270ACB">
        <w:rPr>
          <w:rFonts w:ascii="Times New Roman" w:hAnsi="Times New Roman"/>
          <w:bCs/>
          <w:noProof/>
          <w:color w:val="000000" w:themeColor="text1"/>
          <w:sz w:val="24"/>
          <w:szCs w:val="24"/>
          <w:highlight w:val="yellow"/>
          <w:lang w:eastAsia="en-IN"/>
        </w:rPr>
        <w:t xml:space="preserve"> and reported that  </w:t>
      </w:r>
      <w:r w:rsidR="00270ACB" w:rsidRPr="003770D5">
        <w:rPr>
          <w:rFonts w:ascii="Times New Roman" w:hAnsi="Times New Roman"/>
          <w:bCs/>
          <w:noProof/>
          <w:color w:val="000000" w:themeColor="text1"/>
          <w:sz w:val="24"/>
          <w:szCs w:val="24"/>
          <w:highlight w:val="yellow"/>
          <w:lang w:eastAsia="en-IN"/>
        </w:rPr>
        <w:t xml:space="preserve"> fifteen strains exhibited ACC deaminase activity, IAA</w:t>
      </w:r>
      <w:r w:rsidR="00270ACB">
        <w:rPr>
          <w:rFonts w:ascii="Times New Roman" w:hAnsi="Times New Roman"/>
          <w:bCs/>
          <w:noProof/>
          <w:color w:val="000000" w:themeColor="text1"/>
          <w:sz w:val="24"/>
          <w:szCs w:val="24"/>
          <w:highlight w:val="yellow"/>
          <w:lang w:eastAsia="en-IN"/>
        </w:rPr>
        <w:t xml:space="preserve">, </w:t>
      </w:r>
      <w:r w:rsidR="00270ACB" w:rsidRPr="003770D5">
        <w:rPr>
          <w:rFonts w:ascii="Times New Roman" w:hAnsi="Times New Roman"/>
          <w:bCs/>
          <w:noProof/>
          <w:color w:val="000000" w:themeColor="text1"/>
          <w:sz w:val="24"/>
          <w:szCs w:val="24"/>
          <w:highlight w:val="yellow"/>
          <w:lang w:eastAsia="en-IN"/>
        </w:rPr>
        <w:t>siderophore production and phosphate solubilization</w:t>
      </w:r>
      <w:r w:rsidR="00270ACB">
        <w:rPr>
          <w:rFonts w:ascii="Times New Roman" w:hAnsi="Times New Roman"/>
          <w:bCs/>
          <w:noProof/>
          <w:color w:val="000000" w:themeColor="text1"/>
          <w:sz w:val="24"/>
          <w:szCs w:val="24"/>
          <w:highlight w:val="yellow"/>
          <w:lang w:eastAsia="en-IN"/>
        </w:rPr>
        <w:t xml:space="preserve"> potential while </w:t>
      </w:r>
      <w:r w:rsidR="00270ACB" w:rsidRPr="003770D5">
        <w:rPr>
          <w:rFonts w:ascii="Times New Roman" w:hAnsi="Times New Roman"/>
          <w:bCs/>
          <w:i/>
          <w:iCs/>
          <w:noProof/>
          <w:color w:val="000000" w:themeColor="text1"/>
          <w:sz w:val="24"/>
          <w:szCs w:val="24"/>
          <w:highlight w:val="yellow"/>
          <w:lang w:eastAsia="en-IN"/>
        </w:rPr>
        <w:t>Rhodococcus erythropolis</w:t>
      </w:r>
      <w:r w:rsidR="00270ACB" w:rsidRPr="003770D5">
        <w:rPr>
          <w:rFonts w:ascii="Times New Roman" w:hAnsi="Times New Roman"/>
          <w:bCs/>
          <w:noProof/>
          <w:color w:val="000000" w:themeColor="text1"/>
          <w:sz w:val="24"/>
          <w:szCs w:val="24"/>
          <w:highlight w:val="yellow"/>
          <w:lang w:eastAsia="en-IN"/>
        </w:rPr>
        <w:t xml:space="preserve"> CD 106 and CD 111 show</w:t>
      </w:r>
      <w:r w:rsidR="00270ACB">
        <w:rPr>
          <w:rFonts w:ascii="Times New Roman" w:hAnsi="Times New Roman"/>
          <w:bCs/>
          <w:noProof/>
          <w:color w:val="000000" w:themeColor="text1"/>
          <w:sz w:val="24"/>
          <w:szCs w:val="24"/>
          <w:highlight w:val="yellow"/>
          <w:lang w:eastAsia="en-IN"/>
        </w:rPr>
        <w:t xml:space="preserve">ed </w:t>
      </w:r>
      <w:r w:rsidR="00270ACB" w:rsidRPr="003770D5">
        <w:rPr>
          <w:rFonts w:ascii="Times New Roman" w:hAnsi="Times New Roman"/>
          <w:bCs/>
          <w:noProof/>
          <w:color w:val="000000" w:themeColor="text1"/>
          <w:sz w:val="24"/>
          <w:szCs w:val="24"/>
          <w:highlight w:val="yellow"/>
          <w:lang w:eastAsia="en-IN"/>
        </w:rPr>
        <w:t>the strongest combined activities</w:t>
      </w:r>
      <w:r w:rsidR="00270ACB">
        <w:rPr>
          <w:rFonts w:ascii="Times New Roman" w:hAnsi="Times New Roman"/>
          <w:bCs/>
          <w:noProof/>
          <w:color w:val="000000" w:themeColor="text1"/>
          <w:sz w:val="24"/>
          <w:szCs w:val="24"/>
          <w:lang w:eastAsia="en-IN"/>
        </w:rPr>
        <w:t>.</w:t>
      </w:r>
    </w:p>
    <w:p w14:paraId="7011CA63" w14:textId="758E33E5" w:rsidR="00270ACB" w:rsidRDefault="00270ACB" w:rsidP="00270ACB">
      <w:pPr>
        <w:spacing w:after="0" w:line="360" w:lineRule="auto"/>
        <w:jc w:val="both"/>
        <w:rPr>
          <w:rFonts w:ascii="Times New Roman" w:hAnsi="Times New Roman"/>
          <w:bCs/>
          <w:noProof/>
          <w:color w:val="000000" w:themeColor="text1"/>
          <w:sz w:val="24"/>
          <w:szCs w:val="24"/>
          <w:lang w:eastAsia="en-IN"/>
        </w:rPr>
      </w:pPr>
    </w:p>
    <w:p w14:paraId="6B69C2D0" w14:textId="77777777" w:rsidR="00270ACB" w:rsidRPr="003770D5" w:rsidRDefault="00270ACB" w:rsidP="00270ACB">
      <w:pPr>
        <w:spacing w:after="0" w:line="360" w:lineRule="auto"/>
        <w:jc w:val="both"/>
        <w:rPr>
          <w:rFonts w:ascii="Times New Roman" w:hAnsi="Times New Roman"/>
          <w:color w:val="000000" w:themeColor="text1"/>
          <w:sz w:val="24"/>
          <w:szCs w:val="24"/>
        </w:rPr>
      </w:pPr>
    </w:p>
    <w:p w14:paraId="6419747E" w14:textId="5FF74C06" w:rsidR="00A03835" w:rsidRPr="009D50B9" w:rsidRDefault="003F001A" w:rsidP="004755D0">
      <w:pPr>
        <w:autoSpaceDE w:val="0"/>
        <w:autoSpaceDN w:val="0"/>
        <w:adjustRightInd w:val="0"/>
        <w:spacing w:before="240" w:after="0" w:line="360" w:lineRule="auto"/>
        <w:ind w:left="-57"/>
        <w:jc w:val="both"/>
        <w:rPr>
          <w:rFonts w:ascii="Times New Roman" w:hAnsi="Times New Roman"/>
          <w:sz w:val="24"/>
          <w:szCs w:val="24"/>
        </w:rPr>
      </w:pPr>
      <w:r w:rsidRPr="009D50B9">
        <w:rPr>
          <w:rFonts w:ascii="Times New Roman" w:hAnsi="Times New Roman"/>
          <w:b/>
          <w:bCs/>
          <w:sz w:val="24"/>
          <w:szCs w:val="24"/>
        </w:rPr>
        <w:lastRenderedPageBreak/>
        <w:t>3.2</w:t>
      </w:r>
      <w:r w:rsidRPr="009D50B9">
        <w:rPr>
          <w:rFonts w:ascii="Times New Roman" w:hAnsi="Times New Roman"/>
          <w:b/>
          <w:bCs/>
          <w:i/>
          <w:iCs/>
          <w:sz w:val="24"/>
          <w:szCs w:val="24"/>
        </w:rPr>
        <w:t xml:space="preserve"> </w:t>
      </w:r>
      <w:r w:rsidR="00A03835" w:rsidRPr="009D50B9">
        <w:rPr>
          <w:rFonts w:ascii="Times New Roman" w:hAnsi="Times New Roman"/>
          <w:b/>
          <w:bCs/>
          <w:i/>
          <w:iCs/>
          <w:sz w:val="24"/>
          <w:szCs w:val="24"/>
        </w:rPr>
        <w:t xml:space="preserve">In vitro </w:t>
      </w:r>
      <w:r w:rsidR="00A03835" w:rsidRPr="009D50B9">
        <w:rPr>
          <w:rFonts w:ascii="Times New Roman" w:hAnsi="Times New Roman"/>
          <w:b/>
          <w:bCs/>
          <w:sz w:val="24"/>
          <w:szCs w:val="24"/>
        </w:rPr>
        <w:t>potassium solubilization</w:t>
      </w:r>
    </w:p>
    <w:p w14:paraId="27C9DE32" w14:textId="63B029CA" w:rsidR="00FA6684" w:rsidRPr="009D50B9" w:rsidRDefault="00A03835" w:rsidP="004F1B4A">
      <w:pPr>
        <w:autoSpaceDE w:val="0"/>
        <w:autoSpaceDN w:val="0"/>
        <w:adjustRightInd w:val="0"/>
        <w:spacing w:after="0" w:line="360" w:lineRule="auto"/>
        <w:ind w:firstLine="720"/>
        <w:jc w:val="both"/>
        <w:rPr>
          <w:rFonts w:ascii="Times New Roman" w:hAnsi="Times New Roman"/>
          <w:sz w:val="24"/>
          <w:szCs w:val="24"/>
        </w:rPr>
      </w:pPr>
      <w:r w:rsidRPr="009D50B9">
        <w:rPr>
          <w:rFonts w:ascii="Times New Roman" w:hAnsi="Times New Roman"/>
          <w:sz w:val="24"/>
          <w:szCs w:val="24"/>
        </w:rPr>
        <w:t xml:space="preserve">Potassium (K) is indeed a mobile nutrient in plants, but in soils it is mainly found locked within silicate minerals such as feldspars (orthoclase, microcline) and micas (biotite, muscovite). In these mineral forms, potassium is structurally bound in the crystalline lattice, making it largely unavailable for immediate plant uptake. Potassium solubilizing microorganisms (KSMs) can enhance the release of K from minerals like those in syenite, increasing the fraction of plant available K, potentially making rock-based sources more effective over time. However, in most agricultural contexts, this process is still slower compared to synthetic fertilizers (Soumare </w:t>
      </w:r>
      <w:r w:rsidRPr="009D50B9">
        <w:rPr>
          <w:rFonts w:ascii="Times New Roman" w:hAnsi="Times New Roman"/>
          <w:i/>
          <w:iCs/>
          <w:sz w:val="24"/>
          <w:szCs w:val="24"/>
        </w:rPr>
        <w:t>et al</w:t>
      </w:r>
      <w:r w:rsidRPr="009D50B9">
        <w:rPr>
          <w:rFonts w:ascii="Times New Roman" w:hAnsi="Times New Roman"/>
          <w:sz w:val="24"/>
          <w:szCs w:val="24"/>
        </w:rPr>
        <w:t xml:space="preserve">., 2023). </w:t>
      </w:r>
      <w:bookmarkStart w:id="5" w:name="_Hlk213192498"/>
      <w:r w:rsidRPr="009D50B9">
        <w:rPr>
          <w:rFonts w:ascii="Times New Roman" w:hAnsi="Times New Roman"/>
          <w:sz w:val="24"/>
          <w:szCs w:val="24"/>
        </w:rPr>
        <w:t>BSB</w:t>
      </w:r>
      <w:r w:rsidR="00653C85" w:rsidRPr="009D50B9">
        <w:rPr>
          <w:rFonts w:ascii="Times New Roman" w:hAnsi="Times New Roman"/>
          <w:sz w:val="24"/>
          <w:szCs w:val="24"/>
        </w:rPr>
        <w:t>-2</w:t>
      </w:r>
      <w:r w:rsidRPr="009D50B9">
        <w:rPr>
          <w:rFonts w:ascii="Times New Roman" w:hAnsi="Times New Roman"/>
          <w:sz w:val="24"/>
          <w:szCs w:val="24"/>
        </w:rPr>
        <w:t xml:space="preserve"> </w:t>
      </w:r>
      <w:bookmarkEnd w:id="5"/>
      <w:r w:rsidRPr="009D50B9">
        <w:rPr>
          <w:rFonts w:ascii="Times New Roman" w:hAnsi="Times New Roman"/>
          <w:sz w:val="24"/>
          <w:szCs w:val="24"/>
        </w:rPr>
        <w:t>(2.66 mg/L) and BSB</w:t>
      </w:r>
      <w:r w:rsidR="00653C85" w:rsidRPr="009D50B9">
        <w:rPr>
          <w:rFonts w:ascii="Times New Roman" w:hAnsi="Times New Roman"/>
          <w:sz w:val="24"/>
          <w:szCs w:val="24"/>
        </w:rPr>
        <w:t>-41</w:t>
      </w:r>
      <w:r w:rsidRPr="009D50B9">
        <w:rPr>
          <w:rFonts w:ascii="Times New Roman" w:hAnsi="Times New Roman"/>
          <w:sz w:val="24"/>
          <w:szCs w:val="24"/>
        </w:rPr>
        <w:t xml:space="preserve"> (2.43 mg/L) were the most efficient K solubilizers. BSR</w:t>
      </w:r>
      <w:r w:rsidR="00653C85" w:rsidRPr="009D50B9">
        <w:rPr>
          <w:rFonts w:ascii="Times New Roman" w:hAnsi="Times New Roman"/>
          <w:sz w:val="24"/>
          <w:szCs w:val="24"/>
        </w:rPr>
        <w:t>-51</w:t>
      </w:r>
      <w:r w:rsidRPr="009D50B9">
        <w:rPr>
          <w:rFonts w:ascii="Times New Roman" w:hAnsi="Times New Roman"/>
          <w:sz w:val="24"/>
          <w:szCs w:val="24"/>
        </w:rPr>
        <w:t xml:space="preserve"> followed with a significant solubilization activity of 2.00 mg/L. BSB</w:t>
      </w:r>
      <w:r w:rsidR="00653C85" w:rsidRPr="009D50B9">
        <w:rPr>
          <w:rFonts w:ascii="Times New Roman" w:hAnsi="Times New Roman"/>
          <w:sz w:val="24"/>
          <w:szCs w:val="24"/>
        </w:rPr>
        <w:t>-4</w:t>
      </w:r>
      <w:r w:rsidRPr="009D50B9">
        <w:rPr>
          <w:rFonts w:ascii="Times New Roman" w:hAnsi="Times New Roman"/>
          <w:sz w:val="24"/>
          <w:szCs w:val="24"/>
        </w:rPr>
        <w:t xml:space="preserve"> solubilized 1.75 mg/L, showing moderate capacity (Table </w:t>
      </w:r>
      <w:r w:rsidR="00AF1F81" w:rsidRPr="009D50B9">
        <w:rPr>
          <w:rFonts w:ascii="Times New Roman" w:hAnsi="Times New Roman"/>
          <w:sz w:val="24"/>
          <w:szCs w:val="24"/>
        </w:rPr>
        <w:t>1</w:t>
      </w:r>
      <w:r w:rsidRPr="009D50B9">
        <w:rPr>
          <w:rFonts w:ascii="Times New Roman" w:hAnsi="Times New Roman"/>
          <w:sz w:val="24"/>
          <w:szCs w:val="24"/>
        </w:rPr>
        <w:t>). BSB</w:t>
      </w:r>
      <w:r w:rsidR="00653C85" w:rsidRPr="009D50B9">
        <w:rPr>
          <w:rFonts w:ascii="Times New Roman" w:hAnsi="Times New Roman"/>
          <w:sz w:val="24"/>
          <w:szCs w:val="24"/>
        </w:rPr>
        <w:t>-11</w:t>
      </w:r>
      <w:r w:rsidRPr="009D50B9">
        <w:rPr>
          <w:rFonts w:ascii="Times New Roman" w:hAnsi="Times New Roman"/>
          <w:sz w:val="24"/>
          <w:szCs w:val="24"/>
        </w:rPr>
        <w:t xml:space="preserve"> and </w:t>
      </w:r>
      <w:r w:rsidRPr="009D50B9">
        <w:rPr>
          <w:rFonts w:ascii="Times New Roman" w:hAnsi="Times New Roman"/>
          <w:i/>
          <w:iCs/>
          <w:sz w:val="24"/>
          <w:szCs w:val="24"/>
        </w:rPr>
        <w:t>Bacillus</w:t>
      </w:r>
      <w:r w:rsidRPr="009D50B9">
        <w:rPr>
          <w:rFonts w:ascii="Times New Roman" w:hAnsi="Times New Roman"/>
          <w:sz w:val="24"/>
          <w:szCs w:val="24"/>
        </w:rPr>
        <w:t xml:space="preserve"> sp. (MCC4316) displayed lower K solubilization (0.63 mg/L and 0.21 mg/L respectively). The control had the lowest activity (0.14 mg/L)</w:t>
      </w:r>
      <w:r w:rsidR="00993478">
        <w:rPr>
          <w:rFonts w:ascii="Times New Roman" w:hAnsi="Times New Roman"/>
          <w:sz w:val="24"/>
          <w:szCs w:val="24"/>
        </w:rPr>
        <w:t xml:space="preserve"> </w:t>
      </w:r>
      <w:r w:rsidR="00F436DE" w:rsidRPr="009D50B9">
        <w:rPr>
          <w:rFonts w:ascii="Times New Roman" w:hAnsi="Times New Roman"/>
          <w:sz w:val="24"/>
          <w:szCs w:val="24"/>
        </w:rPr>
        <w:t xml:space="preserve">confirming the beneficial role of bacterial inoculation. </w:t>
      </w:r>
      <w:r w:rsidRPr="009D50B9">
        <w:rPr>
          <w:rFonts w:ascii="Times New Roman" w:hAnsi="Times New Roman"/>
          <w:sz w:val="24"/>
          <w:szCs w:val="24"/>
        </w:rPr>
        <w:t xml:space="preserve">Overall, </w:t>
      </w:r>
      <w:r w:rsidR="00653C85" w:rsidRPr="009D50B9">
        <w:rPr>
          <w:rFonts w:ascii="Times New Roman" w:hAnsi="Times New Roman"/>
          <w:sz w:val="24"/>
          <w:szCs w:val="24"/>
        </w:rPr>
        <w:t xml:space="preserve">BSB-2 </w:t>
      </w:r>
      <w:r w:rsidRPr="009D50B9">
        <w:rPr>
          <w:rFonts w:ascii="Times New Roman" w:hAnsi="Times New Roman"/>
          <w:sz w:val="24"/>
          <w:szCs w:val="24"/>
        </w:rPr>
        <w:t xml:space="preserve">consistently demonstrated superior plant growth promoting traits across all parameters, making it the most promising candidate for enhancing nutrient availability. </w:t>
      </w:r>
      <w:r w:rsidR="00653C85" w:rsidRPr="009D50B9">
        <w:rPr>
          <w:rFonts w:ascii="Times New Roman" w:hAnsi="Times New Roman"/>
          <w:sz w:val="24"/>
          <w:szCs w:val="24"/>
        </w:rPr>
        <w:t xml:space="preserve">BSB-41 </w:t>
      </w:r>
      <w:r w:rsidRPr="009D50B9">
        <w:rPr>
          <w:rFonts w:ascii="Times New Roman" w:hAnsi="Times New Roman"/>
          <w:sz w:val="24"/>
          <w:szCs w:val="24"/>
        </w:rPr>
        <w:t xml:space="preserve">and </w:t>
      </w:r>
      <w:r w:rsidR="00653C85" w:rsidRPr="009D50B9">
        <w:rPr>
          <w:rFonts w:ascii="Times New Roman" w:hAnsi="Times New Roman"/>
          <w:sz w:val="24"/>
          <w:szCs w:val="24"/>
        </w:rPr>
        <w:t xml:space="preserve">BSR-51 </w:t>
      </w:r>
      <w:r w:rsidRPr="009D50B9">
        <w:rPr>
          <w:rFonts w:ascii="Times New Roman" w:hAnsi="Times New Roman"/>
          <w:sz w:val="24"/>
          <w:szCs w:val="24"/>
        </w:rPr>
        <w:t xml:space="preserve">also showed strong potential, particularly in K solubilization. Although </w:t>
      </w:r>
      <w:r w:rsidRPr="009D50B9">
        <w:rPr>
          <w:rFonts w:ascii="Times New Roman" w:hAnsi="Times New Roman"/>
          <w:i/>
          <w:iCs/>
          <w:sz w:val="24"/>
          <w:szCs w:val="24"/>
        </w:rPr>
        <w:t>Bacillus</w:t>
      </w:r>
      <w:r w:rsidRPr="009D50B9">
        <w:rPr>
          <w:rFonts w:ascii="Times New Roman" w:hAnsi="Times New Roman"/>
          <w:sz w:val="24"/>
          <w:szCs w:val="24"/>
        </w:rPr>
        <w:t xml:space="preserve"> sp. (MCC4316) exhibited relatively lower activities in phosphate and K solubilization. All isolates significantly outperformed the control, indicating their potential application as biofertilizers to improve soil fertility and plant nutrition. </w:t>
      </w:r>
      <w:r w:rsidR="00F436DE" w:rsidRPr="00F436DE">
        <w:rPr>
          <w:rFonts w:ascii="Times New Roman" w:hAnsi="Times New Roman"/>
          <w:sz w:val="24"/>
          <w:szCs w:val="24"/>
        </w:rPr>
        <w:t xml:space="preserve">Results were in accordance with Ghosh </w:t>
      </w:r>
      <w:r w:rsidR="00F436DE" w:rsidRPr="00F436DE">
        <w:rPr>
          <w:rFonts w:ascii="Times New Roman" w:hAnsi="Times New Roman"/>
          <w:i/>
          <w:iCs/>
          <w:sz w:val="24"/>
          <w:szCs w:val="24"/>
        </w:rPr>
        <w:t>et al</w:t>
      </w:r>
      <w:r w:rsidR="00F436DE" w:rsidRPr="00F436DE">
        <w:rPr>
          <w:rFonts w:ascii="Times New Roman" w:hAnsi="Times New Roman"/>
          <w:sz w:val="24"/>
          <w:szCs w:val="24"/>
        </w:rPr>
        <w:t xml:space="preserve">. (2023) reported </w:t>
      </w:r>
      <w:r w:rsidR="00F202EC">
        <w:rPr>
          <w:rFonts w:ascii="Times New Roman" w:hAnsi="Times New Roman"/>
          <w:sz w:val="24"/>
          <w:szCs w:val="24"/>
        </w:rPr>
        <w:t>“</w:t>
      </w:r>
      <w:r w:rsidR="00F436DE" w:rsidRPr="00F436DE">
        <w:rPr>
          <w:rFonts w:ascii="Times New Roman" w:hAnsi="Times New Roman"/>
          <w:sz w:val="24"/>
          <w:szCs w:val="24"/>
        </w:rPr>
        <w:t xml:space="preserve">K5B identified as </w:t>
      </w:r>
      <w:r w:rsidR="00F436DE" w:rsidRPr="00F436DE">
        <w:rPr>
          <w:rFonts w:ascii="Times New Roman" w:hAnsi="Times New Roman"/>
          <w:i/>
          <w:iCs/>
          <w:sz w:val="24"/>
          <w:szCs w:val="24"/>
        </w:rPr>
        <w:t>Bacillus cereus</w:t>
      </w:r>
      <w:r w:rsidR="00F436DE" w:rsidRPr="00F436DE">
        <w:rPr>
          <w:rFonts w:ascii="Times New Roman" w:hAnsi="Times New Roman"/>
          <w:sz w:val="24"/>
          <w:szCs w:val="24"/>
        </w:rPr>
        <w:t xml:space="preserve"> was found to show the highest potassium solubilization</w:t>
      </w:r>
      <w:r w:rsidR="00F436DE">
        <w:rPr>
          <w:rFonts w:ascii="Times New Roman" w:hAnsi="Times New Roman"/>
          <w:sz w:val="24"/>
          <w:szCs w:val="24"/>
        </w:rPr>
        <w:t xml:space="preserve"> and</w:t>
      </w:r>
      <w:r w:rsidR="00F436DE" w:rsidRPr="00F436DE">
        <w:rPr>
          <w:rFonts w:ascii="Times New Roman" w:hAnsi="Times New Roman"/>
          <w:sz w:val="24"/>
          <w:szCs w:val="24"/>
        </w:rPr>
        <w:t xml:space="preserve"> a very minute amount of potassium content was observed in uninoculated control broth could be attributed to the structural disturbance in mica during shaking condition of incubation resulted in the release of potassium by hydrolysis</w:t>
      </w:r>
      <w:r w:rsidR="00F202EC">
        <w:rPr>
          <w:rFonts w:ascii="Times New Roman" w:hAnsi="Times New Roman"/>
          <w:sz w:val="24"/>
          <w:szCs w:val="24"/>
        </w:rPr>
        <w:t>”</w:t>
      </w:r>
      <w:r w:rsidR="00F436DE">
        <w:rPr>
          <w:rFonts w:ascii="Times New Roman" w:hAnsi="Times New Roman"/>
          <w:sz w:val="24"/>
          <w:szCs w:val="24"/>
        </w:rPr>
        <w:t xml:space="preserve">. Similarly, </w:t>
      </w:r>
      <w:r w:rsidR="00740254" w:rsidRPr="009D50B9">
        <w:rPr>
          <w:rFonts w:ascii="Times New Roman" w:hAnsi="Times New Roman"/>
          <w:sz w:val="24"/>
          <w:szCs w:val="24"/>
        </w:rPr>
        <w:t xml:space="preserve">Patowary </w:t>
      </w:r>
      <w:r w:rsidR="00740254" w:rsidRPr="009D50B9">
        <w:rPr>
          <w:rFonts w:ascii="Times New Roman" w:hAnsi="Times New Roman"/>
          <w:i/>
          <w:iCs/>
          <w:sz w:val="24"/>
          <w:szCs w:val="24"/>
        </w:rPr>
        <w:t>et al</w:t>
      </w:r>
      <w:r w:rsidR="00740254" w:rsidRPr="009D50B9">
        <w:rPr>
          <w:rFonts w:ascii="Times New Roman" w:hAnsi="Times New Roman"/>
          <w:sz w:val="24"/>
          <w:szCs w:val="24"/>
        </w:rPr>
        <w:t xml:space="preserve">. (2023) reported </w:t>
      </w:r>
      <w:r w:rsidR="00740254" w:rsidRPr="009D50B9">
        <w:rPr>
          <w:rFonts w:ascii="Times New Roman" w:hAnsi="Times New Roman"/>
          <w:i/>
          <w:iCs/>
          <w:sz w:val="24"/>
          <w:szCs w:val="24"/>
        </w:rPr>
        <w:t>Pseudomonas aeruginosa</w:t>
      </w:r>
      <w:r w:rsidR="00740254" w:rsidRPr="009D50B9">
        <w:rPr>
          <w:rFonts w:ascii="Times New Roman" w:hAnsi="Times New Roman"/>
          <w:sz w:val="24"/>
          <w:szCs w:val="24"/>
        </w:rPr>
        <w:t xml:space="preserve"> S07 as a biosurfactant producing and </w:t>
      </w:r>
      <w:r w:rsidR="006F5367" w:rsidRPr="009D50B9">
        <w:rPr>
          <w:rFonts w:ascii="Times New Roman" w:hAnsi="Times New Roman"/>
          <w:sz w:val="24"/>
          <w:szCs w:val="24"/>
        </w:rPr>
        <w:t xml:space="preserve">a </w:t>
      </w:r>
      <w:r w:rsidR="00740254" w:rsidRPr="009D50B9">
        <w:rPr>
          <w:rFonts w:ascii="Times New Roman" w:hAnsi="Times New Roman"/>
          <w:sz w:val="24"/>
          <w:szCs w:val="24"/>
        </w:rPr>
        <w:t xml:space="preserve">key plant growth promoting traits, including potassium solubilization, highlighting its potential for bioformulations that enhance soil remediation and plant nutrition. Extending this observation, Malakar </w:t>
      </w:r>
      <w:r w:rsidR="00740254" w:rsidRPr="009D50B9">
        <w:rPr>
          <w:rFonts w:ascii="Times New Roman" w:hAnsi="Times New Roman"/>
          <w:i/>
          <w:iCs/>
          <w:sz w:val="24"/>
          <w:szCs w:val="24"/>
        </w:rPr>
        <w:t>et al</w:t>
      </w:r>
      <w:r w:rsidR="00740254" w:rsidRPr="009D50B9">
        <w:rPr>
          <w:rFonts w:ascii="Times New Roman" w:hAnsi="Times New Roman"/>
          <w:sz w:val="24"/>
          <w:szCs w:val="24"/>
        </w:rPr>
        <w:t xml:space="preserve">. (2023) reported nine strains, among all strains </w:t>
      </w:r>
      <w:r w:rsidR="00740254" w:rsidRPr="009D50B9">
        <w:rPr>
          <w:rFonts w:ascii="Times New Roman" w:hAnsi="Times New Roman"/>
          <w:i/>
          <w:iCs/>
          <w:sz w:val="24"/>
          <w:szCs w:val="24"/>
        </w:rPr>
        <w:t>Bacillus licheniformis</w:t>
      </w:r>
      <w:r w:rsidR="00740254" w:rsidRPr="009D50B9">
        <w:rPr>
          <w:rFonts w:ascii="Times New Roman" w:hAnsi="Times New Roman"/>
          <w:sz w:val="24"/>
          <w:szCs w:val="24"/>
        </w:rPr>
        <w:t xml:space="preserve"> SCV1 emerged as the most efficient with strong antifungal activity due to iturin lipopeptide</w:t>
      </w:r>
      <w:r w:rsidR="00F86DC3" w:rsidRPr="009D50B9">
        <w:rPr>
          <w:rFonts w:ascii="Times New Roman" w:hAnsi="Times New Roman"/>
          <w:sz w:val="24"/>
          <w:szCs w:val="24"/>
        </w:rPr>
        <w:t xml:space="preserve"> and </w:t>
      </w:r>
      <w:r w:rsidR="00740254" w:rsidRPr="009D50B9">
        <w:rPr>
          <w:rFonts w:ascii="Times New Roman" w:hAnsi="Times New Roman"/>
          <w:sz w:val="24"/>
          <w:szCs w:val="24"/>
        </w:rPr>
        <w:t xml:space="preserve">exhibited multifarious plant growth promoting traits including </w:t>
      </w:r>
      <w:r w:rsidR="00F86DC3" w:rsidRPr="009D50B9">
        <w:rPr>
          <w:rFonts w:ascii="Times New Roman" w:hAnsi="Times New Roman"/>
          <w:sz w:val="24"/>
          <w:szCs w:val="24"/>
        </w:rPr>
        <w:t xml:space="preserve">potassium and zinc solubilization, </w:t>
      </w:r>
      <w:r w:rsidR="00740254" w:rsidRPr="009D50B9">
        <w:rPr>
          <w:rFonts w:ascii="Times New Roman" w:hAnsi="Times New Roman"/>
          <w:sz w:val="24"/>
          <w:szCs w:val="24"/>
        </w:rPr>
        <w:t xml:space="preserve">nitrogen fixation, ammonia production and protease and cellulase activity, highlighting its dual role in enhancing crop productivity and protecting plants from phytopathogens. </w:t>
      </w:r>
      <w:r w:rsidR="00740254" w:rsidRPr="009D50B9">
        <w:rPr>
          <w:rFonts w:ascii="Times New Roman" w:eastAsia="Times New Roman" w:hAnsi="Times New Roman"/>
          <w:sz w:val="24"/>
          <w:szCs w:val="24"/>
          <w:lang w:eastAsia="en-IN"/>
        </w:rPr>
        <w:t>Further supporting this trend,</w:t>
      </w:r>
      <w:r w:rsidR="00740254" w:rsidRPr="009D50B9">
        <w:rPr>
          <w:rFonts w:ascii="Times New Roman" w:hAnsi="Times New Roman"/>
          <w:sz w:val="24"/>
          <w:szCs w:val="24"/>
        </w:rPr>
        <w:t xml:space="preserve"> Meghana </w:t>
      </w:r>
      <w:r w:rsidR="00740254" w:rsidRPr="009D50B9">
        <w:rPr>
          <w:rFonts w:ascii="Times New Roman" w:hAnsi="Times New Roman"/>
          <w:i/>
          <w:iCs/>
          <w:sz w:val="24"/>
          <w:szCs w:val="24"/>
        </w:rPr>
        <w:t>et al</w:t>
      </w:r>
      <w:r w:rsidR="00740254" w:rsidRPr="009D50B9">
        <w:rPr>
          <w:rFonts w:ascii="Times New Roman" w:hAnsi="Times New Roman"/>
          <w:sz w:val="24"/>
          <w:szCs w:val="24"/>
        </w:rPr>
        <w:t xml:space="preserve">. (2025) reported 40 biosurfactant producing bacterial isolates exhibited plant growth promoting traits, including potassium solubilization, in addition to phosphate and zinc solubilization, IAA and </w:t>
      </w:r>
      <w:r w:rsidR="00740254" w:rsidRPr="009D50B9">
        <w:rPr>
          <w:rFonts w:ascii="Times New Roman" w:hAnsi="Times New Roman"/>
          <w:sz w:val="24"/>
          <w:szCs w:val="24"/>
        </w:rPr>
        <w:lastRenderedPageBreak/>
        <w:t>gibberellic acid production, indicating their potential as bio-inoculants for enhancing chickpea growth and stress tolerance.</w:t>
      </w:r>
    </w:p>
    <w:p w14:paraId="207DA911" w14:textId="4A42BC52" w:rsidR="00740254" w:rsidRPr="009D50B9" w:rsidRDefault="003F001A" w:rsidP="00740254">
      <w:pPr>
        <w:autoSpaceDE w:val="0"/>
        <w:autoSpaceDN w:val="0"/>
        <w:adjustRightInd w:val="0"/>
        <w:spacing w:after="0" w:line="360" w:lineRule="auto"/>
        <w:jc w:val="both"/>
        <w:rPr>
          <w:rFonts w:ascii="Times New Roman" w:eastAsia="Times New Roman" w:hAnsi="Times New Roman"/>
          <w:b/>
          <w:bCs/>
          <w:sz w:val="24"/>
          <w:szCs w:val="24"/>
          <w:lang w:val="en-GB"/>
        </w:rPr>
      </w:pPr>
      <w:r w:rsidRPr="009D50B9">
        <w:rPr>
          <w:rFonts w:ascii="Times New Roman" w:eastAsia="Times New Roman" w:hAnsi="Times New Roman"/>
          <w:b/>
          <w:bCs/>
          <w:sz w:val="24"/>
          <w:szCs w:val="24"/>
          <w:lang w:val="en-GB"/>
        </w:rPr>
        <w:t>3.3</w:t>
      </w:r>
      <w:r w:rsidRPr="009D50B9">
        <w:rPr>
          <w:rFonts w:ascii="Times New Roman" w:eastAsia="Times New Roman" w:hAnsi="Times New Roman"/>
          <w:b/>
          <w:bCs/>
          <w:i/>
          <w:iCs/>
          <w:sz w:val="24"/>
          <w:szCs w:val="24"/>
          <w:lang w:val="en-GB"/>
        </w:rPr>
        <w:t xml:space="preserve"> </w:t>
      </w:r>
      <w:r w:rsidR="00740254" w:rsidRPr="009D50B9">
        <w:rPr>
          <w:rFonts w:ascii="Times New Roman" w:eastAsia="Times New Roman" w:hAnsi="Times New Roman"/>
          <w:b/>
          <w:bCs/>
          <w:i/>
          <w:iCs/>
          <w:sz w:val="24"/>
          <w:szCs w:val="24"/>
          <w:lang w:val="en-GB"/>
        </w:rPr>
        <w:t>In vitro</w:t>
      </w:r>
      <w:r w:rsidR="00740254" w:rsidRPr="009D50B9">
        <w:rPr>
          <w:rFonts w:ascii="Times New Roman" w:eastAsia="Times New Roman" w:hAnsi="Times New Roman"/>
          <w:b/>
          <w:bCs/>
          <w:sz w:val="24"/>
          <w:szCs w:val="24"/>
          <w:lang w:val="en-GB"/>
        </w:rPr>
        <w:t xml:space="preserve"> antagonism against </w:t>
      </w:r>
      <w:r w:rsidR="00740254" w:rsidRPr="009D50B9">
        <w:rPr>
          <w:rFonts w:ascii="Times New Roman" w:eastAsia="Times New Roman" w:hAnsi="Times New Roman"/>
          <w:b/>
          <w:bCs/>
          <w:i/>
          <w:iCs/>
          <w:sz w:val="24"/>
          <w:szCs w:val="24"/>
          <w:lang w:val="en-GB"/>
        </w:rPr>
        <w:t>Pyricularia</w:t>
      </w:r>
      <w:r w:rsidR="00740254" w:rsidRPr="009D50B9">
        <w:rPr>
          <w:rFonts w:ascii="Times New Roman" w:eastAsia="Times New Roman" w:hAnsi="Times New Roman"/>
          <w:b/>
          <w:bCs/>
          <w:sz w:val="24"/>
          <w:szCs w:val="24"/>
          <w:lang w:val="en-GB"/>
        </w:rPr>
        <w:t xml:space="preserve"> </w:t>
      </w:r>
      <w:r w:rsidR="00740254" w:rsidRPr="009D50B9">
        <w:rPr>
          <w:rFonts w:ascii="Times New Roman" w:eastAsia="Times New Roman" w:hAnsi="Times New Roman"/>
          <w:b/>
          <w:bCs/>
          <w:i/>
          <w:iCs/>
          <w:sz w:val="24"/>
          <w:szCs w:val="24"/>
          <w:lang w:val="en-GB"/>
        </w:rPr>
        <w:t>grisea</w:t>
      </w:r>
      <w:r w:rsidR="00740254" w:rsidRPr="009D50B9">
        <w:rPr>
          <w:rFonts w:ascii="Times New Roman" w:eastAsia="Times New Roman" w:hAnsi="Times New Roman"/>
          <w:b/>
          <w:bCs/>
          <w:sz w:val="24"/>
          <w:szCs w:val="24"/>
          <w:lang w:val="en-GB"/>
        </w:rPr>
        <w:t xml:space="preserve"> using biosurfactants producing </w:t>
      </w:r>
      <w:r w:rsidRPr="009D50B9">
        <w:rPr>
          <w:rFonts w:ascii="Times New Roman" w:eastAsia="Times New Roman" w:hAnsi="Times New Roman"/>
          <w:b/>
          <w:bCs/>
          <w:sz w:val="24"/>
          <w:szCs w:val="24"/>
          <w:lang w:val="en-GB"/>
        </w:rPr>
        <w:tab/>
      </w:r>
      <w:r w:rsidR="00740254" w:rsidRPr="009D50B9">
        <w:rPr>
          <w:rFonts w:ascii="Times New Roman" w:eastAsia="Times New Roman" w:hAnsi="Times New Roman"/>
          <w:b/>
          <w:bCs/>
          <w:sz w:val="24"/>
          <w:szCs w:val="24"/>
          <w:lang w:val="en-GB"/>
        </w:rPr>
        <w:t xml:space="preserve">bacterial </w:t>
      </w:r>
      <w:r w:rsidR="004D23D3" w:rsidRPr="004D23D3">
        <w:rPr>
          <w:rFonts w:ascii="Times New Roman" w:eastAsia="Times New Roman" w:hAnsi="Times New Roman"/>
          <w:b/>
          <w:bCs/>
          <w:sz w:val="24"/>
          <w:szCs w:val="24"/>
          <w:lang w:val="en-GB"/>
        </w:rPr>
        <w:t>isolates</w:t>
      </w:r>
    </w:p>
    <w:p w14:paraId="5E3BB399" w14:textId="0449B55E" w:rsidR="00E82D3F" w:rsidRPr="009D50B9" w:rsidRDefault="003F001A" w:rsidP="00E82D3F">
      <w:pPr>
        <w:autoSpaceDE w:val="0"/>
        <w:autoSpaceDN w:val="0"/>
        <w:adjustRightInd w:val="0"/>
        <w:spacing w:after="0" w:line="360" w:lineRule="auto"/>
        <w:jc w:val="both"/>
        <w:rPr>
          <w:rFonts w:ascii="Times New Roman" w:hAnsi="Times New Roman"/>
          <w:b/>
          <w:bCs/>
          <w:sz w:val="24"/>
          <w:szCs w:val="24"/>
        </w:rPr>
      </w:pPr>
      <w:r w:rsidRPr="009D50B9">
        <w:rPr>
          <w:rFonts w:ascii="Times New Roman" w:hAnsi="Times New Roman"/>
          <w:b/>
          <w:bCs/>
          <w:sz w:val="24"/>
          <w:szCs w:val="24"/>
        </w:rPr>
        <w:t xml:space="preserve">3.3.1 </w:t>
      </w:r>
      <w:r w:rsidR="00E82D3F" w:rsidRPr="009D50B9">
        <w:rPr>
          <w:rFonts w:ascii="Times New Roman" w:hAnsi="Times New Roman"/>
          <w:b/>
          <w:bCs/>
          <w:sz w:val="24"/>
          <w:szCs w:val="24"/>
        </w:rPr>
        <w:t>Isolation of the pathogen</w:t>
      </w:r>
    </w:p>
    <w:p w14:paraId="3365ED71" w14:textId="1A92506C" w:rsidR="00E82D3F" w:rsidRPr="009D50B9" w:rsidRDefault="00E82D3F" w:rsidP="00E82D3F">
      <w:pPr>
        <w:autoSpaceDE w:val="0"/>
        <w:autoSpaceDN w:val="0"/>
        <w:adjustRightInd w:val="0"/>
        <w:spacing w:after="0" w:line="360" w:lineRule="auto"/>
        <w:ind w:firstLine="720"/>
        <w:jc w:val="both"/>
        <w:rPr>
          <w:rFonts w:ascii="Times New Roman" w:hAnsi="Times New Roman"/>
          <w:sz w:val="24"/>
          <w:szCs w:val="24"/>
        </w:rPr>
      </w:pPr>
      <w:r w:rsidRPr="009D50B9">
        <w:rPr>
          <w:rFonts w:ascii="Times New Roman" w:hAnsi="Times New Roman"/>
          <w:sz w:val="24"/>
          <w:szCs w:val="24"/>
        </w:rPr>
        <w:t>The pathogen was obtained from diseased plant samples through the monoconidial isolation technique to get a pure culture. The axenic culture of the blast fungus exhibited greyish colonies with smooth, circular margins and concentric ring patterns on ragi yeast lactose agar (RYLA) medium. Microscopic observation revealed pyriform, three-celled conidia and the isolates were maintained for su</w:t>
      </w:r>
      <w:r w:rsidR="00211DA6" w:rsidRPr="009D50B9">
        <w:rPr>
          <w:rFonts w:ascii="Times New Roman" w:hAnsi="Times New Roman"/>
          <w:sz w:val="24"/>
          <w:szCs w:val="24"/>
        </w:rPr>
        <w:t xml:space="preserve">bsequent investigations (Plate </w:t>
      </w:r>
      <w:r w:rsidR="00826A59" w:rsidRPr="009D50B9">
        <w:rPr>
          <w:rFonts w:ascii="Times New Roman" w:hAnsi="Times New Roman"/>
          <w:sz w:val="24"/>
          <w:szCs w:val="24"/>
        </w:rPr>
        <w:t>2</w:t>
      </w:r>
      <w:r w:rsidRPr="009D50B9">
        <w:rPr>
          <w:rFonts w:ascii="Times New Roman" w:hAnsi="Times New Roman"/>
          <w:sz w:val="24"/>
          <w:szCs w:val="24"/>
        </w:rPr>
        <w:t xml:space="preserve">). Morphological and microscopic characteristics identified the pathogen as </w:t>
      </w:r>
      <w:r w:rsidRPr="009D50B9">
        <w:rPr>
          <w:rFonts w:ascii="Times New Roman" w:hAnsi="Times New Roman"/>
          <w:i/>
          <w:iCs/>
          <w:sz w:val="24"/>
          <w:szCs w:val="24"/>
        </w:rPr>
        <w:t>Pyricularia</w:t>
      </w:r>
      <w:r w:rsidRPr="009D50B9">
        <w:rPr>
          <w:rFonts w:ascii="Times New Roman" w:hAnsi="Times New Roman"/>
          <w:sz w:val="24"/>
          <w:szCs w:val="24"/>
        </w:rPr>
        <w:t xml:space="preserve"> spp. Cultures of </w:t>
      </w:r>
      <w:r w:rsidRPr="009D50B9">
        <w:rPr>
          <w:rFonts w:ascii="Times New Roman" w:hAnsi="Times New Roman"/>
          <w:i/>
          <w:iCs/>
          <w:sz w:val="24"/>
          <w:szCs w:val="24"/>
        </w:rPr>
        <w:t>Pyricularia grisea</w:t>
      </w:r>
      <w:r w:rsidRPr="009D50B9">
        <w:rPr>
          <w:rFonts w:ascii="Times New Roman" w:hAnsi="Times New Roman"/>
          <w:sz w:val="24"/>
          <w:szCs w:val="24"/>
        </w:rPr>
        <w:t xml:space="preserve"> typically appeared grey, with conidiophores occurring singly or in groups, simple or occasionally branched, showing sympodial growth. Single conidia formed at the tips of conidiophores, exhibiting a pyriform to obclavate shape, tapering towards the tip, rounded at the base, three-celled (rarely one or two celled)</w:t>
      </w:r>
      <w:r w:rsidR="00083160">
        <w:rPr>
          <w:rFonts w:ascii="Times New Roman" w:hAnsi="Times New Roman"/>
          <w:sz w:val="24"/>
          <w:szCs w:val="24"/>
        </w:rPr>
        <w:t xml:space="preserve"> </w:t>
      </w:r>
      <w:r w:rsidRPr="009D50B9">
        <w:rPr>
          <w:rFonts w:ascii="Times New Roman" w:hAnsi="Times New Roman"/>
          <w:sz w:val="24"/>
          <w:szCs w:val="24"/>
        </w:rPr>
        <w:t xml:space="preserve">with a prominent basal hilum. </w:t>
      </w:r>
      <w:r w:rsidR="00B47FB0" w:rsidRPr="009D50B9">
        <w:rPr>
          <w:rFonts w:ascii="Times New Roman" w:hAnsi="Times New Roman"/>
          <w:sz w:val="24"/>
          <w:szCs w:val="24"/>
        </w:rPr>
        <w:t xml:space="preserve">The isoforms of </w:t>
      </w:r>
      <w:r w:rsidR="00B47FB0" w:rsidRPr="009D50B9">
        <w:rPr>
          <w:rFonts w:ascii="Times New Roman" w:hAnsi="Times New Roman"/>
          <w:i/>
          <w:iCs/>
          <w:sz w:val="24"/>
          <w:szCs w:val="24"/>
        </w:rPr>
        <w:t>Pyricularia grisea</w:t>
      </w:r>
      <w:r w:rsidR="00B47FB0" w:rsidRPr="009D50B9">
        <w:rPr>
          <w:rFonts w:ascii="Times New Roman" w:hAnsi="Times New Roman"/>
          <w:sz w:val="24"/>
          <w:szCs w:val="24"/>
        </w:rPr>
        <w:t xml:space="preserve"> produced irregular colonies with ring-like structures and rough to smooth margins on oatmeal agar (Srivastava </w:t>
      </w:r>
      <w:r w:rsidR="00B47FB0" w:rsidRPr="009D50B9">
        <w:rPr>
          <w:rFonts w:ascii="Times New Roman" w:hAnsi="Times New Roman"/>
          <w:i/>
          <w:iCs/>
          <w:sz w:val="24"/>
          <w:szCs w:val="24"/>
        </w:rPr>
        <w:t>et al</w:t>
      </w:r>
      <w:r w:rsidR="00B47FB0" w:rsidRPr="009D50B9">
        <w:rPr>
          <w:rFonts w:ascii="Times New Roman" w:hAnsi="Times New Roman"/>
          <w:sz w:val="24"/>
          <w:szCs w:val="24"/>
        </w:rPr>
        <w:t xml:space="preserve">., 2014). Growth patterns varied, with most isolates showing circular colonies, while some displayed irregular patterns; mycelial elevation ranged from flat to raised (Boyapati </w:t>
      </w:r>
      <w:r w:rsidR="00B47FB0" w:rsidRPr="009D50B9">
        <w:rPr>
          <w:rFonts w:ascii="Times New Roman" w:hAnsi="Times New Roman"/>
          <w:i/>
          <w:iCs/>
          <w:sz w:val="24"/>
          <w:szCs w:val="24"/>
        </w:rPr>
        <w:t>et al</w:t>
      </w:r>
      <w:r w:rsidR="00B47FB0" w:rsidRPr="009D50B9">
        <w:rPr>
          <w:rFonts w:ascii="Times New Roman" w:hAnsi="Times New Roman"/>
          <w:sz w:val="24"/>
          <w:szCs w:val="24"/>
        </w:rPr>
        <w:t xml:space="preserve">., 2021). Colony colour ranged from grey, greyish-white, dark black, blackish white to greyish black, with surface textures varying from downy to flat, often with submerged growth and both smooth and rough margins on OMA medium (Panda </w:t>
      </w:r>
      <w:r w:rsidR="00B47FB0" w:rsidRPr="009D50B9">
        <w:rPr>
          <w:rFonts w:ascii="Times New Roman" w:hAnsi="Times New Roman"/>
          <w:i/>
          <w:iCs/>
          <w:sz w:val="24"/>
          <w:szCs w:val="24"/>
        </w:rPr>
        <w:t>et al</w:t>
      </w:r>
      <w:r w:rsidR="00B47FB0" w:rsidRPr="009D50B9">
        <w:rPr>
          <w:rFonts w:ascii="Times New Roman" w:hAnsi="Times New Roman"/>
          <w:sz w:val="24"/>
          <w:szCs w:val="24"/>
        </w:rPr>
        <w:t>., 2017).</w:t>
      </w:r>
    </w:p>
    <w:p w14:paraId="78ED8984" w14:textId="67045C06" w:rsidR="00211DA6" w:rsidRPr="009D50B9" w:rsidRDefault="00211DA6" w:rsidP="00211DA6">
      <w:pPr>
        <w:autoSpaceDE w:val="0"/>
        <w:autoSpaceDN w:val="0"/>
        <w:adjustRightInd w:val="0"/>
        <w:spacing w:after="0" w:line="360" w:lineRule="auto"/>
        <w:ind w:firstLine="720"/>
        <w:jc w:val="center"/>
        <w:rPr>
          <w:rFonts w:ascii="Times New Roman" w:hAnsi="Times New Roman"/>
          <w:sz w:val="24"/>
          <w:szCs w:val="24"/>
        </w:rPr>
      </w:pPr>
      <w:r w:rsidRPr="009D50B9">
        <w:rPr>
          <w:noProof/>
          <w:sz w:val="26"/>
          <w:szCs w:val="26"/>
          <w:lang w:val="en-US"/>
        </w:rPr>
        <w:drawing>
          <wp:inline distT="0" distB="0" distL="0" distR="0" wp14:anchorId="30323E96" wp14:editId="4B4AEE6B">
            <wp:extent cx="3070459" cy="2383567"/>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duotone>
                        <a:prstClr val="black"/>
                        <a:schemeClr val="accent1">
                          <a:tint val="45000"/>
                          <a:satMod val="400000"/>
                        </a:schemeClr>
                      </a:duotone>
                    </a:blip>
                    <a:stretch>
                      <a:fillRect/>
                    </a:stretch>
                  </pic:blipFill>
                  <pic:spPr>
                    <a:xfrm>
                      <a:off x="0" y="0"/>
                      <a:ext cx="3085210" cy="2395018"/>
                    </a:xfrm>
                    <a:prstGeom prst="rect">
                      <a:avLst/>
                    </a:prstGeom>
                  </pic:spPr>
                </pic:pic>
              </a:graphicData>
            </a:graphic>
          </wp:inline>
        </w:drawing>
      </w:r>
    </w:p>
    <w:p w14:paraId="47DBACEA" w14:textId="6DFA37B8" w:rsidR="001E5BFC" w:rsidRPr="001E5BFC" w:rsidRDefault="00211DA6" w:rsidP="00211DA6">
      <w:pPr>
        <w:spacing w:after="0" w:line="360" w:lineRule="auto"/>
        <w:ind w:left="1170" w:hanging="1170"/>
        <w:jc w:val="center"/>
        <w:rPr>
          <w:rFonts w:ascii="Times New Roman" w:hAnsi="Times New Roman"/>
          <w:b/>
          <w:bCs/>
          <w:i/>
          <w:iCs/>
          <w:noProof/>
          <w:sz w:val="24"/>
          <w:szCs w:val="24"/>
          <w:lang w:eastAsia="en-IN"/>
        </w:rPr>
      </w:pPr>
      <w:r w:rsidRPr="00636FCB">
        <w:rPr>
          <w:rFonts w:ascii="Times New Roman" w:hAnsi="Times New Roman"/>
          <w:b/>
          <w:bCs/>
          <w:noProof/>
          <w:sz w:val="24"/>
          <w:szCs w:val="24"/>
          <w:lang w:val="en-US" w:eastAsia="en-IN"/>
        </w:rPr>
        <w:t xml:space="preserve">Plate </w:t>
      </w:r>
      <w:r w:rsidR="00826A59" w:rsidRPr="00636FCB">
        <w:rPr>
          <w:rFonts w:ascii="Times New Roman" w:hAnsi="Times New Roman"/>
          <w:b/>
          <w:bCs/>
          <w:noProof/>
          <w:sz w:val="24"/>
          <w:szCs w:val="24"/>
          <w:lang w:val="en-US" w:eastAsia="en-IN"/>
        </w:rPr>
        <w:t>2</w:t>
      </w:r>
      <w:r w:rsidRPr="00636FCB">
        <w:rPr>
          <w:rFonts w:ascii="Times New Roman" w:hAnsi="Times New Roman"/>
          <w:b/>
          <w:bCs/>
          <w:noProof/>
          <w:sz w:val="24"/>
          <w:szCs w:val="24"/>
          <w:lang w:val="en-US" w:eastAsia="en-IN"/>
        </w:rPr>
        <w:t>:</w:t>
      </w:r>
      <w:r w:rsidR="004E61E3" w:rsidRPr="00636FCB">
        <w:rPr>
          <w:sz w:val="20"/>
          <w:szCs w:val="20"/>
        </w:rPr>
        <w:t xml:space="preserve"> </w:t>
      </w:r>
      <w:r w:rsidR="00411DB7" w:rsidRPr="001E5BFC">
        <w:rPr>
          <w:rFonts w:ascii="Times New Roman" w:hAnsi="Times New Roman"/>
          <w:b/>
          <w:bCs/>
          <w:noProof/>
          <w:sz w:val="24"/>
          <w:szCs w:val="24"/>
          <w:lang w:eastAsia="en-IN"/>
        </w:rPr>
        <w:t xml:space="preserve">Pyriform </w:t>
      </w:r>
      <w:r w:rsidR="001E5BFC" w:rsidRPr="001E5BFC">
        <w:rPr>
          <w:rFonts w:ascii="Times New Roman" w:hAnsi="Times New Roman"/>
          <w:b/>
          <w:bCs/>
          <w:noProof/>
          <w:sz w:val="24"/>
          <w:szCs w:val="24"/>
          <w:lang w:eastAsia="en-IN"/>
        </w:rPr>
        <w:t xml:space="preserve">conidia </w:t>
      </w:r>
      <w:r w:rsidR="00411DB7">
        <w:rPr>
          <w:rFonts w:ascii="Times New Roman" w:hAnsi="Times New Roman"/>
          <w:b/>
          <w:bCs/>
          <w:noProof/>
          <w:sz w:val="24"/>
          <w:szCs w:val="24"/>
          <w:lang w:eastAsia="en-IN"/>
        </w:rPr>
        <w:t>of</w:t>
      </w:r>
      <w:r w:rsidR="001E5BFC" w:rsidRPr="001E5BFC">
        <w:rPr>
          <w:rFonts w:ascii="Times New Roman" w:hAnsi="Times New Roman"/>
          <w:b/>
          <w:bCs/>
          <w:i/>
          <w:iCs/>
          <w:noProof/>
          <w:sz w:val="24"/>
          <w:szCs w:val="24"/>
          <w:lang w:eastAsia="en-IN"/>
        </w:rPr>
        <w:t xml:space="preserve"> Pyricularia grisea</w:t>
      </w:r>
      <w:r w:rsidR="00411DB7">
        <w:rPr>
          <w:rFonts w:ascii="Times New Roman" w:hAnsi="Times New Roman"/>
          <w:b/>
          <w:bCs/>
          <w:i/>
          <w:iCs/>
          <w:noProof/>
          <w:sz w:val="24"/>
          <w:szCs w:val="24"/>
          <w:lang w:eastAsia="en-IN"/>
        </w:rPr>
        <w:t xml:space="preserve"> </w:t>
      </w:r>
      <w:r w:rsidR="00411DB7" w:rsidRPr="00411DB7">
        <w:rPr>
          <w:rFonts w:ascii="Times New Roman" w:hAnsi="Times New Roman"/>
          <w:b/>
          <w:bCs/>
          <w:noProof/>
          <w:sz w:val="24"/>
          <w:szCs w:val="24"/>
          <w:lang w:eastAsia="en-IN"/>
        </w:rPr>
        <w:t>(</w:t>
      </w:r>
      <w:r w:rsidR="00411DB7">
        <w:rPr>
          <w:rFonts w:ascii="Times New Roman" w:hAnsi="Times New Roman"/>
          <w:b/>
          <w:bCs/>
          <w:noProof/>
          <w:sz w:val="24"/>
          <w:szCs w:val="24"/>
          <w:lang w:eastAsia="en-IN"/>
        </w:rPr>
        <w:t>100X magnification</w:t>
      </w:r>
      <w:r w:rsidR="00411DB7" w:rsidRPr="00411DB7">
        <w:rPr>
          <w:rFonts w:ascii="Times New Roman" w:hAnsi="Times New Roman"/>
          <w:b/>
          <w:bCs/>
          <w:noProof/>
          <w:sz w:val="24"/>
          <w:szCs w:val="24"/>
          <w:lang w:eastAsia="en-IN"/>
        </w:rPr>
        <w:t>)</w:t>
      </w:r>
    </w:p>
    <w:p w14:paraId="1E169A1C" w14:textId="77777777" w:rsidR="003A3598" w:rsidRDefault="003A3598" w:rsidP="00E82D3F">
      <w:pPr>
        <w:autoSpaceDE w:val="0"/>
        <w:autoSpaceDN w:val="0"/>
        <w:adjustRightInd w:val="0"/>
        <w:spacing w:after="0" w:line="360" w:lineRule="auto"/>
        <w:jc w:val="both"/>
        <w:rPr>
          <w:rFonts w:ascii="Times New Roman" w:hAnsi="Times New Roman"/>
          <w:b/>
          <w:bCs/>
          <w:sz w:val="24"/>
          <w:szCs w:val="24"/>
          <w:lang w:val="en-GB"/>
        </w:rPr>
      </w:pPr>
    </w:p>
    <w:p w14:paraId="6852E15D" w14:textId="0676FEB8" w:rsidR="00E82D3F" w:rsidRPr="009D50B9" w:rsidRDefault="003F001A" w:rsidP="00E82D3F">
      <w:pPr>
        <w:autoSpaceDE w:val="0"/>
        <w:autoSpaceDN w:val="0"/>
        <w:adjustRightInd w:val="0"/>
        <w:spacing w:after="0" w:line="360" w:lineRule="auto"/>
        <w:jc w:val="both"/>
        <w:rPr>
          <w:rFonts w:ascii="Times New Roman" w:hAnsi="Times New Roman"/>
          <w:sz w:val="24"/>
          <w:szCs w:val="24"/>
        </w:rPr>
      </w:pPr>
      <w:r w:rsidRPr="009D50B9">
        <w:rPr>
          <w:rFonts w:ascii="Times New Roman" w:hAnsi="Times New Roman"/>
          <w:b/>
          <w:bCs/>
          <w:sz w:val="24"/>
          <w:szCs w:val="24"/>
          <w:lang w:val="en-GB"/>
        </w:rPr>
        <w:lastRenderedPageBreak/>
        <w:t xml:space="preserve">3.3.2 </w:t>
      </w:r>
      <w:r w:rsidR="00E82D3F" w:rsidRPr="009D50B9">
        <w:rPr>
          <w:rFonts w:ascii="Times New Roman" w:hAnsi="Times New Roman"/>
          <w:b/>
          <w:bCs/>
          <w:sz w:val="24"/>
          <w:szCs w:val="24"/>
          <w:lang w:val="en-GB"/>
        </w:rPr>
        <w:t>Poison food technique</w:t>
      </w:r>
    </w:p>
    <w:p w14:paraId="7FB637B9" w14:textId="35B45106" w:rsidR="00EC0E1A" w:rsidRPr="00F66460" w:rsidRDefault="00E82D3F" w:rsidP="00390E22">
      <w:pPr>
        <w:autoSpaceDE w:val="0"/>
        <w:autoSpaceDN w:val="0"/>
        <w:adjustRightInd w:val="0"/>
        <w:spacing w:after="0" w:line="360" w:lineRule="auto"/>
        <w:ind w:firstLine="720"/>
        <w:jc w:val="both"/>
        <w:rPr>
          <w:rFonts w:ascii="Times New Roman" w:hAnsi="Times New Roman"/>
          <w:sz w:val="24"/>
          <w:szCs w:val="24"/>
        </w:rPr>
      </w:pPr>
      <w:r w:rsidRPr="009D50B9">
        <w:rPr>
          <w:rFonts w:ascii="Times New Roman" w:hAnsi="Times New Roman"/>
          <w:sz w:val="24"/>
          <w:szCs w:val="24"/>
        </w:rPr>
        <w:t>Poison food technique is an experimental method used to evaluate the antifungal activity of various substances by incorporating them into a growth medium and measuring their effect on fungal growth. It is used due to its simplicity, reproducibility and ability to test multiple concentrations of a substance for fungistatic (growth inhibiting) effects in a controlled laboratory setting</w:t>
      </w:r>
      <w:r w:rsidRPr="009D50B9">
        <w:rPr>
          <w:rFonts w:ascii="Times New Roman" w:eastAsia="Times New Roman" w:hAnsi="Times New Roman"/>
          <w:sz w:val="24"/>
          <w:szCs w:val="24"/>
          <w:lang w:eastAsia="en-IN"/>
        </w:rPr>
        <w:t xml:space="preserve"> (</w:t>
      </w:r>
      <w:r w:rsidRPr="009D50B9">
        <w:rPr>
          <w:rFonts w:ascii="Times New Roman" w:hAnsi="Times New Roman"/>
          <w:sz w:val="24"/>
          <w:szCs w:val="24"/>
        </w:rPr>
        <w:t xml:space="preserve">Gakuubi </w:t>
      </w:r>
      <w:r w:rsidRPr="009D50B9">
        <w:rPr>
          <w:rFonts w:ascii="Times New Roman" w:hAnsi="Times New Roman"/>
          <w:i/>
          <w:iCs/>
          <w:sz w:val="24"/>
          <w:szCs w:val="24"/>
        </w:rPr>
        <w:t>et al</w:t>
      </w:r>
      <w:r w:rsidRPr="009D50B9">
        <w:rPr>
          <w:rFonts w:ascii="Times New Roman" w:hAnsi="Times New Roman"/>
          <w:sz w:val="24"/>
          <w:szCs w:val="24"/>
        </w:rPr>
        <w:t xml:space="preserve">., 2021). The antifungal activity of the tested bacterial isolates was evaluated at two concentrations (2 mg/mL and 4 mg/mL) against the </w:t>
      </w:r>
      <w:r w:rsidRPr="009D50B9">
        <w:rPr>
          <w:rFonts w:ascii="Times New Roman" w:hAnsi="Times New Roman"/>
          <w:i/>
          <w:iCs/>
          <w:sz w:val="24"/>
          <w:szCs w:val="24"/>
        </w:rPr>
        <w:t>Pyricularia grisea</w:t>
      </w:r>
      <w:r w:rsidRPr="009D50B9">
        <w:rPr>
          <w:rFonts w:ascii="Times New Roman" w:hAnsi="Times New Roman"/>
          <w:sz w:val="24"/>
          <w:szCs w:val="24"/>
        </w:rPr>
        <w:t>. All isolates demonstrated a dose dependent increase in mycelial growth inhibition, with higher suppression observed at 4 mg/mL compared to 2 mg/mL. At 2 mg/mL, inhibition ranged from 48.00% (</w:t>
      </w:r>
      <w:r w:rsidR="00387E40" w:rsidRPr="009D50B9">
        <w:rPr>
          <w:rFonts w:ascii="Times New Roman" w:eastAsia="Times New Roman" w:hAnsi="Times New Roman"/>
          <w:sz w:val="24"/>
          <w:szCs w:val="24"/>
          <w:lang w:val="en-US" w:eastAsia="en-IN"/>
        </w:rPr>
        <w:t>BSB-11</w:t>
      </w:r>
      <w:r w:rsidRPr="009D50B9">
        <w:rPr>
          <w:rFonts w:ascii="Times New Roman" w:hAnsi="Times New Roman"/>
          <w:sz w:val="24"/>
          <w:szCs w:val="24"/>
        </w:rPr>
        <w:t>) to 58.41% (</w:t>
      </w:r>
      <w:r w:rsidR="00387E40" w:rsidRPr="009D50B9">
        <w:rPr>
          <w:rFonts w:ascii="Times New Roman" w:eastAsia="Times New Roman" w:hAnsi="Times New Roman"/>
          <w:sz w:val="24"/>
          <w:szCs w:val="24"/>
          <w:lang w:val="en-US" w:eastAsia="en-IN"/>
        </w:rPr>
        <w:t>BSB-2</w:t>
      </w:r>
      <w:r w:rsidRPr="009D50B9">
        <w:rPr>
          <w:rFonts w:ascii="Times New Roman" w:hAnsi="Times New Roman"/>
          <w:sz w:val="24"/>
          <w:szCs w:val="24"/>
        </w:rPr>
        <w:t xml:space="preserve">). Other isolates, including </w:t>
      </w:r>
      <w:r w:rsidR="00387E40" w:rsidRPr="009D50B9">
        <w:rPr>
          <w:rFonts w:ascii="Times New Roman" w:eastAsia="Times New Roman" w:hAnsi="Times New Roman"/>
          <w:sz w:val="24"/>
          <w:szCs w:val="24"/>
          <w:lang w:val="en-US" w:eastAsia="en-IN"/>
        </w:rPr>
        <w:t>BSB-4</w:t>
      </w:r>
      <w:r w:rsidRPr="009D50B9">
        <w:rPr>
          <w:rFonts w:ascii="Times New Roman" w:hAnsi="Times New Roman"/>
          <w:sz w:val="24"/>
          <w:szCs w:val="24"/>
        </w:rPr>
        <w:t xml:space="preserve">, </w:t>
      </w:r>
      <w:r w:rsidR="00387E40" w:rsidRPr="009D50B9">
        <w:rPr>
          <w:rFonts w:ascii="Times New Roman" w:eastAsia="Times New Roman" w:hAnsi="Times New Roman"/>
          <w:sz w:val="24"/>
          <w:szCs w:val="24"/>
          <w:lang w:val="en-US" w:eastAsia="en-IN"/>
        </w:rPr>
        <w:t>BSB-41</w:t>
      </w:r>
      <w:r w:rsidRPr="009D50B9">
        <w:rPr>
          <w:rFonts w:ascii="Times New Roman" w:hAnsi="Times New Roman"/>
          <w:sz w:val="24"/>
          <w:szCs w:val="24"/>
        </w:rPr>
        <w:t xml:space="preserve">, </w:t>
      </w:r>
      <w:r w:rsidR="00387E40" w:rsidRPr="009D50B9">
        <w:rPr>
          <w:rFonts w:ascii="Times New Roman" w:eastAsia="Times New Roman" w:hAnsi="Times New Roman"/>
          <w:sz w:val="24"/>
          <w:szCs w:val="24"/>
          <w:lang w:val="en-US" w:eastAsia="en-IN"/>
        </w:rPr>
        <w:t>BSR-51</w:t>
      </w:r>
      <w:r w:rsidRPr="009D50B9">
        <w:rPr>
          <w:rFonts w:ascii="Times New Roman" w:hAnsi="Times New Roman"/>
          <w:sz w:val="24"/>
          <w:szCs w:val="24"/>
        </w:rPr>
        <w:t xml:space="preserve">, </w:t>
      </w:r>
      <w:r w:rsidRPr="009D50B9">
        <w:rPr>
          <w:rFonts w:ascii="Times New Roman" w:hAnsi="Times New Roman"/>
          <w:i/>
          <w:iCs/>
          <w:sz w:val="24"/>
          <w:szCs w:val="24"/>
        </w:rPr>
        <w:t>Bacillus</w:t>
      </w:r>
      <w:r w:rsidRPr="009D50B9">
        <w:rPr>
          <w:rFonts w:ascii="Times New Roman" w:hAnsi="Times New Roman"/>
          <w:sz w:val="24"/>
          <w:szCs w:val="24"/>
        </w:rPr>
        <w:t xml:space="preserve"> sp. (MCC4316) and </w:t>
      </w:r>
      <w:r w:rsidRPr="009D50B9">
        <w:rPr>
          <w:rFonts w:ascii="Times New Roman" w:hAnsi="Times New Roman"/>
          <w:i/>
          <w:iCs/>
          <w:sz w:val="24"/>
          <w:szCs w:val="24"/>
        </w:rPr>
        <w:t>Pseudomonas fluorescens</w:t>
      </w:r>
      <w:r w:rsidRPr="009D50B9">
        <w:rPr>
          <w:rFonts w:ascii="Times New Roman" w:hAnsi="Times New Roman"/>
          <w:sz w:val="24"/>
          <w:szCs w:val="24"/>
        </w:rPr>
        <w:t xml:space="preserve">, showed moderate inhibition in the range of 52.35–56.24 % (Fig. </w:t>
      </w:r>
      <w:r w:rsidR="00193819" w:rsidRPr="009D50B9">
        <w:rPr>
          <w:rFonts w:ascii="Times New Roman" w:hAnsi="Times New Roman"/>
          <w:sz w:val="24"/>
          <w:szCs w:val="24"/>
        </w:rPr>
        <w:t>1</w:t>
      </w:r>
      <w:r w:rsidRPr="009D50B9">
        <w:rPr>
          <w:rFonts w:ascii="Times New Roman" w:hAnsi="Times New Roman"/>
          <w:sz w:val="24"/>
          <w:szCs w:val="24"/>
        </w:rPr>
        <w:t xml:space="preserve">). </w:t>
      </w:r>
      <w:bookmarkStart w:id="6" w:name="_Hlk214658496"/>
      <w:r w:rsidR="00EC0E1A" w:rsidRPr="009D50B9">
        <w:rPr>
          <w:rFonts w:ascii="Times New Roman" w:hAnsi="Times New Roman"/>
          <w:sz w:val="24"/>
          <w:szCs w:val="24"/>
        </w:rPr>
        <w:t xml:space="preserve">At 4 mg/mL, all isolates achieved &gt;65% inhibition, indicating a significant improvement over the lower concentration. The highest activity was recorded by </w:t>
      </w:r>
      <w:r w:rsidR="00EC0E1A" w:rsidRPr="009D50B9">
        <w:rPr>
          <w:rFonts w:ascii="Times New Roman" w:eastAsia="Times New Roman" w:hAnsi="Times New Roman"/>
          <w:sz w:val="24"/>
          <w:szCs w:val="24"/>
          <w:lang w:val="en-US" w:eastAsia="en-IN"/>
        </w:rPr>
        <w:t>BSB-2</w:t>
      </w:r>
      <w:r w:rsidR="00EC0E1A" w:rsidRPr="009D50B9">
        <w:rPr>
          <w:rFonts w:ascii="Times New Roman" w:hAnsi="Times New Roman"/>
          <w:sz w:val="24"/>
          <w:szCs w:val="24"/>
        </w:rPr>
        <w:t xml:space="preserve"> (71.28%), followed closely by </w:t>
      </w:r>
      <w:r w:rsidR="00EC0E1A" w:rsidRPr="009D50B9">
        <w:rPr>
          <w:rFonts w:ascii="Times New Roman" w:eastAsia="Times New Roman" w:hAnsi="Times New Roman"/>
          <w:sz w:val="24"/>
          <w:szCs w:val="24"/>
          <w:lang w:val="en-US" w:eastAsia="en-IN"/>
        </w:rPr>
        <w:t>BSB-41</w:t>
      </w:r>
      <w:r w:rsidR="00EC0E1A" w:rsidRPr="009D50B9">
        <w:rPr>
          <w:rFonts w:ascii="Times New Roman" w:hAnsi="Times New Roman"/>
          <w:sz w:val="24"/>
          <w:szCs w:val="24"/>
        </w:rPr>
        <w:t xml:space="preserve"> (70.05%) </w:t>
      </w:r>
      <w:bookmarkEnd w:id="6"/>
      <w:r w:rsidR="00EC0E1A" w:rsidRPr="009D50B9">
        <w:rPr>
          <w:rFonts w:ascii="Times New Roman" w:hAnsi="Times New Roman"/>
          <w:sz w:val="24"/>
          <w:szCs w:val="24"/>
        </w:rPr>
        <w:t xml:space="preserve">and </w:t>
      </w:r>
      <w:r w:rsidR="00EC0E1A" w:rsidRPr="009D50B9">
        <w:rPr>
          <w:rFonts w:ascii="Times New Roman" w:eastAsia="Times New Roman" w:hAnsi="Times New Roman"/>
          <w:sz w:val="24"/>
          <w:szCs w:val="24"/>
          <w:lang w:val="en-US" w:eastAsia="en-IN"/>
        </w:rPr>
        <w:t>BSB-11</w:t>
      </w:r>
      <w:r w:rsidR="00EC0E1A" w:rsidRPr="009D50B9">
        <w:rPr>
          <w:rFonts w:ascii="Times New Roman" w:hAnsi="Times New Roman"/>
          <w:sz w:val="24"/>
          <w:szCs w:val="24"/>
        </w:rPr>
        <w:t xml:space="preserve"> (69.00%). </w:t>
      </w:r>
      <w:r w:rsidR="00EC0E1A" w:rsidRPr="009D50B9">
        <w:rPr>
          <w:rFonts w:ascii="Times New Roman" w:hAnsi="Times New Roman"/>
          <w:i/>
          <w:iCs/>
          <w:sz w:val="24"/>
          <w:szCs w:val="24"/>
        </w:rPr>
        <w:t xml:space="preserve">Pseudomonas fluorescens </w:t>
      </w:r>
      <w:r w:rsidR="00EC0E1A" w:rsidRPr="009D50B9">
        <w:rPr>
          <w:rFonts w:ascii="Times New Roman" w:hAnsi="Times New Roman"/>
          <w:sz w:val="24"/>
          <w:szCs w:val="24"/>
        </w:rPr>
        <w:t xml:space="preserve">and </w:t>
      </w:r>
      <w:r w:rsidR="00EC0E1A" w:rsidRPr="009D50B9">
        <w:rPr>
          <w:rFonts w:ascii="Times New Roman" w:hAnsi="Times New Roman"/>
          <w:i/>
          <w:iCs/>
          <w:sz w:val="24"/>
          <w:szCs w:val="24"/>
        </w:rPr>
        <w:t>Bacillus</w:t>
      </w:r>
      <w:r w:rsidR="00EC0E1A" w:rsidRPr="009D50B9">
        <w:rPr>
          <w:rFonts w:ascii="Times New Roman" w:hAnsi="Times New Roman"/>
          <w:sz w:val="24"/>
          <w:szCs w:val="24"/>
        </w:rPr>
        <w:t xml:space="preserve"> sp. (MCC4316) exhibited comparable inhibition levels of 68.00% and 67.54% respectively. The lowest inhibition at this concentration was still substantial, with </w:t>
      </w:r>
      <w:r w:rsidR="00EC0E1A" w:rsidRPr="009D50B9">
        <w:rPr>
          <w:rFonts w:ascii="Times New Roman" w:eastAsia="Times New Roman" w:hAnsi="Times New Roman"/>
          <w:sz w:val="24"/>
          <w:szCs w:val="24"/>
          <w:lang w:val="en-US" w:eastAsia="en-IN"/>
        </w:rPr>
        <w:t xml:space="preserve">BSB-4 </w:t>
      </w:r>
      <w:r w:rsidR="00EC0E1A" w:rsidRPr="009D50B9">
        <w:rPr>
          <w:rFonts w:ascii="Times New Roman" w:hAnsi="Times New Roman"/>
          <w:sz w:val="24"/>
          <w:szCs w:val="24"/>
        </w:rPr>
        <w:t xml:space="preserve">at 65.43%. </w:t>
      </w:r>
      <w:r w:rsidR="00794E2D" w:rsidRPr="006772D5">
        <w:rPr>
          <w:rFonts w:ascii="Times New Roman" w:hAnsi="Times New Roman"/>
          <w:sz w:val="24"/>
          <w:szCs w:val="24"/>
        </w:rPr>
        <w:t>The inhibition observed in the present study using the food poisoning method is in agreement with</w:t>
      </w:r>
      <w:r w:rsidR="00794E2D" w:rsidRPr="00794E2D">
        <w:rPr>
          <w:rFonts w:ascii="Times New Roman" w:hAnsi="Times New Roman"/>
          <w:sz w:val="24"/>
          <w:szCs w:val="24"/>
        </w:rPr>
        <w:t xml:space="preserve"> </w:t>
      </w:r>
      <w:r w:rsidR="00794E2D" w:rsidRPr="006772D5">
        <w:rPr>
          <w:rFonts w:ascii="Times New Roman" w:hAnsi="Times New Roman"/>
          <w:sz w:val="24"/>
          <w:szCs w:val="24"/>
        </w:rPr>
        <w:t xml:space="preserve">Sakiyo </w:t>
      </w:r>
      <w:r w:rsidR="00794E2D" w:rsidRPr="006772D5">
        <w:rPr>
          <w:rFonts w:ascii="Times New Roman" w:hAnsi="Times New Roman"/>
          <w:i/>
          <w:iCs/>
          <w:sz w:val="24"/>
          <w:szCs w:val="24"/>
        </w:rPr>
        <w:t>et al</w:t>
      </w:r>
      <w:r w:rsidR="00794E2D" w:rsidRPr="006772D5">
        <w:rPr>
          <w:rFonts w:ascii="Times New Roman" w:hAnsi="Times New Roman"/>
          <w:sz w:val="24"/>
          <w:szCs w:val="24"/>
        </w:rPr>
        <w:t xml:space="preserve">. (2023) reported that biosurfactants from </w:t>
      </w:r>
      <w:r w:rsidR="00794E2D" w:rsidRPr="006772D5">
        <w:rPr>
          <w:rFonts w:ascii="Times New Roman" w:hAnsi="Times New Roman"/>
          <w:i/>
          <w:iCs/>
          <w:sz w:val="24"/>
          <w:szCs w:val="24"/>
        </w:rPr>
        <w:t>Bacillus licheniformis</w:t>
      </w:r>
      <w:r w:rsidR="00794E2D" w:rsidRPr="006772D5">
        <w:rPr>
          <w:rFonts w:ascii="Times New Roman" w:hAnsi="Times New Roman"/>
          <w:sz w:val="24"/>
          <w:szCs w:val="24"/>
        </w:rPr>
        <w:t xml:space="preserve">, </w:t>
      </w:r>
      <w:r w:rsidR="00794E2D" w:rsidRPr="006772D5">
        <w:rPr>
          <w:rFonts w:ascii="Times New Roman" w:hAnsi="Times New Roman"/>
          <w:i/>
          <w:iCs/>
          <w:sz w:val="24"/>
          <w:szCs w:val="24"/>
        </w:rPr>
        <w:t xml:space="preserve">Bacillus subtilis </w:t>
      </w:r>
      <w:r w:rsidR="00794E2D" w:rsidRPr="006772D5">
        <w:rPr>
          <w:rFonts w:ascii="Times New Roman" w:hAnsi="Times New Roman"/>
          <w:sz w:val="24"/>
          <w:szCs w:val="24"/>
        </w:rPr>
        <w:t xml:space="preserve">and </w:t>
      </w:r>
      <w:r w:rsidR="00794E2D" w:rsidRPr="006772D5">
        <w:rPr>
          <w:rFonts w:ascii="Times New Roman" w:hAnsi="Times New Roman"/>
          <w:i/>
          <w:iCs/>
          <w:sz w:val="24"/>
          <w:szCs w:val="24"/>
        </w:rPr>
        <w:t>Geobacillus stearothermophilus</w:t>
      </w:r>
      <w:r w:rsidR="00794E2D" w:rsidRPr="006772D5">
        <w:rPr>
          <w:rFonts w:ascii="Times New Roman" w:hAnsi="Times New Roman"/>
          <w:sz w:val="24"/>
          <w:szCs w:val="24"/>
        </w:rPr>
        <w:t xml:space="preserve"> inhibited </w:t>
      </w:r>
      <w:r w:rsidR="00794E2D" w:rsidRPr="006772D5">
        <w:rPr>
          <w:rFonts w:ascii="Times New Roman" w:hAnsi="Times New Roman"/>
          <w:i/>
          <w:iCs/>
          <w:sz w:val="24"/>
          <w:szCs w:val="24"/>
        </w:rPr>
        <w:t>Alternaria alternata</w:t>
      </w:r>
      <w:r w:rsidR="00794E2D" w:rsidRPr="006772D5">
        <w:rPr>
          <w:rFonts w:ascii="Times New Roman" w:hAnsi="Times New Roman"/>
          <w:sz w:val="24"/>
          <w:szCs w:val="24"/>
        </w:rPr>
        <w:t xml:space="preserve"> mycelial growth by 70-80% in </w:t>
      </w:r>
      <w:r w:rsidR="00794E2D" w:rsidRPr="006772D5">
        <w:rPr>
          <w:rFonts w:ascii="Times New Roman" w:hAnsi="Times New Roman"/>
          <w:i/>
          <w:iCs/>
          <w:sz w:val="24"/>
          <w:szCs w:val="24"/>
        </w:rPr>
        <w:t>in vitro</w:t>
      </w:r>
      <w:r w:rsidR="00794E2D" w:rsidRPr="006772D5">
        <w:rPr>
          <w:rFonts w:ascii="Times New Roman" w:hAnsi="Times New Roman"/>
          <w:sz w:val="24"/>
          <w:szCs w:val="24"/>
        </w:rPr>
        <w:t xml:space="preserve"> poisoned food assay</w:t>
      </w:r>
      <w:r w:rsidR="00794E2D">
        <w:rPr>
          <w:rFonts w:ascii="Times New Roman" w:hAnsi="Times New Roman"/>
          <w:sz w:val="24"/>
          <w:szCs w:val="24"/>
        </w:rPr>
        <w:t xml:space="preserve">, </w:t>
      </w:r>
      <w:r w:rsidR="00794E2D" w:rsidRPr="006772D5">
        <w:rPr>
          <w:rFonts w:ascii="Times New Roman" w:hAnsi="Times New Roman"/>
          <w:sz w:val="24"/>
          <w:szCs w:val="24"/>
        </w:rPr>
        <w:t xml:space="preserve">lipopeptide biosurfactants from </w:t>
      </w:r>
      <w:r w:rsidR="00794E2D" w:rsidRPr="006772D5">
        <w:rPr>
          <w:rFonts w:ascii="Times New Roman" w:hAnsi="Times New Roman"/>
          <w:i/>
          <w:iCs/>
          <w:sz w:val="24"/>
          <w:szCs w:val="24"/>
        </w:rPr>
        <w:t>Bacillus</w:t>
      </w:r>
      <w:r w:rsidR="00794E2D" w:rsidRPr="006772D5">
        <w:rPr>
          <w:rFonts w:ascii="Times New Roman" w:hAnsi="Times New Roman"/>
          <w:sz w:val="24"/>
          <w:szCs w:val="24"/>
        </w:rPr>
        <w:t xml:space="preserve"> spp. showed superior antifungal efficacy, likely due to enhanced disruption of fungal mycelia and conidiospores.  Hussain and Khan (2022) demonstrated that </w:t>
      </w:r>
      <w:r w:rsidR="00794E2D" w:rsidRPr="006772D5">
        <w:rPr>
          <w:rFonts w:ascii="Times New Roman" w:hAnsi="Times New Roman"/>
          <w:i/>
          <w:iCs/>
          <w:sz w:val="24"/>
          <w:szCs w:val="24"/>
        </w:rPr>
        <w:t>Bacillus siamensis</w:t>
      </w:r>
      <w:r w:rsidR="00794E2D" w:rsidRPr="006772D5">
        <w:rPr>
          <w:rFonts w:ascii="Times New Roman" w:hAnsi="Times New Roman"/>
          <w:sz w:val="24"/>
          <w:szCs w:val="24"/>
        </w:rPr>
        <w:t xml:space="preserve"> AMU03 (GJ-01) strongly inhibited </w:t>
      </w:r>
      <w:r w:rsidR="00794E2D" w:rsidRPr="006772D5">
        <w:rPr>
          <w:rFonts w:ascii="Times New Roman" w:hAnsi="Times New Roman"/>
          <w:i/>
          <w:iCs/>
          <w:sz w:val="24"/>
          <w:szCs w:val="24"/>
        </w:rPr>
        <w:t>Rhizoctonia solani</w:t>
      </w:r>
      <w:r w:rsidR="00794E2D" w:rsidRPr="006772D5">
        <w:rPr>
          <w:rFonts w:ascii="Times New Roman" w:hAnsi="Times New Roman"/>
          <w:sz w:val="24"/>
          <w:szCs w:val="24"/>
        </w:rPr>
        <w:t xml:space="preserve"> and </w:t>
      </w:r>
      <w:r w:rsidR="00794E2D" w:rsidRPr="006772D5">
        <w:rPr>
          <w:rFonts w:ascii="Times New Roman" w:hAnsi="Times New Roman"/>
          <w:i/>
          <w:iCs/>
          <w:sz w:val="24"/>
          <w:szCs w:val="24"/>
        </w:rPr>
        <w:t>Fusarium oxysporum</w:t>
      </w:r>
      <w:r w:rsidR="00794E2D" w:rsidRPr="006772D5">
        <w:rPr>
          <w:rFonts w:ascii="Times New Roman" w:hAnsi="Times New Roman"/>
          <w:sz w:val="24"/>
          <w:szCs w:val="24"/>
        </w:rPr>
        <w:t xml:space="preserve"> in poisoned food assays, achieving 89.40% and 90.20% mycelial growth reduction, respectively, primarily due to volatile lipopeptides such as surfactin, fengycin and iturin.</w:t>
      </w:r>
      <w:r w:rsidR="00F66460">
        <w:rPr>
          <w:rFonts w:ascii="Times New Roman" w:hAnsi="Times New Roman"/>
          <w:sz w:val="24"/>
          <w:szCs w:val="24"/>
        </w:rPr>
        <w:t xml:space="preserve"> </w:t>
      </w:r>
      <w:r w:rsidR="00EC0E1A" w:rsidRPr="009D50B9">
        <w:rPr>
          <w:rFonts w:ascii="Times New Roman" w:hAnsi="Times New Roman"/>
          <w:sz w:val="24"/>
          <w:szCs w:val="24"/>
        </w:rPr>
        <w:t xml:space="preserve">Likewise, Tomar </w:t>
      </w:r>
      <w:r w:rsidR="00EC0E1A" w:rsidRPr="009D50B9">
        <w:rPr>
          <w:rFonts w:ascii="Times New Roman" w:hAnsi="Times New Roman"/>
          <w:i/>
          <w:iCs/>
          <w:sz w:val="24"/>
          <w:szCs w:val="24"/>
        </w:rPr>
        <w:t>et al</w:t>
      </w:r>
      <w:r w:rsidR="00EC0E1A" w:rsidRPr="009D50B9">
        <w:rPr>
          <w:rFonts w:ascii="Times New Roman" w:hAnsi="Times New Roman"/>
          <w:sz w:val="24"/>
          <w:szCs w:val="24"/>
        </w:rPr>
        <w:t xml:space="preserve">. (2014) screened 95 bacterial isolates for biosurfactant and biocontrol activity against </w:t>
      </w:r>
      <w:r w:rsidR="00EC0E1A" w:rsidRPr="009D50B9">
        <w:rPr>
          <w:rFonts w:ascii="Times New Roman" w:hAnsi="Times New Roman"/>
          <w:i/>
          <w:iCs/>
          <w:sz w:val="24"/>
          <w:szCs w:val="24"/>
        </w:rPr>
        <w:t>Phytophthora infestans</w:t>
      </w:r>
      <w:r w:rsidR="00EC0E1A" w:rsidRPr="009D50B9">
        <w:rPr>
          <w:rFonts w:ascii="Times New Roman" w:hAnsi="Times New Roman"/>
          <w:sz w:val="24"/>
          <w:szCs w:val="24"/>
        </w:rPr>
        <w:t xml:space="preserve">, only five isolates were effective, with </w:t>
      </w:r>
      <w:r w:rsidR="00EC0E1A" w:rsidRPr="009D50B9">
        <w:rPr>
          <w:rFonts w:ascii="Times New Roman" w:hAnsi="Times New Roman"/>
          <w:i/>
          <w:iCs/>
          <w:sz w:val="24"/>
          <w:szCs w:val="24"/>
        </w:rPr>
        <w:t>Pseudomonas aeruginosa</w:t>
      </w:r>
      <w:r w:rsidR="00EC0E1A" w:rsidRPr="009D50B9">
        <w:rPr>
          <w:rFonts w:ascii="Times New Roman" w:hAnsi="Times New Roman"/>
          <w:sz w:val="24"/>
          <w:szCs w:val="24"/>
        </w:rPr>
        <w:t>-1 showed highest inhibition (62.22%) and 46.42% respectively, in food poisoning test confirming their strong antifungal potential.</w:t>
      </w:r>
    </w:p>
    <w:p w14:paraId="681B93A2" w14:textId="77777777" w:rsidR="00E82D3F" w:rsidRPr="009D50B9" w:rsidRDefault="00E82D3F" w:rsidP="00E82D3F">
      <w:pPr>
        <w:autoSpaceDE w:val="0"/>
        <w:autoSpaceDN w:val="0"/>
        <w:adjustRightInd w:val="0"/>
        <w:spacing w:after="0" w:line="360" w:lineRule="auto"/>
        <w:jc w:val="both"/>
        <w:rPr>
          <w:rFonts w:ascii="Times New Roman" w:hAnsi="Times New Roman"/>
          <w:b/>
          <w:bCs/>
          <w:sz w:val="24"/>
          <w:szCs w:val="24"/>
          <w:lang w:val="en-US"/>
        </w:rPr>
      </w:pPr>
      <w:r w:rsidRPr="009D50B9">
        <w:rPr>
          <w:rFonts w:ascii="Times New Roman" w:hAnsi="Times New Roman"/>
          <w:noProof/>
          <w:sz w:val="24"/>
          <w:szCs w:val="24"/>
          <w:lang w:val="en-US"/>
        </w:rPr>
        <w:lastRenderedPageBreak/>
        <w:drawing>
          <wp:inline distT="0" distB="0" distL="0" distR="0" wp14:anchorId="6157166E" wp14:editId="3ADCAA60">
            <wp:extent cx="5486400" cy="3108960"/>
            <wp:effectExtent l="0" t="0" r="0" b="15240"/>
            <wp:docPr id="13"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9D50B9">
        <w:rPr>
          <w:rFonts w:ascii="Times New Roman" w:hAnsi="Times New Roman"/>
          <w:b/>
          <w:bCs/>
          <w:sz w:val="24"/>
          <w:szCs w:val="24"/>
          <w:lang w:val="en-US"/>
        </w:rPr>
        <w:t xml:space="preserve"> </w:t>
      </w:r>
    </w:p>
    <w:p w14:paraId="04FB9242" w14:textId="1CEBB083" w:rsidR="00E82D3F" w:rsidRPr="009D50B9" w:rsidRDefault="00E82D3F" w:rsidP="00E82D3F">
      <w:pPr>
        <w:autoSpaceDE w:val="0"/>
        <w:autoSpaceDN w:val="0"/>
        <w:adjustRightInd w:val="0"/>
        <w:spacing w:after="0" w:line="360" w:lineRule="auto"/>
        <w:ind w:left="900" w:hanging="900"/>
        <w:jc w:val="both"/>
        <w:rPr>
          <w:rFonts w:ascii="Times New Roman" w:hAnsi="Times New Roman"/>
          <w:b/>
          <w:bCs/>
          <w:sz w:val="24"/>
          <w:szCs w:val="24"/>
          <w:lang w:val="en-US"/>
        </w:rPr>
      </w:pPr>
      <w:r w:rsidRPr="009D50B9">
        <w:rPr>
          <w:rFonts w:ascii="Times New Roman" w:hAnsi="Times New Roman"/>
          <w:b/>
          <w:bCs/>
          <w:sz w:val="24"/>
          <w:szCs w:val="24"/>
          <w:lang w:val="en-US"/>
        </w:rPr>
        <w:t xml:space="preserve">Fig. </w:t>
      </w:r>
      <w:r w:rsidR="00193819" w:rsidRPr="009D50B9">
        <w:rPr>
          <w:rFonts w:ascii="Times New Roman" w:hAnsi="Times New Roman"/>
          <w:b/>
          <w:bCs/>
          <w:sz w:val="24"/>
          <w:szCs w:val="24"/>
          <w:lang w:val="en-US"/>
        </w:rPr>
        <w:t>1</w:t>
      </w:r>
      <w:r w:rsidRPr="009D50B9">
        <w:rPr>
          <w:rFonts w:ascii="Times New Roman" w:hAnsi="Times New Roman"/>
          <w:b/>
          <w:bCs/>
          <w:sz w:val="24"/>
          <w:szCs w:val="24"/>
          <w:lang w:val="en-US"/>
        </w:rPr>
        <w:t>:</w:t>
      </w:r>
      <w:r w:rsidRPr="009D50B9">
        <w:rPr>
          <w:rFonts w:ascii="Times New Roman" w:hAnsi="Times New Roman"/>
          <w:b/>
          <w:bCs/>
          <w:sz w:val="24"/>
          <w:szCs w:val="24"/>
          <w:lang w:val="en-US"/>
        </w:rPr>
        <w:tab/>
        <w:t xml:space="preserve">Inhibition of growth of </w:t>
      </w:r>
      <w:r w:rsidRPr="009D50B9">
        <w:rPr>
          <w:rFonts w:ascii="Times New Roman" w:hAnsi="Times New Roman"/>
          <w:b/>
          <w:bCs/>
          <w:i/>
          <w:iCs/>
          <w:sz w:val="24"/>
          <w:szCs w:val="24"/>
          <w:lang w:val="en-US"/>
        </w:rPr>
        <w:t xml:space="preserve">Pyricularia grisea </w:t>
      </w:r>
      <w:r w:rsidRPr="009D50B9">
        <w:rPr>
          <w:rFonts w:ascii="Times New Roman" w:hAnsi="Times New Roman"/>
          <w:b/>
          <w:bCs/>
          <w:sz w:val="24"/>
          <w:szCs w:val="24"/>
          <w:lang w:val="en-US"/>
        </w:rPr>
        <w:t xml:space="preserve">by biosurfactant producing bacterial </w:t>
      </w:r>
      <w:r w:rsidR="004D23D3" w:rsidRPr="004D23D3">
        <w:rPr>
          <w:rFonts w:ascii="Times New Roman" w:hAnsi="Times New Roman"/>
          <w:b/>
          <w:bCs/>
          <w:sz w:val="24"/>
          <w:szCs w:val="24"/>
        </w:rPr>
        <w:t xml:space="preserve">isolates </w:t>
      </w:r>
      <w:r w:rsidRPr="009D50B9">
        <w:rPr>
          <w:rFonts w:ascii="Times New Roman" w:hAnsi="Times New Roman"/>
          <w:b/>
          <w:bCs/>
          <w:sz w:val="24"/>
          <w:szCs w:val="24"/>
          <w:lang w:val="en-US"/>
        </w:rPr>
        <w:t xml:space="preserve">at </w:t>
      </w:r>
      <w:r w:rsidR="00853E40">
        <w:rPr>
          <w:rFonts w:ascii="Times New Roman" w:hAnsi="Times New Roman"/>
          <w:b/>
          <w:bCs/>
          <w:sz w:val="24"/>
          <w:szCs w:val="24"/>
          <w:lang w:val="en-US"/>
        </w:rPr>
        <w:t>2 mg/mL and 4 mg/mL</w:t>
      </w:r>
      <w:r w:rsidRPr="009D50B9">
        <w:rPr>
          <w:rFonts w:ascii="Times New Roman" w:hAnsi="Times New Roman"/>
          <w:b/>
          <w:bCs/>
          <w:sz w:val="24"/>
          <w:szCs w:val="24"/>
          <w:lang w:val="en-US"/>
        </w:rPr>
        <w:t xml:space="preserve"> concentrations </w:t>
      </w:r>
      <w:r w:rsidR="00F66460">
        <w:rPr>
          <w:rFonts w:ascii="Times New Roman" w:hAnsi="Times New Roman"/>
          <w:b/>
          <w:bCs/>
          <w:sz w:val="24"/>
          <w:szCs w:val="24"/>
          <w:lang w:val="en-US"/>
        </w:rPr>
        <w:t>of</w:t>
      </w:r>
      <w:r w:rsidRPr="009D50B9">
        <w:rPr>
          <w:rFonts w:ascii="Times New Roman" w:hAnsi="Times New Roman"/>
          <w:b/>
          <w:bCs/>
          <w:sz w:val="24"/>
          <w:szCs w:val="24"/>
          <w:lang w:val="en-US"/>
        </w:rPr>
        <w:t xml:space="preserve"> poisoned food technique</w:t>
      </w:r>
    </w:p>
    <w:p w14:paraId="10F44DBD" w14:textId="51D3D267" w:rsidR="00CC7EF3" w:rsidRPr="009D50B9" w:rsidRDefault="003F001A" w:rsidP="00780E7F">
      <w:pPr>
        <w:autoSpaceDE w:val="0"/>
        <w:autoSpaceDN w:val="0"/>
        <w:adjustRightInd w:val="0"/>
        <w:spacing w:before="240" w:after="0" w:line="360" w:lineRule="auto"/>
        <w:jc w:val="both"/>
        <w:rPr>
          <w:rFonts w:ascii="Times New Roman" w:hAnsi="Times New Roman"/>
        </w:rPr>
      </w:pPr>
      <w:r w:rsidRPr="009D50B9">
        <w:rPr>
          <w:rFonts w:ascii="Times New Roman" w:hAnsi="Times New Roman"/>
          <w:b/>
          <w:bCs/>
          <w:sz w:val="24"/>
          <w:szCs w:val="24"/>
        </w:rPr>
        <w:t xml:space="preserve">3.3.3 </w:t>
      </w:r>
      <w:r w:rsidR="00CC7EF3" w:rsidRPr="009D50B9">
        <w:rPr>
          <w:rFonts w:ascii="Times New Roman" w:hAnsi="Times New Roman"/>
          <w:b/>
          <w:bCs/>
          <w:sz w:val="24"/>
          <w:szCs w:val="24"/>
        </w:rPr>
        <w:t xml:space="preserve">Evaluation of antagonistic activity of efficient </w:t>
      </w:r>
      <w:r w:rsidR="00CC7EF3" w:rsidRPr="009D50B9">
        <w:rPr>
          <w:rFonts w:ascii="Times New Roman" w:hAnsi="Times New Roman"/>
          <w:b/>
          <w:bCs/>
          <w:sz w:val="24"/>
          <w:szCs w:val="24"/>
          <w:lang w:val="en-US"/>
        </w:rPr>
        <w:t xml:space="preserve">biosurfactant producing bacterial </w:t>
      </w:r>
      <w:r w:rsidRPr="009D50B9">
        <w:rPr>
          <w:rFonts w:ascii="Times New Roman" w:hAnsi="Times New Roman"/>
          <w:b/>
          <w:bCs/>
          <w:sz w:val="24"/>
          <w:szCs w:val="24"/>
          <w:lang w:val="en-US"/>
        </w:rPr>
        <w:tab/>
      </w:r>
      <w:r w:rsidR="004D23D3" w:rsidRPr="004D23D3">
        <w:rPr>
          <w:rFonts w:ascii="Times New Roman" w:hAnsi="Times New Roman"/>
          <w:b/>
          <w:bCs/>
          <w:sz w:val="24"/>
          <w:szCs w:val="24"/>
          <w:lang w:val="en-US"/>
        </w:rPr>
        <w:t xml:space="preserve">isolates </w:t>
      </w:r>
      <w:r w:rsidR="00CC7EF3" w:rsidRPr="009D50B9">
        <w:rPr>
          <w:rFonts w:ascii="Times New Roman" w:hAnsi="Times New Roman"/>
          <w:b/>
          <w:bCs/>
          <w:sz w:val="24"/>
          <w:szCs w:val="24"/>
        </w:rPr>
        <w:t>on growth of blast pathogen.</w:t>
      </w:r>
    </w:p>
    <w:p w14:paraId="0756F6F9" w14:textId="29EF56B2" w:rsidR="00CC7EF3" w:rsidRPr="009D50B9" w:rsidRDefault="00CC7EF3" w:rsidP="00A21BCC">
      <w:pPr>
        <w:autoSpaceDE w:val="0"/>
        <w:autoSpaceDN w:val="0"/>
        <w:adjustRightInd w:val="0"/>
        <w:spacing w:line="360" w:lineRule="auto"/>
        <w:ind w:firstLine="720"/>
        <w:jc w:val="both"/>
        <w:rPr>
          <w:rFonts w:ascii="Times New Roman" w:hAnsi="Times New Roman"/>
          <w:sz w:val="24"/>
          <w:szCs w:val="24"/>
        </w:rPr>
      </w:pPr>
      <w:r w:rsidRPr="009D50B9">
        <w:rPr>
          <w:rFonts w:ascii="Times New Roman" w:hAnsi="Times New Roman"/>
          <w:sz w:val="24"/>
          <w:szCs w:val="24"/>
        </w:rPr>
        <w:t xml:space="preserve">The biosurfactant producing bacterial strains that exhibited strong antagonistic activity in dual culture plate assays were further evaluated in liquid culture to assess their ability to reduce fungal biomass (Fig. </w:t>
      </w:r>
      <w:r w:rsidR="00193819" w:rsidRPr="009D50B9">
        <w:rPr>
          <w:rFonts w:ascii="Times New Roman" w:hAnsi="Times New Roman"/>
          <w:sz w:val="24"/>
          <w:szCs w:val="24"/>
        </w:rPr>
        <w:t>2</w:t>
      </w:r>
      <w:r w:rsidRPr="009D50B9">
        <w:rPr>
          <w:rFonts w:ascii="Times New Roman" w:hAnsi="Times New Roman"/>
          <w:sz w:val="24"/>
          <w:szCs w:val="24"/>
        </w:rPr>
        <w:t xml:space="preserve">). Co-cultivation of each bacterial isolate with the blast pathogen in broth medium resulted in a marked reduction in mycelial mat weight compared to the control, where the pathogen was grown alone. Among the tested isolates, </w:t>
      </w:r>
      <w:r w:rsidR="00780E7F" w:rsidRPr="009D50B9">
        <w:rPr>
          <w:rFonts w:ascii="Times New Roman" w:hAnsi="Times New Roman"/>
          <w:sz w:val="24"/>
          <w:szCs w:val="24"/>
        </w:rPr>
        <w:t>BSB-2</w:t>
      </w:r>
      <w:r w:rsidRPr="009D50B9">
        <w:rPr>
          <w:rFonts w:ascii="Times New Roman" w:hAnsi="Times New Roman"/>
          <w:i/>
          <w:iCs/>
          <w:sz w:val="24"/>
          <w:szCs w:val="24"/>
        </w:rPr>
        <w:t xml:space="preserve"> </w:t>
      </w:r>
      <w:r w:rsidRPr="009D50B9">
        <w:rPr>
          <w:rFonts w:ascii="Times New Roman" w:hAnsi="Times New Roman"/>
          <w:sz w:val="24"/>
          <w:szCs w:val="24"/>
        </w:rPr>
        <w:t xml:space="preserve">exhibited the highest biomass reduction (82.50%), followed by </w:t>
      </w:r>
      <w:r w:rsidR="00780E7F" w:rsidRPr="009D50B9">
        <w:rPr>
          <w:rFonts w:ascii="Times New Roman" w:hAnsi="Times New Roman"/>
          <w:sz w:val="24"/>
          <w:szCs w:val="24"/>
        </w:rPr>
        <w:t>BSB-41</w:t>
      </w:r>
      <w:r w:rsidRPr="009D50B9">
        <w:rPr>
          <w:rFonts w:ascii="Times New Roman" w:hAnsi="Times New Roman"/>
          <w:sz w:val="24"/>
          <w:szCs w:val="24"/>
        </w:rPr>
        <w:t xml:space="preserve"> (78.93%) and </w:t>
      </w:r>
      <w:r w:rsidRPr="009D50B9">
        <w:rPr>
          <w:rFonts w:ascii="Times New Roman" w:hAnsi="Times New Roman"/>
          <w:i/>
          <w:iCs/>
          <w:sz w:val="24"/>
          <w:szCs w:val="24"/>
        </w:rPr>
        <w:t>Bacillus</w:t>
      </w:r>
      <w:r w:rsidRPr="009D50B9">
        <w:rPr>
          <w:rFonts w:ascii="Times New Roman" w:hAnsi="Times New Roman"/>
          <w:sz w:val="24"/>
          <w:szCs w:val="24"/>
        </w:rPr>
        <w:t xml:space="preserve"> sp. MCC4316 (79.00%, reference strain). </w:t>
      </w:r>
      <w:r w:rsidRPr="009D50B9">
        <w:rPr>
          <w:rFonts w:ascii="Times New Roman" w:hAnsi="Times New Roman"/>
          <w:i/>
          <w:iCs/>
          <w:sz w:val="24"/>
          <w:szCs w:val="24"/>
        </w:rPr>
        <w:t xml:space="preserve">Pseudomonas fluorescens </w:t>
      </w:r>
      <w:r w:rsidRPr="009D50B9">
        <w:rPr>
          <w:rFonts w:ascii="Times New Roman" w:hAnsi="Times New Roman"/>
          <w:sz w:val="24"/>
          <w:szCs w:val="24"/>
        </w:rPr>
        <w:t>(reference) also performed well with 76.00 % reduction. BSB</w:t>
      </w:r>
      <w:r w:rsidR="00780E7F" w:rsidRPr="009D50B9">
        <w:rPr>
          <w:rFonts w:ascii="Times New Roman" w:hAnsi="Times New Roman"/>
          <w:sz w:val="24"/>
          <w:szCs w:val="24"/>
        </w:rPr>
        <w:t xml:space="preserve">-11 </w:t>
      </w:r>
      <w:r w:rsidRPr="009D50B9">
        <w:rPr>
          <w:rFonts w:ascii="Times New Roman" w:hAnsi="Times New Roman"/>
          <w:sz w:val="24"/>
          <w:szCs w:val="24"/>
        </w:rPr>
        <w:t>and BSR</w:t>
      </w:r>
      <w:r w:rsidR="00780E7F" w:rsidRPr="009D50B9">
        <w:rPr>
          <w:rFonts w:ascii="Times New Roman" w:hAnsi="Times New Roman"/>
          <w:sz w:val="24"/>
          <w:szCs w:val="24"/>
        </w:rPr>
        <w:t>-51</w:t>
      </w:r>
      <w:r w:rsidRPr="009D50B9">
        <w:rPr>
          <w:rFonts w:ascii="Times New Roman" w:hAnsi="Times New Roman"/>
          <w:sz w:val="24"/>
          <w:szCs w:val="24"/>
        </w:rPr>
        <w:t xml:space="preserve"> suppressed fungal biomass by 73.33% and 71.91%, respectively, while the lowest suppression among the tested isolates was recorded for BSB</w:t>
      </w:r>
      <w:r w:rsidR="00780E7F" w:rsidRPr="009D50B9">
        <w:rPr>
          <w:rFonts w:ascii="Times New Roman" w:hAnsi="Times New Roman"/>
          <w:sz w:val="24"/>
          <w:szCs w:val="24"/>
        </w:rPr>
        <w:t xml:space="preserve">-4 </w:t>
      </w:r>
      <w:r w:rsidRPr="009D50B9">
        <w:rPr>
          <w:rFonts w:ascii="Times New Roman" w:hAnsi="Times New Roman"/>
          <w:sz w:val="24"/>
          <w:szCs w:val="24"/>
        </w:rPr>
        <w:t xml:space="preserve">(67.11%). No biomass reduction was recorded in the control treatment. It is suggested that, </w:t>
      </w:r>
      <w:r w:rsidR="00F202EC">
        <w:rPr>
          <w:rFonts w:ascii="Times New Roman" w:hAnsi="Times New Roman"/>
          <w:sz w:val="24"/>
          <w:szCs w:val="24"/>
        </w:rPr>
        <w:t>“</w:t>
      </w:r>
      <w:r w:rsidRPr="009D50B9">
        <w:rPr>
          <w:rFonts w:ascii="Times New Roman" w:hAnsi="Times New Roman"/>
          <w:sz w:val="24"/>
          <w:szCs w:val="24"/>
        </w:rPr>
        <w:t>the pathogen growth was inhibited due to the microbial activity by production of enzymes, secondary metabolites and by competing for limited nutrients or space</w:t>
      </w:r>
      <w:r w:rsidR="00F202EC">
        <w:rPr>
          <w:rFonts w:ascii="Times New Roman" w:hAnsi="Times New Roman"/>
          <w:sz w:val="24"/>
          <w:szCs w:val="24"/>
        </w:rPr>
        <w:t>”</w:t>
      </w:r>
      <w:bookmarkStart w:id="7" w:name="_GoBack"/>
      <w:bookmarkEnd w:id="7"/>
      <w:r w:rsidRPr="009D50B9">
        <w:rPr>
          <w:rFonts w:ascii="Times New Roman" w:hAnsi="Times New Roman"/>
          <w:sz w:val="24"/>
          <w:szCs w:val="24"/>
        </w:rPr>
        <w:t xml:space="preserve"> (Suman </w:t>
      </w:r>
      <w:r w:rsidRPr="009D50B9">
        <w:rPr>
          <w:rFonts w:ascii="Times New Roman" w:hAnsi="Times New Roman"/>
          <w:i/>
          <w:iCs/>
          <w:sz w:val="24"/>
          <w:szCs w:val="24"/>
        </w:rPr>
        <w:t>et al</w:t>
      </w:r>
      <w:r w:rsidRPr="009D50B9">
        <w:rPr>
          <w:rFonts w:ascii="Times New Roman" w:hAnsi="Times New Roman"/>
          <w:sz w:val="24"/>
          <w:szCs w:val="24"/>
        </w:rPr>
        <w:t>., 2016).</w:t>
      </w:r>
      <w:r w:rsidR="00740254" w:rsidRPr="009D50B9">
        <w:rPr>
          <w:rFonts w:ascii="Times New Roman" w:hAnsi="Times New Roman"/>
          <w:sz w:val="24"/>
          <w:szCs w:val="24"/>
        </w:rPr>
        <w:t xml:space="preserve"> </w:t>
      </w:r>
    </w:p>
    <w:p w14:paraId="2E4D617C" w14:textId="77777777" w:rsidR="00CC7EF3" w:rsidRPr="009D50B9" w:rsidRDefault="00CC7EF3" w:rsidP="003F50A0">
      <w:pPr>
        <w:autoSpaceDE w:val="0"/>
        <w:autoSpaceDN w:val="0"/>
        <w:adjustRightInd w:val="0"/>
        <w:spacing w:after="0" w:line="360" w:lineRule="auto"/>
        <w:jc w:val="both"/>
        <w:rPr>
          <w:rFonts w:ascii="Times New Roman" w:hAnsi="Times New Roman"/>
          <w:sz w:val="24"/>
          <w:szCs w:val="24"/>
        </w:rPr>
      </w:pPr>
      <w:r w:rsidRPr="009D50B9">
        <w:rPr>
          <w:rFonts w:ascii="Times New Roman" w:hAnsi="Times New Roman"/>
          <w:noProof/>
          <w:sz w:val="24"/>
          <w:szCs w:val="24"/>
          <w:lang w:val="en-US"/>
        </w:rPr>
        <w:lastRenderedPageBreak/>
        <w:drawing>
          <wp:inline distT="0" distB="0" distL="0" distR="0" wp14:anchorId="2C21821B" wp14:editId="1C88FF35">
            <wp:extent cx="5486400" cy="2834640"/>
            <wp:effectExtent l="0" t="0" r="0" b="381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9A1A045" w14:textId="2DBDFDE7" w:rsidR="00CC7EF3" w:rsidRPr="009D50B9" w:rsidRDefault="00CC7EF3" w:rsidP="003F50A0">
      <w:pPr>
        <w:autoSpaceDE w:val="0"/>
        <w:autoSpaceDN w:val="0"/>
        <w:adjustRightInd w:val="0"/>
        <w:spacing w:after="0" w:line="360" w:lineRule="auto"/>
        <w:ind w:left="900" w:hanging="900"/>
        <w:jc w:val="both"/>
        <w:rPr>
          <w:rFonts w:ascii="Times New Roman" w:hAnsi="Times New Roman"/>
          <w:sz w:val="24"/>
          <w:szCs w:val="24"/>
        </w:rPr>
      </w:pPr>
      <w:r w:rsidRPr="009D50B9">
        <w:rPr>
          <w:rFonts w:ascii="Times New Roman" w:hAnsi="Times New Roman"/>
          <w:b/>
          <w:bCs/>
          <w:sz w:val="24"/>
          <w:szCs w:val="24"/>
        </w:rPr>
        <w:t xml:space="preserve">Fig. </w:t>
      </w:r>
      <w:r w:rsidR="009808F8" w:rsidRPr="009D50B9">
        <w:rPr>
          <w:rFonts w:ascii="Times New Roman" w:hAnsi="Times New Roman"/>
          <w:b/>
          <w:bCs/>
          <w:sz w:val="24"/>
          <w:szCs w:val="24"/>
        </w:rPr>
        <w:t>2</w:t>
      </w:r>
      <w:r w:rsidRPr="009D50B9">
        <w:rPr>
          <w:rFonts w:ascii="Times New Roman" w:hAnsi="Times New Roman"/>
          <w:b/>
          <w:bCs/>
          <w:sz w:val="24"/>
          <w:szCs w:val="24"/>
        </w:rPr>
        <w:t>:</w:t>
      </w:r>
      <w:r w:rsidRPr="009D50B9">
        <w:rPr>
          <w:rFonts w:ascii="Times New Roman" w:hAnsi="Times New Roman"/>
          <w:b/>
          <w:bCs/>
          <w:sz w:val="24"/>
          <w:szCs w:val="24"/>
        </w:rPr>
        <w:tab/>
      </w:r>
      <w:r w:rsidR="00193C05" w:rsidRPr="009D50B9">
        <w:rPr>
          <w:rFonts w:ascii="Times New Roman" w:hAnsi="Times New Roman"/>
          <w:b/>
          <w:bCs/>
          <w:sz w:val="24"/>
          <w:szCs w:val="24"/>
        </w:rPr>
        <w:t xml:space="preserve">Biocontrol </w:t>
      </w:r>
      <w:r w:rsidRPr="009D50B9">
        <w:rPr>
          <w:rFonts w:ascii="Times New Roman" w:hAnsi="Times New Roman"/>
          <w:b/>
          <w:bCs/>
          <w:sz w:val="24"/>
          <w:szCs w:val="24"/>
        </w:rPr>
        <w:t xml:space="preserve">activity </w:t>
      </w:r>
      <w:r w:rsidR="00193C05">
        <w:rPr>
          <w:rFonts w:ascii="Times New Roman" w:hAnsi="Times New Roman"/>
          <w:b/>
          <w:bCs/>
          <w:sz w:val="24"/>
          <w:szCs w:val="24"/>
        </w:rPr>
        <w:t xml:space="preserve">of </w:t>
      </w:r>
      <w:r w:rsidR="00193C05" w:rsidRPr="009D50B9">
        <w:rPr>
          <w:rFonts w:ascii="Times New Roman" w:hAnsi="Times New Roman"/>
          <w:b/>
          <w:bCs/>
          <w:sz w:val="24"/>
          <w:szCs w:val="24"/>
          <w:lang w:val="en-US"/>
        </w:rPr>
        <w:t>biosurfactant producing bacterial</w:t>
      </w:r>
      <w:r w:rsidR="00193C05">
        <w:rPr>
          <w:rFonts w:ascii="Times New Roman" w:hAnsi="Times New Roman"/>
          <w:b/>
          <w:bCs/>
          <w:sz w:val="24"/>
          <w:szCs w:val="24"/>
          <w:lang w:val="en-US"/>
        </w:rPr>
        <w:t xml:space="preserve"> </w:t>
      </w:r>
      <w:r w:rsidR="004D23D3" w:rsidRPr="004D23D3">
        <w:rPr>
          <w:rFonts w:ascii="Times New Roman" w:hAnsi="Times New Roman"/>
          <w:b/>
          <w:bCs/>
          <w:sz w:val="24"/>
          <w:szCs w:val="24"/>
          <w:lang w:val="en-US"/>
        </w:rPr>
        <w:t xml:space="preserve">isolates </w:t>
      </w:r>
      <w:r w:rsidRPr="009D50B9">
        <w:rPr>
          <w:rFonts w:ascii="Times New Roman" w:hAnsi="Times New Roman"/>
          <w:b/>
          <w:bCs/>
          <w:sz w:val="24"/>
          <w:szCs w:val="24"/>
        </w:rPr>
        <w:t xml:space="preserve">against </w:t>
      </w:r>
      <w:r w:rsidRPr="009D50B9">
        <w:rPr>
          <w:rFonts w:ascii="Times New Roman" w:hAnsi="Times New Roman"/>
          <w:b/>
          <w:bCs/>
          <w:i/>
          <w:iCs/>
          <w:sz w:val="24"/>
          <w:szCs w:val="24"/>
        </w:rPr>
        <w:t>Pyricularia grisea</w:t>
      </w:r>
      <w:r w:rsidRPr="009D50B9">
        <w:rPr>
          <w:rFonts w:ascii="Times New Roman" w:hAnsi="Times New Roman"/>
          <w:b/>
          <w:bCs/>
          <w:sz w:val="24"/>
          <w:szCs w:val="24"/>
        </w:rPr>
        <w:t xml:space="preserve"> through fungal biomass suppression</w:t>
      </w:r>
    </w:p>
    <w:p w14:paraId="70AD7811" w14:textId="78A6531D" w:rsidR="00193C05" w:rsidRDefault="00193C05" w:rsidP="00EC0E1A">
      <w:pPr>
        <w:autoSpaceDE w:val="0"/>
        <w:autoSpaceDN w:val="0"/>
        <w:adjustRightInd w:val="0"/>
        <w:spacing w:before="240" w:after="0" w:line="360" w:lineRule="auto"/>
        <w:jc w:val="both"/>
        <w:rPr>
          <w:rFonts w:ascii="Times New Roman" w:hAnsi="Times New Roman"/>
          <w:sz w:val="24"/>
          <w:szCs w:val="24"/>
        </w:rPr>
      </w:pPr>
      <w:r>
        <w:rPr>
          <w:rFonts w:ascii="Times New Roman" w:hAnsi="Times New Roman"/>
          <w:sz w:val="24"/>
          <w:szCs w:val="24"/>
        </w:rPr>
        <w:tab/>
      </w:r>
      <w:r w:rsidRPr="009D50B9">
        <w:rPr>
          <w:rFonts w:ascii="Times New Roman" w:hAnsi="Times New Roman"/>
          <w:sz w:val="24"/>
          <w:szCs w:val="24"/>
        </w:rPr>
        <w:t xml:space="preserve">The present study recorded inhibition patterns comparable to those reported by Kolandasamy </w:t>
      </w:r>
      <w:r w:rsidRPr="009D50B9">
        <w:rPr>
          <w:rFonts w:ascii="Times New Roman" w:hAnsi="Times New Roman"/>
          <w:i/>
          <w:iCs/>
          <w:sz w:val="24"/>
          <w:szCs w:val="24"/>
        </w:rPr>
        <w:t>et al</w:t>
      </w:r>
      <w:r w:rsidRPr="009D50B9">
        <w:rPr>
          <w:rFonts w:ascii="Times New Roman" w:hAnsi="Times New Roman"/>
          <w:sz w:val="24"/>
          <w:szCs w:val="24"/>
        </w:rPr>
        <w:t xml:space="preserve">. (2023) </w:t>
      </w:r>
      <w:r w:rsidR="00411DB7">
        <w:rPr>
          <w:rFonts w:ascii="Times New Roman" w:hAnsi="Times New Roman"/>
          <w:sz w:val="24"/>
          <w:szCs w:val="24"/>
        </w:rPr>
        <w:t xml:space="preserve">who </w:t>
      </w:r>
      <w:r w:rsidRPr="009D50B9">
        <w:rPr>
          <w:rFonts w:ascii="Times New Roman" w:hAnsi="Times New Roman"/>
          <w:sz w:val="24"/>
          <w:szCs w:val="24"/>
        </w:rPr>
        <w:t xml:space="preserve">reported that </w:t>
      </w:r>
      <w:r w:rsidRPr="009D50B9">
        <w:rPr>
          <w:rFonts w:ascii="Times New Roman" w:hAnsi="Times New Roman"/>
          <w:i/>
          <w:iCs/>
          <w:sz w:val="24"/>
          <w:szCs w:val="24"/>
        </w:rPr>
        <w:t>Trichoderma viride</w:t>
      </w:r>
      <w:r w:rsidRPr="009D50B9">
        <w:rPr>
          <w:rFonts w:ascii="Times New Roman" w:hAnsi="Times New Roman"/>
          <w:sz w:val="24"/>
          <w:szCs w:val="24"/>
        </w:rPr>
        <w:t xml:space="preserve"> VTV7 achieved the highest reduction in </w:t>
      </w:r>
      <w:r w:rsidRPr="009D50B9">
        <w:rPr>
          <w:rFonts w:ascii="Times New Roman" w:hAnsi="Times New Roman"/>
          <w:i/>
          <w:iCs/>
          <w:sz w:val="24"/>
          <w:szCs w:val="24"/>
        </w:rPr>
        <w:t xml:space="preserve">Phomopsis theae </w:t>
      </w:r>
      <w:r w:rsidRPr="009D50B9">
        <w:rPr>
          <w:rFonts w:ascii="Times New Roman" w:hAnsi="Times New Roman"/>
          <w:sz w:val="24"/>
          <w:szCs w:val="24"/>
        </w:rPr>
        <w:t xml:space="preserve">biomass, with a 79.40% compared to the untreated control, among bacterial antagonists, </w:t>
      </w:r>
      <w:r w:rsidRPr="009D50B9">
        <w:rPr>
          <w:rFonts w:ascii="Times New Roman" w:hAnsi="Times New Roman"/>
          <w:i/>
          <w:iCs/>
          <w:sz w:val="24"/>
          <w:szCs w:val="24"/>
        </w:rPr>
        <w:t xml:space="preserve">Bacillus subtilis </w:t>
      </w:r>
      <w:r w:rsidRPr="009D50B9">
        <w:rPr>
          <w:rFonts w:ascii="Times New Roman" w:hAnsi="Times New Roman"/>
          <w:sz w:val="24"/>
          <w:szCs w:val="24"/>
        </w:rPr>
        <w:t xml:space="preserve"> VBS3 reduced biomass by 75.00%, </w:t>
      </w:r>
      <w:r w:rsidRPr="009D50B9">
        <w:rPr>
          <w:rFonts w:ascii="Times New Roman" w:hAnsi="Times New Roman"/>
          <w:i/>
          <w:iCs/>
          <w:sz w:val="24"/>
          <w:szCs w:val="24"/>
        </w:rPr>
        <w:t xml:space="preserve">Pseudomonas fluorescens </w:t>
      </w:r>
      <w:r w:rsidRPr="009D50B9">
        <w:rPr>
          <w:rFonts w:ascii="Times New Roman" w:hAnsi="Times New Roman"/>
          <w:sz w:val="24"/>
          <w:szCs w:val="24"/>
        </w:rPr>
        <w:t xml:space="preserve">VPF5 by 70.70% and </w:t>
      </w:r>
      <w:r w:rsidRPr="009D50B9">
        <w:rPr>
          <w:rFonts w:ascii="Times New Roman" w:hAnsi="Times New Roman"/>
          <w:i/>
          <w:iCs/>
          <w:sz w:val="24"/>
          <w:szCs w:val="24"/>
        </w:rPr>
        <w:t>Streptomyces griseus</w:t>
      </w:r>
      <w:r w:rsidRPr="009D50B9">
        <w:rPr>
          <w:rFonts w:ascii="Times New Roman" w:hAnsi="Times New Roman"/>
          <w:sz w:val="24"/>
          <w:szCs w:val="24"/>
        </w:rPr>
        <w:t xml:space="preserve"> VSG4 by 69.50%, the culture supernatants of these antagonists caused a significant reduction in mycelial dry weight, suggesting that the concentration of bioactive metabolites in the extracts is directly related to the suppression rate of mycelial growth. The reduction in mycelial mass observed in the present study is consistent with the findings of Njoroge </w:t>
      </w:r>
      <w:r w:rsidRPr="009D50B9">
        <w:rPr>
          <w:rFonts w:ascii="Times New Roman" w:hAnsi="Times New Roman"/>
          <w:i/>
          <w:iCs/>
          <w:sz w:val="24"/>
          <w:szCs w:val="24"/>
        </w:rPr>
        <w:t>et al</w:t>
      </w:r>
      <w:r w:rsidRPr="009D50B9">
        <w:rPr>
          <w:rFonts w:ascii="Times New Roman" w:hAnsi="Times New Roman"/>
          <w:sz w:val="24"/>
          <w:szCs w:val="24"/>
        </w:rPr>
        <w:t>. (2024)</w:t>
      </w:r>
      <w:r w:rsidR="009A2D11" w:rsidRPr="009A2D11">
        <w:t xml:space="preserve"> </w:t>
      </w:r>
      <w:r w:rsidR="009A2D11" w:rsidRPr="009A2D11">
        <w:rPr>
          <w:rFonts w:ascii="Times New Roman" w:hAnsi="Times New Roman"/>
          <w:sz w:val="24"/>
          <w:szCs w:val="24"/>
        </w:rPr>
        <w:t>which</w:t>
      </w:r>
      <w:r w:rsidR="009A2D11">
        <w:rPr>
          <w:rFonts w:ascii="Times New Roman" w:hAnsi="Times New Roman"/>
          <w:sz w:val="24"/>
          <w:szCs w:val="24"/>
        </w:rPr>
        <w:t xml:space="preserve"> </w:t>
      </w:r>
      <w:r w:rsidR="009A2D11" w:rsidRPr="009A2D11">
        <w:rPr>
          <w:rFonts w:ascii="Times New Roman" w:hAnsi="Times New Roman"/>
          <w:sz w:val="24"/>
          <w:szCs w:val="24"/>
        </w:rPr>
        <w:t>demonstrated</w:t>
      </w:r>
      <w:r w:rsidR="009A2D11">
        <w:rPr>
          <w:rFonts w:ascii="Times New Roman" w:hAnsi="Times New Roman"/>
          <w:sz w:val="24"/>
          <w:szCs w:val="24"/>
        </w:rPr>
        <w:t xml:space="preserve"> </w:t>
      </w:r>
      <w:r w:rsidR="00BD38B5">
        <w:rPr>
          <w:rFonts w:ascii="Times New Roman" w:hAnsi="Times New Roman"/>
          <w:sz w:val="24"/>
          <w:szCs w:val="24"/>
        </w:rPr>
        <w:t>that</w:t>
      </w:r>
      <w:r w:rsidRPr="009D50B9">
        <w:rPr>
          <w:rFonts w:ascii="Times New Roman" w:hAnsi="Times New Roman"/>
          <w:sz w:val="24"/>
          <w:szCs w:val="24"/>
        </w:rPr>
        <w:t xml:space="preserve"> </w:t>
      </w:r>
      <w:r w:rsidR="00BD38B5" w:rsidRPr="009D50B9">
        <w:rPr>
          <w:rFonts w:ascii="Times New Roman" w:hAnsi="Times New Roman"/>
          <w:sz w:val="24"/>
          <w:szCs w:val="24"/>
        </w:rPr>
        <w:t xml:space="preserve">antifungal metabolites and volatile compounds present in </w:t>
      </w:r>
      <w:r w:rsidRPr="009D50B9">
        <w:rPr>
          <w:rFonts w:ascii="Times New Roman" w:hAnsi="Times New Roman"/>
          <w:i/>
          <w:iCs/>
          <w:sz w:val="24"/>
          <w:szCs w:val="24"/>
        </w:rPr>
        <w:t>Streptomyces corchorusii</w:t>
      </w:r>
      <w:r w:rsidRPr="009D50B9">
        <w:rPr>
          <w:rFonts w:ascii="Times New Roman" w:hAnsi="Times New Roman"/>
          <w:sz w:val="24"/>
          <w:szCs w:val="24"/>
        </w:rPr>
        <w:t xml:space="preserve"> Sc75 markedly suppressed fungal growth of </w:t>
      </w:r>
      <w:r w:rsidRPr="009D50B9">
        <w:rPr>
          <w:rFonts w:ascii="Times New Roman" w:hAnsi="Times New Roman"/>
          <w:i/>
          <w:iCs/>
          <w:sz w:val="24"/>
          <w:szCs w:val="24"/>
        </w:rPr>
        <w:t>Magnaporthe oryzae</w:t>
      </w:r>
      <w:r w:rsidR="009A2D11">
        <w:rPr>
          <w:rFonts w:ascii="Times New Roman" w:hAnsi="Times New Roman"/>
          <w:sz w:val="24"/>
          <w:szCs w:val="24"/>
        </w:rPr>
        <w:t>.</w:t>
      </w:r>
      <w:r w:rsidR="0084454D" w:rsidRPr="0084454D">
        <w:t xml:space="preserve"> </w:t>
      </w:r>
      <w:r w:rsidR="00A433FF" w:rsidRPr="00A433FF">
        <w:rPr>
          <w:rFonts w:ascii="Times New Roman" w:hAnsi="Times New Roman"/>
          <w:sz w:val="24"/>
          <w:szCs w:val="24"/>
          <w:highlight w:val="yellow"/>
        </w:rPr>
        <w:t xml:space="preserve">Similarly, Lan </w:t>
      </w:r>
      <w:r w:rsidR="00A433FF" w:rsidRPr="00A433FF">
        <w:rPr>
          <w:rFonts w:ascii="Times New Roman" w:hAnsi="Times New Roman"/>
          <w:i/>
          <w:iCs/>
          <w:sz w:val="24"/>
          <w:szCs w:val="24"/>
          <w:highlight w:val="yellow"/>
        </w:rPr>
        <w:t>et al</w:t>
      </w:r>
      <w:r w:rsidR="00A433FF" w:rsidRPr="00A433FF">
        <w:rPr>
          <w:rFonts w:ascii="Times New Roman" w:hAnsi="Times New Roman"/>
          <w:sz w:val="24"/>
          <w:szCs w:val="24"/>
          <w:highlight w:val="yellow"/>
        </w:rPr>
        <w:t xml:space="preserve">. (2024) reported </w:t>
      </w:r>
      <w:r w:rsidR="00A433FF" w:rsidRPr="00A433FF">
        <w:rPr>
          <w:rFonts w:ascii="Times New Roman" w:hAnsi="Times New Roman"/>
          <w:i/>
          <w:iCs/>
          <w:sz w:val="24"/>
          <w:szCs w:val="24"/>
          <w:highlight w:val="yellow"/>
        </w:rPr>
        <w:t>Paenibacillus</w:t>
      </w:r>
      <w:r w:rsidR="00A433FF" w:rsidRPr="00A433FF">
        <w:rPr>
          <w:rFonts w:ascii="Times New Roman" w:hAnsi="Times New Roman"/>
          <w:sz w:val="24"/>
          <w:szCs w:val="24"/>
          <w:highlight w:val="yellow"/>
        </w:rPr>
        <w:t xml:space="preserve"> </w:t>
      </w:r>
      <w:r w:rsidR="00A433FF" w:rsidRPr="00A433FF">
        <w:rPr>
          <w:rFonts w:ascii="Times New Roman" w:hAnsi="Times New Roman"/>
          <w:i/>
          <w:iCs/>
          <w:sz w:val="24"/>
          <w:szCs w:val="24"/>
          <w:highlight w:val="yellow"/>
        </w:rPr>
        <w:t>polymyxa</w:t>
      </w:r>
      <w:r w:rsidR="00A433FF" w:rsidRPr="00A433FF">
        <w:rPr>
          <w:rFonts w:ascii="Times New Roman" w:hAnsi="Times New Roman"/>
          <w:sz w:val="24"/>
          <w:szCs w:val="24"/>
          <w:highlight w:val="yellow"/>
        </w:rPr>
        <w:t xml:space="preserve"> YF and </w:t>
      </w:r>
      <w:r w:rsidR="00A433FF" w:rsidRPr="00A433FF">
        <w:rPr>
          <w:rFonts w:ascii="Times New Roman" w:hAnsi="Times New Roman"/>
          <w:i/>
          <w:iCs/>
          <w:sz w:val="24"/>
          <w:szCs w:val="24"/>
          <w:highlight w:val="yellow"/>
        </w:rPr>
        <w:t>Bacillus amyloliquefaciens</w:t>
      </w:r>
      <w:r w:rsidR="00A433FF" w:rsidRPr="00A433FF">
        <w:rPr>
          <w:rFonts w:ascii="Times New Roman" w:hAnsi="Times New Roman"/>
          <w:sz w:val="24"/>
          <w:szCs w:val="24"/>
          <w:highlight w:val="yellow"/>
        </w:rPr>
        <w:t xml:space="preserve"> HT inhibited </w:t>
      </w:r>
      <w:r w:rsidR="00A433FF" w:rsidRPr="00A433FF">
        <w:rPr>
          <w:rFonts w:ascii="Times New Roman" w:hAnsi="Times New Roman"/>
          <w:i/>
          <w:iCs/>
          <w:sz w:val="24"/>
          <w:szCs w:val="24"/>
          <w:highlight w:val="yellow"/>
        </w:rPr>
        <w:t>Rhizoctonia solani</w:t>
      </w:r>
      <w:r w:rsidR="00A433FF" w:rsidRPr="00A433FF">
        <w:rPr>
          <w:rFonts w:ascii="Times New Roman" w:hAnsi="Times New Roman"/>
          <w:sz w:val="24"/>
          <w:szCs w:val="24"/>
          <w:highlight w:val="yellow"/>
        </w:rPr>
        <w:t xml:space="preserve"> </w:t>
      </w:r>
      <w:r w:rsidR="001B1DED">
        <w:rPr>
          <w:rFonts w:ascii="Times New Roman" w:hAnsi="Times New Roman"/>
          <w:sz w:val="24"/>
          <w:szCs w:val="24"/>
          <w:highlight w:val="yellow"/>
        </w:rPr>
        <w:t xml:space="preserve">causal organism of </w:t>
      </w:r>
      <w:r w:rsidR="001B1DED" w:rsidRPr="00A433FF">
        <w:rPr>
          <w:rFonts w:ascii="Times New Roman" w:hAnsi="Times New Roman"/>
          <w:sz w:val="24"/>
          <w:szCs w:val="24"/>
          <w:highlight w:val="yellow"/>
        </w:rPr>
        <w:t xml:space="preserve">potato black </w:t>
      </w:r>
      <w:r w:rsidR="001B1DED" w:rsidRPr="001B1DED">
        <w:rPr>
          <w:rFonts w:ascii="Times New Roman" w:hAnsi="Times New Roman"/>
          <w:sz w:val="24"/>
          <w:szCs w:val="24"/>
          <w:highlight w:val="yellow"/>
        </w:rPr>
        <w:t>scurf</w:t>
      </w:r>
      <w:r w:rsidR="001B1DED" w:rsidRPr="00A433FF">
        <w:rPr>
          <w:rFonts w:ascii="Times New Roman" w:hAnsi="Times New Roman"/>
          <w:sz w:val="24"/>
          <w:szCs w:val="24"/>
          <w:highlight w:val="yellow"/>
        </w:rPr>
        <w:t xml:space="preserve"> </w:t>
      </w:r>
      <w:r w:rsidR="00A433FF" w:rsidRPr="00A433FF">
        <w:rPr>
          <w:rFonts w:ascii="Times New Roman" w:hAnsi="Times New Roman"/>
          <w:sz w:val="24"/>
          <w:szCs w:val="24"/>
          <w:highlight w:val="yellow"/>
        </w:rPr>
        <w:t xml:space="preserve">growth by up to 85.55%. </w:t>
      </w:r>
      <w:r w:rsidR="001B1DED" w:rsidRPr="0084454D">
        <w:rPr>
          <w:rFonts w:ascii="Times New Roman" w:hAnsi="Times New Roman"/>
          <w:sz w:val="24"/>
          <w:szCs w:val="24"/>
          <w:highlight w:val="yellow"/>
        </w:rPr>
        <w:t xml:space="preserve">Shukri </w:t>
      </w:r>
      <w:r w:rsidR="001B1DED" w:rsidRPr="0084454D">
        <w:rPr>
          <w:rFonts w:ascii="Times New Roman" w:hAnsi="Times New Roman"/>
          <w:i/>
          <w:iCs/>
          <w:sz w:val="24"/>
          <w:szCs w:val="24"/>
          <w:highlight w:val="yellow"/>
        </w:rPr>
        <w:t>et al</w:t>
      </w:r>
      <w:r w:rsidR="001B1DED" w:rsidRPr="0084454D">
        <w:rPr>
          <w:rFonts w:ascii="Times New Roman" w:hAnsi="Times New Roman"/>
          <w:sz w:val="24"/>
          <w:szCs w:val="24"/>
          <w:highlight w:val="yellow"/>
        </w:rPr>
        <w:t xml:space="preserve">. </w:t>
      </w:r>
      <w:r w:rsidR="001B1DED">
        <w:rPr>
          <w:rFonts w:ascii="Times New Roman" w:hAnsi="Times New Roman"/>
          <w:sz w:val="24"/>
          <w:szCs w:val="24"/>
          <w:highlight w:val="yellow"/>
        </w:rPr>
        <w:t>(</w:t>
      </w:r>
      <w:r w:rsidR="001B1DED" w:rsidRPr="0084454D">
        <w:rPr>
          <w:rFonts w:ascii="Times New Roman" w:hAnsi="Times New Roman"/>
          <w:sz w:val="24"/>
          <w:szCs w:val="24"/>
          <w:highlight w:val="yellow"/>
        </w:rPr>
        <w:t>2025</w:t>
      </w:r>
      <w:r w:rsidR="001B1DED">
        <w:rPr>
          <w:rFonts w:ascii="Times New Roman" w:hAnsi="Times New Roman"/>
          <w:sz w:val="24"/>
          <w:szCs w:val="24"/>
          <w:highlight w:val="yellow"/>
        </w:rPr>
        <w:t xml:space="preserve">) reported </w:t>
      </w:r>
      <w:r w:rsidR="001B1DED" w:rsidRPr="0084454D">
        <w:rPr>
          <w:rFonts w:ascii="Times New Roman" w:hAnsi="Times New Roman"/>
          <w:sz w:val="24"/>
          <w:szCs w:val="24"/>
          <w:highlight w:val="yellow"/>
        </w:rPr>
        <w:t xml:space="preserve">rhamnolipids </w:t>
      </w:r>
      <w:r w:rsidR="0084454D" w:rsidRPr="0084454D">
        <w:rPr>
          <w:rFonts w:ascii="Times New Roman" w:hAnsi="Times New Roman"/>
          <w:sz w:val="24"/>
          <w:szCs w:val="24"/>
          <w:highlight w:val="yellow"/>
        </w:rPr>
        <w:t xml:space="preserve">produced by </w:t>
      </w:r>
      <w:r w:rsidR="0084454D" w:rsidRPr="0084454D">
        <w:rPr>
          <w:rFonts w:ascii="Times New Roman" w:hAnsi="Times New Roman"/>
          <w:i/>
          <w:iCs/>
          <w:sz w:val="24"/>
          <w:szCs w:val="24"/>
          <w:highlight w:val="yellow"/>
        </w:rPr>
        <w:t>Pseudomonas fluorescens</w:t>
      </w:r>
      <w:r w:rsidR="0084454D" w:rsidRPr="0084454D">
        <w:rPr>
          <w:rFonts w:ascii="Times New Roman" w:hAnsi="Times New Roman"/>
          <w:sz w:val="24"/>
          <w:szCs w:val="24"/>
          <w:highlight w:val="yellow"/>
        </w:rPr>
        <w:t xml:space="preserve"> exhibit strong antifungal activity against </w:t>
      </w:r>
      <w:r w:rsidR="0084454D" w:rsidRPr="0084454D">
        <w:rPr>
          <w:rFonts w:ascii="Times New Roman" w:hAnsi="Times New Roman"/>
          <w:i/>
          <w:iCs/>
          <w:sz w:val="24"/>
          <w:szCs w:val="24"/>
          <w:highlight w:val="yellow"/>
        </w:rPr>
        <w:t>Rhizoctonia solani</w:t>
      </w:r>
      <w:r w:rsidR="0084454D" w:rsidRPr="0084454D">
        <w:rPr>
          <w:rFonts w:ascii="Times New Roman" w:hAnsi="Times New Roman"/>
          <w:sz w:val="24"/>
          <w:szCs w:val="24"/>
          <w:highlight w:val="yellow"/>
        </w:rPr>
        <w:t xml:space="preserve"> by disrupting fungal growth and morphology, making them a promising alternative to chemical surfactants and fungicides.</w:t>
      </w:r>
    </w:p>
    <w:p w14:paraId="1FCF673D" w14:textId="72B8519E" w:rsidR="001F01B7" w:rsidRDefault="001F01B7" w:rsidP="00EC0E1A">
      <w:pPr>
        <w:autoSpaceDE w:val="0"/>
        <w:autoSpaceDN w:val="0"/>
        <w:adjustRightInd w:val="0"/>
        <w:spacing w:before="240" w:after="0" w:line="360" w:lineRule="auto"/>
        <w:jc w:val="both"/>
        <w:rPr>
          <w:rFonts w:ascii="Times New Roman" w:hAnsi="Times New Roman"/>
          <w:sz w:val="24"/>
          <w:szCs w:val="24"/>
        </w:rPr>
      </w:pPr>
    </w:p>
    <w:p w14:paraId="24201F06" w14:textId="77777777" w:rsidR="001F01B7" w:rsidRDefault="001F01B7" w:rsidP="00EC0E1A">
      <w:pPr>
        <w:autoSpaceDE w:val="0"/>
        <w:autoSpaceDN w:val="0"/>
        <w:adjustRightInd w:val="0"/>
        <w:spacing w:before="240" w:after="0" w:line="360" w:lineRule="auto"/>
        <w:jc w:val="both"/>
        <w:rPr>
          <w:rFonts w:ascii="Times New Roman" w:hAnsi="Times New Roman"/>
          <w:sz w:val="24"/>
          <w:szCs w:val="24"/>
        </w:rPr>
      </w:pPr>
    </w:p>
    <w:p w14:paraId="05835FC2" w14:textId="04B34F62" w:rsidR="00CC7EF3" w:rsidRPr="009D50B9" w:rsidRDefault="003F001A" w:rsidP="00EC0E1A">
      <w:pPr>
        <w:autoSpaceDE w:val="0"/>
        <w:autoSpaceDN w:val="0"/>
        <w:adjustRightInd w:val="0"/>
        <w:spacing w:before="240" w:after="0" w:line="360" w:lineRule="auto"/>
        <w:jc w:val="both"/>
        <w:rPr>
          <w:rFonts w:ascii="Times New Roman" w:hAnsi="Times New Roman"/>
          <w:b/>
          <w:bCs/>
          <w:sz w:val="24"/>
          <w:szCs w:val="24"/>
        </w:rPr>
      </w:pPr>
      <w:r w:rsidRPr="009D50B9">
        <w:rPr>
          <w:rFonts w:ascii="Times New Roman" w:hAnsi="Times New Roman"/>
          <w:b/>
          <w:bCs/>
          <w:sz w:val="24"/>
          <w:szCs w:val="24"/>
        </w:rPr>
        <w:lastRenderedPageBreak/>
        <w:t xml:space="preserve">3.3.4 </w:t>
      </w:r>
      <w:r w:rsidR="00CC7EF3" w:rsidRPr="009D50B9">
        <w:rPr>
          <w:rFonts w:ascii="Times New Roman" w:hAnsi="Times New Roman"/>
          <w:b/>
          <w:bCs/>
          <w:sz w:val="24"/>
          <w:szCs w:val="24"/>
        </w:rPr>
        <w:t xml:space="preserve">Quantification of biocontrol determinants by efficient </w:t>
      </w:r>
      <w:r w:rsidR="00CC7EF3" w:rsidRPr="009D50B9">
        <w:rPr>
          <w:rFonts w:ascii="Times New Roman" w:hAnsi="Times New Roman"/>
          <w:b/>
          <w:bCs/>
          <w:sz w:val="24"/>
          <w:szCs w:val="24"/>
          <w:lang w:val="en-US"/>
        </w:rPr>
        <w:t xml:space="preserve">biosurfactant producing bacterial </w:t>
      </w:r>
      <w:r w:rsidR="004D23D3" w:rsidRPr="004D23D3">
        <w:rPr>
          <w:rFonts w:ascii="Times New Roman" w:hAnsi="Times New Roman"/>
          <w:b/>
          <w:bCs/>
          <w:sz w:val="24"/>
          <w:szCs w:val="24"/>
          <w:lang w:val="en-US"/>
        </w:rPr>
        <w:t>isolates</w:t>
      </w:r>
    </w:p>
    <w:p w14:paraId="1BFD5192" w14:textId="187BF66B" w:rsidR="00CC7EF3" w:rsidRPr="009D50B9" w:rsidRDefault="003F001A" w:rsidP="003F50A0">
      <w:pPr>
        <w:autoSpaceDE w:val="0"/>
        <w:autoSpaceDN w:val="0"/>
        <w:adjustRightInd w:val="0"/>
        <w:spacing w:after="0" w:line="360" w:lineRule="auto"/>
        <w:jc w:val="both"/>
        <w:rPr>
          <w:rFonts w:ascii="Times New Roman" w:hAnsi="Times New Roman"/>
          <w:b/>
          <w:bCs/>
          <w:sz w:val="24"/>
          <w:szCs w:val="24"/>
        </w:rPr>
      </w:pPr>
      <w:r w:rsidRPr="009D50B9">
        <w:rPr>
          <w:rFonts w:ascii="Times New Roman" w:hAnsi="Times New Roman"/>
          <w:b/>
          <w:bCs/>
          <w:sz w:val="24"/>
          <w:szCs w:val="24"/>
        </w:rPr>
        <w:t xml:space="preserve">3.3.4.1 </w:t>
      </w:r>
      <w:r w:rsidR="00656732">
        <w:rPr>
          <w:rFonts w:ascii="Times New Roman" w:hAnsi="Times New Roman"/>
          <w:b/>
          <w:bCs/>
          <w:sz w:val="24"/>
          <w:szCs w:val="24"/>
        </w:rPr>
        <w:t xml:space="preserve">Assay of </w:t>
      </w:r>
      <w:r w:rsidR="00656732" w:rsidRPr="009D50B9">
        <w:rPr>
          <w:rFonts w:ascii="Times New Roman" w:hAnsi="Times New Roman"/>
          <w:b/>
          <w:bCs/>
          <w:sz w:val="24"/>
          <w:szCs w:val="24"/>
        </w:rPr>
        <w:t>glucanase</w:t>
      </w:r>
    </w:p>
    <w:p w14:paraId="76C62B23" w14:textId="1EBEE430" w:rsidR="00740254" w:rsidRPr="009D50B9" w:rsidRDefault="00CC7EF3" w:rsidP="00A21BCC">
      <w:pPr>
        <w:autoSpaceDE w:val="0"/>
        <w:autoSpaceDN w:val="0"/>
        <w:adjustRightInd w:val="0"/>
        <w:spacing w:before="120" w:after="0" w:line="360" w:lineRule="auto"/>
        <w:ind w:firstLine="720"/>
        <w:jc w:val="both"/>
        <w:rPr>
          <w:rFonts w:ascii="Times New Roman" w:hAnsi="Times New Roman"/>
          <w:sz w:val="24"/>
          <w:szCs w:val="24"/>
        </w:rPr>
      </w:pPr>
      <w:r w:rsidRPr="009D50B9">
        <w:rPr>
          <w:rFonts w:ascii="Times New Roman" w:hAnsi="Times New Roman"/>
          <w:sz w:val="24"/>
          <w:szCs w:val="24"/>
        </w:rPr>
        <w:t>Glucanase refers to a group of enzymes that hydrolyze glucans key polysaccharide components of fungal cell walls.  Glucanases (including β-1,3-glucanase and β-1,6-glucanase) degrade β-glucans in the fungal cell wall, compromising its integrity and leading to cell lysis or inhibited growth.</w:t>
      </w:r>
      <w:r w:rsidRPr="009D50B9">
        <w:rPr>
          <w:rFonts w:ascii="Times New Roman" w:eastAsia="Times New Roman" w:hAnsi="Times New Roman"/>
          <w:sz w:val="24"/>
          <w:szCs w:val="24"/>
          <w:lang w:eastAsia="en-IN"/>
        </w:rPr>
        <w:t xml:space="preserve"> </w:t>
      </w:r>
      <w:r w:rsidRPr="009D50B9">
        <w:rPr>
          <w:rFonts w:ascii="Times New Roman" w:hAnsi="Times New Roman"/>
          <w:sz w:val="24"/>
          <w:szCs w:val="24"/>
        </w:rPr>
        <w:t xml:space="preserve">Both β-1,3-glucanases and α-1,3-glucanases have been shown to disrupt the cell walls of various pathogenic fungi, making them valuable in biological control and plant protection against fungal diseases (Ueki </w:t>
      </w:r>
      <w:r w:rsidRPr="009D50B9">
        <w:rPr>
          <w:rFonts w:ascii="Times New Roman" w:hAnsi="Times New Roman"/>
          <w:i/>
          <w:iCs/>
          <w:sz w:val="24"/>
          <w:szCs w:val="24"/>
        </w:rPr>
        <w:t>et al</w:t>
      </w:r>
      <w:r w:rsidRPr="009D50B9">
        <w:rPr>
          <w:rFonts w:ascii="Times New Roman" w:hAnsi="Times New Roman"/>
          <w:sz w:val="24"/>
          <w:szCs w:val="24"/>
        </w:rPr>
        <w:t>., 2020).</w:t>
      </w:r>
      <w:r w:rsidRPr="009D50B9">
        <w:rPr>
          <w:rFonts w:ascii="Times New Roman" w:hAnsi="Times New Roman"/>
          <w:b/>
          <w:bCs/>
          <w:sz w:val="24"/>
          <w:szCs w:val="24"/>
        </w:rPr>
        <w:t xml:space="preserve"> </w:t>
      </w:r>
      <w:r w:rsidRPr="009D50B9">
        <w:rPr>
          <w:rFonts w:ascii="Times New Roman" w:hAnsi="Times New Roman"/>
          <w:sz w:val="24"/>
          <w:szCs w:val="24"/>
        </w:rPr>
        <w:t>Significant differences were observed among the strains for both β-1,3-glucanase and chitinase activities (</w:t>
      </w:r>
      <w:r w:rsidR="00D76D68" w:rsidRPr="009D50B9">
        <w:rPr>
          <w:rFonts w:ascii="Times New Roman" w:hAnsi="Times New Roman"/>
          <w:sz w:val="24"/>
          <w:szCs w:val="24"/>
        </w:rPr>
        <w:t>Table</w:t>
      </w:r>
      <w:r w:rsidR="00AF1F81" w:rsidRPr="009D50B9">
        <w:rPr>
          <w:rFonts w:ascii="Times New Roman" w:hAnsi="Times New Roman"/>
          <w:sz w:val="24"/>
          <w:szCs w:val="24"/>
        </w:rPr>
        <w:t xml:space="preserve"> </w:t>
      </w:r>
      <w:r w:rsidR="00D76D68" w:rsidRPr="009D50B9">
        <w:rPr>
          <w:rFonts w:ascii="Times New Roman" w:hAnsi="Times New Roman"/>
          <w:sz w:val="24"/>
          <w:szCs w:val="24"/>
        </w:rPr>
        <w:t>2</w:t>
      </w:r>
      <w:r w:rsidRPr="009D50B9">
        <w:rPr>
          <w:rFonts w:ascii="Times New Roman" w:hAnsi="Times New Roman"/>
          <w:sz w:val="24"/>
          <w:szCs w:val="24"/>
        </w:rPr>
        <w:t xml:space="preserve">). For β-1,3-glucanase, </w:t>
      </w:r>
      <w:r w:rsidR="009D4DA4" w:rsidRPr="009D50B9">
        <w:rPr>
          <w:rFonts w:ascii="Times New Roman" w:eastAsia="Times New Roman" w:hAnsi="Times New Roman"/>
          <w:sz w:val="24"/>
          <w:szCs w:val="24"/>
          <w:lang w:val="en-US" w:eastAsia="en-IN"/>
        </w:rPr>
        <w:t xml:space="preserve">BSB-2 </w:t>
      </w:r>
      <w:r w:rsidRPr="009D50B9">
        <w:rPr>
          <w:rFonts w:ascii="Times New Roman" w:hAnsi="Times New Roman"/>
          <w:sz w:val="24"/>
          <w:szCs w:val="24"/>
        </w:rPr>
        <w:t xml:space="preserve">exhibited the highest activity (4.10 U/mL), followed by </w:t>
      </w:r>
      <w:r w:rsidR="009D4DA4" w:rsidRPr="009D50B9">
        <w:rPr>
          <w:rFonts w:ascii="Times New Roman" w:eastAsia="Times New Roman" w:hAnsi="Times New Roman"/>
          <w:sz w:val="24"/>
          <w:szCs w:val="24"/>
          <w:lang w:val="en-US" w:eastAsia="en-IN"/>
        </w:rPr>
        <w:t xml:space="preserve">BSB-41 </w:t>
      </w:r>
      <w:r w:rsidR="009D4DA4" w:rsidRPr="009D50B9">
        <w:rPr>
          <w:rFonts w:ascii="Times New Roman" w:hAnsi="Times New Roman"/>
          <w:sz w:val="24"/>
          <w:szCs w:val="24"/>
        </w:rPr>
        <w:t>(</w:t>
      </w:r>
      <w:r w:rsidRPr="009D50B9">
        <w:rPr>
          <w:rFonts w:ascii="Times New Roman" w:hAnsi="Times New Roman"/>
          <w:sz w:val="24"/>
          <w:szCs w:val="24"/>
        </w:rPr>
        <w:t xml:space="preserve">3.75 U/mL) and </w:t>
      </w:r>
      <w:r w:rsidRPr="009D50B9">
        <w:rPr>
          <w:rFonts w:ascii="Times New Roman" w:hAnsi="Times New Roman"/>
          <w:i/>
          <w:iCs/>
          <w:sz w:val="24"/>
          <w:szCs w:val="24"/>
        </w:rPr>
        <w:t>Bacillus</w:t>
      </w:r>
      <w:r w:rsidRPr="009D50B9">
        <w:rPr>
          <w:rFonts w:ascii="Times New Roman" w:hAnsi="Times New Roman"/>
          <w:sz w:val="24"/>
          <w:szCs w:val="24"/>
        </w:rPr>
        <w:t xml:space="preserve"> sp. MCC4316 (3.50 U/mL). Intermediate activity was recorded by </w:t>
      </w:r>
      <w:r w:rsidR="009D4DA4" w:rsidRPr="009D50B9">
        <w:rPr>
          <w:rFonts w:ascii="Times New Roman" w:eastAsia="Times New Roman" w:hAnsi="Times New Roman"/>
          <w:sz w:val="24"/>
          <w:szCs w:val="24"/>
          <w:lang w:val="en-US" w:eastAsia="en-IN"/>
        </w:rPr>
        <w:t xml:space="preserve">BSR-51 </w:t>
      </w:r>
      <w:r w:rsidRPr="009D50B9">
        <w:rPr>
          <w:rFonts w:ascii="Times New Roman" w:hAnsi="Times New Roman"/>
          <w:sz w:val="24"/>
          <w:szCs w:val="24"/>
        </w:rPr>
        <w:t xml:space="preserve">(2.95 U/mL) and </w:t>
      </w:r>
      <w:r w:rsidR="009D4DA4" w:rsidRPr="009D50B9">
        <w:rPr>
          <w:rFonts w:ascii="Times New Roman" w:eastAsia="Times New Roman" w:hAnsi="Times New Roman"/>
          <w:sz w:val="24"/>
          <w:szCs w:val="24"/>
          <w:lang w:val="en-US" w:eastAsia="en-IN"/>
        </w:rPr>
        <w:t>BS</w:t>
      </w:r>
      <w:r w:rsidR="009941E2" w:rsidRPr="009D50B9">
        <w:rPr>
          <w:rFonts w:ascii="Times New Roman" w:eastAsia="Times New Roman" w:hAnsi="Times New Roman"/>
          <w:sz w:val="24"/>
          <w:szCs w:val="24"/>
          <w:lang w:val="en-US" w:eastAsia="en-IN"/>
        </w:rPr>
        <w:t>B</w:t>
      </w:r>
      <w:r w:rsidR="009D4DA4" w:rsidRPr="009D50B9">
        <w:rPr>
          <w:rFonts w:ascii="Times New Roman" w:eastAsia="Times New Roman" w:hAnsi="Times New Roman"/>
          <w:sz w:val="24"/>
          <w:szCs w:val="24"/>
          <w:lang w:val="en-US" w:eastAsia="en-IN"/>
        </w:rPr>
        <w:t>-</w:t>
      </w:r>
      <w:r w:rsidR="009941E2" w:rsidRPr="009D50B9">
        <w:rPr>
          <w:rFonts w:ascii="Times New Roman" w:eastAsia="Times New Roman" w:hAnsi="Times New Roman"/>
          <w:sz w:val="24"/>
          <w:szCs w:val="24"/>
          <w:lang w:val="en-US" w:eastAsia="en-IN"/>
        </w:rPr>
        <w:t>4</w:t>
      </w:r>
      <w:r w:rsidR="009D4DA4" w:rsidRPr="009D50B9">
        <w:rPr>
          <w:rFonts w:ascii="Times New Roman" w:eastAsia="Times New Roman" w:hAnsi="Times New Roman"/>
          <w:sz w:val="24"/>
          <w:szCs w:val="24"/>
          <w:lang w:val="en-US" w:eastAsia="en-IN"/>
        </w:rPr>
        <w:t xml:space="preserve"> </w:t>
      </w:r>
      <w:r w:rsidRPr="009D50B9">
        <w:rPr>
          <w:rFonts w:ascii="Times New Roman" w:hAnsi="Times New Roman"/>
          <w:sz w:val="24"/>
          <w:szCs w:val="24"/>
        </w:rPr>
        <w:t xml:space="preserve">(2.20 U/mL), while the lowest was in </w:t>
      </w:r>
      <w:r w:rsidR="009D4DA4" w:rsidRPr="009D50B9">
        <w:rPr>
          <w:rFonts w:ascii="Times New Roman" w:eastAsia="Times New Roman" w:hAnsi="Times New Roman"/>
          <w:sz w:val="24"/>
          <w:szCs w:val="24"/>
          <w:lang w:val="en-US" w:eastAsia="en-IN"/>
        </w:rPr>
        <w:t xml:space="preserve">BSB-11 </w:t>
      </w:r>
      <w:r w:rsidRPr="009D50B9">
        <w:rPr>
          <w:rFonts w:ascii="Times New Roman" w:hAnsi="Times New Roman"/>
          <w:sz w:val="24"/>
          <w:szCs w:val="24"/>
        </w:rPr>
        <w:t xml:space="preserve">(1.85 U/mL). All isolates were significantly higher than the control (0.35 U/mL). </w:t>
      </w:r>
      <w:r w:rsidR="00740254" w:rsidRPr="009D50B9">
        <w:rPr>
          <w:rFonts w:ascii="Times New Roman" w:hAnsi="Times New Roman"/>
          <w:sz w:val="24"/>
          <w:szCs w:val="24"/>
        </w:rPr>
        <w:t xml:space="preserve">Similarly, Chen </w:t>
      </w:r>
      <w:r w:rsidR="00740254" w:rsidRPr="009D50B9">
        <w:rPr>
          <w:rFonts w:ascii="Times New Roman" w:hAnsi="Times New Roman"/>
          <w:i/>
          <w:iCs/>
          <w:sz w:val="24"/>
          <w:szCs w:val="24"/>
        </w:rPr>
        <w:t>et al.</w:t>
      </w:r>
      <w:r w:rsidR="00740254" w:rsidRPr="009D50B9">
        <w:rPr>
          <w:rFonts w:ascii="Times New Roman" w:hAnsi="Times New Roman"/>
          <w:sz w:val="24"/>
          <w:szCs w:val="24"/>
        </w:rPr>
        <w:t xml:space="preserve"> (2020) also reported that sophorolipids reduced β‑1,3‑glucanase activity in </w:t>
      </w:r>
      <w:r w:rsidR="00740254" w:rsidRPr="009D50B9">
        <w:rPr>
          <w:rFonts w:ascii="Times New Roman" w:hAnsi="Times New Roman"/>
          <w:i/>
          <w:iCs/>
          <w:sz w:val="24"/>
          <w:szCs w:val="24"/>
        </w:rPr>
        <w:t>Phytophthora infestans</w:t>
      </w:r>
      <w:r w:rsidR="00740254" w:rsidRPr="009D50B9">
        <w:rPr>
          <w:rFonts w:ascii="Times New Roman" w:hAnsi="Times New Roman"/>
          <w:sz w:val="24"/>
          <w:szCs w:val="24"/>
        </w:rPr>
        <w:t xml:space="preserve"> mycelia, indicating interference with fungal cell wall metabolism as part of their antifungal mechanism.</w:t>
      </w:r>
      <w:r w:rsidR="00740254" w:rsidRPr="009D50B9">
        <w:rPr>
          <w:rFonts w:ascii="Times New Roman" w:hAnsi="Times New Roman"/>
          <w:b/>
          <w:bCs/>
          <w:sz w:val="24"/>
          <w:szCs w:val="24"/>
        </w:rPr>
        <w:t xml:space="preserve"> </w:t>
      </w:r>
      <w:r w:rsidR="00740254" w:rsidRPr="009D50B9">
        <w:rPr>
          <w:rFonts w:ascii="Times New Roman" w:hAnsi="Times New Roman"/>
          <w:sz w:val="24"/>
          <w:szCs w:val="24"/>
        </w:rPr>
        <w:t xml:space="preserve">Diabankana </w:t>
      </w:r>
      <w:r w:rsidR="00740254" w:rsidRPr="009D50B9">
        <w:rPr>
          <w:rFonts w:ascii="Times New Roman" w:hAnsi="Times New Roman"/>
          <w:i/>
          <w:iCs/>
          <w:sz w:val="24"/>
          <w:szCs w:val="24"/>
        </w:rPr>
        <w:t>et al.</w:t>
      </w:r>
      <w:r w:rsidR="00740254" w:rsidRPr="009D50B9">
        <w:rPr>
          <w:rFonts w:ascii="Times New Roman" w:hAnsi="Times New Roman"/>
          <w:sz w:val="24"/>
          <w:szCs w:val="24"/>
        </w:rPr>
        <w:t xml:space="preserve"> (2021) reported that </w:t>
      </w:r>
      <w:r w:rsidR="00740254" w:rsidRPr="009D50B9">
        <w:rPr>
          <w:rFonts w:ascii="Times New Roman" w:hAnsi="Times New Roman"/>
          <w:i/>
          <w:iCs/>
          <w:sz w:val="24"/>
          <w:szCs w:val="24"/>
        </w:rPr>
        <w:t>Bacillus mojavensis</w:t>
      </w:r>
      <w:r w:rsidR="00740254" w:rsidRPr="009D50B9">
        <w:rPr>
          <w:rFonts w:ascii="Times New Roman" w:hAnsi="Times New Roman"/>
          <w:sz w:val="24"/>
          <w:szCs w:val="24"/>
        </w:rPr>
        <w:t xml:space="preserve"> PS17 produces metabolites and hydrolytic enzymes chitinase, β-glucanase, cellulase, lipase, protease that inhibit a broad spectrum of phytopathogenic fungi, including </w:t>
      </w:r>
      <w:r w:rsidR="00740254" w:rsidRPr="009D50B9">
        <w:rPr>
          <w:rFonts w:ascii="Times New Roman" w:hAnsi="Times New Roman"/>
          <w:i/>
          <w:iCs/>
          <w:sz w:val="24"/>
          <w:szCs w:val="24"/>
        </w:rPr>
        <w:t>Fusarium</w:t>
      </w:r>
      <w:r w:rsidR="00740254" w:rsidRPr="009D50B9">
        <w:rPr>
          <w:rFonts w:ascii="Times New Roman" w:hAnsi="Times New Roman"/>
          <w:sz w:val="24"/>
          <w:szCs w:val="24"/>
        </w:rPr>
        <w:t xml:space="preserve"> spp., </w:t>
      </w:r>
      <w:r w:rsidR="00740254" w:rsidRPr="009D50B9">
        <w:rPr>
          <w:rFonts w:ascii="Times New Roman" w:hAnsi="Times New Roman"/>
          <w:i/>
          <w:iCs/>
          <w:sz w:val="24"/>
          <w:szCs w:val="24"/>
        </w:rPr>
        <w:t>Alternaria alternata</w:t>
      </w:r>
      <w:r w:rsidR="00740254" w:rsidRPr="009D50B9">
        <w:rPr>
          <w:rFonts w:ascii="Times New Roman" w:hAnsi="Times New Roman"/>
          <w:sz w:val="24"/>
          <w:szCs w:val="24"/>
        </w:rPr>
        <w:t xml:space="preserve"> and </w:t>
      </w:r>
      <w:r w:rsidR="00740254" w:rsidRPr="009D50B9">
        <w:rPr>
          <w:rFonts w:ascii="Times New Roman" w:hAnsi="Times New Roman"/>
          <w:i/>
          <w:iCs/>
          <w:sz w:val="24"/>
          <w:szCs w:val="24"/>
        </w:rPr>
        <w:t>Sclerotinia sclerotiorum</w:t>
      </w:r>
      <w:r w:rsidR="00740254" w:rsidRPr="009D50B9">
        <w:rPr>
          <w:rFonts w:ascii="Times New Roman" w:hAnsi="Times New Roman"/>
          <w:sz w:val="24"/>
          <w:szCs w:val="24"/>
        </w:rPr>
        <w:t>.</w:t>
      </w:r>
      <w:r w:rsidR="00A21BCC" w:rsidRPr="009D50B9">
        <w:rPr>
          <w:rFonts w:ascii="Times New Roman" w:hAnsi="Times New Roman"/>
          <w:sz w:val="24"/>
          <w:szCs w:val="24"/>
        </w:rPr>
        <w:t xml:space="preserve"> </w:t>
      </w:r>
      <w:r w:rsidR="00740254" w:rsidRPr="009D50B9">
        <w:rPr>
          <w:rFonts w:ascii="Times New Roman" w:eastAsia="Times New Roman" w:hAnsi="Times New Roman"/>
          <w:sz w:val="24"/>
          <w:szCs w:val="24"/>
          <w:lang w:eastAsia="en-IN"/>
        </w:rPr>
        <w:t>In addition to these findings,</w:t>
      </w:r>
      <w:r w:rsidR="00740254" w:rsidRPr="009D50B9">
        <w:rPr>
          <w:rFonts w:ascii="Times New Roman" w:hAnsi="Times New Roman"/>
          <w:sz w:val="24"/>
          <w:szCs w:val="24"/>
        </w:rPr>
        <w:t xml:space="preserve"> Amao </w:t>
      </w:r>
      <w:r w:rsidR="00740254" w:rsidRPr="009D50B9">
        <w:rPr>
          <w:rFonts w:ascii="Times New Roman" w:hAnsi="Times New Roman"/>
          <w:i/>
          <w:iCs/>
          <w:sz w:val="24"/>
          <w:szCs w:val="24"/>
        </w:rPr>
        <w:t>et al</w:t>
      </w:r>
      <w:r w:rsidR="00740254" w:rsidRPr="009D50B9">
        <w:rPr>
          <w:rFonts w:ascii="Times New Roman" w:hAnsi="Times New Roman"/>
          <w:sz w:val="24"/>
          <w:szCs w:val="24"/>
        </w:rPr>
        <w:t xml:space="preserve">. (2023) demonstrated that </w:t>
      </w:r>
      <w:r w:rsidR="00740254" w:rsidRPr="009D50B9">
        <w:rPr>
          <w:rFonts w:ascii="Times New Roman" w:hAnsi="Times New Roman"/>
          <w:i/>
          <w:iCs/>
          <w:sz w:val="24"/>
          <w:szCs w:val="24"/>
        </w:rPr>
        <w:t>Bacillus</w:t>
      </w:r>
      <w:r w:rsidR="00740254" w:rsidRPr="009D50B9">
        <w:rPr>
          <w:rFonts w:ascii="Times New Roman" w:hAnsi="Times New Roman"/>
          <w:sz w:val="24"/>
          <w:szCs w:val="24"/>
        </w:rPr>
        <w:t xml:space="preserve"> isolates from cassava peel heaps, including </w:t>
      </w:r>
      <w:r w:rsidR="00740254" w:rsidRPr="009D50B9">
        <w:rPr>
          <w:rFonts w:ascii="Times New Roman" w:hAnsi="Times New Roman"/>
          <w:i/>
          <w:iCs/>
          <w:sz w:val="24"/>
          <w:szCs w:val="24"/>
        </w:rPr>
        <w:t>B. amyloliquefaciens</w:t>
      </w:r>
      <w:r w:rsidR="00740254" w:rsidRPr="009D50B9">
        <w:rPr>
          <w:rFonts w:ascii="Times New Roman" w:hAnsi="Times New Roman"/>
          <w:sz w:val="24"/>
          <w:szCs w:val="24"/>
        </w:rPr>
        <w:t xml:space="preserve"> J47, </w:t>
      </w:r>
      <w:r w:rsidR="00740254" w:rsidRPr="009D50B9">
        <w:rPr>
          <w:rFonts w:ascii="Times New Roman" w:hAnsi="Times New Roman"/>
          <w:i/>
          <w:iCs/>
          <w:sz w:val="24"/>
          <w:szCs w:val="24"/>
        </w:rPr>
        <w:t xml:space="preserve">Bacillus subtilis </w:t>
      </w:r>
      <w:r w:rsidR="00740254" w:rsidRPr="009D50B9">
        <w:rPr>
          <w:rFonts w:ascii="Times New Roman" w:hAnsi="Times New Roman"/>
          <w:sz w:val="24"/>
          <w:szCs w:val="24"/>
        </w:rPr>
        <w:t xml:space="preserve">J2 and J1, produced β-glucosidase along with xylanase and cellulase, highlighting their potential as industrial sources of glucan-hydrolyzing enzymes and biosurfactants. </w:t>
      </w:r>
    </w:p>
    <w:p w14:paraId="391D4EC1" w14:textId="77777777" w:rsidR="00B97CA2" w:rsidRPr="009D50B9" w:rsidRDefault="00B97CA2" w:rsidP="00B97CA2">
      <w:pPr>
        <w:autoSpaceDE w:val="0"/>
        <w:autoSpaceDN w:val="0"/>
        <w:adjustRightInd w:val="0"/>
        <w:spacing w:after="0" w:line="360" w:lineRule="auto"/>
        <w:jc w:val="both"/>
        <w:rPr>
          <w:rFonts w:ascii="Times New Roman" w:hAnsi="Times New Roman"/>
          <w:sz w:val="24"/>
          <w:szCs w:val="24"/>
        </w:rPr>
      </w:pPr>
      <w:r w:rsidRPr="009D50B9">
        <w:rPr>
          <w:rFonts w:ascii="Times New Roman" w:hAnsi="Times New Roman"/>
          <w:b/>
          <w:bCs/>
          <w:sz w:val="24"/>
          <w:szCs w:val="24"/>
        </w:rPr>
        <w:t>3.3.4.2 Assay of chitinases</w:t>
      </w:r>
    </w:p>
    <w:p w14:paraId="602F1B70" w14:textId="02590DF7" w:rsidR="00CC7EF3" w:rsidRPr="009D50B9" w:rsidRDefault="00B97CA2" w:rsidP="003F50A0">
      <w:pPr>
        <w:autoSpaceDE w:val="0"/>
        <w:autoSpaceDN w:val="0"/>
        <w:adjustRightInd w:val="0"/>
        <w:spacing w:after="0" w:line="360" w:lineRule="auto"/>
        <w:ind w:firstLine="720"/>
        <w:jc w:val="both"/>
        <w:rPr>
          <w:rFonts w:ascii="Times New Roman" w:hAnsi="Times New Roman"/>
          <w:sz w:val="24"/>
          <w:szCs w:val="24"/>
        </w:rPr>
      </w:pPr>
      <w:r w:rsidRPr="009D50B9">
        <w:rPr>
          <w:rFonts w:ascii="Times New Roman" w:hAnsi="Times New Roman"/>
          <w:sz w:val="24"/>
          <w:szCs w:val="24"/>
        </w:rPr>
        <w:t>Chitinases are a diverse family of hydrolytic enzymes that break down chitin a polysaccharide found in the cell walls of fungi. These enzymes catalyze the cleavage of β-1,4 glycosidic bonds in chitin, producing oligosaccharides such as N-acetylglucosamine. Chitinases degrade the chitin component of fungal cell walls, leading to cell wall damage, leakage of cytoplasmic contents and inhibition of fungal growth (Zarei</w:t>
      </w:r>
      <w:r w:rsidRPr="009D50B9">
        <w:rPr>
          <w:rFonts w:ascii="Times New Roman" w:hAnsi="Times New Roman"/>
          <w:i/>
          <w:iCs/>
          <w:sz w:val="24"/>
          <w:szCs w:val="24"/>
        </w:rPr>
        <w:t xml:space="preserve"> et al</w:t>
      </w:r>
      <w:r w:rsidRPr="009D50B9">
        <w:rPr>
          <w:rFonts w:ascii="Times New Roman" w:hAnsi="Times New Roman"/>
          <w:sz w:val="24"/>
          <w:szCs w:val="24"/>
        </w:rPr>
        <w:t xml:space="preserve">., 2011). For chitinase, the highest activity was observed in </w:t>
      </w:r>
      <w:r w:rsidRPr="009D50B9">
        <w:rPr>
          <w:rFonts w:ascii="Times New Roman" w:eastAsia="Times New Roman" w:hAnsi="Times New Roman"/>
          <w:sz w:val="24"/>
          <w:szCs w:val="24"/>
          <w:lang w:val="en-US" w:eastAsia="en-IN"/>
        </w:rPr>
        <w:t>BSB-2</w:t>
      </w:r>
      <w:r w:rsidRPr="009D50B9">
        <w:rPr>
          <w:rFonts w:ascii="Times New Roman" w:hAnsi="Times New Roman"/>
          <w:sz w:val="24"/>
          <w:szCs w:val="24"/>
        </w:rPr>
        <w:t xml:space="preserve"> (2.87 U/mL), followed by </w:t>
      </w:r>
      <w:r w:rsidRPr="009D50B9">
        <w:rPr>
          <w:rFonts w:ascii="Times New Roman" w:eastAsia="Times New Roman" w:hAnsi="Times New Roman"/>
          <w:sz w:val="24"/>
          <w:szCs w:val="24"/>
          <w:lang w:val="en-US" w:eastAsia="en-IN"/>
        </w:rPr>
        <w:t>BSB-11</w:t>
      </w:r>
      <w:r w:rsidRPr="009D50B9">
        <w:rPr>
          <w:rFonts w:ascii="Times New Roman" w:hAnsi="Times New Roman"/>
          <w:sz w:val="24"/>
          <w:szCs w:val="24"/>
        </w:rPr>
        <w:t xml:space="preserve"> (2.47 U/mL), </w:t>
      </w:r>
      <w:r w:rsidRPr="009D50B9">
        <w:rPr>
          <w:rFonts w:ascii="Times New Roman" w:eastAsia="Times New Roman" w:hAnsi="Times New Roman"/>
          <w:sz w:val="24"/>
          <w:szCs w:val="24"/>
          <w:lang w:val="en-US" w:eastAsia="en-IN"/>
        </w:rPr>
        <w:t xml:space="preserve">BSB-41 </w:t>
      </w:r>
      <w:r w:rsidRPr="009D50B9">
        <w:rPr>
          <w:rFonts w:ascii="Times New Roman" w:hAnsi="Times New Roman"/>
          <w:sz w:val="24"/>
          <w:szCs w:val="24"/>
        </w:rPr>
        <w:t xml:space="preserve">(2.26 U/mL) and </w:t>
      </w:r>
      <w:r w:rsidRPr="009D50B9">
        <w:rPr>
          <w:rFonts w:ascii="Times New Roman" w:hAnsi="Times New Roman"/>
          <w:i/>
          <w:iCs/>
          <w:sz w:val="24"/>
          <w:szCs w:val="24"/>
        </w:rPr>
        <w:t>Bacillus</w:t>
      </w:r>
      <w:r w:rsidRPr="009D50B9">
        <w:rPr>
          <w:rFonts w:ascii="Times New Roman" w:hAnsi="Times New Roman"/>
          <w:sz w:val="24"/>
          <w:szCs w:val="24"/>
        </w:rPr>
        <w:t xml:space="preserve"> sp. MCC4316 (2.08 U/mL)</w:t>
      </w:r>
      <w:r w:rsidR="00210D7D" w:rsidRPr="009D50B9">
        <w:rPr>
          <w:rFonts w:ascii="Times New Roman" w:hAnsi="Times New Roman"/>
          <w:sz w:val="24"/>
          <w:szCs w:val="24"/>
        </w:rPr>
        <w:t xml:space="preserve"> under </w:t>
      </w:r>
      <w:r w:rsidR="00210D7D" w:rsidRPr="009D50B9">
        <w:rPr>
          <w:rFonts w:ascii="Times New Roman" w:hAnsi="Times New Roman"/>
          <w:i/>
          <w:iCs/>
          <w:sz w:val="24"/>
          <w:szCs w:val="24"/>
        </w:rPr>
        <w:t>in vitro</w:t>
      </w:r>
      <w:r w:rsidR="00210D7D" w:rsidRPr="009D50B9">
        <w:rPr>
          <w:rFonts w:ascii="Times New Roman" w:hAnsi="Times New Roman"/>
          <w:sz w:val="24"/>
          <w:szCs w:val="24"/>
        </w:rPr>
        <w:t xml:space="preserve"> conditions.</w:t>
      </w:r>
      <w:r w:rsidRPr="009D50B9">
        <w:rPr>
          <w:rFonts w:ascii="Times New Roman" w:hAnsi="Times New Roman"/>
          <w:sz w:val="24"/>
          <w:szCs w:val="24"/>
        </w:rPr>
        <w:t xml:space="preserve"> Lower activities were recorded for </w:t>
      </w:r>
      <w:r w:rsidRPr="009D50B9">
        <w:rPr>
          <w:rFonts w:ascii="Times New Roman" w:eastAsia="Times New Roman" w:hAnsi="Times New Roman"/>
          <w:sz w:val="24"/>
          <w:szCs w:val="24"/>
          <w:lang w:val="en-US" w:eastAsia="en-IN"/>
        </w:rPr>
        <w:t>BSB-4</w:t>
      </w:r>
      <w:r w:rsidRPr="009D50B9">
        <w:rPr>
          <w:rFonts w:ascii="Times New Roman" w:hAnsi="Times New Roman"/>
          <w:sz w:val="24"/>
          <w:szCs w:val="24"/>
        </w:rPr>
        <w:t xml:space="preserve"> (1.67 U/mL) and </w:t>
      </w:r>
      <w:r w:rsidRPr="009D50B9">
        <w:rPr>
          <w:rFonts w:ascii="Times New Roman" w:eastAsia="Times New Roman" w:hAnsi="Times New Roman"/>
          <w:sz w:val="24"/>
          <w:szCs w:val="24"/>
          <w:lang w:val="en-US" w:eastAsia="en-IN"/>
        </w:rPr>
        <w:t xml:space="preserve">BSR-51 </w:t>
      </w:r>
      <w:r w:rsidRPr="009D50B9">
        <w:rPr>
          <w:rFonts w:ascii="Times New Roman" w:hAnsi="Times New Roman"/>
          <w:sz w:val="24"/>
          <w:szCs w:val="24"/>
        </w:rPr>
        <w:t xml:space="preserve">(1.27 U/mL), </w:t>
      </w:r>
      <w:r w:rsidRPr="009D50B9">
        <w:rPr>
          <w:rFonts w:ascii="Times New Roman" w:hAnsi="Times New Roman"/>
          <w:sz w:val="24"/>
          <w:szCs w:val="24"/>
        </w:rPr>
        <w:lastRenderedPageBreak/>
        <w:t>with all significantly exceeding the control (0.33 U/mL) (</w:t>
      </w:r>
      <w:r w:rsidR="00C21A20" w:rsidRPr="009D50B9">
        <w:rPr>
          <w:rFonts w:ascii="Times New Roman" w:hAnsi="Times New Roman"/>
          <w:sz w:val="24"/>
          <w:szCs w:val="24"/>
        </w:rPr>
        <w:t>Table 2</w:t>
      </w:r>
      <w:r w:rsidRPr="009D50B9">
        <w:rPr>
          <w:rFonts w:ascii="Times New Roman" w:hAnsi="Times New Roman"/>
          <w:sz w:val="24"/>
          <w:szCs w:val="24"/>
        </w:rPr>
        <w:t>).</w:t>
      </w:r>
      <w:r w:rsidR="00210D7D" w:rsidRPr="009D50B9">
        <w:rPr>
          <w:rFonts w:ascii="Times New Roman" w:hAnsi="Times New Roman"/>
          <w:sz w:val="24"/>
          <w:szCs w:val="24"/>
        </w:rPr>
        <w:t xml:space="preserve"> Among the strains</w:t>
      </w:r>
      <w:r w:rsidR="004C54D2">
        <w:rPr>
          <w:rFonts w:ascii="Times New Roman" w:hAnsi="Times New Roman"/>
          <w:sz w:val="24"/>
          <w:szCs w:val="24"/>
        </w:rPr>
        <w:t xml:space="preserve"> </w:t>
      </w:r>
      <w:r w:rsidR="004D141A" w:rsidRPr="009D50B9">
        <w:rPr>
          <w:rFonts w:ascii="Times New Roman" w:hAnsi="Times New Roman"/>
          <w:sz w:val="24"/>
          <w:szCs w:val="24"/>
        </w:rPr>
        <w:t xml:space="preserve">tested </w:t>
      </w:r>
      <w:r w:rsidR="004C54D2">
        <w:rPr>
          <w:rFonts w:ascii="Times New Roman" w:hAnsi="Times New Roman"/>
          <w:sz w:val="24"/>
          <w:szCs w:val="24"/>
        </w:rPr>
        <w:t>in the present study</w:t>
      </w:r>
      <w:r w:rsidR="00210D7D" w:rsidRPr="009D50B9">
        <w:rPr>
          <w:rFonts w:ascii="Times New Roman" w:hAnsi="Times New Roman"/>
          <w:sz w:val="24"/>
          <w:szCs w:val="24"/>
        </w:rPr>
        <w:t xml:space="preserve">, </w:t>
      </w:r>
      <w:r w:rsidR="00210D7D" w:rsidRPr="009D50B9">
        <w:rPr>
          <w:rFonts w:ascii="Times New Roman" w:eastAsia="Times New Roman" w:hAnsi="Times New Roman"/>
          <w:sz w:val="24"/>
          <w:szCs w:val="24"/>
          <w:lang w:val="en-US" w:eastAsia="en-IN"/>
        </w:rPr>
        <w:t>BSB-2</w:t>
      </w:r>
      <w:r w:rsidR="00210D7D" w:rsidRPr="009D50B9">
        <w:rPr>
          <w:rFonts w:ascii="Times New Roman" w:hAnsi="Times New Roman"/>
          <w:sz w:val="24"/>
          <w:szCs w:val="24"/>
        </w:rPr>
        <w:t xml:space="preserve"> consistently displayed superior production of both β-1,3-glucanase and chitinase, indicating a strong capacity for fungal cell wall degradation and potential as a biocontrol agent.</w:t>
      </w:r>
    </w:p>
    <w:p w14:paraId="77DFC203" w14:textId="707D1BC0" w:rsidR="004D63DA" w:rsidRPr="009D50B9" w:rsidRDefault="004D63DA" w:rsidP="004D63DA">
      <w:pPr>
        <w:autoSpaceDE w:val="0"/>
        <w:autoSpaceDN w:val="0"/>
        <w:adjustRightInd w:val="0"/>
        <w:spacing w:after="0" w:line="360" w:lineRule="auto"/>
        <w:ind w:left="900" w:hanging="900"/>
        <w:jc w:val="both"/>
        <w:rPr>
          <w:rFonts w:ascii="Times New Roman" w:hAnsi="Times New Roman"/>
          <w:b/>
          <w:bCs/>
          <w:sz w:val="24"/>
          <w:szCs w:val="24"/>
        </w:rPr>
      </w:pPr>
      <w:r w:rsidRPr="009D50B9">
        <w:rPr>
          <w:rFonts w:ascii="Times New Roman" w:hAnsi="Times New Roman"/>
          <w:b/>
          <w:bCs/>
          <w:sz w:val="24"/>
          <w:szCs w:val="24"/>
          <w:lang w:val="en-US"/>
        </w:rPr>
        <w:t>Table 2:</w:t>
      </w:r>
      <w:r w:rsidRPr="009D50B9">
        <w:rPr>
          <w:rFonts w:ascii="Times New Roman" w:hAnsi="Times New Roman"/>
          <w:b/>
          <w:bCs/>
          <w:sz w:val="24"/>
          <w:szCs w:val="24"/>
          <w:lang w:val="en-US"/>
        </w:rPr>
        <w:tab/>
        <w:t xml:space="preserve">Glucanase and chitinase activity of biosurfactant producing bacterial </w:t>
      </w:r>
      <w:r w:rsidR="004D23D3" w:rsidRPr="004D23D3">
        <w:rPr>
          <w:rFonts w:ascii="Times New Roman" w:hAnsi="Times New Roman"/>
          <w:b/>
          <w:bCs/>
          <w:sz w:val="24"/>
          <w:szCs w:val="24"/>
        </w:rPr>
        <w:t>isolates</w:t>
      </w:r>
    </w:p>
    <w:tbl>
      <w:tblPr>
        <w:tblStyle w:val="TableGrid"/>
        <w:tblW w:w="0" w:type="auto"/>
        <w:tblLook w:val="04A0" w:firstRow="1" w:lastRow="0" w:firstColumn="1" w:lastColumn="0" w:noHBand="0" w:noVBand="1"/>
      </w:tblPr>
      <w:tblGrid>
        <w:gridCol w:w="3009"/>
        <w:gridCol w:w="3005"/>
        <w:gridCol w:w="3002"/>
      </w:tblGrid>
      <w:tr w:rsidR="009D50B9" w:rsidRPr="009D50B9" w14:paraId="57387482" w14:textId="77777777" w:rsidTr="002C2ED3">
        <w:tc>
          <w:tcPr>
            <w:tcW w:w="3080" w:type="dxa"/>
          </w:tcPr>
          <w:p w14:paraId="5DDE16AC" w14:textId="77777777" w:rsidR="00C21A20" w:rsidRPr="009D50B9" w:rsidRDefault="00C21A20" w:rsidP="002C2ED3">
            <w:pPr>
              <w:jc w:val="both"/>
              <w:rPr>
                <w:rFonts w:ascii="Times New Roman" w:hAnsi="Times New Roman"/>
                <w:b/>
                <w:bCs/>
                <w:sz w:val="24"/>
                <w:szCs w:val="24"/>
                <w:lang w:eastAsia="en-IN"/>
              </w:rPr>
            </w:pPr>
            <w:r w:rsidRPr="009D50B9">
              <w:rPr>
                <w:rFonts w:ascii="Times New Roman" w:hAnsi="Times New Roman"/>
                <w:b/>
                <w:bCs/>
                <w:sz w:val="24"/>
                <w:szCs w:val="24"/>
                <w:lang w:eastAsia="en-IN"/>
              </w:rPr>
              <w:t>Isolates</w:t>
            </w:r>
          </w:p>
        </w:tc>
        <w:tc>
          <w:tcPr>
            <w:tcW w:w="3081" w:type="dxa"/>
          </w:tcPr>
          <w:p w14:paraId="2C189A94" w14:textId="77777777" w:rsidR="00C21A20" w:rsidRPr="009D50B9" w:rsidRDefault="00C21A20" w:rsidP="002C2ED3">
            <w:pPr>
              <w:jc w:val="both"/>
              <w:rPr>
                <w:rFonts w:ascii="Times New Roman" w:hAnsi="Times New Roman"/>
                <w:b/>
                <w:bCs/>
                <w:sz w:val="24"/>
                <w:szCs w:val="24"/>
              </w:rPr>
            </w:pPr>
            <w:r w:rsidRPr="009D50B9">
              <w:rPr>
                <w:rFonts w:ascii="Times New Roman" w:hAnsi="Times New Roman"/>
                <w:b/>
                <w:bCs/>
                <w:sz w:val="24"/>
                <w:szCs w:val="24"/>
              </w:rPr>
              <w:t>Glucanase activity (U/mL)</w:t>
            </w:r>
          </w:p>
        </w:tc>
        <w:tc>
          <w:tcPr>
            <w:tcW w:w="3081" w:type="dxa"/>
          </w:tcPr>
          <w:p w14:paraId="46EEEE4A" w14:textId="77777777" w:rsidR="00C21A20" w:rsidRPr="009D50B9" w:rsidRDefault="00C21A20" w:rsidP="002C2ED3">
            <w:pPr>
              <w:jc w:val="both"/>
              <w:rPr>
                <w:rFonts w:ascii="Times New Roman" w:hAnsi="Times New Roman"/>
                <w:b/>
                <w:bCs/>
                <w:sz w:val="24"/>
                <w:szCs w:val="24"/>
              </w:rPr>
            </w:pPr>
            <w:r w:rsidRPr="009D50B9">
              <w:rPr>
                <w:rFonts w:ascii="Times New Roman" w:hAnsi="Times New Roman"/>
                <w:b/>
                <w:bCs/>
                <w:sz w:val="24"/>
                <w:szCs w:val="24"/>
              </w:rPr>
              <w:t>Chitinase activity (U/mL)</w:t>
            </w:r>
          </w:p>
        </w:tc>
      </w:tr>
      <w:tr w:rsidR="009D50B9" w:rsidRPr="009D50B9" w14:paraId="55EF66A1" w14:textId="77777777" w:rsidTr="002C2ED3">
        <w:tc>
          <w:tcPr>
            <w:tcW w:w="3080" w:type="dxa"/>
          </w:tcPr>
          <w:p w14:paraId="2BDA8116" w14:textId="77777777" w:rsidR="00C21A20" w:rsidRPr="009D50B9" w:rsidRDefault="00C21A20" w:rsidP="002C2ED3">
            <w:pPr>
              <w:jc w:val="both"/>
              <w:rPr>
                <w:rFonts w:ascii="Times New Roman" w:hAnsi="Times New Roman"/>
                <w:sz w:val="24"/>
                <w:szCs w:val="24"/>
              </w:rPr>
            </w:pPr>
            <w:r w:rsidRPr="009D50B9">
              <w:rPr>
                <w:rFonts w:ascii="Times New Roman" w:hAnsi="Times New Roman"/>
                <w:sz w:val="24"/>
                <w:szCs w:val="24"/>
              </w:rPr>
              <w:t>Control</w:t>
            </w:r>
          </w:p>
        </w:tc>
        <w:tc>
          <w:tcPr>
            <w:tcW w:w="3081" w:type="dxa"/>
          </w:tcPr>
          <w:p w14:paraId="7896E502"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0.35</w:t>
            </w:r>
            <w:r w:rsidRPr="009D50B9">
              <w:rPr>
                <w:rFonts w:ascii="Times New Roman" w:hAnsi="Times New Roman"/>
                <w:sz w:val="24"/>
                <w:szCs w:val="24"/>
                <w:vertAlign w:val="superscript"/>
              </w:rPr>
              <w:t>g</w:t>
            </w:r>
          </w:p>
        </w:tc>
        <w:tc>
          <w:tcPr>
            <w:tcW w:w="3081" w:type="dxa"/>
          </w:tcPr>
          <w:p w14:paraId="4FDC6A86"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0.33</w:t>
            </w:r>
            <w:r w:rsidRPr="009D50B9">
              <w:rPr>
                <w:rFonts w:ascii="Times New Roman" w:hAnsi="Times New Roman"/>
                <w:sz w:val="24"/>
                <w:szCs w:val="24"/>
                <w:vertAlign w:val="superscript"/>
              </w:rPr>
              <w:t>g</w:t>
            </w:r>
          </w:p>
        </w:tc>
      </w:tr>
      <w:tr w:rsidR="009D50B9" w:rsidRPr="009D50B9" w14:paraId="7F45A192" w14:textId="77777777" w:rsidTr="002C2ED3">
        <w:tc>
          <w:tcPr>
            <w:tcW w:w="3080" w:type="dxa"/>
          </w:tcPr>
          <w:p w14:paraId="5C41010F" w14:textId="77777777" w:rsidR="00C21A20" w:rsidRPr="009D50B9" w:rsidRDefault="00C21A20" w:rsidP="002C2ED3">
            <w:pPr>
              <w:jc w:val="both"/>
              <w:rPr>
                <w:rFonts w:ascii="Times New Roman" w:hAnsi="Times New Roman"/>
                <w:sz w:val="24"/>
                <w:szCs w:val="24"/>
              </w:rPr>
            </w:pPr>
            <w:r w:rsidRPr="009D50B9">
              <w:rPr>
                <w:rFonts w:ascii="Times New Roman" w:hAnsi="Times New Roman"/>
                <w:sz w:val="24"/>
                <w:szCs w:val="24"/>
                <w:lang w:eastAsia="en-IN"/>
              </w:rPr>
              <w:t>BSB-2</w:t>
            </w:r>
          </w:p>
        </w:tc>
        <w:tc>
          <w:tcPr>
            <w:tcW w:w="3081" w:type="dxa"/>
          </w:tcPr>
          <w:p w14:paraId="44D27CBB" w14:textId="4B48310E"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4.1</w:t>
            </w:r>
            <w:r w:rsidR="00387236" w:rsidRPr="009D50B9">
              <w:rPr>
                <w:rFonts w:ascii="Times New Roman" w:hAnsi="Times New Roman"/>
                <w:sz w:val="24"/>
                <w:szCs w:val="24"/>
              </w:rPr>
              <w:t>0</w:t>
            </w:r>
            <w:r w:rsidRPr="009D50B9">
              <w:rPr>
                <w:rFonts w:ascii="Times New Roman" w:hAnsi="Times New Roman"/>
                <w:sz w:val="24"/>
                <w:szCs w:val="24"/>
                <w:vertAlign w:val="superscript"/>
              </w:rPr>
              <w:t>a</w:t>
            </w:r>
          </w:p>
        </w:tc>
        <w:tc>
          <w:tcPr>
            <w:tcW w:w="3081" w:type="dxa"/>
          </w:tcPr>
          <w:p w14:paraId="5A07FB6E"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2.87</w:t>
            </w:r>
            <w:r w:rsidRPr="009D50B9">
              <w:rPr>
                <w:rFonts w:ascii="Times New Roman" w:hAnsi="Times New Roman"/>
                <w:sz w:val="24"/>
                <w:szCs w:val="24"/>
                <w:vertAlign w:val="superscript"/>
              </w:rPr>
              <w:t>a</w:t>
            </w:r>
          </w:p>
        </w:tc>
      </w:tr>
      <w:tr w:rsidR="009D50B9" w:rsidRPr="009D50B9" w14:paraId="0674168A" w14:textId="77777777" w:rsidTr="002C2ED3">
        <w:tc>
          <w:tcPr>
            <w:tcW w:w="3080" w:type="dxa"/>
          </w:tcPr>
          <w:p w14:paraId="2D544C7C" w14:textId="77777777" w:rsidR="00C21A20" w:rsidRPr="009D50B9" w:rsidRDefault="00C21A20" w:rsidP="002C2ED3">
            <w:pPr>
              <w:jc w:val="both"/>
              <w:rPr>
                <w:rFonts w:ascii="Times New Roman" w:hAnsi="Times New Roman"/>
                <w:sz w:val="24"/>
                <w:szCs w:val="24"/>
              </w:rPr>
            </w:pPr>
            <w:r w:rsidRPr="009D50B9">
              <w:rPr>
                <w:rFonts w:ascii="Times New Roman" w:hAnsi="Times New Roman"/>
                <w:sz w:val="24"/>
                <w:szCs w:val="24"/>
                <w:lang w:eastAsia="en-IN"/>
              </w:rPr>
              <w:t>BSB-4</w:t>
            </w:r>
          </w:p>
        </w:tc>
        <w:tc>
          <w:tcPr>
            <w:tcW w:w="3081" w:type="dxa"/>
          </w:tcPr>
          <w:p w14:paraId="16070100" w14:textId="2CCCE3B4"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2.2</w:t>
            </w:r>
            <w:r w:rsidR="00387236" w:rsidRPr="009D50B9">
              <w:rPr>
                <w:rFonts w:ascii="Times New Roman" w:hAnsi="Times New Roman"/>
                <w:sz w:val="24"/>
                <w:szCs w:val="24"/>
              </w:rPr>
              <w:t>0</w:t>
            </w:r>
            <w:r w:rsidRPr="009D50B9">
              <w:rPr>
                <w:rFonts w:ascii="Times New Roman" w:hAnsi="Times New Roman"/>
                <w:sz w:val="24"/>
                <w:szCs w:val="24"/>
                <w:vertAlign w:val="superscript"/>
              </w:rPr>
              <w:t>e</w:t>
            </w:r>
          </w:p>
        </w:tc>
        <w:tc>
          <w:tcPr>
            <w:tcW w:w="3081" w:type="dxa"/>
          </w:tcPr>
          <w:p w14:paraId="25BE0936"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1.67</w:t>
            </w:r>
            <w:r w:rsidRPr="009D50B9">
              <w:rPr>
                <w:rFonts w:ascii="Times New Roman" w:hAnsi="Times New Roman"/>
                <w:sz w:val="24"/>
                <w:szCs w:val="24"/>
                <w:vertAlign w:val="superscript"/>
              </w:rPr>
              <w:t>e</w:t>
            </w:r>
          </w:p>
        </w:tc>
      </w:tr>
      <w:tr w:rsidR="009D50B9" w:rsidRPr="009D50B9" w14:paraId="20977407" w14:textId="77777777" w:rsidTr="002C2ED3">
        <w:tc>
          <w:tcPr>
            <w:tcW w:w="3080" w:type="dxa"/>
          </w:tcPr>
          <w:p w14:paraId="2E916F45" w14:textId="77777777" w:rsidR="00C21A20" w:rsidRPr="009D50B9" w:rsidRDefault="00C21A20" w:rsidP="002C2ED3">
            <w:pPr>
              <w:jc w:val="both"/>
              <w:rPr>
                <w:rFonts w:ascii="Times New Roman" w:hAnsi="Times New Roman"/>
                <w:sz w:val="24"/>
                <w:szCs w:val="24"/>
              </w:rPr>
            </w:pPr>
            <w:r w:rsidRPr="009D50B9">
              <w:rPr>
                <w:rFonts w:ascii="Times New Roman" w:hAnsi="Times New Roman"/>
                <w:sz w:val="24"/>
                <w:szCs w:val="24"/>
                <w:lang w:eastAsia="en-IN"/>
              </w:rPr>
              <w:t>BSB-11</w:t>
            </w:r>
          </w:p>
        </w:tc>
        <w:tc>
          <w:tcPr>
            <w:tcW w:w="3081" w:type="dxa"/>
          </w:tcPr>
          <w:p w14:paraId="1C667A51"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1.85</w:t>
            </w:r>
            <w:r w:rsidRPr="009D50B9">
              <w:rPr>
                <w:rFonts w:ascii="Times New Roman" w:hAnsi="Times New Roman"/>
                <w:sz w:val="24"/>
                <w:szCs w:val="24"/>
                <w:vertAlign w:val="superscript"/>
              </w:rPr>
              <w:t>f</w:t>
            </w:r>
          </w:p>
        </w:tc>
        <w:tc>
          <w:tcPr>
            <w:tcW w:w="3081" w:type="dxa"/>
          </w:tcPr>
          <w:p w14:paraId="226F3D82"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2.47</w:t>
            </w:r>
            <w:r w:rsidRPr="009D50B9">
              <w:rPr>
                <w:rFonts w:ascii="Times New Roman" w:hAnsi="Times New Roman"/>
                <w:sz w:val="24"/>
                <w:szCs w:val="24"/>
                <w:vertAlign w:val="superscript"/>
              </w:rPr>
              <w:t>b</w:t>
            </w:r>
          </w:p>
        </w:tc>
      </w:tr>
      <w:tr w:rsidR="009D50B9" w:rsidRPr="009D50B9" w14:paraId="1A2D3614" w14:textId="77777777" w:rsidTr="002C2ED3">
        <w:tc>
          <w:tcPr>
            <w:tcW w:w="3080" w:type="dxa"/>
          </w:tcPr>
          <w:p w14:paraId="6D4AF52D" w14:textId="77777777" w:rsidR="00C21A20" w:rsidRPr="009D50B9" w:rsidRDefault="00C21A20" w:rsidP="002C2ED3">
            <w:pPr>
              <w:jc w:val="both"/>
              <w:rPr>
                <w:rFonts w:ascii="Times New Roman" w:hAnsi="Times New Roman"/>
                <w:sz w:val="24"/>
                <w:szCs w:val="24"/>
              </w:rPr>
            </w:pPr>
            <w:r w:rsidRPr="009D50B9">
              <w:rPr>
                <w:rFonts w:ascii="Times New Roman" w:hAnsi="Times New Roman"/>
                <w:sz w:val="24"/>
                <w:szCs w:val="24"/>
                <w:lang w:eastAsia="en-IN"/>
              </w:rPr>
              <w:t>BSR-41</w:t>
            </w:r>
          </w:p>
        </w:tc>
        <w:tc>
          <w:tcPr>
            <w:tcW w:w="3081" w:type="dxa"/>
          </w:tcPr>
          <w:p w14:paraId="6FACA7DF"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3.75</w:t>
            </w:r>
            <w:r w:rsidRPr="009D50B9">
              <w:rPr>
                <w:rFonts w:ascii="Times New Roman" w:hAnsi="Times New Roman"/>
                <w:sz w:val="24"/>
                <w:szCs w:val="24"/>
                <w:vertAlign w:val="superscript"/>
              </w:rPr>
              <w:t>b</w:t>
            </w:r>
          </w:p>
        </w:tc>
        <w:tc>
          <w:tcPr>
            <w:tcW w:w="3081" w:type="dxa"/>
          </w:tcPr>
          <w:p w14:paraId="4DB0FED6"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2.26</w:t>
            </w:r>
            <w:r w:rsidRPr="009D50B9">
              <w:rPr>
                <w:rFonts w:ascii="Times New Roman" w:hAnsi="Times New Roman"/>
                <w:sz w:val="24"/>
                <w:szCs w:val="24"/>
                <w:vertAlign w:val="superscript"/>
              </w:rPr>
              <w:t>c</w:t>
            </w:r>
          </w:p>
        </w:tc>
      </w:tr>
      <w:tr w:rsidR="009D50B9" w:rsidRPr="009D50B9" w14:paraId="30FF367C" w14:textId="77777777" w:rsidTr="002C2ED3">
        <w:tc>
          <w:tcPr>
            <w:tcW w:w="3080" w:type="dxa"/>
          </w:tcPr>
          <w:p w14:paraId="53806B0A" w14:textId="77777777" w:rsidR="00C21A20" w:rsidRPr="009D50B9" w:rsidRDefault="00C21A20" w:rsidP="002C2ED3">
            <w:pPr>
              <w:jc w:val="both"/>
              <w:rPr>
                <w:rFonts w:ascii="Times New Roman" w:hAnsi="Times New Roman"/>
                <w:sz w:val="24"/>
                <w:szCs w:val="24"/>
              </w:rPr>
            </w:pPr>
            <w:r w:rsidRPr="009D50B9">
              <w:rPr>
                <w:rFonts w:ascii="Times New Roman" w:hAnsi="Times New Roman"/>
                <w:sz w:val="24"/>
                <w:szCs w:val="24"/>
                <w:lang w:eastAsia="en-IN"/>
              </w:rPr>
              <w:t>BSR-51</w:t>
            </w:r>
          </w:p>
        </w:tc>
        <w:tc>
          <w:tcPr>
            <w:tcW w:w="3081" w:type="dxa"/>
          </w:tcPr>
          <w:p w14:paraId="00974D4E"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2.95</w:t>
            </w:r>
            <w:r w:rsidRPr="009D50B9">
              <w:rPr>
                <w:rFonts w:ascii="Times New Roman" w:hAnsi="Times New Roman"/>
                <w:sz w:val="24"/>
                <w:szCs w:val="24"/>
                <w:vertAlign w:val="superscript"/>
              </w:rPr>
              <w:t>d</w:t>
            </w:r>
          </w:p>
        </w:tc>
        <w:tc>
          <w:tcPr>
            <w:tcW w:w="3081" w:type="dxa"/>
          </w:tcPr>
          <w:p w14:paraId="477D67AD"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1.27</w:t>
            </w:r>
            <w:r w:rsidRPr="009D50B9">
              <w:rPr>
                <w:rFonts w:ascii="Times New Roman" w:hAnsi="Times New Roman"/>
                <w:sz w:val="24"/>
                <w:szCs w:val="24"/>
                <w:vertAlign w:val="superscript"/>
              </w:rPr>
              <w:t>f</w:t>
            </w:r>
          </w:p>
        </w:tc>
      </w:tr>
      <w:tr w:rsidR="009D50B9" w:rsidRPr="009D50B9" w14:paraId="7C7B7605" w14:textId="77777777" w:rsidTr="002C2ED3">
        <w:tc>
          <w:tcPr>
            <w:tcW w:w="3080" w:type="dxa"/>
          </w:tcPr>
          <w:p w14:paraId="49DA01CC" w14:textId="77777777" w:rsidR="00C21A20" w:rsidRPr="009D50B9" w:rsidRDefault="00C21A20" w:rsidP="002C2ED3">
            <w:pPr>
              <w:jc w:val="both"/>
              <w:rPr>
                <w:rFonts w:ascii="Times New Roman" w:hAnsi="Times New Roman"/>
                <w:b/>
                <w:bCs/>
                <w:sz w:val="24"/>
                <w:szCs w:val="24"/>
              </w:rPr>
            </w:pPr>
            <w:r w:rsidRPr="009D50B9">
              <w:rPr>
                <w:rFonts w:ascii="Times New Roman" w:hAnsi="Times New Roman"/>
                <w:i/>
                <w:iCs/>
                <w:sz w:val="24"/>
                <w:szCs w:val="24"/>
                <w:lang w:eastAsia="en-IN"/>
              </w:rPr>
              <w:t xml:space="preserve">Bacillus </w:t>
            </w:r>
            <w:r w:rsidRPr="009D50B9">
              <w:rPr>
                <w:rFonts w:ascii="Times New Roman" w:hAnsi="Times New Roman"/>
                <w:sz w:val="24"/>
                <w:szCs w:val="24"/>
                <w:lang w:eastAsia="en-IN"/>
              </w:rPr>
              <w:t>sp. (MCC4316)</w:t>
            </w:r>
          </w:p>
        </w:tc>
        <w:tc>
          <w:tcPr>
            <w:tcW w:w="3081" w:type="dxa"/>
          </w:tcPr>
          <w:p w14:paraId="4B83C547" w14:textId="69599598"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3.5</w:t>
            </w:r>
            <w:r w:rsidR="00387236" w:rsidRPr="009D50B9">
              <w:rPr>
                <w:rFonts w:ascii="Times New Roman" w:hAnsi="Times New Roman"/>
                <w:sz w:val="24"/>
                <w:szCs w:val="24"/>
              </w:rPr>
              <w:t>0</w:t>
            </w:r>
            <w:r w:rsidRPr="009D50B9">
              <w:rPr>
                <w:rFonts w:ascii="Times New Roman" w:hAnsi="Times New Roman"/>
                <w:sz w:val="24"/>
                <w:szCs w:val="24"/>
                <w:vertAlign w:val="superscript"/>
              </w:rPr>
              <w:t>c</w:t>
            </w:r>
          </w:p>
        </w:tc>
        <w:tc>
          <w:tcPr>
            <w:tcW w:w="3081" w:type="dxa"/>
          </w:tcPr>
          <w:p w14:paraId="19340A4A"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2.08</w:t>
            </w:r>
            <w:r w:rsidRPr="009D50B9">
              <w:rPr>
                <w:rFonts w:ascii="Times New Roman" w:hAnsi="Times New Roman"/>
                <w:sz w:val="24"/>
                <w:szCs w:val="24"/>
                <w:vertAlign w:val="superscript"/>
              </w:rPr>
              <w:t>d</w:t>
            </w:r>
          </w:p>
        </w:tc>
      </w:tr>
    </w:tbl>
    <w:p w14:paraId="6E691C00" w14:textId="3A45D1C8" w:rsidR="00443FBD" w:rsidRPr="00DA4019" w:rsidRDefault="00740254" w:rsidP="00DA4019">
      <w:pPr>
        <w:autoSpaceDE w:val="0"/>
        <w:autoSpaceDN w:val="0"/>
        <w:adjustRightInd w:val="0"/>
        <w:spacing w:before="240" w:after="0" w:line="360" w:lineRule="auto"/>
        <w:ind w:firstLine="720"/>
        <w:jc w:val="both"/>
        <w:rPr>
          <w:rFonts w:ascii="Times New Roman" w:hAnsi="Times New Roman"/>
          <w:sz w:val="24"/>
          <w:szCs w:val="24"/>
        </w:rPr>
      </w:pPr>
      <w:r w:rsidRPr="009D50B9">
        <w:rPr>
          <w:rFonts w:ascii="Times New Roman" w:eastAsia="Times New Roman" w:hAnsi="Times New Roman"/>
          <w:sz w:val="24"/>
          <w:szCs w:val="24"/>
          <w:lang w:eastAsia="en-IN"/>
        </w:rPr>
        <w:t xml:space="preserve">Similarly, </w:t>
      </w:r>
      <w:r w:rsidRPr="009D50B9">
        <w:rPr>
          <w:rFonts w:ascii="Times New Roman" w:hAnsi="Times New Roman"/>
          <w:sz w:val="24"/>
          <w:szCs w:val="24"/>
        </w:rPr>
        <w:t xml:space="preserve">Waewthongrak </w:t>
      </w:r>
      <w:r w:rsidRPr="009D50B9">
        <w:rPr>
          <w:rFonts w:ascii="Times New Roman" w:hAnsi="Times New Roman"/>
          <w:i/>
          <w:iCs/>
          <w:sz w:val="24"/>
          <w:szCs w:val="24"/>
        </w:rPr>
        <w:t>et al</w:t>
      </w:r>
      <w:r w:rsidRPr="009D50B9">
        <w:rPr>
          <w:rFonts w:ascii="Times New Roman" w:hAnsi="Times New Roman"/>
          <w:sz w:val="24"/>
          <w:szCs w:val="24"/>
        </w:rPr>
        <w:t xml:space="preserve">. (2014) found that fengycin strongly induced glucanase (GLU), while surfactin enhanced peroxidase (POX) and lipoxygenase (LOX) expression in </w:t>
      </w:r>
      <w:r w:rsidRPr="009D50B9">
        <w:rPr>
          <w:rFonts w:ascii="Times New Roman" w:hAnsi="Times New Roman"/>
          <w:i/>
          <w:iCs/>
          <w:sz w:val="24"/>
          <w:szCs w:val="24"/>
        </w:rPr>
        <w:t>Citrus sinensis</w:t>
      </w:r>
      <w:r w:rsidRPr="009D50B9">
        <w:rPr>
          <w:rFonts w:ascii="Times New Roman" w:hAnsi="Times New Roman"/>
          <w:sz w:val="24"/>
          <w:szCs w:val="24"/>
        </w:rPr>
        <w:t xml:space="preserve">. </w:t>
      </w:r>
      <w:bookmarkStart w:id="8" w:name="_Hlk208090408"/>
      <w:r w:rsidRPr="009D50B9">
        <w:rPr>
          <w:rFonts w:ascii="Times New Roman" w:eastAsia="Times New Roman" w:hAnsi="Times New Roman"/>
          <w:sz w:val="24"/>
          <w:szCs w:val="24"/>
          <w:lang w:eastAsia="en-IN"/>
        </w:rPr>
        <w:t>Consistent with earlier reports</w:t>
      </w:r>
      <w:bookmarkEnd w:id="8"/>
      <w:r w:rsidRPr="009D50B9">
        <w:rPr>
          <w:rFonts w:ascii="Times New Roman" w:hAnsi="Times New Roman"/>
          <w:sz w:val="24"/>
          <w:szCs w:val="24"/>
        </w:rPr>
        <w:t xml:space="preserve">, Yamamoto </w:t>
      </w:r>
      <w:r w:rsidRPr="009D50B9">
        <w:rPr>
          <w:rFonts w:ascii="Times New Roman" w:hAnsi="Times New Roman"/>
          <w:i/>
          <w:iCs/>
          <w:sz w:val="24"/>
          <w:szCs w:val="24"/>
        </w:rPr>
        <w:t>et al</w:t>
      </w:r>
      <w:r w:rsidRPr="009D50B9">
        <w:rPr>
          <w:rFonts w:ascii="Times New Roman" w:hAnsi="Times New Roman"/>
          <w:sz w:val="24"/>
          <w:szCs w:val="24"/>
        </w:rPr>
        <w:t xml:space="preserve">. (2015) reported that </w:t>
      </w:r>
      <w:r w:rsidRPr="009D50B9">
        <w:rPr>
          <w:rFonts w:ascii="Times New Roman" w:hAnsi="Times New Roman"/>
          <w:i/>
          <w:iCs/>
          <w:sz w:val="24"/>
          <w:szCs w:val="24"/>
        </w:rPr>
        <w:t>Bacillus amyloliquefaciens</w:t>
      </w:r>
      <w:r w:rsidRPr="009D50B9">
        <w:rPr>
          <w:rFonts w:ascii="Times New Roman" w:hAnsi="Times New Roman"/>
          <w:sz w:val="24"/>
          <w:szCs w:val="24"/>
        </w:rPr>
        <w:t xml:space="preserve"> S13-3 reduced strawberry anthracnose severity by both antagonism and induction of plant defense responses, foliar application of S13-3 upregulated chitinase and β-1,3-glucanase in strawberry leaves, the strain produced lipopeptides (iturin A, fengycin, mixirin, pumilacidin, surfactin), of which iturin A and surfactin specifically elicited defense gene expression and induced systemic resistance (ISR), leading to reduced disease symptoms.</w:t>
      </w:r>
      <w:r w:rsidR="005C33E1" w:rsidRPr="009D50B9">
        <w:rPr>
          <w:rFonts w:ascii="Times New Roman" w:hAnsi="Times New Roman"/>
          <w:sz w:val="24"/>
          <w:szCs w:val="24"/>
        </w:rPr>
        <w:t xml:space="preserve"> </w:t>
      </w:r>
      <w:r w:rsidR="00B66BC4" w:rsidRPr="009D50B9">
        <w:rPr>
          <w:rFonts w:ascii="Times New Roman" w:hAnsi="Times New Roman"/>
          <w:sz w:val="24"/>
          <w:szCs w:val="24"/>
        </w:rPr>
        <w:t xml:space="preserve">These results align with the earlier findings of Kavitha and Karthy (2019), who isolated five endophytic </w:t>
      </w:r>
      <w:r w:rsidR="00B66BC4" w:rsidRPr="009D50B9">
        <w:rPr>
          <w:rFonts w:ascii="Times New Roman" w:hAnsi="Times New Roman"/>
          <w:i/>
          <w:iCs/>
          <w:sz w:val="24"/>
          <w:szCs w:val="24"/>
        </w:rPr>
        <w:t>Bacillus subtilis</w:t>
      </w:r>
      <w:r w:rsidR="00B66BC4" w:rsidRPr="009D50B9">
        <w:rPr>
          <w:rFonts w:ascii="Times New Roman" w:hAnsi="Times New Roman"/>
          <w:sz w:val="24"/>
          <w:szCs w:val="24"/>
        </w:rPr>
        <w:t xml:space="preserve"> strains and confirmed their biosurfactant producing ability through oil displacement, drop collapse and emulsification assays</w:t>
      </w:r>
      <w:r w:rsidR="00A15683">
        <w:rPr>
          <w:rFonts w:ascii="Times New Roman" w:hAnsi="Times New Roman"/>
          <w:sz w:val="24"/>
          <w:szCs w:val="24"/>
        </w:rPr>
        <w:t xml:space="preserve"> and displayed </w:t>
      </w:r>
      <w:r w:rsidR="00B66BC4" w:rsidRPr="009D50B9">
        <w:rPr>
          <w:rFonts w:ascii="Times New Roman" w:hAnsi="Times New Roman"/>
          <w:sz w:val="24"/>
          <w:szCs w:val="24"/>
        </w:rPr>
        <w:t>several plant growth promoting traits, including IAA production, siderophore secretion, phosphate solubilization, and notable protease and chitinase activities.</w:t>
      </w:r>
    </w:p>
    <w:p w14:paraId="5B7F079E" w14:textId="3B5CB3C3" w:rsidR="00894329" w:rsidRPr="009D50B9" w:rsidRDefault="00894329" w:rsidP="001B0A28">
      <w:pPr>
        <w:autoSpaceDE w:val="0"/>
        <w:autoSpaceDN w:val="0"/>
        <w:adjustRightInd w:val="0"/>
        <w:spacing w:after="0" w:line="360" w:lineRule="auto"/>
        <w:ind w:left="-737" w:firstLine="720"/>
        <w:jc w:val="both"/>
        <w:rPr>
          <w:rFonts w:ascii="Times New Roman" w:hAnsi="Times New Roman"/>
          <w:sz w:val="24"/>
          <w:szCs w:val="24"/>
        </w:rPr>
      </w:pPr>
      <w:r w:rsidRPr="009D50B9">
        <w:rPr>
          <w:rFonts w:ascii="Times New Roman" w:hAnsi="Times New Roman"/>
          <w:b/>
          <w:bCs/>
          <w:sz w:val="24"/>
          <w:szCs w:val="24"/>
        </w:rPr>
        <w:t xml:space="preserve">Conclusion </w:t>
      </w:r>
    </w:p>
    <w:p w14:paraId="0D10805B" w14:textId="1C16546E" w:rsidR="000465A9" w:rsidRDefault="00906A9F" w:rsidP="00D84AA0">
      <w:pPr>
        <w:pStyle w:val="NormalWeb"/>
        <w:spacing w:before="0" w:beforeAutospacing="0" w:line="360" w:lineRule="auto"/>
        <w:jc w:val="both"/>
      </w:pPr>
      <w:r w:rsidRPr="009D50B9">
        <w:tab/>
      </w:r>
      <w:r w:rsidR="00894329" w:rsidRPr="009D50B9">
        <w:t>The present study demonstrated that biosurfactant producing bacterial isolates possess</w:t>
      </w:r>
      <w:r w:rsidR="00A15683">
        <w:t>ed</w:t>
      </w:r>
      <w:r w:rsidR="00894329" w:rsidRPr="009D50B9">
        <w:t xml:space="preserve"> significant plant growth promoting and biocontrol potential against </w:t>
      </w:r>
      <w:r w:rsidR="00894329" w:rsidRPr="009D50B9">
        <w:rPr>
          <w:rStyle w:val="Emphasis"/>
        </w:rPr>
        <w:t>Pyricularia grisea</w:t>
      </w:r>
      <w:r w:rsidR="00894329" w:rsidRPr="009D50B9">
        <w:t>, the causal agent of blast disease in finger millet (</w:t>
      </w:r>
      <w:r w:rsidR="00894329" w:rsidRPr="009D50B9">
        <w:rPr>
          <w:rStyle w:val="Emphasis"/>
        </w:rPr>
        <w:t>Eleusine coracana</w:t>
      </w:r>
      <w:r w:rsidR="00894329" w:rsidRPr="009D50B9">
        <w:t>)</w:t>
      </w:r>
      <w:r w:rsidR="00B472D6">
        <w:t xml:space="preserve"> under </w:t>
      </w:r>
      <w:r w:rsidR="00B472D6" w:rsidRPr="00B472D6">
        <w:rPr>
          <w:i/>
          <w:iCs/>
        </w:rPr>
        <w:t>in vitro</w:t>
      </w:r>
      <w:r w:rsidR="00B472D6">
        <w:t xml:space="preserve"> conditions</w:t>
      </w:r>
      <w:r w:rsidR="00894329" w:rsidRPr="009D50B9">
        <w:t xml:space="preserve">. Among the </w:t>
      </w:r>
      <w:r w:rsidR="00A15683">
        <w:t>strains</w:t>
      </w:r>
      <w:r w:rsidR="00894329" w:rsidRPr="009D50B9">
        <w:t xml:space="preserve"> evaluated, </w:t>
      </w:r>
      <w:r w:rsidR="00D358A7" w:rsidRPr="009D50B9">
        <w:rPr>
          <w:lang w:val="en-US"/>
        </w:rPr>
        <w:t xml:space="preserve">BSB-2 </w:t>
      </w:r>
      <w:r w:rsidR="00894329" w:rsidRPr="009D50B9">
        <w:t xml:space="preserve">and </w:t>
      </w:r>
      <w:r w:rsidR="00D358A7" w:rsidRPr="009D50B9">
        <w:rPr>
          <w:lang w:val="en-US"/>
        </w:rPr>
        <w:t xml:space="preserve">BSB-41 </w:t>
      </w:r>
      <w:r w:rsidR="00894329" w:rsidRPr="009D50B9">
        <w:t>consistently exhibited superior performance in phosphate and potassium solubilization</w:t>
      </w:r>
      <w:r w:rsidR="00B74ACE">
        <w:t xml:space="preserve">. </w:t>
      </w:r>
      <w:r w:rsidR="00B74ACE" w:rsidRPr="009D50B9">
        <w:t xml:space="preserve">Production </w:t>
      </w:r>
      <w:r w:rsidR="00894329" w:rsidRPr="009D50B9">
        <w:t>of hydrolytic enzymes such as β-1,3-glucanase and chitinase</w:t>
      </w:r>
      <w:r w:rsidR="00A15683">
        <w:t>,</w:t>
      </w:r>
      <w:r w:rsidR="00894329" w:rsidRPr="009D50B9">
        <w:t xml:space="preserve"> </w:t>
      </w:r>
      <w:r w:rsidR="00A15683" w:rsidRPr="009D50B9">
        <w:t xml:space="preserve">these </w:t>
      </w:r>
      <w:r w:rsidR="00894329" w:rsidRPr="009D50B9">
        <w:t xml:space="preserve">enzymes play crucial roles in fungal cell wall degradation, thereby suppressing pathogen proliferation. The </w:t>
      </w:r>
      <w:bookmarkStart w:id="9" w:name="_Hlk214665486"/>
      <w:r w:rsidR="00894329" w:rsidRPr="009D50B9">
        <w:t>biosurfactant producing strain</w:t>
      </w:r>
      <w:bookmarkEnd w:id="9"/>
      <w:r w:rsidR="00586321">
        <w:t xml:space="preserve"> </w:t>
      </w:r>
      <w:r w:rsidR="00D358A7" w:rsidRPr="009D50B9">
        <w:rPr>
          <w:lang w:val="en-US"/>
        </w:rPr>
        <w:t>BSB-2</w:t>
      </w:r>
      <w:r w:rsidR="00894329" w:rsidRPr="009D50B9">
        <w:t xml:space="preserve">, effectively inhibited fungal growth in both poisoned food and broth assays, with </w:t>
      </w:r>
      <w:r w:rsidR="00894329" w:rsidRPr="009D50B9">
        <w:lastRenderedPageBreak/>
        <w:t xml:space="preserve">inhibition levels </w:t>
      </w:r>
      <w:r w:rsidR="00A15683" w:rsidRPr="005D44D3">
        <w:t>71.28%</w:t>
      </w:r>
      <w:r w:rsidR="00A15683">
        <w:t xml:space="preserve"> and </w:t>
      </w:r>
      <w:r w:rsidR="00A15683" w:rsidRPr="00F26424">
        <w:t>82.50%</w:t>
      </w:r>
      <w:r w:rsidR="00A15683">
        <w:t xml:space="preserve">, </w:t>
      </w:r>
      <w:r w:rsidR="00894329" w:rsidRPr="009D50B9">
        <w:t xml:space="preserve">confirming </w:t>
      </w:r>
      <w:r w:rsidR="00A15683">
        <w:t>its</w:t>
      </w:r>
      <w:r w:rsidR="00894329" w:rsidRPr="009D50B9">
        <w:t xml:space="preserve"> strong antifungal potential</w:t>
      </w:r>
      <w:r w:rsidR="00A15683" w:rsidRPr="00A15683">
        <w:t xml:space="preserve"> </w:t>
      </w:r>
      <w:r w:rsidR="00A15683">
        <w:t>against</w:t>
      </w:r>
      <w:r w:rsidR="00A15683" w:rsidRPr="00A15683">
        <w:t xml:space="preserve"> </w:t>
      </w:r>
      <w:r w:rsidR="00A15683" w:rsidRPr="00A15683">
        <w:rPr>
          <w:i/>
          <w:iCs/>
        </w:rPr>
        <w:t>Pyricularia grisea</w:t>
      </w:r>
      <w:r w:rsidR="00894329" w:rsidRPr="009D50B9">
        <w:t xml:space="preserve">. </w:t>
      </w:r>
      <w:r w:rsidR="003F2FAB" w:rsidRPr="007A72B3">
        <w:t xml:space="preserve">Biosurfactant producing strains </w:t>
      </w:r>
      <w:r w:rsidR="003F2FAB">
        <w:t xml:space="preserve">improved the </w:t>
      </w:r>
      <w:r w:rsidR="003F2FAB" w:rsidRPr="009D50B9">
        <w:t xml:space="preserve">nutrient </w:t>
      </w:r>
      <w:r w:rsidR="003F2FAB">
        <w:t>solubilization and</w:t>
      </w:r>
      <w:r w:rsidR="00894329" w:rsidRPr="009D50B9">
        <w:t xml:space="preserve"> enhanced biocontrol efficacy is attributed to the synergistic action of biosurfactants and extracellular enzymes that disrupt fungal mycelial integrity</w:t>
      </w:r>
      <w:r w:rsidR="003F2FAB">
        <w:t xml:space="preserve">. </w:t>
      </w:r>
      <w:r w:rsidR="00894329" w:rsidRPr="009D50B9">
        <w:t xml:space="preserve">Collectively, the results highlight the multifunctional role of biosurfactant producing bacteria as promising bioinoculants for sustainable management of blast disease </w:t>
      </w:r>
      <w:r w:rsidR="007A72B3" w:rsidRPr="009D50B9">
        <w:t>in finger millet</w:t>
      </w:r>
      <w:r w:rsidR="003F2FAB">
        <w:t xml:space="preserve">. </w:t>
      </w:r>
      <w:r w:rsidR="003F2FAB" w:rsidRPr="003F2FAB">
        <w:t xml:space="preserve">Incorporating these efficient isolates into eco-friendly bioformulations has the potential to reduce reliance on chemical fungicides, thereby promoting more sustainable and resilient agricultural practices. Further research, including field-level validation and characterization of genes </w:t>
      </w:r>
      <w:r w:rsidR="006321EF" w:rsidRPr="006321EF">
        <w:t xml:space="preserve">associated with glucanase (e.g., eglA, eglB, bglC) and chitinase (e.g., chiA, chiB, chiC) production </w:t>
      </w:r>
      <w:r w:rsidR="00C30725">
        <w:t xml:space="preserve">that </w:t>
      </w:r>
      <w:r w:rsidR="006321EF" w:rsidRPr="006321EF">
        <w:t>encode key hydrolytic enzymes that degrade β-glucans and chitin in fungal cell walls. The presence and expression of these genes in biosurfactant-producing strains would further</w:t>
      </w:r>
      <w:r w:rsidR="000465A9">
        <w:t xml:space="preserve"> substantiate </w:t>
      </w:r>
      <w:r w:rsidR="000465A9" w:rsidRPr="006321EF">
        <w:t>their mechanistic role in fungal antagonism and strengthen their potential as biocontrol agents.</w:t>
      </w:r>
    </w:p>
    <w:p w14:paraId="4E3F71DE" w14:textId="73002305" w:rsidR="00A15683" w:rsidRDefault="00A15683" w:rsidP="00D84AA0">
      <w:pPr>
        <w:pStyle w:val="NormalWeb"/>
        <w:spacing w:before="0" w:beforeAutospacing="0" w:line="360" w:lineRule="auto"/>
        <w:jc w:val="both"/>
      </w:pPr>
    </w:p>
    <w:p w14:paraId="76C01307" w14:textId="77777777" w:rsidR="006C6896" w:rsidRPr="00DF1A2C" w:rsidRDefault="006C6896" w:rsidP="006C6896">
      <w:pPr>
        <w:rPr>
          <w:b/>
          <w:highlight w:val="yellow"/>
        </w:rPr>
      </w:pPr>
      <w:r w:rsidRPr="00DF1A2C">
        <w:rPr>
          <w:b/>
          <w:highlight w:val="yellow"/>
        </w:rPr>
        <w:t>Disclaimer (Artificial intelligence)</w:t>
      </w:r>
    </w:p>
    <w:p w14:paraId="41A6D912" w14:textId="77777777" w:rsidR="006C6896" w:rsidRPr="00740879" w:rsidRDefault="006C6896" w:rsidP="006C6896">
      <w:pPr>
        <w:rPr>
          <w:highlight w:val="yellow"/>
        </w:rPr>
      </w:pPr>
      <w:r w:rsidRPr="00740879">
        <w:rPr>
          <w:highlight w:val="yellow"/>
        </w:rPr>
        <w:t xml:space="preserve">Option 1: </w:t>
      </w:r>
    </w:p>
    <w:p w14:paraId="38E2662D" w14:textId="77777777" w:rsidR="006C6896" w:rsidRPr="00740879" w:rsidRDefault="006C6896" w:rsidP="006C6896">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60768FA2" w14:textId="77777777" w:rsidR="006C6896" w:rsidRPr="00740879" w:rsidRDefault="006C6896" w:rsidP="006C6896">
      <w:pPr>
        <w:rPr>
          <w:highlight w:val="yellow"/>
        </w:rPr>
      </w:pPr>
      <w:r w:rsidRPr="00740879">
        <w:rPr>
          <w:highlight w:val="yellow"/>
        </w:rPr>
        <w:t xml:space="preserve">Option 2: </w:t>
      </w:r>
    </w:p>
    <w:p w14:paraId="3F711809" w14:textId="77777777" w:rsidR="006C6896" w:rsidRPr="00740879" w:rsidRDefault="006C6896" w:rsidP="006C6896">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0B3F778" w14:textId="77777777" w:rsidR="006C6896" w:rsidRPr="00740879" w:rsidRDefault="006C6896" w:rsidP="006C6896">
      <w:pPr>
        <w:rPr>
          <w:highlight w:val="yellow"/>
        </w:rPr>
      </w:pPr>
      <w:r w:rsidRPr="00740879">
        <w:rPr>
          <w:highlight w:val="yellow"/>
        </w:rPr>
        <w:t>Details of the AI usage are given below:</w:t>
      </w:r>
    </w:p>
    <w:p w14:paraId="4329AD81" w14:textId="77777777" w:rsidR="006C6896" w:rsidRPr="00740879" w:rsidRDefault="006C6896" w:rsidP="006C6896">
      <w:pPr>
        <w:rPr>
          <w:highlight w:val="yellow"/>
        </w:rPr>
      </w:pPr>
      <w:r w:rsidRPr="00740879">
        <w:rPr>
          <w:highlight w:val="yellow"/>
        </w:rPr>
        <w:t>1.</w:t>
      </w:r>
    </w:p>
    <w:p w14:paraId="30F211E5" w14:textId="77777777" w:rsidR="006C6896" w:rsidRPr="00740879" w:rsidRDefault="006C6896" w:rsidP="006C6896">
      <w:pPr>
        <w:rPr>
          <w:highlight w:val="yellow"/>
        </w:rPr>
      </w:pPr>
      <w:r w:rsidRPr="00740879">
        <w:rPr>
          <w:highlight w:val="yellow"/>
        </w:rPr>
        <w:t>2.</w:t>
      </w:r>
    </w:p>
    <w:p w14:paraId="51A54479" w14:textId="77777777" w:rsidR="006C6896" w:rsidRPr="00D047BB" w:rsidRDefault="006C6896" w:rsidP="006C6896">
      <w:r w:rsidRPr="00740879">
        <w:rPr>
          <w:highlight w:val="yellow"/>
        </w:rPr>
        <w:t>3.</w:t>
      </w:r>
    </w:p>
    <w:p w14:paraId="5903978E" w14:textId="79D9FCA6" w:rsidR="00FF51A7" w:rsidRPr="009D50B9" w:rsidRDefault="00FF51A7" w:rsidP="00D84AA0">
      <w:pPr>
        <w:pStyle w:val="NormalWeb"/>
        <w:spacing w:before="0" w:beforeAutospacing="0" w:line="360" w:lineRule="auto"/>
        <w:jc w:val="both"/>
      </w:pPr>
    </w:p>
    <w:p w14:paraId="3ABE52E2" w14:textId="327E7534" w:rsidR="00FF51A7" w:rsidRPr="009D50B9" w:rsidRDefault="00FF51A7" w:rsidP="00D84AA0">
      <w:pPr>
        <w:pStyle w:val="NormalWeb"/>
        <w:spacing w:before="0" w:beforeAutospacing="0" w:line="360" w:lineRule="auto"/>
        <w:jc w:val="both"/>
      </w:pPr>
    </w:p>
    <w:p w14:paraId="54312B48" w14:textId="77777777" w:rsidR="00F65352" w:rsidRPr="009D50B9" w:rsidRDefault="00F65352" w:rsidP="00FF51A7">
      <w:pPr>
        <w:pStyle w:val="NormalWeb"/>
        <w:jc w:val="both"/>
      </w:pPr>
      <w:bookmarkStart w:id="10" w:name="_Hlk205802304"/>
    </w:p>
    <w:p w14:paraId="063BB2B9" w14:textId="5CE3B671" w:rsidR="00FF51A7" w:rsidRPr="009D50B9" w:rsidRDefault="00B049EB" w:rsidP="00FF51A7">
      <w:pPr>
        <w:pStyle w:val="NormalWeb"/>
        <w:jc w:val="both"/>
        <w:rPr>
          <w:b/>
          <w:bCs/>
        </w:rPr>
      </w:pPr>
      <w:r w:rsidRPr="009D50B9">
        <w:rPr>
          <w:b/>
          <w:bCs/>
        </w:rPr>
        <w:lastRenderedPageBreak/>
        <w:t>REFERENCES</w:t>
      </w:r>
    </w:p>
    <w:bookmarkEnd w:id="10"/>
    <w:p w14:paraId="72FAB28B" w14:textId="77777777" w:rsidR="00C40D5A" w:rsidRPr="009D50B9" w:rsidRDefault="00C40D5A" w:rsidP="009F03B8">
      <w:pPr>
        <w:pStyle w:val="NormalWeb"/>
        <w:numPr>
          <w:ilvl w:val="0"/>
          <w:numId w:val="3"/>
        </w:numPr>
        <w:jc w:val="both"/>
      </w:pPr>
      <w:r w:rsidRPr="009F03B8">
        <w:t xml:space="preserve">Aliyat, F. Z., </w:t>
      </w:r>
      <w:proofErr w:type="spellStart"/>
      <w:r w:rsidRPr="009F03B8">
        <w:t>Maldani</w:t>
      </w:r>
      <w:proofErr w:type="spellEnd"/>
      <w:r w:rsidRPr="009F03B8">
        <w:t xml:space="preserve">, M., El </w:t>
      </w:r>
      <w:proofErr w:type="spellStart"/>
      <w:r w:rsidRPr="009F03B8">
        <w:t>Guilli</w:t>
      </w:r>
      <w:proofErr w:type="spellEnd"/>
      <w:r w:rsidRPr="009F03B8">
        <w:t xml:space="preserve">, M., </w:t>
      </w:r>
      <w:proofErr w:type="spellStart"/>
      <w:r w:rsidRPr="009F03B8">
        <w:t>Nassiri</w:t>
      </w:r>
      <w:proofErr w:type="spellEnd"/>
      <w:r w:rsidRPr="009F03B8">
        <w:t xml:space="preserve">, L., &amp; </w:t>
      </w:r>
      <w:proofErr w:type="spellStart"/>
      <w:r w:rsidRPr="009F03B8">
        <w:t>Ibijbijen</w:t>
      </w:r>
      <w:proofErr w:type="spellEnd"/>
      <w:r w:rsidRPr="009F03B8">
        <w:t xml:space="preserve">, J. (2020). Isolation and characterization of phosphate solubilizing bacteria from phosphate solid sludge of the </w:t>
      </w:r>
      <w:proofErr w:type="spellStart"/>
      <w:r w:rsidRPr="009F03B8">
        <w:t>moroccan</w:t>
      </w:r>
      <w:proofErr w:type="spellEnd"/>
      <w:r w:rsidRPr="009F03B8">
        <w:t xml:space="preserve"> phosphate mines. *The Open Agriculture Journal*, *14*(1), 16–24. </w:t>
      </w:r>
      <w:hyperlink r:id="rId12" w:history="1">
        <w:r w:rsidRPr="00882663">
          <w:rPr>
            <w:rStyle w:val="Hyperlink"/>
          </w:rPr>
          <w:t>https://doi.org/10.2174/1874331502014010016</w:t>
        </w:r>
      </w:hyperlink>
      <w:r>
        <w:t xml:space="preserve"> </w:t>
      </w:r>
      <w:r w:rsidRPr="00EE4C04">
        <w:t>.</w:t>
      </w:r>
    </w:p>
    <w:p w14:paraId="16A06EAB" w14:textId="77777777" w:rsidR="00C40D5A" w:rsidRPr="009D50B9" w:rsidRDefault="00C40D5A" w:rsidP="00BA1045">
      <w:pPr>
        <w:pStyle w:val="NormalWeb"/>
        <w:numPr>
          <w:ilvl w:val="0"/>
          <w:numId w:val="3"/>
        </w:numPr>
        <w:jc w:val="both"/>
      </w:pPr>
      <w:r w:rsidRPr="00BA1045">
        <w:t xml:space="preserve">Amao, J. A., </w:t>
      </w:r>
      <w:proofErr w:type="spellStart"/>
      <w:r w:rsidRPr="00BA1045">
        <w:t>Omojasola</w:t>
      </w:r>
      <w:proofErr w:type="spellEnd"/>
      <w:r w:rsidRPr="00BA1045">
        <w:t xml:space="preserve">, P. F., </w:t>
      </w:r>
      <w:proofErr w:type="spellStart"/>
      <w:r w:rsidRPr="00BA1045">
        <w:t>Ayandele</w:t>
      </w:r>
      <w:proofErr w:type="spellEnd"/>
      <w:r w:rsidRPr="00BA1045">
        <w:t xml:space="preserve">, A. A., &amp; </w:t>
      </w:r>
      <w:proofErr w:type="spellStart"/>
      <w:r w:rsidRPr="00BA1045">
        <w:t>Adewoyin</w:t>
      </w:r>
      <w:proofErr w:type="spellEnd"/>
      <w:r w:rsidRPr="00BA1045">
        <w:t xml:space="preserve">, A. G. (2023). Enzyme and biosurfactant production by exopolysaccharide producing bacteria isolated from cassava peel heaps. Moscow University Biological Sciences Bulletin, 78(4), 232–240. </w:t>
      </w:r>
      <w:hyperlink r:id="rId13" w:history="1">
        <w:r w:rsidRPr="00882663">
          <w:rPr>
            <w:rStyle w:val="Hyperlink"/>
          </w:rPr>
          <w:t>https://doi.org/10.3103/S0096392523600254</w:t>
        </w:r>
      </w:hyperlink>
      <w:r>
        <w:t xml:space="preserve"> </w:t>
      </w:r>
      <w:r w:rsidRPr="009D50B9">
        <w:t>.</w:t>
      </w:r>
    </w:p>
    <w:p w14:paraId="23C24674" w14:textId="77777777" w:rsidR="00C40D5A" w:rsidRPr="009D50B9" w:rsidRDefault="00C40D5A" w:rsidP="00E925E6">
      <w:pPr>
        <w:pStyle w:val="NormalWeb"/>
        <w:numPr>
          <w:ilvl w:val="0"/>
          <w:numId w:val="3"/>
        </w:numPr>
        <w:jc w:val="both"/>
      </w:pPr>
      <w:r w:rsidRPr="00E925E6">
        <w:t xml:space="preserve">Ambust, S., Das, A. J., &amp; Kumar, R. (2021). Bioremediation of petroleum contaminated soil through biosurfactant and Pseudomonas sp. SA3 amended design treatments. Current Research in Microbial Sciences, 2, 100031. </w:t>
      </w:r>
      <w:hyperlink r:id="rId14" w:history="1">
        <w:r w:rsidRPr="00882663">
          <w:rPr>
            <w:rStyle w:val="Hyperlink"/>
          </w:rPr>
          <w:t>https://doi.org/10.1016/j.crmicr.2021.100031</w:t>
        </w:r>
      </w:hyperlink>
      <w:r>
        <w:t xml:space="preserve"> </w:t>
      </w:r>
      <w:r w:rsidRPr="009D50B9">
        <w:t>.</w:t>
      </w:r>
    </w:p>
    <w:p w14:paraId="6F1589AF" w14:textId="77777777" w:rsidR="00C40D5A" w:rsidRPr="009D50B9" w:rsidRDefault="00C40D5A" w:rsidP="00D80B70">
      <w:pPr>
        <w:pStyle w:val="NormalWeb"/>
        <w:numPr>
          <w:ilvl w:val="0"/>
          <w:numId w:val="3"/>
        </w:numPr>
        <w:jc w:val="both"/>
      </w:pPr>
      <w:r w:rsidRPr="00D80B70">
        <w:t xml:space="preserve">Aoki, T., Aoki, Y., </w:t>
      </w:r>
      <w:proofErr w:type="spellStart"/>
      <w:r w:rsidRPr="00D80B70">
        <w:t>Ishiai</w:t>
      </w:r>
      <w:proofErr w:type="spellEnd"/>
      <w:r w:rsidRPr="00D80B70">
        <w:t xml:space="preserve">, S., </w:t>
      </w:r>
      <w:proofErr w:type="spellStart"/>
      <w:r w:rsidRPr="00D80B70">
        <w:t>Otoguro</w:t>
      </w:r>
      <w:proofErr w:type="spellEnd"/>
      <w:r w:rsidRPr="00D80B70">
        <w:t xml:space="preserve">, M., &amp; Suzuki, S. (2017). Impact of Bacillus cereus NRKT on grape ripe rot disease through resveratrol synthesis in berry skin. Pest Management Science, 73(1), 174–180. </w:t>
      </w:r>
      <w:hyperlink r:id="rId15" w:history="1">
        <w:r w:rsidRPr="00882663">
          <w:rPr>
            <w:rStyle w:val="Hyperlink"/>
          </w:rPr>
          <w:t>https://doi.org/10.1002/ps.4283</w:t>
        </w:r>
      </w:hyperlink>
      <w:r>
        <w:t xml:space="preserve"> </w:t>
      </w:r>
      <w:r w:rsidRPr="009D50B9">
        <w:t>.</w:t>
      </w:r>
    </w:p>
    <w:p w14:paraId="284FEB99" w14:textId="77777777" w:rsidR="00C40D5A" w:rsidRPr="009D50B9" w:rsidRDefault="00C40D5A" w:rsidP="00CA5809">
      <w:pPr>
        <w:pStyle w:val="NormalWeb"/>
        <w:numPr>
          <w:ilvl w:val="0"/>
          <w:numId w:val="3"/>
        </w:numPr>
        <w:jc w:val="both"/>
      </w:pPr>
      <w:r w:rsidRPr="00CA5809">
        <w:t xml:space="preserve">Boller, T., &amp; Mauch, F. (1988). Colorimetric assay for chitinase. In Methods in Enzymology (Vol. 161, pp. 430–435). </w:t>
      </w:r>
      <w:hyperlink r:id="rId16" w:history="1">
        <w:r w:rsidRPr="00882663">
          <w:rPr>
            <w:rStyle w:val="Hyperlink"/>
          </w:rPr>
          <w:t>https://doi.org/10.1016/0076-6879(88)61052-4</w:t>
        </w:r>
      </w:hyperlink>
      <w:r w:rsidRPr="009D50B9">
        <w:t>.</w:t>
      </w:r>
    </w:p>
    <w:p w14:paraId="1D0E0B26" w14:textId="77777777" w:rsidR="00C40D5A" w:rsidRPr="009F03B8" w:rsidRDefault="00C40D5A" w:rsidP="00C42D76">
      <w:pPr>
        <w:pStyle w:val="ListParagraph"/>
        <w:keepLines/>
        <w:numPr>
          <w:ilvl w:val="0"/>
          <w:numId w:val="3"/>
        </w:numPr>
        <w:spacing w:after="0"/>
        <w:jc w:val="both"/>
        <w:rPr>
          <w:rFonts w:ascii="Times New Roman" w:hAnsi="Times New Roman"/>
          <w:sz w:val="24"/>
          <w:szCs w:val="24"/>
        </w:rPr>
      </w:pPr>
      <w:r w:rsidRPr="00C42D76">
        <w:rPr>
          <w:rFonts w:ascii="Times New Roman" w:hAnsi="Times New Roman"/>
          <w:sz w:val="24"/>
          <w:szCs w:val="24"/>
        </w:rPr>
        <w:t xml:space="preserve">Boyapati, R. T. N., </w:t>
      </w:r>
      <w:proofErr w:type="spellStart"/>
      <w:r w:rsidRPr="00C42D76">
        <w:rPr>
          <w:rFonts w:ascii="Times New Roman" w:hAnsi="Times New Roman"/>
          <w:sz w:val="24"/>
          <w:szCs w:val="24"/>
        </w:rPr>
        <w:t>Barnwal</w:t>
      </w:r>
      <w:proofErr w:type="spellEnd"/>
      <w:r w:rsidRPr="00C42D76">
        <w:rPr>
          <w:rFonts w:ascii="Times New Roman" w:hAnsi="Times New Roman"/>
          <w:sz w:val="24"/>
          <w:szCs w:val="24"/>
        </w:rPr>
        <w:t xml:space="preserve">, M. K., Kumar, R., </w:t>
      </w:r>
      <w:proofErr w:type="spellStart"/>
      <w:r w:rsidRPr="00C42D76">
        <w:rPr>
          <w:rFonts w:ascii="Times New Roman" w:hAnsi="Times New Roman"/>
          <w:sz w:val="24"/>
          <w:szCs w:val="24"/>
        </w:rPr>
        <w:t>Kudada</w:t>
      </w:r>
      <w:proofErr w:type="spellEnd"/>
      <w:r w:rsidRPr="00C42D76">
        <w:rPr>
          <w:rFonts w:ascii="Times New Roman" w:hAnsi="Times New Roman"/>
          <w:sz w:val="24"/>
          <w:szCs w:val="24"/>
        </w:rPr>
        <w:t xml:space="preserve">, N., &amp; Prasad, K. (2021). Investigation on cultural characterization and parasexual recombination in Pyricularia grisea, causal agent of blast of rice. Research Square. </w:t>
      </w:r>
      <w:hyperlink r:id="rId17" w:history="1">
        <w:r w:rsidRPr="00882663">
          <w:rPr>
            <w:rStyle w:val="Hyperlink"/>
            <w:rFonts w:ascii="Times New Roman" w:hAnsi="Times New Roman"/>
            <w:sz w:val="24"/>
            <w:szCs w:val="24"/>
          </w:rPr>
          <w:t>https://doi.org/10.21203/rs.3.rs-530227/v1</w:t>
        </w:r>
      </w:hyperlink>
      <w:r w:rsidRPr="009F03B8">
        <w:rPr>
          <w:rFonts w:ascii="Times New Roman" w:hAnsi="Times New Roman"/>
          <w:sz w:val="24"/>
          <w:szCs w:val="24"/>
        </w:rPr>
        <w:t>.</w:t>
      </w:r>
      <w:r>
        <w:rPr>
          <w:rFonts w:ascii="Times New Roman" w:hAnsi="Times New Roman"/>
          <w:sz w:val="24"/>
          <w:szCs w:val="24"/>
        </w:rPr>
        <w:t xml:space="preserve"> </w:t>
      </w:r>
    </w:p>
    <w:p w14:paraId="3ECE7DFB" w14:textId="77777777" w:rsidR="00C40D5A" w:rsidRPr="009F03B8" w:rsidRDefault="00C40D5A" w:rsidP="00E96116">
      <w:pPr>
        <w:pStyle w:val="ListParagraph"/>
        <w:keepLines/>
        <w:numPr>
          <w:ilvl w:val="0"/>
          <w:numId w:val="3"/>
        </w:numPr>
        <w:spacing w:before="240" w:after="0"/>
        <w:jc w:val="both"/>
        <w:rPr>
          <w:rFonts w:ascii="Times New Roman" w:hAnsi="Times New Roman"/>
          <w:sz w:val="24"/>
          <w:szCs w:val="24"/>
        </w:rPr>
      </w:pPr>
      <w:r w:rsidRPr="00E96116">
        <w:rPr>
          <w:rFonts w:ascii="Times New Roman" w:hAnsi="Times New Roman"/>
          <w:sz w:val="24"/>
          <w:szCs w:val="24"/>
        </w:rPr>
        <w:t xml:space="preserve">Ceasar, S. A., Maharajan, T., </w:t>
      </w:r>
      <w:proofErr w:type="spellStart"/>
      <w:r w:rsidRPr="00E96116">
        <w:rPr>
          <w:rFonts w:ascii="Times New Roman" w:hAnsi="Times New Roman"/>
          <w:sz w:val="24"/>
          <w:szCs w:val="24"/>
        </w:rPr>
        <w:t>Ajeesh</w:t>
      </w:r>
      <w:proofErr w:type="spellEnd"/>
      <w:r w:rsidRPr="00E96116">
        <w:rPr>
          <w:rFonts w:ascii="Times New Roman" w:hAnsi="Times New Roman"/>
          <w:sz w:val="24"/>
          <w:szCs w:val="24"/>
        </w:rPr>
        <w:t xml:space="preserve"> Krishna, T. P., Ramakrishnan, M., Victor </w:t>
      </w:r>
      <w:proofErr w:type="spellStart"/>
      <w:r w:rsidRPr="00E96116">
        <w:rPr>
          <w:rFonts w:ascii="Times New Roman" w:hAnsi="Times New Roman"/>
          <w:sz w:val="24"/>
          <w:szCs w:val="24"/>
        </w:rPr>
        <w:t>Roch</w:t>
      </w:r>
      <w:proofErr w:type="spellEnd"/>
      <w:r w:rsidRPr="00E96116">
        <w:rPr>
          <w:rFonts w:ascii="Times New Roman" w:hAnsi="Times New Roman"/>
          <w:sz w:val="24"/>
          <w:szCs w:val="24"/>
        </w:rPr>
        <w:t xml:space="preserve">, G., Satish, L., &amp; </w:t>
      </w:r>
      <w:proofErr w:type="spellStart"/>
      <w:r w:rsidRPr="00E96116">
        <w:rPr>
          <w:rFonts w:ascii="Times New Roman" w:hAnsi="Times New Roman"/>
          <w:sz w:val="24"/>
          <w:szCs w:val="24"/>
        </w:rPr>
        <w:t>Ignacimuthu</w:t>
      </w:r>
      <w:proofErr w:type="spellEnd"/>
      <w:r w:rsidRPr="00E96116">
        <w:rPr>
          <w:rFonts w:ascii="Times New Roman" w:hAnsi="Times New Roman"/>
          <w:sz w:val="24"/>
          <w:szCs w:val="24"/>
        </w:rPr>
        <w:t xml:space="preserve">, S. (2018). Finger Millet [Eleusine coracana (L.) Gaertn.] Improvement: Current Status and Future Interventions of Whole Genome Sequence. Frontiers in Plant Science, 9, 1054. </w:t>
      </w:r>
      <w:hyperlink r:id="rId18" w:history="1">
        <w:r w:rsidRPr="00882663">
          <w:rPr>
            <w:rStyle w:val="Hyperlink"/>
            <w:rFonts w:ascii="Times New Roman" w:hAnsi="Times New Roman"/>
            <w:sz w:val="24"/>
            <w:szCs w:val="24"/>
          </w:rPr>
          <w:t>https://doi.org/10.3389/fpls.2018.01054</w:t>
        </w:r>
      </w:hyperlink>
      <w:r w:rsidRPr="009F03B8">
        <w:rPr>
          <w:rFonts w:ascii="Times New Roman" w:hAnsi="Times New Roman"/>
          <w:sz w:val="24"/>
          <w:szCs w:val="24"/>
        </w:rPr>
        <w:t>.</w:t>
      </w:r>
      <w:r>
        <w:rPr>
          <w:rFonts w:ascii="Times New Roman" w:hAnsi="Times New Roman"/>
          <w:sz w:val="24"/>
          <w:szCs w:val="24"/>
        </w:rPr>
        <w:t xml:space="preserve"> </w:t>
      </w:r>
    </w:p>
    <w:p w14:paraId="12C3E379" w14:textId="77777777" w:rsidR="00C40D5A" w:rsidRPr="009D50B9" w:rsidRDefault="00C40D5A" w:rsidP="00A107E6">
      <w:pPr>
        <w:pStyle w:val="NormalWeb"/>
        <w:numPr>
          <w:ilvl w:val="0"/>
          <w:numId w:val="3"/>
        </w:numPr>
        <w:jc w:val="both"/>
      </w:pPr>
      <w:r w:rsidRPr="00A107E6">
        <w:t xml:space="preserve">Chen, J., Liu, X., Fu, S., An, Z., Feng, Y., Wang, R., &amp; Ji, P. (2020). Effects of sophorolipids on fungal and oomycete pathogens in relation to pH solubility. Journal of Applied Microbiology, 128(6), 1754–1763. </w:t>
      </w:r>
      <w:hyperlink r:id="rId19" w:history="1">
        <w:r w:rsidRPr="00882663">
          <w:rPr>
            <w:rStyle w:val="Hyperlink"/>
          </w:rPr>
          <w:t>https://doi.org/10.1111/jam.14594</w:t>
        </w:r>
      </w:hyperlink>
      <w:r w:rsidRPr="009D50B9">
        <w:t>.</w:t>
      </w:r>
      <w:r>
        <w:t xml:space="preserve"> </w:t>
      </w:r>
    </w:p>
    <w:p w14:paraId="7FFA51E6" w14:textId="77777777" w:rsidR="00C40D5A" w:rsidRPr="009D50B9" w:rsidRDefault="00C40D5A" w:rsidP="00DA140A">
      <w:pPr>
        <w:pStyle w:val="NormalWeb"/>
        <w:numPr>
          <w:ilvl w:val="0"/>
          <w:numId w:val="3"/>
        </w:numPr>
        <w:jc w:val="both"/>
      </w:pPr>
      <w:r w:rsidRPr="00DA140A">
        <w:t xml:space="preserve">Chopra, A., </w:t>
      </w:r>
      <w:proofErr w:type="spellStart"/>
      <w:r w:rsidRPr="00DA140A">
        <w:t>Bobate</w:t>
      </w:r>
      <w:proofErr w:type="spellEnd"/>
      <w:r w:rsidRPr="00DA140A">
        <w:t xml:space="preserve">, S., Rahi, P., </w:t>
      </w:r>
      <w:proofErr w:type="spellStart"/>
      <w:r w:rsidRPr="00DA140A">
        <w:t>Banpurkar</w:t>
      </w:r>
      <w:proofErr w:type="spellEnd"/>
      <w:r w:rsidRPr="00DA140A">
        <w:t xml:space="preserve">, A., Mazumder, P. B., &amp; </w:t>
      </w:r>
      <w:proofErr w:type="spellStart"/>
      <w:r w:rsidRPr="00DA140A">
        <w:t>Satpute</w:t>
      </w:r>
      <w:proofErr w:type="spellEnd"/>
      <w:r w:rsidRPr="00DA140A">
        <w:t xml:space="preserve">, S. (2020). Pseudomonas aeruginosa RTE4: A Tea Rhizobacterium With Potential for Plant Growth Promotion and Biosurfactant Production. Frontiers in Bioengineering and Biotechnology, 8, 861. </w:t>
      </w:r>
      <w:hyperlink r:id="rId20" w:history="1">
        <w:r w:rsidRPr="00882663">
          <w:rPr>
            <w:rStyle w:val="Hyperlink"/>
          </w:rPr>
          <w:t>https://doi.org/10.3389/fbioe.2020.00861</w:t>
        </w:r>
      </w:hyperlink>
      <w:r w:rsidRPr="009D50B9">
        <w:t>.</w:t>
      </w:r>
      <w:r>
        <w:t xml:space="preserve"> </w:t>
      </w:r>
    </w:p>
    <w:p w14:paraId="4124E68E" w14:textId="77777777" w:rsidR="00C40D5A" w:rsidRPr="009D50B9" w:rsidRDefault="00C40D5A" w:rsidP="00BE11F6">
      <w:pPr>
        <w:pStyle w:val="NormalWeb"/>
        <w:numPr>
          <w:ilvl w:val="0"/>
          <w:numId w:val="3"/>
        </w:numPr>
        <w:jc w:val="both"/>
      </w:pPr>
      <w:r w:rsidRPr="00BE11F6">
        <w:t xml:space="preserve">Crouzet, J., Arguelles-Arias, A., </w:t>
      </w:r>
      <w:proofErr w:type="spellStart"/>
      <w:r w:rsidRPr="00BE11F6">
        <w:t>Dhondt</w:t>
      </w:r>
      <w:proofErr w:type="spellEnd"/>
      <w:r w:rsidRPr="00BE11F6">
        <w:t xml:space="preserve">-Cordelier, S., Cordelier, S., </w:t>
      </w:r>
      <w:proofErr w:type="spellStart"/>
      <w:r w:rsidRPr="00BE11F6">
        <w:t>Pršić</w:t>
      </w:r>
      <w:proofErr w:type="spellEnd"/>
      <w:r w:rsidRPr="00BE11F6">
        <w:t xml:space="preserve">, J., Hoff, G., </w:t>
      </w:r>
      <w:proofErr w:type="spellStart"/>
      <w:r w:rsidRPr="00BE11F6">
        <w:t>Mazeyrat-Gourbeyre</w:t>
      </w:r>
      <w:proofErr w:type="spellEnd"/>
      <w:r w:rsidRPr="00BE11F6">
        <w:t xml:space="preserve">, F., </w:t>
      </w:r>
      <w:proofErr w:type="spellStart"/>
      <w:r w:rsidRPr="00BE11F6">
        <w:t>Baillieul</w:t>
      </w:r>
      <w:proofErr w:type="spellEnd"/>
      <w:r w:rsidRPr="00BE11F6">
        <w:t xml:space="preserve">, F., Clément, C., </w:t>
      </w:r>
      <w:proofErr w:type="spellStart"/>
      <w:r w:rsidRPr="00BE11F6">
        <w:t>Ongena</w:t>
      </w:r>
      <w:proofErr w:type="spellEnd"/>
      <w:r w:rsidRPr="00BE11F6">
        <w:t xml:space="preserve">, M., &amp; Dorey, S. (2020). Biosurfactants in plant protection against diseases: Rhamnolipids and lipopeptides case study. Frontiers in Bioengineering and Biotechnology, 8, 1014. </w:t>
      </w:r>
      <w:hyperlink r:id="rId21" w:history="1">
        <w:r w:rsidRPr="00882663">
          <w:rPr>
            <w:rStyle w:val="Hyperlink"/>
          </w:rPr>
          <w:t>https://doi.org/10.3389/fbioe.2020.01014</w:t>
        </w:r>
      </w:hyperlink>
      <w:r w:rsidRPr="009D50B9">
        <w:t>.</w:t>
      </w:r>
      <w:r>
        <w:t xml:space="preserve"> </w:t>
      </w:r>
    </w:p>
    <w:p w14:paraId="3FADB51F" w14:textId="77777777" w:rsidR="00C40D5A" w:rsidRPr="009D50B9" w:rsidRDefault="00C40D5A" w:rsidP="009F5D23">
      <w:pPr>
        <w:pStyle w:val="NormalWeb"/>
        <w:numPr>
          <w:ilvl w:val="0"/>
          <w:numId w:val="3"/>
        </w:numPr>
        <w:jc w:val="both"/>
      </w:pPr>
      <w:r w:rsidRPr="009F5D23">
        <w:t xml:space="preserve">Damo, J. L. C., Ramirez, M. D. A., </w:t>
      </w:r>
      <w:proofErr w:type="spellStart"/>
      <w:r w:rsidRPr="009F5D23">
        <w:t>Agake</w:t>
      </w:r>
      <w:proofErr w:type="spellEnd"/>
      <w:r w:rsidRPr="009F5D23">
        <w:t xml:space="preserve">, S. I., Pedro, M., Brown, M., Sekimoto, H., &amp; </w:t>
      </w:r>
      <w:proofErr w:type="spellStart"/>
      <w:r w:rsidRPr="009F5D23">
        <w:t>Ohkama-Ohtsu</w:t>
      </w:r>
      <w:proofErr w:type="spellEnd"/>
      <w:r w:rsidRPr="009F5D23">
        <w:t xml:space="preserve">, N. (2022). Isolation and characterization of phosphate solubilizing bacteria from paddy field soils in Japan. Microbes and environments, 37(2), ME21085. </w:t>
      </w:r>
      <w:hyperlink r:id="rId22" w:history="1">
        <w:r w:rsidRPr="00882663">
          <w:rPr>
            <w:rStyle w:val="Hyperlink"/>
          </w:rPr>
          <w:t>https://doi.org/10.1264/jsme2.ME21085</w:t>
        </w:r>
      </w:hyperlink>
      <w:r w:rsidRPr="009D50B9">
        <w:t>.</w:t>
      </w:r>
      <w:r>
        <w:t xml:space="preserve"> </w:t>
      </w:r>
    </w:p>
    <w:p w14:paraId="060A3072" w14:textId="77777777" w:rsidR="00C40D5A" w:rsidRPr="009D50B9" w:rsidRDefault="00C40D5A" w:rsidP="004A7ECB">
      <w:pPr>
        <w:pStyle w:val="NormalWeb"/>
        <w:numPr>
          <w:ilvl w:val="0"/>
          <w:numId w:val="3"/>
        </w:numPr>
        <w:jc w:val="both"/>
      </w:pPr>
      <w:r w:rsidRPr="004A7ECB">
        <w:t xml:space="preserve">Diabankana, R. G. C., </w:t>
      </w:r>
      <w:proofErr w:type="spellStart"/>
      <w:r w:rsidRPr="004A7ECB">
        <w:t>Afordoanyi</w:t>
      </w:r>
      <w:proofErr w:type="spellEnd"/>
      <w:r w:rsidRPr="004A7ECB">
        <w:t xml:space="preserve">, D. M., Safin, R. I., </w:t>
      </w:r>
      <w:proofErr w:type="spellStart"/>
      <w:r w:rsidRPr="004A7ECB">
        <w:t>Nizamov</w:t>
      </w:r>
      <w:proofErr w:type="spellEnd"/>
      <w:r w:rsidRPr="004A7ECB">
        <w:t xml:space="preserve">, R. M., Karimova, L. Z., &amp; </w:t>
      </w:r>
      <w:proofErr w:type="spellStart"/>
      <w:r w:rsidRPr="004A7ECB">
        <w:t>Validov</w:t>
      </w:r>
      <w:proofErr w:type="spellEnd"/>
      <w:r w:rsidRPr="004A7ECB">
        <w:t xml:space="preserve">, S. Z. (2021). Antifungal properties, abiotic stress resistance, and biocontrol ability of Bacillus mojavensis PS17. Current Microbiology, 78(8), 3124–3132. </w:t>
      </w:r>
      <w:hyperlink r:id="rId23" w:history="1">
        <w:r w:rsidRPr="00882663">
          <w:rPr>
            <w:rStyle w:val="Hyperlink"/>
          </w:rPr>
          <w:t>https://doi.org/10.1007/s00284-021-02578-7</w:t>
        </w:r>
      </w:hyperlink>
      <w:r w:rsidRPr="009D50B9">
        <w:t>.</w:t>
      </w:r>
      <w:r>
        <w:t xml:space="preserve"> </w:t>
      </w:r>
    </w:p>
    <w:p w14:paraId="4FF13225" w14:textId="77777777" w:rsidR="00C40D5A" w:rsidRDefault="00C40D5A" w:rsidP="00E80C13">
      <w:pPr>
        <w:pStyle w:val="NormalWeb"/>
        <w:numPr>
          <w:ilvl w:val="0"/>
          <w:numId w:val="3"/>
        </w:numPr>
        <w:jc w:val="both"/>
      </w:pPr>
      <w:r w:rsidRPr="00E80C13">
        <w:lastRenderedPageBreak/>
        <w:t xml:space="preserve">Gakuubi, M. M., </w:t>
      </w:r>
      <w:proofErr w:type="spellStart"/>
      <w:r w:rsidRPr="00E80C13">
        <w:t>Munusamy</w:t>
      </w:r>
      <w:proofErr w:type="spellEnd"/>
      <w:r w:rsidRPr="00E80C13">
        <w:t xml:space="preserve">, M., Liang, Z. X., &amp; Ng, S. B. (2021). Fungal endophytes: A promising frontier for discovery of novel bioactive compounds. Journal of Fungi, 7(10), 786. </w:t>
      </w:r>
      <w:hyperlink r:id="rId24" w:history="1">
        <w:r w:rsidRPr="00882663">
          <w:rPr>
            <w:rStyle w:val="Hyperlink"/>
          </w:rPr>
          <w:t>https://doi.org/10.3390/jof7100786</w:t>
        </w:r>
      </w:hyperlink>
      <w:r w:rsidRPr="009D50B9">
        <w:t>.</w:t>
      </w:r>
      <w:r>
        <w:t xml:space="preserve"> </w:t>
      </w:r>
    </w:p>
    <w:p w14:paraId="731DA023" w14:textId="77777777" w:rsidR="00C40D5A" w:rsidRPr="009D50B9" w:rsidRDefault="00C40D5A" w:rsidP="000D41E5">
      <w:pPr>
        <w:pStyle w:val="NormalWeb"/>
        <w:numPr>
          <w:ilvl w:val="0"/>
          <w:numId w:val="3"/>
        </w:numPr>
        <w:jc w:val="both"/>
      </w:pPr>
      <w:r w:rsidRPr="000D41E5">
        <w:t xml:space="preserve">Ghosh, S., Mondal, S., Banerjee, S., Mukherjee, A., &amp; Bhattacharyya, P. (2023). Temporal dynamics of potassium release from waste mica as influenced by potassium mobilizing bacteria. Journal of Pure and Applied Microbiology, 17(1), 273-288. </w:t>
      </w:r>
      <w:hyperlink r:id="rId25" w:history="1">
        <w:r w:rsidRPr="00882663">
          <w:rPr>
            <w:rStyle w:val="Hyperlink"/>
          </w:rPr>
          <w:t>https://doi.org/10.22207/JPAM.17.1.17</w:t>
        </w:r>
      </w:hyperlink>
      <w:r w:rsidRPr="00F436DE">
        <w:t>.</w:t>
      </w:r>
      <w:r>
        <w:t xml:space="preserve"> </w:t>
      </w:r>
    </w:p>
    <w:p w14:paraId="529551BB" w14:textId="77777777" w:rsidR="00C40D5A" w:rsidRPr="009D50B9" w:rsidRDefault="00C40D5A" w:rsidP="00484228">
      <w:pPr>
        <w:pStyle w:val="NormalWeb"/>
        <w:numPr>
          <w:ilvl w:val="0"/>
          <w:numId w:val="3"/>
        </w:numPr>
        <w:jc w:val="both"/>
      </w:pPr>
      <w:r w:rsidRPr="00484228">
        <w:t xml:space="preserve">Hussain, T., &amp; Khan, A. A. (2022). Biocontrol prospective of Bacillus siamensis-AMU03 against Soil-borne fungal pathogens of potato tubers. Indian Phytopathology, 75(1), 179–189. </w:t>
      </w:r>
      <w:hyperlink r:id="rId26" w:history="1">
        <w:r w:rsidRPr="00882663">
          <w:rPr>
            <w:rStyle w:val="Hyperlink"/>
          </w:rPr>
          <w:t>https://doi.org/10.1007/s42360-021-00447-8</w:t>
        </w:r>
      </w:hyperlink>
      <w:r w:rsidRPr="009D50B9">
        <w:t>.</w:t>
      </w:r>
      <w:r>
        <w:t xml:space="preserve"> </w:t>
      </w:r>
    </w:p>
    <w:p w14:paraId="456D45E1" w14:textId="77777777" w:rsidR="00C40D5A" w:rsidRDefault="00C40D5A" w:rsidP="00052D9E">
      <w:pPr>
        <w:pStyle w:val="NormalWeb"/>
        <w:numPr>
          <w:ilvl w:val="0"/>
          <w:numId w:val="3"/>
        </w:numPr>
        <w:jc w:val="both"/>
      </w:pPr>
      <w:r w:rsidRPr="00052D9E">
        <w:t xml:space="preserve">Kalayu, G. (2019). Phosphate Solubilizing Microorganisms: Promising Approach as Biofertilizers. International Journal of Agronomy. </w:t>
      </w:r>
      <w:hyperlink r:id="rId27" w:history="1">
        <w:r w:rsidRPr="00882663">
          <w:rPr>
            <w:rStyle w:val="Hyperlink"/>
          </w:rPr>
          <w:t>https://doi.org/10.1155/2019/4917256</w:t>
        </w:r>
      </w:hyperlink>
      <w:r w:rsidRPr="00C965A6">
        <w:t>.</w:t>
      </w:r>
      <w:r>
        <w:t xml:space="preserve"> </w:t>
      </w:r>
    </w:p>
    <w:p w14:paraId="0C1EA581" w14:textId="77777777" w:rsidR="00C40D5A" w:rsidRPr="009D50B9" w:rsidRDefault="00C40D5A" w:rsidP="00AE151E">
      <w:pPr>
        <w:pStyle w:val="NormalWeb"/>
        <w:numPr>
          <w:ilvl w:val="0"/>
          <w:numId w:val="3"/>
        </w:numPr>
        <w:jc w:val="both"/>
      </w:pPr>
      <w:r w:rsidRPr="00AE151E">
        <w:t xml:space="preserve">Kavitha, R., &amp; Karthy, E. S. (2019). Screening of biosurfactant producing Bacillus subtilis for use as potential plant growth promoters and biocontrol agent of mango canker disease caused by Xanthomonas sp. mangiferaeindicae. Life Science Archives, 5(3), 1616–1623. </w:t>
      </w:r>
      <w:hyperlink r:id="rId28" w:history="1">
        <w:r w:rsidRPr="00882663">
          <w:rPr>
            <w:rStyle w:val="Hyperlink"/>
          </w:rPr>
          <w:t>https://doi.org/10.22192/lsa.2019.5.3.1</w:t>
        </w:r>
      </w:hyperlink>
      <w:r w:rsidRPr="009D50B9">
        <w:t>.</w:t>
      </w:r>
      <w:r>
        <w:t xml:space="preserve"> </w:t>
      </w:r>
    </w:p>
    <w:p w14:paraId="0EBFF466" w14:textId="77777777" w:rsidR="00C40D5A" w:rsidRPr="009D50B9" w:rsidRDefault="00C40D5A" w:rsidP="005E045F">
      <w:pPr>
        <w:pStyle w:val="NormalWeb"/>
        <w:numPr>
          <w:ilvl w:val="0"/>
          <w:numId w:val="3"/>
        </w:numPr>
        <w:jc w:val="both"/>
      </w:pPr>
      <w:r w:rsidRPr="005E045F">
        <w:t xml:space="preserve">Kolandasamy, M., Mandal, A. K. A., Balasubramanian, M. G., &amp; </w:t>
      </w:r>
      <w:proofErr w:type="spellStart"/>
      <w:r w:rsidRPr="005E045F">
        <w:t>Ponnusamy</w:t>
      </w:r>
      <w:proofErr w:type="spellEnd"/>
      <w:r w:rsidRPr="005E045F">
        <w:t xml:space="preserve">, P. (2023). Multifaceted plant growth-promoting traits of indigenous rhizospheric microbes against Phomopsis theae, a causal agent of stem canker in tea plants. World Journal of Microbiology and Biotechnology, 39(9), 237. </w:t>
      </w:r>
      <w:hyperlink r:id="rId29" w:history="1">
        <w:r w:rsidRPr="00882663">
          <w:rPr>
            <w:rStyle w:val="Hyperlink"/>
          </w:rPr>
          <w:t>https://doi.org/10.1007/s11274-023-03688-z</w:t>
        </w:r>
      </w:hyperlink>
      <w:r w:rsidRPr="009D50B9">
        <w:t>.</w:t>
      </w:r>
      <w:r>
        <w:t xml:space="preserve"> </w:t>
      </w:r>
    </w:p>
    <w:p w14:paraId="750F98CF" w14:textId="77777777" w:rsidR="00C40D5A" w:rsidRPr="009D50B9" w:rsidRDefault="00C40D5A" w:rsidP="00B11A47">
      <w:pPr>
        <w:pStyle w:val="NormalWeb"/>
        <w:numPr>
          <w:ilvl w:val="0"/>
          <w:numId w:val="3"/>
        </w:numPr>
        <w:jc w:val="both"/>
      </w:pPr>
      <w:r w:rsidRPr="00B11A47">
        <w:t xml:space="preserve">Krishna, T. A., Maharajan, T., David, R. H. A., Ramakrishnan, M., Ceasar, S. A., </w:t>
      </w:r>
      <w:proofErr w:type="spellStart"/>
      <w:r w:rsidRPr="00B11A47">
        <w:t>Duraipandiyan</w:t>
      </w:r>
      <w:proofErr w:type="spellEnd"/>
      <w:r w:rsidRPr="00B11A47">
        <w:t xml:space="preserve">, V., </w:t>
      </w:r>
      <w:proofErr w:type="spellStart"/>
      <w:r w:rsidRPr="00B11A47">
        <w:t>Roch</w:t>
      </w:r>
      <w:proofErr w:type="spellEnd"/>
      <w:r w:rsidRPr="00B11A47">
        <w:t xml:space="preserve">, G. V., &amp; </w:t>
      </w:r>
      <w:proofErr w:type="spellStart"/>
      <w:r w:rsidRPr="00B11A47">
        <w:t>Ignacimuthu</w:t>
      </w:r>
      <w:proofErr w:type="spellEnd"/>
      <w:r w:rsidRPr="00B11A47">
        <w:t xml:space="preserve">, S. (2018). Microsatellite markers of finger millet (Eleusine coracana (L.) Gaertn) and foxtail millet (Setaria italica (L.) </w:t>
      </w:r>
      <w:proofErr w:type="spellStart"/>
      <w:r w:rsidRPr="00B11A47">
        <w:t>Beauv</w:t>
      </w:r>
      <w:proofErr w:type="spellEnd"/>
      <w:r w:rsidRPr="00B11A47">
        <w:t xml:space="preserve">) provide resources for cross-genome transferability and genetic diversity analyses in other millets. </w:t>
      </w:r>
      <w:proofErr w:type="spellStart"/>
      <w:r w:rsidRPr="00B11A47">
        <w:t>Biocatalysis</w:t>
      </w:r>
      <w:proofErr w:type="spellEnd"/>
      <w:r w:rsidRPr="00B11A47">
        <w:t xml:space="preserve"> and Agricultural Biotechnology, 16, 493–501. </w:t>
      </w:r>
      <w:hyperlink r:id="rId30" w:history="1">
        <w:r w:rsidRPr="00882663">
          <w:rPr>
            <w:rStyle w:val="Hyperlink"/>
          </w:rPr>
          <w:t>https://doi.org/10.1016/j.bcab.2018.09.009</w:t>
        </w:r>
      </w:hyperlink>
      <w:r w:rsidRPr="009D50B9">
        <w:t>.</w:t>
      </w:r>
      <w:r>
        <w:t xml:space="preserve"> </w:t>
      </w:r>
    </w:p>
    <w:p w14:paraId="72664065" w14:textId="77777777" w:rsidR="00C40D5A" w:rsidRDefault="00C40D5A" w:rsidP="00C829F3">
      <w:pPr>
        <w:pStyle w:val="NormalWeb"/>
        <w:numPr>
          <w:ilvl w:val="0"/>
          <w:numId w:val="3"/>
        </w:numPr>
        <w:jc w:val="both"/>
        <w:rPr>
          <w:highlight w:val="yellow"/>
        </w:rPr>
      </w:pPr>
      <w:r w:rsidRPr="003D303F">
        <w:rPr>
          <w:highlight w:val="yellow"/>
        </w:rPr>
        <w:t xml:space="preserve">Lan, Q., Liu, Y., Mu, R., Wang, X., Zhou, Q., </w:t>
      </w:r>
      <w:r w:rsidRPr="003D303F">
        <w:rPr>
          <w:sz w:val="23"/>
          <w:szCs w:val="23"/>
          <w:highlight w:val="yellow"/>
        </w:rPr>
        <w:t>Islam, R., Su, X. and Tian, Y.</w:t>
      </w:r>
      <w:r w:rsidRPr="003D303F">
        <w:rPr>
          <w:highlight w:val="yellow"/>
        </w:rPr>
        <w:t xml:space="preserve"> (2024). Biological control effect of antagonistic bacteria on potato black scurf disease caused by </w:t>
      </w:r>
      <w:r w:rsidRPr="003D303F">
        <w:rPr>
          <w:i/>
          <w:iCs/>
          <w:highlight w:val="yellow"/>
        </w:rPr>
        <w:t>Rhizoctonia solani</w:t>
      </w:r>
      <w:r w:rsidRPr="003D303F">
        <w:rPr>
          <w:highlight w:val="yellow"/>
        </w:rPr>
        <w:t>. Agronomy, 14(2), 351.</w:t>
      </w:r>
    </w:p>
    <w:p w14:paraId="57C164FE" w14:textId="77777777" w:rsidR="00C40D5A" w:rsidRPr="009D50B9" w:rsidRDefault="00C40D5A" w:rsidP="00CB2A0B">
      <w:pPr>
        <w:pStyle w:val="NormalWeb"/>
        <w:numPr>
          <w:ilvl w:val="0"/>
          <w:numId w:val="3"/>
        </w:numPr>
        <w:jc w:val="both"/>
      </w:pPr>
      <w:r w:rsidRPr="00CB2A0B">
        <w:t xml:space="preserve">Leelasuphakul, W., </w:t>
      </w:r>
      <w:proofErr w:type="spellStart"/>
      <w:r w:rsidRPr="00CB2A0B">
        <w:t>Hemmanee</w:t>
      </w:r>
      <w:proofErr w:type="spellEnd"/>
      <w:r w:rsidRPr="00CB2A0B">
        <w:t xml:space="preserve">, P., &amp; </w:t>
      </w:r>
      <w:proofErr w:type="spellStart"/>
      <w:r w:rsidRPr="00CB2A0B">
        <w:t>Chuenchitt</w:t>
      </w:r>
      <w:proofErr w:type="spellEnd"/>
      <w:r w:rsidRPr="00CB2A0B">
        <w:t xml:space="preserve">, S. (2008). Growth inhibitory properties of Bacillus subtilis strains and their metabolites against the green mold pathogen (Penicillium digitatum Sacc.) of citrus fruit. Postharvest Biology and Technology, 48(1), 113–121. </w:t>
      </w:r>
      <w:hyperlink r:id="rId31" w:history="1">
        <w:r w:rsidRPr="00882663">
          <w:rPr>
            <w:rStyle w:val="Hyperlink"/>
          </w:rPr>
          <w:t>https://doi.org/10.1016/j.postharvbio.2007.09.024</w:t>
        </w:r>
      </w:hyperlink>
      <w:r w:rsidRPr="009D50B9">
        <w:t>.</w:t>
      </w:r>
      <w:r>
        <w:t xml:space="preserve"> </w:t>
      </w:r>
    </w:p>
    <w:p w14:paraId="314C3951" w14:textId="77777777" w:rsidR="00C40D5A" w:rsidRPr="009D50B9" w:rsidRDefault="00C40D5A" w:rsidP="00767F03">
      <w:pPr>
        <w:pStyle w:val="NormalWeb"/>
        <w:numPr>
          <w:ilvl w:val="0"/>
          <w:numId w:val="3"/>
        </w:numPr>
        <w:jc w:val="both"/>
      </w:pPr>
      <w:r w:rsidRPr="00767F03">
        <w:t xml:space="preserve">Maharajan, T., Antony Ceasar, S., </w:t>
      </w:r>
      <w:proofErr w:type="spellStart"/>
      <w:r w:rsidRPr="00767F03">
        <w:t>Ajeesh</w:t>
      </w:r>
      <w:proofErr w:type="spellEnd"/>
      <w:r w:rsidRPr="00767F03">
        <w:t xml:space="preserve"> Krishna, T. P., &amp; </w:t>
      </w:r>
      <w:proofErr w:type="spellStart"/>
      <w:r w:rsidRPr="00767F03">
        <w:t>Ignacimuthu</w:t>
      </w:r>
      <w:proofErr w:type="spellEnd"/>
      <w:r w:rsidRPr="00767F03">
        <w:t xml:space="preserve">, S. (2021). Finger Millet [Eleusine coracana (L.) Gaertn]: An Orphan Crop </w:t>
      </w:r>
      <w:proofErr w:type="gramStart"/>
      <w:r w:rsidRPr="00767F03">
        <w:t>With</w:t>
      </w:r>
      <w:proofErr w:type="gramEnd"/>
      <w:r w:rsidRPr="00767F03">
        <w:t xml:space="preserve"> a Potential to Alleviate the Calcium Deficiency in the Semi-arid Tropics of Asia and Africa. Frontiers in Sustainable Food Systems, 5, 684447 </w:t>
      </w:r>
      <w:hyperlink r:id="rId32" w:history="1">
        <w:r w:rsidRPr="00882663">
          <w:rPr>
            <w:rStyle w:val="Hyperlink"/>
          </w:rPr>
          <w:t>https://doi.org/10.3389/fsufs.2021.684447</w:t>
        </w:r>
      </w:hyperlink>
      <w:r w:rsidRPr="009D50B9">
        <w:t>.</w:t>
      </w:r>
      <w:r>
        <w:t xml:space="preserve"> </w:t>
      </w:r>
    </w:p>
    <w:p w14:paraId="543FB87C" w14:textId="77777777" w:rsidR="00C40D5A" w:rsidRPr="009D50B9" w:rsidRDefault="00C40D5A" w:rsidP="00895C93">
      <w:pPr>
        <w:pStyle w:val="NormalWeb"/>
        <w:numPr>
          <w:ilvl w:val="0"/>
          <w:numId w:val="3"/>
        </w:numPr>
        <w:jc w:val="both"/>
      </w:pPr>
      <w:r w:rsidRPr="00895C93">
        <w:t xml:space="preserve">Malakar, C., Barman, D., Kalita, M. C., &amp; Deka, S. (2023). A biosurfactant-producing novel bacterial strain isolated from vermicompost having multiple plant growth-promoting traits. Journal of Basic Microbiology, 63(7), 746–758. </w:t>
      </w:r>
      <w:hyperlink r:id="rId33" w:history="1">
        <w:r w:rsidRPr="00882663">
          <w:rPr>
            <w:rStyle w:val="Hyperlink"/>
          </w:rPr>
          <w:t>https://doi.org/10.1002/jobm.202200608</w:t>
        </w:r>
      </w:hyperlink>
      <w:r w:rsidRPr="009D50B9">
        <w:t>.</w:t>
      </w:r>
      <w:r>
        <w:t xml:space="preserve"> </w:t>
      </w:r>
    </w:p>
    <w:p w14:paraId="2B9541A4" w14:textId="77777777" w:rsidR="00C40D5A" w:rsidRPr="009D50B9" w:rsidRDefault="00C40D5A" w:rsidP="009F03B8">
      <w:pPr>
        <w:pStyle w:val="NormalWeb"/>
        <w:numPr>
          <w:ilvl w:val="0"/>
          <w:numId w:val="3"/>
        </w:numPr>
        <w:jc w:val="both"/>
        <w:rPr>
          <w:shd w:val="clear" w:color="auto" w:fill="FFFFFF"/>
        </w:rPr>
      </w:pPr>
      <w:r w:rsidRPr="009D50B9">
        <w:rPr>
          <w:shd w:val="clear" w:color="auto" w:fill="FFFFFF"/>
        </w:rPr>
        <w:t>Mamtha, V., &amp; Tamilvendan, K. (2025). Exploration of Biosurfactant Producing Bacteria for the Management of Blast Pathogen Pyricularia grisea in Finger Millet (Eleusine coracana). </w:t>
      </w:r>
      <w:r w:rsidRPr="009D50B9">
        <w:rPr>
          <w:i/>
          <w:iCs/>
          <w:shd w:val="clear" w:color="auto" w:fill="FFFFFF"/>
        </w:rPr>
        <w:t>Mysore Journal of Agricultural Sciences</w:t>
      </w:r>
      <w:r w:rsidRPr="009D50B9">
        <w:rPr>
          <w:shd w:val="clear" w:color="auto" w:fill="FFFFFF"/>
        </w:rPr>
        <w:t>, </w:t>
      </w:r>
      <w:r w:rsidRPr="009D50B9">
        <w:rPr>
          <w:i/>
          <w:iCs/>
          <w:shd w:val="clear" w:color="auto" w:fill="FFFFFF"/>
        </w:rPr>
        <w:t>59</w:t>
      </w:r>
      <w:r w:rsidRPr="009D50B9">
        <w:rPr>
          <w:shd w:val="clear" w:color="auto" w:fill="FFFFFF"/>
        </w:rPr>
        <w:t>(2).</w:t>
      </w:r>
    </w:p>
    <w:p w14:paraId="18040D31" w14:textId="77777777" w:rsidR="00C40D5A" w:rsidRPr="009D50B9" w:rsidRDefault="00C40D5A" w:rsidP="00875BC7">
      <w:pPr>
        <w:pStyle w:val="NormalWeb"/>
        <w:numPr>
          <w:ilvl w:val="0"/>
          <w:numId w:val="3"/>
        </w:numPr>
        <w:jc w:val="both"/>
      </w:pPr>
      <w:r w:rsidRPr="00875BC7">
        <w:t xml:space="preserve">Meghana, B., Triveni, S., Madhavi, V., &amp; Shailaja, K. (2025). Biosurfactant-producing bacteria from crop rhizosphere soil and its effect on chickpea crop. International Journal of Research in Agronomy, 8(9), 25–30. </w:t>
      </w:r>
      <w:hyperlink r:id="rId34" w:history="1">
        <w:r w:rsidRPr="00882663">
          <w:rPr>
            <w:rStyle w:val="Hyperlink"/>
          </w:rPr>
          <w:t>https://doi.org/10.33545/2618060X.2025.v8.i9a.3715</w:t>
        </w:r>
      </w:hyperlink>
      <w:r w:rsidRPr="009D50B9">
        <w:t>.</w:t>
      </w:r>
      <w:r>
        <w:t xml:space="preserve"> </w:t>
      </w:r>
    </w:p>
    <w:p w14:paraId="6E7AD7C1" w14:textId="77777777" w:rsidR="00C40D5A" w:rsidRPr="009D50B9" w:rsidRDefault="00C40D5A" w:rsidP="009002A7">
      <w:pPr>
        <w:pStyle w:val="NormalWeb"/>
        <w:numPr>
          <w:ilvl w:val="0"/>
          <w:numId w:val="3"/>
        </w:numPr>
        <w:jc w:val="both"/>
      </w:pPr>
      <w:r w:rsidRPr="009002A7">
        <w:lastRenderedPageBreak/>
        <w:t xml:space="preserve">Mishra, I., Fatima, T., Egamberdieva, D., &amp; Arora, N. K. (2020). Novel bioformulations developed from Pseudomonas putida BSP9 and its biosurfactant for growth promotion of Brassica juncea (L.). Plants. </w:t>
      </w:r>
      <w:hyperlink r:id="rId35" w:history="1">
        <w:r w:rsidRPr="00882663">
          <w:rPr>
            <w:rStyle w:val="Hyperlink"/>
          </w:rPr>
          <w:t>https://doi.org/10.3390/plants9101349</w:t>
        </w:r>
      </w:hyperlink>
      <w:r w:rsidRPr="009D50B9">
        <w:t>.</w:t>
      </w:r>
      <w:r>
        <w:t xml:space="preserve"> </w:t>
      </w:r>
    </w:p>
    <w:p w14:paraId="79B407D6" w14:textId="77777777" w:rsidR="00C40D5A" w:rsidRPr="009D50B9" w:rsidRDefault="00C40D5A" w:rsidP="00FD28A8">
      <w:pPr>
        <w:pStyle w:val="NormalWeb"/>
        <w:numPr>
          <w:ilvl w:val="0"/>
          <w:numId w:val="3"/>
        </w:numPr>
        <w:jc w:val="both"/>
      </w:pPr>
      <w:r w:rsidRPr="00FD28A8">
        <w:t xml:space="preserve">Murphy, J., &amp; Riley, J. P. (1962). A modified single solution method for the determination of phosphate in natural waters. Analytica Chimica Acta, 27, 31–36. </w:t>
      </w:r>
      <w:hyperlink r:id="rId36" w:history="1">
        <w:r w:rsidRPr="00882663">
          <w:rPr>
            <w:rStyle w:val="Hyperlink"/>
          </w:rPr>
          <w:t>https://doi.org/10.1016/S0003-2670(00)88444-5</w:t>
        </w:r>
      </w:hyperlink>
      <w:r w:rsidRPr="009D50B9">
        <w:t>.</w:t>
      </w:r>
      <w:r>
        <w:t xml:space="preserve"> </w:t>
      </w:r>
    </w:p>
    <w:p w14:paraId="0A9D9F59" w14:textId="77777777" w:rsidR="00C40D5A" w:rsidRDefault="00C40D5A" w:rsidP="005D6C24">
      <w:pPr>
        <w:pStyle w:val="NormalWeb"/>
        <w:numPr>
          <w:ilvl w:val="0"/>
          <w:numId w:val="3"/>
        </w:numPr>
        <w:jc w:val="both"/>
      </w:pPr>
      <w:r w:rsidRPr="005D6C24">
        <w:t xml:space="preserve">Nayarisseri, A., Singh, P., &amp; Singh, S. K. (2018). Screening, isolation and characterization of biosurfactant producing Bacillus subtilis strain ANSKLAB03. Bioinformation, 14(6), 304-314. </w:t>
      </w:r>
      <w:hyperlink r:id="rId37" w:history="1">
        <w:r w:rsidRPr="00882663">
          <w:rPr>
            <w:rStyle w:val="Hyperlink"/>
          </w:rPr>
          <w:t>https://doi.org/10.6026/97320630014304</w:t>
        </w:r>
      </w:hyperlink>
      <w:r w:rsidRPr="00A845EA">
        <w:t>.</w:t>
      </w:r>
      <w:r>
        <w:t xml:space="preserve"> </w:t>
      </w:r>
    </w:p>
    <w:p w14:paraId="5BF6BD85" w14:textId="77777777" w:rsidR="00C40D5A" w:rsidRPr="009D50B9" w:rsidRDefault="00C40D5A" w:rsidP="00113752">
      <w:pPr>
        <w:pStyle w:val="NormalWeb"/>
        <w:numPr>
          <w:ilvl w:val="0"/>
          <w:numId w:val="3"/>
        </w:numPr>
        <w:jc w:val="both"/>
      </w:pPr>
      <w:r w:rsidRPr="00113752">
        <w:t xml:space="preserve">Njoroge, H. W., Hu, J., Yu, Y., Yuan, Z., Lin, Y., Han, X., Liu, Z., </w:t>
      </w:r>
      <w:proofErr w:type="spellStart"/>
      <w:r w:rsidRPr="00113752">
        <w:t>Muia</w:t>
      </w:r>
      <w:proofErr w:type="spellEnd"/>
      <w:r w:rsidRPr="00113752">
        <w:t xml:space="preserve">, A. W., &amp; Liu, H. (2024). A rice rhizosphere plant growth-promoting Streptomyces corchorusii isolate antagonizes Magnaporthe oryzae and elicits defense responses in rice. Journal of Applied Microbiology, 135(12), lxae266. </w:t>
      </w:r>
      <w:hyperlink r:id="rId38" w:history="1">
        <w:r w:rsidRPr="00882663">
          <w:rPr>
            <w:rStyle w:val="Hyperlink"/>
          </w:rPr>
          <w:t>https://doi.org/10.1093/jambio/lxae266</w:t>
        </w:r>
      </w:hyperlink>
      <w:r w:rsidRPr="009D50B9">
        <w:t>.</w:t>
      </w:r>
      <w:r>
        <w:t xml:space="preserve"> </w:t>
      </w:r>
    </w:p>
    <w:p w14:paraId="23D18D41" w14:textId="77777777" w:rsidR="00C40D5A" w:rsidRPr="009D50B9" w:rsidRDefault="00C40D5A" w:rsidP="00655F70">
      <w:pPr>
        <w:pStyle w:val="NormalWeb"/>
        <w:numPr>
          <w:ilvl w:val="0"/>
          <w:numId w:val="3"/>
        </w:numPr>
        <w:jc w:val="both"/>
      </w:pPr>
      <w:r w:rsidRPr="00655F70">
        <w:t xml:space="preserve">Opgenorth, D. C., &amp; Endo, R. M. (1983). Evidence that antagonistic bacteria suppress Fusarium wilt of celery in neutral and alkaline soils. Phytopathology, 73, 703–708. </w:t>
      </w:r>
      <w:hyperlink r:id="rId39" w:history="1">
        <w:r w:rsidRPr="00882663">
          <w:rPr>
            <w:rStyle w:val="Hyperlink"/>
          </w:rPr>
          <w:t>https://doi.org/10.1094/Phyto-73-703</w:t>
        </w:r>
      </w:hyperlink>
      <w:r w:rsidRPr="009D50B9">
        <w:t>.</w:t>
      </w:r>
      <w:r>
        <w:t xml:space="preserve"> </w:t>
      </w:r>
    </w:p>
    <w:p w14:paraId="3924CCB5" w14:textId="77777777" w:rsidR="00C40D5A" w:rsidRPr="00C40D5A" w:rsidRDefault="00C40D5A" w:rsidP="00C829F3">
      <w:pPr>
        <w:pStyle w:val="NormalWeb"/>
        <w:numPr>
          <w:ilvl w:val="0"/>
          <w:numId w:val="3"/>
        </w:numPr>
        <w:jc w:val="both"/>
        <w:rPr>
          <w:highlight w:val="yellow"/>
        </w:rPr>
      </w:pPr>
      <w:r w:rsidRPr="00C40D5A">
        <w:rPr>
          <w:highlight w:val="yellow"/>
        </w:rPr>
        <w:t>Pacwa-Płociniczak, M., Płociniczak, T., Iwan, J., Żarska, M., Chorążewski, M., Dzida, M., &amp; Piotrowska-Seget, Z. (2016). Isolation of hydrocarbon-degrading and biosurfactant-producing bacteria and assessment their plant growth-promoting traits. Journal of environmental management, 168, 175-184.</w:t>
      </w:r>
    </w:p>
    <w:p w14:paraId="53CE0A47" w14:textId="77777777" w:rsidR="00C40D5A" w:rsidRPr="009D50B9" w:rsidRDefault="00C40D5A" w:rsidP="00FC461C">
      <w:pPr>
        <w:pStyle w:val="NormalWeb"/>
        <w:numPr>
          <w:ilvl w:val="0"/>
          <w:numId w:val="3"/>
        </w:numPr>
        <w:jc w:val="both"/>
      </w:pPr>
      <w:r w:rsidRPr="00FC461C">
        <w:t xml:space="preserve">Panda, G., Sahu, C., Yadav, M. K., S, A., </w:t>
      </w:r>
      <w:proofErr w:type="spellStart"/>
      <w:r w:rsidRPr="00FC461C">
        <w:t>Umakanta</w:t>
      </w:r>
      <w:proofErr w:type="spellEnd"/>
      <w:r w:rsidRPr="00FC461C">
        <w:t xml:space="preserve">, N., Raghu, S., </w:t>
      </w:r>
      <w:proofErr w:type="spellStart"/>
      <w:r w:rsidRPr="00FC461C">
        <w:t>Prabhukarthikeyan</w:t>
      </w:r>
      <w:proofErr w:type="spellEnd"/>
      <w:r w:rsidRPr="00FC461C">
        <w:t xml:space="preserve">, S. R., </w:t>
      </w:r>
      <w:proofErr w:type="spellStart"/>
      <w:r w:rsidRPr="00FC461C">
        <w:t>Lenka</w:t>
      </w:r>
      <w:proofErr w:type="spellEnd"/>
      <w:r w:rsidRPr="00FC461C">
        <w:t xml:space="preserve">, S., Tiwari, J. K., Kar, S., &amp; Jena, M. (2017). Morphological and molecular characterization of Magnaporthe oryzae from Chhattisgarh. ORYZA-An International Journal of Rice, 54(3), 330–336. </w:t>
      </w:r>
      <w:hyperlink r:id="rId40" w:history="1">
        <w:r w:rsidRPr="00882663">
          <w:rPr>
            <w:rStyle w:val="Hyperlink"/>
          </w:rPr>
          <w:t>https://doi.org/10.5958/2249-5266.2017.00045.5</w:t>
        </w:r>
      </w:hyperlink>
      <w:r w:rsidRPr="009D50B9">
        <w:t>.</w:t>
      </w:r>
      <w:r>
        <w:t xml:space="preserve"> </w:t>
      </w:r>
    </w:p>
    <w:p w14:paraId="226D2D6C" w14:textId="77777777" w:rsidR="00C40D5A" w:rsidRPr="009D50B9" w:rsidRDefault="00C40D5A" w:rsidP="009F03B8">
      <w:pPr>
        <w:pStyle w:val="NormalWeb"/>
        <w:numPr>
          <w:ilvl w:val="0"/>
          <w:numId w:val="3"/>
        </w:numPr>
        <w:jc w:val="both"/>
      </w:pPr>
      <w:r w:rsidRPr="009D50B9">
        <w:t xml:space="preserve">Panse, V. G., &amp; Sukhatme, P. V. (1967). </w:t>
      </w:r>
      <w:r w:rsidRPr="009D50B9">
        <w:rPr>
          <w:rStyle w:val="Emphasis"/>
        </w:rPr>
        <w:t>Statistical methods for agricultural workers</w:t>
      </w:r>
      <w:r w:rsidRPr="009D50B9">
        <w:t xml:space="preserve"> (2nd ed.). ICAR.</w:t>
      </w:r>
    </w:p>
    <w:p w14:paraId="517443BA" w14:textId="77777777" w:rsidR="00C40D5A" w:rsidRPr="009D50B9" w:rsidRDefault="00C40D5A" w:rsidP="00D66DF9">
      <w:pPr>
        <w:pStyle w:val="NormalWeb"/>
        <w:numPr>
          <w:ilvl w:val="0"/>
          <w:numId w:val="3"/>
        </w:numPr>
        <w:jc w:val="both"/>
      </w:pPr>
      <w:r w:rsidRPr="00D66DF9">
        <w:t xml:space="preserve">Patowary, R., Jain, P., Malakar, C., &amp; Devi, A. (2023). Biodegradation of carbofuran by Pseudomonas aeruginosa S07: biosurfactant production, plant growth promotion, and metal tolerance. Environmental Science and Pollution Research International. </w:t>
      </w:r>
      <w:hyperlink r:id="rId41" w:history="1">
        <w:r w:rsidRPr="00882663">
          <w:rPr>
            <w:rStyle w:val="Hyperlink"/>
          </w:rPr>
          <w:t>https://doi.org/10.1007/s11356-023-30466-z</w:t>
        </w:r>
      </w:hyperlink>
      <w:r w:rsidRPr="009D50B9">
        <w:t>.</w:t>
      </w:r>
      <w:r>
        <w:t xml:space="preserve"> </w:t>
      </w:r>
    </w:p>
    <w:p w14:paraId="745718F3" w14:textId="77777777" w:rsidR="00C40D5A" w:rsidRPr="009D50B9" w:rsidRDefault="00C40D5A" w:rsidP="00702736">
      <w:pPr>
        <w:pStyle w:val="NormalWeb"/>
        <w:numPr>
          <w:ilvl w:val="0"/>
          <w:numId w:val="3"/>
        </w:numPr>
        <w:jc w:val="both"/>
      </w:pPr>
      <w:r w:rsidRPr="00702736">
        <w:t xml:space="preserve">Popp, J., </w:t>
      </w:r>
      <w:proofErr w:type="spellStart"/>
      <w:r w:rsidRPr="00702736">
        <w:t>Pető</w:t>
      </w:r>
      <w:proofErr w:type="spellEnd"/>
      <w:r w:rsidRPr="00702736">
        <w:t xml:space="preserve">, K., &amp; Nagy, J. (2013). Pesticide productivity and food security. A review. Agronomy for Sustainable Development, 33(1), 243–255. </w:t>
      </w:r>
      <w:hyperlink r:id="rId42" w:history="1">
        <w:r w:rsidRPr="00882663">
          <w:rPr>
            <w:rStyle w:val="Hyperlink"/>
          </w:rPr>
          <w:t>https://doi.org/10.1007/s13593-012-0105-x</w:t>
        </w:r>
      </w:hyperlink>
      <w:r w:rsidRPr="009D50B9">
        <w:t>.</w:t>
      </w:r>
      <w:r>
        <w:t xml:space="preserve"> </w:t>
      </w:r>
    </w:p>
    <w:p w14:paraId="4C650F13" w14:textId="77777777" w:rsidR="00C40D5A" w:rsidRPr="009D50B9" w:rsidRDefault="00C40D5A" w:rsidP="008A5DE6">
      <w:pPr>
        <w:pStyle w:val="NormalWeb"/>
        <w:numPr>
          <w:ilvl w:val="0"/>
          <w:numId w:val="3"/>
        </w:numPr>
        <w:jc w:val="both"/>
      </w:pPr>
      <w:r w:rsidRPr="008A5DE6">
        <w:t xml:space="preserve">Rajawat, M. V. S., Singh, S., &amp; Saxena, A. K. (2014). A new spectrophotometric method for quantification of potassium solubilized by bacterial cultures. Indian Journal of Experimental Biology, 52(3), 261–266. </w:t>
      </w:r>
      <w:hyperlink r:id="rId43" w:history="1">
        <w:r w:rsidRPr="00882663">
          <w:rPr>
            <w:rStyle w:val="Hyperlink"/>
          </w:rPr>
          <w:t>http://nopr.niscair.res.in</w:t>
        </w:r>
      </w:hyperlink>
      <w:r w:rsidRPr="009D50B9">
        <w:t>.</w:t>
      </w:r>
      <w:r>
        <w:t xml:space="preserve"> </w:t>
      </w:r>
    </w:p>
    <w:p w14:paraId="5C001BD9" w14:textId="77777777" w:rsidR="00C40D5A" w:rsidRPr="009D50B9" w:rsidRDefault="00C40D5A" w:rsidP="009F03B8">
      <w:pPr>
        <w:pStyle w:val="NormalWeb"/>
        <w:numPr>
          <w:ilvl w:val="0"/>
          <w:numId w:val="3"/>
        </w:numPr>
        <w:jc w:val="both"/>
      </w:pPr>
      <w:r w:rsidRPr="009D50B9">
        <w:t xml:space="preserve">Ravinder, P., </w:t>
      </w:r>
      <w:proofErr w:type="spellStart"/>
      <w:r w:rsidRPr="009D50B9">
        <w:t>Manasa</w:t>
      </w:r>
      <w:proofErr w:type="spellEnd"/>
      <w:r w:rsidRPr="009D50B9">
        <w:t xml:space="preserve">, M., Roopa, D., Bukhari, N. A., </w:t>
      </w:r>
      <w:proofErr w:type="spellStart"/>
      <w:r w:rsidRPr="009D50B9">
        <w:t>Hatamleh</w:t>
      </w:r>
      <w:proofErr w:type="spellEnd"/>
      <w:r w:rsidRPr="009D50B9">
        <w:t xml:space="preserve">, A. A., Khan, M. Y., Ms, R., </w:t>
      </w:r>
      <w:proofErr w:type="spellStart"/>
      <w:r w:rsidRPr="009D50B9">
        <w:t>Hameeda</w:t>
      </w:r>
      <w:proofErr w:type="spellEnd"/>
      <w:r w:rsidRPr="009D50B9">
        <w:t xml:space="preserve">, B., El </w:t>
      </w:r>
      <w:proofErr w:type="spellStart"/>
      <w:r w:rsidRPr="009D50B9">
        <w:t>Enshasy</w:t>
      </w:r>
      <w:proofErr w:type="spellEnd"/>
      <w:r w:rsidRPr="009D50B9">
        <w:t xml:space="preserve">, H. A., </w:t>
      </w:r>
      <w:proofErr w:type="spellStart"/>
      <w:r w:rsidRPr="009D50B9">
        <w:t>Hanapi</w:t>
      </w:r>
      <w:proofErr w:type="spellEnd"/>
      <w:r w:rsidRPr="009D50B9">
        <w:t xml:space="preserve">, S. Z., &amp; Sayyed, R. Z. (2022). Biosurfactant-producing multifarious </w:t>
      </w:r>
      <w:r w:rsidRPr="009D50B9">
        <w:rPr>
          <w:rStyle w:val="Emphasis"/>
        </w:rPr>
        <w:t>Streptomyces puniceus</w:t>
      </w:r>
      <w:r w:rsidRPr="009D50B9">
        <w:t xml:space="preserve"> RHPR9 of </w:t>
      </w:r>
      <w:r w:rsidRPr="009D50B9">
        <w:rPr>
          <w:rStyle w:val="Emphasis"/>
        </w:rPr>
        <w:t>Coscinium fenestratum</w:t>
      </w:r>
      <w:r w:rsidRPr="009D50B9">
        <w:t xml:space="preserve"> rhizosphere promotes plant growth in chilli. </w:t>
      </w:r>
      <w:r w:rsidRPr="009D50B9">
        <w:rPr>
          <w:rStyle w:val="Emphasis"/>
        </w:rPr>
        <w:t>PLoS One, 17</w:t>
      </w:r>
      <w:r w:rsidRPr="009D50B9">
        <w:t>(3), e0264975.</w:t>
      </w:r>
    </w:p>
    <w:p w14:paraId="0B394CC5" w14:textId="77777777" w:rsidR="00C40D5A" w:rsidRPr="009D50B9" w:rsidRDefault="00C40D5A" w:rsidP="009B268C">
      <w:pPr>
        <w:pStyle w:val="NormalWeb"/>
        <w:numPr>
          <w:ilvl w:val="0"/>
          <w:numId w:val="3"/>
        </w:numPr>
        <w:jc w:val="both"/>
      </w:pPr>
      <w:r w:rsidRPr="009B268C">
        <w:t xml:space="preserve">Sakiyo, J. J., &amp; </w:t>
      </w:r>
      <w:proofErr w:type="spellStart"/>
      <w:r w:rsidRPr="009B268C">
        <w:t>Németh</w:t>
      </w:r>
      <w:proofErr w:type="spellEnd"/>
      <w:r w:rsidRPr="009B268C">
        <w:t xml:space="preserve">, Á. (2023). The Potential of Bacilli-Derived Biosurfactants as an Additive for Biocontrol against Alternaria alternata Plant Pathogenic Fungi. Microorganisms, 11(3), 707. </w:t>
      </w:r>
      <w:hyperlink r:id="rId44" w:history="1">
        <w:r w:rsidRPr="00882663">
          <w:rPr>
            <w:rStyle w:val="Hyperlink"/>
          </w:rPr>
          <w:t>https://doi.org/10.3390/microorganisms11030707</w:t>
        </w:r>
      </w:hyperlink>
      <w:r w:rsidRPr="009D50B9">
        <w:t>.</w:t>
      </w:r>
      <w:r>
        <w:t xml:space="preserve"> </w:t>
      </w:r>
    </w:p>
    <w:p w14:paraId="3042DB7D" w14:textId="77777777" w:rsidR="00C40D5A" w:rsidRPr="009D50B9" w:rsidRDefault="00C40D5A" w:rsidP="00981C91">
      <w:pPr>
        <w:pStyle w:val="NormalWeb"/>
        <w:numPr>
          <w:ilvl w:val="0"/>
          <w:numId w:val="3"/>
        </w:numPr>
        <w:jc w:val="both"/>
      </w:pPr>
      <w:r w:rsidRPr="00981C91">
        <w:t xml:space="preserve">Savary, S., </w:t>
      </w:r>
      <w:proofErr w:type="spellStart"/>
      <w:r w:rsidRPr="00981C91">
        <w:t>Willocquet</w:t>
      </w:r>
      <w:proofErr w:type="spellEnd"/>
      <w:r w:rsidRPr="00981C91">
        <w:t xml:space="preserve">, L., </w:t>
      </w:r>
      <w:proofErr w:type="spellStart"/>
      <w:r w:rsidRPr="00981C91">
        <w:t>Pethybridge</w:t>
      </w:r>
      <w:proofErr w:type="spellEnd"/>
      <w:r w:rsidRPr="00981C91">
        <w:t xml:space="preserve">, S. J., Esker, P., McRoberts, N., &amp; Nelson, A. (2019). The global burden of pathogens and pests on major food crops. Nature Ecology &amp; Evolution, 3(3), 430-439. </w:t>
      </w:r>
      <w:hyperlink r:id="rId45" w:history="1">
        <w:r w:rsidRPr="00882663">
          <w:rPr>
            <w:rStyle w:val="Hyperlink"/>
          </w:rPr>
          <w:t>https://doi.org/10.1038/s41559-018-0793-y</w:t>
        </w:r>
      </w:hyperlink>
      <w:r w:rsidRPr="009D50B9">
        <w:t>.</w:t>
      </w:r>
      <w:r>
        <w:t xml:space="preserve"> </w:t>
      </w:r>
    </w:p>
    <w:p w14:paraId="0FEB0D8D" w14:textId="77777777" w:rsidR="00C40D5A" w:rsidRPr="003D303F" w:rsidRDefault="00C40D5A" w:rsidP="005A780F">
      <w:pPr>
        <w:pStyle w:val="NormalWeb"/>
        <w:numPr>
          <w:ilvl w:val="0"/>
          <w:numId w:val="3"/>
        </w:numPr>
        <w:jc w:val="both"/>
        <w:rPr>
          <w:highlight w:val="yellow"/>
        </w:rPr>
      </w:pPr>
      <w:r w:rsidRPr="003D303F">
        <w:rPr>
          <w:highlight w:val="yellow"/>
        </w:rPr>
        <w:t xml:space="preserve">Shukri, I. A. M., Yahya, A. R. M., Mohd, M. H., &amp; Noh, N. A. M. (2025). Rhamnolipids as an antifungal agent against </w:t>
      </w:r>
      <w:r w:rsidRPr="003D303F">
        <w:rPr>
          <w:i/>
          <w:iCs/>
          <w:highlight w:val="yellow"/>
        </w:rPr>
        <w:t>Rhizoctonia solani</w:t>
      </w:r>
      <w:r w:rsidRPr="003D303F">
        <w:rPr>
          <w:highlight w:val="yellow"/>
        </w:rPr>
        <w:t xml:space="preserve"> USM-PD2 causing sheath blight disease of paddy. </w:t>
      </w:r>
      <w:proofErr w:type="spellStart"/>
      <w:r w:rsidRPr="003D303F">
        <w:rPr>
          <w:highlight w:val="yellow"/>
        </w:rPr>
        <w:t>Biocatalysis</w:t>
      </w:r>
      <w:proofErr w:type="spellEnd"/>
      <w:r w:rsidRPr="003D303F">
        <w:rPr>
          <w:highlight w:val="yellow"/>
        </w:rPr>
        <w:t xml:space="preserve"> and Agricultural Biotechnology, 64, 103511.</w:t>
      </w:r>
    </w:p>
    <w:p w14:paraId="4773841C" w14:textId="77777777" w:rsidR="00C40D5A" w:rsidRPr="009D50B9" w:rsidRDefault="00C40D5A" w:rsidP="00FC10E9">
      <w:pPr>
        <w:pStyle w:val="NormalWeb"/>
        <w:numPr>
          <w:ilvl w:val="0"/>
          <w:numId w:val="3"/>
        </w:numPr>
        <w:jc w:val="both"/>
      </w:pPr>
      <w:r w:rsidRPr="00FC10E9">
        <w:lastRenderedPageBreak/>
        <w:t xml:space="preserve">Soumare, A., </w:t>
      </w:r>
      <w:proofErr w:type="spellStart"/>
      <w:r w:rsidRPr="00FC10E9">
        <w:t>Sarr</w:t>
      </w:r>
      <w:proofErr w:type="spellEnd"/>
      <w:r w:rsidRPr="00FC10E9">
        <w:t xml:space="preserve">, D., &amp; </w:t>
      </w:r>
      <w:proofErr w:type="spellStart"/>
      <w:r w:rsidRPr="00FC10E9">
        <w:t>Diédhiou</w:t>
      </w:r>
      <w:proofErr w:type="spellEnd"/>
      <w:r w:rsidRPr="00FC10E9">
        <w:t xml:space="preserve">, A. G. (2023). Potassium sources, microorganisms, and plant nutrition—challenges and future research directions: A review. Pedosphere, 33(1), 105–115. </w:t>
      </w:r>
      <w:hyperlink r:id="rId46" w:history="1">
        <w:r w:rsidRPr="00882663">
          <w:rPr>
            <w:rStyle w:val="Hyperlink"/>
          </w:rPr>
          <w:t>https://doi.org/10.1016/j.pedsph.2022.06.025</w:t>
        </w:r>
      </w:hyperlink>
      <w:r w:rsidRPr="009D50B9">
        <w:t>.</w:t>
      </w:r>
      <w:r>
        <w:t xml:space="preserve"> </w:t>
      </w:r>
    </w:p>
    <w:p w14:paraId="359FEE41" w14:textId="77777777" w:rsidR="00C40D5A" w:rsidRPr="009D50B9" w:rsidRDefault="00C40D5A" w:rsidP="000760E1">
      <w:pPr>
        <w:pStyle w:val="NormalWeb"/>
        <w:numPr>
          <w:ilvl w:val="0"/>
          <w:numId w:val="3"/>
        </w:numPr>
        <w:jc w:val="both"/>
      </w:pPr>
      <w:r w:rsidRPr="000760E1">
        <w:t xml:space="preserve">Srivastava, D., Shamim, M. D., Kumar, D., Pandey, P., Khan, N. A., &amp; Singh, K. N. (2014). Morphological and molecular characterization of Pyricularia oryzae causing blast disease in rice (Oryza sativa) from North India. *International Journal of Scientific and Research Publications*, *4*(7), 1-10. </w:t>
      </w:r>
      <w:hyperlink r:id="rId47" w:history="1">
        <w:r w:rsidRPr="00882663">
          <w:rPr>
            <w:rStyle w:val="Hyperlink"/>
          </w:rPr>
          <w:t>http://www.ijsrp.org/research-paper-0714/ijsrp-j3109.pdf</w:t>
        </w:r>
      </w:hyperlink>
      <w:r w:rsidRPr="009D50B9">
        <w:t>.</w:t>
      </w:r>
      <w:r>
        <w:t xml:space="preserve"> </w:t>
      </w:r>
    </w:p>
    <w:p w14:paraId="53840369" w14:textId="77777777" w:rsidR="00C40D5A" w:rsidRPr="009D50B9" w:rsidRDefault="00C40D5A" w:rsidP="00166E8D">
      <w:pPr>
        <w:pStyle w:val="NormalWeb"/>
        <w:numPr>
          <w:ilvl w:val="0"/>
          <w:numId w:val="3"/>
        </w:numPr>
        <w:jc w:val="both"/>
      </w:pPr>
      <w:r w:rsidRPr="00166E8D">
        <w:t xml:space="preserve">Suman, A., Yadav, A. N., &amp; Verma, P. (2016). Endophytic microbes in crops: Diversity and beneficial impact for sustainable agriculture. In Microbial inoculants in sustainable agricultural productivity: Research perspectives (Vol. 1, pp. 117–143). Springer India. </w:t>
      </w:r>
      <w:hyperlink r:id="rId48" w:history="1">
        <w:r w:rsidRPr="00882663">
          <w:rPr>
            <w:rStyle w:val="Hyperlink"/>
          </w:rPr>
          <w:t>https://doi.org/10.1007/978-81-322-2647-5_7</w:t>
        </w:r>
      </w:hyperlink>
      <w:r w:rsidRPr="009D50B9">
        <w:t>.</w:t>
      </w:r>
      <w:r>
        <w:t xml:space="preserve"> </w:t>
      </w:r>
    </w:p>
    <w:p w14:paraId="0A83BE25" w14:textId="77777777" w:rsidR="00C40D5A" w:rsidRPr="009D50B9" w:rsidRDefault="00C40D5A" w:rsidP="0052455D">
      <w:pPr>
        <w:pStyle w:val="NormalWeb"/>
        <w:numPr>
          <w:ilvl w:val="0"/>
          <w:numId w:val="3"/>
        </w:numPr>
        <w:jc w:val="both"/>
      </w:pPr>
      <w:r w:rsidRPr="0052455D">
        <w:t xml:space="preserve">Tomar, S., Singh, B. P., Lal, M., Khan, M. A., Hussain, T., Sharma, S., Kaushik, S. K., &amp; Kumar, S. (2014). Screening of novel microorganisms for biosurfactant and biocontrol activity against Phytophthora infestans. Journal of Environmental Biology, 35(5), 893–899. </w:t>
      </w:r>
      <w:hyperlink r:id="rId49" w:history="1">
        <w:r w:rsidRPr="00882663">
          <w:rPr>
            <w:rStyle w:val="Hyperlink"/>
          </w:rPr>
          <w:t>https://www.jeb.co.in/issue-2014-sep-volume-35-number-5/</w:t>
        </w:r>
      </w:hyperlink>
      <w:r w:rsidRPr="009D50B9">
        <w:t>.</w:t>
      </w:r>
      <w:r>
        <w:t xml:space="preserve"> </w:t>
      </w:r>
    </w:p>
    <w:p w14:paraId="7B22539A" w14:textId="77777777" w:rsidR="00C40D5A" w:rsidRPr="009D50B9" w:rsidRDefault="00C40D5A" w:rsidP="000D7992">
      <w:pPr>
        <w:pStyle w:val="NormalWeb"/>
        <w:numPr>
          <w:ilvl w:val="0"/>
          <w:numId w:val="3"/>
        </w:numPr>
        <w:jc w:val="both"/>
      </w:pPr>
      <w:r w:rsidRPr="000D7992">
        <w:t xml:space="preserve">Ueki, A., </w:t>
      </w:r>
      <w:proofErr w:type="spellStart"/>
      <w:r w:rsidRPr="000D7992">
        <w:t>Takehara</w:t>
      </w:r>
      <w:proofErr w:type="spellEnd"/>
      <w:r w:rsidRPr="000D7992">
        <w:t xml:space="preserve">, T., Ishioka, G., Kaku, N., &amp; Ueki, K. (2020). β-1,3-glucanase production as an anti-fungal enzyme by phylogenetically different strains of the genus Clostridium isolated from anoxic soil that underwent biological disinfestation. Applied Microbiology and Biotechnology, 104(12), 5563–5578. </w:t>
      </w:r>
      <w:hyperlink r:id="rId50" w:history="1">
        <w:r w:rsidRPr="00882663">
          <w:rPr>
            <w:rStyle w:val="Hyperlink"/>
          </w:rPr>
          <w:t>https://doi.org/10.1007/s00253-020-10626-8</w:t>
        </w:r>
      </w:hyperlink>
      <w:r w:rsidRPr="009D50B9">
        <w:t>.</w:t>
      </w:r>
      <w:r>
        <w:t xml:space="preserve"> </w:t>
      </w:r>
    </w:p>
    <w:p w14:paraId="6EEE23B1" w14:textId="77777777" w:rsidR="00C40D5A" w:rsidRPr="009D50B9" w:rsidRDefault="00C40D5A" w:rsidP="00B51D03">
      <w:pPr>
        <w:pStyle w:val="NormalWeb"/>
        <w:numPr>
          <w:ilvl w:val="0"/>
          <w:numId w:val="3"/>
        </w:numPr>
        <w:jc w:val="both"/>
      </w:pPr>
      <w:r w:rsidRPr="00B51D03">
        <w:t xml:space="preserve">Waewthongrak, W., Leelasuphakul, W., &amp; McCollum, G. (2014). Cyclic lipopeptides from Bacillus subtilis ABS–S14 elicit defense-related gene expression in citrus fruit. PLoS One. </w:t>
      </w:r>
      <w:hyperlink r:id="rId51" w:history="1">
        <w:r w:rsidRPr="00882663">
          <w:rPr>
            <w:rStyle w:val="Hyperlink"/>
          </w:rPr>
          <w:t>https://doi.org/10.1371/journal.pone.0109386</w:t>
        </w:r>
      </w:hyperlink>
      <w:r w:rsidRPr="009D50B9">
        <w:t>.</w:t>
      </w:r>
      <w:r>
        <w:t xml:space="preserve"> </w:t>
      </w:r>
    </w:p>
    <w:p w14:paraId="40DC3B1B" w14:textId="77777777" w:rsidR="00C40D5A" w:rsidRPr="009D50B9" w:rsidRDefault="00C40D5A" w:rsidP="008300DC">
      <w:pPr>
        <w:pStyle w:val="NormalWeb"/>
        <w:numPr>
          <w:ilvl w:val="0"/>
          <w:numId w:val="3"/>
        </w:numPr>
        <w:jc w:val="both"/>
      </w:pPr>
      <w:r w:rsidRPr="008300DC">
        <w:t xml:space="preserve">Wood, T. M., &amp; Bhat, K. M. (1988). Methods for measuring cellulase activities. Methods in Enzymology, 160, 87–112. </w:t>
      </w:r>
      <w:hyperlink r:id="rId52" w:history="1">
        <w:r w:rsidRPr="00882663">
          <w:rPr>
            <w:rStyle w:val="Hyperlink"/>
          </w:rPr>
          <w:t>https://doi.org/10.1016/0076-6879(88)60109-1</w:t>
        </w:r>
      </w:hyperlink>
      <w:r w:rsidRPr="009D50B9">
        <w:t>.</w:t>
      </w:r>
      <w:r>
        <w:t xml:space="preserve"> </w:t>
      </w:r>
    </w:p>
    <w:p w14:paraId="5BD453BF" w14:textId="77777777" w:rsidR="00C40D5A" w:rsidRDefault="00C40D5A" w:rsidP="00F13842">
      <w:pPr>
        <w:pStyle w:val="NormalWeb"/>
        <w:numPr>
          <w:ilvl w:val="0"/>
          <w:numId w:val="3"/>
        </w:numPr>
        <w:jc w:val="both"/>
      </w:pPr>
      <w:r w:rsidRPr="00F13842">
        <w:t xml:space="preserve">Xiao, C., Chi, R., He, H., </w:t>
      </w:r>
      <w:proofErr w:type="spellStart"/>
      <w:r w:rsidRPr="00F13842">
        <w:t>Qiu</w:t>
      </w:r>
      <w:proofErr w:type="spellEnd"/>
      <w:r w:rsidRPr="00F13842">
        <w:t xml:space="preserve">, G., Wang, D., &amp; Zhang, W. (2009). Isolation of phosphate-solubilizing fungi from phosphate mines and their effect on wheat seedling growth. Applied Biochemistry and Biotechnology, 159(2), 330-342. </w:t>
      </w:r>
      <w:hyperlink r:id="rId53" w:history="1">
        <w:r w:rsidRPr="00882663">
          <w:rPr>
            <w:rStyle w:val="Hyperlink"/>
          </w:rPr>
          <w:t>https://doi.org/10.1007/s12010-009-8590-3</w:t>
        </w:r>
      </w:hyperlink>
      <w:r w:rsidRPr="00C965A6">
        <w:t>.</w:t>
      </w:r>
      <w:r>
        <w:t xml:space="preserve"> </w:t>
      </w:r>
    </w:p>
    <w:p w14:paraId="7B9DB786" w14:textId="77777777" w:rsidR="00C40D5A" w:rsidRPr="009D50B9" w:rsidRDefault="00C40D5A" w:rsidP="00641375">
      <w:pPr>
        <w:pStyle w:val="NormalWeb"/>
        <w:numPr>
          <w:ilvl w:val="0"/>
          <w:numId w:val="3"/>
        </w:numPr>
        <w:jc w:val="both"/>
      </w:pPr>
      <w:r w:rsidRPr="00641375">
        <w:t xml:space="preserve">Yamamoto, S., </w:t>
      </w:r>
      <w:proofErr w:type="spellStart"/>
      <w:r w:rsidRPr="00641375">
        <w:t>Shiraishi</w:t>
      </w:r>
      <w:proofErr w:type="spellEnd"/>
      <w:r w:rsidRPr="00641375">
        <w:t xml:space="preserve">, S., &amp; Suzuki, S. (2015). Are cyclic lipopeptides produced by Bacillus amyloliquefaciens S13-3 responsible for the plant defence response in strawberry against Colletotrichum gloeosporioides? Letters in Applied Microbiology, 60(4), 379–386. </w:t>
      </w:r>
      <w:hyperlink r:id="rId54" w:history="1">
        <w:r w:rsidRPr="00882663">
          <w:rPr>
            <w:rStyle w:val="Hyperlink"/>
          </w:rPr>
          <w:t>https://doi.org/10.1111/lam.12382</w:t>
        </w:r>
      </w:hyperlink>
      <w:r w:rsidRPr="009D50B9">
        <w:t>.</w:t>
      </w:r>
      <w:r>
        <w:t xml:space="preserve"> </w:t>
      </w:r>
    </w:p>
    <w:p w14:paraId="6C969A85" w14:textId="77777777" w:rsidR="00C40D5A" w:rsidRDefault="00C40D5A" w:rsidP="005A780F">
      <w:pPr>
        <w:pStyle w:val="NormalWeb"/>
        <w:numPr>
          <w:ilvl w:val="0"/>
          <w:numId w:val="3"/>
        </w:numPr>
        <w:jc w:val="both"/>
      </w:pPr>
      <w:r w:rsidRPr="005A780F">
        <w:t xml:space="preserve">Zarei, M., Aminzadeh, S., Zolgharnein, H., </w:t>
      </w:r>
      <w:proofErr w:type="spellStart"/>
      <w:r w:rsidRPr="005A780F">
        <w:t>Safahieh</w:t>
      </w:r>
      <w:proofErr w:type="spellEnd"/>
      <w:r w:rsidRPr="005A780F">
        <w:t xml:space="preserve">, A., </w:t>
      </w:r>
      <w:proofErr w:type="spellStart"/>
      <w:r w:rsidRPr="005A780F">
        <w:t>Daliri</w:t>
      </w:r>
      <w:proofErr w:type="spellEnd"/>
      <w:r w:rsidRPr="005A780F">
        <w:t xml:space="preserve">, M., </w:t>
      </w:r>
      <w:proofErr w:type="spellStart"/>
      <w:r w:rsidRPr="005A780F">
        <w:t>Noghabi</w:t>
      </w:r>
      <w:proofErr w:type="spellEnd"/>
      <w:r w:rsidRPr="005A780F">
        <w:t xml:space="preserve">, K. A., </w:t>
      </w:r>
      <w:proofErr w:type="spellStart"/>
      <w:r w:rsidRPr="005A780F">
        <w:t>Ghoroghi</w:t>
      </w:r>
      <w:proofErr w:type="spellEnd"/>
      <w:r w:rsidRPr="005A780F">
        <w:t xml:space="preserve">, A., &amp; </w:t>
      </w:r>
      <w:proofErr w:type="spellStart"/>
      <w:r w:rsidRPr="005A780F">
        <w:t>Motallebi</w:t>
      </w:r>
      <w:proofErr w:type="spellEnd"/>
      <w:r w:rsidRPr="005A780F">
        <w:t xml:space="preserve">, A. (2011). Characterization of a chitinase with antifungal activity from a native Serratia marcescens B4A. Brazilian Journal of Microbiology, 42, 1017–1029 </w:t>
      </w:r>
      <w:hyperlink r:id="rId55" w:history="1">
        <w:r w:rsidRPr="00882663">
          <w:rPr>
            <w:rStyle w:val="Hyperlink"/>
          </w:rPr>
          <w:t>https://doi.org/10.1590/S1517-838220110003000022</w:t>
        </w:r>
      </w:hyperlink>
      <w:r w:rsidRPr="009D50B9">
        <w:t>.</w:t>
      </w:r>
      <w:r>
        <w:t xml:space="preserve"> </w:t>
      </w:r>
    </w:p>
    <w:p w14:paraId="68B2D07B" w14:textId="77777777" w:rsidR="00C40D5A" w:rsidRPr="003D303F" w:rsidRDefault="00C40D5A" w:rsidP="005A780F">
      <w:pPr>
        <w:pStyle w:val="NormalWeb"/>
        <w:numPr>
          <w:ilvl w:val="0"/>
          <w:numId w:val="3"/>
        </w:numPr>
        <w:jc w:val="both"/>
        <w:rPr>
          <w:highlight w:val="yellow"/>
        </w:rPr>
      </w:pPr>
      <w:r w:rsidRPr="003D303F">
        <w:rPr>
          <w:highlight w:val="yellow"/>
        </w:rPr>
        <w:t xml:space="preserve">Zeynali, K., Shariati, S., </w:t>
      </w:r>
      <w:proofErr w:type="spellStart"/>
      <w:r w:rsidRPr="003D303F">
        <w:rPr>
          <w:highlight w:val="yellow"/>
        </w:rPr>
        <w:t>Pourbabaee</w:t>
      </w:r>
      <w:proofErr w:type="spellEnd"/>
      <w:r w:rsidRPr="003D303F">
        <w:rPr>
          <w:highlight w:val="yellow"/>
        </w:rPr>
        <w:t xml:space="preserve">, A. A., &amp; </w:t>
      </w:r>
      <w:proofErr w:type="spellStart"/>
      <w:r w:rsidRPr="003D303F">
        <w:rPr>
          <w:highlight w:val="yellow"/>
        </w:rPr>
        <w:t>Shorafa</w:t>
      </w:r>
      <w:proofErr w:type="spellEnd"/>
      <w:r w:rsidRPr="003D303F">
        <w:rPr>
          <w:highlight w:val="yellow"/>
        </w:rPr>
        <w:t xml:space="preserve">, M. (2025). The efficiency of oil-degrading and phosphate-solubilizing bacteria in phosphorus availability of </w:t>
      </w:r>
      <w:proofErr w:type="spellStart"/>
      <w:proofErr w:type="gramStart"/>
      <w:r w:rsidRPr="003D303F">
        <w:rPr>
          <w:highlight w:val="yellow"/>
        </w:rPr>
        <w:t>a</w:t>
      </w:r>
      <w:proofErr w:type="spellEnd"/>
      <w:proofErr w:type="gramEnd"/>
      <w:r w:rsidRPr="003D303F">
        <w:rPr>
          <w:highlight w:val="yellow"/>
        </w:rPr>
        <w:t xml:space="preserve"> oil-contaminated calcareous soil. Journal of Sol Biology, 12(2), 191-212.</w:t>
      </w:r>
    </w:p>
    <w:p w14:paraId="2CDC750E" w14:textId="3605B530" w:rsidR="00C40D5A" w:rsidRPr="003D303F" w:rsidRDefault="00C40D5A" w:rsidP="00C40D5A">
      <w:pPr>
        <w:pStyle w:val="NormalWeb"/>
        <w:ind w:left="720"/>
        <w:jc w:val="both"/>
        <w:rPr>
          <w:highlight w:val="yellow"/>
        </w:rPr>
      </w:pPr>
    </w:p>
    <w:sectPr w:rsidR="00C40D5A" w:rsidRPr="003D303F">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822C8A" w14:textId="77777777" w:rsidR="00E220D9" w:rsidRDefault="00E220D9" w:rsidP="00750A91">
      <w:pPr>
        <w:spacing w:after="0" w:line="240" w:lineRule="auto"/>
      </w:pPr>
      <w:r>
        <w:separator/>
      </w:r>
    </w:p>
  </w:endnote>
  <w:endnote w:type="continuationSeparator" w:id="0">
    <w:p w14:paraId="2921526C" w14:textId="77777777" w:rsidR="00E220D9" w:rsidRDefault="00E220D9" w:rsidP="00750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0385F" w14:textId="77777777" w:rsidR="00750A91" w:rsidRDefault="00750A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F8AE3" w14:textId="77777777" w:rsidR="00750A91" w:rsidRDefault="00750A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C668C" w14:textId="77777777" w:rsidR="00750A91" w:rsidRDefault="00750A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AD13D" w14:textId="77777777" w:rsidR="00E220D9" w:rsidRDefault="00E220D9" w:rsidP="00750A91">
      <w:pPr>
        <w:spacing w:after="0" w:line="240" w:lineRule="auto"/>
      </w:pPr>
      <w:r>
        <w:separator/>
      </w:r>
    </w:p>
  </w:footnote>
  <w:footnote w:type="continuationSeparator" w:id="0">
    <w:p w14:paraId="41860A56" w14:textId="77777777" w:rsidR="00E220D9" w:rsidRDefault="00E220D9" w:rsidP="00750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E7E9D" w14:textId="0A771495" w:rsidR="00750A91" w:rsidRDefault="00E220D9">
    <w:pPr>
      <w:pStyle w:val="Header"/>
    </w:pPr>
    <w:r>
      <w:rPr>
        <w:noProof/>
      </w:rPr>
      <w:pict w14:anchorId="19526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5825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BB4AA" w14:textId="44AFE894" w:rsidR="00750A91" w:rsidRDefault="00E220D9">
    <w:pPr>
      <w:pStyle w:val="Header"/>
    </w:pPr>
    <w:r>
      <w:rPr>
        <w:noProof/>
      </w:rPr>
      <w:pict w14:anchorId="77F9C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5825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86B74" w14:textId="3EF4BE2A" w:rsidR="00750A91" w:rsidRDefault="00E220D9">
    <w:pPr>
      <w:pStyle w:val="Header"/>
    </w:pPr>
    <w:r>
      <w:rPr>
        <w:noProof/>
      </w:rPr>
      <w:pict w14:anchorId="2313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5825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74C43"/>
    <w:multiLevelType w:val="multilevel"/>
    <w:tmpl w:val="B1CC781A"/>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9C700AF"/>
    <w:multiLevelType w:val="hybridMultilevel"/>
    <w:tmpl w:val="BB16E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78617D"/>
    <w:multiLevelType w:val="hybridMultilevel"/>
    <w:tmpl w:val="141CCD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B97"/>
    <w:rsid w:val="00007077"/>
    <w:rsid w:val="00011FD2"/>
    <w:rsid w:val="00025B05"/>
    <w:rsid w:val="00027450"/>
    <w:rsid w:val="000305AF"/>
    <w:rsid w:val="000465A9"/>
    <w:rsid w:val="0005104D"/>
    <w:rsid w:val="00052D9E"/>
    <w:rsid w:val="00055E58"/>
    <w:rsid w:val="0006027F"/>
    <w:rsid w:val="0006084D"/>
    <w:rsid w:val="000619A4"/>
    <w:rsid w:val="00064A8D"/>
    <w:rsid w:val="0006721A"/>
    <w:rsid w:val="00071514"/>
    <w:rsid w:val="0007176A"/>
    <w:rsid w:val="000760E1"/>
    <w:rsid w:val="00082D21"/>
    <w:rsid w:val="00083160"/>
    <w:rsid w:val="000853F4"/>
    <w:rsid w:val="00093A08"/>
    <w:rsid w:val="00096071"/>
    <w:rsid w:val="000A02AC"/>
    <w:rsid w:val="000A41B0"/>
    <w:rsid w:val="000A654D"/>
    <w:rsid w:val="000B65FB"/>
    <w:rsid w:val="000B7ADC"/>
    <w:rsid w:val="000B7EE2"/>
    <w:rsid w:val="000C6038"/>
    <w:rsid w:val="000C6122"/>
    <w:rsid w:val="000D41E5"/>
    <w:rsid w:val="000D7992"/>
    <w:rsid w:val="000E29BA"/>
    <w:rsid w:val="000E55EA"/>
    <w:rsid w:val="000E654A"/>
    <w:rsid w:val="000E661A"/>
    <w:rsid w:val="000E69BA"/>
    <w:rsid w:val="000E7032"/>
    <w:rsid w:val="000F2225"/>
    <w:rsid w:val="000F7599"/>
    <w:rsid w:val="00103135"/>
    <w:rsid w:val="001042F4"/>
    <w:rsid w:val="001061CB"/>
    <w:rsid w:val="00111757"/>
    <w:rsid w:val="00111E87"/>
    <w:rsid w:val="00113399"/>
    <w:rsid w:val="00113752"/>
    <w:rsid w:val="001211BA"/>
    <w:rsid w:val="001248B4"/>
    <w:rsid w:val="00126DFA"/>
    <w:rsid w:val="00131AA3"/>
    <w:rsid w:val="001346CC"/>
    <w:rsid w:val="0013497F"/>
    <w:rsid w:val="00140DCF"/>
    <w:rsid w:val="001413D8"/>
    <w:rsid w:val="001424C2"/>
    <w:rsid w:val="00143129"/>
    <w:rsid w:val="00144DC3"/>
    <w:rsid w:val="00147F5C"/>
    <w:rsid w:val="0015023F"/>
    <w:rsid w:val="00150673"/>
    <w:rsid w:val="00161BF8"/>
    <w:rsid w:val="00163624"/>
    <w:rsid w:val="00166E8D"/>
    <w:rsid w:val="00171FEE"/>
    <w:rsid w:val="00174593"/>
    <w:rsid w:val="00175885"/>
    <w:rsid w:val="00186803"/>
    <w:rsid w:val="001904B8"/>
    <w:rsid w:val="0019275C"/>
    <w:rsid w:val="00193819"/>
    <w:rsid w:val="00193C05"/>
    <w:rsid w:val="00196020"/>
    <w:rsid w:val="001A09E7"/>
    <w:rsid w:val="001A4F7F"/>
    <w:rsid w:val="001A558F"/>
    <w:rsid w:val="001A79BC"/>
    <w:rsid w:val="001B0A28"/>
    <w:rsid w:val="001B1DED"/>
    <w:rsid w:val="001C1353"/>
    <w:rsid w:val="001C193C"/>
    <w:rsid w:val="001C46AB"/>
    <w:rsid w:val="001D40E8"/>
    <w:rsid w:val="001D5099"/>
    <w:rsid w:val="001E5BFC"/>
    <w:rsid w:val="001F01B7"/>
    <w:rsid w:val="001F0B42"/>
    <w:rsid w:val="00210D7D"/>
    <w:rsid w:val="00211BC4"/>
    <w:rsid w:val="00211DA6"/>
    <w:rsid w:val="00216023"/>
    <w:rsid w:val="002175D1"/>
    <w:rsid w:val="00217D9D"/>
    <w:rsid w:val="00223B73"/>
    <w:rsid w:val="0022533E"/>
    <w:rsid w:val="002347E4"/>
    <w:rsid w:val="00241C95"/>
    <w:rsid w:val="00244315"/>
    <w:rsid w:val="002508AC"/>
    <w:rsid w:val="0025633A"/>
    <w:rsid w:val="00263FAD"/>
    <w:rsid w:val="002646E4"/>
    <w:rsid w:val="002677A1"/>
    <w:rsid w:val="00270ACB"/>
    <w:rsid w:val="00274DB5"/>
    <w:rsid w:val="0027614D"/>
    <w:rsid w:val="00280700"/>
    <w:rsid w:val="002851FF"/>
    <w:rsid w:val="00285A2E"/>
    <w:rsid w:val="00285F64"/>
    <w:rsid w:val="002867D8"/>
    <w:rsid w:val="0029048C"/>
    <w:rsid w:val="0029437F"/>
    <w:rsid w:val="002969D6"/>
    <w:rsid w:val="00297D79"/>
    <w:rsid w:val="002A63E9"/>
    <w:rsid w:val="002A67F1"/>
    <w:rsid w:val="002B0AF1"/>
    <w:rsid w:val="002B37B6"/>
    <w:rsid w:val="002C4A22"/>
    <w:rsid w:val="002D5408"/>
    <w:rsid w:val="002E1F17"/>
    <w:rsid w:val="002E4AFA"/>
    <w:rsid w:val="002E4D5C"/>
    <w:rsid w:val="002E7F29"/>
    <w:rsid w:val="0030278E"/>
    <w:rsid w:val="00303A4A"/>
    <w:rsid w:val="0030425D"/>
    <w:rsid w:val="003113B8"/>
    <w:rsid w:val="00314F96"/>
    <w:rsid w:val="00345768"/>
    <w:rsid w:val="00345D28"/>
    <w:rsid w:val="00360B2D"/>
    <w:rsid w:val="00375155"/>
    <w:rsid w:val="003770D5"/>
    <w:rsid w:val="00381B11"/>
    <w:rsid w:val="00382715"/>
    <w:rsid w:val="00387236"/>
    <w:rsid w:val="0038773B"/>
    <w:rsid w:val="00387E40"/>
    <w:rsid w:val="00390E22"/>
    <w:rsid w:val="0039314F"/>
    <w:rsid w:val="00393F6E"/>
    <w:rsid w:val="003A3598"/>
    <w:rsid w:val="003A5545"/>
    <w:rsid w:val="003B1E78"/>
    <w:rsid w:val="003C3D36"/>
    <w:rsid w:val="003C5E91"/>
    <w:rsid w:val="003D303F"/>
    <w:rsid w:val="003D728B"/>
    <w:rsid w:val="003E13E5"/>
    <w:rsid w:val="003E2D29"/>
    <w:rsid w:val="003F001A"/>
    <w:rsid w:val="003F0E52"/>
    <w:rsid w:val="003F2FAB"/>
    <w:rsid w:val="003F4BE8"/>
    <w:rsid w:val="003F50A0"/>
    <w:rsid w:val="003F5B31"/>
    <w:rsid w:val="00405903"/>
    <w:rsid w:val="00406552"/>
    <w:rsid w:val="00411DB7"/>
    <w:rsid w:val="00412D9A"/>
    <w:rsid w:val="00416DA9"/>
    <w:rsid w:val="00417616"/>
    <w:rsid w:val="00422F56"/>
    <w:rsid w:val="00423FC0"/>
    <w:rsid w:val="00433447"/>
    <w:rsid w:val="00440AC5"/>
    <w:rsid w:val="00443FBD"/>
    <w:rsid w:val="00444B22"/>
    <w:rsid w:val="00444CB1"/>
    <w:rsid w:val="00446C49"/>
    <w:rsid w:val="004755D0"/>
    <w:rsid w:val="00484228"/>
    <w:rsid w:val="0048782A"/>
    <w:rsid w:val="00490102"/>
    <w:rsid w:val="0049276C"/>
    <w:rsid w:val="004A380C"/>
    <w:rsid w:val="004A60F4"/>
    <w:rsid w:val="004A7ECB"/>
    <w:rsid w:val="004B313C"/>
    <w:rsid w:val="004B71A5"/>
    <w:rsid w:val="004C40B7"/>
    <w:rsid w:val="004C54D2"/>
    <w:rsid w:val="004D141A"/>
    <w:rsid w:val="004D23D3"/>
    <w:rsid w:val="004D2563"/>
    <w:rsid w:val="004D63DA"/>
    <w:rsid w:val="004D690C"/>
    <w:rsid w:val="004E61E3"/>
    <w:rsid w:val="004F07B5"/>
    <w:rsid w:val="004F1B4A"/>
    <w:rsid w:val="004F395B"/>
    <w:rsid w:val="004F4384"/>
    <w:rsid w:val="00500C1B"/>
    <w:rsid w:val="0050188A"/>
    <w:rsid w:val="00501FE9"/>
    <w:rsid w:val="00504BA4"/>
    <w:rsid w:val="00507D9E"/>
    <w:rsid w:val="0052132A"/>
    <w:rsid w:val="0052455D"/>
    <w:rsid w:val="0053312D"/>
    <w:rsid w:val="0054054C"/>
    <w:rsid w:val="00561199"/>
    <w:rsid w:val="005717EB"/>
    <w:rsid w:val="00572AD6"/>
    <w:rsid w:val="00576ABD"/>
    <w:rsid w:val="00586321"/>
    <w:rsid w:val="0059362B"/>
    <w:rsid w:val="005945A8"/>
    <w:rsid w:val="00596A66"/>
    <w:rsid w:val="00597132"/>
    <w:rsid w:val="005A779E"/>
    <w:rsid w:val="005A780F"/>
    <w:rsid w:val="005B2BA5"/>
    <w:rsid w:val="005B7B7E"/>
    <w:rsid w:val="005C16C6"/>
    <w:rsid w:val="005C2816"/>
    <w:rsid w:val="005C2879"/>
    <w:rsid w:val="005C33E1"/>
    <w:rsid w:val="005C79E3"/>
    <w:rsid w:val="005D1EB3"/>
    <w:rsid w:val="005D44D3"/>
    <w:rsid w:val="005D6C24"/>
    <w:rsid w:val="005E045F"/>
    <w:rsid w:val="005F1411"/>
    <w:rsid w:val="005F644C"/>
    <w:rsid w:val="00604184"/>
    <w:rsid w:val="006103D9"/>
    <w:rsid w:val="006126A3"/>
    <w:rsid w:val="00613449"/>
    <w:rsid w:val="006137B6"/>
    <w:rsid w:val="006158AB"/>
    <w:rsid w:val="0062743E"/>
    <w:rsid w:val="006321EF"/>
    <w:rsid w:val="0063577A"/>
    <w:rsid w:val="00635B6D"/>
    <w:rsid w:val="0063662B"/>
    <w:rsid w:val="00636FCB"/>
    <w:rsid w:val="00637496"/>
    <w:rsid w:val="00637FE9"/>
    <w:rsid w:val="00641375"/>
    <w:rsid w:val="006430D9"/>
    <w:rsid w:val="00643C7E"/>
    <w:rsid w:val="00653C85"/>
    <w:rsid w:val="00654A64"/>
    <w:rsid w:val="0065596D"/>
    <w:rsid w:val="00655C29"/>
    <w:rsid w:val="00655F70"/>
    <w:rsid w:val="00656732"/>
    <w:rsid w:val="00670402"/>
    <w:rsid w:val="00673726"/>
    <w:rsid w:val="00691A7C"/>
    <w:rsid w:val="0069281F"/>
    <w:rsid w:val="0069490F"/>
    <w:rsid w:val="006968F5"/>
    <w:rsid w:val="006A41CE"/>
    <w:rsid w:val="006B379C"/>
    <w:rsid w:val="006C1DF1"/>
    <w:rsid w:val="006C39A9"/>
    <w:rsid w:val="006C6896"/>
    <w:rsid w:val="006D23AF"/>
    <w:rsid w:val="006D7C33"/>
    <w:rsid w:val="006E2EFD"/>
    <w:rsid w:val="006E5938"/>
    <w:rsid w:val="006F2174"/>
    <w:rsid w:val="006F222E"/>
    <w:rsid w:val="006F2D3C"/>
    <w:rsid w:val="006F3CA5"/>
    <w:rsid w:val="006F49CF"/>
    <w:rsid w:val="006F5367"/>
    <w:rsid w:val="006F54E8"/>
    <w:rsid w:val="00702736"/>
    <w:rsid w:val="00732779"/>
    <w:rsid w:val="00735666"/>
    <w:rsid w:val="00740254"/>
    <w:rsid w:val="00740375"/>
    <w:rsid w:val="007454C7"/>
    <w:rsid w:val="00750897"/>
    <w:rsid w:val="00750A91"/>
    <w:rsid w:val="0075217E"/>
    <w:rsid w:val="00752294"/>
    <w:rsid w:val="00755AC9"/>
    <w:rsid w:val="00757464"/>
    <w:rsid w:val="00763144"/>
    <w:rsid w:val="00767F03"/>
    <w:rsid w:val="00772384"/>
    <w:rsid w:val="0077451B"/>
    <w:rsid w:val="00780E7F"/>
    <w:rsid w:val="00782C64"/>
    <w:rsid w:val="00791E18"/>
    <w:rsid w:val="00794E2D"/>
    <w:rsid w:val="00797F40"/>
    <w:rsid w:val="007A18DB"/>
    <w:rsid w:val="007A72B3"/>
    <w:rsid w:val="007B525D"/>
    <w:rsid w:val="007C1AAF"/>
    <w:rsid w:val="007C6C6A"/>
    <w:rsid w:val="007D0C8D"/>
    <w:rsid w:val="007D1372"/>
    <w:rsid w:val="007E4C05"/>
    <w:rsid w:val="007E595A"/>
    <w:rsid w:val="007E75BA"/>
    <w:rsid w:val="007F055B"/>
    <w:rsid w:val="007F0A07"/>
    <w:rsid w:val="007F5917"/>
    <w:rsid w:val="008021BF"/>
    <w:rsid w:val="00803292"/>
    <w:rsid w:val="00820F94"/>
    <w:rsid w:val="00821539"/>
    <w:rsid w:val="00826A59"/>
    <w:rsid w:val="008278C3"/>
    <w:rsid w:val="008300DC"/>
    <w:rsid w:val="00831155"/>
    <w:rsid w:val="00833067"/>
    <w:rsid w:val="00834C16"/>
    <w:rsid w:val="0084454D"/>
    <w:rsid w:val="008452F3"/>
    <w:rsid w:val="00853E40"/>
    <w:rsid w:val="00875BC7"/>
    <w:rsid w:val="00876326"/>
    <w:rsid w:val="00887E3B"/>
    <w:rsid w:val="00893329"/>
    <w:rsid w:val="00894329"/>
    <w:rsid w:val="00895C93"/>
    <w:rsid w:val="008A472A"/>
    <w:rsid w:val="008A5DE6"/>
    <w:rsid w:val="008B5B97"/>
    <w:rsid w:val="008C037F"/>
    <w:rsid w:val="008C5D15"/>
    <w:rsid w:val="008E317B"/>
    <w:rsid w:val="008F074E"/>
    <w:rsid w:val="008F46E4"/>
    <w:rsid w:val="009002A7"/>
    <w:rsid w:val="00905B1F"/>
    <w:rsid w:val="0090690C"/>
    <w:rsid w:val="00906A9F"/>
    <w:rsid w:val="00930F55"/>
    <w:rsid w:val="00937948"/>
    <w:rsid w:val="00937A84"/>
    <w:rsid w:val="00944A87"/>
    <w:rsid w:val="00945BBB"/>
    <w:rsid w:val="00945C9D"/>
    <w:rsid w:val="00947875"/>
    <w:rsid w:val="0095565D"/>
    <w:rsid w:val="00957572"/>
    <w:rsid w:val="009638D5"/>
    <w:rsid w:val="00965541"/>
    <w:rsid w:val="0097233D"/>
    <w:rsid w:val="009762D5"/>
    <w:rsid w:val="00977321"/>
    <w:rsid w:val="009779C5"/>
    <w:rsid w:val="009808F8"/>
    <w:rsid w:val="00981C91"/>
    <w:rsid w:val="00991546"/>
    <w:rsid w:val="00993478"/>
    <w:rsid w:val="009941E2"/>
    <w:rsid w:val="009964CD"/>
    <w:rsid w:val="009977BF"/>
    <w:rsid w:val="009A0553"/>
    <w:rsid w:val="009A1862"/>
    <w:rsid w:val="009A2D11"/>
    <w:rsid w:val="009B185B"/>
    <w:rsid w:val="009B268C"/>
    <w:rsid w:val="009B520E"/>
    <w:rsid w:val="009C1396"/>
    <w:rsid w:val="009C5035"/>
    <w:rsid w:val="009D121B"/>
    <w:rsid w:val="009D4DA4"/>
    <w:rsid w:val="009D50B9"/>
    <w:rsid w:val="009F029D"/>
    <w:rsid w:val="009F03B8"/>
    <w:rsid w:val="009F22C5"/>
    <w:rsid w:val="009F41CB"/>
    <w:rsid w:val="009F5D23"/>
    <w:rsid w:val="00A033A2"/>
    <w:rsid w:val="00A03835"/>
    <w:rsid w:val="00A04BDA"/>
    <w:rsid w:val="00A05880"/>
    <w:rsid w:val="00A10078"/>
    <w:rsid w:val="00A107E6"/>
    <w:rsid w:val="00A1211F"/>
    <w:rsid w:val="00A121BF"/>
    <w:rsid w:val="00A15683"/>
    <w:rsid w:val="00A21BCC"/>
    <w:rsid w:val="00A315DC"/>
    <w:rsid w:val="00A41EC2"/>
    <w:rsid w:val="00A433FF"/>
    <w:rsid w:val="00A444C3"/>
    <w:rsid w:val="00A51C89"/>
    <w:rsid w:val="00A52454"/>
    <w:rsid w:val="00A534D1"/>
    <w:rsid w:val="00A607DA"/>
    <w:rsid w:val="00A63564"/>
    <w:rsid w:val="00A63CAF"/>
    <w:rsid w:val="00A72856"/>
    <w:rsid w:val="00A74B2B"/>
    <w:rsid w:val="00A757D7"/>
    <w:rsid w:val="00A76256"/>
    <w:rsid w:val="00A81E51"/>
    <w:rsid w:val="00A83E00"/>
    <w:rsid w:val="00A845EA"/>
    <w:rsid w:val="00A8644C"/>
    <w:rsid w:val="00A868BF"/>
    <w:rsid w:val="00AA3FD7"/>
    <w:rsid w:val="00AC08DE"/>
    <w:rsid w:val="00AC23FB"/>
    <w:rsid w:val="00AC5447"/>
    <w:rsid w:val="00AD3BE6"/>
    <w:rsid w:val="00AD51F6"/>
    <w:rsid w:val="00AE143A"/>
    <w:rsid w:val="00AE151E"/>
    <w:rsid w:val="00AE7949"/>
    <w:rsid w:val="00AF1F81"/>
    <w:rsid w:val="00B00BF2"/>
    <w:rsid w:val="00B049EB"/>
    <w:rsid w:val="00B05A38"/>
    <w:rsid w:val="00B06C88"/>
    <w:rsid w:val="00B11A47"/>
    <w:rsid w:val="00B163FE"/>
    <w:rsid w:val="00B21D47"/>
    <w:rsid w:val="00B21DE3"/>
    <w:rsid w:val="00B23EB8"/>
    <w:rsid w:val="00B31431"/>
    <w:rsid w:val="00B40B78"/>
    <w:rsid w:val="00B45AA9"/>
    <w:rsid w:val="00B472D6"/>
    <w:rsid w:val="00B47FB0"/>
    <w:rsid w:val="00B51D03"/>
    <w:rsid w:val="00B57327"/>
    <w:rsid w:val="00B66BC4"/>
    <w:rsid w:val="00B74ACE"/>
    <w:rsid w:val="00B76B79"/>
    <w:rsid w:val="00B8421B"/>
    <w:rsid w:val="00B84C53"/>
    <w:rsid w:val="00B904D5"/>
    <w:rsid w:val="00B9594E"/>
    <w:rsid w:val="00B97CA2"/>
    <w:rsid w:val="00BA1045"/>
    <w:rsid w:val="00BB2B65"/>
    <w:rsid w:val="00BB31F1"/>
    <w:rsid w:val="00BB5BF0"/>
    <w:rsid w:val="00BB5CE4"/>
    <w:rsid w:val="00BB7E85"/>
    <w:rsid w:val="00BC7820"/>
    <w:rsid w:val="00BD38B5"/>
    <w:rsid w:val="00BD4FF7"/>
    <w:rsid w:val="00BE11F6"/>
    <w:rsid w:val="00BE13B8"/>
    <w:rsid w:val="00BE7FC8"/>
    <w:rsid w:val="00BF2F4A"/>
    <w:rsid w:val="00BF4BC0"/>
    <w:rsid w:val="00BF5302"/>
    <w:rsid w:val="00BF56AF"/>
    <w:rsid w:val="00C0332E"/>
    <w:rsid w:val="00C2105E"/>
    <w:rsid w:val="00C21100"/>
    <w:rsid w:val="00C21227"/>
    <w:rsid w:val="00C21A20"/>
    <w:rsid w:val="00C2393C"/>
    <w:rsid w:val="00C30725"/>
    <w:rsid w:val="00C30B0B"/>
    <w:rsid w:val="00C35E01"/>
    <w:rsid w:val="00C40D5A"/>
    <w:rsid w:val="00C42D76"/>
    <w:rsid w:val="00C43C7F"/>
    <w:rsid w:val="00C46DA2"/>
    <w:rsid w:val="00C50811"/>
    <w:rsid w:val="00C52631"/>
    <w:rsid w:val="00C54039"/>
    <w:rsid w:val="00C63B98"/>
    <w:rsid w:val="00C71DAE"/>
    <w:rsid w:val="00C73589"/>
    <w:rsid w:val="00C8046F"/>
    <w:rsid w:val="00C829F3"/>
    <w:rsid w:val="00C8573B"/>
    <w:rsid w:val="00C95762"/>
    <w:rsid w:val="00C965A6"/>
    <w:rsid w:val="00CA1D45"/>
    <w:rsid w:val="00CA4C83"/>
    <w:rsid w:val="00CA5809"/>
    <w:rsid w:val="00CA5F08"/>
    <w:rsid w:val="00CB2A0B"/>
    <w:rsid w:val="00CB2ED1"/>
    <w:rsid w:val="00CB5887"/>
    <w:rsid w:val="00CB7221"/>
    <w:rsid w:val="00CC380D"/>
    <w:rsid w:val="00CC7EF3"/>
    <w:rsid w:val="00CD74BD"/>
    <w:rsid w:val="00CE7661"/>
    <w:rsid w:val="00CF0A6C"/>
    <w:rsid w:val="00CF4E7C"/>
    <w:rsid w:val="00D01B11"/>
    <w:rsid w:val="00D11A93"/>
    <w:rsid w:val="00D14506"/>
    <w:rsid w:val="00D358A7"/>
    <w:rsid w:val="00D615B8"/>
    <w:rsid w:val="00D6359D"/>
    <w:rsid w:val="00D637BA"/>
    <w:rsid w:val="00D66DF9"/>
    <w:rsid w:val="00D704CB"/>
    <w:rsid w:val="00D71281"/>
    <w:rsid w:val="00D7277E"/>
    <w:rsid w:val="00D755A5"/>
    <w:rsid w:val="00D76D68"/>
    <w:rsid w:val="00D80B70"/>
    <w:rsid w:val="00D84AA0"/>
    <w:rsid w:val="00D96C5E"/>
    <w:rsid w:val="00DA140A"/>
    <w:rsid w:val="00DA4019"/>
    <w:rsid w:val="00DA5E00"/>
    <w:rsid w:val="00DA6874"/>
    <w:rsid w:val="00DB361B"/>
    <w:rsid w:val="00DB6FCD"/>
    <w:rsid w:val="00DC67EC"/>
    <w:rsid w:val="00DC6E45"/>
    <w:rsid w:val="00DE4BEA"/>
    <w:rsid w:val="00DF0E59"/>
    <w:rsid w:val="00DF1A2C"/>
    <w:rsid w:val="00DF4BC5"/>
    <w:rsid w:val="00DF520B"/>
    <w:rsid w:val="00DF6B5B"/>
    <w:rsid w:val="00DF7907"/>
    <w:rsid w:val="00E1111F"/>
    <w:rsid w:val="00E139F7"/>
    <w:rsid w:val="00E220D9"/>
    <w:rsid w:val="00E235DD"/>
    <w:rsid w:val="00E259F4"/>
    <w:rsid w:val="00E27F53"/>
    <w:rsid w:val="00E35EEA"/>
    <w:rsid w:val="00E36A18"/>
    <w:rsid w:val="00E37A18"/>
    <w:rsid w:val="00E400AB"/>
    <w:rsid w:val="00E407D8"/>
    <w:rsid w:val="00E436C7"/>
    <w:rsid w:val="00E44324"/>
    <w:rsid w:val="00E54C6C"/>
    <w:rsid w:val="00E56637"/>
    <w:rsid w:val="00E708EC"/>
    <w:rsid w:val="00E71474"/>
    <w:rsid w:val="00E754D8"/>
    <w:rsid w:val="00E77FE7"/>
    <w:rsid w:val="00E80C13"/>
    <w:rsid w:val="00E8177A"/>
    <w:rsid w:val="00E82D3F"/>
    <w:rsid w:val="00E83E58"/>
    <w:rsid w:val="00E846E0"/>
    <w:rsid w:val="00E87451"/>
    <w:rsid w:val="00E9031D"/>
    <w:rsid w:val="00E90D57"/>
    <w:rsid w:val="00E925E6"/>
    <w:rsid w:val="00E92FE3"/>
    <w:rsid w:val="00E932CF"/>
    <w:rsid w:val="00E93551"/>
    <w:rsid w:val="00E96116"/>
    <w:rsid w:val="00EA08D2"/>
    <w:rsid w:val="00EB3351"/>
    <w:rsid w:val="00EB3959"/>
    <w:rsid w:val="00EC0E1A"/>
    <w:rsid w:val="00EC3A30"/>
    <w:rsid w:val="00EC7BCE"/>
    <w:rsid w:val="00ED2103"/>
    <w:rsid w:val="00ED44DA"/>
    <w:rsid w:val="00EE1FFF"/>
    <w:rsid w:val="00EE3012"/>
    <w:rsid w:val="00EE4090"/>
    <w:rsid w:val="00EE42E0"/>
    <w:rsid w:val="00EE4C04"/>
    <w:rsid w:val="00F00E75"/>
    <w:rsid w:val="00F07523"/>
    <w:rsid w:val="00F13842"/>
    <w:rsid w:val="00F15571"/>
    <w:rsid w:val="00F202EC"/>
    <w:rsid w:val="00F2079D"/>
    <w:rsid w:val="00F26424"/>
    <w:rsid w:val="00F33E9D"/>
    <w:rsid w:val="00F417E9"/>
    <w:rsid w:val="00F436DE"/>
    <w:rsid w:val="00F46B78"/>
    <w:rsid w:val="00F6077C"/>
    <w:rsid w:val="00F65352"/>
    <w:rsid w:val="00F66460"/>
    <w:rsid w:val="00F67243"/>
    <w:rsid w:val="00F76354"/>
    <w:rsid w:val="00F82536"/>
    <w:rsid w:val="00F86581"/>
    <w:rsid w:val="00F86DC3"/>
    <w:rsid w:val="00F86F77"/>
    <w:rsid w:val="00F876F9"/>
    <w:rsid w:val="00F9015D"/>
    <w:rsid w:val="00F925BF"/>
    <w:rsid w:val="00FA3CF6"/>
    <w:rsid w:val="00FA415C"/>
    <w:rsid w:val="00FA6684"/>
    <w:rsid w:val="00FB7D68"/>
    <w:rsid w:val="00FC10E9"/>
    <w:rsid w:val="00FC2A40"/>
    <w:rsid w:val="00FC461C"/>
    <w:rsid w:val="00FD03AA"/>
    <w:rsid w:val="00FD28A8"/>
    <w:rsid w:val="00FD6FE7"/>
    <w:rsid w:val="00FE146C"/>
    <w:rsid w:val="00FF51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40EAFA"/>
  <w15:chartTrackingRefBased/>
  <w15:docId w15:val="{BCAEDEAE-E20B-4F5B-8776-A34D0B6C7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139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945A8"/>
    <w:pPr>
      <w:spacing w:before="100" w:beforeAutospacing="1" w:after="100" w:afterAutospacing="1" w:line="240" w:lineRule="auto"/>
    </w:pPr>
    <w:rPr>
      <w:rFonts w:ascii="Times New Roman" w:eastAsia="Times New Roman" w:hAnsi="Times New Roman"/>
      <w:sz w:val="24"/>
      <w:szCs w:val="24"/>
      <w:lang w:eastAsia="en-IN"/>
    </w:rPr>
  </w:style>
  <w:style w:type="paragraph" w:styleId="ListParagraph">
    <w:name w:val="List Paragraph"/>
    <w:basedOn w:val="Normal"/>
    <w:uiPriority w:val="34"/>
    <w:qFormat/>
    <w:rsid w:val="005945A8"/>
    <w:pPr>
      <w:spacing w:after="200" w:line="276" w:lineRule="auto"/>
      <w:ind w:left="720"/>
      <w:contextualSpacing/>
    </w:pPr>
    <w:rPr>
      <w:rFonts w:eastAsia="Times New Roman"/>
      <w:lang w:val="en-US"/>
    </w:rPr>
  </w:style>
  <w:style w:type="character" w:customStyle="1" w:styleId="mord">
    <w:name w:val="mord"/>
    <w:basedOn w:val="DefaultParagraphFont"/>
    <w:rsid w:val="005945A8"/>
  </w:style>
  <w:style w:type="table" w:customStyle="1" w:styleId="TableGrid1">
    <w:name w:val="Table Grid1"/>
    <w:basedOn w:val="TableNormal"/>
    <w:next w:val="TableGrid"/>
    <w:uiPriority w:val="59"/>
    <w:rsid w:val="00171FEE"/>
    <w:pPr>
      <w:spacing w:after="0" w:line="240" w:lineRule="auto"/>
    </w:pPr>
    <w:rPr>
      <w:rFonts w:ascii="Calibri" w:eastAsia="Calibri" w:hAnsi="Calibri" w:cs="Tunga"/>
      <w:sz w:val="20"/>
      <w:szCs w:val="20"/>
      <w:lang w:val="en-US" w:eastAsia="en-IN" w:bidi="k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7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94329"/>
    <w:rPr>
      <w:i/>
      <w:iCs/>
    </w:rPr>
  </w:style>
  <w:style w:type="character" w:styleId="PlaceholderText">
    <w:name w:val="Placeholder Text"/>
    <w:basedOn w:val="DefaultParagraphFont"/>
    <w:uiPriority w:val="99"/>
    <w:semiHidden/>
    <w:rsid w:val="001042F4"/>
    <w:rPr>
      <w:color w:val="808080"/>
    </w:rPr>
  </w:style>
  <w:style w:type="character" w:styleId="Hyperlink">
    <w:name w:val="Hyperlink"/>
    <w:basedOn w:val="DefaultParagraphFont"/>
    <w:uiPriority w:val="99"/>
    <w:unhideWhenUsed/>
    <w:rsid w:val="00F417E9"/>
    <w:rPr>
      <w:color w:val="0563C1" w:themeColor="hyperlink"/>
      <w:u w:val="single"/>
    </w:rPr>
  </w:style>
  <w:style w:type="character" w:customStyle="1" w:styleId="UnresolvedMention1">
    <w:name w:val="Unresolved Mention1"/>
    <w:basedOn w:val="DefaultParagraphFont"/>
    <w:uiPriority w:val="99"/>
    <w:semiHidden/>
    <w:unhideWhenUsed/>
    <w:rsid w:val="00F417E9"/>
    <w:rPr>
      <w:color w:val="605E5C"/>
      <w:shd w:val="clear" w:color="auto" w:fill="E1DFDD"/>
    </w:rPr>
  </w:style>
  <w:style w:type="paragraph" w:styleId="Header">
    <w:name w:val="header"/>
    <w:basedOn w:val="Normal"/>
    <w:link w:val="HeaderChar"/>
    <w:uiPriority w:val="99"/>
    <w:unhideWhenUsed/>
    <w:rsid w:val="00750A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A91"/>
    <w:rPr>
      <w:rFonts w:ascii="Calibri" w:eastAsia="Calibri" w:hAnsi="Calibri" w:cs="Times New Roman"/>
    </w:rPr>
  </w:style>
  <w:style w:type="paragraph" w:styleId="Footer">
    <w:name w:val="footer"/>
    <w:basedOn w:val="Normal"/>
    <w:link w:val="FooterChar"/>
    <w:uiPriority w:val="99"/>
    <w:unhideWhenUsed/>
    <w:rsid w:val="00750A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A9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257767">
      <w:bodyDiv w:val="1"/>
      <w:marLeft w:val="0"/>
      <w:marRight w:val="0"/>
      <w:marTop w:val="0"/>
      <w:marBottom w:val="0"/>
      <w:divBdr>
        <w:top w:val="none" w:sz="0" w:space="0" w:color="auto"/>
        <w:left w:val="none" w:sz="0" w:space="0" w:color="auto"/>
        <w:bottom w:val="none" w:sz="0" w:space="0" w:color="auto"/>
        <w:right w:val="none" w:sz="0" w:space="0" w:color="auto"/>
      </w:divBdr>
    </w:div>
    <w:div w:id="51616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103/S0096392523600254" TargetMode="External"/><Relationship Id="rId18" Type="http://schemas.openxmlformats.org/officeDocument/2006/relationships/hyperlink" Target="https://doi.org/10.3389/fpls.2018.01054" TargetMode="External"/><Relationship Id="rId26" Type="http://schemas.openxmlformats.org/officeDocument/2006/relationships/hyperlink" Target="https://doi.org/10.1007/s42360-021-00447-8" TargetMode="External"/><Relationship Id="rId39" Type="http://schemas.openxmlformats.org/officeDocument/2006/relationships/hyperlink" Target="https://doi.org/10.1094/Phyto-73-703" TargetMode="External"/><Relationship Id="rId21" Type="http://schemas.openxmlformats.org/officeDocument/2006/relationships/hyperlink" Target="https://doi.org/10.3389/fbioe.2020.01014" TargetMode="External"/><Relationship Id="rId34" Type="http://schemas.openxmlformats.org/officeDocument/2006/relationships/hyperlink" Target="https://doi.org/10.33545/2618060X.2025.v8.i9a.3715" TargetMode="External"/><Relationship Id="rId42" Type="http://schemas.openxmlformats.org/officeDocument/2006/relationships/hyperlink" Target="https://doi.org/10.1007/s13593-012-0105-x" TargetMode="External"/><Relationship Id="rId47" Type="http://schemas.openxmlformats.org/officeDocument/2006/relationships/hyperlink" Target="http://www.ijsrp.org/research-paper-0714/ijsrp-j3109.pdf" TargetMode="External"/><Relationship Id="rId50" Type="http://schemas.openxmlformats.org/officeDocument/2006/relationships/hyperlink" Target="https://doi.org/10.1007/s00253-020-10626-8" TargetMode="External"/><Relationship Id="rId55" Type="http://schemas.openxmlformats.org/officeDocument/2006/relationships/hyperlink" Target="https://doi.org/10.1590/S1517-838220110003000022"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0076-6879(88)61052-4" TargetMode="External"/><Relationship Id="rId29" Type="http://schemas.openxmlformats.org/officeDocument/2006/relationships/hyperlink" Target="https://doi.org/10.1007/s11274-023-03688-z" TargetMode="External"/><Relationship Id="rId11" Type="http://schemas.openxmlformats.org/officeDocument/2006/relationships/chart" Target="charts/chart2.xml"/><Relationship Id="rId24" Type="http://schemas.openxmlformats.org/officeDocument/2006/relationships/hyperlink" Target="https://doi.org/10.3390/jof7100786" TargetMode="External"/><Relationship Id="rId32" Type="http://schemas.openxmlformats.org/officeDocument/2006/relationships/hyperlink" Target="https://doi.org/10.3389/fsufs.2021.684447" TargetMode="External"/><Relationship Id="rId37" Type="http://schemas.openxmlformats.org/officeDocument/2006/relationships/hyperlink" Target="https://doi.org/10.6026/97320630014304" TargetMode="External"/><Relationship Id="rId40" Type="http://schemas.openxmlformats.org/officeDocument/2006/relationships/hyperlink" Target="https://doi.org/10.5958/2249-5266.2017.00045.5" TargetMode="External"/><Relationship Id="rId45" Type="http://schemas.openxmlformats.org/officeDocument/2006/relationships/hyperlink" Target="https://doi.org/10.1038/s41559-018-0793-y" TargetMode="External"/><Relationship Id="rId53" Type="http://schemas.openxmlformats.org/officeDocument/2006/relationships/hyperlink" Target="https://doi.org/10.1007/s12010-009-8590-3"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doi.org/10.1111/jam.14594" TargetMode="External"/><Relationship Id="rId14" Type="http://schemas.openxmlformats.org/officeDocument/2006/relationships/hyperlink" Target="https://doi.org/10.1016/j.crmicr.2021.100031" TargetMode="External"/><Relationship Id="rId22" Type="http://schemas.openxmlformats.org/officeDocument/2006/relationships/hyperlink" Target="https://doi.org/10.1264/jsme2.ME21085" TargetMode="External"/><Relationship Id="rId27" Type="http://schemas.openxmlformats.org/officeDocument/2006/relationships/hyperlink" Target="https://doi.org/10.1155/2019/4917256" TargetMode="External"/><Relationship Id="rId30" Type="http://schemas.openxmlformats.org/officeDocument/2006/relationships/hyperlink" Target="https://doi.org/10.1016/j.bcab.2018.09.009" TargetMode="External"/><Relationship Id="rId35" Type="http://schemas.openxmlformats.org/officeDocument/2006/relationships/hyperlink" Target="https://doi.org/10.3390/plants9101349" TargetMode="External"/><Relationship Id="rId43" Type="http://schemas.openxmlformats.org/officeDocument/2006/relationships/hyperlink" Target="http://nopr.niscair.res.in" TargetMode="External"/><Relationship Id="rId48" Type="http://schemas.openxmlformats.org/officeDocument/2006/relationships/hyperlink" Target="https://doi.org/10.1007/978-81-322-2647-5_7"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doi.org/10.1371/journal.pone.0109386" TargetMode="External"/><Relationship Id="rId3" Type="http://schemas.openxmlformats.org/officeDocument/2006/relationships/styles" Target="styles.xml"/><Relationship Id="rId12" Type="http://schemas.openxmlformats.org/officeDocument/2006/relationships/hyperlink" Target="https://doi.org/10.2174/1874331502014010016" TargetMode="External"/><Relationship Id="rId17" Type="http://schemas.openxmlformats.org/officeDocument/2006/relationships/hyperlink" Target="https://doi.org/10.21203/rs.3.rs-530227/v1" TargetMode="External"/><Relationship Id="rId25" Type="http://schemas.openxmlformats.org/officeDocument/2006/relationships/hyperlink" Target="https://doi.org/10.22207/JPAM.17.1.17" TargetMode="External"/><Relationship Id="rId33" Type="http://schemas.openxmlformats.org/officeDocument/2006/relationships/hyperlink" Target="https://doi.org/10.1002/jobm.202200608" TargetMode="External"/><Relationship Id="rId38" Type="http://schemas.openxmlformats.org/officeDocument/2006/relationships/hyperlink" Target="https://doi.org/10.1093/jambio/lxae266" TargetMode="External"/><Relationship Id="rId46" Type="http://schemas.openxmlformats.org/officeDocument/2006/relationships/hyperlink" Target="https://doi.org/10.1016/j.pedsph.2022.06.025" TargetMode="External"/><Relationship Id="rId59" Type="http://schemas.openxmlformats.org/officeDocument/2006/relationships/footer" Target="footer2.xml"/><Relationship Id="rId20" Type="http://schemas.openxmlformats.org/officeDocument/2006/relationships/hyperlink" Target="https://doi.org/10.3389/fbioe.2020.00861" TargetMode="External"/><Relationship Id="rId41" Type="http://schemas.openxmlformats.org/officeDocument/2006/relationships/hyperlink" Target="https://doi.org/10.1007/s11356-023-30466-z" TargetMode="External"/><Relationship Id="rId54" Type="http://schemas.openxmlformats.org/officeDocument/2006/relationships/hyperlink" Target="https://doi.org/10.1111/lam.1238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2/ps.4283" TargetMode="External"/><Relationship Id="rId23" Type="http://schemas.openxmlformats.org/officeDocument/2006/relationships/hyperlink" Target="https://doi.org/10.1007/s00284-021-02578-7" TargetMode="External"/><Relationship Id="rId28" Type="http://schemas.openxmlformats.org/officeDocument/2006/relationships/hyperlink" Target="https://doi.org/10.22192/lsa.2019.5.3.1" TargetMode="External"/><Relationship Id="rId36" Type="http://schemas.openxmlformats.org/officeDocument/2006/relationships/hyperlink" Target="https://doi.org/10.1016/S0003-2670(00)88444-5" TargetMode="External"/><Relationship Id="rId49" Type="http://schemas.openxmlformats.org/officeDocument/2006/relationships/hyperlink" Target="https://www.jeb.co.in/issue-2014-sep-volume-35-number-5/" TargetMode="External"/><Relationship Id="rId57" Type="http://schemas.openxmlformats.org/officeDocument/2006/relationships/header" Target="header2.xml"/><Relationship Id="rId10" Type="http://schemas.openxmlformats.org/officeDocument/2006/relationships/chart" Target="charts/chart1.xml"/><Relationship Id="rId31" Type="http://schemas.openxmlformats.org/officeDocument/2006/relationships/hyperlink" Target="https://doi.org/10.1016/j.postharvbio.2007.09.024" TargetMode="External"/><Relationship Id="rId44" Type="http://schemas.openxmlformats.org/officeDocument/2006/relationships/hyperlink" Target="https://doi.org/10.3390/microorganisms11030707" TargetMode="External"/><Relationship Id="rId52" Type="http://schemas.openxmlformats.org/officeDocument/2006/relationships/hyperlink" Target="https://doi.org/10.1016/0076-6879(88)60109-1"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8494094488189"/>
          <c:y val="4.7518462765683701E-2"/>
          <c:w val="0.85440671478565178"/>
          <c:h val="0.64424148268231174"/>
        </c:manualLayout>
      </c:layout>
      <c:barChart>
        <c:barDir val="col"/>
        <c:grouping val="stacked"/>
        <c:varyColors val="0"/>
        <c:ser>
          <c:idx val="0"/>
          <c:order val="0"/>
          <c:tx>
            <c:strRef>
              <c:f>PFT!$AA$1</c:f>
              <c:strCache>
                <c:ptCount val="1"/>
                <c:pt idx="0">
                  <c:v>% Inhibition at 2 mg/mL</c:v>
                </c:pt>
              </c:strCache>
            </c:strRef>
          </c:tx>
          <c:spPr>
            <a:solidFill>
              <a:schemeClr val="accent1">
                <a:lumMod val="50000"/>
              </a:schemeClr>
            </a:solidFill>
            <a:ln>
              <a:solidFill>
                <a:schemeClr val="accent1"/>
              </a:solidFill>
            </a:ln>
            <a:effectLst/>
          </c:spPr>
          <c:invertIfNegative val="0"/>
          <c:dPt>
            <c:idx val="6"/>
            <c:invertIfNegative val="0"/>
            <c:bubble3D val="0"/>
            <c:spPr>
              <a:solidFill>
                <a:schemeClr val="accent1">
                  <a:lumMod val="50000"/>
                </a:schemeClr>
              </a:solidFill>
              <a:ln>
                <a:solidFill>
                  <a:schemeClr val="bg1"/>
                </a:solidFill>
              </a:ln>
              <a:effectLst/>
            </c:spPr>
            <c:extLst>
              <c:ext xmlns:c16="http://schemas.microsoft.com/office/drawing/2014/chart" uri="{C3380CC4-5D6E-409C-BE32-E72D297353CC}">
                <c16:uniqueId val="{00000001-8377-4061-B2FD-831D0911C0F2}"/>
              </c:ext>
            </c:extLst>
          </c:dPt>
          <c:errBars>
            <c:errBarType val="both"/>
            <c:errValType val="cust"/>
            <c:noEndCap val="0"/>
            <c:plus>
              <c:numRef>
                <c:f>PFT!$W$12</c:f>
                <c:numCache>
                  <c:formatCode>General</c:formatCode>
                  <c:ptCount val="1"/>
                  <c:pt idx="0">
                    <c:v>1.92</c:v>
                  </c:pt>
                </c:numCache>
              </c:numRef>
            </c:plus>
            <c:minus>
              <c:numRef>
                <c:f>PFT!$W$12</c:f>
                <c:numCache>
                  <c:formatCode>General</c:formatCode>
                  <c:ptCount val="1"/>
                  <c:pt idx="0">
                    <c:v>1.92</c:v>
                  </c:pt>
                </c:numCache>
              </c:numRef>
            </c:minus>
            <c:spPr>
              <a:noFill/>
              <a:ln w="9510" cap="flat" cmpd="sng" algn="ctr">
                <a:solidFill>
                  <a:schemeClr val="tx1">
                    <a:lumMod val="65000"/>
                    <a:lumOff val="35000"/>
                  </a:schemeClr>
                </a:solidFill>
                <a:round/>
              </a:ln>
              <a:effectLst/>
            </c:spPr>
          </c:errBars>
          <c:cat>
            <c:strRef>
              <c:f>PFT!$Z$2:$Z$8</c:f>
              <c:strCache>
                <c:ptCount val="7"/>
                <c:pt idx="0">
                  <c:v>BSB-2</c:v>
                </c:pt>
                <c:pt idx="1">
                  <c:v>BSB-4</c:v>
                </c:pt>
                <c:pt idx="2">
                  <c:v>BSB-11</c:v>
                </c:pt>
                <c:pt idx="3">
                  <c:v>BSB-41</c:v>
                </c:pt>
                <c:pt idx="4">
                  <c:v>BSR-51</c:v>
                </c:pt>
                <c:pt idx="5">
                  <c:v>Bacillus sp. (MCC4316)</c:v>
                </c:pt>
                <c:pt idx="6">
                  <c:v>Pseudomonas fluorescens</c:v>
                </c:pt>
              </c:strCache>
            </c:strRef>
          </c:cat>
          <c:val>
            <c:numRef>
              <c:f>PFT!$AA$2:$AA$8</c:f>
              <c:numCache>
                <c:formatCode>0.00</c:formatCode>
                <c:ptCount val="7"/>
                <c:pt idx="0">
                  <c:v>58.41</c:v>
                </c:pt>
                <c:pt idx="1">
                  <c:v>52.347000000000001</c:v>
                </c:pt>
                <c:pt idx="2">
                  <c:v>48</c:v>
                </c:pt>
                <c:pt idx="3">
                  <c:v>56.24</c:v>
                </c:pt>
                <c:pt idx="4">
                  <c:v>54.18</c:v>
                </c:pt>
                <c:pt idx="5">
                  <c:v>56</c:v>
                </c:pt>
                <c:pt idx="6">
                  <c:v>55</c:v>
                </c:pt>
              </c:numCache>
            </c:numRef>
          </c:val>
          <c:extLst>
            <c:ext xmlns:c16="http://schemas.microsoft.com/office/drawing/2014/chart" uri="{C3380CC4-5D6E-409C-BE32-E72D297353CC}">
              <c16:uniqueId val="{00000002-8377-4061-B2FD-831D0911C0F2}"/>
            </c:ext>
          </c:extLst>
        </c:ser>
        <c:ser>
          <c:idx val="1"/>
          <c:order val="1"/>
          <c:tx>
            <c:strRef>
              <c:f>PFT!$AB$1</c:f>
              <c:strCache>
                <c:ptCount val="1"/>
                <c:pt idx="0">
                  <c:v>% Inhibition at 4 mg/mL</c:v>
                </c:pt>
              </c:strCache>
            </c:strRef>
          </c:tx>
          <c:spPr>
            <a:solidFill>
              <a:schemeClr val="accent6">
                <a:lumMod val="75000"/>
              </a:schemeClr>
            </a:solidFill>
            <a:ln>
              <a:noFill/>
            </a:ln>
            <a:effectLst/>
          </c:spPr>
          <c:invertIfNegative val="0"/>
          <c:errBars>
            <c:errBarType val="both"/>
            <c:errValType val="cust"/>
            <c:noEndCap val="0"/>
            <c:plus>
              <c:numRef>
                <c:f>PFT!$X$12</c:f>
                <c:numCache>
                  <c:formatCode>General</c:formatCode>
                  <c:ptCount val="1"/>
                  <c:pt idx="0">
                    <c:v>2.4169999999999998</c:v>
                  </c:pt>
                </c:numCache>
              </c:numRef>
            </c:plus>
            <c:minus>
              <c:numRef>
                <c:f>PFT!$X$12</c:f>
                <c:numCache>
                  <c:formatCode>General</c:formatCode>
                  <c:ptCount val="1"/>
                  <c:pt idx="0">
                    <c:v>2.4169999999999998</c:v>
                  </c:pt>
                </c:numCache>
              </c:numRef>
            </c:minus>
            <c:spPr>
              <a:noFill/>
              <a:ln w="9510" cap="flat" cmpd="sng" algn="ctr">
                <a:solidFill>
                  <a:schemeClr val="tx1">
                    <a:lumMod val="65000"/>
                    <a:lumOff val="35000"/>
                  </a:schemeClr>
                </a:solidFill>
                <a:round/>
              </a:ln>
              <a:effectLst/>
            </c:spPr>
          </c:errBars>
          <c:cat>
            <c:strRef>
              <c:f>PFT!$Z$2:$Z$8</c:f>
              <c:strCache>
                <c:ptCount val="7"/>
                <c:pt idx="0">
                  <c:v>BSB-2</c:v>
                </c:pt>
                <c:pt idx="1">
                  <c:v>BSB-4</c:v>
                </c:pt>
                <c:pt idx="2">
                  <c:v>BSB-11</c:v>
                </c:pt>
                <c:pt idx="3">
                  <c:v>BSB-41</c:v>
                </c:pt>
                <c:pt idx="4">
                  <c:v>BSR-51</c:v>
                </c:pt>
                <c:pt idx="5">
                  <c:v>Bacillus sp. (MCC4316)</c:v>
                </c:pt>
                <c:pt idx="6">
                  <c:v>Pseudomonas fluorescens</c:v>
                </c:pt>
              </c:strCache>
            </c:strRef>
          </c:cat>
          <c:val>
            <c:numRef>
              <c:f>PFT!$AB$2:$AB$8</c:f>
              <c:numCache>
                <c:formatCode>0.00</c:formatCode>
                <c:ptCount val="7"/>
                <c:pt idx="0">
                  <c:v>71.28</c:v>
                </c:pt>
                <c:pt idx="1">
                  <c:v>65.433000000000007</c:v>
                </c:pt>
                <c:pt idx="2">
                  <c:v>69</c:v>
                </c:pt>
                <c:pt idx="3">
                  <c:v>70.052999999999997</c:v>
                </c:pt>
                <c:pt idx="4">
                  <c:v>66.22</c:v>
                </c:pt>
                <c:pt idx="5">
                  <c:v>67.540000000000006</c:v>
                </c:pt>
                <c:pt idx="6">
                  <c:v>68</c:v>
                </c:pt>
              </c:numCache>
            </c:numRef>
          </c:val>
          <c:extLst>
            <c:ext xmlns:c16="http://schemas.microsoft.com/office/drawing/2014/chart" uri="{C3380CC4-5D6E-409C-BE32-E72D297353CC}">
              <c16:uniqueId val="{00000003-8377-4061-B2FD-831D0911C0F2}"/>
            </c:ext>
          </c:extLst>
        </c:ser>
        <c:dLbls>
          <c:showLegendKey val="0"/>
          <c:showVal val="0"/>
          <c:showCatName val="0"/>
          <c:showSerName val="0"/>
          <c:showPercent val="0"/>
          <c:showBubbleSize val="0"/>
        </c:dLbls>
        <c:gapWidth val="75"/>
        <c:overlap val="100"/>
        <c:axId val="797120016"/>
        <c:axId val="797123280"/>
      </c:barChart>
      <c:catAx>
        <c:axId val="797120016"/>
        <c:scaling>
          <c:orientation val="minMax"/>
        </c:scaling>
        <c:delete val="0"/>
        <c:axPos val="b"/>
        <c:title>
          <c:tx>
            <c:rich>
              <a:bodyPr/>
              <a:lstStyle/>
              <a:p>
                <a:pPr>
                  <a:defRPr sz="1195" b="1" i="0" u="none" strike="noStrike" baseline="0">
                    <a:solidFill>
                      <a:srgbClr val="000000"/>
                    </a:solidFill>
                    <a:latin typeface="Times New Roman"/>
                    <a:ea typeface="Times New Roman"/>
                    <a:cs typeface="Times New Roman"/>
                  </a:defRPr>
                </a:pPr>
                <a:r>
                  <a:rPr lang="en-IN"/>
                  <a:t>Efficient biosurfactant producing bacterial isolates </a:t>
                </a:r>
              </a:p>
            </c:rich>
          </c:tx>
          <c:overlay val="0"/>
          <c:spPr>
            <a:noFill/>
            <a:ln w="25358">
              <a:noFill/>
            </a:ln>
          </c:spPr>
        </c:title>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97123280"/>
        <c:crosses val="autoZero"/>
        <c:auto val="1"/>
        <c:lblAlgn val="ctr"/>
        <c:lblOffset val="100"/>
        <c:noMultiLvlLbl val="0"/>
      </c:catAx>
      <c:valAx>
        <c:axId val="797123280"/>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en-IN" sz="1095" b="1" i="0" u="none" strike="noStrike" baseline="0">
                    <a:solidFill>
                      <a:srgbClr val="000000"/>
                    </a:solidFill>
                    <a:latin typeface="Times New Roman"/>
                    <a:cs typeface="Times New Roman"/>
                  </a:rPr>
                  <a:t>% inhibition of P</a:t>
                </a:r>
                <a:r>
                  <a:rPr lang="en-IN" sz="1095" b="1" i="1" u="none" strike="noStrike" baseline="0">
                    <a:solidFill>
                      <a:srgbClr val="000000"/>
                    </a:solidFill>
                    <a:latin typeface="Times New Roman"/>
                    <a:cs typeface="Times New Roman"/>
                  </a:rPr>
                  <a:t>. grisea</a:t>
                </a:r>
              </a:p>
            </c:rich>
          </c:tx>
          <c:overlay val="0"/>
          <c:spPr>
            <a:noFill/>
            <a:ln w="25358">
              <a:noFill/>
            </a:ln>
          </c:spPr>
        </c:title>
        <c:numFmt formatCode="0.00" sourceLinked="1"/>
        <c:majorTickMark val="out"/>
        <c:minorTickMark val="none"/>
        <c:tickLblPos val="nextTo"/>
        <c:spPr>
          <a:ln w="9510">
            <a:noFill/>
          </a:ln>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97120016"/>
        <c:crosses val="autoZero"/>
        <c:crossBetween val="between"/>
      </c:valAx>
      <c:spPr>
        <a:noFill/>
        <a:ln w="25391">
          <a:noFill/>
        </a:ln>
      </c:spPr>
    </c:plotArea>
    <c:legend>
      <c:legendPos val="r"/>
      <c:layout>
        <c:manualLayout>
          <c:xMode val="edge"/>
          <c:yMode val="edge"/>
          <c:x val="6.7904272382618827E-2"/>
          <c:y val="0.87679159590345312"/>
          <c:w val="0.89274387576552949"/>
          <c:h val="0.12059981472904122"/>
        </c:manualLayout>
      </c:layout>
      <c:overlay val="0"/>
      <c:spPr>
        <a:noFill/>
        <a:ln w="25358">
          <a:noFill/>
        </a:ln>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10" cap="flat" cmpd="sng" algn="ctr">
      <a:solidFill>
        <a:schemeClr val="tx1"/>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00601487314086E-2"/>
          <c:y val="4.9283154121863799E-2"/>
          <c:w val="0.88453102216389623"/>
          <c:h val="0.40299156153867866"/>
        </c:manualLayout>
      </c:layout>
      <c:barChart>
        <c:barDir val="col"/>
        <c:grouping val="clustered"/>
        <c:varyColors val="0"/>
        <c:ser>
          <c:idx val="0"/>
          <c:order val="0"/>
          <c:spPr>
            <a:solidFill>
              <a:srgbClr val="4F81BD"/>
            </a:solidFill>
            <a:ln w="25372">
              <a:noFill/>
            </a:ln>
          </c:spPr>
          <c:invertIfNegative val="0"/>
          <c:errBars>
            <c:errBarType val="both"/>
            <c:errValType val="cust"/>
            <c:noEndCap val="0"/>
            <c:plus>
              <c:numRef>
                <c:f>'biomass assay'!$AF$11</c:f>
                <c:numCache>
                  <c:formatCode>General</c:formatCode>
                  <c:ptCount val="1"/>
                  <c:pt idx="0">
                    <c:v>2.6659999999999999</c:v>
                  </c:pt>
                </c:numCache>
              </c:numRef>
            </c:plus>
            <c:minus>
              <c:numRef>
                <c:f>'biomass assay'!$AF$11</c:f>
                <c:numCache>
                  <c:formatCode>General</c:formatCode>
                  <c:ptCount val="1"/>
                  <c:pt idx="0">
                    <c:v>2.6659999999999999</c:v>
                  </c:pt>
                </c:numCache>
              </c:numRef>
            </c:minus>
            <c:spPr>
              <a:noFill/>
              <a:ln w="9515" cap="flat" cmpd="sng" algn="ctr">
                <a:solidFill>
                  <a:schemeClr val="tx1">
                    <a:lumMod val="65000"/>
                    <a:lumOff val="35000"/>
                  </a:schemeClr>
                </a:solidFill>
                <a:round/>
              </a:ln>
              <a:effectLst/>
            </c:spPr>
          </c:errBars>
          <c:cat>
            <c:strRef>
              <c:f>'biomass assay'!$AE$2:$AE$8</c:f>
              <c:strCache>
                <c:ptCount val="7"/>
                <c:pt idx="0">
                  <c:v>BSB-2</c:v>
                </c:pt>
                <c:pt idx="1">
                  <c:v>BSB-4</c:v>
                </c:pt>
                <c:pt idx="2">
                  <c:v>BSB-11</c:v>
                </c:pt>
                <c:pt idx="3">
                  <c:v>BSR-41</c:v>
                </c:pt>
                <c:pt idx="4">
                  <c:v>BSR-51</c:v>
                </c:pt>
                <c:pt idx="5">
                  <c:v>Bacillus sp. (MCC4316) -Reference</c:v>
                </c:pt>
                <c:pt idx="6">
                  <c:v>Pseudomonas fluorescens-Reference</c:v>
                </c:pt>
              </c:strCache>
            </c:strRef>
          </c:cat>
          <c:val>
            <c:numRef>
              <c:f>'biomass assay'!$AF$2:$AF$8</c:f>
              <c:numCache>
                <c:formatCode>General</c:formatCode>
                <c:ptCount val="7"/>
                <c:pt idx="0">
                  <c:v>82.5</c:v>
                </c:pt>
                <c:pt idx="1">
                  <c:v>67.111000000000004</c:v>
                </c:pt>
                <c:pt idx="2">
                  <c:v>73.332999999999998</c:v>
                </c:pt>
                <c:pt idx="3">
                  <c:v>78.933000000000007</c:v>
                </c:pt>
                <c:pt idx="4">
                  <c:v>71.906000000000006</c:v>
                </c:pt>
                <c:pt idx="5">
                  <c:v>79</c:v>
                </c:pt>
                <c:pt idx="6">
                  <c:v>76</c:v>
                </c:pt>
              </c:numCache>
            </c:numRef>
          </c:val>
          <c:extLst>
            <c:ext xmlns:c16="http://schemas.microsoft.com/office/drawing/2014/chart" uri="{C3380CC4-5D6E-409C-BE32-E72D297353CC}">
              <c16:uniqueId val="{00000000-EDC3-402E-9CC6-8189C58CE066}"/>
            </c:ext>
          </c:extLst>
        </c:ser>
        <c:dLbls>
          <c:showLegendKey val="0"/>
          <c:showVal val="0"/>
          <c:showCatName val="0"/>
          <c:showSerName val="0"/>
          <c:showPercent val="0"/>
          <c:showBubbleSize val="0"/>
        </c:dLbls>
        <c:gapWidth val="300"/>
        <c:axId val="797123824"/>
        <c:axId val="797124912"/>
      </c:barChart>
      <c:catAx>
        <c:axId val="797123824"/>
        <c:scaling>
          <c:orientation val="minMax"/>
        </c:scaling>
        <c:delete val="0"/>
        <c:axPos val="b"/>
        <c:title>
          <c:tx>
            <c:rich>
              <a:bodyPr/>
              <a:lstStyle/>
              <a:p>
                <a:pPr>
                  <a:defRPr sz="1195" b="1" i="0" u="none" strike="noStrike" baseline="0">
                    <a:solidFill>
                      <a:srgbClr val="000000"/>
                    </a:solidFill>
                    <a:latin typeface="Times New Roman"/>
                    <a:ea typeface="Times New Roman"/>
                    <a:cs typeface="Times New Roman"/>
                  </a:defRPr>
                </a:pPr>
                <a:r>
                  <a:rPr lang="en-IN"/>
                  <a:t>Efficient biosurfactant producing bacterial isolates </a:t>
                </a:r>
              </a:p>
            </c:rich>
          </c:tx>
          <c:overlay val="0"/>
          <c:spPr>
            <a:noFill/>
            <a:ln w="25372">
              <a:noFill/>
            </a:ln>
          </c:spPr>
        </c:title>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97124912"/>
        <c:crosses val="autoZero"/>
        <c:auto val="1"/>
        <c:lblAlgn val="ctr"/>
        <c:lblOffset val="100"/>
        <c:noMultiLvlLbl val="0"/>
      </c:catAx>
      <c:valAx>
        <c:axId val="797124912"/>
        <c:scaling>
          <c:orientation val="minMax"/>
        </c:scaling>
        <c:delete val="0"/>
        <c:axPos val="l"/>
        <c:title>
          <c:tx>
            <c:rich>
              <a:bodyPr/>
              <a:lstStyle/>
              <a:p>
                <a:pPr>
                  <a:defRPr sz="1195" b="1" i="0" u="none" strike="noStrike" baseline="0">
                    <a:solidFill>
                      <a:srgbClr val="000000"/>
                    </a:solidFill>
                    <a:latin typeface="Times New Roman"/>
                    <a:ea typeface="Times New Roman"/>
                    <a:cs typeface="Times New Roman"/>
                  </a:defRPr>
                </a:pPr>
                <a:r>
                  <a:rPr lang="en-IN"/>
                  <a:t>% Fungal biomass suppression</a:t>
                </a:r>
              </a:p>
            </c:rich>
          </c:tx>
          <c:layout>
            <c:manualLayout>
              <c:xMode val="edge"/>
              <c:yMode val="edge"/>
              <c:x val="1.1574074074074073E-2"/>
              <c:y val="2.6881720430107527E-2"/>
            </c:manualLayout>
          </c:layout>
          <c:overlay val="0"/>
          <c:spPr>
            <a:noFill/>
            <a:ln w="25372">
              <a:noFill/>
            </a:ln>
          </c:spPr>
        </c:title>
        <c:numFmt formatCode="General" sourceLinked="1"/>
        <c:majorTickMark val="out"/>
        <c:minorTickMark val="none"/>
        <c:tickLblPos val="nextTo"/>
        <c:spPr>
          <a:ln w="9515">
            <a:noFill/>
          </a:ln>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7123824"/>
        <c:crosses val="autoZero"/>
        <c:crossBetween val="between"/>
      </c:valAx>
      <c:spPr>
        <a:noFill/>
        <a:ln w="25391">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CBB0E-9D2C-4701-ABF5-B0DC00B21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19</Pages>
  <Words>7384</Words>
  <Characters>42092</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Editor-1183</cp:lastModifiedBy>
  <cp:revision>228</cp:revision>
  <dcterms:created xsi:type="dcterms:W3CDTF">2025-11-21T20:43:00Z</dcterms:created>
  <dcterms:modified xsi:type="dcterms:W3CDTF">2025-12-10T10:15:00Z</dcterms:modified>
</cp:coreProperties>
</file>