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712A3" w14:textId="13BD3D8D" w:rsidR="00314BF0" w:rsidRDefault="00314BF0" w:rsidP="009F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lang w:val="en"/>
        </w:rPr>
      </w:pPr>
      <w:r w:rsidRPr="00314BF0">
        <w:rPr>
          <w:rFonts w:ascii="Times New Roman" w:eastAsia="Times New Roman" w:hAnsi="Times New Roman" w:cs="Times New Roman"/>
          <w:b/>
          <w:bCs/>
          <w:lang w:val="en"/>
        </w:rPr>
        <w:t>ESTIMATION OF CARBON CONTENT IN COMMUNITY GARDEN LAND A STUDY IN LAKAN BILEM VILLAGE, NYUATAN DISTRICT, WEST KUTAI REGENCY</w:t>
      </w:r>
    </w:p>
    <w:p w14:paraId="33C4167F" w14:textId="77777777" w:rsidR="00314BF0" w:rsidRDefault="00314BF0" w:rsidP="009F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lang w:val="en"/>
        </w:rPr>
      </w:pPr>
    </w:p>
    <w:p w14:paraId="004FBA50" w14:textId="77777777" w:rsidR="00314BF0" w:rsidRPr="009F7120" w:rsidRDefault="00314BF0" w:rsidP="009F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lang w:val="en"/>
        </w:rPr>
      </w:pPr>
    </w:p>
    <w:p w14:paraId="7AE4294F" w14:textId="77777777" w:rsidR="00716636" w:rsidRDefault="00716636" w:rsidP="00E00027">
      <w:pPr>
        <w:pStyle w:val="HTMLPreformatted"/>
        <w:jc w:val="both"/>
        <w:rPr>
          <w:rStyle w:val="y2iqfc"/>
          <w:rFonts w:ascii="Times New Roman" w:eastAsiaTheme="majorEastAsia" w:hAnsi="Times New Roman" w:cs="Times New Roman"/>
          <w:b/>
          <w:bCs/>
          <w:sz w:val="22"/>
          <w:szCs w:val="22"/>
          <w:lang w:val="en"/>
        </w:rPr>
      </w:pPr>
    </w:p>
    <w:p w14:paraId="6AEA182D" w14:textId="2FD0DE12" w:rsidR="00E00027" w:rsidRPr="00860A5F" w:rsidRDefault="00E00027" w:rsidP="00E00027">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ABSTRACT</w:t>
      </w:r>
    </w:p>
    <w:p w14:paraId="31AE537C" w14:textId="2ECCA633" w:rsidR="00E00027" w:rsidRPr="009844A8" w:rsidRDefault="00E00027" w:rsidP="009844A8">
      <w:pPr>
        <w:pStyle w:val="HTMLPreformatted"/>
        <w:jc w:val="both"/>
        <w:rPr>
          <w:rStyle w:val="y2iqfc"/>
          <w:rFonts w:ascii="Times New Roman" w:hAnsi="Times New Roman" w:cs="Times New Roman"/>
          <w:sz w:val="24"/>
          <w:szCs w:val="24"/>
        </w:rPr>
      </w:pPr>
      <w:r w:rsidRPr="009844A8">
        <w:rPr>
          <w:rStyle w:val="y2iqfc"/>
          <w:rFonts w:ascii="Times New Roman" w:eastAsiaTheme="majorEastAsia" w:hAnsi="Times New Roman" w:cs="Times New Roman"/>
          <w:sz w:val="24"/>
          <w:szCs w:val="24"/>
          <w:lang w:val="en"/>
        </w:rPr>
        <w:t>One of the causes of global warming is the increase in carbon dioxide (CO</w:t>
      </w:r>
      <w:r w:rsidRPr="009844A8">
        <w:rPr>
          <w:rStyle w:val="y2iqfc"/>
          <w:rFonts w:ascii="Times New Roman" w:eastAsiaTheme="majorEastAsia" w:hAnsi="Times New Roman" w:cs="Times New Roman"/>
          <w:sz w:val="24"/>
          <w:szCs w:val="24"/>
          <w:vertAlign w:val="subscript"/>
          <w:lang w:val="en"/>
        </w:rPr>
        <w:t>2</w:t>
      </w:r>
      <w:r w:rsidRPr="009844A8">
        <w:rPr>
          <w:rStyle w:val="y2iqfc"/>
          <w:rFonts w:ascii="Times New Roman" w:eastAsiaTheme="majorEastAsia" w:hAnsi="Times New Roman" w:cs="Times New Roman"/>
          <w:sz w:val="24"/>
          <w:szCs w:val="24"/>
          <w:lang w:val="en"/>
        </w:rPr>
        <w:t>) levels and the reduction in forest area as a CO</w:t>
      </w:r>
      <w:r w:rsidRPr="009844A8">
        <w:rPr>
          <w:rStyle w:val="y2iqfc"/>
          <w:rFonts w:ascii="Times New Roman" w:eastAsiaTheme="majorEastAsia" w:hAnsi="Times New Roman" w:cs="Times New Roman"/>
          <w:sz w:val="24"/>
          <w:szCs w:val="24"/>
          <w:vertAlign w:val="subscript"/>
          <w:lang w:val="en"/>
        </w:rPr>
        <w:t>2</w:t>
      </w:r>
      <w:r w:rsidRPr="009844A8">
        <w:rPr>
          <w:rStyle w:val="y2iqfc"/>
          <w:rFonts w:ascii="Times New Roman" w:eastAsiaTheme="majorEastAsia" w:hAnsi="Times New Roman" w:cs="Times New Roman"/>
          <w:sz w:val="24"/>
          <w:szCs w:val="24"/>
          <w:lang w:val="en"/>
        </w:rPr>
        <w:t xml:space="preserve"> absorber in the atmosphere. One solution to reducing CO</w:t>
      </w:r>
      <w:r w:rsidRPr="009844A8">
        <w:rPr>
          <w:rStyle w:val="y2iqfc"/>
          <w:rFonts w:ascii="Times New Roman" w:eastAsiaTheme="majorEastAsia" w:hAnsi="Times New Roman" w:cs="Times New Roman"/>
          <w:sz w:val="24"/>
          <w:szCs w:val="24"/>
          <w:vertAlign w:val="subscript"/>
          <w:lang w:val="en"/>
        </w:rPr>
        <w:t>2</w:t>
      </w:r>
      <w:r w:rsidRPr="009844A8">
        <w:rPr>
          <w:rStyle w:val="y2iqfc"/>
          <w:rFonts w:ascii="Times New Roman" w:eastAsiaTheme="majorEastAsia" w:hAnsi="Times New Roman" w:cs="Times New Roman"/>
          <w:sz w:val="24"/>
          <w:szCs w:val="24"/>
          <w:lang w:val="en"/>
        </w:rPr>
        <w:t xml:space="preserve"> levels in the atmosphere is through the development or improvement of forest vegetation, both natural and community forests. Forests are a vital part of the terrestrial ecosystem, acting as global carbon sinks and playing a role in mitigating the long-term and sustainable impacts of global warming. The objective of this research is to obtain information on the carbon content stored in the biomass of community garden land. This research was conducted from November 2023 to January 2024 in </w:t>
      </w:r>
      <w:proofErr w:type="spellStart"/>
      <w:r w:rsidRPr="009844A8">
        <w:rPr>
          <w:rStyle w:val="y2iqfc"/>
          <w:rFonts w:ascii="Times New Roman" w:eastAsiaTheme="majorEastAsia" w:hAnsi="Times New Roman" w:cs="Times New Roman"/>
          <w:sz w:val="24"/>
          <w:szCs w:val="24"/>
          <w:lang w:val="en"/>
        </w:rPr>
        <w:t>Lakan</w:t>
      </w:r>
      <w:proofErr w:type="spellEnd"/>
      <w:r w:rsidRPr="009844A8">
        <w:rPr>
          <w:rStyle w:val="y2iqfc"/>
          <w:rFonts w:ascii="Times New Roman" w:eastAsiaTheme="majorEastAsia" w:hAnsi="Times New Roman" w:cs="Times New Roman"/>
          <w:sz w:val="24"/>
          <w:szCs w:val="24"/>
          <w:lang w:val="en"/>
        </w:rPr>
        <w:t xml:space="preserve"> </w:t>
      </w:r>
      <w:proofErr w:type="spellStart"/>
      <w:r w:rsidRPr="009844A8">
        <w:rPr>
          <w:rStyle w:val="y2iqfc"/>
          <w:rFonts w:ascii="Times New Roman" w:eastAsiaTheme="majorEastAsia" w:hAnsi="Times New Roman" w:cs="Times New Roman"/>
          <w:sz w:val="24"/>
          <w:szCs w:val="24"/>
          <w:lang w:val="en"/>
        </w:rPr>
        <w:t>Bilem</w:t>
      </w:r>
      <w:proofErr w:type="spellEnd"/>
      <w:r w:rsidRPr="009844A8">
        <w:rPr>
          <w:rStyle w:val="y2iqfc"/>
          <w:rFonts w:ascii="Times New Roman" w:eastAsiaTheme="majorEastAsia" w:hAnsi="Times New Roman" w:cs="Times New Roman"/>
          <w:sz w:val="24"/>
          <w:szCs w:val="24"/>
          <w:lang w:val="en"/>
        </w:rPr>
        <w:t xml:space="preserve"> Village, </w:t>
      </w:r>
      <w:proofErr w:type="spellStart"/>
      <w:r w:rsidRPr="009844A8">
        <w:rPr>
          <w:rStyle w:val="y2iqfc"/>
          <w:rFonts w:ascii="Times New Roman" w:eastAsiaTheme="majorEastAsia" w:hAnsi="Times New Roman" w:cs="Times New Roman"/>
          <w:sz w:val="24"/>
          <w:szCs w:val="24"/>
          <w:lang w:val="en"/>
        </w:rPr>
        <w:t>Nyuatan</w:t>
      </w:r>
      <w:proofErr w:type="spellEnd"/>
      <w:r w:rsidRPr="009844A8">
        <w:rPr>
          <w:rStyle w:val="y2iqfc"/>
          <w:rFonts w:ascii="Times New Roman" w:eastAsiaTheme="majorEastAsia" w:hAnsi="Times New Roman" w:cs="Times New Roman"/>
          <w:sz w:val="24"/>
          <w:szCs w:val="24"/>
          <w:lang w:val="en"/>
        </w:rPr>
        <w:t xml:space="preserve"> District, West </w:t>
      </w:r>
      <w:proofErr w:type="spellStart"/>
      <w:r w:rsidRPr="009844A8">
        <w:rPr>
          <w:rStyle w:val="y2iqfc"/>
          <w:rFonts w:ascii="Times New Roman" w:eastAsiaTheme="majorEastAsia" w:hAnsi="Times New Roman" w:cs="Times New Roman"/>
          <w:sz w:val="24"/>
          <w:szCs w:val="24"/>
          <w:lang w:val="en"/>
        </w:rPr>
        <w:t>Kutai</w:t>
      </w:r>
      <w:proofErr w:type="spellEnd"/>
      <w:r w:rsidRPr="009844A8">
        <w:rPr>
          <w:rStyle w:val="y2iqfc"/>
          <w:rFonts w:ascii="Times New Roman" w:eastAsiaTheme="majorEastAsia" w:hAnsi="Times New Roman" w:cs="Times New Roman"/>
          <w:sz w:val="24"/>
          <w:szCs w:val="24"/>
          <w:lang w:val="en"/>
        </w:rPr>
        <w:t xml:space="preserve"> Regency, East Kalimantan Province. The research activities included: literature review, field observations, research plot creation, data collection, data analysis, and reporting. </w:t>
      </w:r>
      <w:r w:rsidR="009844A8" w:rsidRPr="009844A8">
        <w:rPr>
          <w:rStyle w:val="y2iqfc"/>
          <w:rFonts w:ascii="Times New Roman" w:eastAsiaTheme="majorEastAsia" w:hAnsi="Times New Roman" w:cs="Times New Roman"/>
          <w:sz w:val="24"/>
          <w:szCs w:val="24"/>
          <w:highlight w:val="yellow"/>
          <w:lang w:val="en"/>
        </w:rPr>
        <w:t>The data collected consisted of tree biomass, tree surface biomass</w:t>
      </w:r>
      <w:r w:rsidR="009844A8">
        <w:rPr>
          <w:rStyle w:val="y2iqfc"/>
          <w:rFonts w:ascii="Times New Roman" w:eastAsiaTheme="majorEastAsia" w:hAnsi="Times New Roman" w:cs="Times New Roman"/>
          <w:sz w:val="24"/>
          <w:szCs w:val="24"/>
          <w:highlight w:val="yellow"/>
          <w:lang w:val="en"/>
        </w:rPr>
        <w:t>,</w:t>
      </w:r>
      <w:r w:rsidR="009844A8" w:rsidRPr="009844A8">
        <w:rPr>
          <w:rStyle w:val="y2iqfc"/>
          <w:rFonts w:ascii="Times New Roman" w:eastAsiaTheme="majorEastAsia" w:hAnsi="Times New Roman" w:cs="Times New Roman"/>
          <w:sz w:val="24"/>
          <w:szCs w:val="24"/>
          <w:highlight w:val="yellow"/>
          <w:lang w:val="en"/>
        </w:rPr>
        <w:t xml:space="preserve"> and understory biomass</w:t>
      </w:r>
      <w:r w:rsidR="009844A8" w:rsidRPr="009844A8">
        <w:rPr>
          <w:rStyle w:val="y2iqfc"/>
          <w:rFonts w:ascii="Times New Roman" w:eastAsiaTheme="majorEastAsia" w:hAnsi="Times New Roman" w:cs="Times New Roman"/>
          <w:sz w:val="24"/>
          <w:szCs w:val="24"/>
          <w:lang w:val="en"/>
        </w:rPr>
        <w:t>.</w:t>
      </w:r>
      <w:r w:rsidR="009844A8">
        <w:rPr>
          <w:rFonts w:ascii="Times New Roman" w:hAnsi="Times New Roman" w:cs="Times New Roman"/>
          <w:sz w:val="24"/>
          <w:szCs w:val="24"/>
        </w:rPr>
        <w:t xml:space="preserve">  </w:t>
      </w:r>
      <w:r w:rsidRPr="009844A8">
        <w:rPr>
          <w:rStyle w:val="y2iqfc"/>
          <w:rFonts w:ascii="Times New Roman" w:eastAsiaTheme="majorEastAsia" w:hAnsi="Times New Roman" w:cs="Times New Roman"/>
          <w:sz w:val="24"/>
          <w:szCs w:val="24"/>
          <w:lang w:val="en"/>
        </w:rPr>
        <w:t xml:space="preserve">The results of the study indicate that the amount of carbon stored in community gardens in </w:t>
      </w:r>
      <w:proofErr w:type="spellStart"/>
      <w:r w:rsidRPr="009844A8">
        <w:rPr>
          <w:rStyle w:val="y2iqfc"/>
          <w:rFonts w:ascii="Times New Roman" w:eastAsiaTheme="majorEastAsia" w:hAnsi="Times New Roman" w:cs="Times New Roman"/>
          <w:sz w:val="24"/>
          <w:szCs w:val="24"/>
          <w:lang w:val="en"/>
        </w:rPr>
        <w:t>Lakan</w:t>
      </w:r>
      <w:proofErr w:type="spellEnd"/>
      <w:r w:rsidRPr="009844A8">
        <w:rPr>
          <w:rStyle w:val="y2iqfc"/>
          <w:rFonts w:ascii="Times New Roman" w:eastAsiaTheme="majorEastAsia" w:hAnsi="Times New Roman" w:cs="Times New Roman"/>
          <w:sz w:val="24"/>
          <w:szCs w:val="24"/>
          <w:lang w:val="en"/>
        </w:rPr>
        <w:t xml:space="preserve"> </w:t>
      </w:r>
      <w:proofErr w:type="spellStart"/>
      <w:r w:rsidRPr="009844A8">
        <w:rPr>
          <w:rStyle w:val="y2iqfc"/>
          <w:rFonts w:ascii="Times New Roman" w:eastAsiaTheme="majorEastAsia" w:hAnsi="Times New Roman" w:cs="Times New Roman"/>
          <w:sz w:val="24"/>
          <w:szCs w:val="24"/>
          <w:lang w:val="en"/>
        </w:rPr>
        <w:t>Bilem</w:t>
      </w:r>
      <w:proofErr w:type="spellEnd"/>
      <w:r w:rsidRPr="009844A8">
        <w:rPr>
          <w:rStyle w:val="y2iqfc"/>
          <w:rFonts w:ascii="Times New Roman" w:eastAsiaTheme="majorEastAsia" w:hAnsi="Times New Roman" w:cs="Times New Roman"/>
          <w:sz w:val="24"/>
          <w:szCs w:val="24"/>
          <w:lang w:val="en"/>
        </w:rPr>
        <w:t xml:space="preserve"> village is 116.35 tons/hectare, originating from carbon stored in biomass at the young tree and tree levels (111.64 tons/hectare) and carbon stored in forest floor vegetation (4.71 tons/hectare).</w:t>
      </w:r>
    </w:p>
    <w:p w14:paraId="07C58D7F" w14:textId="366EA963" w:rsidR="00E00027" w:rsidRPr="00860A5F" w:rsidRDefault="00E00027" w:rsidP="009844A8">
      <w:pPr>
        <w:pStyle w:val="HTMLPreformatted"/>
        <w:jc w:val="both"/>
        <w:rPr>
          <w:rFonts w:ascii="Times New Roman" w:hAnsi="Times New Roman" w:cs="Times New Roman"/>
          <w:sz w:val="22"/>
          <w:szCs w:val="22"/>
        </w:rPr>
      </w:pPr>
      <w:r w:rsidRPr="009844A8">
        <w:rPr>
          <w:rStyle w:val="y2iqfc"/>
          <w:rFonts w:ascii="Times New Roman" w:eastAsiaTheme="majorEastAsia" w:hAnsi="Times New Roman" w:cs="Times New Roman"/>
          <w:sz w:val="24"/>
          <w:szCs w:val="24"/>
          <w:lang w:val="en"/>
        </w:rPr>
        <w:t xml:space="preserve">Keywords: Carbon Content, Community Gardens, </w:t>
      </w:r>
      <w:r w:rsidR="006D4B7A" w:rsidRPr="006D4B7A">
        <w:rPr>
          <w:rStyle w:val="y2iqfc"/>
          <w:rFonts w:ascii="Times New Roman" w:eastAsiaTheme="majorEastAsia" w:hAnsi="Times New Roman" w:cs="Times New Roman"/>
          <w:sz w:val="24"/>
          <w:szCs w:val="24"/>
          <w:lang w:val="en"/>
        </w:rPr>
        <w:t>global warming</w:t>
      </w:r>
      <w:r w:rsidR="006D4B7A">
        <w:rPr>
          <w:rStyle w:val="y2iqfc"/>
          <w:rFonts w:ascii="Times New Roman" w:eastAsiaTheme="majorEastAsia" w:hAnsi="Times New Roman" w:cs="Times New Roman"/>
          <w:sz w:val="24"/>
          <w:szCs w:val="24"/>
          <w:lang w:val="en"/>
        </w:rPr>
        <w:t>,</w:t>
      </w:r>
      <w:r w:rsidR="006D4B7A" w:rsidRPr="006D4B7A">
        <w:t xml:space="preserve"> </w:t>
      </w:r>
      <w:r w:rsidR="006D4B7A" w:rsidRPr="006D4B7A">
        <w:rPr>
          <w:rStyle w:val="y2iqfc"/>
          <w:rFonts w:ascii="Times New Roman" w:eastAsiaTheme="majorEastAsia" w:hAnsi="Times New Roman" w:cs="Times New Roman"/>
          <w:sz w:val="24"/>
          <w:szCs w:val="24"/>
          <w:lang w:val="en"/>
        </w:rPr>
        <w:t>atmosphere</w:t>
      </w:r>
    </w:p>
    <w:p w14:paraId="5E13D115" w14:textId="77777777" w:rsidR="00E00027" w:rsidRPr="00860A5F" w:rsidRDefault="00E00027" w:rsidP="00E00027">
      <w:pPr>
        <w:ind w:firstLine="567"/>
        <w:jc w:val="both"/>
        <w:rPr>
          <w:rFonts w:ascii="Times New Roman" w:hAnsi="Times New Roman" w:cs="Times New Roman"/>
        </w:rPr>
      </w:pPr>
    </w:p>
    <w:p w14:paraId="73E12F56" w14:textId="093608B9" w:rsidR="00E00027" w:rsidRPr="00860A5F" w:rsidRDefault="00E00027" w:rsidP="00E00027">
      <w:pPr>
        <w:pStyle w:val="HTMLPreformatted"/>
        <w:numPr>
          <w:ilvl w:val="0"/>
          <w:numId w:val="1"/>
        </w:numPr>
        <w:ind w:left="284" w:hanging="284"/>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INTRODUCTION</w:t>
      </w:r>
    </w:p>
    <w:p w14:paraId="26C03ED9" w14:textId="77777777" w:rsidR="005A5F17" w:rsidRPr="005A5F17" w:rsidRDefault="00E00027" w:rsidP="009844A8">
      <w:pPr>
        <w:pStyle w:val="HTMLPreformatted"/>
        <w:ind w:firstLine="567"/>
        <w:jc w:val="both"/>
        <w:rPr>
          <w:rStyle w:val="y2iqfc"/>
          <w:rFonts w:ascii="Times New Roman" w:eastAsiaTheme="majorEastAsia" w:hAnsi="Times New Roman" w:cs="Times New Roman"/>
          <w:sz w:val="24"/>
          <w:szCs w:val="24"/>
          <w:highlight w:val="yellow"/>
          <w:lang w:val="en"/>
        </w:rPr>
      </w:pPr>
      <w:r w:rsidRPr="005A5F17">
        <w:rPr>
          <w:rStyle w:val="y2iqfc"/>
          <w:rFonts w:ascii="Times New Roman" w:eastAsiaTheme="majorEastAsia" w:hAnsi="Times New Roman" w:cs="Times New Roman"/>
          <w:sz w:val="24"/>
          <w:szCs w:val="24"/>
          <w:lang w:val="en"/>
        </w:rPr>
        <w:t>Forests are a source of carbon storage and emission. Approximately 90% of the biomass on the Earth's surface is found in the form of trees, branches, leaves, roots, forest litter, animals, and microorganisms (</w:t>
      </w:r>
      <w:proofErr w:type="spellStart"/>
      <w:r w:rsidRPr="005A5F17">
        <w:rPr>
          <w:rStyle w:val="y2iqfc"/>
          <w:rFonts w:ascii="Times New Roman" w:eastAsiaTheme="majorEastAsia" w:hAnsi="Times New Roman" w:cs="Times New Roman"/>
          <w:sz w:val="24"/>
          <w:szCs w:val="24"/>
          <w:lang w:val="en"/>
        </w:rPr>
        <w:t>Arief</w:t>
      </w:r>
      <w:proofErr w:type="spellEnd"/>
      <w:r w:rsidRPr="005A5F17">
        <w:rPr>
          <w:rStyle w:val="y2iqfc"/>
          <w:rFonts w:ascii="Times New Roman" w:eastAsiaTheme="majorEastAsia" w:hAnsi="Times New Roman" w:cs="Times New Roman"/>
          <w:sz w:val="24"/>
          <w:szCs w:val="24"/>
          <w:lang w:val="en"/>
        </w:rPr>
        <w:t xml:space="preserve">, 2005). This biomass stores carbon and is called a carbon sink. </w:t>
      </w:r>
      <w:r w:rsidR="005A5F17" w:rsidRPr="005A5F17">
        <w:rPr>
          <w:rStyle w:val="y2iqfc"/>
          <w:rFonts w:ascii="Times New Roman" w:eastAsiaTheme="majorEastAsia" w:hAnsi="Times New Roman" w:cs="Times New Roman"/>
          <w:sz w:val="24"/>
          <w:szCs w:val="24"/>
          <w:highlight w:val="yellow"/>
          <w:lang w:val="en"/>
        </w:rPr>
        <w:t>According to the Ministry of Forestry's 2025 monitoring results, forested land in Indonesia reached 95.5 million hectares in 2024, or 51.1% of the total land area. Of this figure, approximately 91.9% (87.8 million hectares) was within forest areas. Net deforestation in 2024 was recorded at 175.4 thousand hectares. This figure is derived from gross deforestation of 216.2 thousand hectares minus reforestation of 40.8 thousand hectares. The majority of gross deforestation occurred in secondary forests, covering 200.6 thousand hectares (92.8%), with 69.3% occurring within forest areas and the remainder outside forest areas. The deforestation trend shows a slight increase, but remains lower than the average deforestation rate over the past decade.</w:t>
      </w:r>
    </w:p>
    <w:p w14:paraId="20E1DFE5" w14:textId="20E9D40A" w:rsidR="00E00027" w:rsidRPr="005A5F17" w:rsidRDefault="005A5F17" w:rsidP="005A5F17">
      <w:pPr>
        <w:pStyle w:val="HTMLPreformatted"/>
        <w:ind w:firstLine="567"/>
        <w:jc w:val="both"/>
        <w:rPr>
          <w:rFonts w:ascii="Times New Roman" w:hAnsi="Times New Roman" w:cs="Times New Roman"/>
          <w:sz w:val="24"/>
          <w:szCs w:val="24"/>
        </w:rPr>
      </w:pPr>
      <w:r w:rsidRPr="005A5F17">
        <w:rPr>
          <w:rStyle w:val="y2iqfc"/>
          <w:rFonts w:ascii="Times New Roman" w:eastAsiaTheme="majorEastAsia" w:hAnsi="Times New Roman" w:cs="Times New Roman"/>
          <w:sz w:val="24"/>
          <w:szCs w:val="24"/>
          <w:highlight w:val="yellow"/>
          <w:lang w:val="en"/>
        </w:rPr>
        <w:t>The current high rates of degradation and deforestation are causing a reduction in carbon storage in forest lands.</w:t>
      </w:r>
      <w:r>
        <w:rPr>
          <w:rFonts w:ascii="Times New Roman" w:hAnsi="Times New Roman" w:cs="Times New Roman"/>
          <w:sz w:val="24"/>
          <w:szCs w:val="24"/>
        </w:rPr>
        <w:t xml:space="preserve">  </w:t>
      </w:r>
      <w:r w:rsidRPr="005A5F17">
        <w:rPr>
          <w:rStyle w:val="y2iqfc"/>
          <w:rFonts w:ascii="Times New Roman" w:eastAsiaTheme="majorEastAsia" w:hAnsi="Times New Roman" w:cs="Times New Roman"/>
          <w:sz w:val="24"/>
          <w:szCs w:val="24"/>
          <w:highlight w:val="yellow"/>
          <w:lang w:val="en"/>
        </w:rPr>
        <w:t>Forest destruction in Indonesia significantly reduces the carbon pool stored in forest biomass, releasing it into the atmosphere, and reduces the Earth's ability to absorb CO2 from the air through forest photosynthesis. In addition to these consequences, the intensity of the greenhouse effect will also increase, causing temperatures on the Earth's surface. This has fueled accusations that tropical forest destruction is a cause of global warming (</w:t>
      </w:r>
      <w:proofErr w:type="spellStart"/>
      <w:r w:rsidRPr="005A5F17">
        <w:rPr>
          <w:rStyle w:val="y2iqfc"/>
          <w:rFonts w:ascii="Times New Roman" w:eastAsiaTheme="majorEastAsia" w:hAnsi="Times New Roman" w:cs="Times New Roman"/>
          <w:sz w:val="24"/>
          <w:szCs w:val="24"/>
          <w:highlight w:val="yellow"/>
          <w:lang w:val="en"/>
        </w:rPr>
        <w:t>Soemarwoto</w:t>
      </w:r>
      <w:proofErr w:type="spellEnd"/>
      <w:r w:rsidRPr="005A5F17">
        <w:rPr>
          <w:rStyle w:val="y2iqfc"/>
          <w:rFonts w:ascii="Times New Roman" w:eastAsiaTheme="majorEastAsia" w:hAnsi="Times New Roman" w:cs="Times New Roman"/>
          <w:sz w:val="24"/>
          <w:szCs w:val="24"/>
          <w:highlight w:val="yellow"/>
          <w:lang w:val="en"/>
        </w:rPr>
        <w:t>, 2001).</w:t>
      </w:r>
    </w:p>
    <w:p w14:paraId="2A0CAC83" w14:textId="1E01ECD0"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This global warming will have a major impact on human welfare in general, even causing various natural disasters in parts of the world, such as rising sea levels, increasing atmospheric storms, increasing types and populations of disease-causing organisms, and others (</w:t>
      </w:r>
      <w:proofErr w:type="spellStart"/>
      <w:r w:rsidRPr="00860A5F">
        <w:rPr>
          <w:rStyle w:val="y2iqfc"/>
          <w:rFonts w:ascii="Times New Roman" w:eastAsiaTheme="majorEastAsia" w:hAnsi="Times New Roman" w:cs="Times New Roman"/>
          <w:sz w:val="22"/>
          <w:szCs w:val="22"/>
          <w:lang w:val="en"/>
        </w:rPr>
        <w:t>Soedomo</w:t>
      </w:r>
      <w:proofErr w:type="spellEnd"/>
      <w:r w:rsidRPr="00860A5F">
        <w:rPr>
          <w:rStyle w:val="y2iqfc"/>
          <w:rFonts w:ascii="Times New Roman" w:eastAsiaTheme="majorEastAsia" w:hAnsi="Times New Roman" w:cs="Times New Roman"/>
          <w:sz w:val="22"/>
          <w:szCs w:val="22"/>
          <w:lang w:val="en"/>
        </w:rPr>
        <w:t>, 2001). One way to reduce these impacts is to control carbon concentrations through the development of sink programs, where organic carbon</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as a result of photosynthesis</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will be stored in forest biomass in leaves, twigs, branches</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and woody trees or on the forest floor (in roots, litter</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and forest soil). In order to develop this program, data on the carbon content stored in forest biomass is needed, for which this research was conducted.</w:t>
      </w:r>
    </w:p>
    <w:p w14:paraId="33D1E1A8" w14:textId="77777777"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lastRenderedPageBreak/>
        <w:t xml:space="preserve">Vegetation plays a crucial role in carbon dioxide mitigation by storing carbon reserves in aboveground biomass and carbon pools (Pan et al. 2011; </w:t>
      </w:r>
      <w:proofErr w:type="spellStart"/>
      <w:r w:rsidRPr="00860A5F">
        <w:rPr>
          <w:rStyle w:val="y2iqfc"/>
          <w:rFonts w:ascii="Times New Roman" w:eastAsiaTheme="majorEastAsia" w:hAnsi="Times New Roman" w:cs="Times New Roman"/>
          <w:sz w:val="22"/>
          <w:szCs w:val="22"/>
          <w:lang w:val="en"/>
        </w:rPr>
        <w:t>Birdsey</w:t>
      </w:r>
      <w:proofErr w:type="spellEnd"/>
      <w:r w:rsidRPr="00860A5F">
        <w:rPr>
          <w:rStyle w:val="y2iqfc"/>
          <w:rFonts w:ascii="Times New Roman" w:eastAsiaTheme="majorEastAsia" w:hAnsi="Times New Roman" w:cs="Times New Roman"/>
          <w:sz w:val="22"/>
          <w:szCs w:val="22"/>
          <w:lang w:val="en"/>
        </w:rPr>
        <w:t xml:space="preserve"> and Pan 2015; Nave et al. 2018). Forests are terrestrial ecosystems with a relatively dominant plant composition, making them one of the most dominant ecosystems in absorbing carbon dioxide. However, with increasing rates of deforestation, carbon dioxide absorption has decreased.</w:t>
      </w:r>
    </w:p>
    <w:p w14:paraId="15C34E8B"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Forest biomass plays a crucial role in biogeochemical cycles, particularly the carbon cycle. Carbon is a naturally occurring element with the symbol "C" in the periodic table. Carbon stock is estimated from biomass, following the SNI 7724:2011 standard, which states that 47% of biomass is carbon. This is based on the total forest carbon, approximately 47% of which is stored in forest vegetation. Consequently, forest destruction, fires, logging, and other activities increase the amount of carbon in the atmosphere (</w:t>
      </w:r>
      <w:proofErr w:type="spellStart"/>
      <w:r w:rsidRPr="00860A5F">
        <w:rPr>
          <w:rStyle w:val="y2iqfc"/>
          <w:rFonts w:ascii="Times New Roman" w:eastAsiaTheme="majorEastAsia" w:hAnsi="Times New Roman" w:cs="Times New Roman"/>
          <w:sz w:val="22"/>
          <w:szCs w:val="22"/>
          <w:lang w:val="en"/>
        </w:rPr>
        <w:t>Hairiah</w:t>
      </w:r>
      <w:proofErr w:type="spellEnd"/>
      <w:r w:rsidRPr="00860A5F">
        <w:rPr>
          <w:rStyle w:val="y2iqfc"/>
          <w:rFonts w:ascii="Times New Roman" w:eastAsiaTheme="majorEastAsia" w:hAnsi="Times New Roman" w:cs="Times New Roman"/>
          <w:sz w:val="22"/>
          <w:szCs w:val="22"/>
          <w:lang w:val="en"/>
        </w:rPr>
        <w:t xml:space="preserve"> and </w:t>
      </w:r>
      <w:proofErr w:type="spellStart"/>
      <w:r w:rsidRPr="00860A5F">
        <w:rPr>
          <w:rStyle w:val="y2iqfc"/>
          <w:rFonts w:ascii="Times New Roman" w:eastAsiaTheme="majorEastAsia" w:hAnsi="Times New Roman" w:cs="Times New Roman"/>
          <w:sz w:val="22"/>
          <w:szCs w:val="22"/>
          <w:lang w:val="en"/>
        </w:rPr>
        <w:t>Rahayu</w:t>
      </w:r>
      <w:proofErr w:type="spellEnd"/>
      <w:r w:rsidRPr="00860A5F">
        <w:rPr>
          <w:rStyle w:val="y2iqfc"/>
          <w:rFonts w:ascii="Times New Roman" w:eastAsiaTheme="majorEastAsia" w:hAnsi="Times New Roman" w:cs="Times New Roman"/>
          <w:sz w:val="22"/>
          <w:szCs w:val="22"/>
          <w:lang w:val="en"/>
        </w:rPr>
        <w:t>, 2007).</w:t>
      </w:r>
    </w:p>
    <w:p w14:paraId="00A8E4F2" w14:textId="77777777"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Forests are a vital part of terrestrial ecosystems, acting as global carbon sinks and playing a role in mitigating the long-term and sustainable impacts of global warming (Pan et al. 2011; </w:t>
      </w:r>
      <w:proofErr w:type="spellStart"/>
      <w:r w:rsidRPr="00860A5F">
        <w:rPr>
          <w:rStyle w:val="y2iqfc"/>
          <w:rFonts w:ascii="Times New Roman" w:eastAsiaTheme="majorEastAsia" w:hAnsi="Times New Roman" w:cs="Times New Roman"/>
          <w:sz w:val="22"/>
          <w:szCs w:val="22"/>
          <w:lang w:val="en"/>
        </w:rPr>
        <w:t>Birdsey</w:t>
      </w:r>
      <w:proofErr w:type="spellEnd"/>
      <w:r w:rsidRPr="00860A5F">
        <w:rPr>
          <w:rStyle w:val="y2iqfc"/>
          <w:rFonts w:ascii="Times New Roman" w:eastAsiaTheme="majorEastAsia" w:hAnsi="Times New Roman" w:cs="Times New Roman"/>
          <w:sz w:val="22"/>
          <w:szCs w:val="22"/>
          <w:lang w:val="en"/>
        </w:rPr>
        <w:t xml:space="preserve"> and Pan 2015; Nave et al. 2018). Forests store 48% of all terrestrial carbon (Watson et al. 2000; IPCC 2001; Liu et al. 2014) and produce more than half of global carbon production (Pan et al. 2011).</w:t>
      </w:r>
    </w:p>
    <w:p w14:paraId="6F1ACF52"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Forests are the largest carbon sinks and play a crucial role in the global carbon cycle. According to </w:t>
      </w:r>
      <w:proofErr w:type="spellStart"/>
      <w:r w:rsidRPr="00860A5F">
        <w:rPr>
          <w:rStyle w:val="y2iqfc"/>
          <w:rFonts w:ascii="Times New Roman" w:eastAsiaTheme="majorEastAsia" w:hAnsi="Times New Roman" w:cs="Times New Roman"/>
          <w:sz w:val="22"/>
          <w:szCs w:val="22"/>
          <w:lang w:val="en"/>
        </w:rPr>
        <w:t>Sutaryo</w:t>
      </w:r>
      <w:proofErr w:type="spellEnd"/>
      <w:r w:rsidRPr="00860A5F">
        <w:rPr>
          <w:rStyle w:val="y2iqfc"/>
          <w:rFonts w:ascii="Times New Roman" w:eastAsiaTheme="majorEastAsia" w:hAnsi="Times New Roman" w:cs="Times New Roman"/>
          <w:sz w:val="22"/>
          <w:szCs w:val="22"/>
          <w:lang w:val="en"/>
        </w:rPr>
        <w:t xml:space="preserve"> (2009), forest inventories identify four carbon pools: aboveground biomass (living material above the surface, including trunks, stumps, branches, bark, and seeds from vegetation from both the tree and understory strata); belowground biomass (all biomass from living plant roots); dead organic matter (including dead wood and litter); and soil organic carbon (carbon in soil material and organic soil, including peat).</w:t>
      </w:r>
    </w:p>
    <w:p w14:paraId="729068AF" w14:textId="4AD54CFD"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Accurate information on forest carbon stored in biomass is essential to describe the condition of forest ecosystems and to ensure sustainable forest resource management, resulting in economic and ecological benefits. Carbon accounting in forest lands is crucial because forests are a natural carbon sink</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crucial for regulating the global climate and reducing greenhouse gas emissions. Knowing the amount of carbon stored helps manage forests sustainably, assess climate change mitigation potential, map areas in need of restoration, and fulfill international carbon reporting obligations.</w:t>
      </w:r>
    </w:p>
    <w:p w14:paraId="0D030260" w14:textId="73F76EA8"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One carbon store or sink is community land in villages, including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Community gardens are planted with crops, including rice for daily needs and various trees, especially fruit trees such as durian, rambutan, langsat, and other fruit trees.</w:t>
      </w:r>
    </w:p>
    <w:p w14:paraId="477ECDCE" w14:textId="6DBBCAF0"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Th</w:t>
      </w:r>
      <w:r w:rsidR="00C86634" w:rsidRPr="00860A5F">
        <w:rPr>
          <w:rStyle w:val="y2iqfc"/>
          <w:rFonts w:ascii="Times New Roman" w:eastAsiaTheme="majorEastAsia" w:hAnsi="Times New Roman" w:cs="Times New Roman"/>
          <w:sz w:val="22"/>
          <w:szCs w:val="22"/>
          <w:lang w:val="en"/>
        </w:rPr>
        <w:t>is research aim</w:t>
      </w:r>
      <w:r w:rsidRPr="00860A5F">
        <w:rPr>
          <w:rStyle w:val="y2iqfc"/>
          <w:rFonts w:ascii="Times New Roman" w:eastAsiaTheme="majorEastAsia" w:hAnsi="Times New Roman" w:cs="Times New Roman"/>
          <w:sz w:val="22"/>
          <w:szCs w:val="22"/>
          <w:lang w:val="en"/>
        </w:rPr>
        <w:t>s to obtain information on the carbon content stored in the biomass of community gardens. The results are expected to provide data and information on the carbon content of community gardens, thereby supporting stakeholders with carbon stock data and, ultimately, participating in carbon trading and efforts to mitigate global climate change.</w:t>
      </w:r>
    </w:p>
    <w:p w14:paraId="3983E513" w14:textId="74BBB30C" w:rsidR="00E00027" w:rsidRPr="00860A5F" w:rsidRDefault="00E00027" w:rsidP="00E00027">
      <w:pPr>
        <w:spacing w:after="0" w:line="240" w:lineRule="auto"/>
        <w:jc w:val="both"/>
        <w:rPr>
          <w:rFonts w:ascii="Times New Roman" w:eastAsia="Times New Roman" w:hAnsi="Times New Roman" w:cs="Times New Roman"/>
          <w:lang w:val="id-ID"/>
        </w:rPr>
      </w:pPr>
    </w:p>
    <w:p w14:paraId="6B99A6DF" w14:textId="77777777" w:rsidR="00E00027" w:rsidRPr="005A5A08" w:rsidRDefault="00E00027" w:rsidP="00E00027">
      <w:pPr>
        <w:pStyle w:val="HTMLPreformatted"/>
        <w:jc w:val="both"/>
        <w:rPr>
          <w:rStyle w:val="y2iqfc"/>
          <w:rFonts w:ascii="Times New Roman" w:eastAsiaTheme="majorEastAsia" w:hAnsi="Times New Roman" w:cs="Times New Roman"/>
          <w:b/>
          <w:bCs/>
          <w:sz w:val="22"/>
          <w:szCs w:val="22"/>
          <w:lang w:val="en"/>
        </w:rPr>
      </w:pPr>
      <w:r w:rsidRPr="005A5A08">
        <w:rPr>
          <w:rStyle w:val="y2iqfc"/>
          <w:rFonts w:ascii="Times New Roman" w:eastAsiaTheme="majorEastAsia" w:hAnsi="Times New Roman" w:cs="Times New Roman"/>
          <w:b/>
          <w:bCs/>
          <w:sz w:val="22"/>
          <w:szCs w:val="22"/>
          <w:lang w:val="en"/>
        </w:rPr>
        <w:t>2. RESEARCH METHODOLOGY</w:t>
      </w:r>
    </w:p>
    <w:p w14:paraId="00A3A9B5" w14:textId="77777777" w:rsidR="00E00027" w:rsidRPr="00860A5F" w:rsidRDefault="00E00027" w:rsidP="00E00027">
      <w:pPr>
        <w:pStyle w:val="HTMLPreformatted"/>
        <w:jc w:val="both"/>
        <w:rPr>
          <w:rStyle w:val="y2iqfc"/>
          <w:rFonts w:ascii="Times New Roman" w:eastAsiaTheme="majorEastAsia" w:hAnsi="Times New Roman" w:cs="Times New Roman"/>
          <w:sz w:val="22"/>
          <w:szCs w:val="22"/>
          <w:lang w:val="en"/>
        </w:rPr>
      </w:pPr>
      <w:r w:rsidRPr="005A5A08">
        <w:rPr>
          <w:rStyle w:val="y2iqfc"/>
          <w:rFonts w:ascii="Times New Roman" w:eastAsiaTheme="majorEastAsia" w:hAnsi="Times New Roman" w:cs="Times New Roman"/>
          <w:b/>
          <w:bCs/>
          <w:sz w:val="22"/>
          <w:szCs w:val="22"/>
          <w:lang w:val="en"/>
        </w:rPr>
        <w:t>2.1. Time and Place</w:t>
      </w:r>
    </w:p>
    <w:p w14:paraId="21B23F6D" w14:textId="77777777" w:rsidR="00E00027" w:rsidRPr="00860A5F" w:rsidRDefault="00E00027" w:rsidP="00E00027">
      <w:pPr>
        <w:pStyle w:val="HTMLPreformatted"/>
        <w:ind w:firstLine="567"/>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This research was conducted from November 2023 to January 2024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East Kalimantan Province.</w:t>
      </w:r>
    </w:p>
    <w:p w14:paraId="4E37F4B1" w14:textId="6515B922" w:rsidR="00E00027" w:rsidRPr="005A5A08" w:rsidRDefault="00E00027" w:rsidP="00E00027">
      <w:pPr>
        <w:pStyle w:val="HTMLPreformatted"/>
        <w:jc w:val="both"/>
        <w:rPr>
          <w:rStyle w:val="y2iqfc"/>
          <w:rFonts w:ascii="Times New Roman" w:eastAsiaTheme="majorEastAsia" w:hAnsi="Times New Roman" w:cs="Times New Roman"/>
          <w:b/>
          <w:bCs/>
          <w:sz w:val="22"/>
          <w:szCs w:val="22"/>
          <w:lang w:val="en"/>
        </w:rPr>
      </w:pPr>
      <w:r w:rsidRPr="005A5A08">
        <w:rPr>
          <w:rStyle w:val="y2iqfc"/>
          <w:rFonts w:ascii="Times New Roman" w:eastAsiaTheme="majorEastAsia" w:hAnsi="Times New Roman" w:cs="Times New Roman"/>
          <w:b/>
          <w:bCs/>
          <w:sz w:val="22"/>
          <w:szCs w:val="22"/>
          <w:lang w:val="en"/>
        </w:rPr>
        <w:t xml:space="preserve">2.2. Research </w:t>
      </w:r>
      <w:r w:rsidR="005A5A08">
        <w:rPr>
          <w:rStyle w:val="y2iqfc"/>
          <w:rFonts w:ascii="Times New Roman" w:eastAsiaTheme="majorEastAsia" w:hAnsi="Times New Roman" w:cs="Times New Roman"/>
          <w:b/>
          <w:bCs/>
          <w:sz w:val="22"/>
          <w:szCs w:val="22"/>
          <w:lang w:val="en"/>
        </w:rPr>
        <w:t>Stages</w:t>
      </w:r>
    </w:p>
    <w:p w14:paraId="2E64554F" w14:textId="07F221E1"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The research activities carried out included: literature review, field observations, research plot creation, data collection, data analysis, and reporting. The stages of creating a research plot in a community garden are as follows:</w:t>
      </w:r>
    </w:p>
    <w:p w14:paraId="5A2980D4" w14:textId="77777777" w:rsidR="00E00027" w:rsidRPr="00860A5F" w:rsidRDefault="00E00027" w:rsidP="00E00027">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(1) Create a Research Plot (A) measuring 20 m x 100 m.</w:t>
      </w:r>
    </w:p>
    <w:p w14:paraId="054029A6" w14:textId="77777777" w:rsidR="00E00027" w:rsidRPr="00860A5F" w:rsidRDefault="00E00027" w:rsidP="00E00027">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(2) Then, within Plot (A), create a subplot B measuring 10 m x 50 m.</w:t>
      </w:r>
    </w:p>
    <w:p w14:paraId="098A769C" w14:textId="586552A5" w:rsidR="00E00027" w:rsidRPr="00860A5F" w:rsidRDefault="00E00027" w:rsidP="00E00027">
      <w:pPr>
        <w:pStyle w:val="HTMLPreformatted"/>
        <w:ind w:left="426" w:hanging="426"/>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(3) Then, within subplot (B), create two subplots C measuring 0.5 m x 0.5 m, positioned in the center, intersecting each other. Two more subplots are created</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intersecting each other 10 m apart, and so on, resulting in a total of six subplots C. The research plots are presented in Figure 1.</w:t>
      </w:r>
    </w:p>
    <w:p w14:paraId="6A65E519" w14:textId="1C605166" w:rsidR="00E00027" w:rsidRPr="00860A5F" w:rsidRDefault="00E00027" w:rsidP="00E00027">
      <w:pPr>
        <w:pStyle w:val="HTMLPreformatted"/>
        <w:jc w:val="center"/>
        <w:rPr>
          <w:rFonts w:ascii="Times New Roman" w:hAnsi="Times New Roman" w:cs="Times New Roman"/>
          <w:sz w:val="22"/>
          <w:szCs w:val="22"/>
        </w:rPr>
      </w:pPr>
      <w:r w:rsidRPr="00860A5F">
        <w:rPr>
          <w:rFonts w:ascii="Times New Roman" w:hAnsi="Times New Roman" w:cs="Times New Roman"/>
          <w:noProof/>
          <w:sz w:val="22"/>
          <w:szCs w:val="22"/>
        </w:rPr>
        <w:lastRenderedPageBreak/>
        <w:drawing>
          <wp:inline distT="0" distB="0" distL="114300" distR="114300" wp14:anchorId="361F7332" wp14:editId="6F932764">
            <wp:extent cx="5456555" cy="1314450"/>
            <wp:effectExtent l="0" t="0" r="4445" b="6350"/>
            <wp:docPr id="1118329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stretch>
                      <a:fillRect/>
                    </a:stretch>
                  </pic:blipFill>
                  <pic:spPr>
                    <a:xfrm>
                      <a:off x="0" y="0"/>
                      <a:ext cx="5456555" cy="1314450"/>
                    </a:xfrm>
                    <a:prstGeom prst="rect">
                      <a:avLst/>
                    </a:prstGeom>
                    <a:noFill/>
                    <a:ln>
                      <a:noFill/>
                    </a:ln>
                  </pic:spPr>
                </pic:pic>
              </a:graphicData>
            </a:graphic>
          </wp:inline>
        </w:drawing>
      </w:r>
    </w:p>
    <w:p w14:paraId="604D9E58" w14:textId="42206EB7" w:rsidR="00E00027" w:rsidRPr="00860A5F" w:rsidRDefault="00E00027" w:rsidP="00E00027">
      <w:pPr>
        <w:pStyle w:val="HTMLPreformatted"/>
        <w:jc w:val="center"/>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Figure 1. Creation of research plots and sub-plots for observations and data collection of </w:t>
      </w:r>
      <w:r w:rsidR="00C86634" w:rsidRPr="00860A5F">
        <w:rPr>
          <w:rStyle w:val="y2iqfc"/>
          <w:rFonts w:ascii="Times New Roman" w:eastAsiaTheme="majorEastAsia" w:hAnsi="Times New Roman" w:cs="Times New Roman"/>
          <w:sz w:val="22"/>
          <w:szCs w:val="22"/>
          <w:lang w:val="en"/>
        </w:rPr>
        <w:t xml:space="preserve">the </w:t>
      </w:r>
      <w:r w:rsidRPr="00860A5F">
        <w:rPr>
          <w:rStyle w:val="y2iqfc"/>
          <w:rFonts w:ascii="Times New Roman" w:eastAsiaTheme="majorEastAsia" w:hAnsi="Times New Roman" w:cs="Times New Roman"/>
          <w:sz w:val="22"/>
          <w:szCs w:val="22"/>
          <w:lang w:val="en"/>
        </w:rPr>
        <w:t>research</w:t>
      </w:r>
    </w:p>
    <w:p w14:paraId="592530BA" w14:textId="77777777" w:rsidR="00E00027" w:rsidRPr="00E00027" w:rsidRDefault="00E00027" w:rsidP="00E00027">
      <w:pPr>
        <w:spacing w:after="0" w:line="240" w:lineRule="auto"/>
        <w:jc w:val="both"/>
        <w:rPr>
          <w:rFonts w:ascii="Times New Roman" w:eastAsia="Times New Roman" w:hAnsi="Times New Roman" w:cs="Times New Roman"/>
          <w:lang w:val="id-ID"/>
        </w:rPr>
      </w:pPr>
    </w:p>
    <w:p w14:paraId="71ADC1E9" w14:textId="77777777" w:rsidR="00E00027" w:rsidRDefault="00E00027" w:rsidP="00E00027">
      <w:pPr>
        <w:pStyle w:val="HTMLPreformatted"/>
        <w:rPr>
          <w:rStyle w:val="y2iqfc"/>
          <w:rFonts w:ascii="Times New Roman" w:eastAsiaTheme="majorEastAsia" w:hAnsi="Times New Roman" w:cs="Times New Roman"/>
          <w:sz w:val="22"/>
          <w:szCs w:val="22"/>
          <w:lang w:val="en"/>
        </w:rPr>
      </w:pPr>
      <w:proofErr w:type="gramStart"/>
      <w:r w:rsidRPr="00860A5F">
        <w:rPr>
          <w:rStyle w:val="y2iqfc"/>
          <w:rFonts w:ascii="Times New Roman" w:eastAsiaTheme="majorEastAsia" w:hAnsi="Times New Roman" w:cs="Times New Roman"/>
          <w:sz w:val="22"/>
          <w:szCs w:val="22"/>
          <w:lang w:val="en"/>
        </w:rPr>
        <w:t>Information :</w:t>
      </w:r>
      <w:proofErr w:type="gramEnd"/>
    </w:p>
    <w:p w14:paraId="73A62F13" w14:textId="3DA96FC2" w:rsidR="00584409" w:rsidRPr="00584409" w:rsidRDefault="00584409" w:rsidP="00584409">
      <w:pPr>
        <w:pStyle w:val="HTMLPreformatted"/>
        <w:rPr>
          <w:rStyle w:val="y2iqfc"/>
          <w:rFonts w:ascii="Times New Roman" w:eastAsiaTheme="majorEastAsia" w:hAnsi="Times New Roman" w:cs="Times New Roman"/>
          <w:sz w:val="22"/>
          <w:szCs w:val="22"/>
          <w:lang w:val="en"/>
        </w:rPr>
      </w:pPr>
      <w:r w:rsidRPr="00584409">
        <w:rPr>
          <w:rStyle w:val="y2iqfc"/>
          <w:rFonts w:ascii="Times New Roman" w:eastAsiaTheme="majorEastAsia" w:hAnsi="Times New Roman" w:cs="Times New Roman"/>
          <w:sz w:val="22"/>
          <w:szCs w:val="22"/>
          <w:lang w:val="en"/>
        </w:rPr>
        <w:t xml:space="preserve">Yellow </w:t>
      </w:r>
      <w:r>
        <w:rPr>
          <w:rStyle w:val="y2iqfc"/>
          <w:rFonts w:ascii="Times New Roman" w:eastAsiaTheme="majorEastAsia" w:hAnsi="Times New Roman" w:cs="Times New Roman"/>
          <w:sz w:val="22"/>
          <w:szCs w:val="22"/>
          <w:lang w:val="en"/>
        </w:rPr>
        <w:t xml:space="preserve">      </w:t>
      </w:r>
      <w:r w:rsidRPr="00584409">
        <w:rPr>
          <w:rStyle w:val="y2iqfc"/>
          <w:rFonts w:ascii="Times New Roman" w:eastAsiaTheme="majorEastAsia" w:hAnsi="Times New Roman" w:cs="Times New Roman"/>
          <w:sz w:val="22"/>
          <w:szCs w:val="22"/>
          <w:lang w:val="en"/>
        </w:rPr>
        <w:t>= sub-sub plots measuring 0.5 m x 0.5 m to measure seedlings, litter</w:t>
      </w:r>
      <w:r w:rsidR="009844A8">
        <w:rPr>
          <w:rStyle w:val="y2iqfc"/>
          <w:rFonts w:ascii="Times New Roman" w:eastAsiaTheme="majorEastAsia" w:hAnsi="Times New Roman" w:cs="Times New Roman"/>
          <w:sz w:val="22"/>
          <w:szCs w:val="22"/>
          <w:lang w:val="en"/>
        </w:rPr>
        <w:t>,</w:t>
      </w:r>
      <w:r w:rsidRPr="00584409">
        <w:rPr>
          <w:rStyle w:val="y2iqfc"/>
          <w:rFonts w:ascii="Times New Roman" w:eastAsiaTheme="majorEastAsia" w:hAnsi="Times New Roman" w:cs="Times New Roman"/>
          <w:sz w:val="22"/>
          <w:szCs w:val="22"/>
          <w:lang w:val="en"/>
        </w:rPr>
        <w:t xml:space="preserve"> and undergrowth</w:t>
      </w:r>
      <w:r w:rsidR="009844A8">
        <w:rPr>
          <w:rStyle w:val="y2iqfc"/>
          <w:rFonts w:ascii="Times New Roman" w:eastAsiaTheme="majorEastAsia" w:hAnsi="Times New Roman" w:cs="Times New Roman"/>
          <w:sz w:val="22"/>
          <w:szCs w:val="22"/>
          <w:lang w:val="en"/>
        </w:rPr>
        <w:t>.</w:t>
      </w:r>
    </w:p>
    <w:p w14:paraId="102170C9" w14:textId="77777777" w:rsidR="00584409" w:rsidRDefault="00584409" w:rsidP="00584409">
      <w:pPr>
        <w:pStyle w:val="HTMLPreformatted"/>
        <w:rPr>
          <w:rStyle w:val="y2iqfc"/>
          <w:rFonts w:ascii="Times New Roman" w:eastAsiaTheme="majorEastAsia" w:hAnsi="Times New Roman" w:cs="Times New Roman"/>
          <w:sz w:val="22"/>
          <w:szCs w:val="22"/>
          <w:lang w:val="en"/>
        </w:rPr>
      </w:pPr>
      <w:r w:rsidRPr="00584409">
        <w:rPr>
          <w:rStyle w:val="y2iqfc"/>
          <w:rFonts w:ascii="Times New Roman" w:eastAsiaTheme="majorEastAsia" w:hAnsi="Times New Roman" w:cs="Times New Roman"/>
          <w:sz w:val="22"/>
          <w:szCs w:val="22"/>
          <w:lang w:val="en"/>
        </w:rPr>
        <w:t>Dark green = subplot size 10 m x 50 m to measure trees with a diameter of 5 - 30 cm</w:t>
      </w:r>
    </w:p>
    <w:p w14:paraId="7B5B89A2" w14:textId="0909BB3A" w:rsidR="00E00027" w:rsidRDefault="00584409" w:rsidP="00584409">
      <w:pPr>
        <w:pStyle w:val="HTMLPreformatted"/>
        <w:rPr>
          <w:rStyle w:val="y2iqfc"/>
          <w:rFonts w:ascii="Times New Roman" w:eastAsiaTheme="majorEastAsia" w:hAnsi="Times New Roman" w:cs="Times New Roman"/>
          <w:sz w:val="22"/>
          <w:szCs w:val="22"/>
          <w:lang w:val="en"/>
        </w:rPr>
      </w:pPr>
      <w:r w:rsidRPr="00584409">
        <w:rPr>
          <w:rStyle w:val="y2iqfc"/>
          <w:rFonts w:ascii="Times New Roman" w:eastAsiaTheme="majorEastAsia" w:hAnsi="Times New Roman" w:cs="Times New Roman"/>
          <w:sz w:val="22"/>
          <w:szCs w:val="22"/>
          <w:lang w:val="en"/>
        </w:rPr>
        <w:t>Light green = subplot size 20 m x 100 m for measuring trees with a diameter &gt;30 cm</w:t>
      </w:r>
    </w:p>
    <w:p w14:paraId="6D1E4042" w14:textId="77777777" w:rsidR="00584409" w:rsidRPr="00584409" w:rsidRDefault="00584409" w:rsidP="00584409">
      <w:pPr>
        <w:pStyle w:val="HTMLPreformatted"/>
        <w:rPr>
          <w:rFonts w:ascii="Times New Roman" w:hAnsi="Times New Roman" w:cs="Times New Roman"/>
          <w:sz w:val="22"/>
          <w:szCs w:val="22"/>
        </w:rPr>
      </w:pPr>
    </w:p>
    <w:p w14:paraId="30D7795D" w14:textId="77777777" w:rsidR="00E00027" w:rsidRPr="00584409" w:rsidRDefault="00E00027" w:rsidP="00E00027">
      <w:pPr>
        <w:pStyle w:val="HTMLPreformatted"/>
        <w:jc w:val="both"/>
        <w:rPr>
          <w:rStyle w:val="y2iqfc"/>
          <w:rFonts w:ascii="Times New Roman" w:eastAsiaTheme="majorEastAsia" w:hAnsi="Times New Roman" w:cs="Times New Roman"/>
          <w:b/>
          <w:bCs/>
          <w:sz w:val="22"/>
          <w:szCs w:val="22"/>
          <w:lang w:val="en"/>
        </w:rPr>
      </w:pPr>
      <w:r w:rsidRPr="00584409">
        <w:rPr>
          <w:rStyle w:val="y2iqfc"/>
          <w:rFonts w:ascii="Times New Roman" w:eastAsiaTheme="majorEastAsia" w:hAnsi="Times New Roman" w:cs="Times New Roman"/>
          <w:b/>
          <w:bCs/>
          <w:sz w:val="22"/>
          <w:szCs w:val="22"/>
          <w:lang w:val="en"/>
        </w:rPr>
        <w:t>2.3. Data Collection</w:t>
      </w:r>
    </w:p>
    <w:p w14:paraId="5557B1CF"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Data collection was conducted in the research plots under the following conditions:</w:t>
      </w:r>
    </w:p>
    <w:p w14:paraId="3CAB6533" w14:textId="271076C7" w:rsidR="005A5F17" w:rsidRPr="005A5F17" w:rsidRDefault="00E00027" w:rsidP="005A5F17">
      <w:pPr>
        <w:pStyle w:val="HTMLPreformatted"/>
        <w:ind w:left="284"/>
        <w:jc w:val="both"/>
        <w:rPr>
          <w:rFonts w:ascii="Times New Roman" w:hAnsi="Times New Roman" w:cs="Times New Roman"/>
          <w:sz w:val="24"/>
          <w:szCs w:val="24"/>
        </w:rPr>
      </w:pPr>
      <w:r w:rsidRPr="00860A5F">
        <w:rPr>
          <w:rStyle w:val="y2iqfc"/>
          <w:rFonts w:ascii="Times New Roman" w:eastAsiaTheme="majorEastAsia" w:hAnsi="Times New Roman" w:cs="Times New Roman"/>
          <w:sz w:val="22"/>
          <w:szCs w:val="22"/>
          <w:lang w:val="en"/>
        </w:rPr>
        <w:t>(1) In research plot A, measuring 20 m x 100 m, the diameter was measured at a height of 130 cm from the base of the tree (at breast height) for all trees with a diameter &gt; 30 cm, and the branch-free height was measured</w:t>
      </w:r>
      <w:r w:rsidR="005A5F17">
        <w:rPr>
          <w:rStyle w:val="y2iqfc"/>
          <w:rFonts w:ascii="Times New Roman" w:eastAsiaTheme="majorEastAsia" w:hAnsi="Times New Roman" w:cs="Times New Roman"/>
          <w:sz w:val="22"/>
          <w:szCs w:val="22"/>
          <w:lang w:val="en"/>
        </w:rPr>
        <w:t xml:space="preserve"> </w:t>
      </w:r>
      <w:r w:rsidR="005A5F17" w:rsidRPr="005A5F17">
        <w:rPr>
          <w:rStyle w:val="y2iqfc"/>
          <w:rFonts w:ascii="Times New Roman" w:eastAsiaTheme="majorEastAsia" w:hAnsi="Times New Roman" w:cs="Times New Roman"/>
          <w:sz w:val="24"/>
          <w:szCs w:val="24"/>
          <w:highlight w:val="yellow"/>
          <w:lang w:val="en"/>
        </w:rPr>
        <w:t xml:space="preserve">(this is required for </w:t>
      </w:r>
      <w:r w:rsidR="009844A8">
        <w:rPr>
          <w:rStyle w:val="y2iqfc"/>
          <w:rFonts w:ascii="Times New Roman" w:eastAsiaTheme="majorEastAsia" w:hAnsi="Times New Roman" w:cs="Times New Roman"/>
          <w:sz w:val="24"/>
          <w:szCs w:val="24"/>
          <w:highlight w:val="yellow"/>
          <w:lang w:val="en"/>
        </w:rPr>
        <w:t xml:space="preserve">the </w:t>
      </w:r>
      <w:r w:rsidR="005A5F17">
        <w:rPr>
          <w:rStyle w:val="y2iqfc"/>
          <w:rFonts w:ascii="Times New Roman" w:eastAsiaTheme="majorEastAsia" w:hAnsi="Times New Roman" w:cs="Times New Roman"/>
          <w:sz w:val="24"/>
          <w:szCs w:val="24"/>
          <w:highlight w:val="yellow"/>
          <w:lang w:val="en"/>
        </w:rPr>
        <w:t>a</w:t>
      </w:r>
      <w:r w:rsidR="005A5F17" w:rsidRPr="005A5F17">
        <w:rPr>
          <w:rStyle w:val="y2iqfc"/>
          <w:rFonts w:ascii="Times New Roman" w:eastAsiaTheme="majorEastAsia" w:hAnsi="Times New Roman" w:cs="Times New Roman"/>
          <w:sz w:val="24"/>
          <w:szCs w:val="24"/>
          <w:highlight w:val="yellow"/>
          <w:lang w:val="en"/>
        </w:rPr>
        <w:t xml:space="preserve">ccuracy of </w:t>
      </w:r>
      <w:r w:rsidR="005A5F17">
        <w:rPr>
          <w:rStyle w:val="y2iqfc"/>
          <w:rFonts w:ascii="Times New Roman" w:eastAsiaTheme="majorEastAsia" w:hAnsi="Times New Roman" w:cs="Times New Roman"/>
          <w:sz w:val="24"/>
          <w:szCs w:val="24"/>
          <w:highlight w:val="yellow"/>
          <w:lang w:val="en"/>
        </w:rPr>
        <w:t>b</w:t>
      </w:r>
      <w:r w:rsidR="005A5F17" w:rsidRPr="005A5F17">
        <w:rPr>
          <w:rStyle w:val="y2iqfc"/>
          <w:rFonts w:ascii="Times New Roman" w:eastAsiaTheme="majorEastAsia" w:hAnsi="Times New Roman" w:cs="Times New Roman"/>
          <w:sz w:val="24"/>
          <w:szCs w:val="24"/>
          <w:highlight w:val="yellow"/>
          <w:lang w:val="en"/>
        </w:rPr>
        <w:t xml:space="preserve">iomass and </w:t>
      </w:r>
      <w:r w:rsidR="005A5F17">
        <w:rPr>
          <w:rStyle w:val="y2iqfc"/>
          <w:rFonts w:ascii="Times New Roman" w:eastAsiaTheme="majorEastAsia" w:hAnsi="Times New Roman" w:cs="Times New Roman"/>
          <w:sz w:val="24"/>
          <w:szCs w:val="24"/>
          <w:highlight w:val="yellow"/>
          <w:lang w:val="en"/>
        </w:rPr>
        <w:t>c</w:t>
      </w:r>
      <w:r w:rsidR="005A5F17" w:rsidRPr="005A5F17">
        <w:rPr>
          <w:rStyle w:val="y2iqfc"/>
          <w:rFonts w:ascii="Times New Roman" w:eastAsiaTheme="majorEastAsia" w:hAnsi="Times New Roman" w:cs="Times New Roman"/>
          <w:sz w:val="24"/>
          <w:szCs w:val="24"/>
          <w:highlight w:val="yellow"/>
          <w:lang w:val="en"/>
        </w:rPr>
        <w:t xml:space="preserve">arbon </w:t>
      </w:r>
      <w:r w:rsidR="005A5F17">
        <w:rPr>
          <w:rStyle w:val="y2iqfc"/>
          <w:rFonts w:ascii="Times New Roman" w:eastAsiaTheme="majorEastAsia" w:hAnsi="Times New Roman" w:cs="Times New Roman"/>
          <w:sz w:val="24"/>
          <w:szCs w:val="24"/>
          <w:highlight w:val="yellow"/>
          <w:lang w:val="en"/>
        </w:rPr>
        <w:t>s</w:t>
      </w:r>
      <w:r w:rsidR="005A5F17" w:rsidRPr="005A5F17">
        <w:rPr>
          <w:rStyle w:val="y2iqfc"/>
          <w:rFonts w:ascii="Times New Roman" w:eastAsiaTheme="majorEastAsia" w:hAnsi="Times New Roman" w:cs="Times New Roman"/>
          <w:sz w:val="24"/>
          <w:szCs w:val="24"/>
          <w:highlight w:val="yellow"/>
          <w:lang w:val="en"/>
        </w:rPr>
        <w:t xml:space="preserve">tock </w:t>
      </w:r>
      <w:r w:rsidR="005A5F17">
        <w:rPr>
          <w:rStyle w:val="y2iqfc"/>
          <w:rFonts w:ascii="Times New Roman" w:eastAsiaTheme="majorEastAsia" w:hAnsi="Times New Roman" w:cs="Times New Roman"/>
          <w:sz w:val="24"/>
          <w:szCs w:val="24"/>
          <w:highlight w:val="yellow"/>
          <w:lang w:val="en"/>
        </w:rPr>
        <w:t>e</w:t>
      </w:r>
      <w:r w:rsidR="005A5F17" w:rsidRPr="005A5F17">
        <w:rPr>
          <w:rStyle w:val="y2iqfc"/>
          <w:rFonts w:ascii="Times New Roman" w:eastAsiaTheme="majorEastAsia" w:hAnsi="Times New Roman" w:cs="Times New Roman"/>
          <w:sz w:val="24"/>
          <w:szCs w:val="24"/>
          <w:highlight w:val="yellow"/>
          <w:lang w:val="en"/>
        </w:rPr>
        <w:t>stimates)</w:t>
      </w:r>
    </w:p>
    <w:p w14:paraId="204D47EA" w14:textId="16563776" w:rsidR="00E00027" w:rsidRPr="00860A5F" w:rsidRDefault="00E00027" w:rsidP="005A5A08">
      <w:pPr>
        <w:pStyle w:val="HTMLPreformatted"/>
        <w:ind w:left="284" w:hanging="284"/>
        <w:jc w:val="both"/>
        <w:rPr>
          <w:rStyle w:val="y2iqfc"/>
          <w:rFonts w:ascii="Times New Roman" w:eastAsiaTheme="majorEastAsia" w:hAnsi="Times New Roman" w:cs="Times New Roman"/>
          <w:sz w:val="22"/>
          <w:szCs w:val="22"/>
          <w:lang w:val="en"/>
        </w:rPr>
      </w:pPr>
    </w:p>
    <w:p w14:paraId="4FCC9D32" w14:textId="7F4A1E67" w:rsidR="00E00027" w:rsidRPr="00860A5F" w:rsidRDefault="00E00027" w:rsidP="005A5A08">
      <w:pPr>
        <w:pStyle w:val="HTMLPreformatted"/>
        <w:ind w:left="284" w:hanging="284"/>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(2) In subplot B, measuring 10 m x 50 m, data w</w:t>
      </w:r>
      <w:r w:rsidR="00C86634" w:rsidRPr="00860A5F">
        <w:rPr>
          <w:rStyle w:val="y2iqfc"/>
          <w:rFonts w:ascii="Times New Roman" w:eastAsiaTheme="majorEastAsia" w:hAnsi="Times New Roman" w:cs="Times New Roman"/>
          <w:sz w:val="22"/>
          <w:szCs w:val="22"/>
          <w:lang w:val="en"/>
        </w:rPr>
        <w:t>ere</w:t>
      </w:r>
      <w:r w:rsidRPr="00860A5F">
        <w:rPr>
          <w:rStyle w:val="y2iqfc"/>
          <w:rFonts w:ascii="Times New Roman" w:eastAsiaTheme="majorEastAsia" w:hAnsi="Times New Roman" w:cs="Times New Roman"/>
          <w:sz w:val="22"/>
          <w:szCs w:val="22"/>
          <w:lang w:val="en"/>
        </w:rPr>
        <w:t xml:space="preserve"> collected on all tree samples with a diameter at breast height &gt; 5 cm and &lt; 30 cm.</w:t>
      </w:r>
    </w:p>
    <w:p w14:paraId="499198F8" w14:textId="77777777" w:rsidR="005A5F17" w:rsidRDefault="00E00027" w:rsidP="005A5F17">
      <w:pPr>
        <w:pStyle w:val="HTMLPreformatted"/>
        <w:ind w:left="426" w:hanging="426"/>
        <w:jc w:val="both"/>
      </w:pPr>
      <w:r w:rsidRPr="00860A5F">
        <w:rPr>
          <w:rStyle w:val="y2iqfc"/>
          <w:rFonts w:ascii="Times New Roman" w:eastAsiaTheme="majorEastAsia" w:hAnsi="Times New Roman" w:cs="Times New Roman"/>
          <w:sz w:val="22"/>
          <w:szCs w:val="22"/>
          <w:lang w:val="en"/>
        </w:rPr>
        <w:t xml:space="preserve">(3) </w:t>
      </w:r>
      <w:r w:rsidRPr="005A5F17">
        <w:rPr>
          <w:rStyle w:val="y2iqfc"/>
          <w:rFonts w:ascii="Times New Roman" w:eastAsiaTheme="majorEastAsia" w:hAnsi="Times New Roman" w:cs="Times New Roman"/>
          <w:sz w:val="24"/>
          <w:szCs w:val="24"/>
          <w:lang w:val="en"/>
        </w:rPr>
        <w:t>In subplot C, measuring 0.5 m x 0.5 m, all vegetation growing within subplot C was cut, including seedling-stage vegetation measuring &lt; 5 cm, shrubs, grasses, or other herbs. The stems and leaves were separated and placed in plastic bags. Each leaf and wood sample was then weighed</w:t>
      </w:r>
      <w:r w:rsidR="005A5F17" w:rsidRPr="005A5F17">
        <w:rPr>
          <w:rStyle w:val="y2iqfc"/>
          <w:rFonts w:ascii="Times New Roman" w:eastAsiaTheme="majorEastAsia" w:hAnsi="Times New Roman" w:cs="Times New Roman"/>
          <w:sz w:val="24"/>
          <w:szCs w:val="24"/>
          <w:lang w:val="en"/>
        </w:rPr>
        <w:t xml:space="preserve"> (</w:t>
      </w:r>
      <w:r w:rsidR="005A5F17" w:rsidRPr="005A5F17">
        <w:rPr>
          <w:rStyle w:val="y2iqfc"/>
          <w:rFonts w:ascii="Times New Roman" w:eastAsiaTheme="majorEastAsia" w:hAnsi="Times New Roman" w:cs="Times New Roman"/>
          <w:sz w:val="24"/>
          <w:szCs w:val="24"/>
          <w:highlight w:val="yellow"/>
          <w:lang w:val="en"/>
        </w:rPr>
        <w:t>this biomass remains important in ecology, especially in the context of carbon storage in the underground layers (roots) and also in maintaining the health of the ecosystem as a whole)</w:t>
      </w:r>
    </w:p>
    <w:p w14:paraId="18370762" w14:textId="71A649B8" w:rsidR="00E00027" w:rsidRPr="00860A5F" w:rsidRDefault="00E00027" w:rsidP="005A5A08">
      <w:pPr>
        <w:pStyle w:val="HTMLPreformatted"/>
        <w:ind w:left="284" w:hanging="284"/>
        <w:jc w:val="both"/>
        <w:rPr>
          <w:rStyle w:val="y2iqfc"/>
          <w:rFonts w:ascii="Times New Roman" w:eastAsiaTheme="majorEastAsia" w:hAnsi="Times New Roman" w:cs="Times New Roman"/>
          <w:sz w:val="22"/>
          <w:szCs w:val="22"/>
          <w:lang w:val="en"/>
        </w:rPr>
      </w:pPr>
    </w:p>
    <w:p w14:paraId="7CAE3F13" w14:textId="77777777" w:rsidR="00E00027" w:rsidRPr="00860A5F" w:rsidRDefault="00E00027" w:rsidP="00E00027">
      <w:pPr>
        <w:pStyle w:val="HTMLPreformatted"/>
        <w:ind w:left="567" w:hanging="567"/>
        <w:jc w:val="both"/>
        <w:rPr>
          <w:rFonts w:ascii="Times New Roman" w:hAnsi="Times New Roman" w:cs="Times New Roman"/>
          <w:sz w:val="22"/>
          <w:szCs w:val="22"/>
        </w:rPr>
      </w:pPr>
    </w:p>
    <w:p w14:paraId="189D9829" w14:textId="77777777" w:rsidR="00E00027" w:rsidRPr="00860A5F" w:rsidRDefault="00E00027" w:rsidP="00E00027">
      <w:pPr>
        <w:pStyle w:val="HTMLPreformatted"/>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2.4. Data Analysis</w:t>
      </w:r>
    </w:p>
    <w:p w14:paraId="70E312B1" w14:textId="77777777" w:rsidR="00E00027" w:rsidRPr="00860A5F" w:rsidRDefault="00E00027" w:rsidP="00E00027">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(1) Estimating Tree Biomass</w:t>
      </w:r>
    </w:p>
    <w:p w14:paraId="5250FA2C" w14:textId="2831398C" w:rsidR="00E00027" w:rsidRPr="005A5F17" w:rsidRDefault="005A5F17" w:rsidP="005A5F17">
      <w:pPr>
        <w:pStyle w:val="HTMLPreformatted"/>
        <w:ind w:left="426"/>
        <w:jc w:val="both"/>
        <w:rPr>
          <w:rStyle w:val="y2iqfc"/>
          <w:rFonts w:ascii="Times New Roman" w:hAnsi="Times New Roman" w:cs="Times New Roman"/>
          <w:sz w:val="24"/>
          <w:szCs w:val="24"/>
        </w:rPr>
      </w:pPr>
      <w:r w:rsidRPr="005A5F17">
        <w:rPr>
          <w:rStyle w:val="y2iqfc"/>
          <w:rFonts w:ascii="Times New Roman" w:eastAsiaTheme="majorEastAsia" w:hAnsi="Times New Roman" w:cs="Times New Roman"/>
          <w:sz w:val="24"/>
          <w:szCs w:val="24"/>
          <w:highlight w:val="yellow"/>
          <w:lang w:val="en"/>
        </w:rPr>
        <w:t xml:space="preserve">To estimate the size of tree biomass, namely starting from young trees with a diameter at breast height &gt; 5 cm, this is done by estimating the volume of the tree without branches using the formula according to </w:t>
      </w:r>
      <w:proofErr w:type="spellStart"/>
      <w:r w:rsidRPr="005A5F17">
        <w:rPr>
          <w:rStyle w:val="y2iqfc"/>
          <w:rFonts w:ascii="Times New Roman" w:eastAsiaTheme="majorEastAsia" w:hAnsi="Times New Roman" w:cs="Times New Roman"/>
          <w:sz w:val="24"/>
          <w:szCs w:val="24"/>
          <w:highlight w:val="yellow"/>
          <w:lang w:val="en"/>
        </w:rPr>
        <w:t>Susetyo</w:t>
      </w:r>
      <w:proofErr w:type="spellEnd"/>
      <w:r w:rsidRPr="005A5F17">
        <w:rPr>
          <w:rStyle w:val="y2iqfc"/>
          <w:rFonts w:ascii="Times New Roman" w:eastAsiaTheme="majorEastAsia" w:hAnsi="Times New Roman" w:cs="Times New Roman"/>
          <w:sz w:val="24"/>
          <w:szCs w:val="24"/>
          <w:highlight w:val="yellow"/>
          <w:lang w:val="en"/>
        </w:rPr>
        <w:t xml:space="preserve"> (2021), namely</w:t>
      </w:r>
      <w:r w:rsidR="00E00027" w:rsidRPr="005A5F17">
        <w:rPr>
          <w:rStyle w:val="y2iqfc"/>
          <w:rFonts w:ascii="Times New Roman" w:eastAsiaTheme="majorEastAsia" w:hAnsi="Times New Roman" w:cs="Times New Roman"/>
          <w:sz w:val="24"/>
          <w:szCs w:val="24"/>
          <w:highlight w:val="yellow"/>
          <w:lang w:val="en"/>
        </w:rPr>
        <w:t>: V tree = 1/4 π D2 x t X f</w:t>
      </w:r>
    </w:p>
    <w:p w14:paraId="5267000F" w14:textId="0D6C464A" w:rsidR="00E00027" w:rsidRPr="00860A5F" w:rsidRDefault="00E00027" w:rsidP="005A5A08">
      <w:pPr>
        <w:pStyle w:val="HTMLPreformatted"/>
        <w:ind w:left="426"/>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Information: V = tree volume; D = tree diameter at breast height; t = branch-free height; and F = tree shape factor (default 0.7).</w:t>
      </w:r>
    </w:p>
    <w:p w14:paraId="47F45B9D" w14:textId="43B6AF11" w:rsidR="00E00027" w:rsidRPr="00860A5F" w:rsidRDefault="00E00027" w:rsidP="00E00027">
      <w:pPr>
        <w:pStyle w:val="HTMLPreformatted"/>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(2) Estimating Tree Aboveground Biomass</w:t>
      </w:r>
    </w:p>
    <w:p w14:paraId="046B6397" w14:textId="77777777" w:rsidR="00E00027" w:rsidRPr="00860A5F" w:rsidRDefault="00E00027" w:rsidP="00E00027">
      <w:pPr>
        <w:pStyle w:val="HTMLPreformatted"/>
        <w:ind w:left="426"/>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To estimate the aboveground biomass of a tree, the tree volume data is entered into the following formula: Bap = v x BJ x BEF</w:t>
      </w:r>
    </w:p>
    <w:p w14:paraId="26D84B42" w14:textId="75EB98B8" w:rsidR="00E00027" w:rsidRPr="00860A5F" w:rsidRDefault="00E00027" w:rsidP="00E00027">
      <w:pPr>
        <w:pStyle w:val="HTMLPreformatted"/>
        <w:ind w:left="426"/>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Information: Bap = aboveground tree biomass (kg); v = branch-free wood volume (m3); BJ = wood specific gravity (kg/m3); for the average BJ of agroforestry systems, BEF = 0.59; BEF = biomass expansion factor (default 1.67) (</w:t>
      </w:r>
      <w:proofErr w:type="spellStart"/>
      <w:r w:rsidRPr="00860A5F">
        <w:rPr>
          <w:rStyle w:val="y2iqfc"/>
          <w:rFonts w:ascii="Times New Roman" w:eastAsiaTheme="majorEastAsia" w:hAnsi="Times New Roman" w:cs="Times New Roman"/>
          <w:sz w:val="22"/>
          <w:szCs w:val="22"/>
          <w:lang w:val="en"/>
        </w:rPr>
        <w:t>Hairiah</w:t>
      </w:r>
      <w:proofErr w:type="spellEnd"/>
      <w:r w:rsidRPr="00860A5F">
        <w:rPr>
          <w:rStyle w:val="y2iqfc"/>
          <w:rFonts w:ascii="Times New Roman" w:eastAsiaTheme="majorEastAsia" w:hAnsi="Times New Roman" w:cs="Times New Roman"/>
          <w:sz w:val="22"/>
          <w:szCs w:val="22"/>
          <w:lang w:val="en"/>
        </w:rPr>
        <w:t xml:space="preserve"> K, 2011)</w:t>
      </w:r>
    </w:p>
    <w:p w14:paraId="2775C613" w14:textId="77777777" w:rsidR="00377B6A" w:rsidRPr="00860A5F" w:rsidRDefault="00377B6A" w:rsidP="00377B6A">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(3) Understory Biomass Measurement</w:t>
      </w:r>
    </w:p>
    <w:p w14:paraId="5060D4B4" w14:textId="77777777" w:rsidR="005A5F17" w:rsidRPr="005A5F17" w:rsidRDefault="005A5F17" w:rsidP="005A5F17">
      <w:pPr>
        <w:pStyle w:val="HTMLPreformatted"/>
        <w:ind w:left="426"/>
        <w:jc w:val="both"/>
        <w:rPr>
          <w:rFonts w:ascii="Times New Roman" w:hAnsi="Times New Roman" w:cs="Times New Roman"/>
          <w:sz w:val="24"/>
          <w:szCs w:val="24"/>
        </w:rPr>
      </w:pPr>
      <w:r w:rsidRPr="005A5F17">
        <w:rPr>
          <w:rStyle w:val="y2iqfc"/>
          <w:rFonts w:ascii="Times New Roman" w:eastAsiaTheme="majorEastAsia" w:hAnsi="Times New Roman" w:cs="Times New Roman"/>
          <w:sz w:val="24"/>
          <w:szCs w:val="24"/>
          <w:highlight w:val="yellow"/>
          <w:lang w:val="en"/>
        </w:rPr>
        <w:t>Understory biomass was measured destructively, namely by cutting all parts of the vegetation above the ground surface from plots measuring 0.5 m x 0.5 m in 6 subplots C. The stages of measuring understory biomass were carried out (</w:t>
      </w:r>
      <w:proofErr w:type="spellStart"/>
      <w:r w:rsidRPr="005A5F17">
        <w:rPr>
          <w:rStyle w:val="y2iqfc"/>
          <w:rFonts w:ascii="Times New Roman" w:eastAsiaTheme="majorEastAsia" w:hAnsi="Times New Roman" w:cs="Times New Roman"/>
          <w:sz w:val="24"/>
          <w:szCs w:val="24"/>
          <w:highlight w:val="yellow"/>
          <w:lang w:val="en"/>
        </w:rPr>
        <w:t>Hairiah</w:t>
      </w:r>
      <w:proofErr w:type="spellEnd"/>
      <w:r w:rsidRPr="005A5F17">
        <w:rPr>
          <w:rStyle w:val="y2iqfc"/>
          <w:rFonts w:ascii="Times New Roman" w:eastAsiaTheme="majorEastAsia" w:hAnsi="Times New Roman" w:cs="Times New Roman"/>
          <w:sz w:val="24"/>
          <w:szCs w:val="24"/>
          <w:highlight w:val="yellow"/>
          <w:lang w:val="en"/>
        </w:rPr>
        <w:t xml:space="preserve"> &amp; </w:t>
      </w:r>
      <w:proofErr w:type="spellStart"/>
      <w:r w:rsidRPr="005A5F17">
        <w:rPr>
          <w:rStyle w:val="y2iqfc"/>
          <w:rFonts w:ascii="Times New Roman" w:eastAsiaTheme="majorEastAsia" w:hAnsi="Times New Roman" w:cs="Times New Roman"/>
          <w:sz w:val="24"/>
          <w:szCs w:val="24"/>
          <w:highlight w:val="yellow"/>
          <w:lang w:val="en"/>
        </w:rPr>
        <w:t>Rahayu</w:t>
      </w:r>
      <w:proofErr w:type="spellEnd"/>
      <w:r w:rsidRPr="005A5F17">
        <w:rPr>
          <w:rStyle w:val="y2iqfc"/>
          <w:rFonts w:ascii="Times New Roman" w:eastAsiaTheme="majorEastAsia" w:hAnsi="Times New Roman" w:cs="Times New Roman"/>
          <w:sz w:val="24"/>
          <w:szCs w:val="24"/>
          <w:highlight w:val="yellow"/>
          <w:lang w:val="en"/>
        </w:rPr>
        <w:t>, 2007; National Standardization Agency, 2011) as follows:</w:t>
      </w:r>
    </w:p>
    <w:p w14:paraId="6951D456"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lastRenderedPageBreak/>
        <w:t>a. Cut all understory vegetation (&lt;5 cm in diameter, herbs, and grasses) in subplot C, separating leaves, twigs, and woody stems.</w:t>
      </w:r>
    </w:p>
    <w:p w14:paraId="034BD744"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b. Place them in plastic bags and label them according to the subplot number.</w:t>
      </w:r>
    </w:p>
    <w:p w14:paraId="0F8DEE06"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c. For ease of handling, tie all plastic bags containing understory vegetation collected from one plot C and place them in a larger plastic bag to facilitate sampling.</w:t>
      </w:r>
    </w:p>
    <w:p w14:paraId="52F11700"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d. Weigh the wet weight of leaves, twigs, and stems and record the weight.</w:t>
      </w:r>
    </w:p>
    <w:p w14:paraId="060C3C09"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e. Take 300 grams of subsamples of each leaf and stem biomass. If only a small amount of biomass is collected (&lt;100 grams), weigh all of them and use them as subsamples.</w:t>
      </w:r>
    </w:p>
    <w:p w14:paraId="1E67E15D" w14:textId="38AF220F" w:rsidR="00377B6A" w:rsidRPr="00860A5F" w:rsidRDefault="00377B6A" w:rsidP="00377B6A">
      <w:pPr>
        <w:pStyle w:val="HTMLPreformatted"/>
        <w:ind w:left="709" w:hanging="283"/>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f. Dry the sub-sample of plant biomass that has been taken in an oven at a temperature of 800 </w:t>
      </w:r>
      <w:r w:rsidR="00C86634" w:rsidRPr="00860A5F">
        <w:rPr>
          <w:rStyle w:val="y2iqfc"/>
          <w:rFonts w:ascii="Times New Roman" w:eastAsiaTheme="majorEastAsia" w:hAnsi="Times New Roman" w:cs="Times New Roman"/>
          <w:sz w:val="22"/>
          <w:szCs w:val="22"/>
          <w:lang w:val="en"/>
        </w:rPr>
        <w:t>°C</w:t>
      </w:r>
      <w:r w:rsidRPr="00860A5F">
        <w:rPr>
          <w:rStyle w:val="y2iqfc"/>
          <w:rFonts w:ascii="Times New Roman" w:eastAsiaTheme="majorEastAsia" w:hAnsi="Times New Roman" w:cs="Times New Roman"/>
          <w:sz w:val="22"/>
          <w:szCs w:val="22"/>
          <w:lang w:val="en"/>
        </w:rPr>
        <w:t xml:space="preserve"> for 2 x 24 hours or until the weight is constant, then weigh the dry weight.</w:t>
      </w:r>
    </w:p>
    <w:p w14:paraId="6A52F86C" w14:textId="77777777" w:rsidR="00E00027" w:rsidRPr="00860A5F" w:rsidRDefault="00E00027" w:rsidP="00377B6A">
      <w:pPr>
        <w:tabs>
          <w:tab w:val="left" w:pos="1200"/>
        </w:tabs>
        <w:ind w:left="426"/>
        <w:jc w:val="both"/>
        <w:rPr>
          <w:rFonts w:ascii="Times New Roman" w:hAnsi="Times New Roman" w:cs="Times New Roman"/>
        </w:rPr>
      </w:pPr>
    </w:p>
    <w:p w14:paraId="25C0F911" w14:textId="77777777" w:rsidR="00377B6A" w:rsidRPr="00860A5F" w:rsidRDefault="00377B6A" w:rsidP="00377B6A">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sz w:val="22"/>
          <w:szCs w:val="22"/>
          <w:lang w:val="en"/>
        </w:rPr>
        <w:t xml:space="preserve">3. </w:t>
      </w:r>
      <w:r w:rsidRPr="00860A5F">
        <w:rPr>
          <w:rStyle w:val="y2iqfc"/>
          <w:rFonts w:ascii="Times New Roman" w:eastAsiaTheme="majorEastAsia" w:hAnsi="Times New Roman" w:cs="Times New Roman"/>
          <w:b/>
          <w:bCs/>
          <w:sz w:val="22"/>
          <w:szCs w:val="22"/>
          <w:lang w:val="en"/>
        </w:rPr>
        <w:t>RESULTS AND DISCUSSION</w:t>
      </w:r>
    </w:p>
    <w:p w14:paraId="771FBDDD" w14:textId="77777777" w:rsidR="00377B6A" w:rsidRPr="00860A5F" w:rsidRDefault="00377B6A" w:rsidP="00377B6A">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3.1. General Description of the Research Area</w:t>
      </w:r>
    </w:p>
    <w:p w14:paraId="4D868F9F" w14:textId="592D1D13" w:rsidR="00377B6A" w:rsidRPr="005A5F17" w:rsidRDefault="00377B6A" w:rsidP="005A5F17">
      <w:pPr>
        <w:pStyle w:val="HTMLPreformatted"/>
        <w:ind w:firstLine="567"/>
        <w:jc w:val="both"/>
        <w:rPr>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Geographically,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is located between 113º48'49" and 115º45'49" East longitude, bordering </w:t>
      </w:r>
      <w:proofErr w:type="spellStart"/>
      <w:r w:rsidRPr="00860A5F">
        <w:rPr>
          <w:rStyle w:val="y2iqfc"/>
          <w:rFonts w:ascii="Times New Roman" w:eastAsiaTheme="majorEastAsia" w:hAnsi="Times New Roman" w:cs="Times New Roman"/>
          <w:sz w:val="22"/>
          <w:szCs w:val="22"/>
          <w:lang w:val="en"/>
        </w:rPr>
        <w:t>Malinau</w:t>
      </w:r>
      <w:proofErr w:type="spellEnd"/>
      <w:r w:rsidRPr="00860A5F">
        <w:rPr>
          <w:rStyle w:val="y2iqfc"/>
          <w:rFonts w:ascii="Times New Roman" w:eastAsiaTheme="majorEastAsia" w:hAnsi="Times New Roman" w:cs="Times New Roman"/>
          <w:sz w:val="22"/>
          <w:szCs w:val="22"/>
          <w:lang w:val="en"/>
        </w:rPr>
        <w:t xml:space="preserve"> and 1º31'05" North latitude and 0º09'00" South latitude, with an area of ​​15,315 km².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borders Mahakam Ulu Regency. Based on the area,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located in a basin area close to the Mahakam River Basin, with a topographic elevation of 50-500 meters above sea level. In general, the city is dominated by slopes of 0-2% and 15-40%, with urban areas located close to river basins with relatively gentle slopes (</w:t>
      </w: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Hadi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Widhyanto</w:t>
      </w:r>
      <w:proofErr w:type="spellEnd"/>
      <w:r w:rsidRPr="00860A5F">
        <w:rPr>
          <w:rStyle w:val="y2iqfc"/>
          <w:rFonts w:ascii="Times New Roman" w:eastAsiaTheme="majorEastAsia" w:hAnsi="Times New Roman" w:cs="Times New Roman"/>
          <w:sz w:val="22"/>
          <w:szCs w:val="22"/>
          <w:lang w:val="en"/>
        </w:rPr>
        <w:t xml:space="preserve">, &amp; </w:t>
      </w:r>
      <w:proofErr w:type="spellStart"/>
      <w:r w:rsidRPr="00860A5F">
        <w:rPr>
          <w:rStyle w:val="y2iqfc"/>
          <w:rFonts w:ascii="Times New Roman" w:eastAsiaTheme="majorEastAsia" w:hAnsi="Times New Roman" w:cs="Times New Roman"/>
          <w:sz w:val="22"/>
          <w:szCs w:val="22"/>
          <w:lang w:val="en"/>
        </w:rPr>
        <w:t>Nazief</w:t>
      </w:r>
      <w:proofErr w:type="spellEnd"/>
      <w:r w:rsidRPr="00860A5F">
        <w:rPr>
          <w:rStyle w:val="y2iqfc"/>
          <w:rFonts w:ascii="Times New Roman" w:eastAsiaTheme="majorEastAsia" w:hAnsi="Times New Roman" w:cs="Times New Roman"/>
          <w:sz w:val="22"/>
          <w:szCs w:val="22"/>
          <w:lang w:val="en"/>
        </w:rPr>
        <w:t>, 2013).</w:t>
      </w:r>
      <w:r w:rsidR="005A5F17">
        <w:rPr>
          <w:rStyle w:val="y2iqfc"/>
          <w:rFonts w:ascii="Times New Roman" w:eastAsiaTheme="majorEastAsia" w:hAnsi="Times New Roman" w:cs="Times New Roman"/>
          <w:sz w:val="22"/>
          <w:szCs w:val="22"/>
          <w:lang w:val="en"/>
        </w:rPr>
        <w:t xml:space="preserve">  </w:t>
      </w:r>
      <w:r w:rsidRPr="005A5F17">
        <w:rPr>
          <w:rStyle w:val="y2iqfc"/>
          <w:rFonts w:ascii="Times New Roman" w:eastAsiaTheme="majorEastAsia" w:hAnsi="Times New Roman" w:cs="Times New Roman"/>
          <w:sz w:val="22"/>
          <w:szCs w:val="22"/>
          <w:highlight w:val="yellow"/>
          <w:lang w:val="en"/>
        </w:rPr>
        <w:t xml:space="preserve">The research site is a former farmland in </w:t>
      </w:r>
      <w:proofErr w:type="spellStart"/>
      <w:r w:rsidRPr="005A5F17">
        <w:rPr>
          <w:rStyle w:val="y2iqfc"/>
          <w:rFonts w:ascii="Times New Roman" w:eastAsiaTheme="majorEastAsia" w:hAnsi="Times New Roman" w:cs="Times New Roman"/>
          <w:sz w:val="22"/>
          <w:szCs w:val="22"/>
          <w:highlight w:val="yellow"/>
          <w:lang w:val="en"/>
        </w:rPr>
        <w:t>Lakan</w:t>
      </w:r>
      <w:proofErr w:type="spellEnd"/>
      <w:r w:rsidRPr="005A5F17">
        <w:rPr>
          <w:rStyle w:val="y2iqfc"/>
          <w:rFonts w:ascii="Times New Roman" w:eastAsiaTheme="majorEastAsia" w:hAnsi="Times New Roman" w:cs="Times New Roman"/>
          <w:sz w:val="22"/>
          <w:szCs w:val="22"/>
          <w:highlight w:val="yellow"/>
          <w:lang w:val="en"/>
        </w:rPr>
        <w:t xml:space="preserve"> </w:t>
      </w:r>
      <w:proofErr w:type="spellStart"/>
      <w:r w:rsidRPr="005A5F17">
        <w:rPr>
          <w:rStyle w:val="y2iqfc"/>
          <w:rFonts w:ascii="Times New Roman" w:eastAsiaTheme="majorEastAsia" w:hAnsi="Times New Roman" w:cs="Times New Roman"/>
          <w:sz w:val="22"/>
          <w:szCs w:val="22"/>
          <w:highlight w:val="yellow"/>
          <w:lang w:val="en"/>
        </w:rPr>
        <w:t>Bilem</w:t>
      </w:r>
      <w:proofErr w:type="spellEnd"/>
      <w:r w:rsidRPr="005A5F17">
        <w:rPr>
          <w:rStyle w:val="y2iqfc"/>
          <w:rFonts w:ascii="Times New Roman" w:eastAsiaTheme="majorEastAsia" w:hAnsi="Times New Roman" w:cs="Times New Roman"/>
          <w:sz w:val="22"/>
          <w:szCs w:val="22"/>
          <w:highlight w:val="yellow"/>
          <w:lang w:val="en"/>
        </w:rPr>
        <w:t xml:space="preserve"> Village, </w:t>
      </w:r>
      <w:proofErr w:type="spellStart"/>
      <w:r w:rsidRPr="005A5F17">
        <w:rPr>
          <w:rStyle w:val="y2iqfc"/>
          <w:rFonts w:ascii="Times New Roman" w:eastAsiaTheme="majorEastAsia" w:hAnsi="Times New Roman" w:cs="Times New Roman"/>
          <w:sz w:val="22"/>
          <w:szCs w:val="22"/>
          <w:highlight w:val="yellow"/>
          <w:lang w:val="en"/>
        </w:rPr>
        <w:t>Nyuatan</w:t>
      </w:r>
      <w:proofErr w:type="spellEnd"/>
      <w:r w:rsidRPr="005A5F17">
        <w:rPr>
          <w:rStyle w:val="y2iqfc"/>
          <w:rFonts w:ascii="Times New Roman" w:eastAsiaTheme="majorEastAsia" w:hAnsi="Times New Roman" w:cs="Times New Roman"/>
          <w:sz w:val="22"/>
          <w:szCs w:val="22"/>
          <w:highlight w:val="yellow"/>
          <w:lang w:val="en"/>
        </w:rPr>
        <w:t xml:space="preserve"> District, West </w:t>
      </w:r>
      <w:proofErr w:type="spellStart"/>
      <w:r w:rsidRPr="005A5F17">
        <w:rPr>
          <w:rStyle w:val="y2iqfc"/>
          <w:rFonts w:ascii="Times New Roman" w:eastAsiaTheme="majorEastAsia" w:hAnsi="Times New Roman" w:cs="Times New Roman"/>
          <w:sz w:val="22"/>
          <w:szCs w:val="22"/>
          <w:highlight w:val="yellow"/>
          <w:lang w:val="en"/>
        </w:rPr>
        <w:t>Kutai</w:t>
      </w:r>
      <w:proofErr w:type="spellEnd"/>
      <w:r w:rsidRPr="005A5F17">
        <w:rPr>
          <w:rStyle w:val="y2iqfc"/>
          <w:rFonts w:ascii="Times New Roman" w:eastAsiaTheme="majorEastAsia" w:hAnsi="Times New Roman" w:cs="Times New Roman"/>
          <w:sz w:val="22"/>
          <w:szCs w:val="22"/>
          <w:highlight w:val="yellow"/>
          <w:lang w:val="en"/>
        </w:rPr>
        <w:t xml:space="preserve"> Regency, East Kalimantan Province.</w:t>
      </w:r>
      <w:r w:rsidRPr="00860A5F">
        <w:rPr>
          <w:rStyle w:val="y2iqfc"/>
          <w:rFonts w:ascii="Times New Roman" w:eastAsiaTheme="majorEastAsia" w:hAnsi="Times New Roman" w:cs="Times New Roman"/>
          <w:sz w:val="22"/>
          <w:szCs w:val="22"/>
          <w:lang w:val="en"/>
        </w:rPr>
        <w:t xml:space="preserve"> </w:t>
      </w:r>
    </w:p>
    <w:p w14:paraId="3483D793"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The climate in </w:t>
      </w:r>
      <w:proofErr w:type="spellStart"/>
      <w:r w:rsidRPr="00860A5F">
        <w:rPr>
          <w:rStyle w:val="y2iqfc"/>
          <w:rFonts w:ascii="Times New Roman" w:eastAsiaTheme="majorEastAsia" w:hAnsi="Times New Roman" w:cs="Times New Roman"/>
          <w:sz w:val="22"/>
          <w:szCs w:val="22"/>
          <w:lang w:val="en"/>
        </w:rPr>
        <w:t>Ujoh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Bilang</w:t>
      </w:r>
      <w:proofErr w:type="spellEnd"/>
      <w:r w:rsidRPr="00860A5F">
        <w:rPr>
          <w:rStyle w:val="y2iqfc"/>
          <w:rFonts w:ascii="Times New Roman" w:eastAsiaTheme="majorEastAsia" w:hAnsi="Times New Roman" w:cs="Times New Roman"/>
          <w:sz w:val="22"/>
          <w:szCs w:val="22"/>
          <w:lang w:val="en"/>
        </w:rPr>
        <w:t xml:space="preserve">, according to the </w:t>
      </w:r>
      <w:proofErr w:type="spellStart"/>
      <w:r w:rsidRPr="00860A5F">
        <w:rPr>
          <w:rStyle w:val="y2iqfc"/>
          <w:rFonts w:ascii="Times New Roman" w:eastAsiaTheme="majorEastAsia" w:hAnsi="Times New Roman" w:cs="Times New Roman"/>
          <w:sz w:val="22"/>
          <w:szCs w:val="22"/>
          <w:lang w:val="en"/>
        </w:rPr>
        <w:t>Koppen</w:t>
      </w:r>
      <w:proofErr w:type="spellEnd"/>
      <w:r w:rsidRPr="00860A5F">
        <w:rPr>
          <w:rStyle w:val="y2iqfc"/>
          <w:rFonts w:ascii="Times New Roman" w:eastAsiaTheme="majorEastAsia" w:hAnsi="Times New Roman" w:cs="Times New Roman"/>
          <w:sz w:val="22"/>
          <w:szCs w:val="22"/>
          <w:lang w:val="en"/>
        </w:rPr>
        <w:t xml:space="preserve"> Climate Classification, falls into the </w:t>
      </w:r>
      <w:proofErr w:type="spellStart"/>
      <w:r w:rsidRPr="00860A5F">
        <w:rPr>
          <w:rStyle w:val="y2iqfc"/>
          <w:rFonts w:ascii="Times New Roman" w:eastAsiaTheme="majorEastAsia" w:hAnsi="Times New Roman" w:cs="Times New Roman"/>
          <w:sz w:val="22"/>
          <w:szCs w:val="22"/>
          <w:lang w:val="en"/>
        </w:rPr>
        <w:t>Af</w:t>
      </w:r>
      <w:proofErr w:type="spellEnd"/>
      <w:r w:rsidRPr="00860A5F">
        <w:rPr>
          <w:rStyle w:val="y2iqfc"/>
          <w:rFonts w:ascii="Times New Roman" w:eastAsiaTheme="majorEastAsia" w:hAnsi="Times New Roman" w:cs="Times New Roman"/>
          <w:sz w:val="22"/>
          <w:szCs w:val="22"/>
          <w:lang w:val="en"/>
        </w:rPr>
        <w:t xml:space="preserve"> (tropical rainforest) category. Hydrologically,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located in the Mahakam Watershed, with the Mahakam River flowing through the central area for 22.3 km. Flooding frequently occurs along the banks of the Mahakam River, depending on rainfall. During high tide, the water level can rise between 2.5 and 10 m from the lowest point (</w:t>
      </w: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et al., 2013).</w:t>
      </w:r>
    </w:p>
    <w:p w14:paraId="40F1F559" w14:textId="31BA63A1"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geological structure of East Kalimantan Province is dominated by clayey sedimentary rocks, with some tertiary and quaternary sedimentary rocks. The soil type in most of East Kalimantan is Red-Yellow </w:t>
      </w:r>
      <w:proofErr w:type="spellStart"/>
      <w:r w:rsidRPr="00860A5F">
        <w:rPr>
          <w:rStyle w:val="y2iqfc"/>
          <w:rFonts w:ascii="Times New Roman" w:eastAsiaTheme="majorEastAsia" w:hAnsi="Times New Roman" w:cs="Times New Roman"/>
          <w:sz w:val="22"/>
          <w:szCs w:val="22"/>
          <w:lang w:val="en"/>
        </w:rPr>
        <w:t>Podsolic</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Ultisol</w:t>
      </w:r>
      <w:proofErr w:type="spellEnd"/>
      <w:r w:rsidRPr="00860A5F">
        <w:rPr>
          <w:rStyle w:val="y2iqfc"/>
          <w:rFonts w:ascii="Times New Roman" w:eastAsiaTheme="majorEastAsia" w:hAnsi="Times New Roman" w:cs="Times New Roman"/>
          <w:sz w:val="22"/>
          <w:szCs w:val="22"/>
          <w:lang w:val="en"/>
        </w:rPr>
        <w:t xml:space="preserve">) with relatively low fertility. Soil types in Mahakam Ulu Regency include </w:t>
      </w:r>
      <w:proofErr w:type="spellStart"/>
      <w:r w:rsidRPr="00860A5F">
        <w:rPr>
          <w:rStyle w:val="y2iqfc"/>
          <w:rFonts w:ascii="Times New Roman" w:eastAsiaTheme="majorEastAsia" w:hAnsi="Times New Roman" w:cs="Times New Roman"/>
          <w:sz w:val="22"/>
          <w:szCs w:val="22"/>
          <w:lang w:val="en"/>
        </w:rPr>
        <w:t>Podsolic</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Entisol</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Gleisol</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Histosol</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Lithosol</w:t>
      </w:r>
      <w:proofErr w:type="spellEnd"/>
      <w:r w:rsidRPr="00860A5F">
        <w:rPr>
          <w:rStyle w:val="y2iqfc"/>
          <w:rFonts w:ascii="Times New Roman" w:eastAsiaTheme="majorEastAsia" w:hAnsi="Times New Roman" w:cs="Times New Roman"/>
          <w:sz w:val="22"/>
          <w:szCs w:val="22"/>
          <w:lang w:val="en"/>
        </w:rPr>
        <w:t xml:space="preserve">, Latosol, and </w:t>
      </w:r>
      <w:proofErr w:type="spellStart"/>
      <w:r w:rsidRPr="00860A5F">
        <w:rPr>
          <w:rStyle w:val="y2iqfc"/>
          <w:rFonts w:ascii="Times New Roman" w:eastAsiaTheme="majorEastAsia" w:hAnsi="Times New Roman" w:cs="Times New Roman"/>
          <w:sz w:val="22"/>
          <w:szCs w:val="22"/>
          <w:lang w:val="en"/>
        </w:rPr>
        <w:t>Regosol</w:t>
      </w:r>
      <w:proofErr w:type="spellEnd"/>
      <w:r w:rsidRPr="00860A5F">
        <w:rPr>
          <w:rStyle w:val="y2iqfc"/>
          <w:rFonts w:ascii="Times New Roman" w:eastAsiaTheme="majorEastAsia" w:hAnsi="Times New Roman" w:cs="Times New Roman"/>
          <w:sz w:val="22"/>
          <w:szCs w:val="22"/>
          <w:lang w:val="en"/>
        </w:rPr>
        <w:t xml:space="preserve">. The top layer of soil is brownish-black, while the middle and lower layers are yellow. The topsoil is silty clay, the middle loam </w:t>
      </w:r>
      <w:proofErr w:type="spellStart"/>
      <w:r w:rsidRPr="00860A5F">
        <w:rPr>
          <w:rStyle w:val="y2iqfc"/>
          <w:rFonts w:ascii="Times New Roman" w:eastAsiaTheme="majorEastAsia" w:hAnsi="Times New Roman" w:cs="Times New Roman"/>
          <w:sz w:val="22"/>
          <w:szCs w:val="22"/>
          <w:lang w:val="en"/>
        </w:rPr>
        <w:t>loam</w:t>
      </w:r>
      <w:proofErr w:type="spellEnd"/>
      <w:r w:rsidRPr="00860A5F">
        <w:rPr>
          <w:rStyle w:val="y2iqfc"/>
          <w:rFonts w:ascii="Times New Roman" w:eastAsiaTheme="majorEastAsia" w:hAnsi="Times New Roman" w:cs="Times New Roman"/>
          <w:sz w:val="22"/>
          <w:szCs w:val="22"/>
          <w:lang w:val="en"/>
        </w:rPr>
        <w:t xml:space="preserve">, and the bottom </w:t>
      </w:r>
      <w:r w:rsidR="00C86634" w:rsidRPr="00860A5F">
        <w:rPr>
          <w:rStyle w:val="y2iqfc"/>
          <w:rFonts w:ascii="Times New Roman" w:eastAsiaTheme="majorEastAsia" w:hAnsi="Times New Roman" w:cs="Times New Roman"/>
          <w:sz w:val="22"/>
          <w:szCs w:val="22"/>
          <w:lang w:val="en"/>
        </w:rPr>
        <w:t xml:space="preserve">is </w:t>
      </w:r>
      <w:r w:rsidRPr="00860A5F">
        <w:rPr>
          <w:rStyle w:val="y2iqfc"/>
          <w:rFonts w:ascii="Times New Roman" w:eastAsiaTheme="majorEastAsia" w:hAnsi="Times New Roman" w:cs="Times New Roman"/>
          <w:sz w:val="22"/>
          <w:szCs w:val="22"/>
          <w:lang w:val="en"/>
        </w:rPr>
        <w:t>sandy clay. East Kalimantan's climate is classified as tropical humid, with acidic soils. Podzolic soil is the most widely available soil type, allowing for agricultural development.</w:t>
      </w:r>
    </w:p>
    <w:p w14:paraId="60DB2F4E"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located in a basin near the Mahakam River Basin, with a topographic elevation of 50-500 meters above sea level. Generally, urban areas are dominated by slopes of 0-2% and 15-40%, while urban areas are located close to river basins with relatively gentle slopes (</w:t>
      </w: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et al. 2013).</w:t>
      </w:r>
    </w:p>
    <w:p w14:paraId="771040D3" w14:textId="77777777" w:rsidR="00C86634" w:rsidRPr="00860A5F" w:rsidRDefault="00C86634" w:rsidP="00377B6A">
      <w:pPr>
        <w:pStyle w:val="HTMLPreformatted"/>
        <w:jc w:val="both"/>
        <w:rPr>
          <w:rStyle w:val="y2iqfc"/>
          <w:rFonts w:ascii="Times New Roman" w:eastAsiaTheme="majorEastAsia" w:hAnsi="Times New Roman" w:cs="Times New Roman"/>
          <w:b/>
          <w:bCs/>
          <w:sz w:val="22"/>
          <w:szCs w:val="22"/>
          <w:lang w:val="en"/>
        </w:rPr>
      </w:pPr>
    </w:p>
    <w:p w14:paraId="53B2BB12" w14:textId="568CEA95" w:rsidR="00377B6A" w:rsidRPr="00860A5F" w:rsidRDefault="00377B6A" w:rsidP="00377B6A">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3.2. General Condition of Community Gardens</w:t>
      </w:r>
    </w:p>
    <w:p w14:paraId="0ABF856C" w14:textId="4593D1AB"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research plot is located in a community garden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This former field was once used by the community to clear the land by burning, then planting rice and other crops for family needs</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such as corn, chilies, vegetables, and others. When the soil becomes infertile, as indicated by declining rice yields and insufficient daily needs, the community will move to clear new fields in the forest. The former fields will be abandoned, but they usually plant fruit trees such as durian, </w:t>
      </w:r>
      <w:proofErr w:type="spellStart"/>
      <w:r w:rsidRPr="00860A5F">
        <w:rPr>
          <w:rStyle w:val="y2iqfc"/>
          <w:rFonts w:ascii="Times New Roman" w:eastAsiaTheme="majorEastAsia" w:hAnsi="Times New Roman" w:cs="Times New Roman"/>
          <w:sz w:val="22"/>
          <w:szCs w:val="22"/>
          <w:lang w:val="en"/>
        </w:rPr>
        <w:t>cempedak</w:t>
      </w:r>
      <w:proofErr w:type="spellEnd"/>
      <w:r w:rsidRPr="00860A5F">
        <w:rPr>
          <w:rStyle w:val="y2iqfc"/>
          <w:rFonts w:ascii="Times New Roman" w:eastAsiaTheme="majorEastAsia" w:hAnsi="Times New Roman" w:cs="Times New Roman"/>
          <w:sz w:val="22"/>
          <w:szCs w:val="22"/>
          <w:lang w:val="en"/>
        </w:rPr>
        <w:t xml:space="preserve">, langsat, candlenut, and trees like </w:t>
      </w:r>
      <w:proofErr w:type="spellStart"/>
      <w:r w:rsidRPr="00860A5F">
        <w:rPr>
          <w:rStyle w:val="y2iqfc"/>
          <w:rFonts w:ascii="Times New Roman" w:eastAsiaTheme="majorEastAsia" w:hAnsi="Times New Roman" w:cs="Times New Roman"/>
          <w:sz w:val="22"/>
          <w:szCs w:val="22"/>
          <w:lang w:val="en"/>
        </w:rPr>
        <w:t>sungkai</w:t>
      </w:r>
      <w:proofErr w:type="spellEnd"/>
      <w:r w:rsidRPr="00860A5F">
        <w:rPr>
          <w:rStyle w:val="y2iqfc"/>
          <w:rFonts w:ascii="Times New Roman" w:eastAsiaTheme="majorEastAsia" w:hAnsi="Times New Roman" w:cs="Times New Roman"/>
          <w:sz w:val="22"/>
          <w:szCs w:val="22"/>
          <w:lang w:val="en"/>
        </w:rPr>
        <w:t>, among others. This is done to signal that the land is already owned by someone.</w:t>
      </w:r>
    </w:p>
    <w:p w14:paraId="0A9B698C" w14:textId="7A8D6EC1" w:rsidR="00377B6A" w:rsidRPr="00860A5F" w:rsidRDefault="00377B6A" w:rsidP="00377B6A">
      <w:pPr>
        <w:pStyle w:val="HTMLPreformatted"/>
        <w:ind w:firstLine="567"/>
        <w:jc w:val="both"/>
        <w:rPr>
          <w:rFonts w:ascii="Times New Roman" w:hAnsi="Times New Roman" w:cs="Times New Roman"/>
          <w:sz w:val="22"/>
          <w:szCs w:val="22"/>
        </w:rPr>
      </w:pPr>
      <w:r w:rsidRPr="005A5F17">
        <w:rPr>
          <w:rStyle w:val="y2iqfc"/>
          <w:rFonts w:ascii="Times New Roman" w:eastAsiaTheme="majorEastAsia" w:hAnsi="Times New Roman" w:cs="Times New Roman"/>
          <w:sz w:val="22"/>
          <w:szCs w:val="22"/>
          <w:highlight w:val="yellow"/>
          <w:lang w:val="en"/>
        </w:rPr>
        <w:t xml:space="preserve">The results of the research conducted on the research plot, namely on the community garden land which is estimated to be 20 years old, there are types of plants, namely: </w:t>
      </w:r>
      <w:proofErr w:type="spellStart"/>
      <w:r w:rsidR="005A5F17" w:rsidRPr="005A5F17">
        <w:rPr>
          <w:rStyle w:val="y2iqfc"/>
          <w:rFonts w:ascii="Times New Roman" w:eastAsiaTheme="majorEastAsia" w:hAnsi="Times New Roman" w:cs="Times New Roman"/>
          <w:sz w:val="22"/>
          <w:szCs w:val="22"/>
          <w:highlight w:val="yellow"/>
          <w:lang w:val="en"/>
        </w:rPr>
        <w:t>S</w:t>
      </w:r>
      <w:r w:rsidRPr="005A5F17">
        <w:rPr>
          <w:rStyle w:val="y2iqfc"/>
          <w:rFonts w:ascii="Times New Roman" w:eastAsiaTheme="majorEastAsia" w:hAnsi="Times New Roman" w:cs="Times New Roman"/>
          <w:sz w:val="22"/>
          <w:szCs w:val="22"/>
          <w:highlight w:val="yellow"/>
          <w:lang w:val="en"/>
        </w:rPr>
        <w:t>ungkai</w:t>
      </w:r>
      <w:proofErr w:type="spellEnd"/>
      <w:r w:rsidRPr="005A5F17">
        <w:rPr>
          <w:rStyle w:val="y2iqfc"/>
          <w:rFonts w:ascii="Times New Roman" w:eastAsiaTheme="majorEastAsia" w:hAnsi="Times New Roman" w:cs="Times New Roman"/>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Peronema</w:t>
      </w:r>
      <w:proofErr w:type="spellEnd"/>
      <w:r w:rsidRPr="005A5F17">
        <w:rPr>
          <w:rStyle w:val="y2iqfc"/>
          <w:rFonts w:ascii="Times New Roman" w:eastAsiaTheme="majorEastAsia" w:hAnsi="Times New Roman" w:cs="Times New Roman"/>
          <w:i/>
          <w:iCs/>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canescens</w:t>
      </w:r>
      <w:proofErr w:type="spellEnd"/>
      <w:r w:rsidRPr="005A5F17">
        <w:rPr>
          <w:rStyle w:val="y2iqfc"/>
          <w:rFonts w:ascii="Times New Roman" w:eastAsiaTheme="majorEastAsia" w:hAnsi="Times New Roman" w:cs="Times New Roman"/>
          <w:sz w:val="22"/>
          <w:szCs w:val="22"/>
          <w:highlight w:val="yellow"/>
          <w:lang w:val="en"/>
        </w:rPr>
        <w:t xml:space="preserve"> Jack), </w:t>
      </w:r>
      <w:r w:rsidR="005A5F17" w:rsidRPr="005A5F17">
        <w:rPr>
          <w:rStyle w:val="y2iqfc"/>
          <w:rFonts w:ascii="Times New Roman" w:eastAsiaTheme="majorEastAsia" w:hAnsi="Times New Roman" w:cs="Times New Roman"/>
          <w:sz w:val="22"/>
          <w:szCs w:val="22"/>
          <w:highlight w:val="yellow"/>
          <w:lang w:val="en"/>
        </w:rPr>
        <w:t>C</w:t>
      </w:r>
      <w:r w:rsidRPr="005A5F17">
        <w:rPr>
          <w:rStyle w:val="y2iqfc"/>
          <w:rFonts w:ascii="Times New Roman" w:eastAsiaTheme="majorEastAsia" w:hAnsi="Times New Roman" w:cs="Times New Roman"/>
          <w:sz w:val="22"/>
          <w:szCs w:val="22"/>
          <w:highlight w:val="yellow"/>
          <w:lang w:val="en"/>
        </w:rPr>
        <w:t>andlenut (</w:t>
      </w:r>
      <w:proofErr w:type="spellStart"/>
      <w:r w:rsidRPr="005A5F17">
        <w:rPr>
          <w:rStyle w:val="y2iqfc"/>
          <w:rFonts w:ascii="Times New Roman" w:eastAsiaTheme="majorEastAsia" w:hAnsi="Times New Roman" w:cs="Times New Roman"/>
          <w:i/>
          <w:iCs/>
          <w:sz w:val="22"/>
          <w:szCs w:val="22"/>
          <w:highlight w:val="yellow"/>
          <w:lang w:val="en"/>
        </w:rPr>
        <w:t>Aleurites</w:t>
      </w:r>
      <w:proofErr w:type="spellEnd"/>
      <w:r w:rsidRPr="005A5F17">
        <w:rPr>
          <w:rStyle w:val="y2iqfc"/>
          <w:rFonts w:ascii="Times New Roman" w:eastAsiaTheme="majorEastAsia" w:hAnsi="Times New Roman" w:cs="Times New Roman"/>
          <w:i/>
          <w:iCs/>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moluccanus</w:t>
      </w:r>
      <w:proofErr w:type="spellEnd"/>
      <w:r w:rsidRPr="005A5F17">
        <w:rPr>
          <w:rStyle w:val="y2iqfc"/>
          <w:rFonts w:ascii="Times New Roman" w:eastAsiaTheme="majorEastAsia" w:hAnsi="Times New Roman" w:cs="Times New Roman"/>
          <w:sz w:val="22"/>
          <w:szCs w:val="22"/>
          <w:highlight w:val="yellow"/>
          <w:lang w:val="en"/>
        </w:rPr>
        <w:t xml:space="preserve">), </w:t>
      </w:r>
      <w:r w:rsidR="005A5F17" w:rsidRPr="005A5F17">
        <w:rPr>
          <w:rStyle w:val="y2iqfc"/>
          <w:rFonts w:ascii="Times New Roman" w:eastAsiaTheme="majorEastAsia" w:hAnsi="Times New Roman" w:cs="Times New Roman"/>
          <w:sz w:val="22"/>
          <w:szCs w:val="22"/>
          <w:highlight w:val="yellow"/>
          <w:lang w:val="en"/>
        </w:rPr>
        <w:t>R</w:t>
      </w:r>
      <w:r w:rsidRPr="005A5F17">
        <w:rPr>
          <w:rStyle w:val="y2iqfc"/>
          <w:rFonts w:ascii="Times New Roman" w:eastAsiaTheme="majorEastAsia" w:hAnsi="Times New Roman" w:cs="Times New Roman"/>
          <w:sz w:val="22"/>
          <w:szCs w:val="22"/>
          <w:highlight w:val="yellow"/>
          <w:lang w:val="en"/>
        </w:rPr>
        <w:t>ubber (</w:t>
      </w:r>
      <w:proofErr w:type="spellStart"/>
      <w:r w:rsidRPr="005A5F17">
        <w:rPr>
          <w:rStyle w:val="y2iqfc"/>
          <w:rFonts w:ascii="Times New Roman" w:eastAsiaTheme="majorEastAsia" w:hAnsi="Times New Roman" w:cs="Times New Roman"/>
          <w:i/>
          <w:iCs/>
          <w:sz w:val="22"/>
          <w:szCs w:val="22"/>
          <w:highlight w:val="yellow"/>
          <w:lang w:val="en"/>
        </w:rPr>
        <w:t>Hevea</w:t>
      </w:r>
      <w:proofErr w:type="spellEnd"/>
      <w:r w:rsidRPr="005A5F17">
        <w:rPr>
          <w:rStyle w:val="y2iqfc"/>
          <w:rFonts w:ascii="Times New Roman" w:eastAsiaTheme="majorEastAsia" w:hAnsi="Times New Roman" w:cs="Times New Roman"/>
          <w:i/>
          <w:iCs/>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brasiliensis</w:t>
      </w:r>
      <w:proofErr w:type="spellEnd"/>
      <w:r w:rsidRPr="005A5F17">
        <w:rPr>
          <w:rStyle w:val="y2iqfc"/>
          <w:rFonts w:ascii="Times New Roman" w:eastAsiaTheme="majorEastAsia" w:hAnsi="Times New Roman" w:cs="Times New Roman"/>
          <w:sz w:val="22"/>
          <w:szCs w:val="22"/>
          <w:highlight w:val="yellow"/>
          <w:lang w:val="en"/>
        </w:rPr>
        <w:t xml:space="preserve">), </w:t>
      </w:r>
      <w:r w:rsidR="005A5F17" w:rsidRPr="005A5F17">
        <w:rPr>
          <w:rStyle w:val="y2iqfc"/>
          <w:rFonts w:ascii="Times New Roman" w:eastAsiaTheme="majorEastAsia" w:hAnsi="Times New Roman" w:cs="Times New Roman"/>
          <w:sz w:val="22"/>
          <w:szCs w:val="22"/>
          <w:highlight w:val="yellow"/>
          <w:lang w:val="en"/>
        </w:rPr>
        <w:t>D</w:t>
      </w:r>
      <w:r w:rsidRPr="005A5F17">
        <w:rPr>
          <w:rStyle w:val="y2iqfc"/>
          <w:rFonts w:ascii="Times New Roman" w:eastAsiaTheme="majorEastAsia" w:hAnsi="Times New Roman" w:cs="Times New Roman"/>
          <w:sz w:val="22"/>
          <w:szCs w:val="22"/>
          <w:highlight w:val="yellow"/>
          <w:lang w:val="en"/>
        </w:rPr>
        <w:t>urian (</w:t>
      </w:r>
      <w:proofErr w:type="spellStart"/>
      <w:r w:rsidRPr="005A5F17">
        <w:rPr>
          <w:rStyle w:val="y2iqfc"/>
          <w:rFonts w:ascii="Times New Roman" w:eastAsiaTheme="majorEastAsia" w:hAnsi="Times New Roman" w:cs="Times New Roman"/>
          <w:i/>
          <w:iCs/>
          <w:sz w:val="22"/>
          <w:szCs w:val="22"/>
          <w:highlight w:val="yellow"/>
          <w:lang w:val="en"/>
        </w:rPr>
        <w:t>Durio</w:t>
      </w:r>
      <w:proofErr w:type="spellEnd"/>
      <w:r w:rsidRPr="005A5F17">
        <w:rPr>
          <w:rStyle w:val="y2iqfc"/>
          <w:rFonts w:ascii="Times New Roman" w:eastAsiaTheme="majorEastAsia" w:hAnsi="Times New Roman" w:cs="Times New Roman"/>
          <w:i/>
          <w:iCs/>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zibethinus</w:t>
      </w:r>
      <w:proofErr w:type="spellEnd"/>
      <w:r w:rsidRPr="005A5F17">
        <w:rPr>
          <w:rStyle w:val="y2iqfc"/>
          <w:rFonts w:ascii="Times New Roman" w:eastAsiaTheme="majorEastAsia" w:hAnsi="Times New Roman" w:cs="Times New Roman"/>
          <w:sz w:val="22"/>
          <w:szCs w:val="22"/>
          <w:highlight w:val="yellow"/>
          <w:lang w:val="en"/>
        </w:rPr>
        <w:t xml:space="preserve">), </w:t>
      </w:r>
      <w:r w:rsidR="005A5F17" w:rsidRPr="005A5F17">
        <w:rPr>
          <w:rStyle w:val="y2iqfc"/>
          <w:rFonts w:ascii="Times New Roman" w:eastAsiaTheme="majorEastAsia" w:hAnsi="Times New Roman" w:cs="Times New Roman"/>
          <w:sz w:val="22"/>
          <w:szCs w:val="22"/>
          <w:highlight w:val="yellow"/>
          <w:lang w:val="en"/>
        </w:rPr>
        <w:t>L</w:t>
      </w:r>
      <w:r w:rsidRPr="005A5F17">
        <w:rPr>
          <w:rStyle w:val="y2iqfc"/>
          <w:rFonts w:ascii="Times New Roman" w:eastAsiaTheme="majorEastAsia" w:hAnsi="Times New Roman" w:cs="Times New Roman"/>
          <w:sz w:val="22"/>
          <w:szCs w:val="22"/>
          <w:highlight w:val="yellow"/>
          <w:lang w:val="en"/>
        </w:rPr>
        <w:t>angsat (</w:t>
      </w:r>
      <w:proofErr w:type="spellStart"/>
      <w:r w:rsidRPr="005A5F17">
        <w:rPr>
          <w:rStyle w:val="y2iqfc"/>
          <w:rFonts w:ascii="Times New Roman" w:eastAsiaTheme="majorEastAsia" w:hAnsi="Times New Roman" w:cs="Times New Roman"/>
          <w:i/>
          <w:iCs/>
          <w:sz w:val="22"/>
          <w:szCs w:val="22"/>
          <w:highlight w:val="yellow"/>
          <w:lang w:val="en"/>
        </w:rPr>
        <w:t>Lanceum</w:t>
      </w:r>
      <w:proofErr w:type="spellEnd"/>
      <w:r w:rsidRPr="005A5F17">
        <w:rPr>
          <w:rStyle w:val="y2iqfc"/>
          <w:rFonts w:ascii="Times New Roman" w:eastAsiaTheme="majorEastAsia" w:hAnsi="Times New Roman" w:cs="Times New Roman"/>
          <w:i/>
          <w:iCs/>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domesticum</w:t>
      </w:r>
      <w:proofErr w:type="spellEnd"/>
      <w:r w:rsidRPr="005A5F17">
        <w:rPr>
          <w:rStyle w:val="y2iqfc"/>
          <w:rFonts w:ascii="Times New Roman" w:eastAsiaTheme="majorEastAsia" w:hAnsi="Times New Roman" w:cs="Times New Roman"/>
          <w:sz w:val="22"/>
          <w:szCs w:val="22"/>
          <w:highlight w:val="yellow"/>
          <w:lang w:val="en"/>
        </w:rPr>
        <w:t xml:space="preserve">), </w:t>
      </w:r>
      <w:r w:rsidR="005A5F17" w:rsidRPr="005A5F17">
        <w:rPr>
          <w:rStyle w:val="y2iqfc"/>
          <w:rFonts w:ascii="Times New Roman" w:eastAsiaTheme="majorEastAsia" w:hAnsi="Times New Roman" w:cs="Times New Roman"/>
          <w:sz w:val="22"/>
          <w:szCs w:val="22"/>
          <w:highlight w:val="yellow"/>
          <w:lang w:val="en"/>
        </w:rPr>
        <w:t>R</w:t>
      </w:r>
      <w:r w:rsidRPr="005A5F17">
        <w:rPr>
          <w:rStyle w:val="y2iqfc"/>
          <w:rFonts w:ascii="Times New Roman" w:eastAsiaTheme="majorEastAsia" w:hAnsi="Times New Roman" w:cs="Times New Roman"/>
          <w:sz w:val="22"/>
          <w:szCs w:val="22"/>
          <w:highlight w:val="yellow"/>
          <w:lang w:val="en"/>
        </w:rPr>
        <w:t>ambutan (</w:t>
      </w:r>
      <w:proofErr w:type="spellStart"/>
      <w:r w:rsidRPr="005A5F17">
        <w:rPr>
          <w:rStyle w:val="y2iqfc"/>
          <w:rFonts w:ascii="Times New Roman" w:eastAsiaTheme="majorEastAsia" w:hAnsi="Times New Roman" w:cs="Times New Roman"/>
          <w:i/>
          <w:iCs/>
          <w:sz w:val="22"/>
          <w:szCs w:val="22"/>
          <w:highlight w:val="yellow"/>
          <w:lang w:val="en"/>
        </w:rPr>
        <w:t>Nephelium</w:t>
      </w:r>
      <w:proofErr w:type="spellEnd"/>
      <w:r w:rsidRPr="005A5F17">
        <w:rPr>
          <w:rStyle w:val="y2iqfc"/>
          <w:rFonts w:ascii="Times New Roman" w:eastAsiaTheme="majorEastAsia" w:hAnsi="Times New Roman" w:cs="Times New Roman"/>
          <w:i/>
          <w:iCs/>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lappaceum</w:t>
      </w:r>
      <w:proofErr w:type="spellEnd"/>
      <w:r w:rsidRPr="005A5F17">
        <w:rPr>
          <w:rStyle w:val="y2iqfc"/>
          <w:rFonts w:ascii="Times New Roman" w:eastAsiaTheme="majorEastAsia" w:hAnsi="Times New Roman" w:cs="Times New Roman"/>
          <w:sz w:val="22"/>
          <w:szCs w:val="22"/>
          <w:highlight w:val="yellow"/>
          <w:lang w:val="en"/>
        </w:rPr>
        <w:t xml:space="preserve">), </w:t>
      </w:r>
      <w:proofErr w:type="spellStart"/>
      <w:r w:rsidR="005A5F17" w:rsidRPr="005A5F17">
        <w:rPr>
          <w:rStyle w:val="y2iqfc"/>
          <w:rFonts w:ascii="Times New Roman" w:eastAsiaTheme="majorEastAsia" w:hAnsi="Times New Roman" w:cs="Times New Roman"/>
          <w:sz w:val="22"/>
          <w:szCs w:val="22"/>
          <w:highlight w:val="yellow"/>
          <w:lang w:val="en"/>
        </w:rPr>
        <w:t>C</w:t>
      </w:r>
      <w:r w:rsidRPr="005A5F17">
        <w:rPr>
          <w:rStyle w:val="y2iqfc"/>
          <w:rFonts w:ascii="Times New Roman" w:eastAsiaTheme="majorEastAsia" w:hAnsi="Times New Roman" w:cs="Times New Roman"/>
          <w:sz w:val="22"/>
          <w:szCs w:val="22"/>
          <w:highlight w:val="yellow"/>
          <w:lang w:val="en"/>
        </w:rPr>
        <w:t>empedak</w:t>
      </w:r>
      <w:proofErr w:type="spellEnd"/>
      <w:r w:rsidRPr="005A5F17">
        <w:rPr>
          <w:rStyle w:val="y2iqfc"/>
          <w:rFonts w:ascii="Times New Roman" w:eastAsiaTheme="majorEastAsia" w:hAnsi="Times New Roman" w:cs="Times New Roman"/>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Arthocarpus</w:t>
      </w:r>
      <w:proofErr w:type="spellEnd"/>
      <w:r w:rsidRPr="005A5F17">
        <w:rPr>
          <w:rStyle w:val="y2iqfc"/>
          <w:rFonts w:ascii="Times New Roman" w:eastAsiaTheme="majorEastAsia" w:hAnsi="Times New Roman" w:cs="Times New Roman"/>
          <w:i/>
          <w:iCs/>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cempedan</w:t>
      </w:r>
      <w:proofErr w:type="spellEnd"/>
      <w:r w:rsidRPr="005A5F17">
        <w:rPr>
          <w:rStyle w:val="y2iqfc"/>
          <w:rFonts w:ascii="Times New Roman" w:eastAsiaTheme="majorEastAsia" w:hAnsi="Times New Roman" w:cs="Times New Roman"/>
          <w:sz w:val="22"/>
          <w:szCs w:val="22"/>
          <w:highlight w:val="yellow"/>
          <w:lang w:val="en"/>
        </w:rPr>
        <w:t xml:space="preserve">), </w:t>
      </w:r>
      <w:proofErr w:type="spellStart"/>
      <w:r w:rsidR="005A5F17" w:rsidRPr="005A5F17">
        <w:rPr>
          <w:rStyle w:val="y2iqfc"/>
          <w:rFonts w:ascii="Times New Roman" w:eastAsiaTheme="majorEastAsia" w:hAnsi="Times New Roman" w:cs="Times New Roman"/>
          <w:sz w:val="22"/>
          <w:szCs w:val="22"/>
          <w:highlight w:val="yellow"/>
          <w:lang w:val="en"/>
        </w:rPr>
        <w:t>V</w:t>
      </w:r>
      <w:r w:rsidRPr="005A5F17">
        <w:rPr>
          <w:rStyle w:val="y2iqfc"/>
          <w:rFonts w:ascii="Times New Roman" w:eastAsiaTheme="majorEastAsia" w:hAnsi="Times New Roman" w:cs="Times New Roman"/>
          <w:sz w:val="22"/>
          <w:szCs w:val="22"/>
          <w:highlight w:val="yellow"/>
          <w:lang w:val="en"/>
        </w:rPr>
        <w:t>amboo</w:t>
      </w:r>
      <w:proofErr w:type="spellEnd"/>
      <w:r w:rsidRPr="005A5F17">
        <w:rPr>
          <w:rStyle w:val="y2iqfc"/>
          <w:rFonts w:ascii="Times New Roman" w:eastAsiaTheme="majorEastAsia" w:hAnsi="Times New Roman" w:cs="Times New Roman"/>
          <w:sz w:val="22"/>
          <w:szCs w:val="22"/>
          <w:highlight w:val="yellow"/>
          <w:lang w:val="en"/>
        </w:rPr>
        <w:t xml:space="preserve"> </w:t>
      </w:r>
      <w:r w:rsidRPr="005A5F17">
        <w:rPr>
          <w:rStyle w:val="y2iqfc"/>
          <w:rFonts w:ascii="Times New Roman" w:eastAsiaTheme="majorEastAsia" w:hAnsi="Times New Roman" w:cs="Times New Roman"/>
          <w:sz w:val="22"/>
          <w:szCs w:val="22"/>
          <w:highlight w:val="yellow"/>
          <w:lang w:val="en"/>
        </w:rPr>
        <w:lastRenderedPageBreak/>
        <w:t>(</w:t>
      </w:r>
      <w:proofErr w:type="spellStart"/>
      <w:r w:rsidRPr="005A5F17">
        <w:rPr>
          <w:rStyle w:val="y2iqfc"/>
          <w:rFonts w:ascii="Times New Roman" w:eastAsiaTheme="majorEastAsia" w:hAnsi="Times New Roman" w:cs="Times New Roman"/>
          <w:i/>
          <w:iCs/>
          <w:sz w:val="22"/>
          <w:szCs w:val="22"/>
          <w:highlight w:val="yellow"/>
          <w:lang w:val="en"/>
        </w:rPr>
        <w:t>Bambusa</w:t>
      </w:r>
      <w:proofErr w:type="spellEnd"/>
      <w:r w:rsidRPr="005A5F17">
        <w:rPr>
          <w:rStyle w:val="y2iqfc"/>
          <w:rFonts w:ascii="Times New Roman" w:eastAsiaTheme="majorEastAsia" w:hAnsi="Times New Roman" w:cs="Times New Roman"/>
          <w:sz w:val="22"/>
          <w:szCs w:val="22"/>
          <w:highlight w:val="yellow"/>
          <w:lang w:val="en"/>
        </w:rPr>
        <w:t xml:space="preserve"> </w:t>
      </w:r>
      <w:proofErr w:type="spellStart"/>
      <w:r w:rsidRPr="005A5F17">
        <w:rPr>
          <w:rStyle w:val="y2iqfc"/>
          <w:rFonts w:ascii="Times New Roman" w:eastAsiaTheme="majorEastAsia" w:hAnsi="Times New Roman" w:cs="Times New Roman"/>
          <w:sz w:val="22"/>
          <w:szCs w:val="22"/>
          <w:highlight w:val="yellow"/>
          <w:lang w:val="en"/>
        </w:rPr>
        <w:t>sp</w:t>
      </w:r>
      <w:proofErr w:type="spellEnd"/>
      <w:r w:rsidRPr="005A5F17">
        <w:rPr>
          <w:rStyle w:val="y2iqfc"/>
          <w:rFonts w:ascii="Times New Roman" w:eastAsiaTheme="majorEastAsia" w:hAnsi="Times New Roman" w:cs="Times New Roman"/>
          <w:sz w:val="22"/>
          <w:szCs w:val="22"/>
          <w:highlight w:val="yellow"/>
          <w:lang w:val="en"/>
        </w:rPr>
        <w:t xml:space="preserve">), </w:t>
      </w:r>
      <w:r w:rsidR="005A5F17" w:rsidRPr="005A5F17">
        <w:rPr>
          <w:rStyle w:val="y2iqfc"/>
          <w:rFonts w:ascii="Times New Roman" w:eastAsiaTheme="majorEastAsia" w:hAnsi="Times New Roman" w:cs="Times New Roman"/>
          <w:sz w:val="22"/>
          <w:szCs w:val="22"/>
          <w:highlight w:val="yellow"/>
          <w:lang w:val="en"/>
        </w:rPr>
        <w:t>C</w:t>
      </w:r>
      <w:r w:rsidRPr="005A5F17">
        <w:rPr>
          <w:rStyle w:val="y2iqfc"/>
          <w:rFonts w:ascii="Times New Roman" w:eastAsiaTheme="majorEastAsia" w:hAnsi="Times New Roman" w:cs="Times New Roman"/>
          <w:sz w:val="22"/>
          <w:szCs w:val="22"/>
          <w:highlight w:val="yellow"/>
          <w:lang w:val="en"/>
        </w:rPr>
        <w:t>ocoa (</w:t>
      </w:r>
      <w:r w:rsidRPr="005A5F17">
        <w:rPr>
          <w:rStyle w:val="y2iqfc"/>
          <w:rFonts w:ascii="Times New Roman" w:eastAsiaTheme="majorEastAsia" w:hAnsi="Times New Roman" w:cs="Times New Roman"/>
          <w:i/>
          <w:iCs/>
          <w:sz w:val="22"/>
          <w:szCs w:val="22"/>
          <w:highlight w:val="yellow"/>
          <w:lang w:val="en"/>
        </w:rPr>
        <w:t>Theobroma cacao</w:t>
      </w:r>
      <w:r w:rsidRPr="005A5F17">
        <w:rPr>
          <w:rStyle w:val="y2iqfc"/>
          <w:rFonts w:ascii="Times New Roman" w:eastAsiaTheme="majorEastAsia" w:hAnsi="Times New Roman" w:cs="Times New Roman"/>
          <w:sz w:val="22"/>
          <w:szCs w:val="22"/>
          <w:highlight w:val="yellow"/>
          <w:lang w:val="en"/>
        </w:rPr>
        <w:t xml:space="preserve"> L.), </w:t>
      </w:r>
      <w:r w:rsidR="005A5F17" w:rsidRPr="005A5F17">
        <w:rPr>
          <w:rStyle w:val="y2iqfc"/>
          <w:rFonts w:ascii="Times New Roman" w:eastAsiaTheme="majorEastAsia" w:hAnsi="Times New Roman" w:cs="Times New Roman"/>
          <w:sz w:val="22"/>
          <w:szCs w:val="22"/>
          <w:highlight w:val="yellow"/>
          <w:lang w:val="en"/>
        </w:rPr>
        <w:t>C</w:t>
      </w:r>
      <w:r w:rsidRPr="005A5F17">
        <w:rPr>
          <w:rStyle w:val="y2iqfc"/>
          <w:rFonts w:ascii="Times New Roman" w:eastAsiaTheme="majorEastAsia" w:hAnsi="Times New Roman" w:cs="Times New Roman"/>
          <w:sz w:val="22"/>
          <w:szCs w:val="22"/>
          <w:highlight w:val="yellow"/>
          <w:lang w:val="en"/>
        </w:rPr>
        <w:t>oconut (</w:t>
      </w:r>
      <w:proofErr w:type="spellStart"/>
      <w:r w:rsidRPr="005A5F17">
        <w:rPr>
          <w:rStyle w:val="y2iqfc"/>
          <w:rFonts w:ascii="Times New Roman" w:eastAsiaTheme="majorEastAsia" w:hAnsi="Times New Roman" w:cs="Times New Roman"/>
          <w:i/>
          <w:iCs/>
          <w:sz w:val="22"/>
          <w:szCs w:val="22"/>
          <w:highlight w:val="yellow"/>
          <w:lang w:val="en"/>
        </w:rPr>
        <w:t>Cocus</w:t>
      </w:r>
      <w:proofErr w:type="spellEnd"/>
      <w:r w:rsidRPr="005A5F17">
        <w:rPr>
          <w:rStyle w:val="y2iqfc"/>
          <w:rFonts w:ascii="Times New Roman" w:eastAsiaTheme="majorEastAsia" w:hAnsi="Times New Roman" w:cs="Times New Roman"/>
          <w:i/>
          <w:iCs/>
          <w:sz w:val="22"/>
          <w:szCs w:val="22"/>
          <w:highlight w:val="yellow"/>
          <w:lang w:val="en"/>
        </w:rPr>
        <w:t xml:space="preserve"> nucifera</w:t>
      </w:r>
      <w:r w:rsidRPr="005A5F17">
        <w:rPr>
          <w:rStyle w:val="y2iqfc"/>
          <w:rFonts w:ascii="Times New Roman" w:eastAsiaTheme="majorEastAsia" w:hAnsi="Times New Roman" w:cs="Times New Roman"/>
          <w:sz w:val="22"/>
          <w:szCs w:val="22"/>
          <w:highlight w:val="yellow"/>
          <w:lang w:val="en"/>
        </w:rPr>
        <w:t xml:space="preserve">), </w:t>
      </w:r>
      <w:r w:rsidR="005A5F17" w:rsidRPr="005A5F17">
        <w:rPr>
          <w:rStyle w:val="y2iqfc"/>
          <w:rFonts w:ascii="Times New Roman" w:eastAsiaTheme="majorEastAsia" w:hAnsi="Times New Roman" w:cs="Times New Roman"/>
          <w:sz w:val="22"/>
          <w:szCs w:val="22"/>
          <w:highlight w:val="yellow"/>
          <w:lang w:val="en"/>
        </w:rPr>
        <w:t>O</w:t>
      </w:r>
      <w:r w:rsidRPr="005A5F17">
        <w:rPr>
          <w:rStyle w:val="y2iqfc"/>
          <w:rFonts w:ascii="Times New Roman" w:eastAsiaTheme="majorEastAsia" w:hAnsi="Times New Roman" w:cs="Times New Roman"/>
          <w:sz w:val="22"/>
          <w:szCs w:val="22"/>
          <w:highlight w:val="yellow"/>
          <w:lang w:val="en"/>
        </w:rPr>
        <w:t xml:space="preserve">il </w:t>
      </w:r>
      <w:r w:rsidR="005A5F17" w:rsidRPr="005A5F17">
        <w:rPr>
          <w:rStyle w:val="y2iqfc"/>
          <w:rFonts w:ascii="Times New Roman" w:eastAsiaTheme="majorEastAsia" w:hAnsi="Times New Roman" w:cs="Times New Roman"/>
          <w:sz w:val="22"/>
          <w:szCs w:val="22"/>
          <w:highlight w:val="yellow"/>
          <w:lang w:val="en"/>
        </w:rPr>
        <w:t>P</w:t>
      </w:r>
      <w:r w:rsidRPr="005A5F17">
        <w:rPr>
          <w:rStyle w:val="y2iqfc"/>
          <w:rFonts w:ascii="Times New Roman" w:eastAsiaTheme="majorEastAsia" w:hAnsi="Times New Roman" w:cs="Times New Roman"/>
          <w:sz w:val="22"/>
          <w:szCs w:val="22"/>
          <w:highlight w:val="yellow"/>
          <w:lang w:val="en"/>
        </w:rPr>
        <w:t>alm (</w:t>
      </w:r>
      <w:proofErr w:type="spellStart"/>
      <w:r w:rsidRPr="005A5F17">
        <w:rPr>
          <w:rStyle w:val="y2iqfc"/>
          <w:rFonts w:ascii="Times New Roman" w:eastAsiaTheme="majorEastAsia" w:hAnsi="Times New Roman" w:cs="Times New Roman"/>
          <w:i/>
          <w:iCs/>
          <w:sz w:val="22"/>
          <w:szCs w:val="22"/>
          <w:highlight w:val="yellow"/>
          <w:lang w:val="en"/>
        </w:rPr>
        <w:t>Elaeis</w:t>
      </w:r>
      <w:proofErr w:type="spellEnd"/>
      <w:r w:rsidRPr="005A5F17">
        <w:rPr>
          <w:rStyle w:val="y2iqfc"/>
          <w:rFonts w:ascii="Times New Roman" w:eastAsiaTheme="majorEastAsia" w:hAnsi="Times New Roman" w:cs="Times New Roman"/>
          <w:i/>
          <w:iCs/>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guineensis</w:t>
      </w:r>
      <w:proofErr w:type="spellEnd"/>
      <w:r w:rsidRPr="005A5F17">
        <w:rPr>
          <w:rStyle w:val="y2iqfc"/>
          <w:rFonts w:ascii="Times New Roman" w:eastAsiaTheme="majorEastAsia" w:hAnsi="Times New Roman" w:cs="Times New Roman"/>
          <w:sz w:val="22"/>
          <w:szCs w:val="22"/>
          <w:highlight w:val="yellow"/>
          <w:lang w:val="en"/>
        </w:rPr>
        <w:t xml:space="preserve"> Jacq), </w:t>
      </w:r>
      <w:r w:rsidR="005A5F17" w:rsidRPr="005A5F17">
        <w:rPr>
          <w:rStyle w:val="y2iqfc"/>
          <w:rFonts w:ascii="Times New Roman" w:eastAsiaTheme="majorEastAsia" w:hAnsi="Times New Roman" w:cs="Times New Roman"/>
          <w:sz w:val="22"/>
          <w:szCs w:val="22"/>
          <w:highlight w:val="yellow"/>
          <w:lang w:val="en"/>
        </w:rPr>
        <w:t>J</w:t>
      </w:r>
      <w:r w:rsidRPr="005A5F17">
        <w:rPr>
          <w:rStyle w:val="y2iqfc"/>
          <w:rFonts w:ascii="Times New Roman" w:eastAsiaTheme="majorEastAsia" w:hAnsi="Times New Roman" w:cs="Times New Roman"/>
          <w:sz w:val="22"/>
          <w:szCs w:val="22"/>
          <w:highlight w:val="yellow"/>
          <w:lang w:val="en"/>
        </w:rPr>
        <w:t>ackfruit (</w:t>
      </w:r>
      <w:proofErr w:type="spellStart"/>
      <w:r w:rsidRPr="005A5F17">
        <w:rPr>
          <w:rStyle w:val="y2iqfc"/>
          <w:rFonts w:ascii="Times New Roman" w:eastAsiaTheme="majorEastAsia" w:hAnsi="Times New Roman" w:cs="Times New Roman"/>
          <w:i/>
          <w:iCs/>
          <w:sz w:val="22"/>
          <w:szCs w:val="22"/>
          <w:highlight w:val="yellow"/>
          <w:lang w:val="en"/>
        </w:rPr>
        <w:t>Arthocarpus</w:t>
      </w:r>
      <w:proofErr w:type="spellEnd"/>
      <w:r w:rsidRPr="005A5F17">
        <w:rPr>
          <w:rStyle w:val="y2iqfc"/>
          <w:rFonts w:ascii="Times New Roman" w:eastAsiaTheme="majorEastAsia" w:hAnsi="Times New Roman" w:cs="Times New Roman"/>
          <w:i/>
          <w:iCs/>
          <w:sz w:val="22"/>
          <w:szCs w:val="22"/>
          <w:highlight w:val="yellow"/>
          <w:lang w:val="en"/>
        </w:rPr>
        <w:t xml:space="preserve"> integer</w:t>
      </w:r>
      <w:r w:rsidRPr="005A5F17">
        <w:rPr>
          <w:rStyle w:val="y2iqfc"/>
          <w:rFonts w:ascii="Times New Roman" w:eastAsiaTheme="majorEastAsia" w:hAnsi="Times New Roman" w:cs="Times New Roman"/>
          <w:sz w:val="22"/>
          <w:szCs w:val="22"/>
          <w:highlight w:val="yellow"/>
          <w:lang w:val="en"/>
        </w:rPr>
        <w:t xml:space="preserve">), </w:t>
      </w:r>
      <w:r w:rsidR="005A5F17" w:rsidRPr="005A5F17">
        <w:rPr>
          <w:rStyle w:val="y2iqfc"/>
          <w:rFonts w:ascii="Times New Roman" w:eastAsiaTheme="majorEastAsia" w:hAnsi="Times New Roman" w:cs="Times New Roman"/>
          <w:sz w:val="22"/>
          <w:szCs w:val="22"/>
          <w:highlight w:val="yellow"/>
          <w:lang w:val="en"/>
        </w:rPr>
        <w:t>M</w:t>
      </w:r>
      <w:r w:rsidRPr="005A5F17">
        <w:rPr>
          <w:rStyle w:val="y2iqfc"/>
          <w:rFonts w:ascii="Times New Roman" w:eastAsiaTheme="majorEastAsia" w:hAnsi="Times New Roman" w:cs="Times New Roman"/>
          <w:sz w:val="22"/>
          <w:szCs w:val="22"/>
          <w:highlight w:val="yellow"/>
          <w:lang w:val="en"/>
        </w:rPr>
        <w:t>ango (</w:t>
      </w:r>
      <w:proofErr w:type="spellStart"/>
      <w:r w:rsidRPr="005A5F17">
        <w:rPr>
          <w:rStyle w:val="y2iqfc"/>
          <w:rFonts w:ascii="Times New Roman" w:eastAsiaTheme="majorEastAsia" w:hAnsi="Times New Roman" w:cs="Times New Roman"/>
          <w:i/>
          <w:iCs/>
          <w:sz w:val="22"/>
          <w:szCs w:val="22"/>
          <w:highlight w:val="yellow"/>
          <w:lang w:val="en"/>
        </w:rPr>
        <w:t>Mangifera</w:t>
      </w:r>
      <w:proofErr w:type="spellEnd"/>
      <w:r w:rsidRPr="005A5F17">
        <w:rPr>
          <w:rStyle w:val="y2iqfc"/>
          <w:rFonts w:ascii="Times New Roman" w:eastAsiaTheme="majorEastAsia" w:hAnsi="Times New Roman" w:cs="Times New Roman"/>
          <w:i/>
          <w:iCs/>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indica</w:t>
      </w:r>
      <w:proofErr w:type="spellEnd"/>
      <w:r w:rsidRPr="005A5F17">
        <w:rPr>
          <w:rStyle w:val="y2iqfc"/>
          <w:rFonts w:ascii="Times New Roman" w:eastAsiaTheme="majorEastAsia" w:hAnsi="Times New Roman" w:cs="Times New Roman"/>
          <w:sz w:val="22"/>
          <w:szCs w:val="22"/>
          <w:highlight w:val="yellow"/>
          <w:lang w:val="en"/>
        </w:rPr>
        <w:t xml:space="preserve">), </w:t>
      </w:r>
      <w:r w:rsidR="005A5F17" w:rsidRPr="005A5F17">
        <w:rPr>
          <w:rStyle w:val="y2iqfc"/>
          <w:rFonts w:ascii="Times New Roman" w:eastAsiaTheme="majorEastAsia" w:hAnsi="Times New Roman" w:cs="Times New Roman"/>
          <w:sz w:val="22"/>
          <w:szCs w:val="22"/>
          <w:highlight w:val="yellow"/>
          <w:lang w:val="en"/>
        </w:rPr>
        <w:t>Fe</w:t>
      </w:r>
      <w:r w:rsidRPr="005A5F17">
        <w:rPr>
          <w:rStyle w:val="y2iqfc"/>
          <w:rFonts w:ascii="Times New Roman" w:eastAsiaTheme="majorEastAsia" w:hAnsi="Times New Roman" w:cs="Times New Roman"/>
          <w:sz w:val="22"/>
          <w:szCs w:val="22"/>
          <w:highlight w:val="yellow"/>
          <w:lang w:val="en"/>
        </w:rPr>
        <w:t>rn (</w:t>
      </w:r>
      <w:proofErr w:type="spellStart"/>
      <w:r w:rsidRPr="005A5F17">
        <w:rPr>
          <w:rStyle w:val="y2iqfc"/>
          <w:rFonts w:ascii="Times New Roman" w:eastAsiaTheme="majorEastAsia" w:hAnsi="Times New Roman" w:cs="Times New Roman"/>
          <w:i/>
          <w:iCs/>
          <w:sz w:val="22"/>
          <w:szCs w:val="22"/>
          <w:highlight w:val="yellow"/>
          <w:lang w:val="en"/>
        </w:rPr>
        <w:t>Diplazium</w:t>
      </w:r>
      <w:proofErr w:type="spellEnd"/>
      <w:r w:rsidRPr="005A5F17">
        <w:rPr>
          <w:rStyle w:val="y2iqfc"/>
          <w:rFonts w:ascii="Times New Roman" w:eastAsiaTheme="majorEastAsia" w:hAnsi="Times New Roman" w:cs="Times New Roman"/>
          <w:i/>
          <w:iCs/>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esculentum</w:t>
      </w:r>
      <w:proofErr w:type="spellEnd"/>
      <w:r w:rsidRPr="005A5F17">
        <w:rPr>
          <w:rStyle w:val="y2iqfc"/>
          <w:rFonts w:ascii="Times New Roman" w:eastAsiaTheme="majorEastAsia" w:hAnsi="Times New Roman" w:cs="Times New Roman"/>
          <w:sz w:val="22"/>
          <w:szCs w:val="22"/>
          <w:highlight w:val="yellow"/>
          <w:lang w:val="en"/>
        </w:rPr>
        <w:t>), Laban (</w:t>
      </w:r>
      <w:r w:rsidRPr="005A5F17">
        <w:rPr>
          <w:rStyle w:val="y2iqfc"/>
          <w:rFonts w:ascii="Times New Roman" w:eastAsiaTheme="majorEastAsia" w:hAnsi="Times New Roman" w:cs="Times New Roman"/>
          <w:i/>
          <w:iCs/>
          <w:sz w:val="22"/>
          <w:szCs w:val="22"/>
          <w:highlight w:val="yellow"/>
          <w:lang w:val="en"/>
        </w:rPr>
        <w:t xml:space="preserve">Vitex </w:t>
      </w:r>
      <w:proofErr w:type="spellStart"/>
      <w:r w:rsidRPr="005A5F17">
        <w:rPr>
          <w:rStyle w:val="y2iqfc"/>
          <w:rFonts w:ascii="Times New Roman" w:eastAsiaTheme="majorEastAsia" w:hAnsi="Times New Roman" w:cs="Times New Roman"/>
          <w:i/>
          <w:iCs/>
          <w:sz w:val="22"/>
          <w:szCs w:val="22"/>
          <w:highlight w:val="yellow"/>
          <w:lang w:val="en"/>
        </w:rPr>
        <w:t>pubescens</w:t>
      </w:r>
      <w:proofErr w:type="spellEnd"/>
      <w:r w:rsidRPr="005A5F17">
        <w:rPr>
          <w:rStyle w:val="y2iqfc"/>
          <w:rFonts w:ascii="Times New Roman" w:eastAsiaTheme="majorEastAsia" w:hAnsi="Times New Roman" w:cs="Times New Roman"/>
          <w:sz w:val="22"/>
          <w:szCs w:val="22"/>
          <w:highlight w:val="yellow"/>
          <w:lang w:val="en"/>
        </w:rPr>
        <w:t xml:space="preserve">), </w:t>
      </w:r>
      <w:proofErr w:type="spellStart"/>
      <w:r w:rsidRPr="005A5F17">
        <w:rPr>
          <w:rStyle w:val="y2iqfc"/>
          <w:rFonts w:ascii="Times New Roman" w:eastAsiaTheme="majorEastAsia" w:hAnsi="Times New Roman" w:cs="Times New Roman"/>
          <w:sz w:val="22"/>
          <w:szCs w:val="22"/>
          <w:highlight w:val="yellow"/>
          <w:lang w:val="en"/>
        </w:rPr>
        <w:t>Nyamplung</w:t>
      </w:r>
      <w:proofErr w:type="spellEnd"/>
      <w:r w:rsidRPr="005A5F17">
        <w:rPr>
          <w:rStyle w:val="y2iqfc"/>
          <w:rFonts w:ascii="Times New Roman" w:eastAsiaTheme="majorEastAsia" w:hAnsi="Times New Roman" w:cs="Times New Roman"/>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Callophyllum</w:t>
      </w:r>
      <w:proofErr w:type="spellEnd"/>
      <w:r w:rsidRPr="005A5F17">
        <w:rPr>
          <w:rStyle w:val="y2iqfc"/>
          <w:rFonts w:ascii="Times New Roman" w:eastAsiaTheme="majorEastAsia" w:hAnsi="Times New Roman" w:cs="Times New Roman"/>
          <w:i/>
          <w:iCs/>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innophylum</w:t>
      </w:r>
      <w:proofErr w:type="spellEnd"/>
      <w:r w:rsidRPr="005A5F17">
        <w:rPr>
          <w:rStyle w:val="y2iqfc"/>
          <w:rFonts w:ascii="Times New Roman" w:eastAsiaTheme="majorEastAsia" w:hAnsi="Times New Roman" w:cs="Times New Roman"/>
          <w:sz w:val="22"/>
          <w:szCs w:val="22"/>
          <w:highlight w:val="yellow"/>
          <w:lang w:val="en"/>
        </w:rPr>
        <w:t xml:space="preserve">), </w:t>
      </w:r>
      <w:proofErr w:type="spellStart"/>
      <w:r w:rsidR="005A5F17" w:rsidRPr="005A5F17">
        <w:rPr>
          <w:rStyle w:val="y2iqfc"/>
          <w:rFonts w:ascii="Times New Roman" w:eastAsiaTheme="majorEastAsia" w:hAnsi="Times New Roman" w:cs="Times New Roman"/>
          <w:sz w:val="22"/>
          <w:szCs w:val="22"/>
          <w:highlight w:val="yellow"/>
          <w:lang w:val="en"/>
        </w:rPr>
        <w:t>S</w:t>
      </w:r>
      <w:r w:rsidRPr="005A5F17">
        <w:rPr>
          <w:rStyle w:val="y2iqfc"/>
          <w:rFonts w:ascii="Times New Roman" w:eastAsiaTheme="majorEastAsia" w:hAnsi="Times New Roman" w:cs="Times New Roman"/>
          <w:sz w:val="22"/>
          <w:szCs w:val="22"/>
          <w:highlight w:val="yellow"/>
          <w:lang w:val="en"/>
        </w:rPr>
        <w:t>engon</w:t>
      </w:r>
      <w:proofErr w:type="spellEnd"/>
      <w:r w:rsidRPr="005A5F17">
        <w:rPr>
          <w:rStyle w:val="y2iqfc"/>
          <w:rFonts w:ascii="Times New Roman" w:eastAsiaTheme="majorEastAsia" w:hAnsi="Times New Roman" w:cs="Times New Roman"/>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Albizia</w:t>
      </w:r>
      <w:proofErr w:type="spellEnd"/>
      <w:r w:rsidRPr="005A5F17">
        <w:rPr>
          <w:rStyle w:val="y2iqfc"/>
          <w:rFonts w:ascii="Times New Roman" w:eastAsiaTheme="majorEastAsia" w:hAnsi="Times New Roman" w:cs="Times New Roman"/>
          <w:i/>
          <w:iCs/>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falcataria</w:t>
      </w:r>
      <w:proofErr w:type="spellEnd"/>
      <w:r w:rsidRPr="005A5F17">
        <w:rPr>
          <w:rStyle w:val="y2iqfc"/>
          <w:rFonts w:ascii="Times New Roman" w:eastAsiaTheme="majorEastAsia" w:hAnsi="Times New Roman" w:cs="Times New Roman"/>
          <w:sz w:val="22"/>
          <w:szCs w:val="22"/>
          <w:highlight w:val="yellow"/>
          <w:lang w:val="en"/>
        </w:rPr>
        <w:t xml:space="preserve">), </w:t>
      </w:r>
      <w:r w:rsidR="005A5F17" w:rsidRPr="005A5F17">
        <w:rPr>
          <w:rStyle w:val="y2iqfc"/>
          <w:rFonts w:ascii="Times New Roman" w:eastAsiaTheme="majorEastAsia" w:hAnsi="Times New Roman" w:cs="Times New Roman"/>
          <w:sz w:val="22"/>
          <w:szCs w:val="22"/>
          <w:highlight w:val="yellow"/>
          <w:lang w:val="en"/>
        </w:rPr>
        <w:t>P</w:t>
      </w:r>
      <w:r w:rsidRPr="005A5F17">
        <w:rPr>
          <w:rStyle w:val="y2iqfc"/>
          <w:rFonts w:ascii="Times New Roman" w:eastAsiaTheme="majorEastAsia" w:hAnsi="Times New Roman" w:cs="Times New Roman"/>
          <w:sz w:val="22"/>
          <w:szCs w:val="22"/>
          <w:highlight w:val="yellow"/>
          <w:lang w:val="en"/>
        </w:rPr>
        <w:t>ulai (</w:t>
      </w:r>
      <w:proofErr w:type="spellStart"/>
      <w:r w:rsidRPr="005A5F17">
        <w:rPr>
          <w:rStyle w:val="y2iqfc"/>
          <w:rFonts w:ascii="Times New Roman" w:eastAsiaTheme="majorEastAsia" w:hAnsi="Times New Roman" w:cs="Times New Roman"/>
          <w:i/>
          <w:iCs/>
          <w:sz w:val="22"/>
          <w:szCs w:val="22"/>
          <w:highlight w:val="yellow"/>
          <w:lang w:val="en"/>
        </w:rPr>
        <w:t>Alstonia</w:t>
      </w:r>
      <w:proofErr w:type="spellEnd"/>
      <w:r w:rsidRPr="005A5F17">
        <w:rPr>
          <w:rStyle w:val="y2iqfc"/>
          <w:rFonts w:ascii="Times New Roman" w:eastAsiaTheme="majorEastAsia" w:hAnsi="Times New Roman" w:cs="Times New Roman"/>
          <w:i/>
          <w:iCs/>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scholaris</w:t>
      </w:r>
      <w:proofErr w:type="spellEnd"/>
      <w:r w:rsidRPr="005A5F17">
        <w:rPr>
          <w:rStyle w:val="y2iqfc"/>
          <w:rFonts w:ascii="Times New Roman" w:eastAsiaTheme="majorEastAsia" w:hAnsi="Times New Roman" w:cs="Times New Roman"/>
          <w:sz w:val="22"/>
          <w:szCs w:val="22"/>
          <w:highlight w:val="yellow"/>
          <w:lang w:val="en"/>
        </w:rPr>
        <w:t xml:space="preserve">), </w:t>
      </w:r>
      <w:r w:rsidR="005A5F17" w:rsidRPr="005A5F17">
        <w:rPr>
          <w:rStyle w:val="y2iqfc"/>
          <w:rFonts w:ascii="Times New Roman" w:eastAsiaTheme="majorEastAsia" w:hAnsi="Times New Roman" w:cs="Times New Roman"/>
          <w:sz w:val="22"/>
          <w:szCs w:val="22"/>
          <w:highlight w:val="yellow"/>
          <w:lang w:val="en"/>
        </w:rPr>
        <w:t>B</w:t>
      </w:r>
      <w:r w:rsidRPr="005A5F17">
        <w:rPr>
          <w:rStyle w:val="y2iqfc"/>
          <w:rFonts w:ascii="Times New Roman" w:eastAsiaTheme="majorEastAsia" w:hAnsi="Times New Roman" w:cs="Times New Roman"/>
          <w:sz w:val="22"/>
          <w:szCs w:val="22"/>
          <w:highlight w:val="yellow"/>
          <w:lang w:val="en"/>
        </w:rPr>
        <w:t xml:space="preserve">etel </w:t>
      </w:r>
      <w:r w:rsidR="005A5F17" w:rsidRPr="005A5F17">
        <w:rPr>
          <w:rStyle w:val="y2iqfc"/>
          <w:rFonts w:ascii="Times New Roman" w:eastAsiaTheme="majorEastAsia" w:hAnsi="Times New Roman" w:cs="Times New Roman"/>
          <w:sz w:val="22"/>
          <w:szCs w:val="22"/>
          <w:highlight w:val="yellow"/>
          <w:lang w:val="en"/>
        </w:rPr>
        <w:t>L</w:t>
      </w:r>
      <w:r w:rsidRPr="005A5F17">
        <w:rPr>
          <w:rStyle w:val="y2iqfc"/>
          <w:rFonts w:ascii="Times New Roman" w:eastAsiaTheme="majorEastAsia" w:hAnsi="Times New Roman" w:cs="Times New Roman"/>
          <w:sz w:val="22"/>
          <w:szCs w:val="22"/>
          <w:highlight w:val="yellow"/>
          <w:lang w:val="en"/>
        </w:rPr>
        <w:t>eaf (</w:t>
      </w:r>
      <w:r w:rsidRPr="005A5F17">
        <w:rPr>
          <w:rStyle w:val="y2iqfc"/>
          <w:rFonts w:ascii="Times New Roman" w:eastAsiaTheme="majorEastAsia" w:hAnsi="Times New Roman" w:cs="Times New Roman"/>
          <w:i/>
          <w:iCs/>
          <w:sz w:val="22"/>
          <w:szCs w:val="22"/>
          <w:highlight w:val="yellow"/>
          <w:lang w:val="en"/>
        </w:rPr>
        <w:t xml:space="preserve">Piper </w:t>
      </w:r>
      <w:proofErr w:type="spellStart"/>
      <w:r w:rsidRPr="005A5F17">
        <w:rPr>
          <w:rStyle w:val="y2iqfc"/>
          <w:rFonts w:ascii="Times New Roman" w:eastAsiaTheme="majorEastAsia" w:hAnsi="Times New Roman" w:cs="Times New Roman"/>
          <w:i/>
          <w:iCs/>
          <w:sz w:val="22"/>
          <w:szCs w:val="22"/>
          <w:highlight w:val="yellow"/>
          <w:lang w:val="en"/>
        </w:rPr>
        <w:t>aduncum</w:t>
      </w:r>
      <w:proofErr w:type="spellEnd"/>
      <w:r w:rsidRPr="005A5F17">
        <w:rPr>
          <w:rStyle w:val="y2iqfc"/>
          <w:rFonts w:ascii="Times New Roman" w:eastAsiaTheme="majorEastAsia" w:hAnsi="Times New Roman" w:cs="Times New Roman"/>
          <w:sz w:val="22"/>
          <w:szCs w:val="22"/>
          <w:highlight w:val="yellow"/>
          <w:lang w:val="en"/>
        </w:rPr>
        <w:t xml:space="preserve">), </w:t>
      </w:r>
      <w:r w:rsidR="005A5F17" w:rsidRPr="005A5F17">
        <w:rPr>
          <w:rStyle w:val="y2iqfc"/>
          <w:rFonts w:ascii="Times New Roman" w:eastAsiaTheme="majorEastAsia" w:hAnsi="Times New Roman" w:cs="Times New Roman"/>
          <w:sz w:val="22"/>
          <w:szCs w:val="22"/>
          <w:highlight w:val="yellow"/>
          <w:lang w:val="en"/>
        </w:rPr>
        <w:t>G</w:t>
      </w:r>
      <w:r w:rsidRPr="005A5F17">
        <w:rPr>
          <w:rStyle w:val="y2iqfc"/>
          <w:rFonts w:ascii="Times New Roman" w:eastAsiaTheme="majorEastAsia" w:hAnsi="Times New Roman" w:cs="Times New Roman"/>
          <w:sz w:val="22"/>
          <w:szCs w:val="22"/>
          <w:highlight w:val="yellow"/>
          <w:lang w:val="en"/>
        </w:rPr>
        <w:t>alangal (</w:t>
      </w:r>
      <w:proofErr w:type="spellStart"/>
      <w:r w:rsidR="005A5F17" w:rsidRPr="005A5F17">
        <w:rPr>
          <w:rStyle w:val="y2iqfc"/>
          <w:rFonts w:ascii="Times New Roman" w:eastAsiaTheme="majorEastAsia" w:hAnsi="Times New Roman" w:cs="Times New Roman"/>
          <w:i/>
          <w:iCs/>
          <w:sz w:val="22"/>
          <w:szCs w:val="22"/>
          <w:highlight w:val="yellow"/>
          <w:lang w:val="en"/>
        </w:rPr>
        <w:t>L</w:t>
      </w:r>
      <w:r w:rsidRPr="005A5F17">
        <w:rPr>
          <w:rStyle w:val="y2iqfc"/>
          <w:rFonts w:ascii="Times New Roman" w:eastAsiaTheme="majorEastAsia" w:hAnsi="Times New Roman" w:cs="Times New Roman"/>
          <w:i/>
          <w:iCs/>
          <w:sz w:val="22"/>
          <w:szCs w:val="22"/>
          <w:highlight w:val="yellow"/>
          <w:lang w:val="en"/>
        </w:rPr>
        <w:t>anguas</w:t>
      </w:r>
      <w:proofErr w:type="spellEnd"/>
      <w:r w:rsidRPr="005A5F17">
        <w:rPr>
          <w:rStyle w:val="y2iqfc"/>
          <w:rFonts w:ascii="Times New Roman" w:eastAsiaTheme="majorEastAsia" w:hAnsi="Times New Roman" w:cs="Times New Roman"/>
          <w:i/>
          <w:iCs/>
          <w:sz w:val="22"/>
          <w:szCs w:val="22"/>
          <w:highlight w:val="yellow"/>
          <w:lang w:val="en"/>
        </w:rPr>
        <w:t xml:space="preserve"> </w:t>
      </w:r>
      <w:proofErr w:type="spellStart"/>
      <w:r w:rsidRPr="005A5F17">
        <w:rPr>
          <w:rStyle w:val="y2iqfc"/>
          <w:rFonts w:ascii="Times New Roman" w:eastAsiaTheme="majorEastAsia" w:hAnsi="Times New Roman" w:cs="Times New Roman"/>
          <w:i/>
          <w:iCs/>
          <w:sz w:val="22"/>
          <w:szCs w:val="22"/>
          <w:highlight w:val="yellow"/>
          <w:lang w:val="en"/>
        </w:rPr>
        <w:t>galanga</w:t>
      </w:r>
      <w:proofErr w:type="spellEnd"/>
      <w:r w:rsidRPr="005A5F17">
        <w:rPr>
          <w:rStyle w:val="y2iqfc"/>
          <w:rFonts w:ascii="Times New Roman" w:eastAsiaTheme="majorEastAsia" w:hAnsi="Times New Roman" w:cs="Times New Roman"/>
          <w:sz w:val="22"/>
          <w:szCs w:val="22"/>
          <w:highlight w:val="yellow"/>
          <w:lang w:val="en"/>
        </w:rPr>
        <w:t xml:space="preserve">), </w:t>
      </w:r>
      <w:r w:rsidR="005A5F17" w:rsidRPr="005A5F17">
        <w:rPr>
          <w:rStyle w:val="y2iqfc"/>
          <w:rFonts w:ascii="Times New Roman" w:eastAsiaTheme="majorEastAsia" w:hAnsi="Times New Roman" w:cs="Times New Roman"/>
          <w:sz w:val="22"/>
          <w:szCs w:val="22"/>
          <w:highlight w:val="yellow"/>
          <w:lang w:val="en"/>
        </w:rPr>
        <w:t>T</w:t>
      </w:r>
      <w:r w:rsidRPr="005A5F17">
        <w:rPr>
          <w:rStyle w:val="y2iqfc"/>
          <w:rFonts w:ascii="Times New Roman" w:eastAsiaTheme="majorEastAsia" w:hAnsi="Times New Roman" w:cs="Times New Roman"/>
          <w:sz w:val="22"/>
          <w:szCs w:val="22"/>
          <w:highlight w:val="yellow"/>
          <w:lang w:val="en"/>
        </w:rPr>
        <w:t>aro (</w:t>
      </w:r>
      <w:proofErr w:type="spellStart"/>
      <w:r w:rsidRPr="005A5F17">
        <w:rPr>
          <w:rStyle w:val="y2iqfc"/>
          <w:rFonts w:ascii="Times New Roman" w:eastAsiaTheme="majorEastAsia" w:hAnsi="Times New Roman" w:cs="Times New Roman"/>
          <w:i/>
          <w:iCs/>
          <w:sz w:val="22"/>
          <w:szCs w:val="22"/>
          <w:highlight w:val="yellow"/>
          <w:lang w:val="en"/>
        </w:rPr>
        <w:t>Colacasia</w:t>
      </w:r>
      <w:proofErr w:type="spellEnd"/>
      <w:r w:rsidRPr="005A5F17">
        <w:rPr>
          <w:rStyle w:val="y2iqfc"/>
          <w:rFonts w:ascii="Times New Roman" w:eastAsiaTheme="majorEastAsia" w:hAnsi="Times New Roman" w:cs="Times New Roman"/>
          <w:i/>
          <w:iCs/>
          <w:sz w:val="22"/>
          <w:szCs w:val="22"/>
          <w:highlight w:val="yellow"/>
          <w:lang w:val="en"/>
        </w:rPr>
        <w:t xml:space="preserve"> esculenta</w:t>
      </w:r>
      <w:r w:rsidRPr="005A5F17">
        <w:rPr>
          <w:rStyle w:val="y2iqfc"/>
          <w:rFonts w:ascii="Times New Roman" w:eastAsiaTheme="majorEastAsia" w:hAnsi="Times New Roman" w:cs="Times New Roman"/>
          <w:sz w:val="22"/>
          <w:szCs w:val="22"/>
          <w:highlight w:val="yellow"/>
          <w:lang w:val="en"/>
        </w:rPr>
        <w:t xml:space="preserve">), </w:t>
      </w:r>
      <w:r w:rsidR="005A5F17" w:rsidRPr="005A5F17">
        <w:rPr>
          <w:rStyle w:val="y2iqfc"/>
          <w:rFonts w:ascii="Times New Roman" w:eastAsiaTheme="majorEastAsia" w:hAnsi="Times New Roman" w:cs="Times New Roman"/>
          <w:sz w:val="22"/>
          <w:szCs w:val="22"/>
          <w:highlight w:val="yellow"/>
          <w:lang w:val="en"/>
        </w:rPr>
        <w:t>C</w:t>
      </w:r>
      <w:r w:rsidRPr="005A5F17">
        <w:rPr>
          <w:rStyle w:val="y2iqfc"/>
          <w:rFonts w:ascii="Times New Roman" w:eastAsiaTheme="majorEastAsia" w:hAnsi="Times New Roman" w:cs="Times New Roman"/>
          <w:sz w:val="22"/>
          <w:szCs w:val="22"/>
          <w:highlight w:val="yellow"/>
          <w:lang w:val="en"/>
        </w:rPr>
        <w:t>assava (</w:t>
      </w:r>
      <w:r w:rsidRPr="005A5F17">
        <w:rPr>
          <w:rStyle w:val="y2iqfc"/>
          <w:rFonts w:ascii="Times New Roman" w:eastAsiaTheme="majorEastAsia" w:hAnsi="Times New Roman" w:cs="Times New Roman"/>
          <w:i/>
          <w:iCs/>
          <w:sz w:val="22"/>
          <w:szCs w:val="22"/>
          <w:highlight w:val="yellow"/>
          <w:lang w:val="en"/>
        </w:rPr>
        <w:t xml:space="preserve">Manihot </w:t>
      </w:r>
      <w:proofErr w:type="spellStart"/>
      <w:r w:rsidRPr="005A5F17">
        <w:rPr>
          <w:rStyle w:val="y2iqfc"/>
          <w:rFonts w:ascii="Times New Roman" w:eastAsiaTheme="majorEastAsia" w:hAnsi="Times New Roman" w:cs="Times New Roman"/>
          <w:i/>
          <w:iCs/>
          <w:sz w:val="22"/>
          <w:szCs w:val="22"/>
          <w:highlight w:val="yellow"/>
          <w:lang w:val="en"/>
        </w:rPr>
        <w:t>ultilisima</w:t>
      </w:r>
      <w:proofErr w:type="spellEnd"/>
      <w:r w:rsidRPr="005A5F17">
        <w:rPr>
          <w:rStyle w:val="y2iqfc"/>
          <w:rFonts w:ascii="Times New Roman" w:eastAsiaTheme="majorEastAsia" w:hAnsi="Times New Roman" w:cs="Times New Roman"/>
          <w:sz w:val="22"/>
          <w:szCs w:val="22"/>
          <w:highlight w:val="yellow"/>
          <w:lang w:val="en"/>
        </w:rPr>
        <w:t xml:space="preserve">) and </w:t>
      </w:r>
      <w:r w:rsidR="005A5F17" w:rsidRPr="005A5F17">
        <w:rPr>
          <w:rStyle w:val="y2iqfc"/>
          <w:rFonts w:ascii="Times New Roman" w:eastAsiaTheme="majorEastAsia" w:hAnsi="Times New Roman" w:cs="Times New Roman"/>
          <w:sz w:val="22"/>
          <w:szCs w:val="22"/>
          <w:highlight w:val="yellow"/>
          <w:lang w:val="en"/>
        </w:rPr>
        <w:t>B</w:t>
      </w:r>
      <w:r w:rsidRPr="005A5F17">
        <w:rPr>
          <w:rStyle w:val="y2iqfc"/>
          <w:rFonts w:ascii="Times New Roman" w:eastAsiaTheme="majorEastAsia" w:hAnsi="Times New Roman" w:cs="Times New Roman"/>
          <w:sz w:val="22"/>
          <w:szCs w:val="22"/>
          <w:highlight w:val="yellow"/>
          <w:lang w:val="en"/>
        </w:rPr>
        <w:t>anana (</w:t>
      </w:r>
      <w:r w:rsidRPr="005A5F17">
        <w:rPr>
          <w:rStyle w:val="y2iqfc"/>
          <w:rFonts w:ascii="Times New Roman" w:eastAsiaTheme="majorEastAsia" w:hAnsi="Times New Roman" w:cs="Times New Roman"/>
          <w:i/>
          <w:iCs/>
          <w:sz w:val="22"/>
          <w:szCs w:val="22"/>
          <w:highlight w:val="yellow"/>
          <w:lang w:val="en"/>
        </w:rPr>
        <w:t xml:space="preserve">Musa </w:t>
      </w:r>
      <w:proofErr w:type="spellStart"/>
      <w:r w:rsidRPr="005A5F17">
        <w:rPr>
          <w:rStyle w:val="y2iqfc"/>
          <w:rFonts w:ascii="Times New Roman" w:eastAsiaTheme="majorEastAsia" w:hAnsi="Times New Roman" w:cs="Times New Roman"/>
          <w:i/>
          <w:iCs/>
          <w:sz w:val="22"/>
          <w:szCs w:val="22"/>
          <w:highlight w:val="yellow"/>
          <w:lang w:val="en"/>
        </w:rPr>
        <w:t>paradisiaca</w:t>
      </w:r>
      <w:proofErr w:type="spellEnd"/>
      <w:r w:rsidRPr="005A5F17">
        <w:rPr>
          <w:rStyle w:val="y2iqfc"/>
          <w:rFonts w:ascii="Times New Roman" w:eastAsiaTheme="majorEastAsia" w:hAnsi="Times New Roman" w:cs="Times New Roman"/>
          <w:sz w:val="22"/>
          <w:szCs w:val="22"/>
          <w:highlight w:val="yellow"/>
          <w:lang w:val="en"/>
        </w:rPr>
        <w:t>).</w:t>
      </w:r>
    </w:p>
    <w:p w14:paraId="4E9EE3D1" w14:textId="77777777" w:rsidR="00377B6A" w:rsidRPr="00860A5F" w:rsidRDefault="00377B6A" w:rsidP="00377B6A">
      <w:pPr>
        <w:pStyle w:val="HTMLPreformatted"/>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3.3. Biomass at the Young Tree and Tree Level</w:t>
      </w:r>
    </w:p>
    <w:p w14:paraId="40969C2C"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After data collection on young trees with a diameter of &gt;5 cm to &lt;30 cm observed in Plot B (10 m x 50 m), and mature trees with a diameter at breast height of &gt;30 cm observed in Plot A (20 m x 100 m), and data calculation and processing, the tree biomass was found to be 237.54 tons/hectare, or a carbon content of approximately 111.64 tons/hectare.</w:t>
      </w:r>
    </w:p>
    <w:p w14:paraId="6CF21641" w14:textId="77777777" w:rsidR="00377B6A" w:rsidRPr="00860A5F" w:rsidRDefault="00377B6A" w:rsidP="00377B6A">
      <w:pPr>
        <w:pStyle w:val="HTMLPreformatted"/>
        <w:rPr>
          <w:rStyle w:val="y2iqfc"/>
          <w:rFonts w:ascii="Times New Roman" w:eastAsiaTheme="majorEastAsia" w:hAnsi="Times New Roman" w:cs="Times New Roman"/>
          <w:sz w:val="22"/>
          <w:szCs w:val="22"/>
          <w:lang w:val="en"/>
        </w:rPr>
      </w:pPr>
    </w:p>
    <w:p w14:paraId="1E4CA663" w14:textId="77777777" w:rsidR="00377B6A" w:rsidRPr="00860A5F" w:rsidRDefault="00377B6A" w:rsidP="00377B6A">
      <w:pPr>
        <w:pStyle w:val="HTMLPreformatted"/>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3.4. Forest Floor Vegetation Biomass Content</w:t>
      </w:r>
    </w:p>
    <w:p w14:paraId="7D97F7A8" w14:textId="6A52E7F4"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results of the research and calculation of the biomass of understory vegetation, or forest floor vegetation, were collected destructively by cutting all vegetation in Subplot C (0.5 m x 0.5 m). The subsamples were then separated by leaves and stems, and then oven-dried. The results are presented in </w:t>
      </w:r>
    </w:p>
    <w:p w14:paraId="0D277A62" w14:textId="5E7548EF" w:rsidR="00377B6A" w:rsidRPr="00860A5F" w:rsidRDefault="00377B6A" w:rsidP="00377B6A">
      <w:pPr>
        <w:pStyle w:val="HTMLPreformatted"/>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Table 1. Biomass Content of Forest Floor Vegetation Taken in Sub</w:t>
      </w:r>
      <w:r w:rsidR="00C86634" w:rsidRPr="00860A5F">
        <w:rPr>
          <w:rStyle w:val="y2iqfc"/>
          <w:rFonts w:ascii="Times New Roman" w:eastAsiaTheme="majorEastAsia" w:hAnsi="Times New Roman" w:cs="Times New Roman"/>
          <w:sz w:val="22"/>
          <w:szCs w:val="22"/>
          <w:lang w:val="en"/>
        </w:rPr>
        <w:t>p</w:t>
      </w:r>
      <w:r w:rsidRPr="00860A5F">
        <w:rPr>
          <w:rStyle w:val="y2iqfc"/>
          <w:rFonts w:ascii="Times New Roman" w:eastAsiaTheme="majorEastAsia" w:hAnsi="Times New Roman" w:cs="Times New Roman"/>
          <w:sz w:val="22"/>
          <w:szCs w:val="22"/>
          <w:lang w:val="en"/>
        </w:rPr>
        <w:t>lot C</w:t>
      </w:r>
    </w:p>
    <w:tbl>
      <w:tblPr>
        <w:tblStyle w:val="TableGrid"/>
        <w:tblW w:w="9351" w:type="dxa"/>
        <w:tblLook w:val="04A0" w:firstRow="1" w:lastRow="0" w:firstColumn="1" w:lastColumn="0" w:noHBand="0" w:noVBand="1"/>
      </w:tblPr>
      <w:tblGrid>
        <w:gridCol w:w="979"/>
        <w:gridCol w:w="839"/>
        <w:gridCol w:w="1022"/>
        <w:gridCol w:w="913"/>
        <w:gridCol w:w="1022"/>
        <w:gridCol w:w="913"/>
        <w:gridCol w:w="1229"/>
        <w:gridCol w:w="1014"/>
        <w:gridCol w:w="1420"/>
      </w:tblGrid>
      <w:tr w:rsidR="00377B6A" w:rsidRPr="00860A5F" w14:paraId="5895CBCA" w14:textId="77777777" w:rsidTr="009844A8">
        <w:tc>
          <w:tcPr>
            <w:tcW w:w="988" w:type="dxa"/>
            <w:vMerge w:val="restart"/>
            <w:vAlign w:val="center"/>
          </w:tcPr>
          <w:p w14:paraId="69DA93F6" w14:textId="77777777" w:rsidR="009844A8" w:rsidRDefault="00377B6A" w:rsidP="00831671">
            <w:pPr>
              <w:jc w:val="left"/>
              <w:rPr>
                <w:sz w:val="22"/>
                <w:szCs w:val="22"/>
              </w:rPr>
            </w:pPr>
            <w:r w:rsidRPr="00860A5F">
              <w:rPr>
                <w:sz w:val="22"/>
                <w:szCs w:val="22"/>
              </w:rPr>
              <w:t xml:space="preserve">No </w:t>
            </w:r>
          </w:p>
          <w:p w14:paraId="72AB1E05" w14:textId="32D3290D" w:rsidR="00377B6A" w:rsidRPr="00860A5F" w:rsidRDefault="00377B6A" w:rsidP="00831671">
            <w:pPr>
              <w:jc w:val="left"/>
              <w:rPr>
                <w:sz w:val="22"/>
                <w:szCs w:val="22"/>
              </w:rPr>
            </w:pPr>
            <w:r w:rsidRPr="00860A5F">
              <w:rPr>
                <w:sz w:val="22"/>
                <w:szCs w:val="22"/>
              </w:rPr>
              <w:t>Sub</w:t>
            </w:r>
            <w:r w:rsidR="009844A8">
              <w:rPr>
                <w:sz w:val="22"/>
                <w:szCs w:val="22"/>
              </w:rPr>
              <w:t xml:space="preserve"> </w:t>
            </w:r>
            <w:r w:rsidRPr="00860A5F">
              <w:rPr>
                <w:sz w:val="22"/>
                <w:szCs w:val="22"/>
              </w:rPr>
              <w:t>Plot C</w:t>
            </w:r>
          </w:p>
        </w:tc>
        <w:tc>
          <w:tcPr>
            <w:tcW w:w="1821" w:type="dxa"/>
            <w:gridSpan w:val="2"/>
          </w:tcPr>
          <w:p w14:paraId="1081CCEF" w14:textId="77777777" w:rsidR="005A5A08" w:rsidRPr="005A5A08" w:rsidRDefault="005A5A08" w:rsidP="005A5A08">
            <w:pPr>
              <w:pStyle w:val="HTMLPreformatted"/>
              <w:jc w:val="center"/>
              <w:rPr>
                <w:rStyle w:val="y2iqfc"/>
                <w:rFonts w:ascii="Times New Roman" w:eastAsiaTheme="majorEastAsia" w:hAnsi="Times New Roman" w:cs="Times New Roman"/>
                <w:sz w:val="22"/>
                <w:szCs w:val="22"/>
                <w:lang w:val="en"/>
              </w:rPr>
            </w:pPr>
            <w:r w:rsidRPr="005A5A08">
              <w:rPr>
                <w:rStyle w:val="y2iqfc"/>
                <w:rFonts w:ascii="Times New Roman" w:eastAsiaTheme="majorEastAsia" w:hAnsi="Times New Roman" w:cs="Times New Roman"/>
                <w:sz w:val="22"/>
                <w:szCs w:val="22"/>
                <w:lang w:val="en"/>
              </w:rPr>
              <w:t>Wet Weight</w:t>
            </w:r>
          </w:p>
          <w:p w14:paraId="361EA165" w14:textId="016B4612" w:rsidR="00377B6A" w:rsidRPr="009844A8" w:rsidRDefault="005A5A08" w:rsidP="009844A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(g)</w:t>
            </w:r>
          </w:p>
        </w:tc>
        <w:tc>
          <w:tcPr>
            <w:tcW w:w="1940" w:type="dxa"/>
            <w:gridSpan w:val="2"/>
          </w:tcPr>
          <w:p w14:paraId="50226214" w14:textId="0B6BE421" w:rsidR="00377B6A" w:rsidRPr="009844A8" w:rsidRDefault="005A5A08" w:rsidP="009844A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Wet Sub Example (g)</w:t>
            </w:r>
          </w:p>
        </w:tc>
        <w:tc>
          <w:tcPr>
            <w:tcW w:w="2152" w:type="dxa"/>
            <w:gridSpan w:val="2"/>
          </w:tcPr>
          <w:p w14:paraId="5F5A0E42" w14:textId="77777777" w:rsidR="005A5A08"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Dry Sub Sample (g)</w:t>
            </w:r>
          </w:p>
          <w:p w14:paraId="5219708E" w14:textId="375BFF33" w:rsidR="00377B6A" w:rsidRPr="005A5A08" w:rsidRDefault="00377B6A" w:rsidP="005A5A08">
            <w:pPr>
              <w:jc w:val="center"/>
              <w:rPr>
                <w:sz w:val="22"/>
                <w:szCs w:val="22"/>
              </w:rPr>
            </w:pPr>
          </w:p>
        </w:tc>
        <w:tc>
          <w:tcPr>
            <w:tcW w:w="2450" w:type="dxa"/>
            <w:gridSpan w:val="2"/>
          </w:tcPr>
          <w:p w14:paraId="47EC0CBD" w14:textId="77777777" w:rsidR="005A5A08"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Total dry weight</w:t>
            </w:r>
          </w:p>
          <w:p w14:paraId="34FFE8E1" w14:textId="634E24F1" w:rsidR="00377B6A" w:rsidRPr="005A5A08" w:rsidRDefault="00377B6A" w:rsidP="005A5A08">
            <w:pPr>
              <w:jc w:val="center"/>
              <w:rPr>
                <w:sz w:val="22"/>
                <w:szCs w:val="22"/>
              </w:rPr>
            </w:pPr>
          </w:p>
        </w:tc>
      </w:tr>
      <w:tr w:rsidR="005A5A08" w:rsidRPr="00860A5F" w14:paraId="3E990B69" w14:textId="77777777" w:rsidTr="009844A8">
        <w:tc>
          <w:tcPr>
            <w:tcW w:w="988" w:type="dxa"/>
            <w:vMerge/>
          </w:tcPr>
          <w:p w14:paraId="05B7EC3D" w14:textId="77777777" w:rsidR="005A5A08" w:rsidRPr="00860A5F" w:rsidRDefault="005A5A08" w:rsidP="005A5A08">
            <w:pPr>
              <w:jc w:val="center"/>
              <w:rPr>
                <w:sz w:val="22"/>
                <w:szCs w:val="22"/>
              </w:rPr>
            </w:pPr>
          </w:p>
        </w:tc>
        <w:tc>
          <w:tcPr>
            <w:tcW w:w="796" w:type="dxa"/>
          </w:tcPr>
          <w:p w14:paraId="7BEE8A31" w14:textId="7CEFA06C" w:rsidR="005A5A08" w:rsidRPr="00860A5F" w:rsidRDefault="005A5A08" w:rsidP="005A5A08">
            <w:pPr>
              <w:jc w:val="center"/>
              <w:rPr>
                <w:sz w:val="22"/>
                <w:szCs w:val="22"/>
              </w:rPr>
            </w:pPr>
            <w:r>
              <w:rPr>
                <w:sz w:val="22"/>
                <w:szCs w:val="22"/>
              </w:rPr>
              <w:t>Leaves</w:t>
            </w:r>
          </w:p>
        </w:tc>
        <w:tc>
          <w:tcPr>
            <w:tcW w:w="1025" w:type="dxa"/>
          </w:tcPr>
          <w:p w14:paraId="0938762F" w14:textId="378F4B61" w:rsidR="005A5A08" w:rsidRPr="00860A5F" w:rsidRDefault="005A5A08" w:rsidP="005A5A08">
            <w:pPr>
              <w:jc w:val="center"/>
              <w:rPr>
                <w:sz w:val="22"/>
                <w:szCs w:val="22"/>
              </w:rPr>
            </w:pPr>
            <w:r>
              <w:rPr>
                <w:sz w:val="22"/>
                <w:szCs w:val="22"/>
              </w:rPr>
              <w:t>Woody</w:t>
            </w:r>
          </w:p>
        </w:tc>
        <w:tc>
          <w:tcPr>
            <w:tcW w:w="915" w:type="dxa"/>
          </w:tcPr>
          <w:p w14:paraId="561AB0A1" w14:textId="2731E1FE" w:rsidR="005A5A08" w:rsidRPr="00860A5F" w:rsidRDefault="005A5A08" w:rsidP="005A5A08">
            <w:pPr>
              <w:jc w:val="center"/>
              <w:rPr>
                <w:sz w:val="22"/>
                <w:szCs w:val="22"/>
              </w:rPr>
            </w:pPr>
            <w:r>
              <w:rPr>
                <w:sz w:val="22"/>
                <w:szCs w:val="22"/>
              </w:rPr>
              <w:t>Leaves</w:t>
            </w:r>
          </w:p>
        </w:tc>
        <w:tc>
          <w:tcPr>
            <w:tcW w:w="1025" w:type="dxa"/>
          </w:tcPr>
          <w:p w14:paraId="58F6FC3C" w14:textId="034DD851" w:rsidR="005A5A08" w:rsidRPr="00860A5F" w:rsidRDefault="005A5A08" w:rsidP="005A5A08">
            <w:pPr>
              <w:jc w:val="center"/>
              <w:rPr>
                <w:sz w:val="22"/>
                <w:szCs w:val="22"/>
              </w:rPr>
            </w:pPr>
            <w:r>
              <w:rPr>
                <w:sz w:val="22"/>
                <w:szCs w:val="22"/>
              </w:rPr>
              <w:t>Woody</w:t>
            </w:r>
          </w:p>
        </w:tc>
        <w:tc>
          <w:tcPr>
            <w:tcW w:w="915" w:type="dxa"/>
          </w:tcPr>
          <w:p w14:paraId="16376B48" w14:textId="3BA4F6F8" w:rsidR="005A5A08" w:rsidRPr="00860A5F" w:rsidRDefault="005A5A08" w:rsidP="005A5A08">
            <w:pPr>
              <w:jc w:val="center"/>
              <w:rPr>
                <w:sz w:val="22"/>
                <w:szCs w:val="22"/>
              </w:rPr>
            </w:pPr>
            <w:r>
              <w:rPr>
                <w:sz w:val="22"/>
                <w:szCs w:val="22"/>
              </w:rPr>
              <w:t>Leaves</w:t>
            </w:r>
          </w:p>
        </w:tc>
        <w:tc>
          <w:tcPr>
            <w:tcW w:w="1237" w:type="dxa"/>
          </w:tcPr>
          <w:p w14:paraId="671B68B2" w14:textId="0EBA98FA" w:rsidR="005A5A08" w:rsidRPr="00860A5F" w:rsidRDefault="005A5A08" w:rsidP="005A5A08">
            <w:pPr>
              <w:jc w:val="center"/>
              <w:rPr>
                <w:sz w:val="22"/>
                <w:szCs w:val="22"/>
              </w:rPr>
            </w:pPr>
            <w:r>
              <w:rPr>
                <w:sz w:val="22"/>
                <w:szCs w:val="22"/>
              </w:rPr>
              <w:t>Woody</w:t>
            </w:r>
          </w:p>
        </w:tc>
        <w:tc>
          <w:tcPr>
            <w:tcW w:w="1014" w:type="dxa"/>
          </w:tcPr>
          <w:p w14:paraId="218C4FB4" w14:textId="77777777" w:rsidR="005A5A08" w:rsidRPr="00860A5F" w:rsidRDefault="005A5A08" w:rsidP="005A5A08">
            <w:pPr>
              <w:jc w:val="center"/>
              <w:rPr>
                <w:sz w:val="22"/>
                <w:szCs w:val="22"/>
              </w:rPr>
            </w:pPr>
            <w:r w:rsidRPr="00860A5F">
              <w:rPr>
                <w:sz w:val="22"/>
                <w:szCs w:val="22"/>
              </w:rPr>
              <w:t>g/0,25m</w:t>
            </w:r>
            <w:r w:rsidRPr="00860A5F">
              <w:rPr>
                <w:sz w:val="22"/>
                <w:szCs w:val="22"/>
                <w:vertAlign w:val="superscript"/>
              </w:rPr>
              <w:t>2</w:t>
            </w:r>
          </w:p>
        </w:tc>
        <w:tc>
          <w:tcPr>
            <w:tcW w:w="1436" w:type="dxa"/>
          </w:tcPr>
          <w:p w14:paraId="1EDA7A78" w14:textId="77777777" w:rsidR="005A5A08" w:rsidRPr="00860A5F" w:rsidRDefault="005A5A08" w:rsidP="005A5A08">
            <w:pPr>
              <w:jc w:val="center"/>
              <w:rPr>
                <w:sz w:val="22"/>
                <w:szCs w:val="22"/>
              </w:rPr>
            </w:pPr>
            <w:r w:rsidRPr="00860A5F">
              <w:rPr>
                <w:sz w:val="22"/>
                <w:szCs w:val="22"/>
              </w:rPr>
              <w:t>g/m</w:t>
            </w:r>
            <w:r w:rsidRPr="00860A5F">
              <w:rPr>
                <w:sz w:val="22"/>
                <w:szCs w:val="22"/>
                <w:vertAlign w:val="superscript"/>
              </w:rPr>
              <w:t>2</w:t>
            </w:r>
          </w:p>
        </w:tc>
      </w:tr>
      <w:tr w:rsidR="00377B6A" w:rsidRPr="00860A5F" w14:paraId="4FDC1556" w14:textId="77777777" w:rsidTr="009844A8">
        <w:tc>
          <w:tcPr>
            <w:tcW w:w="988" w:type="dxa"/>
            <w:vAlign w:val="center"/>
          </w:tcPr>
          <w:p w14:paraId="10578F5E" w14:textId="77777777" w:rsidR="00377B6A" w:rsidRPr="00860A5F" w:rsidRDefault="00377B6A" w:rsidP="00831671">
            <w:pPr>
              <w:jc w:val="center"/>
              <w:rPr>
                <w:sz w:val="22"/>
                <w:szCs w:val="22"/>
              </w:rPr>
            </w:pPr>
            <w:r w:rsidRPr="00860A5F">
              <w:rPr>
                <w:sz w:val="22"/>
                <w:szCs w:val="22"/>
              </w:rPr>
              <w:t>1</w:t>
            </w:r>
          </w:p>
        </w:tc>
        <w:tc>
          <w:tcPr>
            <w:tcW w:w="796" w:type="dxa"/>
            <w:vAlign w:val="center"/>
          </w:tcPr>
          <w:p w14:paraId="0A23C2EC" w14:textId="77777777" w:rsidR="00377B6A" w:rsidRPr="00860A5F" w:rsidRDefault="00377B6A" w:rsidP="00831671">
            <w:pPr>
              <w:widowControl/>
              <w:jc w:val="center"/>
              <w:textAlignment w:val="center"/>
              <w:rPr>
                <w:sz w:val="22"/>
                <w:szCs w:val="22"/>
              </w:rPr>
            </w:pPr>
            <w:r w:rsidRPr="00860A5F">
              <w:rPr>
                <w:color w:val="000000"/>
                <w:sz w:val="22"/>
                <w:szCs w:val="22"/>
                <w:lang w:bidi="ar"/>
              </w:rPr>
              <w:t>255</w:t>
            </w:r>
          </w:p>
        </w:tc>
        <w:tc>
          <w:tcPr>
            <w:tcW w:w="1025" w:type="dxa"/>
            <w:vAlign w:val="center"/>
          </w:tcPr>
          <w:p w14:paraId="18F98CF0" w14:textId="77777777" w:rsidR="00377B6A" w:rsidRPr="00860A5F" w:rsidRDefault="00377B6A" w:rsidP="00831671">
            <w:pPr>
              <w:widowControl/>
              <w:jc w:val="center"/>
              <w:textAlignment w:val="center"/>
              <w:rPr>
                <w:sz w:val="22"/>
                <w:szCs w:val="22"/>
              </w:rPr>
            </w:pPr>
            <w:r w:rsidRPr="00860A5F">
              <w:rPr>
                <w:color w:val="000000"/>
                <w:sz w:val="22"/>
                <w:szCs w:val="22"/>
                <w:lang w:bidi="ar"/>
              </w:rPr>
              <w:t>280</w:t>
            </w:r>
          </w:p>
        </w:tc>
        <w:tc>
          <w:tcPr>
            <w:tcW w:w="915" w:type="dxa"/>
            <w:vAlign w:val="center"/>
          </w:tcPr>
          <w:p w14:paraId="38A08551" w14:textId="77777777" w:rsidR="00377B6A" w:rsidRPr="00860A5F" w:rsidRDefault="00377B6A" w:rsidP="00831671">
            <w:pPr>
              <w:widowControl/>
              <w:jc w:val="center"/>
              <w:textAlignment w:val="center"/>
              <w:rPr>
                <w:sz w:val="22"/>
                <w:szCs w:val="22"/>
              </w:rPr>
            </w:pPr>
            <w:r w:rsidRPr="00860A5F">
              <w:rPr>
                <w:color w:val="000000"/>
                <w:sz w:val="22"/>
                <w:szCs w:val="22"/>
                <w:lang w:bidi="ar"/>
              </w:rPr>
              <w:t>255</w:t>
            </w:r>
          </w:p>
        </w:tc>
        <w:tc>
          <w:tcPr>
            <w:tcW w:w="1025" w:type="dxa"/>
            <w:vAlign w:val="center"/>
          </w:tcPr>
          <w:p w14:paraId="01273BC3" w14:textId="77777777" w:rsidR="00377B6A" w:rsidRPr="00860A5F" w:rsidRDefault="00377B6A" w:rsidP="00831671">
            <w:pPr>
              <w:widowControl/>
              <w:jc w:val="center"/>
              <w:textAlignment w:val="center"/>
              <w:rPr>
                <w:sz w:val="22"/>
                <w:szCs w:val="22"/>
              </w:rPr>
            </w:pPr>
            <w:r w:rsidRPr="00860A5F">
              <w:rPr>
                <w:color w:val="000000"/>
                <w:sz w:val="22"/>
                <w:szCs w:val="22"/>
                <w:lang w:bidi="ar"/>
              </w:rPr>
              <w:t>280</w:t>
            </w:r>
          </w:p>
        </w:tc>
        <w:tc>
          <w:tcPr>
            <w:tcW w:w="915" w:type="dxa"/>
            <w:vAlign w:val="center"/>
          </w:tcPr>
          <w:p w14:paraId="592C5851" w14:textId="77777777" w:rsidR="00377B6A" w:rsidRPr="00860A5F" w:rsidRDefault="00377B6A" w:rsidP="00831671">
            <w:pPr>
              <w:widowControl/>
              <w:jc w:val="center"/>
              <w:textAlignment w:val="center"/>
              <w:rPr>
                <w:sz w:val="22"/>
                <w:szCs w:val="22"/>
              </w:rPr>
            </w:pPr>
            <w:r w:rsidRPr="00860A5F">
              <w:rPr>
                <w:color w:val="000000"/>
                <w:sz w:val="22"/>
                <w:szCs w:val="22"/>
                <w:lang w:bidi="ar"/>
              </w:rPr>
              <w:t>115</w:t>
            </w:r>
          </w:p>
        </w:tc>
        <w:tc>
          <w:tcPr>
            <w:tcW w:w="1237" w:type="dxa"/>
            <w:vAlign w:val="center"/>
          </w:tcPr>
          <w:p w14:paraId="15450946" w14:textId="77777777" w:rsidR="00377B6A" w:rsidRPr="00860A5F" w:rsidRDefault="00377B6A" w:rsidP="00831671">
            <w:pPr>
              <w:widowControl/>
              <w:jc w:val="center"/>
              <w:textAlignment w:val="center"/>
              <w:rPr>
                <w:sz w:val="22"/>
                <w:szCs w:val="22"/>
              </w:rPr>
            </w:pPr>
            <w:r w:rsidRPr="00860A5F">
              <w:rPr>
                <w:color w:val="000000"/>
                <w:sz w:val="22"/>
                <w:szCs w:val="22"/>
                <w:lang w:bidi="ar"/>
              </w:rPr>
              <w:t>125</w:t>
            </w:r>
          </w:p>
        </w:tc>
        <w:tc>
          <w:tcPr>
            <w:tcW w:w="1014" w:type="dxa"/>
            <w:vAlign w:val="center"/>
          </w:tcPr>
          <w:p w14:paraId="14818C50" w14:textId="77777777" w:rsidR="00377B6A" w:rsidRPr="00860A5F" w:rsidRDefault="00377B6A" w:rsidP="00831671">
            <w:pPr>
              <w:widowControl/>
              <w:jc w:val="center"/>
              <w:textAlignment w:val="center"/>
              <w:rPr>
                <w:sz w:val="22"/>
                <w:szCs w:val="22"/>
              </w:rPr>
            </w:pPr>
            <w:r w:rsidRPr="00860A5F">
              <w:rPr>
                <w:color w:val="000000"/>
                <w:sz w:val="22"/>
                <w:szCs w:val="22"/>
                <w:lang w:bidi="ar"/>
              </w:rPr>
              <w:t>240</w:t>
            </w:r>
          </w:p>
        </w:tc>
        <w:tc>
          <w:tcPr>
            <w:tcW w:w="1436" w:type="dxa"/>
            <w:vAlign w:val="center"/>
          </w:tcPr>
          <w:p w14:paraId="48F09049" w14:textId="77777777" w:rsidR="00377B6A" w:rsidRPr="00860A5F" w:rsidRDefault="00377B6A" w:rsidP="00831671">
            <w:pPr>
              <w:widowControl/>
              <w:jc w:val="center"/>
              <w:textAlignment w:val="center"/>
              <w:rPr>
                <w:sz w:val="22"/>
                <w:szCs w:val="22"/>
              </w:rPr>
            </w:pPr>
            <w:r w:rsidRPr="00860A5F">
              <w:rPr>
                <w:color w:val="000000"/>
                <w:sz w:val="22"/>
                <w:szCs w:val="22"/>
                <w:lang w:bidi="ar"/>
              </w:rPr>
              <w:t>960</w:t>
            </w:r>
          </w:p>
        </w:tc>
      </w:tr>
      <w:tr w:rsidR="00377B6A" w:rsidRPr="00860A5F" w14:paraId="331F2329" w14:textId="77777777" w:rsidTr="009844A8">
        <w:tc>
          <w:tcPr>
            <w:tcW w:w="988" w:type="dxa"/>
            <w:vAlign w:val="center"/>
          </w:tcPr>
          <w:p w14:paraId="492B75C2" w14:textId="77777777" w:rsidR="00377B6A" w:rsidRPr="00860A5F" w:rsidRDefault="00377B6A" w:rsidP="00831671">
            <w:pPr>
              <w:jc w:val="center"/>
              <w:rPr>
                <w:sz w:val="22"/>
                <w:szCs w:val="22"/>
              </w:rPr>
            </w:pPr>
            <w:r w:rsidRPr="00860A5F">
              <w:rPr>
                <w:sz w:val="22"/>
                <w:szCs w:val="22"/>
              </w:rPr>
              <w:t>2</w:t>
            </w:r>
          </w:p>
        </w:tc>
        <w:tc>
          <w:tcPr>
            <w:tcW w:w="796" w:type="dxa"/>
            <w:vAlign w:val="center"/>
          </w:tcPr>
          <w:p w14:paraId="23517470" w14:textId="77777777" w:rsidR="00377B6A" w:rsidRPr="00860A5F" w:rsidRDefault="00377B6A" w:rsidP="00831671">
            <w:pPr>
              <w:widowControl/>
              <w:jc w:val="center"/>
              <w:textAlignment w:val="center"/>
              <w:rPr>
                <w:sz w:val="22"/>
                <w:szCs w:val="22"/>
              </w:rPr>
            </w:pPr>
            <w:r w:rsidRPr="00860A5F">
              <w:rPr>
                <w:color w:val="000000"/>
                <w:sz w:val="22"/>
                <w:szCs w:val="22"/>
                <w:lang w:bidi="ar"/>
              </w:rPr>
              <w:t>325</w:t>
            </w:r>
          </w:p>
        </w:tc>
        <w:tc>
          <w:tcPr>
            <w:tcW w:w="1025" w:type="dxa"/>
            <w:vAlign w:val="center"/>
          </w:tcPr>
          <w:p w14:paraId="06ECA1D1" w14:textId="77777777" w:rsidR="00377B6A" w:rsidRPr="00860A5F" w:rsidRDefault="00377B6A" w:rsidP="00831671">
            <w:pPr>
              <w:widowControl/>
              <w:jc w:val="center"/>
              <w:textAlignment w:val="center"/>
              <w:rPr>
                <w:sz w:val="22"/>
                <w:szCs w:val="22"/>
              </w:rPr>
            </w:pPr>
            <w:r w:rsidRPr="00860A5F">
              <w:rPr>
                <w:color w:val="000000"/>
                <w:sz w:val="22"/>
                <w:szCs w:val="22"/>
                <w:lang w:bidi="ar"/>
              </w:rPr>
              <w:t>350</w:t>
            </w:r>
          </w:p>
        </w:tc>
        <w:tc>
          <w:tcPr>
            <w:tcW w:w="915" w:type="dxa"/>
            <w:vAlign w:val="center"/>
          </w:tcPr>
          <w:p w14:paraId="3F087A16"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25" w:type="dxa"/>
            <w:vAlign w:val="center"/>
          </w:tcPr>
          <w:p w14:paraId="43406972"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5" w:type="dxa"/>
            <w:vAlign w:val="center"/>
          </w:tcPr>
          <w:p w14:paraId="191A10E2" w14:textId="77777777" w:rsidR="00377B6A" w:rsidRPr="00860A5F" w:rsidRDefault="00377B6A" w:rsidP="00831671">
            <w:pPr>
              <w:widowControl/>
              <w:jc w:val="center"/>
              <w:textAlignment w:val="center"/>
              <w:rPr>
                <w:sz w:val="22"/>
                <w:szCs w:val="22"/>
              </w:rPr>
            </w:pPr>
            <w:r w:rsidRPr="00860A5F">
              <w:rPr>
                <w:color w:val="000000"/>
                <w:sz w:val="22"/>
                <w:szCs w:val="22"/>
                <w:lang w:bidi="ar"/>
              </w:rPr>
              <w:t>130</w:t>
            </w:r>
          </w:p>
        </w:tc>
        <w:tc>
          <w:tcPr>
            <w:tcW w:w="1237" w:type="dxa"/>
            <w:vAlign w:val="center"/>
          </w:tcPr>
          <w:p w14:paraId="1806791C" w14:textId="77777777" w:rsidR="00377B6A" w:rsidRPr="00860A5F" w:rsidRDefault="00377B6A" w:rsidP="00831671">
            <w:pPr>
              <w:widowControl/>
              <w:jc w:val="center"/>
              <w:textAlignment w:val="center"/>
              <w:rPr>
                <w:sz w:val="22"/>
                <w:szCs w:val="22"/>
              </w:rPr>
            </w:pPr>
            <w:r w:rsidRPr="00860A5F">
              <w:rPr>
                <w:color w:val="000000"/>
                <w:sz w:val="22"/>
                <w:szCs w:val="22"/>
                <w:lang w:bidi="ar"/>
              </w:rPr>
              <w:t>135</w:t>
            </w:r>
          </w:p>
        </w:tc>
        <w:tc>
          <w:tcPr>
            <w:tcW w:w="1014" w:type="dxa"/>
            <w:vAlign w:val="center"/>
          </w:tcPr>
          <w:p w14:paraId="4B60D3D4" w14:textId="77777777" w:rsidR="00377B6A" w:rsidRPr="00860A5F" w:rsidRDefault="00377B6A" w:rsidP="00831671">
            <w:pPr>
              <w:widowControl/>
              <w:jc w:val="center"/>
              <w:textAlignment w:val="center"/>
              <w:rPr>
                <w:sz w:val="22"/>
                <w:szCs w:val="22"/>
              </w:rPr>
            </w:pPr>
            <w:r w:rsidRPr="00860A5F">
              <w:rPr>
                <w:color w:val="000000"/>
                <w:sz w:val="22"/>
                <w:szCs w:val="22"/>
                <w:lang w:bidi="ar"/>
              </w:rPr>
              <w:t>265</w:t>
            </w:r>
          </w:p>
        </w:tc>
        <w:tc>
          <w:tcPr>
            <w:tcW w:w="1436" w:type="dxa"/>
            <w:vAlign w:val="center"/>
          </w:tcPr>
          <w:p w14:paraId="5CAB4FBE" w14:textId="77777777" w:rsidR="00377B6A" w:rsidRPr="00860A5F" w:rsidRDefault="00377B6A" w:rsidP="00831671">
            <w:pPr>
              <w:widowControl/>
              <w:jc w:val="center"/>
              <w:textAlignment w:val="center"/>
              <w:rPr>
                <w:sz w:val="22"/>
                <w:szCs w:val="22"/>
              </w:rPr>
            </w:pPr>
            <w:r w:rsidRPr="00860A5F">
              <w:rPr>
                <w:color w:val="000000"/>
                <w:sz w:val="22"/>
                <w:szCs w:val="22"/>
                <w:lang w:bidi="ar"/>
              </w:rPr>
              <w:t>1060</w:t>
            </w:r>
          </w:p>
        </w:tc>
      </w:tr>
      <w:tr w:rsidR="00377B6A" w:rsidRPr="00860A5F" w14:paraId="17A72B0A" w14:textId="77777777" w:rsidTr="009844A8">
        <w:tc>
          <w:tcPr>
            <w:tcW w:w="988" w:type="dxa"/>
            <w:vAlign w:val="center"/>
          </w:tcPr>
          <w:p w14:paraId="4C94AE64" w14:textId="77777777" w:rsidR="00377B6A" w:rsidRPr="00860A5F" w:rsidRDefault="00377B6A" w:rsidP="00831671">
            <w:pPr>
              <w:jc w:val="center"/>
              <w:rPr>
                <w:sz w:val="22"/>
                <w:szCs w:val="22"/>
              </w:rPr>
            </w:pPr>
            <w:r w:rsidRPr="00860A5F">
              <w:rPr>
                <w:sz w:val="22"/>
                <w:szCs w:val="22"/>
              </w:rPr>
              <w:t>3</w:t>
            </w:r>
          </w:p>
        </w:tc>
        <w:tc>
          <w:tcPr>
            <w:tcW w:w="796" w:type="dxa"/>
            <w:vAlign w:val="center"/>
          </w:tcPr>
          <w:p w14:paraId="7EF30BA4" w14:textId="77777777" w:rsidR="00377B6A" w:rsidRPr="00860A5F" w:rsidRDefault="00377B6A" w:rsidP="00831671">
            <w:pPr>
              <w:widowControl/>
              <w:jc w:val="center"/>
              <w:textAlignment w:val="center"/>
              <w:rPr>
                <w:sz w:val="22"/>
                <w:szCs w:val="22"/>
              </w:rPr>
            </w:pPr>
            <w:r w:rsidRPr="00860A5F">
              <w:rPr>
                <w:color w:val="000000"/>
                <w:sz w:val="22"/>
                <w:szCs w:val="22"/>
                <w:lang w:bidi="ar"/>
              </w:rPr>
              <w:t>370</w:t>
            </w:r>
          </w:p>
        </w:tc>
        <w:tc>
          <w:tcPr>
            <w:tcW w:w="1025" w:type="dxa"/>
            <w:vAlign w:val="center"/>
          </w:tcPr>
          <w:p w14:paraId="4D128033" w14:textId="77777777" w:rsidR="00377B6A" w:rsidRPr="00860A5F" w:rsidRDefault="00377B6A" w:rsidP="00831671">
            <w:pPr>
              <w:widowControl/>
              <w:jc w:val="center"/>
              <w:textAlignment w:val="center"/>
              <w:rPr>
                <w:sz w:val="22"/>
                <w:szCs w:val="22"/>
              </w:rPr>
            </w:pPr>
            <w:r w:rsidRPr="00860A5F">
              <w:rPr>
                <w:color w:val="000000"/>
                <w:sz w:val="22"/>
                <w:szCs w:val="22"/>
                <w:lang w:bidi="ar"/>
              </w:rPr>
              <w:t>320</w:t>
            </w:r>
          </w:p>
        </w:tc>
        <w:tc>
          <w:tcPr>
            <w:tcW w:w="915" w:type="dxa"/>
            <w:vAlign w:val="center"/>
          </w:tcPr>
          <w:p w14:paraId="59CCF479"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25" w:type="dxa"/>
            <w:vAlign w:val="center"/>
          </w:tcPr>
          <w:p w14:paraId="26CBBEE5"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5" w:type="dxa"/>
            <w:vAlign w:val="center"/>
          </w:tcPr>
          <w:p w14:paraId="7167111C" w14:textId="77777777" w:rsidR="00377B6A" w:rsidRPr="00860A5F" w:rsidRDefault="00377B6A" w:rsidP="00831671">
            <w:pPr>
              <w:widowControl/>
              <w:jc w:val="center"/>
              <w:textAlignment w:val="center"/>
              <w:rPr>
                <w:sz w:val="22"/>
                <w:szCs w:val="22"/>
              </w:rPr>
            </w:pPr>
            <w:r w:rsidRPr="00860A5F">
              <w:rPr>
                <w:color w:val="000000"/>
                <w:sz w:val="22"/>
                <w:szCs w:val="22"/>
                <w:lang w:bidi="ar"/>
              </w:rPr>
              <w:t>135</w:t>
            </w:r>
          </w:p>
        </w:tc>
        <w:tc>
          <w:tcPr>
            <w:tcW w:w="1237" w:type="dxa"/>
            <w:vAlign w:val="center"/>
          </w:tcPr>
          <w:p w14:paraId="1A0848AC" w14:textId="77777777" w:rsidR="00377B6A" w:rsidRPr="00860A5F" w:rsidRDefault="00377B6A" w:rsidP="00831671">
            <w:pPr>
              <w:widowControl/>
              <w:jc w:val="center"/>
              <w:textAlignment w:val="center"/>
              <w:rPr>
                <w:sz w:val="22"/>
                <w:szCs w:val="22"/>
              </w:rPr>
            </w:pPr>
            <w:r w:rsidRPr="00860A5F">
              <w:rPr>
                <w:color w:val="000000"/>
                <w:sz w:val="22"/>
                <w:szCs w:val="22"/>
                <w:lang w:bidi="ar"/>
              </w:rPr>
              <w:t>137</w:t>
            </w:r>
          </w:p>
        </w:tc>
        <w:tc>
          <w:tcPr>
            <w:tcW w:w="1014" w:type="dxa"/>
            <w:vAlign w:val="center"/>
          </w:tcPr>
          <w:p w14:paraId="4AD8BEBB" w14:textId="77777777" w:rsidR="00377B6A" w:rsidRPr="00860A5F" w:rsidRDefault="00377B6A" w:rsidP="00831671">
            <w:pPr>
              <w:widowControl/>
              <w:jc w:val="center"/>
              <w:textAlignment w:val="center"/>
              <w:rPr>
                <w:sz w:val="22"/>
                <w:szCs w:val="22"/>
              </w:rPr>
            </w:pPr>
            <w:r w:rsidRPr="00860A5F">
              <w:rPr>
                <w:color w:val="000000"/>
                <w:sz w:val="22"/>
                <w:szCs w:val="22"/>
                <w:lang w:bidi="ar"/>
              </w:rPr>
              <w:t>272</w:t>
            </w:r>
          </w:p>
        </w:tc>
        <w:tc>
          <w:tcPr>
            <w:tcW w:w="1436" w:type="dxa"/>
            <w:vAlign w:val="center"/>
          </w:tcPr>
          <w:p w14:paraId="7819FA60" w14:textId="77777777" w:rsidR="00377B6A" w:rsidRPr="00860A5F" w:rsidRDefault="00377B6A" w:rsidP="00831671">
            <w:pPr>
              <w:widowControl/>
              <w:jc w:val="center"/>
              <w:textAlignment w:val="center"/>
              <w:rPr>
                <w:sz w:val="22"/>
                <w:szCs w:val="22"/>
              </w:rPr>
            </w:pPr>
            <w:r w:rsidRPr="00860A5F">
              <w:rPr>
                <w:color w:val="000000"/>
                <w:sz w:val="22"/>
                <w:szCs w:val="22"/>
                <w:lang w:bidi="ar"/>
              </w:rPr>
              <w:t>1088</w:t>
            </w:r>
          </w:p>
        </w:tc>
      </w:tr>
      <w:tr w:rsidR="00377B6A" w:rsidRPr="00860A5F" w14:paraId="2CE484E5" w14:textId="77777777" w:rsidTr="009844A8">
        <w:tc>
          <w:tcPr>
            <w:tcW w:w="988" w:type="dxa"/>
            <w:vAlign w:val="center"/>
          </w:tcPr>
          <w:p w14:paraId="032AE359" w14:textId="77777777" w:rsidR="00377B6A" w:rsidRPr="00860A5F" w:rsidRDefault="00377B6A" w:rsidP="00831671">
            <w:pPr>
              <w:jc w:val="center"/>
              <w:rPr>
                <w:sz w:val="22"/>
                <w:szCs w:val="22"/>
              </w:rPr>
            </w:pPr>
            <w:r w:rsidRPr="00860A5F">
              <w:rPr>
                <w:sz w:val="22"/>
                <w:szCs w:val="22"/>
              </w:rPr>
              <w:t>4</w:t>
            </w:r>
          </w:p>
        </w:tc>
        <w:tc>
          <w:tcPr>
            <w:tcW w:w="796" w:type="dxa"/>
            <w:vAlign w:val="center"/>
          </w:tcPr>
          <w:p w14:paraId="1F60701A" w14:textId="77777777" w:rsidR="00377B6A" w:rsidRPr="00860A5F" w:rsidRDefault="00377B6A" w:rsidP="00831671">
            <w:pPr>
              <w:widowControl/>
              <w:jc w:val="center"/>
              <w:textAlignment w:val="center"/>
              <w:rPr>
                <w:sz w:val="22"/>
                <w:szCs w:val="22"/>
              </w:rPr>
            </w:pPr>
            <w:r w:rsidRPr="00860A5F">
              <w:rPr>
                <w:color w:val="000000"/>
                <w:sz w:val="22"/>
                <w:szCs w:val="22"/>
                <w:lang w:bidi="ar"/>
              </w:rPr>
              <w:t>465</w:t>
            </w:r>
          </w:p>
        </w:tc>
        <w:tc>
          <w:tcPr>
            <w:tcW w:w="1025" w:type="dxa"/>
            <w:vAlign w:val="center"/>
          </w:tcPr>
          <w:p w14:paraId="51B953B6" w14:textId="77777777" w:rsidR="00377B6A" w:rsidRPr="00860A5F" w:rsidRDefault="00377B6A" w:rsidP="00831671">
            <w:pPr>
              <w:widowControl/>
              <w:jc w:val="center"/>
              <w:textAlignment w:val="center"/>
              <w:rPr>
                <w:sz w:val="22"/>
                <w:szCs w:val="22"/>
              </w:rPr>
            </w:pPr>
            <w:r w:rsidRPr="00860A5F">
              <w:rPr>
                <w:color w:val="000000"/>
                <w:sz w:val="22"/>
                <w:szCs w:val="22"/>
                <w:lang w:bidi="ar"/>
              </w:rPr>
              <w:t>350</w:t>
            </w:r>
          </w:p>
        </w:tc>
        <w:tc>
          <w:tcPr>
            <w:tcW w:w="915" w:type="dxa"/>
            <w:vAlign w:val="center"/>
          </w:tcPr>
          <w:p w14:paraId="4DCD5BC9"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25" w:type="dxa"/>
            <w:vAlign w:val="center"/>
          </w:tcPr>
          <w:p w14:paraId="5A4712B9"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5" w:type="dxa"/>
            <w:vAlign w:val="center"/>
          </w:tcPr>
          <w:p w14:paraId="73A621D7" w14:textId="77777777" w:rsidR="00377B6A" w:rsidRPr="00860A5F" w:rsidRDefault="00377B6A" w:rsidP="00831671">
            <w:pPr>
              <w:widowControl/>
              <w:jc w:val="center"/>
              <w:textAlignment w:val="center"/>
              <w:rPr>
                <w:sz w:val="22"/>
                <w:szCs w:val="22"/>
              </w:rPr>
            </w:pPr>
            <w:r w:rsidRPr="00860A5F">
              <w:rPr>
                <w:color w:val="000000"/>
                <w:sz w:val="22"/>
                <w:szCs w:val="22"/>
                <w:lang w:bidi="ar"/>
              </w:rPr>
              <w:t>138</w:t>
            </w:r>
          </w:p>
        </w:tc>
        <w:tc>
          <w:tcPr>
            <w:tcW w:w="1237" w:type="dxa"/>
            <w:vAlign w:val="center"/>
          </w:tcPr>
          <w:p w14:paraId="476D1EC1" w14:textId="77777777" w:rsidR="00377B6A" w:rsidRPr="00860A5F" w:rsidRDefault="00377B6A" w:rsidP="00831671">
            <w:pPr>
              <w:widowControl/>
              <w:jc w:val="center"/>
              <w:textAlignment w:val="center"/>
              <w:rPr>
                <w:sz w:val="22"/>
                <w:szCs w:val="22"/>
              </w:rPr>
            </w:pPr>
            <w:r w:rsidRPr="00860A5F">
              <w:rPr>
                <w:color w:val="000000"/>
                <w:sz w:val="22"/>
                <w:szCs w:val="22"/>
                <w:lang w:bidi="ar"/>
              </w:rPr>
              <w:t>125</w:t>
            </w:r>
          </w:p>
        </w:tc>
        <w:tc>
          <w:tcPr>
            <w:tcW w:w="1014" w:type="dxa"/>
            <w:vAlign w:val="center"/>
          </w:tcPr>
          <w:p w14:paraId="4041B073" w14:textId="77777777" w:rsidR="00377B6A" w:rsidRPr="00860A5F" w:rsidRDefault="00377B6A" w:rsidP="00831671">
            <w:pPr>
              <w:widowControl/>
              <w:jc w:val="center"/>
              <w:textAlignment w:val="center"/>
              <w:rPr>
                <w:sz w:val="22"/>
                <w:szCs w:val="22"/>
              </w:rPr>
            </w:pPr>
            <w:r w:rsidRPr="00860A5F">
              <w:rPr>
                <w:color w:val="000000"/>
                <w:sz w:val="22"/>
                <w:szCs w:val="22"/>
                <w:lang w:bidi="ar"/>
              </w:rPr>
              <w:t>263</w:t>
            </w:r>
          </w:p>
        </w:tc>
        <w:tc>
          <w:tcPr>
            <w:tcW w:w="1436" w:type="dxa"/>
            <w:vAlign w:val="center"/>
          </w:tcPr>
          <w:p w14:paraId="331AF98E" w14:textId="77777777" w:rsidR="00377B6A" w:rsidRPr="00860A5F" w:rsidRDefault="00377B6A" w:rsidP="00831671">
            <w:pPr>
              <w:widowControl/>
              <w:jc w:val="center"/>
              <w:textAlignment w:val="center"/>
              <w:rPr>
                <w:sz w:val="22"/>
                <w:szCs w:val="22"/>
              </w:rPr>
            </w:pPr>
            <w:r w:rsidRPr="00860A5F">
              <w:rPr>
                <w:color w:val="000000"/>
                <w:sz w:val="22"/>
                <w:szCs w:val="22"/>
                <w:lang w:bidi="ar"/>
              </w:rPr>
              <w:t>1052</w:t>
            </w:r>
          </w:p>
        </w:tc>
      </w:tr>
      <w:tr w:rsidR="00377B6A" w:rsidRPr="00860A5F" w14:paraId="27F7191C" w14:textId="77777777" w:rsidTr="009844A8">
        <w:tc>
          <w:tcPr>
            <w:tcW w:w="988" w:type="dxa"/>
            <w:vAlign w:val="center"/>
          </w:tcPr>
          <w:p w14:paraId="55CB0388" w14:textId="77777777" w:rsidR="00377B6A" w:rsidRPr="00860A5F" w:rsidRDefault="00377B6A" w:rsidP="00831671">
            <w:pPr>
              <w:jc w:val="center"/>
              <w:rPr>
                <w:sz w:val="22"/>
                <w:szCs w:val="22"/>
              </w:rPr>
            </w:pPr>
            <w:r w:rsidRPr="00860A5F">
              <w:rPr>
                <w:sz w:val="22"/>
                <w:szCs w:val="22"/>
              </w:rPr>
              <w:t>5</w:t>
            </w:r>
          </w:p>
        </w:tc>
        <w:tc>
          <w:tcPr>
            <w:tcW w:w="796" w:type="dxa"/>
            <w:vAlign w:val="center"/>
          </w:tcPr>
          <w:p w14:paraId="6853570A" w14:textId="77777777" w:rsidR="00377B6A" w:rsidRPr="00860A5F" w:rsidRDefault="00377B6A" w:rsidP="00831671">
            <w:pPr>
              <w:widowControl/>
              <w:jc w:val="center"/>
              <w:textAlignment w:val="center"/>
              <w:rPr>
                <w:sz w:val="22"/>
                <w:szCs w:val="22"/>
              </w:rPr>
            </w:pPr>
            <w:r w:rsidRPr="00860A5F">
              <w:rPr>
                <w:color w:val="000000"/>
                <w:sz w:val="22"/>
                <w:szCs w:val="22"/>
                <w:lang w:bidi="ar"/>
              </w:rPr>
              <w:t>275</w:t>
            </w:r>
          </w:p>
        </w:tc>
        <w:tc>
          <w:tcPr>
            <w:tcW w:w="1025" w:type="dxa"/>
            <w:vAlign w:val="center"/>
          </w:tcPr>
          <w:p w14:paraId="603F0448" w14:textId="77777777" w:rsidR="00377B6A" w:rsidRPr="00860A5F" w:rsidRDefault="00377B6A" w:rsidP="00831671">
            <w:pPr>
              <w:widowControl/>
              <w:jc w:val="center"/>
              <w:textAlignment w:val="center"/>
              <w:rPr>
                <w:sz w:val="22"/>
                <w:szCs w:val="22"/>
              </w:rPr>
            </w:pPr>
            <w:r w:rsidRPr="00860A5F">
              <w:rPr>
                <w:color w:val="000000"/>
                <w:sz w:val="22"/>
                <w:szCs w:val="22"/>
                <w:lang w:bidi="ar"/>
              </w:rPr>
              <w:t>250</w:t>
            </w:r>
          </w:p>
        </w:tc>
        <w:tc>
          <w:tcPr>
            <w:tcW w:w="915" w:type="dxa"/>
            <w:vAlign w:val="center"/>
          </w:tcPr>
          <w:p w14:paraId="6C941C57" w14:textId="77777777" w:rsidR="00377B6A" w:rsidRPr="00860A5F" w:rsidRDefault="00377B6A" w:rsidP="00831671">
            <w:pPr>
              <w:widowControl/>
              <w:jc w:val="center"/>
              <w:textAlignment w:val="center"/>
              <w:rPr>
                <w:sz w:val="22"/>
                <w:szCs w:val="22"/>
              </w:rPr>
            </w:pPr>
            <w:r w:rsidRPr="00860A5F">
              <w:rPr>
                <w:color w:val="000000"/>
                <w:sz w:val="22"/>
                <w:szCs w:val="22"/>
                <w:lang w:bidi="ar"/>
              </w:rPr>
              <w:t>275</w:t>
            </w:r>
          </w:p>
        </w:tc>
        <w:tc>
          <w:tcPr>
            <w:tcW w:w="1025" w:type="dxa"/>
            <w:vAlign w:val="center"/>
          </w:tcPr>
          <w:p w14:paraId="09101BD0" w14:textId="77777777" w:rsidR="00377B6A" w:rsidRPr="00860A5F" w:rsidRDefault="00377B6A" w:rsidP="00831671">
            <w:pPr>
              <w:widowControl/>
              <w:jc w:val="center"/>
              <w:textAlignment w:val="center"/>
              <w:rPr>
                <w:sz w:val="22"/>
                <w:szCs w:val="22"/>
              </w:rPr>
            </w:pPr>
            <w:r w:rsidRPr="00860A5F">
              <w:rPr>
                <w:color w:val="000000"/>
                <w:sz w:val="22"/>
                <w:szCs w:val="22"/>
                <w:lang w:bidi="ar"/>
              </w:rPr>
              <w:t>250</w:t>
            </w:r>
          </w:p>
        </w:tc>
        <w:tc>
          <w:tcPr>
            <w:tcW w:w="915" w:type="dxa"/>
            <w:vAlign w:val="center"/>
          </w:tcPr>
          <w:p w14:paraId="4A07A4BF" w14:textId="77777777" w:rsidR="00377B6A" w:rsidRPr="00860A5F" w:rsidRDefault="00377B6A" w:rsidP="00831671">
            <w:pPr>
              <w:widowControl/>
              <w:jc w:val="center"/>
              <w:textAlignment w:val="center"/>
              <w:rPr>
                <w:sz w:val="22"/>
                <w:szCs w:val="22"/>
              </w:rPr>
            </w:pPr>
            <w:r w:rsidRPr="00860A5F">
              <w:rPr>
                <w:color w:val="000000"/>
                <w:sz w:val="22"/>
                <w:szCs w:val="22"/>
                <w:lang w:bidi="ar"/>
              </w:rPr>
              <w:t>120</w:t>
            </w:r>
          </w:p>
        </w:tc>
        <w:tc>
          <w:tcPr>
            <w:tcW w:w="1237" w:type="dxa"/>
            <w:vAlign w:val="center"/>
          </w:tcPr>
          <w:p w14:paraId="22481758" w14:textId="77777777" w:rsidR="00377B6A" w:rsidRPr="00860A5F" w:rsidRDefault="00377B6A" w:rsidP="00831671">
            <w:pPr>
              <w:widowControl/>
              <w:jc w:val="center"/>
              <w:textAlignment w:val="center"/>
              <w:rPr>
                <w:sz w:val="22"/>
                <w:szCs w:val="22"/>
              </w:rPr>
            </w:pPr>
            <w:r w:rsidRPr="00860A5F">
              <w:rPr>
                <w:color w:val="000000"/>
                <w:sz w:val="22"/>
                <w:szCs w:val="22"/>
                <w:lang w:bidi="ar"/>
              </w:rPr>
              <w:t>112</w:t>
            </w:r>
          </w:p>
        </w:tc>
        <w:tc>
          <w:tcPr>
            <w:tcW w:w="1014" w:type="dxa"/>
            <w:vAlign w:val="center"/>
          </w:tcPr>
          <w:p w14:paraId="42B44A49" w14:textId="77777777" w:rsidR="00377B6A" w:rsidRPr="00860A5F" w:rsidRDefault="00377B6A" w:rsidP="00831671">
            <w:pPr>
              <w:widowControl/>
              <w:jc w:val="center"/>
              <w:textAlignment w:val="center"/>
              <w:rPr>
                <w:sz w:val="22"/>
                <w:szCs w:val="22"/>
              </w:rPr>
            </w:pPr>
            <w:r w:rsidRPr="00860A5F">
              <w:rPr>
                <w:color w:val="000000"/>
                <w:sz w:val="22"/>
                <w:szCs w:val="22"/>
                <w:lang w:bidi="ar"/>
              </w:rPr>
              <w:t>232</w:t>
            </w:r>
          </w:p>
        </w:tc>
        <w:tc>
          <w:tcPr>
            <w:tcW w:w="1436" w:type="dxa"/>
            <w:vAlign w:val="center"/>
          </w:tcPr>
          <w:p w14:paraId="199298A8" w14:textId="77777777" w:rsidR="00377B6A" w:rsidRPr="00860A5F" w:rsidRDefault="00377B6A" w:rsidP="00831671">
            <w:pPr>
              <w:widowControl/>
              <w:jc w:val="center"/>
              <w:textAlignment w:val="center"/>
              <w:rPr>
                <w:sz w:val="22"/>
                <w:szCs w:val="22"/>
              </w:rPr>
            </w:pPr>
            <w:r w:rsidRPr="00860A5F">
              <w:rPr>
                <w:color w:val="000000"/>
                <w:sz w:val="22"/>
                <w:szCs w:val="22"/>
                <w:lang w:bidi="ar"/>
              </w:rPr>
              <w:t>928</w:t>
            </w:r>
          </w:p>
        </w:tc>
      </w:tr>
      <w:tr w:rsidR="00377B6A" w:rsidRPr="00860A5F" w14:paraId="057CFE82" w14:textId="77777777" w:rsidTr="009844A8">
        <w:tc>
          <w:tcPr>
            <w:tcW w:w="988" w:type="dxa"/>
            <w:vAlign w:val="center"/>
          </w:tcPr>
          <w:p w14:paraId="4D8B03DD" w14:textId="77777777" w:rsidR="00377B6A" w:rsidRPr="00860A5F" w:rsidRDefault="00377B6A" w:rsidP="00831671">
            <w:pPr>
              <w:jc w:val="center"/>
              <w:rPr>
                <w:sz w:val="22"/>
                <w:szCs w:val="22"/>
              </w:rPr>
            </w:pPr>
            <w:r w:rsidRPr="00860A5F">
              <w:rPr>
                <w:sz w:val="22"/>
                <w:szCs w:val="22"/>
              </w:rPr>
              <w:t>6</w:t>
            </w:r>
          </w:p>
        </w:tc>
        <w:tc>
          <w:tcPr>
            <w:tcW w:w="796" w:type="dxa"/>
            <w:vAlign w:val="center"/>
          </w:tcPr>
          <w:p w14:paraId="69201411" w14:textId="77777777" w:rsidR="00377B6A" w:rsidRPr="00860A5F" w:rsidRDefault="00377B6A" w:rsidP="00831671">
            <w:pPr>
              <w:widowControl/>
              <w:jc w:val="center"/>
              <w:textAlignment w:val="center"/>
              <w:rPr>
                <w:sz w:val="22"/>
                <w:szCs w:val="22"/>
              </w:rPr>
            </w:pPr>
            <w:r w:rsidRPr="00860A5F">
              <w:rPr>
                <w:color w:val="000000"/>
                <w:sz w:val="22"/>
                <w:szCs w:val="22"/>
                <w:lang w:bidi="ar"/>
              </w:rPr>
              <w:t>285</w:t>
            </w:r>
          </w:p>
        </w:tc>
        <w:tc>
          <w:tcPr>
            <w:tcW w:w="1025" w:type="dxa"/>
            <w:vAlign w:val="center"/>
          </w:tcPr>
          <w:p w14:paraId="0EAEC7C4" w14:textId="77777777" w:rsidR="00377B6A" w:rsidRPr="00860A5F" w:rsidRDefault="00377B6A" w:rsidP="00831671">
            <w:pPr>
              <w:widowControl/>
              <w:jc w:val="center"/>
              <w:textAlignment w:val="center"/>
              <w:rPr>
                <w:sz w:val="22"/>
                <w:szCs w:val="22"/>
              </w:rPr>
            </w:pPr>
            <w:r w:rsidRPr="00860A5F">
              <w:rPr>
                <w:color w:val="000000"/>
                <w:sz w:val="22"/>
                <w:szCs w:val="22"/>
                <w:lang w:bidi="ar"/>
              </w:rPr>
              <w:t>250</w:t>
            </w:r>
          </w:p>
        </w:tc>
        <w:tc>
          <w:tcPr>
            <w:tcW w:w="915" w:type="dxa"/>
            <w:vAlign w:val="center"/>
          </w:tcPr>
          <w:p w14:paraId="623259C8"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25" w:type="dxa"/>
            <w:vAlign w:val="center"/>
          </w:tcPr>
          <w:p w14:paraId="40AB349C"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5" w:type="dxa"/>
            <w:vAlign w:val="center"/>
          </w:tcPr>
          <w:p w14:paraId="030E0E2E" w14:textId="77777777" w:rsidR="00377B6A" w:rsidRPr="00860A5F" w:rsidRDefault="00377B6A" w:rsidP="00831671">
            <w:pPr>
              <w:widowControl/>
              <w:jc w:val="center"/>
              <w:textAlignment w:val="center"/>
              <w:rPr>
                <w:sz w:val="22"/>
                <w:szCs w:val="22"/>
              </w:rPr>
            </w:pPr>
            <w:r w:rsidRPr="00860A5F">
              <w:rPr>
                <w:color w:val="000000"/>
                <w:sz w:val="22"/>
                <w:szCs w:val="22"/>
                <w:lang w:bidi="ar"/>
              </w:rPr>
              <w:t>132</w:t>
            </w:r>
          </w:p>
        </w:tc>
        <w:tc>
          <w:tcPr>
            <w:tcW w:w="1237" w:type="dxa"/>
            <w:vAlign w:val="center"/>
          </w:tcPr>
          <w:p w14:paraId="4D42B574" w14:textId="77777777" w:rsidR="00377B6A" w:rsidRPr="00860A5F" w:rsidRDefault="00377B6A" w:rsidP="00831671">
            <w:pPr>
              <w:widowControl/>
              <w:jc w:val="center"/>
              <w:textAlignment w:val="center"/>
              <w:rPr>
                <w:sz w:val="22"/>
                <w:szCs w:val="22"/>
              </w:rPr>
            </w:pPr>
            <w:r w:rsidRPr="00860A5F">
              <w:rPr>
                <w:color w:val="000000"/>
                <w:sz w:val="22"/>
                <w:szCs w:val="22"/>
                <w:lang w:bidi="ar"/>
              </w:rPr>
              <w:t>120</w:t>
            </w:r>
          </w:p>
        </w:tc>
        <w:tc>
          <w:tcPr>
            <w:tcW w:w="1014" w:type="dxa"/>
            <w:vAlign w:val="center"/>
          </w:tcPr>
          <w:p w14:paraId="13380C92" w14:textId="77777777" w:rsidR="00377B6A" w:rsidRPr="00860A5F" w:rsidRDefault="00377B6A" w:rsidP="00831671">
            <w:pPr>
              <w:widowControl/>
              <w:jc w:val="center"/>
              <w:textAlignment w:val="center"/>
              <w:rPr>
                <w:sz w:val="22"/>
                <w:szCs w:val="22"/>
              </w:rPr>
            </w:pPr>
            <w:r w:rsidRPr="00860A5F">
              <w:rPr>
                <w:color w:val="000000"/>
                <w:sz w:val="22"/>
                <w:szCs w:val="22"/>
                <w:lang w:bidi="ar"/>
              </w:rPr>
              <w:t>252</w:t>
            </w:r>
          </w:p>
        </w:tc>
        <w:tc>
          <w:tcPr>
            <w:tcW w:w="1436" w:type="dxa"/>
            <w:vAlign w:val="center"/>
          </w:tcPr>
          <w:p w14:paraId="6846F6F5" w14:textId="77777777" w:rsidR="00377B6A" w:rsidRPr="00860A5F" w:rsidRDefault="00377B6A" w:rsidP="00831671">
            <w:pPr>
              <w:widowControl/>
              <w:jc w:val="center"/>
              <w:textAlignment w:val="center"/>
              <w:rPr>
                <w:sz w:val="22"/>
                <w:szCs w:val="22"/>
              </w:rPr>
            </w:pPr>
            <w:r w:rsidRPr="00860A5F">
              <w:rPr>
                <w:color w:val="000000"/>
                <w:sz w:val="22"/>
                <w:szCs w:val="22"/>
                <w:lang w:bidi="ar"/>
              </w:rPr>
              <w:t>1008</w:t>
            </w:r>
          </w:p>
        </w:tc>
      </w:tr>
      <w:tr w:rsidR="00377B6A" w:rsidRPr="00860A5F" w14:paraId="398C2033" w14:textId="77777777" w:rsidTr="009844A8">
        <w:tc>
          <w:tcPr>
            <w:tcW w:w="6901" w:type="dxa"/>
            <w:gridSpan w:val="7"/>
            <w:vAlign w:val="center"/>
          </w:tcPr>
          <w:p w14:paraId="273C6B1D" w14:textId="15D06BC1" w:rsidR="00377B6A"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Average per m</w:t>
            </w:r>
            <w:r w:rsidRPr="005A5A08">
              <w:rPr>
                <w:rStyle w:val="y2iqfc"/>
                <w:rFonts w:ascii="Times New Roman" w:eastAsiaTheme="majorEastAsia" w:hAnsi="Times New Roman" w:cs="Times New Roman"/>
                <w:sz w:val="22"/>
                <w:szCs w:val="22"/>
                <w:vertAlign w:val="superscript"/>
                <w:lang w:val="en"/>
              </w:rPr>
              <w:t>2</w:t>
            </w:r>
          </w:p>
        </w:tc>
        <w:tc>
          <w:tcPr>
            <w:tcW w:w="2450" w:type="dxa"/>
            <w:gridSpan w:val="2"/>
          </w:tcPr>
          <w:p w14:paraId="53E5FF9E" w14:textId="77777777" w:rsidR="00377B6A" w:rsidRPr="005A5A08" w:rsidRDefault="00377B6A" w:rsidP="005A5A08">
            <w:pPr>
              <w:jc w:val="center"/>
              <w:rPr>
                <w:sz w:val="22"/>
                <w:szCs w:val="22"/>
              </w:rPr>
            </w:pPr>
            <w:r w:rsidRPr="005A5A08">
              <w:rPr>
                <w:sz w:val="22"/>
                <w:szCs w:val="22"/>
              </w:rPr>
              <w:t>1.016</w:t>
            </w:r>
          </w:p>
        </w:tc>
      </w:tr>
      <w:tr w:rsidR="00377B6A" w:rsidRPr="00860A5F" w14:paraId="693EBB9E" w14:textId="77777777" w:rsidTr="009844A8">
        <w:tc>
          <w:tcPr>
            <w:tcW w:w="6901" w:type="dxa"/>
            <w:gridSpan w:val="7"/>
            <w:vAlign w:val="center"/>
          </w:tcPr>
          <w:p w14:paraId="4FBC0929" w14:textId="77C2773E" w:rsidR="00377B6A"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Average per hectare</w:t>
            </w:r>
          </w:p>
        </w:tc>
        <w:tc>
          <w:tcPr>
            <w:tcW w:w="2450" w:type="dxa"/>
            <w:gridSpan w:val="2"/>
          </w:tcPr>
          <w:p w14:paraId="7BB8526B" w14:textId="1A81141C" w:rsidR="00377B6A" w:rsidRPr="005A5A08" w:rsidRDefault="00377B6A" w:rsidP="005A5A08">
            <w:pPr>
              <w:jc w:val="center"/>
              <w:rPr>
                <w:sz w:val="22"/>
                <w:szCs w:val="22"/>
              </w:rPr>
            </w:pPr>
            <w:r w:rsidRPr="005A5A08">
              <w:rPr>
                <w:sz w:val="22"/>
                <w:szCs w:val="22"/>
              </w:rPr>
              <w:t>10,016 ton</w:t>
            </w:r>
            <w:r w:rsidR="005A5A08">
              <w:rPr>
                <w:sz w:val="22"/>
                <w:szCs w:val="22"/>
              </w:rPr>
              <w:t>s</w:t>
            </w:r>
            <w:r w:rsidRPr="005A5A08">
              <w:rPr>
                <w:sz w:val="22"/>
                <w:szCs w:val="22"/>
              </w:rPr>
              <w:t>/h</w:t>
            </w:r>
            <w:r w:rsidR="005A5A08">
              <w:rPr>
                <w:sz w:val="22"/>
                <w:szCs w:val="22"/>
              </w:rPr>
              <w:t>ectare</w:t>
            </w:r>
          </w:p>
        </w:tc>
      </w:tr>
    </w:tbl>
    <w:p w14:paraId="01BBF85A" w14:textId="77777777" w:rsidR="00E00027" w:rsidRPr="00860A5F" w:rsidRDefault="00E00027" w:rsidP="00377B6A">
      <w:pPr>
        <w:tabs>
          <w:tab w:val="left" w:pos="1200"/>
        </w:tabs>
        <w:jc w:val="both"/>
        <w:rPr>
          <w:rFonts w:ascii="Times New Roman" w:hAnsi="Times New Roman" w:cs="Times New Roman"/>
        </w:rPr>
      </w:pPr>
    </w:p>
    <w:p w14:paraId="62773B05" w14:textId="77777777" w:rsidR="009844A8" w:rsidRPr="009844A8" w:rsidRDefault="00377B6A" w:rsidP="009844A8">
      <w:pPr>
        <w:pStyle w:val="HTMLPreformatted"/>
        <w:jc w:val="both"/>
        <w:rPr>
          <w:rFonts w:ascii="Times New Roman" w:hAnsi="Times New Roman" w:cs="Times New Roman"/>
          <w:sz w:val="24"/>
          <w:szCs w:val="24"/>
        </w:rPr>
      </w:pPr>
      <w:r w:rsidRPr="009844A8">
        <w:rPr>
          <w:rStyle w:val="y2iqfc"/>
          <w:rFonts w:ascii="Times New Roman" w:eastAsiaTheme="majorEastAsia" w:hAnsi="Times New Roman" w:cs="Times New Roman"/>
          <w:sz w:val="24"/>
          <w:szCs w:val="24"/>
          <w:lang w:val="en"/>
        </w:rPr>
        <w:t>Based on Table 1 above, it is known that the biomass found in the understory vegetation or forest floor vegetation is around 10,016 tons/hectare</w:t>
      </w:r>
      <w:r w:rsidR="00C86634" w:rsidRPr="009844A8">
        <w:rPr>
          <w:rStyle w:val="y2iqfc"/>
          <w:rFonts w:ascii="Times New Roman" w:eastAsiaTheme="majorEastAsia" w:hAnsi="Times New Roman" w:cs="Times New Roman"/>
          <w:sz w:val="24"/>
          <w:szCs w:val="24"/>
          <w:lang w:val="en"/>
        </w:rPr>
        <w:t>,</w:t>
      </w:r>
      <w:r w:rsidRPr="009844A8">
        <w:rPr>
          <w:rStyle w:val="y2iqfc"/>
          <w:rFonts w:ascii="Times New Roman" w:eastAsiaTheme="majorEastAsia" w:hAnsi="Times New Roman" w:cs="Times New Roman"/>
          <w:sz w:val="24"/>
          <w:szCs w:val="24"/>
          <w:lang w:val="en"/>
        </w:rPr>
        <w:t xml:space="preserve"> so that the carbon content in the forest floor vegetation is 10.16 x 0.47 = 4.71 tons/hectare. The carbon consists of woody vegetation and non-woody vegetation. Types of woody vegetation are in the form of tree saplings or seedling-level vegetation that have a diameter at breast height &lt;5 cm such as </w:t>
      </w:r>
      <w:proofErr w:type="spellStart"/>
      <w:r w:rsidRPr="009844A8">
        <w:rPr>
          <w:rStyle w:val="y2iqfc"/>
          <w:rFonts w:ascii="Times New Roman" w:eastAsiaTheme="majorEastAsia" w:hAnsi="Times New Roman" w:cs="Times New Roman"/>
          <w:sz w:val="24"/>
          <w:szCs w:val="24"/>
          <w:lang w:val="en"/>
        </w:rPr>
        <w:t>sungkai</w:t>
      </w:r>
      <w:proofErr w:type="spellEnd"/>
      <w:r w:rsidRPr="009844A8">
        <w:rPr>
          <w:rStyle w:val="y2iqfc"/>
          <w:rFonts w:ascii="Times New Roman" w:eastAsiaTheme="majorEastAsia" w:hAnsi="Times New Roman" w:cs="Times New Roman"/>
          <w:sz w:val="24"/>
          <w:szCs w:val="24"/>
          <w:lang w:val="en"/>
        </w:rPr>
        <w:t xml:space="preserve"> (</w:t>
      </w:r>
      <w:proofErr w:type="spellStart"/>
      <w:r w:rsidRPr="009844A8">
        <w:rPr>
          <w:rStyle w:val="y2iqfc"/>
          <w:rFonts w:ascii="Times New Roman" w:eastAsiaTheme="majorEastAsia" w:hAnsi="Times New Roman" w:cs="Times New Roman"/>
          <w:sz w:val="24"/>
          <w:szCs w:val="24"/>
          <w:lang w:val="en"/>
        </w:rPr>
        <w:t>Peronema</w:t>
      </w:r>
      <w:proofErr w:type="spellEnd"/>
      <w:r w:rsidRPr="009844A8">
        <w:rPr>
          <w:rStyle w:val="y2iqfc"/>
          <w:rFonts w:ascii="Times New Roman" w:eastAsiaTheme="majorEastAsia" w:hAnsi="Times New Roman" w:cs="Times New Roman"/>
          <w:sz w:val="24"/>
          <w:szCs w:val="24"/>
          <w:lang w:val="en"/>
        </w:rPr>
        <w:t xml:space="preserve"> </w:t>
      </w:r>
      <w:proofErr w:type="spellStart"/>
      <w:r w:rsidRPr="009844A8">
        <w:rPr>
          <w:rStyle w:val="y2iqfc"/>
          <w:rFonts w:ascii="Times New Roman" w:eastAsiaTheme="majorEastAsia" w:hAnsi="Times New Roman" w:cs="Times New Roman"/>
          <w:sz w:val="24"/>
          <w:szCs w:val="24"/>
          <w:lang w:val="en"/>
        </w:rPr>
        <w:t>canescens</w:t>
      </w:r>
      <w:proofErr w:type="spellEnd"/>
      <w:r w:rsidRPr="009844A8">
        <w:rPr>
          <w:rStyle w:val="y2iqfc"/>
          <w:rFonts w:ascii="Times New Roman" w:eastAsiaTheme="majorEastAsia" w:hAnsi="Times New Roman" w:cs="Times New Roman"/>
          <w:sz w:val="24"/>
          <w:szCs w:val="24"/>
          <w:lang w:val="en"/>
        </w:rPr>
        <w:t xml:space="preserve"> Jack), </w:t>
      </w:r>
      <w:proofErr w:type="spellStart"/>
      <w:r w:rsidRPr="009844A8">
        <w:rPr>
          <w:rStyle w:val="y2iqfc"/>
          <w:rFonts w:ascii="Times New Roman" w:eastAsiaTheme="majorEastAsia" w:hAnsi="Times New Roman" w:cs="Times New Roman"/>
          <w:sz w:val="24"/>
          <w:szCs w:val="24"/>
          <w:lang w:val="en"/>
        </w:rPr>
        <w:t>pulai</w:t>
      </w:r>
      <w:proofErr w:type="spellEnd"/>
      <w:r w:rsidRPr="009844A8">
        <w:rPr>
          <w:rStyle w:val="y2iqfc"/>
          <w:rFonts w:ascii="Times New Roman" w:eastAsiaTheme="majorEastAsia" w:hAnsi="Times New Roman" w:cs="Times New Roman"/>
          <w:sz w:val="24"/>
          <w:szCs w:val="24"/>
          <w:lang w:val="en"/>
        </w:rPr>
        <w:t xml:space="preserve"> (</w:t>
      </w:r>
      <w:proofErr w:type="spellStart"/>
      <w:r w:rsidRPr="009844A8">
        <w:rPr>
          <w:rStyle w:val="y2iqfc"/>
          <w:rFonts w:ascii="Times New Roman" w:eastAsiaTheme="majorEastAsia" w:hAnsi="Times New Roman" w:cs="Times New Roman"/>
          <w:sz w:val="24"/>
          <w:szCs w:val="24"/>
          <w:lang w:val="en"/>
        </w:rPr>
        <w:t>Alstonia</w:t>
      </w:r>
      <w:proofErr w:type="spellEnd"/>
      <w:r w:rsidRPr="009844A8">
        <w:rPr>
          <w:rStyle w:val="y2iqfc"/>
          <w:rFonts w:ascii="Times New Roman" w:eastAsiaTheme="majorEastAsia" w:hAnsi="Times New Roman" w:cs="Times New Roman"/>
          <w:sz w:val="24"/>
          <w:szCs w:val="24"/>
          <w:lang w:val="en"/>
        </w:rPr>
        <w:t xml:space="preserve"> </w:t>
      </w:r>
      <w:proofErr w:type="spellStart"/>
      <w:r w:rsidRPr="009844A8">
        <w:rPr>
          <w:rStyle w:val="y2iqfc"/>
          <w:rFonts w:ascii="Times New Roman" w:eastAsiaTheme="majorEastAsia" w:hAnsi="Times New Roman" w:cs="Times New Roman"/>
          <w:sz w:val="24"/>
          <w:szCs w:val="24"/>
          <w:lang w:val="en"/>
        </w:rPr>
        <w:t>scholaris</w:t>
      </w:r>
      <w:proofErr w:type="spellEnd"/>
      <w:r w:rsidRPr="009844A8">
        <w:rPr>
          <w:rStyle w:val="y2iqfc"/>
          <w:rFonts w:ascii="Times New Roman" w:eastAsiaTheme="majorEastAsia" w:hAnsi="Times New Roman" w:cs="Times New Roman"/>
          <w:sz w:val="24"/>
          <w:szCs w:val="24"/>
          <w:lang w:val="en"/>
        </w:rPr>
        <w:t xml:space="preserve">), types of shrubs such as forest betel (Piper </w:t>
      </w:r>
      <w:proofErr w:type="spellStart"/>
      <w:r w:rsidRPr="009844A8">
        <w:rPr>
          <w:rStyle w:val="y2iqfc"/>
          <w:rFonts w:ascii="Times New Roman" w:eastAsiaTheme="majorEastAsia" w:hAnsi="Times New Roman" w:cs="Times New Roman"/>
          <w:sz w:val="24"/>
          <w:szCs w:val="24"/>
          <w:lang w:val="en"/>
        </w:rPr>
        <w:t>aduncum</w:t>
      </w:r>
      <w:proofErr w:type="spellEnd"/>
      <w:r w:rsidRPr="009844A8">
        <w:rPr>
          <w:rStyle w:val="y2iqfc"/>
          <w:rFonts w:ascii="Times New Roman" w:eastAsiaTheme="majorEastAsia" w:hAnsi="Times New Roman" w:cs="Times New Roman"/>
          <w:sz w:val="24"/>
          <w:szCs w:val="24"/>
          <w:lang w:val="en"/>
        </w:rPr>
        <w:t>), for herbaceous plants, namely non-woody plants on the forest floor such as taro (</w:t>
      </w:r>
      <w:proofErr w:type="spellStart"/>
      <w:r w:rsidRPr="009844A8">
        <w:rPr>
          <w:rStyle w:val="y2iqfc"/>
          <w:rFonts w:ascii="Times New Roman" w:eastAsiaTheme="majorEastAsia" w:hAnsi="Times New Roman" w:cs="Times New Roman"/>
          <w:sz w:val="24"/>
          <w:szCs w:val="24"/>
          <w:lang w:val="en"/>
        </w:rPr>
        <w:t>Colacasia</w:t>
      </w:r>
      <w:proofErr w:type="spellEnd"/>
      <w:r w:rsidRPr="009844A8">
        <w:rPr>
          <w:rStyle w:val="y2iqfc"/>
          <w:rFonts w:ascii="Times New Roman" w:eastAsiaTheme="majorEastAsia" w:hAnsi="Times New Roman" w:cs="Times New Roman"/>
          <w:sz w:val="24"/>
          <w:szCs w:val="24"/>
          <w:lang w:val="en"/>
        </w:rPr>
        <w:t xml:space="preserve"> esculenta), grasses, tubers such as galangal plants (</w:t>
      </w:r>
      <w:proofErr w:type="spellStart"/>
      <w:r w:rsidRPr="009844A8">
        <w:rPr>
          <w:rStyle w:val="y2iqfc"/>
          <w:rFonts w:ascii="Times New Roman" w:eastAsiaTheme="majorEastAsia" w:hAnsi="Times New Roman" w:cs="Times New Roman"/>
          <w:sz w:val="24"/>
          <w:szCs w:val="24"/>
          <w:lang w:val="en"/>
        </w:rPr>
        <w:t>languas</w:t>
      </w:r>
      <w:proofErr w:type="spellEnd"/>
      <w:r w:rsidRPr="009844A8">
        <w:rPr>
          <w:rStyle w:val="y2iqfc"/>
          <w:rFonts w:ascii="Times New Roman" w:eastAsiaTheme="majorEastAsia" w:hAnsi="Times New Roman" w:cs="Times New Roman"/>
          <w:sz w:val="24"/>
          <w:szCs w:val="24"/>
          <w:lang w:val="en"/>
        </w:rPr>
        <w:t xml:space="preserve"> </w:t>
      </w:r>
      <w:proofErr w:type="spellStart"/>
      <w:r w:rsidRPr="009844A8">
        <w:rPr>
          <w:rStyle w:val="y2iqfc"/>
          <w:rFonts w:ascii="Times New Roman" w:eastAsiaTheme="majorEastAsia" w:hAnsi="Times New Roman" w:cs="Times New Roman"/>
          <w:sz w:val="24"/>
          <w:szCs w:val="24"/>
          <w:lang w:val="en"/>
        </w:rPr>
        <w:t>galanga</w:t>
      </w:r>
      <w:proofErr w:type="spellEnd"/>
      <w:r w:rsidRPr="009844A8">
        <w:rPr>
          <w:rStyle w:val="y2iqfc"/>
          <w:rFonts w:ascii="Times New Roman" w:eastAsiaTheme="majorEastAsia" w:hAnsi="Times New Roman" w:cs="Times New Roman"/>
          <w:sz w:val="24"/>
          <w:szCs w:val="24"/>
          <w:lang w:val="en"/>
        </w:rPr>
        <w:t xml:space="preserve"> L), these types grow naturally in abandoned community gardens or in somewhat open areas so that sunlight can still enter the forest floor. The total carbon content of large trees, young trees, and forest floor vegetation in the community forest is 116.35 tons/hectare. The carbon content contribution from large trees and young trees is greater than that from forest floor vegetation. The amount of carbon stored is influenced by tree density, tree species, age, and environmental factors such as soil fertility. </w:t>
      </w:r>
      <w:r w:rsidR="009844A8" w:rsidRPr="009844A8">
        <w:rPr>
          <w:rStyle w:val="y2iqfc"/>
          <w:rFonts w:ascii="Times New Roman" w:eastAsiaTheme="majorEastAsia" w:hAnsi="Times New Roman" w:cs="Times New Roman"/>
          <w:sz w:val="24"/>
          <w:szCs w:val="24"/>
          <w:highlight w:val="yellow"/>
          <w:lang w:val="en"/>
        </w:rPr>
        <w:t xml:space="preserve">This aligns with the research findings of </w:t>
      </w:r>
      <w:proofErr w:type="spellStart"/>
      <w:r w:rsidR="009844A8" w:rsidRPr="009844A8">
        <w:rPr>
          <w:rStyle w:val="y2iqfc"/>
          <w:rFonts w:ascii="Times New Roman" w:eastAsiaTheme="majorEastAsia" w:hAnsi="Times New Roman" w:cs="Times New Roman"/>
          <w:sz w:val="24"/>
          <w:szCs w:val="24"/>
          <w:highlight w:val="yellow"/>
          <w:lang w:val="en"/>
        </w:rPr>
        <w:t>Rahmawati</w:t>
      </w:r>
      <w:proofErr w:type="spellEnd"/>
      <w:r w:rsidR="009844A8" w:rsidRPr="009844A8">
        <w:rPr>
          <w:rStyle w:val="y2iqfc"/>
          <w:rFonts w:ascii="Times New Roman" w:eastAsiaTheme="majorEastAsia" w:hAnsi="Times New Roman" w:cs="Times New Roman"/>
          <w:sz w:val="24"/>
          <w:szCs w:val="24"/>
          <w:highlight w:val="yellow"/>
          <w:lang w:val="en"/>
        </w:rPr>
        <w:t xml:space="preserve"> &amp; </w:t>
      </w:r>
      <w:proofErr w:type="spellStart"/>
      <w:r w:rsidR="009844A8" w:rsidRPr="009844A8">
        <w:rPr>
          <w:rStyle w:val="y2iqfc"/>
          <w:rFonts w:ascii="Times New Roman" w:eastAsiaTheme="majorEastAsia" w:hAnsi="Times New Roman" w:cs="Times New Roman"/>
          <w:sz w:val="24"/>
          <w:szCs w:val="24"/>
          <w:highlight w:val="yellow"/>
          <w:lang w:val="en"/>
        </w:rPr>
        <w:t>Chairul</w:t>
      </w:r>
      <w:proofErr w:type="spellEnd"/>
      <w:r w:rsidR="009844A8" w:rsidRPr="009844A8">
        <w:rPr>
          <w:rStyle w:val="y2iqfc"/>
          <w:rFonts w:ascii="Times New Roman" w:eastAsiaTheme="majorEastAsia" w:hAnsi="Times New Roman" w:cs="Times New Roman"/>
          <w:sz w:val="24"/>
          <w:szCs w:val="24"/>
          <w:highlight w:val="yellow"/>
          <w:lang w:val="en"/>
        </w:rPr>
        <w:t xml:space="preserve"> (2022), which found that low understory carbon content is influenced by low biomass and the composition of understory vegetation in an area. Litter biomass content is influenced by its constituent components, such as rotting wood, leaves, and twigs.</w:t>
      </w:r>
    </w:p>
    <w:p w14:paraId="4CA55777" w14:textId="0379820F" w:rsidR="009844A8" w:rsidRPr="009844A8" w:rsidRDefault="009844A8" w:rsidP="009844A8">
      <w:pPr>
        <w:pStyle w:val="HTMLPreformatted"/>
        <w:ind w:firstLine="567"/>
        <w:jc w:val="both"/>
        <w:rPr>
          <w:rFonts w:ascii="Times New Roman" w:hAnsi="Times New Roman" w:cs="Times New Roman"/>
          <w:sz w:val="24"/>
          <w:szCs w:val="24"/>
        </w:rPr>
      </w:pPr>
      <w:r w:rsidRPr="009844A8">
        <w:rPr>
          <w:rStyle w:val="y2iqfc"/>
          <w:rFonts w:ascii="Times New Roman" w:eastAsiaTheme="majorEastAsia" w:hAnsi="Times New Roman" w:cs="Times New Roman"/>
          <w:sz w:val="24"/>
          <w:szCs w:val="24"/>
          <w:highlight w:val="yellow"/>
          <w:lang w:val="en"/>
        </w:rPr>
        <w:t xml:space="preserve">The results of other research reported by </w:t>
      </w:r>
      <w:proofErr w:type="spellStart"/>
      <w:r w:rsidRPr="009844A8">
        <w:rPr>
          <w:rStyle w:val="y2iqfc"/>
          <w:rFonts w:ascii="Times New Roman" w:eastAsiaTheme="majorEastAsia" w:hAnsi="Times New Roman" w:cs="Times New Roman"/>
          <w:sz w:val="24"/>
          <w:szCs w:val="24"/>
          <w:highlight w:val="yellow"/>
          <w:lang w:val="en"/>
        </w:rPr>
        <w:t>Ristiara</w:t>
      </w:r>
      <w:proofErr w:type="spellEnd"/>
      <w:r w:rsidRPr="009844A8">
        <w:rPr>
          <w:rStyle w:val="y2iqfc"/>
          <w:rFonts w:ascii="Times New Roman" w:eastAsiaTheme="majorEastAsia" w:hAnsi="Times New Roman" w:cs="Times New Roman"/>
          <w:sz w:val="24"/>
          <w:szCs w:val="24"/>
          <w:highlight w:val="yellow"/>
          <w:lang w:val="en"/>
        </w:rPr>
        <w:t xml:space="preserve"> et al (2017)</w:t>
      </w:r>
      <w:r>
        <w:rPr>
          <w:rFonts w:ascii="Times New Roman" w:hAnsi="Times New Roman" w:cs="Times New Roman"/>
          <w:sz w:val="24"/>
          <w:szCs w:val="24"/>
        </w:rPr>
        <w:t xml:space="preserve"> </w:t>
      </w:r>
      <w:r w:rsidR="005A5F17" w:rsidRPr="005A5F17">
        <w:rPr>
          <w:rStyle w:val="y2iqfc"/>
          <w:rFonts w:ascii="Times New Roman" w:eastAsiaTheme="majorEastAsia" w:hAnsi="Times New Roman" w:cs="Times New Roman"/>
          <w:sz w:val="24"/>
          <w:szCs w:val="24"/>
          <w:highlight w:val="yellow"/>
          <w:lang w:val="en"/>
        </w:rPr>
        <w:t xml:space="preserve">indicate that the total aboveground carbon stored in community forests in </w:t>
      </w:r>
      <w:proofErr w:type="spellStart"/>
      <w:r w:rsidR="005A5F17" w:rsidRPr="005A5F17">
        <w:rPr>
          <w:rStyle w:val="y2iqfc"/>
          <w:rFonts w:ascii="Times New Roman" w:eastAsiaTheme="majorEastAsia" w:hAnsi="Times New Roman" w:cs="Times New Roman"/>
          <w:sz w:val="24"/>
          <w:szCs w:val="24"/>
          <w:highlight w:val="yellow"/>
          <w:lang w:val="en"/>
        </w:rPr>
        <w:t>Pekon</w:t>
      </w:r>
      <w:proofErr w:type="spellEnd"/>
      <w:r w:rsidR="005A5F17" w:rsidRPr="005A5F17">
        <w:rPr>
          <w:rStyle w:val="y2iqfc"/>
          <w:rFonts w:ascii="Times New Roman" w:eastAsiaTheme="majorEastAsia" w:hAnsi="Times New Roman" w:cs="Times New Roman"/>
          <w:sz w:val="24"/>
          <w:szCs w:val="24"/>
          <w:highlight w:val="yellow"/>
          <w:lang w:val="en"/>
        </w:rPr>
        <w:t xml:space="preserve"> </w:t>
      </w:r>
      <w:proofErr w:type="spellStart"/>
      <w:r w:rsidR="005A5F17" w:rsidRPr="005A5F17">
        <w:rPr>
          <w:rStyle w:val="y2iqfc"/>
          <w:rFonts w:ascii="Times New Roman" w:eastAsiaTheme="majorEastAsia" w:hAnsi="Times New Roman" w:cs="Times New Roman"/>
          <w:sz w:val="24"/>
          <w:szCs w:val="24"/>
          <w:highlight w:val="yellow"/>
          <w:lang w:val="en"/>
        </w:rPr>
        <w:t>Kelungu</w:t>
      </w:r>
      <w:proofErr w:type="spellEnd"/>
      <w:r w:rsidR="005A5F17" w:rsidRPr="005A5F17">
        <w:rPr>
          <w:rStyle w:val="y2iqfc"/>
          <w:rFonts w:ascii="Times New Roman" w:eastAsiaTheme="majorEastAsia" w:hAnsi="Times New Roman" w:cs="Times New Roman"/>
          <w:sz w:val="24"/>
          <w:szCs w:val="24"/>
          <w:highlight w:val="yellow"/>
          <w:lang w:val="en"/>
        </w:rPr>
        <w:t xml:space="preserve"> is 101.61 tons/ha. This carbon is stored in tree components, namely 99.92 tons/ha, </w:t>
      </w:r>
      <w:proofErr w:type="spellStart"/>
      <w:r w:rsidR="005A5F17" w:rsidRPr="005A5F17">
        <w:rPr>
          <w:rStyle w:val="y2iqfc"/>
          <w:rFonts w:ascii="Times New Roman" w:eastAsiaTheme="majorEastAsia" w:hAnsi="Times New Roman" w:cs="Times New Roman"/>
          <w:sz w:val="24"/>
          <w:szCs w:val="24"/>
          <w:highlight w:val="yellow"/>
          <w:lang w:val="en"/>
        </w:rPr>
        <w:t>necromass</w:t>
      </w:r>
      <w:proofErr w:type="spellEnd"/>
      <w:r w:rsidR="005A5F17" w:rsidRPr="005A5F17">
        <w:rPr>
          <w:rStyle w:val="y2iqfc"/>
          <w:rFonts w:ascii="Times New Roman" w:eastAsiaTheme="majorEastAsia" w:hAnsi="Times New Roman" w:cs="Times New Roman"/>
          <w:sz w:val="24"/>
          <w:szCs w:val="24"/>
          <w:highlight w:val="yellow"/>
          <w:lang w:val="en"/>
        </w:rPr>
        <w:t xml:space="preserve"> 0.81 tons/ha, litter 0.87 tons/ha, and understory 0.02 tons/ha. Reported by </w:t>
      </w:r>
      <w:proofErr w:type="spellStart"/>
      <w:r w:rsidR="005A5F17" w:rsidRPr="005A5F17">
        <w:rPr>
          <w:rStyle w:val="y2iqfc"/>
          <w:rFonts w:ascii="Times New Roman" w:eastAsiaTheme="majorEastAsia" w:hAnsi="Times New Roman" w:cs="Times New Roman"/>
          <w:sz w:val="24"/>
          <w:szCs w:val="24"/>
          <w:highlight w:val="yellow"/>
          <w:lang w:val="en"/>
        </w:rPr>
        <w:t>Yuningsih</w:t>
      </w:r>
      <w:proofErr w:type="spellEnd"/>
      <w:r w:rsidR="005A5F17" w:rsidRPr="005A5F17">
        <w:rPr>
          <w:rStyle w:val="y2iqfc"/>
          <w:rFonts w:ascii="Times New Roman" w:eastAsiaTheme="majorEastAsia" w:hAnsi="Times New Roman" w:cs="Times New Roman"/>
          <w:sz w:val="24"/>
          <w:szCs w:val="24"/>
          <w:highlight w:val="yellow"/>
          <w:lang w:val="en"/>
        </w:rPr>
        <w:t xml:space="preserve"> et al. (2018)</w:t>
      </w:r>
      <w:r w:rsidR="005A5F17" w:rsidRPr="005A5F17">
        <w:rPr>
          <w:rFonts w:ascii="Times New Roman" w:hAnsi="Times New Roman" w:cs="Times New Roman"/>
          <w:sz w:val="24"/>
          <w:szCs w:val="24"/>
          <w:highlight w:val="yellow"/>
        </w:rPr>
        <w:t xml:space="preserve"> </w:t>
      </w:r>
      <w:r w:rsidR="00377B6A" w:rsidRPr="005A5F17">
        <w:rPr>
          <w:rStyle w:val="y2iqfc"/>
          <w:rFonts w:ascii="Times New Roman" w:eastAsiaTheme="majorEastAsia" w:hAnsi="Times New Roman" w:cs="Times New Roman"/>
          <w:sz w:val="24"/>
          <w:szCs w:val="24"/>
          <w:highlight w:val="yellow"/>
          <w:lang w:val="en"/>
        </w:rPr>
        <w:t>that</w:t>
      </w:r>
      <w:r w:rsidR="00377B6A" w:rsidRPr="005A5F17">
        <w:rPr>
          <w:rStyle w:val="y2iqfc"/>
          <w:rFonts w:ascii="Times New Roman" w:eastAsiaTheme="majorEastAsia" w:hAnsi="Times New Roman" w:cs="Times New Roman"/>
          <w:sz w:val="24"/>
          <w:szCs w:val="24"/>
          <w:lang w:val="en"/>
        </w:rPr>
        <w:t xml:space="preserve"> the potential </w:t>
      </w:r>
      <w:r w:rsidR="00377B6A" w:rsidRPr="009844A8">
        <w:rPr>
          <w:rStyle w:val="y2iqfc"/>
          <w:rFonts w:ascii="Times New Roman" w:eastAsiaTheme="majorEastAsia" w:hAnsi="Times New Roman" w:cs="Times New Roman"/>
          <w:sz w:val="24"/>
          <w:szCs w:val="24"/>
          <w:lang w:val="en"/>
        </w:rPr>
        <w:t xml:space="preserve">aboveground </w:t>
      </w:r>
      <w:r w:rsidR="00377B6A" w:rsidRPr="009844A8">
        <w:rPr>
          <w:rStyle w:val="y2iqfc"/>
          <w:rFonts w:ascii="Times New Roman" w:eastAsiaTheme="majorEastAsia" w:hAnsi="Times New Roman" w:cs="Times New Roman"/>
          <w:sz w:val="24"/>
          <w:szCs w:val="24"/>
          <w:lang w:val="en"/>
        </w:rPr>
        <w:lastRenderedPageBreak/>
        <w:t xml:space="preserve">carbon storage in the Sungai Merah Protection Forest of KPHP Unit IV Meranti based on field calculations was 287,438 tons/ha; </w:t>
      </w:r>
      <w:proofErr w:type="spellStart"/>
      <w:r w:rsidR="00377B6A" w:rsidRPr="009844A8">
        <w:rPr>
          <w:rStyle w:val="y2iqfc"/>
          <w:rFonts w:ascii="Times New Roman" w:eastAsiaTheme="majorEastAsia" w:hAnsi="Times New Roman" w:cs="Times New Roman"/>
          <w:sz w:val="24"/>
          <w:szCs w:val="24"/>
          <w:lang w:val="en"/>
        </w:rPr>
        <w:t>Astuti</w:t>
      </w:r>
      <w:proofErr w:type="spellEnd"/>
      <w:r w:rsidR="00377B6A" w:rsidRPr="009844A8">
        <w:rPr>
          <w:rStyle w:val="y2iqfc"/>
          <w:rFonts w:ascii="Times New Roman" w:eastAsiaTheme="majorEastAsia" w:hAnsi="Times New Roman" w:cs="Times New Roman"/>
          <w:sz w:val="24"/>
          <w:szCs w:val="24"/>
          <w:lang w:val="en"/>
        </w:rPr>
        <w:t xml:space="preserve"> et al (2020) reported that the biomass content in several land covers in </w:t>
      </w:r>
      <w:proofErr w:type="spellStart"/>
      <w:r w:rsidR="00377B6A" w:rsidRPr="009844A8">
        <w:rPr>
          <w:rStyle w:val="y2iqfc"/>
          <w:rFonts w:ascii="Times New Roman" w:eastAsiaTheme="majorEastAsia" w:hAnsi="Times New Roman" w:cs="Times New Roman"/>
          <w:sz w:val="24"/>
          <w:szCs w:val="24"/>
          <w:lang w:val="en"/>
        </w:rPr>
        <w:t>Gunung</w:t>
      </w:r>
      <w:proofErr w:type="spellEnd"/>
      <w:r w:rsidR="00377B6A" w:rsidRPr="009844A8">
        <w:rPr>
          <w:rStyle w:val="y2iqfc"/>
          <w:rFonts w:ascii="Times New Roman" w:eastAsiaTheme="majorEastAsia" w:hAnsi="Times New Roman" w:cs="Times New Roman"/>
          <w:sz w:val="24"/>
          <w:szCs w:val="24"/>
          <w:lang w:val="en"/>
        </w:rPr>
        <w:t xml:space="preserve"> Mas Regency is decreasing in the following order: secondary forest (483.19-823.49 tons/ha) &gt; rehabilitation land (2.04-84.96 tons/ha) &gt; open land (0.02-0.12 tons/ha). Carbon storage has decreased drastically due to deforestation. Carbon stocks in the forests of </w:t>
      </w:r>
      <w:proofErr w:type="spellStart"/>
      <w:r w:rsidR="00377B6A" w:rsidRPr="009844A8">
        <w:rPr>
          <w:rStyle w:val="y2iqfc"/>
          <w:rFonts w:ascii="Times New Roman" w:eastAsiaTheme="majorEastAsia" w:hAnsi="Times New Roman" w:cs="Times New Roman"/>
          <w:sz w:val="24"/>
          <w:szCs w:val="24"/>
          <w:lang w:val="en"/>
        </w:rPr>
        <w:t>Gunung</w:t>
      </w:r>
      <w:proofErr w:type="spellEnd"/>
      <w:r w:rsidR="00377B6A" w:rsidRPr="009844A8">
        <w:rPr>
          <w:rStyle w:val="y2iqfc"/>
          <w:rFonts w:ascii="Times New Roman" w:eastAsiaTheme="majorEastAsia" w:hAnsi="Times New Roman" w:cs="Times New Roman"/>
          <w:sz w:val="24"/>
          <w:szCs w:val="24"/>
          <w:lang w:val="en"/>
        </w:rPr>
        <w:t xml:space="preserve"> Mas Regency range from 310.24 to 418.62 tons/ha and decreased to 7.25-29.43 tons/ha due to forest conversion. Planting activities can increase the ability of </w:t>
      </w:r>
      <w:r w:rsidR="00C86634" w:rsidRPr="009844A8">
        <w:rPr>
          <w:rStyle w:val="y2iqfc"/>
          <w:rFonts w:ascii="Times New Roman" w:eastAsiaTheme="majorEastAsia" w:hAnsi="Times New Roman" w:cs="Times New Roman"/>
          <w:sz w:val="24"/>
          <w:szCs w:val="24"/>
          <w:lang w:val="en"/>
        </w:rPr>
        <w:t>the</w:t>
      </w:r>
      <w:r w:rsidR="00377B6A" w:rsidRPr="009844A8">
        <w:rPr>
          <w:rStyle w:val="y2iqfc"/>
          <w:rFonts w:ascii="Times New Roman" w:eastAsiaTheme="majorEastAsia" w:hAnsi="Times New Roman" w:cs="Times New Roman"/>
          <w:sz w:val="24"/>
          <w:szCs w:val="24"/>
          <w:lang w:val="en"/>
        </w:rPr>
        <w:t xml:space="preserve"> land to absorb and store carbon reserves periodically. Hakim et al. (2021) reported that the land cover types in the Liang </w:t>
      </w:r>
      <w:proofErr w:type="spellStart"/>
      <w:r w:rsidR="00377B6A" w:rsidRPr="009844A8">
        <w:rPr>
          <w:rStyle w:val="y2iqfc"/>
          <w:rFonts w:ascii="Times New Roman" w:eastAsiaTheme="majorEastAsia" w:hAnsi="Times New Roman" w:cs="Times New Roman"/>
          <w:sz w:val="24"/>
          <w:szCs w:val="24"/>
          <w:lang w:val="en"/>
        </w:rPr>
        <w:t>Anggang</w:t>
      </w:r>
      <w:proofErr w:type="spellEnd"/>
      <w:r w:rsidR="00377B6A" w:rsidRPr="009844A8">
        <w:rPr>
          <w:rStyle w:val="y2iqfc"/>
          <w:rFonts w:ascii="Times New Roman" w:eastAsiaTheme="majorEastAsia" w:hAnsi="Times New Roman" w:cs="Times New Roman"/>
          <w:sz w:val="24"/>
          <w:szCs w:val="24"/>
          <w:lang w:val="en"/>
        </w:rPr>
        <w:t xml:space="preserve"> Protected Forest Area consist of natural zones, cultivated zones, and mixed zones. The highest biomass values, both in standing biomass and understory biomass, were found in the natural zone. The total estimated carbon stocks in the three land cover types were 563.52 tons in the natural zone, 12.41 tons in the cultivated zone, and 155.56 tons in the mixed zone.</w:t>
      </w:r>
      <w:r w:rsidRPr="009844A8">
        <w:rPr>
          <w:rStyle w:val="y2iqfc"/>
          <w:rFonts w:ascii="Times New Roman" w:eastAsiaTheme="majorEastAsia" w:hAnsi="Times New Roman" w:cs="Times New Roman"/>
          <w:sz w:val="24"/>
          <w:szCs w:val="24"/>
          <w:lang w:val="en"/>
        </w:rPr>
        <w:t xml:space="preserve">  </w:t>
      </w:r>
      <w:r w:rsidRPr="009844A8">
        <w:rPr>
          <w:rStyle w:val="y2iqfc"/>
          <w:rFonts w:ascii="Times New Roman" w:eastAsiaTheme="majorEastAsia" w:hAnsi="Times New Roman" w:cs="Times New Roman"/>
          <w:sz w:val="24"/>
          <w:szCs w:val="24"/>
          <w:highlight w:val="yellow"/>
          <w:lang w:val="en"/>
        </w:rPr>
        <w:t xml:space="preserve">Furthermore, </w:t>
      </w:r>
      <w:proofErr w:type="spellStart"/>
      <w:r w:rsidRPr="009844A8">
        <w:rPr>
          <w:rStyle w:val="y2iqfc"/>
          <w:rFonts w:ascii="Times New Roman" w:eastAsiaTheme="majorEastAsia" w:hAnsi="Times New Roman" w:cs="Times New Roman"/>
          <w:sz w:val="24"/>
          <w:szCs w:val="24"/>
          <w:highlight w:val="yellow"/>
          <w:lang w:val="en"/>
        </w:rPr>
        <w:t>Arianasari</w:t>
      </w:r>
      <w:proofErr w:type="spellEnd"/>
      <w:r w:rsidRPr="009844A8">
        <w:rPr>
          <w:rStyle w:val="y2iqfc"/>
          <w:rFonts w:ascii="Times New Roman" w:eastAsiaTheme="majorEastAsia" w:hAnsi="Times New Roman" w:cs="Times New Roman"/>
          <w:sz w:val="24"/>
          <w:szCs w:val="24"/>
          <w:highlight w:val="yellow"/>
          <w:lang w:val="en"/>
        </w:rPr>
        <w:t xml:space="preserve"> et al. (2021) reported that the highest biomass values, both in standing biomass and understory biomass, were found in the natural zone. The average carbon storage ranged from 54.59 tons/ha, with a range of values ​​from 48.93 tons/ha to 60.26 tons/ha. Aboveground biomass accounted for the largest percentage of carbon storage, at 95.71%, followed by </w:t>
      </w:r>
      <w:proofErr w:type="spellStart"/>
      <w:r w:rsidRPr="009844A8">
        <w:rPr>
          <w:rStyle w:val="y2iqfc"/>
          <w:rFonts w:ascii="Times New Roman" w:eastAsiaTheme="majorEastAsia" w:hAnsi="Times New Roman" w:cs="Times New Roman"/>
          <w:sz w:val="24"/>
          <w:szCs w:val="24"/>
          <w:highlight w:val="yellow"/>
          <w:lang w:val="en"/>
        </w:rPr>
        <w:t>necromass</w:t>
      </w:r>
      <w:proofErr w:type="spellEnd"/>
      <w:r w:rsidRPr="009844A8">
        <w:rPr>
          <w:rStyle w:val="y2iqfc"/>
          <w:rFonts w:ascii="Times New Roman" w:eastAsiaTheme="majorEastAsia" w:hAnsi="Times New Roman" w:cs="Times New Roman"/>
          <w:sz w:val="24"/>
          <w:szCs w:val="24"/>
          <w:highlight w:val="yellow"/>
          <w:lang w:val="en"/>
        </w:rPr>
        <w:t xml:space="preserve"> at 4.23%, and litter and understory at 0.05%.</w:t>
      </w:r>
    </w:p>
    <w:p w14:paraId="6FAA70CF" w14:textId="7E194C77" w:rsidR="00377B6A" w:rsidRPr="009844A8" w:rsidRDefault="00377B6A" w:rsidP="009844A8">
      <w:pPr>
        <w:pStyle w:val="HTMLPreformatted"/>
        <w:ind w:firstLine="709"/>
        <w:jc w:val="both"/>
        <w:rPr>
          <w:rFonts w:ascii="Times New Roman" w:hAnsi="Times New Roman" w:cs="Times New Roman"/>
          <w:sz w:val="24"/>
          <w:szCs w:val="24"/>
        </w:rPr>
      </w:pPr>
    </w:p>
    <w:p w14:paraId="7C49962E" w14:textId="58CEBC03" w:rsidR="00377B6A" w:rsidRPr="009844A8" w:rsidRDefault="00377B6A" w:rsidP="009844A8">
      <w:pPr>
        <w:pStyle w:val="HTMLPreformatted"/>
        <w:jc w:val="both"/>
        <w:rPr>
          <w:rFonts w:ascii="Times New Roman" w:hAnsi="Times New Roman" w:cs="Times New Roman"/>
          <w:sz w:val="24"/>
          <w:szCs w:val="24"/>
        </w:rPr>
      </w:pPr>
    </w:p>
    <w:p w14:paraId="7E444B53" w14:textId="25824F97" w:rsidR="009844A8" w:rsidRPr="009844A8" w:rsidRDefault="009844A8" w:rsidP="009844A8">
      <w:pPr>
        <w:pStyle w:val="HTMLPreformatted"/>
        <w:jc w:val="both"/>
        <w:rPr>
          <w:rStyle w:val="y2iqfc"/>
          <w:rFonts w:ascii="Times New Roman" w:eastAsiaTheme="majorEastAsia" w:hAnsi="Times New Roman" w:cs="Times New Roman"/>
          <w:b/>
          <w:bCs/>
          <w:sz w:val="24"/>
          <w:szCs w:val="24"/>
          <w:highlight w:val="yellow"/>
          <w:lang w:val="en"/>
        </w:rPr>
      </w:pPr>
      <w:r w:rsidRPr="009844A8">
        <w:rPr>
          <w:rStyle w:val="y2iqfc"/>
          <w:rFonts w:ascii="Times New Roman" w:eastAsiaTheme="majorEastAsia" w:hAnsi="Times New Roman" w:cs="Times New Roman"/>
          <w:b/>
          <w:bCs/>
          <w:sz w:val="24"/>
          <w:szCs w:val="24"/>
          <w:highlight w:val="yellow"/>
          <w:lang w:val="en"/>
        </w:rPr>
        <w:t>4.  CONCLUSIONS AND SUGGESTIONS</w:t>
      </w:r>
    </w:p>
    <w:p w14:paraId="1D0AA910" w14:textId="77777777" w:rsidR="009844A8" w:rsidRPr="009844A8" w:rsidRDefault="009844A8" w:rsidP="009844A8">
      <w:pPr>
        <w:pStyle w:val="HTMLPreformatted"/>
        <w:jc w:val="both"/>
        <w:rPr>
          <w:rStyle w:val="y2iqfc"/>
          <w:rFonts w:ascii="Times New Roman" w:eastAsiaTheme="majorEastAsia" w:hAnsi="Times New Roman" w:cs="Times New Roman"/>
          <w:b/>
          <w:bCs/>
          <w:sz w:val="24"/>
          <w:szCs w:val="24"/>
          <w:highlight w:val="yellow"/>
          <w:lang w:val="en"/>
        </w:rPr>
      </w:pPr>
      <w:r w:rsidRPr="009844A8">
        <w:rPr>
          <w:rStyle w:val="y2iqfc"/>
          <w:rFonts w:ascii="Times New Roman" w:eastAsiaTheme="majorEastAsia" w:hAnsi="Times New Roman" w:cs="Times New Roman"/>
          <w:b/>
          <w:bCs/>
          <w:sz w:val="24"/>
          <w:szCs w:val="24"/>
          <w:highlight w:val="yellow"/>
          <w:lang w:val="en"/>
        </w:rPr>
        <w:t>4.1. Conclusions</w:t>
      </w:r>
    </w:p>
    <w:p w14:paraId="3D0492AB" w14:textId="77777777" w:rsidR="009844A8" w:rsidRPr="009844A8" w:rsidRDefault="009844A8" w:rsidP="009844A8">
      <w:pPr>
        <w:pStyle w:val="HTMLPreformatted"/>
        <w:ind w:firstLine="567"/>
        <w:jc w:val="both"/>
        <w:rPr>
          <w:rStyle w:val="y2iqfc"/>
          <w:rFonts w:ascii="Times New Roman" w:eastAsiaTheme="majorEastAsia" w:hAnsi="Times New Roman" w:cs="Times New Roman"/>
          <w:sz w:val="24"/>
          <w:szCs w:val="24"/>
          <w:highlight w:val="yellow"/>
          <w:lang w:val="en"/>
        </w:rPr>
      </w:pPr>
      <w:r w:rsidRPr="009844A8">
        <w:rPr>
          <w:rStyle w:val="y2iqfc"/>
          <w:rFonts w:ascii="Times New Roman" w:eastAsiaTheme="majorEastAsia" w:hAnsi="Times New Roman" w:cs="Times New Roman"/>
          <w:sz w:val="24"/>
          <w:szCs w:val="24"/>
          <w:highlight w:val="yellow"/>
          <w:lang w:val="en"/>
        </w:rPr>
        <w:t>Based on the research results and discussion, the following conclusions can be drawn:</w:t>
      </w:r>
    </w:p>
    <w:p w14:paraId="737B8B60" w14:textId="77777777" w:rsidR="009844A8" w:rsidRPr="009844A8" w:rsidRDefault="009844A8" w:rsidP="009844A8">
      <w:pPr>
        <w:pStyle w:val="HTMLPreformatted"/>
        <w:ind w:left="426" w:hanging="426"/>
        <w:jc w:val="both"/>
        <w:rPr>
          <w:rStyle w:val="y2iqfc"/>
          <w:rFonts w:ascii="Times New Roman" w:eastAsiaTheme="majorEastAsia" w:hAnsi="Times New Roman" w:cs="Times New Roman"/>
          <w:sz w:val="24"/>
          <w:szCs w:val="24"/>
          <w:highlight w:val="yellow"/>
          <w:lang w:val="en"/>
        </w:rPr>
      </w:pPr>
      <w:r w:rsidRPr="009844A8">
        <w:rPr>
          <w:rStyle w:val="y2iqfc"/>
          <w:rFonts w:ascii="Times New Roman" w:eastAsiaTheme="majorEastAsia" w:hAnsi="Times New Roman" w:cs="Times New Roman"/>
          <w:sz w:val="24"/>
          <w:szCs w:val="24"/>
          <w:highlight w:val="yellow"/>
          <w:lang w:val="en"/>
        </w:rPr>
        <w:t>(1) The amount of carbon stored in the biomass of young trees and tree levels is 111.64 tons/hectare.</w:t>
      </w:r>
    </w:p>
    <w:p w14:paraId="659ED93C" w14:textId="36BE7BDA" w:rsidR="009844A8" w:rsidRPr="009844A8" w:rsidRDefault="009844A8" w:rsidP="009844A8">
      <w:pPr>
        <w:pStyle w:val="HTMLPreformatted"/>
        <w:ind w:left="426" w:hanging="426"/>
        <w:jc w:val="both"/>
        <w:rPr>
          <w:rStyle w:val="y2iqfc"/>
          <w:rFonts w:ascii="Times New Roman" w:eastAsiaTheme="majorEastAsia" w:hAnsi="Times New Roman" w:cs="Times New Roman"/>
          <w:sz w:val="24"/>
          <w:szCs w:val="24"/>
          <w:highlight w:val="yellow"/>
          <w:lang w:val="en"/>
        </w:rPr>
      </w:pPr>
      <w:r w:rsidRPr="009844A8">
        <w:rPr>
          <w:rStyle w:val="y2iqfc"/>
          <w:rFonts w:ascii="Times New Roman" w:eastAsiaTheme="majorEastAsia" w:hAnsi="Times New Roman" w:cs="Times New Roman"/>
          <w:sz w:val="24"/>
          <w:szCs w:val="24"/>
          <w:highlight w:val="yellow"/>
          <w:lang w:val="en"/>
        </w:rPr>
        <w:t>(2)  The amount of carbon stored in forest floor vegetation or understory vegetation is 4.71 tons/ha.</w:t>
      </w:r>
    </w:p>
    <w:p w14:paraId="1A00BA47" w14:textId="44A235FC" w:rsidR="009844A8" w:rsidRPr="009844A8" w:rsidRDefault="009844A8" w:rsidP="009844A8">
      <w:pPr>
        <w:pStyle w:val="HTMLPreformatted"/>
        <w:ind w:left="426" w:hanging="426"/>
        <w:jc w:val="both"/>
        <w:rPr>
          <w:rStyle w:val="y2iqfc"/>
          <w:rFonts w:ascii="Times New Roman" w:eastAsiaTheme="majorEastAsia" w:hAnsi="Times New Roman" w:cs="Times New Roman"/>
          <w:sz w:val="24"/>
          <w:szCs w:val="24"/>
          <w:highlight w:val="yellow"/>
          <w:lang w:val="en"/>
        </w:rPr>
      </w:pPr>
      <w:r w:rsidRPr="009844A8">
        <w:rPr>
          <w:rStyle w:val="y2iqfc"/>
          <w:rFonts w:ascii="Times New Roman" w:eastAsiaTheme="majorEastAsia" w:hAnsi="Times New Roman" w:cs="Times New Roman"/>
          <w:sz w:val="24"/>
          <w:szCs w:val="24"/>
          <w:highlight w:val="yellow"/>
          <w:lang w:val="en"/>
        </w:rPr>
        <w:t xml:space="preserve">(3)  The amount of carbon stored in community gardens in </w:t>
      </w:r>
      <w:proofErr w:type="spellStart"/>
      <w:r w:rsidRPr="009844A8">
        <w:rPr>
          <w:rStyle w:val="y2iqfc"/>
          <w:rFonts w:ascii="Times New Roman" w:eastAsiaTheme="majorEastAsia" w:hAnsi="Times New Roman" w:cs="Times New Roman"/>
          <w:sz w:val="24"/>
          <w:szCs w:val="24"/>
          <w:highlight w:val="yellow"/>
          <w:lang w:val="en"/>
        </w:rPr>
        <w:t>Lakan</w:t>
      </w:r>
      <w:proofErr w:type="spellEnd"/>
      <w:r w:rsidRPr="009844A8">
        <w:rPr>
          <w:rStyle w:val="y2iqfc"/>
          <w:rFonts w:ascii="Times New Roman" w:eastAsiaTheme="majorEastAsia" w:hAnsi="Times New Roman" w:cs="Times New Roman"/>
          <w:sz w:val="24"/>
          <w:szCs w:val="24"/>
          <w:highlight w:val="yellow"/>
          <w:lang w:val="en"/>
        </w:rPr>
        <w:t xml:space="preserve"> </w:t>
      </w:r>
      <w:proofErr w:type="spellStart"/>
      <w:r w:rsidRPr="009844A8">
        <w:rPr>
          <w:rStyle w:val="y2iqfc"/>
          <w:rFonts w:ascii="Times New Roman" w:eastAsiaTheme="majorEastAsia" w:hAnsi="Times New Roman" w:cs="Times New Roman"/>
          <w:sz w:val="24"/>
          <w:szCs w:val="24"/>
          <w:highlight w:val="yellow"/>
          <w:lang w:val="en"/>
        </w:rPr>
        <w:t>Bilem</w:t>
      </w:r>
      <w:proofErr w:type="spellEnd"/>
      <w:r w:rsidRPr="009844A8">
        <w:rPr>
          <w:rStyle w:val="y2iqfc"/>
          <w:rFonts w:ascii="Times New Roman" w:eastAsiaTheme="majorEastAsia" w:hAnsi="Times New Roman" w:cs="Times New Roman"/>
          <w:sz w:val="24"/>
          <w:szCs w:val="24"/>
          <w:highlight w:val="yellow"/>
          <w:lang w:val="en"/>
        </w:rPr>
        <w:t xml:space="preserve"> village is 116.35 tons/ha.</w:t>
      </w:r>
    </w:p>
    <w:p w14:paraId="28F6E35A" w14:textId="77777777" w:rsidR="009844A8" w:rsidRPr="009844A8" w:rsidRDefault="009844A8" w:rsidP="009844A8">
      <w:pPr>
        <w:pStyle w:val="HTMLPreformatted"/>
        <w:jc w:val="both"/>
        <w:rPr>
          <w:rStyle w:val="y2iqfc"/>
          <w:rFonts w:ascii="Times New Roman" w:eastAsiaTheme="majorEastAsia" w:hAnsi="Times New Roman" w:cs="Times New Roman"/>
          <w:b/>
          <w:bCs/>
          <w:sz w:val="24"/>
          <w:szCs w:val="24"/>
          <w:highlight w:val="yellow"/>
          <w:lang w:val="en"/>
        </w:rPr>
      </w:pPr>
      <w:r w:rsidRPr="009844A8">
        <w:rPr>
          <w:rStyle w:val="y2iqfc"/>
          <w:rFonts w:ascii="Times New Roman" w:eastAsiaTheme="majorEastAsia" w:hAnsi="Times New Roman" w:cs="Times New Roman"/>
          <w:b/>
          <w:bCs/>
          <w:sz w:val="24"/>
          <w:szCs w:val="24"/>
          <w:highlight w:val="yellow"/>
          <w:lang w:val="en"/>
        </w:rPr>
        <w:t>4.2. Recommendations</w:t>
      </w:r>
    </w:p>
    <w:p w14:paraId="227CB7F5" w14:textId="1669A092" w:rsidR="009844A8" w:rsidRPr="009844A8" w:rsidRDefault="009844A8" w:rsidP="009844A8">
      <w:pPr>
        <w:pStyle w:val="HTMLPreformatted"/>
        <w:ind w:firstLine="567"/>
        <w:jc w:val="both"/>
        <w:rPr>
          <w:rFonts w:ascii="Times New Roman" w:hAnsi="Times New Roman" w:cs="Times New Roman"/>
          <w:sz w:val="24"/>
          <w:szCs w:val="24"/>
        </w:rPr>
      </w:pPr>
      <w:r w:rsidRPr="009844A8">
        <w:rPr>
          <w:rStyle w:val="y2iqfc"/>
          <w:rFonts w:ascii="Times New Roman" w:eastAsiaTheme="majorEastAsia" w:hAnsi="Times New Roman" w:cs="Times New Roman"/>
          <w:sz w:val="24"/>
          <w:szCs w:val="24"/>
          <w:highlight w:val="yellow"/>
          <w:lang w:val="en"/>
        </w:rPr>
        <w:t>Relevant agencies need to provide outreach and guidance to maximize field productivity, for example</w:t>
      </w:r>
      <w:r>
        <w:rPr>
          <w:rStyle w:val="y2iqfc"/>
          <w:rFonts w:ascii="Times New Roman" w:eastAsiaTheme="majorEastAsia" w:hAnsi="Times New Roman" w:cs="Times New Roman"/>
          <w:sz w:val="24"/>
          <w:szCs w:val="24"/>
          <w:highlight w:val="yellow"/>
          <w:lang w:val="en"/>
        </w:rPr>
        <w:t>,</w:t>
      </w:r>
      <w:r w:rsidRPr="009844A8">
        <w:rPr>
          <w:rStyle w:val="y2iqfc"/>
          <w:rFonts w:ascii="Times New Roman" w:eastAsiaTheme="majorEastAsia" w:hAnsi="Times New Roman" w:cs="Times New Roman"/>
          <w:sz w:val="24"/>
          <w:szCs w:val="24"/>
          <w:highlight w:val="yellow"/>
          <w:lang w:val="en"/>
        </w:rPr>
        <w:t xml:space="preserve"> through an agroforestry system that combines forestry and crops.</w:t>
      </w:r>
    </w:p>
    <w:p w14:paraId="2BBDA393" w14:textId="77777777" w:rsidR="009844A8" w:rsidRDefault="009844A8" w:rsidP="00377B6A">
      <w:pPr>
        <w:pStyle w:val="HTMLPreformatted"/>
        <w:ind w:firstLine="567"/>
        <w:jc w:val="both"/>
        <w:rPr>
          <w:rStyle w:val="y2iqfc"/>
          <w:rFonts w:ascii="Times New Roman" w:eastAsiaTheme="majorEastAsia" w:hAnsi="Times New Roman" w:cs="Times New Roman"/>
          <w:sz w:val="22"/>
          <w:szCs w:val="22"/>
          <w:lang w:val="en"/>
        </w:rPr>
      </w:pPr>
    </w:p>
    <w:p w14:paraId="03FA5090" w14:textId="77777777" w:rsidR="00FC4AF5" w:rsidRDefault="00FC4AF5" w:rsidP="00377B6A">
      <w:pPr>
        <w:pStyle w:val="HTMLPreformatted"/>
        <w:ind w:firstLine="567"/>
        <w:jc w:val="both"/>
        <w:rPr>
          <w:rStyle w:val="y2iqfc"/>
          <w:rFonts w:ascii="Times New Roman" w:eastAsiaTheme="majorEastAsia" w:hAnsi="Times New Roman" w:cs="Times New Roman"/>
          <w:sz w:val="22"/>
          <w:szCs w:val="22"/>
          <w:lang w:val="en"/>
        </w:rPr>
      </w:pPr>
    </w:p>
    <w:p w14:paraId="580E00A0" w14:textId="77777777" w:rsidR="00FC4AF5" w:rsidRPr="00FC4AF5" w:rsidRDefault="00FC4AF5" w:rsidP="009844A8">
      <w:pPr>
        <w:pStyle w:val="HTMLPreformatted"/>
        <w:jc w:val="both"/>
        <w:rPr>
          <w:rStyle w:val="y2iqfc"/>
          <w:rFonts w:ascii="Times New Roman" w:eastAsiaTheme="majorEastAsia" w:hAnsi="Times New Roman" w:cs="Times New Roman"/>
          <w:sz w:val="22"/>
          <w:szCs w:val="22"/>
          <w:lang w:val="en"/>
        </w:rPr>
      </w:pPr>
      <w:r w:rsidRPr="00FC4AF5">
        <w:rPr>
          <w:rStyle w:val="y2iqfc"/>
          <w:rFonts w:ascii="Times New Roman" w:eastAsiaTheme="majorEastAsia" w:hAnsi="Times New Roman" w:cs="Times New Roman"/>
          <w:sz w:val="22"/>
          <w:szCs w:val="22"/>
          <w:lang w:val="en"/>
        </w:rPr>
        <w:t>COMPETING INTERESTS DISCLAIMER:</w:t>
      </w:r>
    </w:p>
    <w:p w14:paraId="270A115A" w14:textId="6D41CF69" w:rsidR="00FC4AF5" w:rsidRDefault="00FC4AF5" w:rsidP="00FC4AF5">
      <w:pPr>
        <w:pStyle w:val="HTMLPreformatted"/>
        <w:ind w:firstLine="567"/>
        <w:jc w:val="both"/>
        <w:rPr>
          <w:rStyle w:val="y2iqfc"/>
          <w:rFonts w:ascii="Times New Roman" w:eastAsiaTheme="majorEastAsia" w:hAnsi="Times New Roman" w:cs="Times New Roman"/>
          <w:sz w:val="22"/>
          <w:szCs w:val="22"/>
          <w:lang w:val="en"/>
        </w:rPr>
      </w:pPr>
      <w:r w:rsidRPr="00FC4AF5">
        <w:rPr>
          <w:rStyle w:val="y2iqfc"/>
          <w:rFonts w:ascii="Times New Roman" w:eastAsiaTheme="majorEastAsia" w:hAnsi="Times New Roman" w:cs="Times New Roman"/>
          <w:sz w:val="22"/>
          <w:szCs w:val="22"/>
          <w:lang w:val="en"/>
        </w:rPr>
        <w:t>Authors have declared that they have no known competing financial interests OR non-financial interests</w:t>
      </w:r>
      <w:r w:rsidR="009844A8">
        <w:rPr>
          <w:rStyle w:val="y2iqfc"/>
          <w:rFonts w:ascii="Times New Roman" w:eastAsiaTheme="majorEastAsia" w:hAnsi="Times New Roman" w:cs="Times New Roman"/>
          <w:sz w:val="22"/>
          <w:szCs w:val="22"/>
          <w:lang w:val="en"/>
        </w:rPr>
        <w:t>,</w:t>
      </w:r>
      <w:r w:rsidRPr="00FC4AF5">
        <w:rPr>
          <w:rStyle w:val="y2iqfc"/>
          <w:rFonts w:ascii="Times New Roman" w:eastAsiaTheme="majorEastAsia" w:hAnsi="Times New Roman" w:cs="Times New Roman"/>
          <w:sz w:val="22"/>
          <w:szCs w:val="22"/>
          <w:lang w:val="en"/>
        </w:rPr>
        <w:t xml:space="preserve"> OR personal relationships that could have appeared to influence the work reported in this paper.</w:t>
      </w:r>
    </w:p>
    <w:p w14:paraId="47AA559B" w14:textId="77777777" w:rsidR="00795A16" w:rsidRPr="009C5487" w:rsidRDefault="00795A16" w:rsidP="00795A16">
      <w:pPr>
        <w:rPr>
          <w:rFonts w:ascii="Calibri" w:eastAsia="Calibri" w:hAnsi="Calibri" w:cs="Times New Roman"/>
          <w:kern w:val="2"/>
          <w:highlight w:val="yellow"/>
        </w:rPr>
      </w:pPr>
      <w:bookmarkStart w:id="0" w:name="_Hlk197682619"/>
      <w:bookmarkStart w:id="1" w:name="_Hlk180402183"/>
      <w:bookmarkStart w:id="2" w:name="_Hlk183680988"/>
      <w:bookmarkStart w:id="3" w:name="_Hlk197351200"/>
      <w:r w:rsidRPr="009C5487">
        <w:rPr>
          <w:rFonts w:ascii="Calibri" w:eastAsia="Calibri" w:hAnsi="Calibri" w:cs="Times New Roman"/>
          <w:kern w:val="2"/>
          <w:highlight w:val="yellow"/>
        </w:rPr>
        <w:t>Disclaimer (Artificial intelligence)</w:t>
      </w:r>
    </w:p>
    <w:p w14:paraId="411F75F0" w14:textId="77777777" w:rsidR="00795A16" w:rsidRPr="009C5487" w:rsidRDefault="00795A16" w:rsidP="00795A1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0"/>
    <w:bookmarkEnd w:id="1"/>
    <w:bookmarkEnd w:id="2"/>
    <w:bookmarkEnd w:id="3"/>
    <w:p w14:paraId="46308D47" w14:textId="77777777" w:rsidR="00FC4AF5" w:rsidRPr="00860A5F" w:rsidRDefault="00FC4AF5" w:rsidP="009844A8">
      <w:pPr>
        <w:pStyle w:val="HTMLPreformatted"/>
        <w:jc w:val="both"/>
        <w:rPr>
          <w:rFonts w:ascii="Times New Roman" w:hAnsi="Times New Roman" w:cs="Times New Roman"/>
          <w:sz w:val="22"/>
          <w:szCs w:val="22"/>
        </w:rPr>
      </w:pPr>
    </w:p>
    <w:p w14:paraId="4EB36543" w14:textId="21651CC8" w:rsidR="00377B6A" w:rsidRPr="00860A5F" w:rsidRDefault="00FC4AF5" w:rsidP="009844A8">
      <w:pPr>
        <w:pStyle w:val="HTMLPreformatted"/>
        <w:ind w:left="709" w:hanging="709"/>
        <w:rPr>
          <w:rStyle w:val="y2iqfc"/>
          <w:rFonts w:ascii="Times New Roman" w:eastAsiaTheme="majorEastAsia" w:hAnsi="Times New Roman" w:cs="Times New Roman"/>
          <w:b/>
          <w:bCs/>
          <w:sz w:val="22"/>
          <w:szCs w:val="22"/>
          <w:lang w:val="en"/>
        </w:rPr>
      </w:pPr>
      <w:r>
        <w:rPr>
          <w:rFonts w:ascii="Times New Roman" w:hAnsi="Times New Roman" w:cs="Times New Roman"/>
          <w:sz w:val="22"/>
          <w:szCs w:val="22"/>
        </w:rPr>
        <w:t xml:space="preserve">References </w:t>
      </w:r>
    </w:p>
    <w:p w14:paraId="01212421" w14:textId="10BEEF33" w:rsidR="009844A8" w:rsidRPr="006D4B7A" w:rsidRDefault="009844A8" w:rsidP="006D4B7A">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roofErr w:type="spellStart"/>
      <w:r w:rsidRPr="006D4B7A">
        <w:rPr>
          <w:rFonts w:ascii="Times New Roman" w:eastAsia="Times New Roman" w:hAnsi="Times New Roman" w:cs="Times New Roman"/>
          <w:sz w:val="24"/>
          <w:szCs w:val="24"/>
          <w:highlight w:val="yellow"/>
          <w:lang w:val="en"/>
        </w:rPr>
        <w:t>Arianasari</w:t>
      </w:r>
      <w:proofErr w:type="spellEnd"/>
      <w:r w:rsidRPr="006D4B7A">
        <w:rPr>
          <w:rFonts w:ascii="Times New Roman" w:eastAsia="Times New Roman" w:hAnsi="Times New Roman" w:cs="Times New Roman"/>
          <w:sz w:val="24"/>
          <w:szCs w:val="24"/>
          <w:highlight w:val="yellow"/>
          <w:lang w:val="en"/>
        </w:rPr>
        <w:t xml:space="preserve">, V. R. </w:t>
      </w:r>
      <w:proofErr w:type="spellStart"/>
      <w:r w:rsidRPr="006D4B7A">
        <w:rPr>
          <w:rFonts w:ascii="Times New Roman" w:eastAsia="Times New Roman" w:hAnsi="Times New Roman" w:cs="Times New Roman"/>
          <w:sz w:val="24"/>
          <w:szCs w:val="24"/>
          <w:highlight w:val="yellow"/>
          <w:lang w:val="en"/>
        </w:rPr>
        <w:t>Safe’i</w:t>
      </w:r>
      <w:proofErr w:type="spellEnd"/>
      <w:r w:rsidRPr="006D4B7A">
        <w:rPr>
          <w:rFonts w:ascii="Times New Roman" w:eastAsia="Times New Roman" w:hAnsi="Times New Roman" w:cs="Times New Roman"/>
          <w:sz w:val="24"/>
          <w:szCs w:val="24"/>
          <w:highlight w:val="yellow"/>
          <w:lang w:val="en"/>
        </w:rPr>
        <w:t xml:space="preserve">, A. </w:t>
      </w:r>
      <w:proofErr w:type="spellStart"/>
      <w:r w:rsidRPr="006D4B7A">
        <w:rPr>
          <w:rFonts w:ascii="Times New Roman" w:eastAsia="Times New Roman" w:hAnsi="Times New Roman" w:cs="Times New Roman"/>
          <w:sz w:val="24"/>
          <w:szCs w:val="24"/>
          <w:highlight w:val="yellow"/>
          <w:lang w:val="en"/>
        </w:rPr>
        <w:t>Darmawan</w:t>
      </w:r>
      <w:proofErr w:type="spellEnd"/>
      <w:r w:rsidRPr="006D4B7A">
        <w:rPr>
          <w:rFonts w:ascii="Times New Roman" w:eastAsia="Times New Roman" w:hAnsi="Times New Roman" w:cs="Times New Roman"/>
          <w:sz w:val="24"/>
          <w:szCs w:val="24"/>
          <w:highlight w:val="yellow"/>
          <w:lang w:val="en"/>
        </w:rPr>
        <w:t xml:space="preserve">, and H. </w:t>
      </w:r>
      <w:proofErr w:type="spellStart"/>
      <w:r w:rsidRPr="006D4B7A">
        <w:rPr>
          <w:rFonts w:ascii="Times New Roman" w:eastAsia="Times New Roman" w:hAnsi="Times New Roman" w:cs="Times New Roman"/>
          <w:sz w:val="24"/>
          <w:szCs w:val="24"/>
          <w:highlight w:val="yellow"/>
          <w:lang w:val="en"/>
        </w:rPr>
        <w:t>Kaskoyo</w:t>
      </w:r>
      <w:proofErr w:type="spellEnd"/>
      <w:r w:rsidRPr="006D4B7A">
        <w:rPr>
          <w:rFonts w:ascii="Times New Roman" w:eastAsia="Times New Roman" w:hAnsi="Times New Roman" w:cs="Times New Roman"/>
          <w:sz w:val="24"/>
          <w:szCs w:val="24"/>
          <w:highlight w:val="yellow"/>
          <w:lang w:val="en"/>
        </w:rPr>
        <w:t>. 2021. Estimation of Aboveground Carbon Storage in Community Forests in Urban Areas, Bandar Lampung City, Lampung Province. Journal of Forestry Science. 15 (2): 174-184</w:t>
      </w:r>
    </w:p>
    <w:p w14:paraId="53408931" w14:textId="23F08942" w:rsidR="00377B6A" w:rsidRPr="00860A5F" w:rsidRDefault="00377B6A" w:rsidP="006D4B7A">
      <w:pPr>
        <w:pStyle w:val="HTMLPreformatted"/>
        <w:numPr>
          <w:ilvl w:val="0"/>
          <w:numId w:val="3"/>
        </w:numPr>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lastRenderedPageBreak/>
        <w:t>Arief</w:t>
      </w:r>
      <w:proofErr w:type="spellEnd"/>
      <w:r w:rsidRPr="00860A5F">
        <w:rPr>
          <w:rStyle w:val="y2iqfc"/>
          <w:rFonts w:ascii="Times New Roman" w:eastAsiaTheme="majorEastAsia" w:hAnsi="Times New Roman" w:cs="Times New Roman"/>
          <w:sz w:val="22"/>
          <w:szCs w:val="22"/>
          <w:lang w:val="en"/>
        </w:rPr>
        <w:t xml:space="preserve">, A. 2005. Forests and Forestry. </w:t>
      </w:r>
      <w:proofErr w:type="spellStart"/>
      <w:r w:rsidRPr="00860A5F">
        <w:rPr>
          <w:rStyle w:val="y2iqfc"/>
          <w:rFonts w:ascii="Times New Roman" w:eastAsiaTheme="majorEastAsia" w:hAnsi="Times New Roman" w:cs="Times New Roman"/>
          <w:sz w:val="22"/>
          <w:szCs w:val="22"/>
          <w:lang w:val="en"/>
        </w:rPr>
        <w:t>Kanisius</w:t>
      </w:r>
      <w:proofErr w:type="spellEnd"/>
      <w:r w:rsidRPr="00860A5F">
        <w:rPr>
          <w:rStyle w:val="y2iqfc"/>
          <w:rFonts w:ascii="Times New Roman" w:eastAsiaTheme="majorEastAsia" w:hAnsi="Times New Roman" w:cs="Times New Roman"/>
          <w:sz w:val="22"/>
          <w:szCs w:val="22"/>
          <w:lang w:val="en"/>
        </w:rPr>
        <w:t xml:space="preserve"> Publisher, Yogyakarta. Brown, S., A.J. R. Gillespie &amp; A.E. Lugo. 1989. Biomass Estimation Methods for Tropical Forests with Application to Forest Inventory Data. Forest Sci.</w:t>
      </w:r>
    </w:p>
    <w:p w14:paraId="704D0169" w14:textId="7BF10CB5" w:rsidR="006610AA" w:rsidRDefault="006610AA" w:rsidP="006D4B7A">
      <w:pPr>
        <w:pStyle w:val="HTMLPreformatted"/>
        <w:numPr>
          <w:ilvl w:val="0"/>
          <w:numId w:val="3"/>
        </w:numPr>
        <w:jc w:val="both"/>
        <w:rPr>
          <w:rStyle w:val="y2iqfc"/>
          <w:rFonts w:ascii="Times New Roman" w:eastAsiaTheme="majorEastAsia" w:hAnsi="Times New Roman" w:cs="Times New Roman"/>
          <w:sz w:val="22"/>
          <w:szCs w:val="22"/>
          <w:lang w:val="en"/>
        </w:rPr>
      </w:pPr>
      <w:proofErr w:type="spellStart"/>
      <w:r w:rsidRPr="006610AA">
        <w:rPr>
          <w:rStyle w:val="y2iqfc"/>
          <w:rFonts w:ascii="Times New Roman" w:eastAsiaTheme="majorEastAsia" w:hAnsi="Times New Roman" w:cs="Times New Roman"/>
          <w:sz w:val="22"/>
          <w:szCs w:val="22"/>
          <w:lang w:val="en"/>
        </w:rPr>
        <w:t>Astuti</w:t>
      </w:r>
      <w:proofErr w:type="spellEnd"/>
      <w:r w:rsidRPr="006610AA">
        <w:rPr>
          <w:rStyle w:val="y2iqfc"/>
          <w:rFonts w:ascii="Times New Roman" w:eastAsiaTheme="majorEastAsia" w:hAnsi="Times New Roman" w:cs="Times New Roman"/>
          <w:sz w:val="22"/>
          <w:szCs w:val="22"/>
          <w:lang w:val="en"/>
        </w:rPr>
        <w:t xml:space="preserve">, R., </w:t>
      </w:r>
      <w:proofErr w:type="spellStart"/>
      <w:r w:rsidRPr="006610AA">
        <w:rPr>
          <w:rStyle w:val="y2iqfc"/>
          <w:rFonts w:ascii="Times New Roman" w:eastAsiaTheme="majorEastAsia" w:hAnsi="Times New Roman" w:cs="Times New Roman"/>
          <w:sz w:val="22"/>
          <w:szCs w:val="22"/>
          <w:lang w:val="en"/>
        </w:rPr>
        <w:t>Wasis</w:t>
      </w:r>
      <w:proofErr w:type="spellEnd"/>
      <w:r w:rsidRPr="006610AA">
        <w:rPr>
          <w:rStyle w:val="y2iqfc"/>
          <w:rFonts w:ascii="Times New Roman" w:eastAsiaTheme="majorEastAsia" w:hAnsi="Times New Roman" w:cs="Times New Roman"/>
          <w:sz w:val="22"/>
          <w:szCs w:val="22"/>
          <w:lang w:val="en"/>
        </w:rPr>
        <w:t xml:space="preserve">, B., &amp; </w:t>
      </w:r>
      <w:proofErr w:type="spellStart"/>
      <w:r w:rsidRPr="006610AA">
        <w:rPr>
          <w:rStyle w:val="y2iqfc"/>
          <w:rFonts w:ascii="Times New Roman" w:eastAsiaTheme="majorEastAsia" w:hAnsi="Times New Roman" w:cs="Times New Roman"/>
          <w:sz w:val="22"/>
          <w:szCs w:val="22"/>
          <w:lang w:val="en"/>
        </w:rPr>
        <w:t>Hilwan</w:t>
      </w:r>
      <w:proofErr w:type="spellEnd"/>
      <w:r w:rsidRPr="006610AA">
        <w:rPr>
          <w:rStyle w:val="y2iqfc"/>
          <w:rFonts w:ascii="Times New Roman" w:eastAsiaTheme="majorEastAsia" w:hAnsi="Times New Roman" w:cs="Times New Roman"/>
          <w:sz w:val="22"/>
          <w:szCs w:val="22"/>
          <w:lang w:val="en"/>
        </w:rPr>
        <w:t xml:space="preserve">, I. (2020). POTENSI CADANGAN KARBON PADA LAHAN REHABILITASI DI KABUPATEN GUNUNG MAS, KALIMANTAN TENGAH: Carbon Stock Potential in Rehabilitation Land at </w:t>
      </w:r>
      <w:proofErr w:type="spellStart"/>
      <w:r w:rsidRPr="006610AA">
        <w:rPr>
          <w:rStyle w:val="y2iqfc"/>
          <w:rFonts w:ascii="Times New Roman" w:eastAsiaTheme="majorEastAsia" w:hAnsi="Times New Roman" w:cs="Times New Roman"/>
          <w:sz w:val="22"/>
          <w:szCs w:val="22"/>
          <w:lang w:val="en"/>
        </w:rPr>
        <w:t>Gunung</w:t>
      </w:r>
      <w:proofErr w:type="spellEnd"/>
      <w:r w:rsidRPr="006610AA">
        <w:rPr>
          <w:rStyle w:val="y2iqfc"/>
          <w:rFonts w:ascii="Times New Roman" w:eastAsiaTheme="majorEastAsia" w:hAnsi="Times New Roman" w:cs="Times New Roman"/>
          <w:sz w:val="22"/>
          <w:szCs w:val="22"/>
          <w:lang w:val="en"/>
        </w:rPr>
        <w:t xml:space="preserve"> Mas District, Central Kalimantan. *Media </w:t>
      </w:r>
      <w:proofErr w:type="spellStart"/>
      <w:r w:rsidRPr="006610AA">
        <w:rPr>
          <w:rStyle w:val="y2iqfc"/>
          <w:rFonts w:ascii="Times New Roman" w:eastAsiaTheme="majorEastAsia" w:hAnsi="Times New Roman" w:cs="Times New Roman"/>
          <w:sz w:val="22"/>
          <w:szCs w:val="22"/>
          <w:lang w:val="en"/>
        </w:rPr>
        <w:t>Konservasi</w:t>
      </w:r>
      <w:proofErr w:type="spellEnd"/>
      <w:r w:rsidRPr="006610AA">
        <w:rPr>
          <w:rStyle w:val="y2iqfc"/>
          <w:rFonts w:ascii="Times New Roman" w:eastAsiaTheme="majorEastAsia" w:hAnsi="Times New Roman" w:cs="Times New Roman"/>
          <w:sz w:val="22"/>
          <w:szCs w:val="22"/>
          <w:lang w:val="en"/>
        </w:rPr>
        <w:t xml:space="preserve">*, *25*(2), 140-148. </w:t>
      </w:r>
      <w:hyperlink r:id="rId9" w:history="1">
        <w:r w:rsidRPr="000731A8">
          <w:rPr>
            <w:rStyle w:val="Hyperlink"/>
            <w:rFonts w:ascii="Times New Roman" w:eastAsiaTheme="majorEastAsia" w:hAnsi="Times New Roman" w:cs="Times New Roman"/>
            <w:sz w:val="22"/>
            <w:szCs w:val="22"/>
            <w:lang w:val="en"/>
          </w:rPr>
          <w:t>https://doi.org/10.29244/medkon.25.2.140-148</w:t>
        </w:r>
      </w:hyperlink>
    </w:p>
    <w:p w14:paraId="2D222C16" w14:textId="7FB3D761" w:rsidR="006610AA" w:rsidRDefault="006610AA" w:rsidP="006D4B7A">
      <w:pPr>
        <w:pStyle w:val="HTMLPreformatted"/>
        <w:numPr>
          <w:ilvl w:val="0"/>
          <w:numId w:val="3"/>
        </w:numPr>
        <w:jc w:val="both"/>
        <w:rPr>
          <w:rStyle w:val="y2iqfc"/>
          <w:rFonts w:ascii="Times New Roman" w:eastAsiaTheme="majorEastAsia" w:hAnsi="Times New Roman" w:cs="Times New Roman"/>
          <w:sz w:val="22"/>
          <w:szCs w:val="22"/>
          <w:lang w:val="en"/>
        </w:rPr>
      </w:pPr>
      <w:proofErr w:type="spellStart"/>
      <w:r w:rsidRPr="006610AA">
        <w:rPr>
          <w:rStyle w:val="y2iqfc"/>
          <w:rFonts w:ascii="Times New Roman" w:eastAsiaTheme="majorEastAsia" w:hAnsi="Times New Roman" w:cs="Times New Roman"/>
          <w:sz w:val="22"/>
          <w:szCs w:val="22"/>
          <w:lang w:val="en"/>
        </w:rPr>
        <w:t>Birdsey</w:t>
      </w:r>
      <w:proofErr w:type="spellEnd"/>
      <w:r w:rsidRPr="006610AA">
        <w:rPr>
          <w:rStyle w:val="y2iqfc"/>
          <w:rFonts w:ascii="Times New Roman" w:eastAsiaTheme="majorEastAsia" w:hAnsi="Times New Roman" w:cs="Times New Roman"/>
          <w:sz w:val="22"/>
          <w:szCs w:val="22"/>
          <w:lang w:val="en"/>
        </w:rPr>
        <w:t xml:space="preserve">, R., &amp; Pan, Y. (2015). Trends in management of the world's forests and impacts on carbon stocks. Forest Ecology and Management, 355, 83–90. </w:t>
      </w:r>
      <w:hyperlink r:id="rId10" w:history="1">
        <w:r w:rsidRPr="000731A8">
          <w:rPr>
            <w:rStyle w:val="Hyperlink"/>
            <w:rFonts w:ascii="Times New Roman" w:eastAsiaTheme="majorEastAsia" w:hAnsi="Times New Roman" w:cs="Times New Roman"/>
            <w:sz w:val="22"/>
            <w:szCs w:val="22"/>
            <w:lang w:val="en"/>
          </w:rPr>
          <w:t>https://doi.org/10.1016/j.foreco.2015.04.031</w:t>
        </w:r>
      </w:hyperlink>
    </w:p>
    <w:p w14:paraId="507DBF10" w14:textId="51EDDC1D" w:rsidR="00D065E4" w:rsidRPr="00860A5F" w:rsidRDefault="00D065E4" w:rsidP="006D4B7A">
      <w:pPr>
        <w:pStyle w:val="HTMLPreformatted"/>
        <w:numPr>
          <w:ilvl w:val="0"/>
          <w:numId w:val="3"/>
        </w:numPr>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Hairiah</w:t>
      </w:r>
      <w:proofErr w:type="spellEnd"/>
      <w:r w:rsidRPr="00860A5F">
        <w:rPr>
          <w:rStyle w:val="y2iqfc"/>
          <w:rFonts w:ascii="Times New Roman" w:eastAsiaTheme="majorEastAsia" w:hAnsi="Times New Roman" w:cs="Times New Roman"/>
          <w:sz w:val="22"/>
          <w:szCs w:val="22"/>
          <w:lang w:val="en"/>
        </w:rPr>
        <w:t xml:space="preserve">, K. and S. </w:t>
      </w:r>
      <w:proofErr w:type="spellStart"/>
      <w:r w:rsidRPr="00860A5F">
        <w:rPr>
          <w:rStyle w:val="y2iqfc"/>
          <w:rFonts w:ascii="Times New Roman" w:eastAsiaTheme="majorEastAsia" w:hAnsi="Times New Roman" w:cs="Times New Roman"/>
          <w:sz w:val="22"/>
          <w:szCs w:val="22"/>
          <w:lang w:val="en"/>
        </w:rPr>
        <w:t>Rahayu</w:t>
      </w:r>
      <w:proofErr w:type="spellEnd"/>
      <w:r w:rsidRPr="00860A5F">
        <w:rPr>
          <w:rStyle w:val="y2iqfc"/>
          <w:rFonts w:ascii="Times New Roman" w:eastAsiaTheme="majorEastAsia" w:hAnsi="Times New Roman" w:cs="Times New Roman"/>
          <w:sz w:val="22"/>
          <w:szCs w:val="22"/>
          <w:lang w:val="en"/>
        </w:rPr>
        <w:t>. 2007. Measurement of Stored Carbon in Various Land Uses. World Agroforestry Centre. ICRAF Southeast Asia Regional Office. Bogor.</w:t>
      </w:r>
    </w:p>
    <w:p w14:paraId="59FEFF59" w14:textId="7F927786" w:rsidR="006610AA" w:rsidRPr="006610AA" w:rsidRDefault="006610AA" w:rsidP="006D4B7A">
      <w:pPr>
        <w:pStyle w:val="HTMLPreformatted"/>
        <w:numPr>
          <w:ilvl w:val="0"/>
          <w:numId w:val="3"/>
        </w:numPr>
        <w:jc w:val="both"/>
        <w:rPr>
          <w:rStyle w:val="y2iqfc"/>
          <w:rFonts w:ascii="Times New Roman" w:hAnsi="Times New Roman" w:cs="Times New Roman"/>
          <w:sz w:val="22"/>
          <w:szCs w:val="22"/>
        </w:rPr>
      </w:pPr>
      <w:proofErr w:type="spellStart"/>
      <w:r w:rsidRPr="006610AA">
        <w:rPr>
          <w:rStyle w:val="y2iqfc"/>
          <w:rFonts w:ascii="Times New Roman" w:eastAsiaTheme="majorEastAsia" w:hAnsi="Times New Roman" w:cs="Times New Roman"/>
          <w:sz w:val="22"/>
          <w:szCs w:val="22"/>
          <w:lang w:val="en"/>
        </w:rPr>
        <w:t>Hairiah</w:t>
      </w:r>
      <w:proofErr w:type="spellEnd"/>
      <w:r w:rsidRPr="006610AA">
        <w:rPr>
          <w:rStyle w:val="y2iqfc"/>
          <w:rFonts w:ascii="Times New Roman" w:eastAsiaTheme="majorEastAsia" w:hAnsi="Times New Roman" w:cs="Times New Roman"/>
          <w:sz w:val="22"/>
          <w:szCs w:val="22"/>
          <w:lang w:val="en"/>
        </w:rPr>
        <w:t xml:space="preserve">, K., </w:t>
      </w:r>
      <w:proofErr w:type="spellStart"/>
      <w:r w:rsidRPr="006610AA">
        <w:rPr>
          <w:rStyle w:val="y2iqfc"/>
          <w:rFonts w:ascii="Times New Roman" w:eastAsiaTheme="majorEastAsia" w:hAnsi="Times New Roman" w:cs="Times New Roman"/>
          <w:sz w:val="22"/>
          <w:szCs w:val="22"/>
          <w:lang w:val="en"/>
        </w:rPr>
        <w:t>Dewi</w:t>
      </w:r>
      <w:proofErr w:type="spellEnd"/>
      <w:r w:rsidRPr="006610AA">
        <w:rPr>
          <w:rStyle w:val="y2iqfc"/>
          <w:rFonts w:ascii="Times New Roman" w:eastAsiaTheme="majorEastAsia" w:hAnsi="Times New Roman" w:cs="Times New Roman"/>
          <w:sz w:val="22"/>
          <w:szCs w:val="22"/>
          <w:lang w:val="en"/>
        </w:rPr>
        <w:t xml:space="preserve">, S., </w:t>
      </w:r>
      <w:proofErr w:type="spellStart"/>
      <w:r w:rsidRPr="006610AA">
        <w:rPr>
          <w:rStyle w:val="y2iqfc"/>
          <w:rFonts w:ascii="Times New Roman" w:eastAsiaTheme="majorEastAsia" w:hAnsi="Times New Roman" w:cs="Times New Roman"/>
          <w:sz w:val="22"/>
          <w:szCs w:val="22"/>
          <w:lang w:val="en"/>
        </w:rPr>
        <w:t>Agus</w:t>
      </w:r>
      <w:proofErr w:type="spellEnd"/>
      <w:r w:rsidRPr="006610AA">
        <w:rPr>
          <w:rStyle w:val="y2iqfc"/>
          <w:rFonts w:ascii="Times New Roman" w:eastAsiaTheme="majorEastAsia" w:hAnsi="Times New Roman" w:cs="Times New Roman"/>
          <w:sz w:val="22"/>
          <w:szCs w:val="22"/>
          <w:lang w:val="en"/>
        </w:rPr>
        <w:t xml:space="preserve">, F., Velarde, S. J., </w:t>
      </w:r>
      <w:proofErr w:type="spellStart"/>
      <w:r w:rsidRPr="006610AA">
        <w:rPr>
          <w:rStyle w:val="y2iqfc"/>
          <w:rFonts w:ascii="Times New Roman" w:eastAsiaTheme="majorEastAsia" w:hAnsi="Times New Roman" w:cs="Times New Roman"/>
          <w:sz w:val="22"/>
          <w:szCs w:val="22"/>
          <w:lang w:val="en"/>
        </w:rPr>
        <w:t>Ekadinata</w:t>
      </w:r>
      <w:proofErr w:type="spellEnd"/>
      <w:r w:rsidRPr="006610AA">
        <w:rPr>
          <w:rStyle w:val="y2iqfc"/>
          <w:rFonts w:ascii="Times New Roman" w:eastAsiaTheme="majorEastAsia" w:hAnsi="Times New Roman" w:cs="Times New Roman"/>
          <w:sz w:val="22"/>
          <w:szCs w:val="22"/>
          <w:lang w:val="en"/>
        </w:rPr>
        <w:t xml:space="preserve">, A., </w:t>
      </w:r>
      <w:proofErr w:type="spellStart"/>
      <w:r w:rsidRPr="006610AA">
        <w:rPr>
          <w:rStyle w:val="y2iqfc"/>
          <w:rFonts w:ascii="Times New Roman" w:eastAsiaTheme="majorEastAsia" w:hAnsi="Times New Roman" w:cs="Times New Roman"/>
          <w:sz w:val="22"/>
          <w:szCs w:val="22"/>
          <w:lang w:val="en"/>
        </w:rPr>
        <w:t>Rahayu</w:t>
      </w:r>
      <w:proofErr w:type="spellEnd"/>
      <w:r w:rsidRPr="006610AA">
        <w:rPr>
          <w:rStyle w:val="y2iqfc"/>
          <w:rFonts w:ascii="Times New Roman" w:eastAsiaTheme="majorEastAsia" w:hAnsi="Times New Roman" w:cs="Times New Roman"/>
          <w:sz w:val="22"/>
          <w:szCs w:val="22"/>
          <w:lang w:val="en"/>
        </w:rPr>
        <w:t xml:space="preserve">, S., &amp; van </w:t>
      </w:r>
      <w:proofErr w:type="spellStart"/>
      <w:r w:rsidRPr="006610AA">
        <w:rPr>
          <w:rStyle w:val="y2iqfc"/>
          <w:rFonts w:ascii="Times New Roman" w:eastAsiaTheme="majorEastAsia" w:hAnsi="Times New Roman" w:cs="Times New Roman"/>
          <w:sz w:val="22"/>
          <w:szCs w:val="22"/>
          <w:lang w:val="en"/>
        </w:rPr>
        <w:t>Noordwijk</w:t>
      </w:r>
      <w:proofErr w:type="spellEnd"/>
      <w:r w:rsidRPr="006610AA">
        <w:rPr>
          <w:rStyle w:val="y2iqfc"/>
          <w:rFonts w:ascii="Times New Roman" w:eastAsiaTheme="majorEastAsia" w:hAnsi="Times New Roman" w:cs="Times New Roman"/>
          <w:sz w:val="22"/>
          <w:szCs w:val="22"/>
          <w:lang w:val="en"/>
        </w:rPr>
        <w:t xml:space="preserve">, M. (2011). Measuring carbon stocks across land use systems: A manual. World Agroforestry Centre (ICRAF), SEA Regional Office. </w:t>
      </w:r>
      <w:hyperlink r:id="rId11" w:history="1">
        <w:r w:rsidRPr="000731A8">
          <w:rPr>
            <w:rStyle w:val="Hyperlink"/>
            <w:rFonts w:ascii="Times New Roman" w:eastAsiaTheme="majorEastAsia" w:hAnsi="Times New Roman" w:cs="Times New Roman"/>
            <w:sz w:val="22"/>
            <w:szCs w:val="22"/>
            <w:lang w:val="en"/>
          </w:rPr>
          <w:t>https://www.cifor-icraf.org/publications/</w:t>
        </w:r>
      </w:hyperlink>
    </w:p>
    <w:p w14:paraId="188E8B51" w14:textId="2242D1C3" w:rsidR="006610AA" w:rsidRDefault="006610AA" w:rsidP="006D4B7A">
      <w:pPr>
        <w:pStyle w:val="HTMLPreformatted"/>
        <w:numPr>
          <w:ilvl w:val="0"/>
          <w:numId w:val="3"/>
        </w:numPr>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Hakim, R., </w:t>
      </w:r>
      <w:proofErr w:type="spellStart"/>
      <w:r w:rsidRPr="006610AA">
        <w:rPr>
          <w:rStyle w:val="y2iqfc"/>
          <w:rFonts w:ascii="Times New Roman" w:eastAsiaTheme="majorEastAsia" w:hAnsi="Times New Roman" w:cs="Times New Roman"/>
          <w:sz w:val="22"/>
          <w:szCs w:val="22"/>
          <w:lang w:val="en"/>
        </w:rPr>
        <w:t>Suyanto</w:t>
      </w:r>
      <w:proofErr w:type="spellEnd"/>
      <w:r w:rsidRPr="006610AA">
        <w:rPr>
          <w:rStyle w:val="y2iqfc"/>
          <w:rFonts w:ascii="Times New Roman" w:eastAsiaTheme="majorEastAsia" w:hAnsi="Times New Roman" w:cs="Times New Roman"/>
          <w:sz w:val="22"/>
          <w:szCs w:val="22"/>
          <w:lang w:val="en"/>
        </w:rPr>
        <w:t xml:space="preserve">, &amp; </w:t>
      </w:r>
      <w:proofErr w:type="spellStart"/>
      <w:r w:rsidRPr="006610AA">
        <w:rPr>
          <w:rStyle w:val="y2iqfc"/>
          <w:rFonts w:ascii="Times New Roman" w:eastAsiaTheme="majorEastAsia" w:hAnsi="Times New Roman" w:cs="Times New Roman"/>
          <w:sz w:val="22"/>
          <w:szCs w:val="22"/>
          <w:lang w:val="en"/>
        </w:rPr>
        <w:t>Asyari</w:t>
      </w:r>
      <w:proofErr w:type="spellEnd"/>
      <w:r w:rsidRPr="006610AA">
        <w:rPr>
          <w:rStyle w:val="y2iqfc"/>
          <w:rFonts w:ascii="Times New Roman" w:eastAsiaTheme="majorEastAsia" w:hAnsi="Times New Roman" w:cs="Times New Roman"/>
          <w:sz w:val="22"/>
          <w:szCs w:val="22"/>
          <w:lang w:val="en"/>
        </w:rPr>
        <w:t xml:space="preserve">, M. (2021). Estimation of Carbon Reserves Above Ground Level in Liang </w:t>
      </w:r>
      <w:proofErr w:type="spellStart"/>
      <w:r w:rsidRPr="006610AA">
        <w:rPr>
          <w:rStyle w:val="y2iqfc"/>
          <w:rFonts w:ascii="Times New Roman" w:eastAsiaTheme="majorEastAsia" w:hAnsi="Times New Roman" w:cs="Times New Roman"/>
          <w:sz w:val="22"/>
          <w:szCs w:val="22"/>
          <w:lang w:val="en"/>
        </w:rPr>
        <w:t>Anggang</w:t>
      </w:r>
      <w:proofErr w:type="spellEnd"/>
      <w:r w:rsidRPr="006610AA">
        <w:rPr>
          <w:rStyle w:val="y2iqfc"/>
          <w:rFonts w:ascii="Times New Roman" w:eastAsiaTheme="majorEastAsia" w:hAnsi="Times New Roman" w:cs="Times New Roman"/>
          <w:sz w:val="22"/>
          <w:szCs w:val="22"/>
          <w:lang w:val="en"/>
        </w:rPr>
        <w:t xml:space="preserve"> Protected Forest Area of </w:t>
      </w:r>
      <w:proofErr w:type="spellStart"/>
      <w:r w:rsidRPr="006610AA">
        <w:rPr>
          <w:rStyle w:val="y2iqfc"/>
          <w:rFonts w:ascii="Times New Roman" w:eastAsiaTheme="majorEastAsia" w:hAnsi="Times New Roman" w:cs="Times New Roman"/>
          <w:sz w:val="22"/>
          <w:szCs w:val="22"/>
          <w:lang w:val="en"/>
        </w:rPr>
        <w:t>Banjarbaru</w:t>
      </w:r>
      <w:proofErr w:type="spellEnd"/>
      <w:r w:rsidRPr="006610AA">
        <w:rPr>
          <w:rStyle w:val="y2iqfc"/>
          <w:rFonts w:ascii="Times New Roman" w:eastAsiaTheme="majorEastAsia" w:hAnsi="Times New Roman" w:cs="Times New Roman"/>
          <w:sz w:val="22"/>
          <w:szCs w:val="22"/>
          <w:lang w:val="en"/>
        </w:rPr>
        <w:t xml:space="preserve"> City, South Kalimantan. </w:t>
      </w:r>
      <w:proofErr w:type="spellStart"/>
      <w:r w:rsidRPr="006610AA">
        <w:rPr>
          <w:rStyle w:val="y2iqfc"/>
          <w:rFonts w:ascii="Times New Roman" w:eastAsiaTheme="majorEastAsia" w:hAnsi="Times New Roman" w:cs="Times New Roman"/>
          <w:sz w:val="22"/>
          <w:szCs w:val="22"/>
          <w:lang w:val="en"/>
        </w:rPr>
        <w:t>Jurnal</w:t>
      </w:r>
      <w:proofErr w:type="spellEnd"/>
      <w:r w:rsidRPr="006610AA">
        <w:rPr>
          <w:rStyle w:val="y2iqfc"/>
          <w:rFonts w:ascii="Times New Roman" w:eastAsiaTheme="majorEastAsia" w:hAnsi="Times New Roman" w:cs="Times New Roman"/>
          <w:sz w:val="22"/>
          <w:szCs w:val="22"/>
          <w:lang w:val="en"/>
        </w:rPr>
        <w:t xml:space="preserve"> Sylva </w:t>
      </w:r>
      <w:proofErr w:type="spellStart"/>
      <w:r w:rsidRPr="006610AA">
        <w:rPr>
          <w:rStyle w:val="y2iqfc"/>
          <w:rFonts w:ascii="Times New Roman" w:eastAsiaTheme="majorEastAsia" w:hAnsi="Times New Roman" w:cs="Times New Roman"/>
          <w:sz w:val="22"/>
          <w:szCs w:val="22"/>
          <w:lang w:val="en"/>
        </w:rPr>
        <w:t>Scienteae</w:t>
      </w:r>
      <w:proofErr w:type="spellEnd"/>
      <w:r w:rsidRPr="006610AA">
        <w:rPr>
          <w:rStyle w:val="y2iqfc"/>
          <w:rFonts w:ascii="Times New Roman" w:eastAsiaTheme="majorEastAsia" w:hAnsi="Times New Roman" w:cs="Times New Roman"/>
          <w:sz w:val="22"/>
          <w:szCs w:val="22"/>
          <w:lang w:val="en"/>
        </w:rPr>
        <w:t xml:space="preserve">, 4(5), 793-802. </w:t>
      </w:r>
      <w:hyperlink r:id="rId12" w:history="1">
        <w:r w:rsidRPr="000731A8">
          <w:rPr>
            <w:rStyle w:val="Hyperlink"/>
            <w:rFonts w:ascii="Times New Roman" w:eastAsiaTheme="majorEastAsia" w:hAnsi="Times New Roman" w:cs="Times New Roman"/>
            <w:sz w:val="22"/>
            <w:szCs w:val="22"/>
            <w:lang w:val="en"/>
          </w:rPr>
          <w:t>https://doi.org/10.20527/jss.v4i5.4201</w:t>
        </w:r>
      </w:hyperlink>
    </w:p>
    <w:p w14:paraId="2D709EF2" w14:textId="7C1F05BA" w:rsidR="006610AA" w:rsidRDefault="006610AA" w:rsidP="006D4B7A">
      <w:pPr>
        <w:pStyle w:val="HTMLPreformatted"/>
        <w:numPr>
          <w:ilvl w:val="0"/>
          <w:numId w:val="3"/>
        </w:numPr>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Intergovernmental Panel on Climate Change. (2006). 2006 IPCC Guidelines for National Greenhouse Gas Inventories. </w:t>
      </w:r>
      <w:hyperlink r:id="rId13" w:history="1">
        <w:r w:rsidRPr="000731A8">
          <w:rPr>
            <w:rStyle w:val="Hyperlink"/>
            <w:rFonts w:ascii="Times New Roman" w:eastAsiaTheme="majorEastAsia" w:hAnsi="Times New Roman" w:cs="Times New Roman"/>
            <w:sz w:val="22"/>
            <w:szCs w:val="22"/>
            <w:lang w:val="en"/>
          </w:rPr>
          <w:t>https://www.ipcc-nggip.iges.or.jp/public/2006gl/index.html</w:t>
        </w:r>
      </w:hyperlink>
    </w:p>
    <w:p w14:paraId="565D1681" w14:textId="20FFE36A" w:rsidR="006610AA" w:rsidRDefault="006610AA" w:rsidP="006D4B7A">
      <w:pPr>
        <w:pStyle w:val="HTMLPreformatted"/>
        <w:numPr>
          <w:ilvl w:val="0"/>
          <w:numId w:val="3"/>
        </w:numPr>
        <w:jc w:val="both"/>
      </w:pPr>
      <w:r w:rsidRPr="006610AA">
        <w:rPr>
          <w:rStyle w:val="y2iqfc"/>
          <w:rFonts w:ascii="Times New Roman" w:eastAsiaTheme="majorEastAsia" w:hAnsi="Times New Roman" w:cs="Times New Roman"/>
          <w:sz w:val="22"/>
          <w:szCs w:val="22"/>
          <w:lang w:val="en"/>
        </w:rPr>
        <w:t xml:space="preserve">Liu, X., </w:t>
      </w:r>
      <w:proofErr w:type="spellStart"/>
      <w:r w:rsidRPr="006610AA">
        <w:rPr>
          <w:rStyle w:val="y2iqfc"/>
          <w:rFonts w:ascii="Times New Roman" w:eastAsiaTheme="majorEastAsia" w:hAnsi="Times New Roman" w:cs="Times New Roman"/>
          <w:sz w:val="22"/>
          <w:szCs w:val="22"/>
          <w:lang w:val="en"/>
        </w:rPr>
        <w:t>Ekoungoulou</w:t>
      </w:r>
      <w:proofErr w:type="spellEnd"/>
      <w:r w:rsidRPr="006610AA">
        <w:rPr>
          <w:rStyle w:val="y2iqfc"/>
          <w:rFonts w:ascii="Times New Roman" w:eastAsiaTheme="majorEastAsia" w:hAnsi="Times New Roman" w:cs="Times New Roman"/>
          <w:sz w:val="22"/>
          <w:szCs w:val="22"/>
          <w:lang w:val="en"/>
        </w:rPr>
        <w:t xml:space="preserve">, R., </w:t>
      </w:r>
      <w:proofErr w:type="spellStart"/>
      <w:r w:rsidRPr="006610AA">
        <w:rPr>
          <w:rStyle w:val="y2iqfc"/>
          <w:rFonts w:ascii="Times New Roman" w:eastAsiaTheme="majorEastAsia" w:hAnsi="Times New Roman" w:cs="Times New Roman"/>
          <w:sz w:val="22"/>
          <w:szCs w:val="22"/>
          <w:lang w:val="en"/>
        </w:rPr>
        <w:t>Loumeto</w:t>
      </w:r>
      <w:proofErr w:type="spellEnd"/>
      <w:r w:rsidRPr="006610AA">
        <w:rPr>
          <w:rStyle w:val="y2iqfc"/>
          <w:rFonts w:ascii="Times New Roman" w:eastAsiaTheme="majorEastAsia" w:hAnsi="Times New Roman" w:cs="Times New Roman"/>
          <w:sz w:val="22"/>
          <w:szCs w:val="22"/>
          <w:lang w:val="en"/>
        </w:rPr>
        <w:t xml:space="preserve">, J. J., </w:t>
      </w:r>
      <w:proofErr w:type="spellStart"/>
      <w:r w:rsidRPr="006610AA">
        <w:rPr>
          <w:rStyle w:val="y2iqfc"/>
          <w:rFonts w:ascii="Times New Roman" w:eastAsiaTheme="majorEastAsia" w:hAnsi="Times New Roman" w:cs="Times New Roman"/>
          <w:sz w:val="22"/>
          <w:szCs w:val="22"/>
          <w:lang w:val="en"/>
        </w:rPr>
        <w:t>Ifo</w:t>
      </w:r>
      <w:proofErr w:type="spellEnd"/>
      <w:r w:rsidRPr="006610AA">
        <w:rPr>
          <w:rStyle w:val="y2iqfc"/>
          <w:rFonts w:ascii="Times New Roman" w:eastAsiaTheme="majorEastAsia" w:hAnsi="Times New Roman" w:cs="Times New Roman"/>
          <w:sz w:val="22"/>
          <w:szCs w:val="22"/>
          <w:lang w:val="en"/>
        </w:rPr>
        <w:t xml:space="preserve">, S. A., </w:t>
      </w:r>
      <w:proofErr w:type="spellStart"/>
      <w:r w:rsidRPr="006610AA">
        <w:rPr>
          <w:rStyle w:val="y2iqfc"/>
          <w:rFonts w:ascii="Times New Roman" w:eastAsiaTheme="majorEastAsia" w:hAnsi="Times New Roman" w:cs="Times New Roman"/>
          <w:sz w:val="22"/>
          <w:szCs w:val="22"/>
          <w:lang w:val="en"/>
        </w:rPr>
        <w:t>Bocko</w:t>
      </w:r>
      <w:proofErr w:type="spellEnd"/>
      <w:r w:rsidRPr="006610AA">
        <w:rPr>
          <w:rStyle w:val="y2iqfc"/>
          <w:rFonts w:ascii="Times New Roman" w:eastAsiaTheme="majorEastAsia" w:hAnsi="Times New Roman" w:cs="Times New Roman"/>
          <w:sz w:val="22"/>
          <w:szCs w:val="22"/>
          <w:lang w:val="en"/>
        </w:rPr>
        <w:t xml:space="preserve">, Y. E., &amp; </w:t>
      </w:r>
      <w:proofErr w:type="spellStart"/>
      <w:r w:rsidRPr="006610AA">
        <w:rPr>
          <w:rStyle w:val="y2iqfc"/>
          <w:rFonts w:ascii="Times New Roman" w:eastAsiaTheme="majorEastAsia" w:hAnsi="Times New Roman" w:cs="Times New Roman"/>
          <w:sz w:val="22"/>
          <w:szCs w:val="22"/>
          <w:lang w:val="en"/>
        </w:rPr>
        <w:t>Koula</w:t>
      </w:r>
      <w:proofErr w:type="spellEnd"/>
      <w:r w:rsidRPr="006610AA">
        <w:rPr>
          <w:rStyle w:val="y2iqfc"/>
          <w:rFonts w:ascii="Times New Roman" w:eastAsiaTheme="majorEastAsia" w:hAnsi="Times New Roman" w:cs="Times New Roman"/>
          <w:sz w:val="22"/>
          <w:szCs w:val="22"/>
          <w:lang w:val="en"/>
        </w:rPr>
        <w:t xml:space="preserve">, F. E. (2014). Evaluation of carbon stocks in above- and below-ground biomass in Central Africa: Case study of </w:t>
      </w:r>
      <w:proofErr w:type="spellStart"/>
      <w:r w:rsidRPr="006610AA">
        <w:rPr>
          <w:rStyle w:val="y2iqfc"/>
          <w:rFonts w:ascii="Times New Roman" w:eastAsiaTheme="majorEastAsia" w:hAnsi="Times New Roman" w:cs="Times New Roman"/>
          <w:sz w:val="22"/>
          <w:szCs w:val="22"/>
          <w:lang w:val="en"/>
        </w:rPr>
        <w:t>Lesio-louna</w:t>
      </w:r>
      <w:proofErr w:type="spellEnd"/>
      <w:r w:rsidRPr="006610AA">
        <w:rPr>
          <w:rStyle w:val="y2iqfc"/>
          <w:rFonts w:ascii="Times New Roman" w:eastAsiaTheme="majorEastAsia" w:hAnsi="Times New Roman" w:cs="Times New Roman"/>
          <w:sz w:val="22"/>
          <w:szCs w:val="22"/>
          <w:lang w:val="en"/>
        </w:rPr>
        <w:t xml:space="preserve"> tropical rainforest of Congo. </w:t>
      </w:r>
      <w:proofErr w:type="spellStart"/>
      <w:r w:rsidRPr="006610AA">
        <w:rPr>
          <w:rStyle w:val="y2iqfc"/>
          <w:rFonts w:ascii="Times New Roman" w:eastAsiaTheme="majorEastAsia" w:hAnsi="Times New Roman" w:cs="Times New Roman"/>
          <w:sz w:val="22"/>
          <w:szCs w:val="22"/>
          <w:lang w:val="en"/>
        </w:rPr>
        <w:t>Biogeosciences</w:t>
      </w:r>
      <w:proofErr w:type="spellEnd"/>
      <w:r w:rsidRPr="006610AA">
        <w:rPr>
          <w:rStyle w:val="y2iqfc"/>
          <w:rFonts w:ascii="Times New Roman" w:eastAsiaTheme="majorEastAsia" w:hAnsi="Times New Roman" w:cs="Times New Roman"/>
          <w:sz w:val="22"/>
          <w:szCs w:val="22"/>
          <w:lang w:val="en"/>
        </w:rPr>
        <w:t xml:space="preserve"> Discussions, 11, 10703–10735. </w:t>
      </w:r>
      <w:hyperlink r:id="rId14" w:history="1">
        <w:r w:rsidRPr="000731A8">
          <w:rPr>
            <w:rStyle w:val="Hyperlink"/>
            <w:rFonts w:ascii="Times New Roman" w:eastAsiaTheme="majorEastAsia" w:hAnsi="Times New Roman" w:cs="Times New Roman"/>
            <w:sz w:val="22"/>
            <w:szCs w:val="22"/>
            <w:lang w:val="en"/>
          </w:rPr>
          <w:t>https://doi.org/10.5194/bgd-11-10703-2014</w:t>
        </w:r>
      </w:hyperlink>
      <w:r w:rsidR="009844A8">
        <w:t>.</w:t>
      </w:r>
    </w:p>
    <w:p w14:paraId="3B1CC365" w14:textId="77777777" w:rsidR="009844A8" w:rsidRPr="009844A8" w:rsidRDefault="009844A8" w:rsidP="006D4B7A">
      <w:pPr>
        <w:pStyle w:val="HTMLPreformatted"/>
        <w:numPr>
          <w:ilvl w:val="0"/>
          <w:numId w:val="3"/>
        </w:numPr>
        <w:jc w:val="both"/>
        <w:rPr>
          <w:rFonts w:ascii="Times New Roman" w:hAnsi="Times New Roman" w:cs="Times New Roman"/>
          <w:sz w:val="24"/>
          <w:szCs w:val="24"/>
          <w:highlight w:val="yellow"/>
        </w:rPr>
      </w:pPr>
      <w:r w:rsidRPr="009844A8">
        <w:rPr>
          <w:rStyle w:val="y2iqfc"/>
          <w:rFonts w:ascii="Times New Roman" w:eastAsiaTheme="majorEastAsia" w:hAnsi="Times New Roman" w:cs="Times New Roman"/>
          <w:sz w:val="24"/>
          <w:szCs w:val="24"/>
          <w:highlight w:val="yellow"/>
          <w:lang w:val="en"/>
        </w:rPr>
        <w:t>Ministry of Forestry of the Republic of Indonesia. 2025. Press Release Number: SP. 031/HKLN/PPIP/HMS.3/03/2025. https://www.kehutanan.go.id/news/article-10.</w:t>
      </w:r>
    </w:p>
    <w:p w14:paraId="03012842" w14:textId="77777777" w:rsidR="009844A8" w:rsidRPr="009844A8" w:rsidRDefault="009844A8" w:rsidP="006D4B7A">
      <w:pPr>
        <w:pStyle w:val="HTMLPreformatted"/>
        <w:numPr>
          <w:ilvl w:val="0"/>
          <w:numId w:val="3"/>
        </w:numPr>
        <w:jc w:val="both"/>
        <w:rPr>
          <w:rFonts w:ascii="Times New Roman" w:hAnsi="Times New Roman" w:cs="Times New Roman"/>
          <w:sz w:val="24"/>
          <w:szCs w:val="24"/>
        </w:rPr>
      </w:pPr>
      <w:r w:rsidRPr="009844A8">
        <w:rPr>
          <w:rStyle w:val="y2iqfc"/>
          <w:rFonts w:ascii="Times New Roman" w:eastAsiaTheme="majorEastAsia" w:hAnsi="Times New Roman" w:cs="Times New Roman"/>
          <w:sz w:val="24"/>
          <w:szCs w:val="24"/>
          <w:highlight w:val="yellow"/>
          <w:lang w:val="en"/>
        </w:rPr>
        <w:t>National Standardization Agency. 2011. SNI 7724: Measurement and Calculation of Carbon Stocks - Field measurements for forest carbon stock estimation (ground-based forest carbon accounting). National Standardization Agency, Jakarta.</w:t>
      </w:r>
    </w:p>
    <w:p w14:paraId="7C1BEF41" w14:textId="77777777" w:rsidR="009844A8" w:rsidRDefault="009844A8" w:rsidP="006D4B7A">
      <w:pPr>
        <w:pStyle w:val="HTMLPreformatted"/>
        <w:numPr>
          <w:ilvl w:val="0"/>
          <w:numId w:val="3"/>
        </w:numPr>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Nave, L. E., </w:t>
      </w:r>
      <w:proofErr w:type="spellStart"/>
      <w:r w:rsidRPr="006610AA">
        <w:rPr>
          <w:rStyle w:val="y2iqfc"/>
          <w:rFonts w:ascii="Times New Roman" w:eastAsiaTheme="majorEastAsia" w:hAnsi="Times New Roman" w:cs="Times New Roman"/>
          <w:sz w:val="22"/>
          <w:szCs w:val="22"/>
          <w:lang w:val="en"/>
        </w:rPr>
        <w:t>Domke</w:t>
      </w:r>
      <w:proofErr w:type="spellEnd"/>
      <w:r w:rsidRPr="006610AA">
        <w:rPr>
          <w:rStyle w:val="y2iqfc"/>
          <w:rFonts w:ascii="Times New Roman" w:eastAsiaTheme="majorEastAsia" w:hAnsi="Times New Roman" w:cs="Times New Roman"/>
          <w:sz w:val="22"/>
          <w:szCs w:val="22"/>
          <w:lang w:val="en"/>
        </w:rPr>
        <w:t xml:space="preserve">, G. M., Hofmeister, K. L., Mishra, U., Perry, C. H., Walters, B. F., &amp; Swanston, C. W. (2018). Reforestation can sequester two </w:t>
      </w:r>
      <w:proofErr w:type="spellStart"/>
      <w:r w:rsidRPr="006610AA">
        <w:rPr>
          <w:rStyle w:val="y2iqfc"/>
          <w:rFonts w:ascii="Times New Roman" w:eastAsiaTheme="majorEastAsia" w:hAnsi="Times New Roman" w:cs="Times New Roman"/>
          <w:sz w:val="22"/>
          <w:szCs w:val="22"/>
          <w:lang w:val="en"/>
        </w:rPr>
        <w:t>petagrams</w:t>
      </w:r>
      <w:proofErr w:type="spellEnd"/>
      <w:r w:rsidRPr="006610AA">
        <w:rPr>
          <w:rStyle w:val="y2iqfc"/>
          <w:rFonts w:ascii="Times New Roman" w:eastAsiaTheme="majorEastAsia" w:hAnsi="Times New Roman" w:cs="Times New Roman"/>
          <w:sz w:val="22"/>
          <w:szCs w:val="22"/>
          <w:lang w:val="en"/>
        </w:rPr>
        <w:t xml:space="preserve"> of carbon in US </w:t>
      </w:r>
      <w:proofErr w:type="spellStart"/>
      <w:r w:rsidRPr="006610AA">
        <w:rPr>
          <w:rStyle w:val="y2iqfc"/>
          <w:rFonts w:ascii="Times New Roman" w:eastAsiaTheme="majorEastAsia" w:hAnsi="Times New Roman" w:cs="Times New Roman"/>
          <w:sz w:val="22"/>
          <w:szCs w:val="22"/>
          <w:lang w:val="en"/>
        </w:rPr>
        <w:t>topsoils</w:t>
      </w:r>
      <w:proofErr w:type="spellEnd"/>
      <w:r w:rsidRPr="006610AA">
        <w:rPr>
          <w:rStyle w:val="y2iqfc"/>
          <w:rFonts w:ascii="Times New Roman" w:eastAsiaTheme="majorEastAsia" w:hAnsi="Times New Roman" w:cs="Times New Roman"/>
          <w:sz w:val="22"/>
          <w:szCs w:val="22"/>
          <w:lang w:val="en"/>
        </w:rPr>
        <w:t xml:space="preserve"> in a century. Proceedings of the National Academy of Sciences, 115(11), 2776–2781. </w:t>
      </w:r>
      <w:hyperlink r:id="rId15" w:history="1">
        <w:r w:rsidRPr="000731A8">
          <w:rPr>
            <w:rStyle w:val="Hyperlink"/>
            <w:rFonts w:ascii="Times New Roman" w:eastAsiaTheme="majorEastAsia" w:hAnsi="Times New Roman" w:cs="Times New Roman"/>
            <w:sz w:val="22"/>
            <w:szCs w:val="22"/>
            <w:lang w:val="en"/>
          </w:rPr>
          <w:t>https://doi.org/10.1073/pnas.171</w:t>
        </w:r>
        <w:bookmarkStart w:id="4" w:name="_GoBack"/>
        <w:bookmarkEnd w:id="4"/>
        <w:r w:rsidRPr="000731A8">
          <w:rPr>
            <w:rStyle w:val="Hyperlink"/>
            <w:rFonts w:ascii="Times New Roman" w:eastAsiaTheme="majorEastAsia" w:hAnsi="Times New Roman" w:cs="Times New Roman"/>
            <w:sz w:val="22"/>
            <w:szCs w:val="22"/>
            <w:lang w:val="en"/>
          </w:rPr>
          <w:t>9685115</w:t>
        </w:r>
      </w:hyperlink>
    </w:p>
    <w:p w14:paraId="56B68760" w14:textId="77777777" w:rsidR="009844A8" w:rsidRPr="00860A5F" w:rsidRDefault="009844A8" w:rsidP="006D4B7A">
      <w:pPr>
        <w:pStyle w:val="HTMLPreformatted"/>
        <w:numPr>
          <w:ilvl w:val="0"/>
          <w:numId w:val="3"/>
        </w:numPr>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Hadi</w:t>
      </w:r>
      <w:proofErr w:type="spellEnd"/>
      <w:r w:rsidRPr="00860A5F">
        <w:rPr>
          <w:rStyle w:val="y2iqfc"/>
          <w:rFonts w:ascii="Times New Roman" w:eastAsiaTheme="majorEastAsia" w:hAnsi="Times New Roman" w:cs="Times New Roman"/>
          <w:sz w:val="22"/>
          <w:szCs w:val="22"/>
          <w:lang w:val="en"/>
        </w:rPr>
        <w:t xml:space="preserve">, S., </w:t>
      </w:r>
      <w:proofErr w:type="spellStart"/>
      <w:r w:rsidRPr="00860A5F">
        <w:rPr>
          <w:rStyle w:val="y2iqfc"/>
          <w:rFonts w:ascii="Times New Roman" w:eastAsiaTheme="majorEastAsia" w:hAnsi="Times New Roman" w:cs="Times New Roman"/>
          <w:sz w:val="22"/>
          <w:szCs w:val="22"/>
          <w:lang w:val="en"/>
        </w:rPr>
        <w:t>Widhyanto</w:t>
      </w:r>
      <w:proofErr w:type="spellEnd"/>
      <w:r w:rsidRPr="00860A5F">
        <w:rPr>
          <w:rStyle w:val="y2iqfc"/>
          <w:rFonts w:ascii="Times New Roman" w:eastAsiaTheme="majorEastAsia" w:hAnsi="Times New Roman" w:cs="Times New Roman"/>
          <w:sz w:val="22"/>
          <w:szCs w:val="22"/>
          <w:lang w:val="en"/>
        </w:rPr>
        <w:t xml:space="preserve">, &amp; </w:t>
      </w:r>
      <w:proofErr w:type="spellStart"/>
      <w:r w:rsidRPr="00860A5F">
        <w:rPr>
          <w:rStyle w:val="y2iqfc"/>
          <w:rFonts w:ascii="Times New Roman" w:eastAsiaTheme="majorEastAsia" w:hAnsi="Times New Roman" w:cs="Times New Roman"/>
          <w:sz w:val="22"/>
          <w:szCs w:val="22"/>
          <w:lang w:val="en"/>
        </w:rPr>
        <w:t>Nazief</w:t>
      </w:r>
      <w:proofErr w:type="spellEnd"/>
      <w:r w:rsidRPr="00860A5F">
        <w:rPr>
          <w:rStyle w:val="y2iqfc"/>
          <w:rFonts w:ascii="Times New Roman" w:eastAsiaTheme="majorEastAsia" w:hAnsi="Times New Roman" w:cs="Times New Roman"/>
          <w:sz w:val="22"/>
          <w:szCs w:val="22"/>
          <w:lang w:val="en"/>
        </w:rPr>
        <w:t xml:space="preserve">, M. (2013). Preparation of the </w:t>
      </w:r>
      <w:proofErr w:type="spellStart"/>
      <w:r w:rsidRPr="00860A5F">
        <w:rPr>
          <w:rStyle w:val="y2iqfc"/>
          <w:rFonts w:ascii="Times New Roman" w:eastAsiaTheme="majorEastAsia" w:hAnsi="Times New Roman" w:cs="Times New Roman"/>
          <w:sz w:val="22"/>
          <w:szCs w:val="22"/>
          <w:lang w:val="en"/>
        </w:rPr>
        <w:t>Ujoh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Bilang</w:t>
      </w:r>
      <w:proofErr w:type="spellEnd"/>
      <w:r w:rsidRPr="00860A5F">
        <w:rPr>
          <w:rStyle w:val="y2iqfc"/>
          <w:rFonts w:ascii="Times New Roman" w:eastAsiaTheme="majorEastAsia" w:hAnsi="Times New Roman" w:cs="Times New Roman"/>
          <w:sz w:val="22"/>
          <w:szCs w:val="22"/>
          <w:lang w:val="en"/>
        </w:rPr>
        <w:t xml:space="preserve"> Urban Masterplan. Bogor: LPPM-IPB.</w:t>
      </w:r>
    </w:p>
    <w:p w14:paraId="337443F8" w14:textId="77777777" w:rsidR="009844A8" w:rsidRDefault="009844A8" w:rsidP="006D4B7A">
      <w:pPr>
        <w:pStyle w:val="HTMLPreformatted"/>
        <w:numPr>
          <w:ilvl w:val="0"/>
          <w:numId w:val="3"/>
        </w:numPr>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Pan, Y., </w:t>
      </w:r>
      <w:proofErr w:type="spellStart"/>
      <w:r w:rsidRPr="006610AA">
        <w:rPr>
          <w:rStyle w:val="y2iqfc"/>
          <w:rFonts w:ascii="Times New Roman" w:eastAsiaTheme="majorEastAsia" w:hAnsi="Times New Roman" w:cs="Times New Roman"/>
          <w:sz w:val="22"/>
          <w:szCs w:val="22"/>
          <w:lang w:val="en"/>
        </w:rPr>
        <w:t>Birdsey</w:t>
      </w:r>
      <w:proofErr w:type="spellEnd"/>
      <w:r w:rsidRPr="006610AA">
        <w:rPr>
          <w:rStyle w:val="y2iqfc"/>
          <w:rFonts w:ascii="Times New Roman" w:eastAsiaTheme="majorEastAsia" w:hAnsi="Times New Roman" w:cs="Times New Roman"/>
          <w:sz w:val="22"/>
          <w:szCs w:val="22"/>
          <w:lang w:val="en"/>
        </w:rPr>
        <w:t xml:space="preserve">, R. A., Fang, J., Houghton, R., Kauppi, P. E., </w:t>
      </w:r>
      <w:proofErr w:type="spellStart"/>
      <w:r w:rsidRPr="006610AA">
        <w:rPr>
          <w:rStyle w:val="y2iqfc"/>
          <w:rFonts w:ascii="Times New Roman" w:eastAsiaTheme="majorEastAsia" w:hAnsi="Times New Roman" w:cs="Times New Roman"/>
          <w:sz w:val="22"/>
          <w:szCs w:val="22"/>
          <w:lang w:val="en"/>
        </w:rPr>
        <w:t>Kurz</w:t>
      </w:r>
      <w:proofErr w:type="spellEnd"/>
      <w:r w:rsidRPr="006610AA">
        <w:rPr>
          <w:rStyle w:val="y2iqfc"/>
          <w:rFonts w:ascii="Times New Roman" w:eastAsiaTheme="majorEastAsia" w:hAnsi="Times New Roman" w:cs="Times New Roman"/>
          <w:sz w:val="22"/>
          <w:szCs w:val="22"/>
          <w:lang w:val="en"/>
        </w:rPr>
        <w:t xml:space="preserve">, W. A., Philips, O. L., </w:t>
      </w:r>
      <w:proofErr w:type="spellStart"/>
      <w:r w:rsidRPr="006610AA">
        <w:rPr>
          <w:rStyle w:val="y2iqfc"/>
          <w:rFonts w:ascii="Times New Roman" w:eastAsiaTheme="majorEastAsia" w:hAnsi="Times New Roman" w:cs="Times New Roman"/>
          <w:sz w:val="22"/>
          <w:szCs w:val="22"/>
          <w:lang w:val="en"/>
        </w:rPr>
        <w:t>Shvidenko</w:t>
      </w:r>
      <w:proofErr w:type="spellEnd"/>
      <w:r w:rsidRPr="006610AA">
        <w:rPr>
          <w:rStyle w:val="y2iqfc"/>
          <w:rFonts w:ascii="Times New Roman" w:eastAsiaTheme="majorEastAsia" w:hAnsi="Times New Roman" w:cs="Times New Roman"/>
          <w:sz w:val="22"/>
          <w:szCs w:val="22"/>
          <w:lang w:val="en"/>
        </w:rPr>
        <w:t xml:space="preserve">, A., Lewis, S. L., </w:t>
      </w:r>
      <w:proofErr w:type="spellStart"/>
      <w:r w:rsidRPr="006610AA">
        <w:rPr>
          <w:rStyle w:val="y2iqfc"/>
          <w:rFonts w:ascii="Times New Roman" w:eastAsiaTheme="majorEastAsia" w:hAnsi="Times New Roman" w:cs="Times New Roman"/>
          <w:sz w:val="22"/>
          <w:szCs w:val="22"/>
          <w:lang w:val="en"/>
        </w:rPr>
        <w:t>Canadell</w:t>
      </w:r>
      <w:proofErr w:type="spellEnd"/>
      <w:r w:rsidRPr="006610AA">
        <w:rPr>
          <w:rStyle w:val="y2iqfc"/>
          <w:rFonts w:ascii="Times New Roman" w:eastAsiaTheme="majorEastAsia" w:hAnsi="Times New Roman" w:cs="Times New Roman"/>
          <w:sz w:val="22"/>
          <w:szCs w:val="22"/>
          <w:lang w:val="en"/>
        </w:rPr>
        <w:t xml:space="preserve">, J. G., </w:t>
      </w:r>
      <w:proofErr w:type="spellStart"/>
      <w:r w:rsidRPr="006610AA">
        <w:rPr>
          <w:rStyle w:val="y2iqfc"/>
          <w:rFonts w:ascii="Times New Roman" w:eastAsiaTheme="majorEastAsia" w:hAnsi="Times New Roman" w:cs="Times New Roman"/>
          <w:sz w:val="22"/>
          <w:szCs w:val="22"/>
          <w:lang w:val="en"/>
        </w:rPr>
        <w:t>Ciais</w:t>
      </w:r>
      <w:proofErr w:type="spellEnd"/>
      <w:r w:rsidRPr="006610AA">
        <w:rPr>
          <w:rStyle w:val="y2iqfc"/>
          <w:rFonts w:ascii="Times New Roman" w:eastAsiaTheme="majorEastAsia" w:hAnsi="Times New Roman" w:cs="Times New Roman"/>
          <w:sz w:val="22"/>
          <w:szCs w:val="22"/>
          <w:lang w:val="en"/>
        </w:rPr>
        <w:t xml:space="preserve">, P., et al. (2011). A large and persistent carbon sink in the World's forests. Science, 333(6045), 988–993. </w:t>
      </w:r>
      <w:hyperlink r:id="rId16" w:history="1">
        <w:r w:rsidRPr="000731A8">
          <w:rPr>
            <w:rStyle w:val="Hyperlink"/>
            <w:rFonts w:ascii="Times New Roman" w:eastAsiaTheme="majorEastAsia" w:hAnsi="Times New Roman" w:cs="Times New Roman"/>
            <w:sz w:val="22"/>
            <w:szCs w:val="22"/>
            <w:lang w:val="en"/>
          </w:rPr>
          <w:t>https://doi.org/10.1126/science.1201609</w:t>
        </w:r>
      </w:hyperlink>
    </w:p>
    <w:p w14:paraId="0E604F9F" w14:textId="07EB3B57" w:rsidR="009844A8" w:rsidRPr="009844A8" w:rsidRDefault="009844A8" w:rsidP="006D4B7A">
      <w:pPr>
        <w:pStyle w:val="HTMLPreformatted"/>
        <w:numPr>
          <w:ilvl w:val="0"/>
          <w:numId w:val="3"/>
        </w:numPr>
        <w:jc w:val="both"/>
        <w:rPr>
          <w:rStyle w:val="y2iqfc"/>
          <w:rFonts w:ascii="Times New Roman" w:eastAsiaTheme="majorEastAsia" w:hAnsi="Times New Roman" w:cs="Times New Roman"/>
          <w:sz w:val="24"/>
          <w:szCs w:val="24"/>
          <w:highlight w:val="yellow"/>
          <w:lang w:val="en"/>
        </w:rPr>
      </w:pPr>
      <w:proofErr w:type="spellStart"/>
      <w:r w:rsidRPr="009844A8">
        <w:rPr>
          <w:rStyle w:val="y2iqfc"/>
          <w:rFonts w:ascii="Times New Roman" w:eastAsiaTheme="majorEastAsia" w:hAnsi="Times New Roman" w:cs="Times New Roman"/>
          <w:sz w:val="24"/>
          <w:szCs w:val="24"/>
          <w:highlight w:val="yellow"/>
          <w:lang w:val="en"/>
        </w:rPr>
        <w:t>Rahmawati</w:t>
      </w:r>
      <w:proofErr w:type="spellEnd"/>
      <w:r w:rsidRPr="009844A8">
        <w:rPr>
          <w:rStyle w:val="y2iqfc"/>
          <w:rFonts w:ascii="Times New Roman" w:eastAsiaTheme="majorEastAsia" w:hAnsi="Times New Roman" w:cs="Times New Roman"/>
          <w:sz w:val="24"/>
          <w:szCs w:val="24"/>
          <w:highlight w:val="yellow"/>
          <w:lang w:val="en"/>
        </w:rPr>
        <w:t xml:space="preserve">, L., &amp; </w:t>
      </w:r>
      <w:proofErr w:type="spellStart"/>
      <w:r w:rsidRPr="009844A8">
        <w:rPr>
          <w:rStyle w:val="y2iqfc"/>
          <w:rFonts w:ascii="Times New Roman" w:eastAsiaTheme="majorEastAsia" w:hAnsi="Times New Roman" w:cs="Times New Roman"/>
          <w:sz w:val="24"/>
          <w:szCs w:val="24"/>
          <w:highlight w:val="yellow"/>
          <w:lang w:val="en"/>
        </w:rPr>
        <w:t>Chairul</w:t>
      </w:r>
      <w:proofErr w:type="spellEnd"/>
      <w:r w:rsidRPr="009844A8">
        <w:rPr>
          <w:rStyle w:val="y2iqfc"/>
          <w:rFonts w:ascii="Times New Roman" w:eastAsiaTheme="majorEastAsia" w:hAnsi="Times New Roman" w:cs="Times New Roman"/>
          <w:sz w:val="24"/>
          <w:szCs w:val="24"/>
          <w:highlight w:val="yellow"/>
          <w:lang w:val="en"/>
        </w:rPr>
        <w:t>, C. (2022). The estimation of ground carbon stock in the tourist forest area of ​​</w:t>
      </w:r>
      <w:proofErr w:type="spellStart"/>
      <w:r w:rsidRPr="009844A8">
        <w:rPr>
          <w:rStyle w:val="y2iqfc"/>
          <w:rFonts w:ascii="Times New Roman" w:eastAsiaTheme="majorEastAsia" w:hAnsi="Times New Roman" w:cs="Times New Roman"/>
          <w:sz w:val="24"/>
          <w:szCs w:val="24"/>
          <w:highlight w:val="yellow"/>
          <w:lang w:val="en"/>
        </w:rPr>
        <w:t>Ngalau</w:t>
      </w:r>
      <w:proofErr w:type="spellEnd"/>
      <w:r w:rsidRPr="009844A8">
        <w:rPr>
          <w:rStyle w:val="y2iqfc"/>
          <w:rFonts w:ascii="Times New Roman" w:eastAsiaTheme="majorEastAsia" w:hAnsi="Times New Roman" w:cs="Times New Roman"/>
          <w:sz w:val="24"/>
          <w:szCs w:val="24"/>
          <w:highlight w:val="yellow"/>
          <w:lang w:val="en"/>
        </w:rPr>
        <w:t xml:space="preserve"> Indah</w:t>
      </w:r>
      <w:r>
        <w:rPr>
          <w:rStyle w:val="y2iqfc"/>
          <w:rFonts w:ascii="Times New Roman" w:eastAsiaTheme="majorEastAsia" w:hAnsi="Times New Roman" w:cs="Times New Roman"/>
          <w:sz w:val="24"/>
          <w:szCs w:val="24"/>
          <w:highlight w:val="yellow"/>
          <w:lang w:val="en"/>
        </w:rPr>
        <w:t>,</w:t>
      </w:r>
      <w:r w:rsidRPr="009844A8">
        <w:rPr>
          <w:rStyle w:val="y2iqfc"/>
          <w:rFonts w:ascii="Times New Roman" w:eastAsiaTheme="majorEastAsia" w:hAnsi="Times New Roman" w:cs="Times New Roman"/>
          <w:sz w:val="24"/>
          <w:szCs w:val="24"/>
          <w:highlight w:val="yellow"/>
          <w:lang w:val="en"/>
        </w:rPr>
        <w:t xml:space="preserve"> </w:t>
      </w:r>
      <w:proofErr w:type="spellStart"/>
      <w:r w:rsidRPr="009844A8">
        <w:rPr>
          <w:rStyle w:val="y2iqfc"/>
          <w:rFonts w:ascii="Times New Roman" w:eastAsiaTheme="majorEastAsia" w:hAnsi="Times New Roman" w:cs="Times New Roman"/>
          <w:sz w:val="24"/>
          <w:szCs w:val="24"/>
          <w:highlight w:val="yellow"/>
          <w:lang w:val="en"/>
        </w:rPr>
        <w:t>Payakumbuh</w:t>
      </w:r>
      <w:proofErr w:type="spellEnd"/>
      <w:r w:rsidRPr="009844A8">
        <w:rPr>
          <w:rStyle w:val="y2iqfc"/>
          <w:rFonts w:ascii="Times New Roman" w:eastAsiaTheme="majorEastAsia" w:hAnsi="Times New Roman" w:cs="Times New Roman"/>
          <w:sz w:val="24"/>
          <w:szCs w:val="24"/>
          <w:highlight w:val="yellow"/>
          <w:lang w:val="en"/>
        </w:rPr>
        <w:t xml:space="preserve">. Journal of Biology, </w:t>
      </w:r>
      <w:proofErr w:type="spellStart"/>
      <w:r w:rsidRPr="009844A8">
        <w:rPr>
          <w:rStyle w:val="y2iqfc"/>
          <w:rFonts w:ascii="Times New Roman" w:eastAsiaTheme="majorEastAsia" w:hAnsi="Times New Roman" w:cs="Times New Roman"/>
          <w:sz w:val="24"/>
          <w:szCs w:val="24"/>
          <w:highlight w:val="yellow"/>
          <w:lang w:val="en"/>
        </w:rPr>
        <w:t>Andalas</w:t>
      </w:r>
      <w:proofErr w:type="spellEnd"/>
      <w:r w:rsidRPr="009844A8">
        <w:rPr>
          <w:rStyle w:val="y2iqfc"/>
          <w:rFonts w:ascii="Times New Roman" w:eastAsiaTheme="majorEastAsia" w:hAnsi="Times New Roman" w:cs="Times New Roman"/>
          <w:sz w:val="24"/>
          <w:szCs w:val="24"/>
          <w:highlight w:val="yellow"/>
          <w:lang w:val="en"/>
        </w:rPr>
        <w:t xml:space="preserve"> University, 10(2), 78. https://doi.org/10.25077/jbioua.10.2.78-84.2022</w:t>
      </w:r>
    </w:p>
    <w:p w14:paraId="1FDB4807" w14:textId="77777777" w:rsidR="009844A8" w:rsidRPr="009844A8" w:rsidRDefault="009844A8" w:rsidP="006D4B7A">
      <w:pPr>
        <w:pStyle w:val="HTMLPreformatted"/>
        <w:numPr>
          <w:ilvl w:val="0"/>
          <w:numId w:val="3"/>
        </w:numPr>
        <w:jc w:val="both"/>
        <w:rPr>
          <w:rStyle w:val="y2iqfc"/>
          <w:rFonts w:ascii="Times New Roman" w:hAnsi="Times New Roman" w:cs="Times New Roman"/>
          <w:sz w:val="24"/>
          <w:szCs w:val="24"/>
        </w:rPr>
      </w:pPr>
      <w:proofErr w:type="spellStart"/>
      <w:r w:rsidRPr="009844A8">
        <w:rPr>
          <w:rStyle w:val="y2iqfc"/>
          <w:rFonts w:ascii="Times New Roman" w:eastAsiaTheme="majorEastAsia" w:hAnsi="Times New Roman" w:cs="Times New Roman"/>
          <w:sz w:val="24"/>
          <w:szCs w:val="24"/>
          <w:highlight w:val="yellow"/>
          <w:lang w:val="en"/>
        </w:rPr>
        <w:t>Ristiara</w:t>
      </w:r>
      <w:proofErr w:type="spellEnd"/>
      <w:r w:rsidRPr="009844A8">
        <w:rPr>
          <w:rStyle w:val="y2iqfc"/>
          <w:rFonts w:ascii="Times New Roman" w:eastAsiaTheme="majorEastAsia" w:hAnsi="Times New Roman" w:cs="Times New Roman"/>
          <w:sz w:val="24"/>
          <w:szCs w:val="24"/>
          <w:highlight w:val="yellow"/>
          <w:lang w:val="en"/>
        </w:rPr>
        <w:t xml:space="preserve">, L., R. </w:t>
      </w:r>
      <w:proofErr w:type="spellStart"/>
      <w:r w:rsidRPr="009844A8">
        <w:rPr>
          <w:rStyle w:val="y2iqfc"/>
          <w:rFonts w:ascii="Times New Roman" w:eastAsiaTheme="majorEastAsia" w:hAnsi="Times New Roman" w:cs="Times New Roman"/>
          <w:sz w:val="24"/>
          <w:szCs w:val="24"/>
          <w:highlight w:val="yellow"/>
          <w:lang w:val="en"/>
        </w:rPr>
        <w:t>Hilmanto</w:t>
      </w:r>
      <w:proofErr w:type="spellEnd"/>
      <w:r w:rsidRPr="009844A8">
        <w:rPr>
          <w:rStyle w:val="y2iqfc"/>
          <w:rFonts w:ascii="Times New Roman" w:eastAsiaTheme="majorEastAsia" w:hAnsi="Times New Roman" w:cs="Times New Roman"/>
          <w:sz w:val="24"/>
          <w:szCs w:val="24"/>
          <w:highlight w:val="yellow"/>
          <w:lang w:val="en"/>
        </w:rPr>
        <w:t xml:space="preserve">, and </w:t>
      </w:r>
      <w:proofErr w:type="spellStart"/>
      <w:r w:rsidRPr="009844A8">
        <w:rPr>
          <w:rStyle w:val="y2iqfc"/>
          <w:rFonts w:ascii="Times New Roman" w:eastAsiaTheme="majorEastAsia" w:hAnsi="Times New Roman" w:cs="Times New Roman"/>
          <w:sz w:val="24"/>
          <w:szCs w:val="24"/>
          <w:highlight w:val="yellow"/>
          <w:lang w:val="en"/>
        </w:rPr>
        <w:t>Duryat</w:t>
      </w:r>
      <w:proofErr w:type="spellEnd"/>
      <w:r w:rsidRPr="009844A8">
        <w:rPr>
          <w:rStyle w:val="y2iqfc"/>
          <w:rFonts w:ascii="Times New Roman" w:eastAsiaTheme="majorEastAsia" w:hAnsi="Times New Roman" w:cs="Times New Roman"/>
          <w:sz w:val="24"/>
          <w:szCs w:val="24"/>
          <w:highlight w:val="yellow"/>
          <w:lang w:val="en"/>
        </w:rPr>
        <w:t xml:space="preserve">. 2017. Estimation of Carbon Storage in Community Forests in </w:t>
      </w:r>
      <w:proofErr w:type="spellStart"/>
      <w:r w:rsidRPr="009844A8">
        <w:rPr>
          <w:rStyle w:val="y2iqfc"/>
          <w:rFonts w:ascii="Times New Roman" w:eastAsiaTheme="majorEastAsia" w:hAnsi="Times New Roman" w:cs="Times New Roman"/>
          <w:sz w:val="24"/>
          <w:szCs w:val="24"/>
          <w:highlight w:val="yellow"/>
          <w:lang w:val="en"/>
        </w:rPr>
        <w:t>Kelungu</w:t>
      </w:r>
      <w:proofErr w:type="spellEnd"/>
      <w:r w:rsidRPr="009844A8">
        <w:rPr>
          <w:rStyle w:val="y2iqfc"/>
          <w:rFonts w:ascii="Times New Roman" w:eastAsiaTheme="majorEastAsia" w:hAnsi="Times New Roman" w:cs="Times New Roman"/>
          <w:sz w:val="24"/>
          <w:szCs w:val="24"/>
          <w:highlight w:val="yellow"/>
          <w:lang w:val="en"/>
        </w:rPr>
        <w:t xml:space="preserve"> Village, </w:t>
      </w:r>
      <w:proofErr w:type="spellStart"/>
      <w:r w:rsidRPr="009844A8">
        <w:rPr>
          <w:rStyle w:val="y2iqfc"/>
          <w:rFonts w:ascii="Times New Roman" w:eastAsiaTheme="majorEastAsia" w:hAnsi="Times New Roman" w:cs="Times New Roman"/>
          <w:sz w:val="24"/>
          <w:szCs w:val="24"/>
          <w:highlight w:val="yellow"/>
          <w:lang w:val="en"/>
        </w:rPr>
        <w:t>Tanggamus</w:t>
      </w:r>
      <w:proofErr w:type="spellEnd"/>
      <w:r w:rsidRPr="009844A8">
        <w:rPr>
          <w:rStyle w:val="y2iqfc"/>
          <w:rFonts w:ascii="Times New Roman" w:eastAsiaTheme="majorEastAsia" w:hAnsi="Times New Roman" w:cs="Times New Roman"/>
          <w:sz w:val="24"/>
          <w:szCs w:val="24"/>
          <w:highlight w:val="yellow"/>
          <w:lang w:val="en"/>
        </w:rPr>
        <w:t xml:space="preserve"> Regency. Sylvia Lestari Journal. 5 (1): 128-138.</w:t>
      </w:r>
    </w:p>
    <w:p w14:paraId="3A66F009" w14:textId="77777777" w:rsidR="009844A8" w:rsidRPr="00860A5F" w:rsidRDefault="009844A8" w:rsidP="006D4B7A">
      <w:pPr>
        <w:pStyle w:val="HTMLPreformatted"/>
        <w:numPr>
          <w:ilvl w:val="0"/>
          <w:numId w:val="3"/>
        </w:numPr>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Soemarwoto</w:t>
      </w:r>
      <w:proofErr w:type="spellEnd"/>
      <w:r w:rsidRPr="00860A5F">
        <w:rPr>
          <w:rStyle w:val="y2iqfc"/>
          <w:rFonts w:ascii="Times New Roman" w:eastAsiaTheme="majorEastAsia" w:hAnsi="Times New Roman" w:cs="Times New Roman"/>
          <w:sz w:val="22"/>
          <w:szCs w:val="22"/>
          <w:lang w:val="en"/>
        </w:rPr>
        <w:t xml:space="preserve">, O. 2001. Ecology, Environment, and Development. </w:t>
      </w:r>
      <w:proofErr w:type="spellStart"/>
      <w:r w:rsidRPr="00860A5F">
        <w:rPr>
          <w:rStyle w:val="y2iqfc"/>
          <w:rFonts w:ascii="Times New Roman" w:eastAsiaTheme="majorEastAsia" w:hAnsi="Times New Roman" w:cs="Times New Roman"/>
          <w:sz w:val="22"/>
          <w:szCs w:val="22"/>
          <w:lang w:val="en"/>
        </w:rPr>
        <w:t>Djambatan</w:t>
      </w:r>
      <w:proofErr w:type="spellEnd"/>
      <w:r w:rsidRPr="00860A5F">
        <w:rPr>
          <w:rStyle w:val="y2iqfc"/>
          <w:rFonts w:ascii="Times New Roman" w:eastAsiaTheme="majorEastAsia" w:hAnsi="Times New Roman" w:cs="Times New Roman"/>
          <w:sz w:val="22"/>
          <w:szCs w:val="22"/>
          <w:lang w:val="en"/>
        </w:rPr>
        <w:t xml:space="preserve"> Publisher, Jakarta.</w:t>
      </w:r>
    </w:p>
    <w:p w14:paraId="1A136BA7" w14:textId="77777777" w:rsidR="009844A8" w:rsidRDefault="009844A8" w:rsidP="006D4B7A">
      <w:pPr>
        <w:pStyle w:val="HTMLPreformatted"/>
        <w:numPr>
          <w:ilvl w:val="0"/>
          <w:numId w:val="3"/>
        </w:numPr>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Soedomo</w:t>
      </w:r>
      <w:proofErr w:type="spellEnd"/>
      <w:r w:rsidRPr="00860A5F">
        <w:rPr>
          <w:rStyle w:val="y2iqfc"/>
          <w:rFonts w:ascii="Times New Roman" w:eastAsiaTheme="majorEastAsia" w:hAnsi="Times New Roman" w:cs="Times New Roman"/>
          <w:sz w:val="22"/>
          <w:szCs w:val="22"/>
          <w:lang w:val="en"/>
        </w:rPr>
        <w:t>, M. 2001. Air Pollution. ITB Publisher, Bandung.</w:t>
      </w:r>
    </w:p>
    <w:p w14:paraId="7615AC19" w14:textId="77777777" w:rsidR="009844A8" w:rsidRPr="009844A8" w:rsidRDefault="009844A8" w:rsidP="006D4B7A">
      <w:pPr>
        <w:pStyle w:val="HTMLPreformatted"/>
        <w:numPr>
          <w:ilvl w:val="0"/>
          <w:numId w:val="3"/>
        </w:numPr>
        <w:jc w:val="both"/>
        <w:rPr>
          <w:rStyle w:val="y2iqfc"/>
          <w:rFonts w:ascii="Times New Roman" w:hAnsi="Times New Roman" w:cs="Times New Roman"/>
          <w:sz w:val="24"/>
          <w:szCs w:val="24"/>
        </w:rPr>
      </w:pPr>
      <w:proofErr w:type="spellStart"/>
      <w:r w:rsidRPr="009844A8">
        <w:rPr>
          <w:rStyle w:val="y2iqfc"/>
          <w:rFonts w:ascii="Times New Roman" w:eastAsiaTheme="majorEastAsia" w:hAnsi="Times New Roman" w:cs="Times New Roman"/>
          <w:sz w:val="24"/>
          <w:szCs w:val="24"/>
          <w:highlight w:val="yellow"/>
          <w:lang w:val="en"/>
        </w:rPr>
        <w:t>Susetyo</w:t>
      </w:r>
      <w:proofErr w:type="spellEnd"/>
      <w:r w:rsidRPr="009844A8">
        <w:rPr>
          <w:rStyle w:val="y2iqfc"/>
          <w:rFonts w:ascii="Times New Roman" w:eastAsiaTheme="majorEastAsia" w:hAnsi="Times New Roman" w:cs="Times New Roman"/>
          <w:sz w:val="24"/>
          <w:szCs w:val="24"/>
          <w:highlight w:val="yellow"/>
          <w:lang w:val="en"/>
        </w:rPr>
        <w:t>, P.D. 2021. An Easy Way to Calculate Tree Volume. Forest Digest. https://www.forestdigest.com/detail/1335/cara-menghitung-volume-pohon</w:t>
      </w:r>
    </w:p>
    <w:p w14:paraId="38783165" w14:textId="77777777" w:rsidR="009844A8" w:rsidRDefault="009844A8" w:rsidP="006D4B7A">
      <w:pPr>
        <w:pStyle w:val="HTMLPreformatted"/>
        <w:numPr>
          <w:ilvl w:val="0"/>
          <w:numId w:val="3"/>
        </w:numPr>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Watson, R. T., Noble, I. R., Bolin, B., </w:t>
      </w:r>
      <w:proofErr w:type="spellStart"/>
      <w:r w:rsidRPr="006610AA">
        <w:rPr>
          <w:rStyle w:val="y2iqfc"/>
          <w:rFonts w:ascii="Times New Roman" w:eastAsiaTheme="majorEastAsia" w:hAnsi="Times New Roman" w:cs="Times New Roman"/>
          <w:sz w:val="22"/>
          <w:szCs w:val="22"/>
          <w:lang w:val="en"/>
        </w:rPr>
        <w:t>Ravindranath</w:t>
      </w:r>
      <w:proofErr w:type="spellEnd"/>
      <w:r w:rsidRPr="006610AA">
        <w:rPr>
          <w:rStyle w:val="y2iqfc"/>
          <w:rFonts w:ascii="Times New Roman" w:eastAsiaTheme="majorEastAsia" w:hAnsi="Times New Roman" w:cs="Times New Roman"/>
          <w:sz w:val="22"/>
          <w:szCs w:val="22"/>
          <w:lang w:val="en"/>
        </w:rPr>
        <w:t xml:space="preserve">, N. H., </w:t>
      </w:r>
      <w:proofErr w:type="spellStart"/>
      <w:r w:rsidRPr="006610AA">
        <w:rPr>
          <w:rStyle w:val="y2iqfc"/>
          <w:rFonts w:ascii="Times New Roman" w:eastAsiaTheme="majorEastAsia" w:hAnsi="Times New Roman" w:cs="Times New Roman"/>
          <w:sz w:val="22"/>
          <w:szCs w:val="22"/>
          <w:lang w:val="en"/>
        </w:rPr>
        <w:t>Verardo</w:t>
      </w:r>
      <w:proofErr w:type="spellEnd"/>
      <w:r w:rsidRPr="006610AA">
        <w:rPr>
          <w:rStyle w:val="y2iqfc"/>
          <w:rFonts w:ascii="Times New Roman" w:eastAsiaTheme="majorEastAsia" w:hAnsi="Times New Roman" w:cs="Times New Roman"/>
          <w:sz w:val="22"/>
          <w:szCs w:val="22"/>
          <w:lang w:val="en"/>
        </w:rPr>
        <w:t xml:space="preserve">, D. J., &amp; Dokken, D. J. (Eds.). (2000). Land use, land-use change, and forestry: A special report of the Intergovernmental Panel on Climate Change. Cambridge University Press. </w:t>
      </w:r>
      <w:hyperlink r:id="rId17" w:history="1">
        <w:r w:rsidRPr="000731A8">
          <w:rPr>
            <w:rStyle w:val="Hyperlink"/>
            <w:rFonts w:ascii="Times New Roman" w:eastAsiaTheme="majorEastAsia" w:hAnsi="Times New Roman" w:cs="Times New Roman"/>
            <w:sz w:val="22"/>
            <w:szCs w:val="22"/>
            <w:lang w:val="en"/>
          </w:rPr>
          <w:t>https://www.ipcc.ch/report/land-use-land-use-change-and-forestry/</w:t>
        </w:r>
      </w:hyperlink>
    </w:p>
    <w:p w14:paraId="760BC256" w14:textId="77777777" w:rsidR="009844A8" w:rsidRPr="00860A5F" w:rsidRDefault="009844A8" w:rsidP="006D4B7A">
      <w:pPr>
        <w:pStyle w:val="HTMLPreformatted"/>
        <w:numPr>
          <w:ilvl w:val="0"/>
          <w:numId w:val="3"/>
        </w:numPr>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lastRenderedPageBreak/>
        <w:t>Yuningsih</w:t>
      </w:r>
      <w:proofErr w:type="spellEnd"/>
      <w:r w:rsidRPr="00860A5F">
        <w:rPr>
          <w:rStyle w:val="y2iqfc"/>
          <w:rFonts w:ascii="Times New Roman" w:eastAsiaTheme="majorEastAsia" w:hAnsi="Times New Roman" w:cs="Times New Roman"/>
          <w:sz w:val="22"/>
          <w:szCs w:val="22"/>
          <w:lang w:val="en"/>
        </w:rPr>
        <w:t xml:space="preserve">, L., D. </w:t>
      </w:r>
      <w:proofErr w:type="spellStart"/>
      <w:r w:rsidRPr="00860A5F">
        <w:rPr>
          <w:rStyle w:val="y2iqfc"/>
          <w:rFonts w:ascii="Times New Roman" w:eastAsiaTheme="majorEastAsia" w:hAnsi="Times New Roman" w:cs="Times New Roman"/>
          <w:sz w:val="22"/>
          <w:szCs w:val="22"/>
          <w:lang w:val="en"/>
        </w:rPr>
        <w:t>Lensari</w:t>
      </w:r>
      <w:proofErr w:type="spellEnd"/>
      <w:r w:rsidRPr="00860A5F">
        <w:rPr>
          <w:rStyle w:val="y2iqfc"/>
          <w:rFonts w:ascii="Times New Roman" w:eastAsiaTheme="majorEastAsia" w:hAnsi="Times New Roman" w:cs="Times New Roman"/>
          <w:sz w:val="22"/>
          <w:szCs w:val="22"/>
          <w:lang w:val="en"/>
        </w:rPr>
        <w:t xml:space="preserve">, and N. </w:t>
      </w:r>
      <w:proofErr w:type="spellStart"/>
      <w:r w:rsidRPr="00860A5F">
        <w:rPr>
          <w:rStyle w:val="y2iqfc"/>
          <w:rFonts w:ascii="Times New Roman" w:eastAsiaTheme="majorEastAsia" w:hAnsi="Times New Roman" w:cs="Times New Roman"/>
          <w:sz w:val="22"/>
          <w:szCs w:val="22"/>
          <w:lang w:val="en"/>
        </w:rPr>
        <w:t>Milantara</w:t>
      </w:r>
      <w:proofErr w:type="spellEnd"/>
      <w:r w:rsidRPr="00860A5F">
        <w:rPr>
          <w:rStyle w:val="y2iqfc"/>
          <w:rFonts w:ascii="Times New Roman" w:eastAsiaTheme="majorEastAsia" w:hAnsi="Times New Roman" w:cs="Times New Roman"/>
          <w:sz w:val="22"/>
          <w:szCs w:val="22"/>
          <w:lang w:val="en"/>
        </w:rPr>
        <w:t>. 2018. Calculation of Aboveground Carbon Stock in the Meranti KPHP Protection Forest to Support the REDD+ Program. Journal of Tropical Forest Management 2(3): 77-83.</w:t>
      </w:r>
    </w:p>
    <w:p w14:paraId="3C2B447E" w14:textId="77777777" w:rsidR="009844A8" w:rsidRPr="00860A5F" w:rsidRDefault="009844A8" w:rsidP="009844A8">
      <w:pPr>
        <w:pStyle w:val="HTMLPreformatted"/>
        <w:ind w:left="709" w:hanging="709"/>
        <w:jc w:val="both"/>
        <w:rPr>
          <w:rFonts w:ascii="Times New Roman" w:hAnsi="Times New Roman" w:cs="Times New Roman"/>
          <w:sz w:val="22"/>
          <w:szCs w:val="22"/>
        </w:rPr>
      </w:pPr>
    </w:p>
    <w:p w14:paraId="62EF7B4D" w14:textId="77777777" w:rsidR="009844A8" w:rsidRPr="00860A5F" w:rsidRDefault="009844A8" w:rsidP="009844A8">
      <w:pPr>
        <w:tabs>
          <w:tab w:val="left" w:pos="1200"/>
        </w:tabs>
        <w:ind w:left="709" w:hanging="709"/>
        <w:jc w:val="both"/>
        <w:rPr>
          <w:rFonts w:ascii="Times New Roman" w:hAnsi="Times New Roman" w:cs="Times New Roman"/>
        </w:rPr>
      </w:pPr>
    </w:p>
    <w:p w14:paraId="185A1789" w14:textId="77777777" w:rsidR="009844A8" w:rsidRPr="00860A5F" w:rsidRDefault="009844A8" w:rsidP="009844A8">
      <w:pPr>
        <w:ind w:left="567" w:hanging="567"/>
        <w:jc w:val="both"/>
        <w:rPr>
          <w:rFonts w:ascii="Times New Roman" w:hAnsi="Times New Roman" w:cs="Times New Roman"/>
          <w:b/>
          <w:bCs/>
        </w:rPr>
      </w:pPr>
    </w:p>
    <w:p w14:paraId="53459F16" w14:textId="77777777" w:rsidR="009844A8" w:rsidRPr="00860A5F" w:rsidRDefault="009844A8" w:rsidP="009844A8">
      <w:pPr>
        <w:ind w:left="567" w:hanging="567"/>
        <w:jc w:val="both"/>
        <w:rPr>
          <w:rFonts w:ascii="Times New Roman" w:hAnsi="Times New Roman" w:cs="Times New Roman"/>
        </w:rPr>
      </w:pPr>
    </w:p>
    <w:p w14:paraId="67FB7A20" w14:textId="77777777" w:rsidR="009844A8" w:rsidRPr="009844A8" w:rsidRDefault="009844A8" w:rsidP="009844A8">
      <w:pPr>
        <w:pStyle w:val="HTMLPreformatted"/>
        <w:ind w:left="709" w:hanging="709"/>
        <w:jc w:val="both"/>
        <w:rPr>
          <w:rStyle w:val="y2iqfc"/>
          <w:rFonts w:ascii="Times New Roman" w:eastAsiaTheme="majorEastAsia" w:hAnsi="Times New Roman" w:cs="Times New Roman"/>
          <w:sz w:val="24"/>
          <w:szCs w:val="24"/>
          <w:lang w:val="en"/>
        </w:rPr>
      </w:pPr>
    </w:p>
    <w:p w14:paraId="33399670" w14:textId="77777777" w:rsidR="006610AA" w:rsidRDefault="006610AA" w:rsidP="009844A8">
      <w:pPr>
        <w:ind w:left="709" w:hanging="709"/>
        <w:rPr>
          <w:rStyle w:val="y2iqfc"/>
          <w:rFonts w:ascii="Times New Roman" w:eastAsiaTheme="majorEastAsia" w:hAnsi="Times New Roman" w:cs="Times New Roman"/>
          <w:lang w:val="en"/>
        </w:rPr>
      </w:pPr>
      <w:r>
        <w:rPr>
          <w:rStyle w:val="y2iqfc"/>
          <w:rFonts w:ascii="Times New Roman" w:eastAsiaTheme="majorEastAsia" w:hAnsi="Times New Roman" w:cs="Times New Roman"/>
          <w:lang w:val="en"/>
        </w:rPr>
        <w:br w:type="page"/>
      </w:r>
    </w:p>
    <w:p w14:paraId="233348C6" w14:textId="77777777" w:rsidR="00E00027" w:rsidRPr="00860A5F" w:rsidRDefault="00E00027" w:rsidP="00377B6A">
      <w:pPr>
        <w:ind w:left="567" w:hanging="567"/>
        <w:jc w:val="both"/>
        <w:rPr>
          <w:rFonts w:ascii="Times New Roman" w:hAnsi="Times New Roman" w:cs="Times New Roman"/>
          <w:b/>
          <w:bCs/>
        </w:rPr>
      </w:pPr>
    </w:p>
    <w:p w14:paraId="0E5B17C2" w14:textId="77777777" w:rsidR="00E00027" w:rsidRPr="00860A5F" w:rsidRDefault="00E00027" w:rsidP="00377B6A">
      <w:pPr>
        <w:ind w:left="567" w:hanging="567"/>
        <w:jc w:val="both"/>
        <w:rPr>
          <w:rFonts w:ascii="Times New Roman" w:hAnsi="Times New Roman" w:cs="Times New Roman"/>
        </w:rPr>
      </w:pPr>
    </w:p>
    <w:sectPr w:rsidR="00E00027" w:rsidRPr="00860A5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F4403" w14:textId="77777777" w:rsidR="00D46FDB" w:rsidRDefault="00D46FDB" w:rsidP="00716636">
      <w:pPr>
        <w:spacing w:after="0" w:line="240" w:lineRule="auto"/>
      </w:pPr>
      <w:r>
        <w:separator/>
      </w:r>
    </w:p>
  </w:endnote>
  <w:endnote w:type="continuationSeparator" w:id="0">
    <w:p w14:paraId="61856F9A" w14:textId="77777777" w:rsidR="00D46FDB" w:rsidRDefault="00D46FDB" w:rsidP="0071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6697" w14:textId="77777777" w:rsidR="00716636" w:rsidRDefault="00716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63BF" w14:textId="77777777" w:rsidR="00716636" w:rsidRDefault="00716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DDD1" w14:textId="77777777" w:rsidR="00716636" w:rsidRDefault="00716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B6308" w14:textId="77777777" w:rsidR="00D46FDB" w:rsidRDefault="00D46FDB" w:rsidP="00716636">
      <w:pPr>
        <w:spacing w:after="0" w:line="240" w:lineRule="auto"/>
      </w:pPr>
      <w:r>
        <w:separator/>
      </w:r>
    </w:p>
  </w:footnote>
  <w:footnote w:type="continuationSeparator" w:id="0">
    <w:p w14:paraId="47238C4F" w14:textId="77777777" w:rsidR="00D46FDB" w:rsidRDefault="00D46FDB" w:rsidP="0071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48AA6" w14:textId="71CD39A1" w:rsidR="00716636" w:rsidRDefault="00D46FDB">
    <w:pPr>
      <w:pStyle w:val="Header"/>
    </w:pPr>
    <w:r>
      <w:rPr>
        <w:noProof/>
      </w:rPr>
      <w:pict w14:anchorId="6B673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38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4F52" w14:textId="69F46CB1" w:rsidR="00716636" w:rsidRDefault="00D46FDB">
    <w:pPr>
      <w:pStyle w:val="Header"/>
    </w:pPr>
    <w:r>
      <w:rPr>
        <w:noProof/>
      </w:rPr>
      <w:pict w14:anchorId="1EB6E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38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3B36" w14:textId="25E1E369" w:rsidR="00716636" w:rsidRDefault="00D46FDB">
    <w:pPr>
      <w:pStyle w:val="Header"/>
    </w:pPr>
    <w:r>
      <w:rPr>
        <w:noProof/>
      </w:rPr>
      <w:pict w14:anchorId="64D6F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38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838AF"/>
    <w:multiLevelType w:val="hybridMultilevel"/>
    <w:tmpl w:val="97DC48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E641854"/>
    <w:multiLevelType w:val="hybridMultilevel"/>
    <w:tmpl w:val="FA8EA8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8F81365"/>
    <w:multiLevelType w:val="hybridMultilevel"/>
    <w:tmpl w:val="2140DDBE"/>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2MzI2NTE2NjQ2MDZQ0lEKTi0uzszPAykwrQUA/Yi18ywAAAA="/>
  </w:docVars>
  <w:rsids>
    <w:rsidRoot w:val="00E00027"/>
    <w:rsid w:val="00044F16"/>
    <w:rsid w:val="00092E4C"/>
    <w:rsid w:val="0011487C"/>
    <w:rsid w:val="00181718"/>
    <w:rsid w:val="002539CD"/>
    <w:rsid w:val="00295CB3"/>
    <w:rsid w:val="002D275F"/>
    <w:rsid w:val="00314BF0"/>
    <w:rsid w:val="00377B6A"/>
    <w:rsid w:val="003D6FB7"/>
    <w:rsid w:val="003E716D"/>
    <w:rsid w:val="00413B7D"/>
    <w:rsid w:val="004B6C89"/>
    <w:rsid w:val="0054121F"/>
    <w:rsid w:val="00584409"/>
    <w:rsid w:val="005A5A08"/>
    <w:rsid w:val="005A5F17"/>
    <w:rsid w:val="006610AA"/>
    <w:rsid w:val="006D4B7A"/>
    <w:rsid w:val="00716636"/>
    <w:rsid w:val="00795A16"/>
    <w:rsid w:val="007F240A"/>
    <w:rsid w:val="00860A5F"/>
    <w:rsid w:val="0088087D"/>
    <w:rsid w:val="008B512D"/>
    <w:rsid w:val="0091606E"/>
    <w:rsid w:val="00944D25"/>
    <w:rsid w:val="0096692D"/>
    <w:rsid w:val="009844A8"/>
    <w:rsid w:val="009E5AB7"/>
    <w:rsid w:val="009F7120"/>
    <w:rsid w:val="00AF7452"/>
    <w:rsid w:val="00BB480A"/>
    <w:rsid w:val="00C86634"/>
    <w:rsid w:val="00D065E4"/>
    <w:rsid w:val="00D46FDB"/>
    <w:rsid w:val="00DD0192"/>
    <w:rsid w:val="00E00027"/>
    <w:rsid w:val="00F041F1"/>
    <w:rsid w:val="00F555E1"/>
    <w:rsid w:val="00FC4AF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3B478F"/>
  <w15:chartTrackingRefBased/>
  <w15:docId w15:val="{1A4EBAA0-43F3-46DF-A26D-30A6DE08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02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0002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0002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0002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0002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00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02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0002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0002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0002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0002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00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027"/>
    <w:rPr>
      <w:rFonts w:eastAsiaTheme="majorEastAsia" w:cstheme="majorBidi"/>
      <w:color w:val="272727" w:themeColor="text1" w:themeTint="D8"/>
    </w:rPr>
  </w:style>
  <w:style w:type="paragraph" w:styleId="Title">
    <w:name w:val="Title"/>
    <w:basedOn w:val="Normal"/>
    <w:next w:val="Normal"/>
    <w:link w:val="TitleChar"/>
    <w:uiPriority w:val="10"/>
    <w:qFormat/>
    <w:rsid w:val="00E00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0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0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0027"/>
    <w:rPr>
      <w:i/>
      <w:iCs/>
      <w:color w:val="404040" w:themeColor="text1" w:themeTint="BF"/>
    </w:rPr>
  </w:style>
  <w:style w:type="paragraph" w:styleId="ListParagraph">
    <w:name w:val="List Paragraph"/>
    <w:basedOn w:val="Normal"/>
    <w:uiPriority w:val="34"/>
    <w:qFormat/>
    <w:rsid w:val="00E00027"/>
    <w:pPr>
      <w:ind w:left="720"/>
      <w:contextualSpacing/>
    </w:pPr>
  </w:style>
  <w:style w:type="character" w:styleId="IntenseEmphasis">
    <w:name w:val="Intense Emphasis"/>
    <w:basedOn w:val="DefaultParagraphFont"/>
    <w:uiPriority w:val="21"/>
    <w:qFormat/>
    <w:rsid w:val="00E00027"/>
    <w:rPr>
      <w:i/>
      <w:iCs/>
      <w:color w:val="365F91" w:themeColor="accent1" w:themeShade="BF"/>
    </w:rPr>
  </w:style>
  <w:style w:type="paragraph" w:styleId="IntenseQuote">
    <w:name w:val="Intense Quote"/>
    <w:basedOn w:val="Normal"/>
    <w:next w:val="Normal"/>
    <w:link w:val="IntenseQuoteChar"/>
    <w:uiPriority w:val="30"/>
    <w:qFormat/>
    <w:rsid w:val="00E000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00027"/>
    <w:rPr>
      <w:i/>
      <w:iCs/>
      <w:color w:val="365F91" w:themeColor="accent1" w:themeShade="BF"/>
    </w:rPr>
  </w:style>
  <w:style w:type="character" w:styleId="IntenseReference">
    <w:name w:val="Intense Reference"/>
    <w:basedOn w:val="DefaultParagraphFont"/>
    <w:uiPriority w:val="32"/>
    <w:qFormat/>
    <w:rsid w:val="00E00027"/>
    <w:rPr>
      <w:b/>
      <w:bCs/>
      <w:smallCaps/>
      <w:color w:val="365F91" w:themeColor="accent1" w:themeShade="BF"/>
      <w:spacing w:val="5"/>
    </w:rPr>
  </w:style>
  <w:style w:type="paragraph" w:styleId="HTMLPreformatted">
    <w:name w:val="HTML Preformatted"/>
    <w:basedOn w:val="Normal"/>
    <w:link w:val="HTMLPreformattedChar"/>
    <w:uiPriority w:val="99"/>
    <w:unhideWhenUsed/>
    <w:rsid w:val="00E00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0027"/>
    <w:rPr>
      <w:rFonts w:ascii="Courier New" w:eastAsia="Times New Roman" w:hAnsi="Courier New" w:cs="Courier New"/>
      <w:sz w:val="20"/>
      <w:szCs w:val="20"/>
    </w:rPr>
  </w:style>
  <w:style w:type="character" w:customStyle="1" w:styleId="y2iqfc">
    <w:name w:val="y2iqfc"/>
    <w:basedOn w:val="DefaultParagraphFont"/>
    <w:rsid w:val="00E00027"/>
  </w:style>
  <w:style w:type="character" w:styleId="Hyperlink">
    <w:name w:val="Hyperlink"/>
    <w:basedOn w:val="DefaultParagraphFont"/>
    <w:uiPriority w:val="99"/>
    <w:unhideWhenUsed/>
    <w:rsid w:val="00E00027"/>
    <w:rPr>
      <w:color w:val="0000FF"/>
      <w:u w:val="single"/>
    </w:rPr>
  </w:style>
  <w:style w:type="character" w:customStyle="1" w:styleId="w7gcoc">
    <w:name w:val="w7gcoc"/>
    <w:basedOn w:val="DefaultParagraphFont"/>
    <w:rsid w:val="00E00027"/>
  </w:style>
  <w:style w:type="character" w:customStyle="1" w:styleId="v9tjod">
    <w:name w:val="v9tjod"/>
    <w:basedOn w:val="DefaultParagraphFont"/>
    <w:rsid w:val="00E00027"/>
  </w:style>
  <w:style w:type="table" w:styleId="TableGrid">
    <w:name w:val="Table Grid"/>
    <w:basedOn w:val="TableNormal"/>
    <w:qFormat/>
    <w:rsid w:val="00377B6A"/>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0A5F"/>
    <w:rPr>
      <w:color w:val="605E5C"/>
      <w:shd w:val="clear" w:color="auto" w:fill="E1DFDD"/>
    </w:rPr>
  </w:style>
  <w:style w:type="paragraph" w:styleId="Header">
    <w:name w:val="header"/>
    <w:basedOn w:val="Normal"/>
    <w:link w:val="HeaderChar"/>
    <w:uiPriority w:val="99"/>
    <w:unhideWhenUsed/>
    <w:rsid w:val="00716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636"/>
  </w:style>
  <w:style w:type="paragraph" w:styleId="Footer">
    <w:name w:val="footer"/>
    <w:basedOn w:val="Normal"/>
    <w:link w:val="FooterChar"/>
    <w:uiPriority w:val="99"/>
    <w:unhideWhenUsed/>
    <w:rsid w:val="00716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cc-nggip.iges.or.jp/public/2006gl/index.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20527/jss.v4i5.4201" TargetMode="External"/><Relationship Id="rId17" Type="http://schemas.openxmlformats.org/officeDocument/2006/relationships/hyperlink" Target="https://www.ipcc.ch/report/land-use-land-use-change-and-forest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26/science.12016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for-icraf.org/publicati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73/pnas.1719685115" TargetMode="External"/><Relationship Id="rId23" Type="http://schemas.openxmlformats.org/officeDocument/2006/relationships/footer" Target="footer3.xml"/><Relationship Id="rId10" Type="http://schemas.openxmlformats.org/officeDocument/2006/relationships/hyperlink" Target="https://doi.org/10.1016/j.foreco.2015.04.03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29244/medkon.25.2.140-148" TargetMode="External"/><Relationship Id="rId14" Type="http://schemas.openxmlformats.org/officeDocument/2006/relationships/hyperlink" Target="https://doi.org/10.5194/bgd-11-10703-201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73D66-1200-447C-8569-B58797A6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3872</Words>
  <Characters>22072</Characters>
  <Application>Microsoft Office Word</Application>
  <DocSecurity>0</DocSecurity>
  <Lines>183</Lines>
  <Paragraphs>51</Paragraphs>
  <ScaleCrop>false</ScaleCrop>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1089</cp:lastModifiedBy>
  <cp:revision>5</cp:revision>
  <dcterms:created xsi:type="dcterms:W3CDTF">2025-12-07T01:01:00Z</dcterms:created>
  <dcterms:modified xsi:type="dcterms:W3CDTF">2025-12-13T10:15:00Z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3a28c872-8851-4795-abad-150e7409a6a8</vt:lpwstr>
  </property>
</Properties>
</file>