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845D7" w14:textId="77777777" w:rsidR="00662CB0" w:rsidRPr="00662CB0" w:rsidRDefault="00662CB0" w:rsidP="00662CB0">
      <w:pPr>
        <w:spacing w:after="0" w:line="240" w:lineRule="auto"/>
        <w:jc w:val="right"/>
        <w:rPr>
          <w:rFonts w:ascii="Arial" w:eastAsia="Times New Roman" w:hAnsi="Arial" w:cs="Arial"/>
          <w:b/>
          <w:bCs/>
          <w:i/>
          <w:color w:val="000000"/>
          <w:sz w:val="32"/>
          <w:szCs w:val="40"/>
          <w:highlight w:val="yellow"/>
          <w:u w:val="single"/>
        </w:rPr>
      </w:pPr>
      <w:bookmarkStart w:id="0" w:name="_GoBack"/>
      <w:bookmarkEnd w:id="0"/>
      <w:r w:rsidRPr="00662CB0">
        <w:rPr>
          <w:rFonts w:ascii="Arial" w:eastAsia="Times New Roman" w:hAnsi="Arial" w:cs="Arial"/>
          <w:b/>
          <w:bCs/>
          <w:i/>
          <w:color w:val="000000"/>
          <w:sz w:val="32"/>
          <w:szCs w:val="40"/>
          <w:highlight w:val="yellow"/>
          <w:u w:val="single"/>
        </w:rPr>
        <w:t>Original Research Article</w:t>
      </w:r>
    </w:p>
    <w:p w14:paraId="06A105B3" w14:textId="56185981" w:rsidR="007B6913" w:rsidRPr="00662CB0" w:rsidRDefault="007B6913" w:rsidP="00662CB0">
      <w:pPr>
        <w:spacing w:after="0" w:line="240" w:lineRule="auto"/>
        <w:jc w:val="right"/>
        <w:rPr>
          <w:rFonts w:ascii="Arial" w:eastAsia="Times New Roman" w:hAnsi="Arial" w:cs="Arial"/>
          <w:b/>
          <w:bCs/>
          <w:color w:val="000000"/>
          <w:sz w:val="32"/>
          <w:szCs w:val="40"/>
          <w:highlight w:val="yellow"/>
        </w:rPr>
      </w:pPr>
      <w:r w:rsidRPr="00662CB0">
        <w:rPr>
          <w:rFonts w:ascii="Arial" w:eastAsia="Times New Roman" w:hAnsi="Arial" w:cs="Arial"/>
          <w:b/>
          <w:bCs/>
          <w:color w:val="000000"/>
          <w:sz w:val="32"/>
          <w:szCs w:val="40"/>
          <w:highlight w:val="yellow"/>
        </w:rPr>
        <w:t>Performance Evaluation of Bhima Super (</w:t>
      </w:r>
      <w:r w:rsidR="006950B6" w:rsidRPr="006950B6">
        <w:rPr>
          <w:rFonts w:ascii="Arial" w:eastAsia="Times New Roman" w:hAnsi="Arial" w:cs="Arial"/>
          <w:b/>
          <w:bCs/>
          <w:i/>
          <w:color w:val="000000"/>
          <w:sz w:val="32"/>
          <w:szCs w:val="40"/>
          <w:highlight w:val="yellow"/>
        </w:rPr>
        <w:t xml:space="preserve">Allium </w:t>
      </w:r>
      <w:proofErr w:type="spellStart"/>
      <w:r w:rsidR="006950B6" w:rsidRPr="006950B6">
        <w:rPr>
          <w:rFonts w:ascii="Arial" w:eastAsia="Times New Roman" w:hAnsi="Arial" w:cs="Arial"/>
          <w:b/>
          <w:bCs/>
          <w:i/>
          <w:color w:val="000000"/>
          <w:sz w:val="32"/>
          <w:szCs w:val="40"/>
          <w:highlight w:val="yellow"/>
        </w:rPr>
        <w:t>cepa</w:t>
      </w:r>
      <w:proofErr w:type="spellEnd"/>
      <w:r w:rsidRPr="00662CB0">
        <w:rPr>
          <w:rFonts w:ascii="Arial" w:eastAsia="Times New Roman" w:hAnsi="Arial" w:cs="Arial"/>
          <w:b/>
          <w:bCs/>
          <w:color w:val="000000"/>
          <w:sz w:val="32"/>
          <w:szCs w:val="40"/>
          <w:highlight w:val="yellow"/>
        </w:rPr>
        <w:t xml:space="preserve"> L.) for Growth, Yield and Economic Traits under Late </w:t>
      </w:r>
      <w:r w:rsidRPr="00662CB0">
        <w:rPr>
          <w:rFonts w:ascii="Arial" w:eastAsia="Times New Roman" w:hAnsi="Arial" w:cs="Arial"/>
          <w:b/>
          <w:bCs/>
          <w:i/>
          <w:color w:val="000000"/>
          <w:sz w:val="32"/>
          <w:szCs w:val="40"/>
          <w:highlight w:val="yellow"/>
        </w:rPr>
        <w:t xml:space="preserve">Kharif </w:t>
      </w:r>
      <w:r w:rsidRPr="00662CB0">
        <w:rPr>
          <w:rFonts w:ascii="Arial" w:eastAsia="Times New Roman" w:hAnsi="Arial" w:cs="Arial"/>
          <w:b/>
          <w:bCs/>
          <w:color w:val="000000"/>
          <w:sz w:val="32"/>
          <w:szCs w:val="40"/>
          <w:highlight w:val="yellow"/>
        </w:rPr>
        <w:t xml:space="preserve">Conditions in </w:t>
      </w:r>
      <w:proofErr w:type="spellStart"/>
      <w:r w:rsidRPr="00662CB0">
        <w:rPr>
          <w:rFonts w:ascii="Arial" w:eastAsia="Times New Roman" w:hAnsi="Arial" w:cs="Arial"/>
          <w:b/>
          <w:bCs/>
          <w:color w:val="000000"/>
          <w:sz w:val="32"/>
          <w:szCs w:val="40"/>
          <w:highlight w:val="yellow"/>
        </w:rPr>
        <w:t>Sangareddy</w:t>
      </w:r>
      <w:proofErr w:type="spellEnd"/>
      <w:r w:rsidRPr="00662CB0">
        <w:rPr>
          <w:rFonts w:ascii="Arial" w:eastAsia="Times New Roman" w:hAnsi="Arial" w:cs="Arial"/>
          <w:b/>
          <w:bCs/>
          <w:color w:val="000000"/>
          <w:sz w:val="32"/>
          <w:szCs w:val="40"/>
          <w:highlight w:val="yellow"/>
        </w:rPr>
        <w:t xml:space="preserve"> District, Telangana</w:t>
      </w:r>
    </w:p>
    <w:p w14:paraId="2ACA76AE" w14:textId="77777777" w:rsidR="00662CB0" w:rsidRPr="00662CB0" w:rsidRDefault="00662CB0" w:rsidP="00662CB0">
      <w:pPr>
        <w:spacing w:line="240" w:lineRule="auto"/>
        <w:jc w:val="right"/>
        <w:rPr>
          <w:rFonts w:ascii="Arial" w:eastAsia="Times New Roman" w:hAnsi="Arial" w:cs="Arial"/>
          <w:b/>
          <w:bCs/>
          <w:color w:val="000000"/>
          <w:sz w:val="24"/>
          <w:szCs w:val="28"/>
          <w:highlight w:val="yellow"/>
        </w:rPr>
      </w:pPr>
    </w:p>
    <w:p w14:paraId="7E1FE5ED" w14:textId="77777777" w:rsidR="00DB79AB" w:rsidRPr="004E375D" w:rsidRDefault="00DB79AB" w:rsidP="004E375D">
      <w:pPr>
        <w:spacing w:after="0" w:line="240" w:lineRule="auto"/>
        <w:rPr>
          <w:rFonts w:ascii="Times New Roman" w:eastAsia="Times New Roman" w:hAnsi="Times New Roman" w:cs="Times New Roman"/>
          <w:b/>
          <w:bCs/>
          <w:color w:val="000000"/>
          <w:sz w:val="24"/>
          <w:szCs w:val="24"/>
        </w:rPr>
      </w:pPr>
    </w:p>
    <w:p w14:paraId="6961D911" w14:textId="38824245" w:rsidR="00B62997" w:rsidRPr="00662CB0" w:rsidRDefault="00662CB0" w:rsidP="00662CB0">
      <w:pPr>
        <w:spacing w:after="0" w:line="240" w:lineRule="auto"/>
        <w:jc w:val="center"/>
        <w:rPr>
          <w:rFonts w:ascii="Arial" w:eastAsia="Times New Roman" w:hAnsi="Arial" w:cs="Arial"/>
          <w:sz w:val="24"/>
          <w:szCs w:val="20"/>
        </w:rPr>
      </w:pPr>
      <w:r w:rsidRPr="00662CB0">
        <w:rPr>
          <w:rFonts w:ascii="Arial" w:eastAsia="Times New Roman" w:hAnsi="Arial" w:cs="Arial"/>
          <w:b/>
          <w:bCs/>
          <w:color w:val="000000"/>
          <w:sz w:val="24"/>
          <w:szCs w:val="20"/>
        </w:rPr>
        <w:t>ABSTRACT</w:t>
      </w:r>
    </w:p>
    <w:p w14:paraId="69D1625A" w14:textId="77777777" w:rsidR="00B62997" w:rsidRPr="00662CB0" w:rsidRDefault="00B62997" w:rsidP="00662CB0">
      <w:pPr>
        <w:spacing w:after="0" w:line="240" w:lineRule="auto"/>
        <w:jc w:val="both"/>
        <w:rPr>
          <w:rFonts w:ascii="Arial" w:eastAsia="Times New Roman" w:hAnsi="Arial" w:cs="Arial"/>
          <w:color w:val="000000"/>
          <w:sz w:val="20"/>
          <w:szCs w:val="20"/>
        </w:rPr>
      </w:pPr>
    </w:p>
    <w:p w14:paraId="15D5BD98" w14:textId="35AAABA2" w:rsidR="00B62997" w:rsidRPr="00662CB0" w:rsidRDefault="007B6913" w:rsidP="00662CB0">
      <w:pPr>
        <w:spacing w:after="0" w:line="240" w:lineRule="auto"/>
        <w:jc w:val="both"/>
        <w:rPr>
          <w:rFonts w:ascii="Arial" w:eastAsia="Times New Roman" w:hAnsi="Arial" w:cs="Arial"/>
          <w:color w:val="000000"/>
          <w:sz w:val="20"/>
          <w:szCs w:val="20"/>
        </w:rPr>
      </w:pPr>
      <w:r w:rsidRPr="00662CB0">
        <w:rPr>
          <w:rFonts w:ascii="Arial" w:eastAsia="Times New Roman" w:hAnsi="Arial" w:cs="Arial"/>
          <w:color w:val="000000"/>
          <w:sz w:val="20"/>
          <w:szCs w:val="20"/>
        </w:rPr>
        <w:t>Onion (</w:t>
      </w:r>
      <w:r w:rsidR="006950B6" w:rsidRPr="006950B6">
        <w:rPr>
          <w:rFonts w:ascii="Arial" w:eastAsia="Times New Roman" w:hAnsi="Arial" w:cs="Arial"/>
          <w:i/>
          <w:iCs/>
          <w:color w:val="000000"/>
          <w:sz w:val="20"/>
          <w:szCs w:val="20"/>
        </w:rPr>
        <w:t xml:space="preserve">Allium </w:t>
      </w:r>
      <w:proofErr w:type="spellStart"/>
      <w:r w:rsidR="006950B6" w:rsidRPr="006950B6">
        <w:rPr>
          <w:rFonts w:ascii="Arial" w:eastAsia="Times New Roman" w:hAnsi="Arial" w:cs="Arial"/>
          <w:i/>
          <w:iCs/>
          <w:color w:val="000000"/>
          <w:sz w:val="20"/>
          <w:szCs w:val="20"/>
        </w:rPr>
        <w:t>cepa</w:t>
      </w:r>
      <w:proofErr w:type="spellEnd"/>
      <w:r w:rsidRPr="00662CB0">
        <w:rPr>
          <w:rFonts w:ascii="Arial" w:eastAsia="Times New Roman" w:hAnsi="Arial" w:cs="Arial"/>
          <w:color w:val="000000"/>
          <w:sz w:val="20"/>
          <w:szCs w:val="20"/>
        </w:rPr>
        <w:t xml:space="preserve"> L.) is one of the most important commercial vegetable crops cultivated worldwide for its pungent </w:t>
      </w:r>
      <w:proofErr w:type="spellStart"/>
      <w:r w:rsidRPr="00662CB0">
        <w:rPr>
          <w:rFonts w:ascii="Arial" w:eastAsia="Times New Roman" w:hAnsi="Arial" w:cs="Arial"/>
          <w:color w:val="000000"/>
          <w:sz w:val="20"/>
          <w:szCs w:val="20"/>
        </w:rPr>
        <w:t>flavour</w:t>
      </w:r>
      <w:proofErr w:type="spellEnd"/>
      <w:r w:rsidRPr="00662CB0">
        <w:rPr>
          <w:rFonts w:ascii="Arial" w:eastAsia="Times New Roman" w:hAnsi="Arial" w:cs="Arial"/>
          <w:color w:val="000000"/>
          <w:sz w:val="20"/>
          <w:szCs w:val="20"/>
        </w:rPr>
        <w:t xml:space="preserve">, high nutritive value, and economic significance. India ranks second globally in onion production, yet productivity remains inconsistent due to climatic variability, use of local cultivars, and poor crop management practices. The </w:t>
      </w:r>
      <w:proofErr w:type="spellStart"/>
      <w:r w:rsidRPr="00662CB0">
        <w:rPr>
          <w:rFonts w:ascii="Arial" w:eastAsia="Times New Roman" w:hAnsi="Arial" w:cs="Arial"/>
          <w:color w:val="000000"/>
          <w:sz w:val="20"/>
          <w:szCs w:val="20"/>
        </w:rPr>
        <w:t>Sangareddy</w:t>
      </w:r>
      <w:proofErr w:type="spellEnd"/>
      <w:r w:rsidRPr="00662CB0">
        <w:rPr>
          <w:rFonts w:ascii="Arial" w:eastAsia="Times New Roman" w:hAnsi="Arial" w:cs="Arial"/>
          <w:color w:val="000000"/>
          <w:sz w:val="20"/>
          <w:szCs w:val="20"/>
        </w:rPr>
        <w:t xml:space="preserve"> district of Telangana, characterized by semi-arid conditions and rainfed agriculture, experiences low onion productivity owing to the predominance of traditional varieties. To address this constraint, the Krishi Vigyan Kendra, </w:t>
      </w:r>
      <w:proofErr w:type="spellStart"/>
      <w:r w:rsidRPr="00662CB0">
        <w:rPr>
          <w:rFonts w:ascii="Arial" w:eastAsia="Times New Roman" w:hAnsi="Arial" w:cs="Arial"/>
          <w:color w:val="000000"/>
          <w:sz w:val="20"/>
          <w:szCs w:val="20"/>
        </w:rPr>
        <w:t>Sangareddy</w:t>
      </w:r>
      <w:proofErr w:type="spellEnd"/>
      <w:r w:rsidRPr="00662CB0">
        <w:rPr>
          <w:rFonts w:ascii="Arial" w:eastAsia="Times New Roman" w:hAnsi="Arial" w:cs="Arial"/>
          <w:color w:val="000000"/>
          <w:sz w:val="20"/>
          <w:szCs w:val="20"/>
        </w:rPr>
        <w:t xml:space="preserve">, conducted frontline demonstrations over four </w:t>
      </w:r>
      <w:proofErr w:type="gramStart"/>
      <w:r w:rsidRPr="00662CB0">
        <w:rPr>
          <w:rFonts w:ascii="Arial" w:eastAsia="Times New Roman" w:hAnsi="Arial" w:cs="Arial"/>
          <w:color w:val="000000"/>
          <w:sz w:val="20"/>
          <w:szCs w:val="20"/>
        </w:rPr>
        <w:t>consecutive</w:t>
      </w:r>
      <w:proofErr w:type="gramEnd"/>
      <w:r w:rsidRPr="00662CB0">
        <w:rPr>
          <w:rFonts w:ascii="Arial" w:eastAsia="Times New Roman" w:hAnsi="Arial" w:cs="Arial"/>
          <w:color w:val="000000"/>
          <w:sz w:val="20"/>
          <w:szCs w:val="20"/>
        </w:rPr>
        <w:t xml:space="preserve"> late kharif seasons (2021–22 to 2024–25) to evaluate the performance of the high-yielding Bhima Super variety against local checks. Demonstrations were carried out at farmers’ fields in </w:t>
      </w:r>
      <w:proofErr w:type="spellStart"/>
      <w:r w:rsidRPr="00662CB0">
        <w:rPr>
          <w:rFonts w:ascii="Arial" w:eastAsia="Times New Roman" w:hAnsi="Arial" w:cs="Arial"/>
          <w:color w:val="000000"/>
          <w:sz w:val="20"/>
          <w:szCs w:val="20"/>
        </w:rPr>
        <w:t>Jarasangham</w:t>
      </w:r>
      <w:proofErr w:type="spellEnd"/>
      <w:r w:rsidRPr="00662CB0">
        <w:rPr>
          <w:rFonts w:ascii="Arial" w:eastAsia="Times New Roman" w:hAnsi="Arial" w:cs="Arial"/>
          <w:color w:val="000000"/>
          <w:sz w:val="20"/>
          <w:szCs w:val="20"/>
        </w:rPr>
        <w:t xml:space="preserve"> and </w:t>
      </w:r>
      <w:proofErr w:type="spellStart"/>
      <w:r w:rsidRPr="00662CB0">
        <w:rPr>
          <w:rFonts w:ascii="Arial" w:eastAsia="Times New Roman" w:hAnsi="Arial" w:cs="Arial"/>
          <w:color w:val="000000"/>
          <w:sz w:val="20"/>
          <w:szCs w:val="20"/>
        </w:rPr>
        <w:t>Narayankhed</w:t>
      </w:r>
      <w:proofErr w:type="spellEnd"/>
      <w:r w:rsidRPr="00662CB0">
        <w:rPr>
          <w:rFonts w:ascii="Arial" w:eastAsia="Times New Roman" w:hAnsi="Arial" w:cs="Arial"/>
          <w:color w:val="000000"/>
          <w:sz w:val="20"/>
          <w:szCs w:val="20"/>
        </w:rPr>
        <w:t xml:space="preserve"> </w:t>
      </w:r>
      <w:proofErr w:type="spellStart"/>
      <w:r w:rsidRPr="00662CB0">
        <w:rPr>
          <w:rFonts w:ascii="Arial" w:eastAsia="Times New Roman" w:hAnsi="Arial" w:cs="Arial"/>
          <w:color w:val="000000"/>
          <w:sz w:val="20"/>
          <w:szCs w:val="20"/>
        </w:rPr>
        <w:t>mandals</w:t>
      </w:r>
      <w:proofErr w:type="spellEnd"/>
      <w:r w:rsidRPr="00662CB0">
        <w:rPr>
          <w:rFonts w:ascii="Arial" w:eastAsia="Times New Roman" w:hAnsi="Arial" w:cs="Arial"/>
          <w:color w:val="000000"/>
          <w:sz w:val="20"/>
          <w:szCs w:val="20"/>
        </w:rPr>
        <w:t xml:space="preserve"> under standard agronomic practices. Key growth and yield parameters such as germination percentage, plant height, number of leaves per plant, collar thickness, bulb weight, and total yield were recorded. Results revealed that Bhima Super exhibited significantly higher germination (91.6%), plant height (62.0 cm), and number of leaves per plant (10.9) compared to local varieties (83.3%, 56.7 cm, and 8.5 respectively). The mean bulb yield of Bhima Super (223.7 q ha</w:t>
      </w:r>
      <w:r w:rsidRPr="00662CB0">
        <w:rPr>
          <w:rFonts w:ascii="Cambria Math" w:eastAsia="Times New Roman" w:hAnsi="Cambria Math" w:cs="Cambria Math"/>
          <w:color w:val="000000"/>
          <w:sz w:val="20"/>
          <w:szCs w:val="20"/>
        </w:rPr>
        <w:t>⁻</w:t>
      </w:r>
      <w:r w:rsidRPr="00662CB0">
        <w:rPr>
          <w:rFonts w:ascii="Arial" w:eastAsia="Times New Roman" w:hAnsi="Arial" w:cs="Arial"/>
          <w:color w:val="000000"/>
          <w:sz w:val="20"/>
          <w:szCs w:val="20"/>
        </w:rPr>
        <w:t>¹) surpassed that of local cultivars (150.1 q ha</w:t>
      </w:r>
      <w:r w:rsidRPr="00662CB0">
        <w:rPr>
          <w:rFonts w:ascii="Cambria Math" w:eastAsia="Times New Roman" w:hAnsi="Cambria Math" w:cs="Cambria Math"/>
          <w:color w:val="000000"/>
          <w:sz w:val="20"/>
          <w:szCs w:val="20"/>
        </w:rPr>
        <w:t>⁻</w:t>
      </w:r>
      <w:r w:rsidRPr="00662CB0">
        <w:rPr>
          <w:rFonts w:ascii="Arial" w:eastAsia="Times New Roman" w:hAnsi="Arial" w:cs="Arial"/>
          <w:color w:val="000000"/>
          <w:sz w:val="20"/>
          <w:szCs w:val="20"/>
        </w:rPr>
        <w:t>¹), representing a 43% increase in productivity. Additionally, Bhima Super showed reduced pest incidence (Thrips 13.36%) and disease occurrence (Purple blotch 11.9%; Stemphylium blight 14.3%), categorizing it as moderately resistant. Economic analysis indicated that Bhima Super achieved the highest gross returns (₹320,956 ha</w:t>
      </w:r>
      <w:r w:rsidRPr="00662CB0">
        <w:rPr>
          <w:rFonts w:ascii="Cambria Math" w:eastAsia="Times New Roman" w:hAnsi="Cambria Math" w:cs="Cambria Math"/>
          <w:color w:val="000000"/>
          <w:sz w:val="20"/>
          <w:szCs w:val="20"/>
        </w:rPr>
        <w:t>⁻</w:t>
      </w:r>
      <w:r w:rsidRPr="00662CB0">
        <w:rPr>
          <w:rFonts w:ascii="Arial" w:eastAsia="Times New Roman" w:hAnsi="Arial" w:cs="Arial"/>
          <w:color w:val="000000"/>
          <w:sz w:val="20"/>
          <w:szCs w:val="20"/>
        </w:rPr>
        <w:t>¹), net returns (₹208,219 ha</w:t>
      </w:r>
      <w:r w:rsidRPr="00662CB0">
        <w:rPr>
          <w:rFonts w:ascii="Cambria Math" w:eastAsia="Times New Roman" w:hAnsi="Cambria Math" w:cs="Cambria Math"/>
          <w:color w:val="000000"/>
          <w:sz w:val="20"/>
          <w:szCs w:val="20"/>
        </w:rPr>
        <w:t>⁻</w:t>
      </w:r>
      <w:r w:rsidRPr="00662CB0">
        <w:rPr>
          <w:rFonts w:ascii="Arial" w:eastAsia="Times New Roman" w:hAnsi="Arial" w:cs="Arial"/>
          <w:color w:val="000000"/>
          <w:sz w:val="20"/>
          <w:szCs w:val="20"/>
        </w:rPr>
        <w:t xml:space="preserve">¹), and a benefit-cost ratio of 2.82, compared to 1.82 for local checks. Farmer feedback ranked Bhima Super as the most preferred variety for its uniform bulb size, attractive color, extended shelf life, and higher market </w:t>
      </w:r>
      <w:proofErr w:type="spellStart"/>
      <w:proofErr w:type="gramStart"/>
      <w:r w:rsidRPr="00662CB0">
        <w:rPr>
          <w:rFonts w:ascii="Arial" w:eastAsia="Times New Roman" w:hAnsi="Arial" w:cs="Arial"/>
          <w:color w:val="000000"/>
          <w:sz w:val="20"/>
          <w:szCs w:val="20"/>
        </w:rPr>
        <w:t>acceptance.The</w:t>
      </w:r>
      <w:proofErr w:type="spellEnd"/>
      <w:proofErr w:type="gramEnd"/>
      <w:r w:rsidRPr="00662CB0">
        <w:rPr>
          <w:rFonts w:ascii="Arial" w:eastAsia="Times New Roman" w:hAnsi="Arial" w:cs="Arial"/>
          <w:color w:val="000000"/>
          <w:sz w:val="20"/>
          <w:szCs w:val="20"/>
        </w:rPr>
        <w:t xml:space="preserve"> study concludes that Bhima Super is a high-performing, disease-tolerant, and economically viable onion variety ideally suited for late kharif cultivation under rainfed conditions of the semi-arid Telangana region.</w:t>
      </w:r>
    </w:p>
    <w:p w14:paraId="6FBE981A" w14:textId="77777777" w:rsidR="007B6913" w:rsidRPr="00662CB0" w:rsidRDefault="007B6913" w:rsidP="00662CB0">
      <w:pPr>
        <w:spacing w:after="0" w:line="240" w:lineRule="auto"/>
        <w:rPr>
          <w:rFonts w:ascii="Arial" w:eastAsia="Times New Roman" w:hAnsi="Arial" w:cs="Arial"/>
          <w:b/>
          <w:bCs/>
          <w:color w:val="000000"/>
          <w:sz w:val="20"/>
          <w:szCs w:val="20"/>
        </w:rPr>
      </w:pPr>
    </w:p>
    <w:p w14:paraId="43D71CBA" w14:textId="4563D9A3" w:rsidR="00B62997" w:rsidRPr="0072728B" w:rsidRDefault="00B510A7" w:rsidP="0072728B">
      <w:pPr>
        <w:spacing w:after="0" w:line="240" w:lineRule="auto"/>
        <w:jc w:val="both"/>
        <w:rPr>
          <w:rFonts w:ascii="Arial" w:eastAsia="Times New Roman" w:hAnsi="Arial" w:cs="Arial"/>
          <w:i/>
          <w:sz w:val="20"/>
          <w:szCs w:val="20"/>
        </w:rPr>
      </w:pPr>
      <w:r w:rsidRPr="0072728B">
        <w:rPr>
          <w:rFonts w:ascii="Arial" w:eastAsia="Times New Roman" w:hAnsi="Arial" w:cs="Arial"/>
          <w:b/>
          <w:bCs/>
          <w:i/>
          <w:color w:val="000000"/>
          <w:sz w:val="20"/>
          <w:szCs w:val="20"/>
          <w:highlight w:val="yellow"/>
        </w:rPr>
        <w:t xml:space="preserve">Key Words: </w:t>
      </w:r>
      <w:r w:rsidR="007B6913" w:rsidRPr="0072728B">
        <w:rPr>
          <w:rFonts w:ascii="Arial" w:eastAsia="Times New Roman" w:hAnsi="Arial" w:cs="Arial"/>
          <w:i/>
          <w:color w:val="000000"/>
          <w:sz w:val="20"/>
          <w:szCs w:val="20"/>
          <w:highlight w:val="yellow"/>
        </w:rPr>
        <w:t>Bhima Super</w:t>
      </w:r>
      <w:r w:rsidR="0072728B">
        <w:rPr>
          <w:rFonts w:ascii="Arial" w:eastAsia="Times New Roman" w:hAnsi="Arial" w:cs="Arial"/>
          <w:i/>
          <w:color w:val="000000"/>
          <w:sz w:val="20"/>
          <w:szCs w:val="20"/>
          <w:highlight w:val="yellow"/>
        </w:rPr>
        <w:t>;</w:t>
      </w:r>
      <w:r w:rsidR="007B6913" w:rsidRPr="0072728B">
        <w:rPr>
          <w:rFonts w:ascii="Arial" w:eastAsia="Times New Roman" w:hAnsi="Arial" w:cs="Arial"/>
          <w:i/>
          <w:color w:val="000000"/>
          <w:sz w:val="20"/>
          <w:szCs w:val="20"/>
          <w:highlight w:val="yellow"/>
        </w:rPr>
        <w:t xml:space="preserve"> Onion Late Kharif</w:t>
      </w:r>
      <w:r w:rsidR="0072728B" w:rsidRPr="0072728B">
        <w:rPr>
          <w:rFonts w:ascii="Arial" w:eastAsia="Times New Roman" w:hAnsi="Arial" w:cs="Arial"/>
          <w:i/>
          <w:color w:val="000000"/>
          <w:sz w:val="20"/>
          <w:szCs w:val="20"/>
          <w:highlight w:val="yellow"/>
        </w:rPr>
        <w:t xml:space="preserve">; </w:t>
      </w:r>
      <w:r w:rsidR="007B6913" w:rsidRPr="0072728B">
        <w:rPr>
          <w:rFonts w:ascii="Arial" w:eastAsia="Times New Roman" w:hAnsi="Arial" w:cs="Arial"/>
          <w:i/>
          <w:color w:val="000000"/>
          <w:sz w:val="20"/>
          <w:szCs w:val="20"/>
          <w:highlight w:val="yellow"/>
        </w:rPr>
        <w:t>Yield Performance</w:t>
      </w:r>
      <w:r w:rsidR="0072728B" w:rsidRPr="0072728B">
        <w:rPr>
          <w:rFonts w:ascii="Arial" w:eastAsia="Times New Roman" w:hAnsi="Arial" w:cs="Arial"/>
          <w:i/>
          <w:color w:val="000000"/>
          <w:sz w:val="20"/>
          <w:szCs w:val="20"/>
          <w:highlight w:val="yellow"/>
        </w:rPr>
        <w:t>;</w:t>
      </w:r>
      <w:r w:rsidR="007B6913" w:rsidRPr="0072728B">
        <w:rPr>
          <w:rFonts w:ascii="Arial" w:eastAsia="Times New Roman" w:hAnsi="Arial" w:cs="Arial"/>
          <w:i/>
          <w:color w:val="000000"/>
          <w:sz w:val="20"/>
          <w:szCs w:val="20"/>
          <w:highlight w:val="yellow"/>
        </w:rPr>
        <w:t xml:space="preserve"> Disease Resistance</w:t>
      </w:r>
      <w:r w:rsidR="0072728B" w:rsidRPr="0072728B">
        <w:rPr>
          <w:rFonts w:ascii="Arial" w:eastAsia="Times New Roman" w:hAnsi="Arial" w:cs="Arial"/>
          <w:i/>
          <w:color w:val="000000"/>
          <w:sz w:val="20"/>
          <w:szCs w:val="20"/>
          <w:highlight w:val="yellow"/>
        </w:rPr>
        <w:t>;</w:t>
      </w:r>
      <w:r w:rsidR="007B6913" w:rsidRPr="0072728B">
        <w:rPr>
          <w:rFonts w:ascii="Arial" w:eastAsia="Times New Roman" w:hAnsi="Arial" w:cs="Arial"/>
          <w:i/>
          <w:color w:val="000000"/>
          <w:sz w:val="20"/>
          <w:szCs w:val="20"/>
          <w:highlight w:val="yellow"/>
        </w:rPr>
        <w:t xml:space="preserve"> Telangana</w:t>
      </w:r>
      <w:r w:rsidR="0072728B" w:rsidRPr="0072728B">
        <w:rPr>
          <w:rFonts w:ascii="Arial" w:eastAsia="Times New Roman" w:hAnsi="Arial" w:cs="Arial"/>
          <w:i/>
          <w:color w:val="000000"/>
          <w:sz w:val="20"/>
          <w:szCs w:val="20"/>
          <w:highlight w:val="yellow"/>
        </w:rPr>
        <w:t>;</w:t>
      </w:r>
      <w:r w:rsidR="007B6913" w:rsidRPr="0072728B">
        <w:rPr>
          <w:rFonts w:ascii="Arial" w:eastAsia="Times New Roman" w:hAnsi="Arial" w:cs="Arial"/>
          <w:i/>
          <w:color w:val="000000"/>
          <w:sz w:val="20"/>
          <w:szCs w:val="20"/>
          <w:highlight w:val="yellow"/>
        </w:rPr>
        <w:t xml:space="preserve"> Frontline Demonstration</w:t>
      </w:r>
    </w:p>
    <w:p w14:paraId="2E75E15D" w14:textId="77777777" w:rsidR="00B62997" w:rsidRPr="00662CB0" w:rsidRDefault="00B62997" w:rsidP="00662CB0">
      <w:pPr>
        <w:spacing w:after="0" w:line="240" w:lineRule="auto"/>
        <w:rPr>
          <w:rFonts w:ascii="Arial" w:eastAsia="Times New Roman" w:hAnsi="Arial" w:cs="Arial"/>
          <w:b/>
          <w:bCs/>
          <w:color w:val="000000"/>
          <w:sz w:val="20"/>
          <w:szCs w:val="20"/>
        </w:rPr>
      </w:pPr>
    </w:p>
    <w:p w14:paraId="5379088D" w14:textId="17769104" w:rsidR="007B6913" w:rsidRPr="0072728B" w:rsidRDefault="0072728B" w:rsidP="00662CB0">
      <w:pPr>
        <w:pStyle w:val="ListParagraph"/>
        <w:numPr>
          <w:ilvl w:val="0"/>
          <w:numId w:val="2"/>
        </w:numPr>
        <w:spacing w:after="0" w:line="240" w:lineRule="auto"/>
        <w:rPr>
          <w:rFonts w:ascii="Arial" w:eastAsia="Times New Roman" w:hAnsi="Arial" w:cs="Arial"/>
          <w:b/>
          <w:bCs/>
          <w:color w:val="000000"/>
          <w:sz w:val="24"/>
          <w:szCs w:val="20"/>
        </w:rPr>
      </w:pPr>
      <w:r w:rsidRPr="0072728B">
        <w:rPr>
          <w:rFonts w:ascii="Arial" w:eastAsia="Times New Roman" w:hAnsi="Arial" w:cs="Arial"/>
          <w:b/>
          <w:bCs/>
          <w:color w:val="000000"/>
          <w:sz w:val="24"/>
          <w:szCs w:val="20"/>
        </w:rPr>
        <w:t>INTRODUCTION</w:t>
      </w:r>
    </w:p>
    <w:p w14:paraId="6549E349" w14:textId="77777777" w:rsidR="007B6913" w:rsidRPr="00662CB0" w:rsidRDefault="007B6913" w:rsidP="00662CB0">
      <w:pPr>
        <w:spacing w:after="0" w:line="240" w:lineRule="auto"/>
        <w:rPr>
          <w:rFonts w:ascii="Arial" w:eastAsia="Times New Roman" w:hAnsi="Arial" w:cs="Arial"/>
          <w:b/>
          <w:bCs/>
          <w:color w:val="000000"/>
          <w:sz w:val="20"/>
          <w:szCs w:val="20"/>
        </w:rPr>
      </w:pPr>
    </w:p>
    <w:p w14:paraId="6D3DE21B" w14:textId="32473F1D" w:rsidR="007B6913" w:rsidRPr="00662CB0" w:rsidRDefault="004845DC" w:rsidP="00662CB0">
      <w:pPr>
        <w:spacing w:after="0" w:line="240" w:lineRule="auto"/>
        <w:jc w:val="both"/>
        <w:rPr>
          <w:rFonts w:ascii="Arial" w:eastAsia="Times New Roman" w:hAnsi="Arial" w:cs="Arial"/>
          <w:color w:val="000000"/>
          <w:sz w:val="20"/>
          <w:szCs w:val="20"/>
        </w:rPr>
      </w:pPr>
      <w:r w:rsidRPr="00662CB0">
        <w:rPr>
          <w:rFonts w:ascii="Arial" w:eastAsia="Times New Roman" w:hAnsi="Arial" w:cs="Arial"/>
          <w:color w:val="000000"/>
          <w:sz w:val="20"/>
          <w:szCs w:val="20"/>
        </w:rPr>
        <w:t>Onion (</w:t>
      </w:r>
      <w:r w:rsidR="006950B6" w:rsidRPr="006950B6">
        <w:rPr>
          <w:rFonts w:ascii="Arial" w:eastAsia="Times New Roman" w:hAnsi="Arial" w:cs="Arial"/>
          <w:i/>
          <w:iCs/>
          <w:color w:val="000000"/>
          <w:sz w:val="20"/>
          <w:szCs w:val="20"/>
        </w:rPr>
        <w:t xml:space="preserve">Allium </w:t>
      </w:r>
      <w:proofErr w:type="spellStart"/>
      <w:r w:rsidR="006950B6" w:rsidRPr="006950B6">
        <w:rPr>
          <w:rFonts w:ascii="Arial" w:eastAsia="Times New Roman" w:hAnsi="Arial" w:cs="Arial"/>
          <w:i/>
          <w:iCs/>
          <w:color w:val="000000"/>
          <w:sz w:val="20"/>
          <w:szCs w:val="20"/>
        </w:rPr>
        <w:t>cepa</w:t>
      </w:r>
      <w:proofErr w:type="spellEnd"/>
      <w:r w:rsidRPr="00662CB0">
        <w:rPr>
          <w:rFonts w:ascii="Arial" w:eastAsia="Times New Roman" w:hAnsi="Arial" w:cs="Arial"/>
          <w:color w:val="000000"/>
          <w:sz w:val="20"/>
          <w:szCs w:val="20"/>
        </w:rPr>
        <w:t xml:space="preserve"> L.) is one of the most important commercial vegetable crops cultivated extensively in India, belonging to the family </w:t>
      </w:r>
      <w:r w:rsidRPr="00662CB0">
        <w:rPr>
          <w:rFonts w:ascii="Arial" w:eastAsia="Times New Roman" w:hAnsi="Arial" w:cs="Arial"/>
          <w:i/>
          <w:iCs/>
          <w:color w:val="000000"/>
          <w:sz w:val="20"/>
          <w:szCs w:val="20"/>
        </w:rPr>
        <w:t>Alliaceae</w:t>
      </w:r>
      <w:r w:rsidRPr="00662CB0">
        <w:rPr>
          <w:rFonts w:ascii="Arial" w:eastAsia="Times New Roman" w:hAnsi="Arial" w:cs="Arial"/>
          <w:color w:val="000000"/>
          <w:sz w:val="20"/>
          <w:szCs w:val="20"/>
        </w:rPr>
        <w:t xml:space="preserve"> (Amaryllidaceae). It holds a significant position in the global horticultural economy and serves as both a food and cash crop. Onion is an indispensable item in every household, used as a vegetable, salad, and condiment, thereby commanding an extensive internal and export market. The characteristic pungency and </w:t>
      </w:r>
      <w:proofErr w:type="spellStart"/>
      <w:r w:rsidRPr="00662CB0">
        <w:rPr>
          <w:rFonts w:ascii="Arial" w:eastAsia="Times New Roman" w:hAnsi="Arial" w:cs="Arial"/>
          <w:color w:val="000000"/>
          <w:sz w:val="20"/>
          <w:szCs w:val="20"/>
        </w:rPr>
        <w:t>flavour</w:t>
      </w:r>
      <w:proofErr w:type="spellEnd"/>
      <w:r w:rsidRPr="00662CB0">
        <w:rPr>
          <w:rFonts w:ascii="Arial" w:eastAsia="Times New Roman" w:hAnsi="Arial" w:cs="Arial"/>
          <w:color w:val="000000"/>
          <w:sz w:val="20"/>
          <w:szCs w:val="20"/>
        </w:rPr>
        <w:t xml:space="preserve"> of onion are due to the presence of </w:t>
      </w:r>
      <w:proofErr w:type="spellStart"/>
      <w:r w:rsidRPr="00662CB0">
        <w:rPr>
          <w:rFonts w:ascii="Arial" w:eastAsia="Times New Roman" w:hAnsi="Arial" w:cs="Arial"/>
          <w:color w:val="000000"/>
          <w:sz w:val="20"/>
          <w:szCs w:val="20"/>
        </w:rPr>
        <w:t>sulphur</w:t>
      </w:r>
      <w:proofErr w:type="spellEnd"/>
      <w:r w:rsidRPr="00662CB0">
        <w:rPr>
          <w:rFonts w:ascii="Arial" w:eastAsia="Times New Roman" w:hAnsi="Arial" w:cs="Arial"/>
          <w:color w:val="000000"/>
          <w:sz w:val="20"/>
          <w:szCs w:val="20"/>
        </w:rPr>
        <w:t xml:space="preserve">-rich volatile compounds, primarily allyl propyl </w:t>
      </w:r>
      <w:proofErr w:type="spellStart"/>
      <w:r w:rsidRPr="00662CB0">
        <w:rPr>
          <w:rFonts w:ascii="Arial" w:eastAsia="Times New Roman" w:hAnsi="Arial" w:cs="Arial"/>
          <w:color w:val="000000"/>
          <w:sz w:val="20"/>
          <w:szCs w:val="20"/>
        </w:rPr>
        <w:t>disulphide</w:t>
      </w:r>
      <w:proofErr w:type="spellEnd"/>
      <w:r w:rsidRPr="00662CB0">
        <w:rPr>
          <w:rFonts w:ascii="Arial" w:eastAsia="Times New Roman" w:hAnsi="Arial" w:cs="Arial"/>
          <w:color w:val="000000"/>
          <w:sz w:val="20"/>
          <w:szCs w:val="20"/>
        </w:rPr>
        <w:t xml:space="preserve"> and </w:t>
      </w:r>
      <w:proofErr w:type="spellStart"/>
      <w:r w:rsidRPr="00662CB0">
        <w:rPr>
          <w:rFonts w:ascii="Arial" w:eastAsia="Times New Roman" w:hAnsi="Arial" w:cs="Arial"/>
          <w:color w:val="000000"/>
          <w:sz w:val="20"/>
          <w:szCs w:val="20"/>
        </w:rPr>
        <w:t>thiopropanal</w:t>
      </w:r>
      <w:proofErr w:type="spellEnd"/>
      <w:r w:rsidRPr="00662CB0">
        <w:rPr>
          <w:rFonts w:ascii="Arial" w:eastAsia="Times New Roman" w:hAnsi="Arial" w:cs="Arial"/>
          <w:color w:val="000000"/>
          <w:sz w:val="20"/>
          <w:szCs w:val="20"/>
        </w:rPr>
        <w:t xml:space="preserve"> S-oxide, which contribute to its distinctive aroma and medicinal properties (Marcinkowska &amp; Jeleń, 2022). The onion bulb is a rich source of minerals such as phosphorus, calcium, and carbohydrates, and also contains vitamin C and proteins, making it nutritionally valuable for human diets and an essential ingredient in culinary practices across the world. Recent studies have confirmed that onion bulbs are abundant in bioactive phytochemicals</w:t>
      </w:r>
      <w:r w:rsidR="0072728B">
        <w:rPr>
          <w:rFonts w:ascii="Arial" w:eastAsia="Times New Roman" w:hAnsi="Arial" w:cs="Arial"/>
          <w:color w:val="000000"/>
          <w:sz w:val="20"/>
          <w:szCs w:val="20"/>
        </w:rPr>
        <w:t xml:space="preserve"> </w:t>
      </w:r>
      <w:r w:rsidRPr="00662CB0">
        <w:rPr>
          <w:rFonts w:ascii="Arial" w:eastAsia="Times New Roman" w:hAnsi="Arial" w:cs="Arial"/>
          <w:color w:val="000000"/>
          <w:sz w:val="20"/>
          <w:szCs w:val="20"/>
        </w:rPr>
        <w:t xml:space="preserve">particularly flavonoids, phenolics, and organosulfur compounds—that exhibit antioxidant, antimicrobial, and cardioprotective activities (Mahmood &amp; </w:t>
      </w:r>
      <w:proofErr w:type="spellStart"/>
      <w:r w:rsidRPr="00662CB0">
        <w:rPr>
          <w:rFonts w:ascii="Arial" w:eastAsia="Times New Roman" w:hAnsi="Arial" w:cs="Arial"/>
          <w:color w:val="000000"/>
          <w:sz w:val="20"/>
          <w:szCs w:val="20"/>
        </w:rPr>
        <w:t>Muazzam</w:t>
      </w:r>
      <w:proofErr w:type="spellEnd"/>
      <w:r w:rsidRPr="00662CB0">
        <w:rPr>
          <w:rFonts w:ascii="Arial" w:eastAsia="Times New Roman" w:hAnsi="Arial" w:cs="Arial"/>
          <w:color w:val="000000"/>
          <w:sz w:val="20"/>
          <w:szCs w:val="20"/>
        </w:rPr>
        <w:t>, 2021) (Momoh &amp; Manuwa, 2023). The volatile metabolite diversity of onion, dominated by disulfides and trisulfides, underpins its flavor and medicinal value, and modern metabolomic studies have expanded their characterization using advanced GC–MS and machine learning approaches (Cheng &amp; Xiao, 2025).</w:t>
      </w:r>
    </w:p>
    <w:p w14:paraId="2F5EBF09" w14:textId="59D46E89" w:rsidR="007B6913" w:rsidRPr="00662CB0" w:rsidRDefault="007B6913" w:rsidP="0072728B">
      <w:pPr>
        <w:spacing w:after="0" w:line="240" w:lineRule="auto"/>
        <w:ind w:firstLine="720"/>
        <w:jc w:val="both"/>
        <w:rPr>
          <w:rFonts w:ascii="Arial" w:eastAsia="Times New Roman" w:hAnsi="Arial" w:cs="Arial"/>
          <w:color w:val="000000"/>
          <w:sz w:val="20"/>
          <w:szCs w:val="20"/>
        </w:rPr>
      </w:pPr>
      <w:r w:rsidRPr="00662CB0">
        <w:rPr>
          <w:rFonts w:ascii="Arial" w:eastAsia="Times New Roman" w:hAnsi="Arial" w:cs="Arial"/>
          <w:color w:val="000000"/>
          <w:sz w:val="20"/>
          <w:szCs w:val="20"/>
        </w:rPr>
        <w:t xml:space="preserve">Globally, onion is cultivated in more than 170 countries, with major producers including China, India, the United States, and Egypt. India ranks second in the world in area and production after China, accounting for about 16% of the world’s cultivated area and 14% of global production </w:t>
      </w:r>
      <w:r w:rsidRPr="00662CB0">
        <w:rPr>
          <w:rFonts w:ascii="Arial" w:eastAsia="Times New Roman" w:hAnsi="Arial" w:cs="Arial"/>
          <w:color w:val="000000"/>
          <w:sz w:val="20"/>
          <w:szCs w:val="20"/>
        </w:rPr>
        <w:lastRenderedPageBreak/>
        <w:t xml:space="preserve">(Mahajan et al., 2021). According to national horticulture statistics, India produces approximately 23.6 million </w:t>
      </w:r>
      <w:proofErr w:type="spellStart"/>
      <w:r w:rsidRPr="00662CB0">
        <w:rPr>
          <w:rFonts w:ascii="Arial" w:eastAsia="Times New Roman" w:hAnsi="Arial" w:cs="Arial"/>
          <w:color w:val="000000"/>
          <w:sz w:val="20"/>
          <w:szCs w:val="20"/>
        </w:rPr>
        <w:t>tonnes</w:t>
      </w:r>
      <w:proofErr w:type="spellEnd"/>
      <w:r w:rsidRPr="00662CB0">
        <w:rPr>
          <w:rFonts w:ascii="Arial" w:eastAsia="Times New Roman" w:hAnsi="Arial" w:cs="Arial"/>
          <w:color w:val="000000"/>
          <w:sz w:val="20"/>
          <w:szCs w:val="20"/>
        </w:rPr>
        <w:t xml:space="preserve"> of onion from an area of 1.29 million hectares, with an average productivity of 16.1 </w:t>
      </w:r>
      <w:proofErr w:type="spellStart"/>
      <w:r w:rsidRPr="00662CB0">
        <w:rPr>
          <w:rFonts w:ascii="Arial" w:eastAsia="Times New Roman" w:hAnsi="Arial" w:cs="Arial"/>
          <w:color w:val="000000"/>
          <w:sz w:val="20"/>
          <w:szCs w:val="20"/>
        </w:rPr>
        <w:t>tonnes</w:t>
      </w:r>
      <w:proofErr w:type="spellEnd"/>
      <w:r w:rsidRPr="00662CB0">
        <w:rPr>
          <w:rFonts w:ascii="Arial" w:eastAsia="Times New Roman" w:hAnsi="Arial" w:cs="Arial"/>
          <w:color w:val="000000"/>
          <w:sz w:val="20"/>
          <w:szCs w:val="20"/>
        </w:rPr>
        <w:t xml:space="preserve"> ha</w:t>
      </w:r>
      <w:r w:rsidRPr="00662CB0">
        <w:rPr>
          <w:rFonts w:ascii="Cambria Math" w:eastAsia="Times New Roman" w:hAnsi="Cambria Math" w:cs="Cambria Math"/>
          <w:color w:val="000000"/>
          <w:sz w:val="20"/>
          <w:szCs w:val="20"/>
        </w:rPr>
        <w:t>⁻</w:t>
      </w:r>
      <w:r w:rsidRPr="00662CB0">
        <w:rPr>
          <w:rFonts w:ascii="Arial" w:eastAsia="Times New Roman" w:hAnsi="Arial" w:cs="Arial"/>
          <w:color w:val="000000"/>
          <w:sz w:val="20"/>
          <w:szCs w:val="20"/>
        </w:rPr>
        <w:t>¹ (Gupta &amp; Bhargav, 2020). The crop is cultivated in three distinct seasons—rabi, kharif, and late kharif—with rabi contributing about 60% of the total production, while kharif and late kharif account for approximately 20% each (Bhoi &amp; Barik, 2020)</w:t>
      </w:r>
      <w:r w:rsidR="00DF50CD" w:rsidRPr="00662CB0">
        <w:rPr>
          <w:rFonts w:ascii="Arial" w:eastAsia="Times New Roman" w:hAnsi="Arial" w:cs="Arial"/>
          <w:color w:val="000000"/>
          <w:sz w:val="20"/>
          <w:szCs w:val="20"/>
        </w:rPr>
        <w:t>.</w:t>
      </w:r>
    </w:p>
    <w:p w14:paraId="60D37E94" w14:textId="77777777" w:rsidR="007B6913" w:rsidRPr="00662CB0" w:rsidRDefault="007B6913" w:rsidP="00662CB0">
      <w:pPr>
        <w:spacing w:after="0" w:line="240" w:lineRule="auto"/>
        <w:rPr>
          <w:rFonts w:ascii="Arial" w:eastAsia="Times New Roman" w:hAnsi="Arial" w:cs="Arial"/>
          <w:b/>
          <w:bCs/>
          <w:color w:val="000000"/>
          <w:sz w:val="20"/>
          <w:szCs w:val="20"/>
        </w:rPr>
      </w:pPr>
    </w:p>
    <w:p w14:paraId="2CABEA74" w14:textId="4625EB36" w:rsidR="007B6913" w:rsidRPr="00662CB0" w:rsidRDefault="007B6913" w:rsidP="00662CB0">
      <w:pPr>
        <w:spacing w:after="0" w:line="240" w:lineRule="auto"/>
        <w:rPr>
          <w:rFonts w:ascii="Arial" w:eastAsia="Times New Roman" w:hAnsi="Arial" w:cs="Arial"/>
          <w:b/>
          <w:bCs/>
          <w:color w:val="000000"/>
          <w:sz w:val="20"/>
          <w:szCs w:val="20"/>
        </w:rPr>
      </w:pPr>
      <w:r w:rsidRPr="00662CB0">
        <w:rPr>
          <w:rFonts w:ascii="Arial" w:eastAsia="Times New Roman" w:hAnsi="Arial" w:cs="Arial"/>
          <w:b/>
          <w:bCs/>
          <w:color w:val="000000"/>
          <w:sz w:val="20"/>
          <w:szCs w:val="20"/>
        </w:rPr>
        <w:t>1.1 Importance of Onion in India and Telangana</w:t>
      </w:r>
    </w:p>
    <w:p w14:paraId="5A4E3330" w14:textId="77777777" w:rsidR="007B6913" w:rsidRPr="00662CB0" w:rsidRDefault="007B6913" w:rsidP="00662CB0">
      <w:pPr>
        <w:spacing w:after="0" w:line="240" w:lineRule="auto"/>
        <w:rPr>
          <w:rFonts w:ascii="Arial" w:eastAsia="Times New Roman" w:hAnsi="Arial" w:cs="Arial"/>
          <w:b/>
          <w:bCs/>
          <w:color w:val="000000"/>
          <w:sz w:val="20"/>
          <w:szCs w:val="20"/>
        </w:rPr>
      </w:pPr>
    </w:p>
    <w:p w14:paraId="0F6407DA" w14:textId="7B289CD9" w:rsidR="007B6913" w:rsidRPr="00662CB0" w:rsidRDefault="007B6913" w:rsidP="00662CB0">
      <w:pPr>
        <w:spacing w:after="0" w:line="240" w:lineRule="auto"/>
        <w:jc w:val="both"/>
        <w:rPr>
          <w:rFonts w:ascii="Arial" w:eastAsia="Times New Roman" w:hAnsi="Arial" w:cs="Arial"/>
          <w:color w:val="000000"/>
          <w:sz w:val="20"/>
          <w:szCs w:val="20"/>
        </w:rPr>
      </w:pPr>
      <w:r w:rsidRPr="00662CB0">
        <w:rPr>
          <w:rFonts w:ascii="Arial" w:eastAsia="Times New Roman" w:hAnsi="Arial" w:cs="Arial"/>
          <w:color w:val="000000"/>
          <w:sz w:val="20"/>
          <w:szCs w:val="20"/>
        </w:rPr>
        <w:t>In India, onions are not only vital for domestic consumption but also for exports, making the crop a key contributor to agricultural GDP and farmers’ income. India exports onions to more than 25 countries, including Bangladesh, Malaysia, Sri Lanka, Nepal, and the United Arab Emirates. However, due to fluctuating domestic production and seasonal supply gaps, onion prices are highly volatile, often influencing consumer inflation and government policy interventions</w:t>
      </w:r>
      <w:r w:rsidR="0072728B">
        <w:rPr>
          <w:rFonts w:ascii="Arial" w:eastAsia="Times New Roman" w:hAnsi="Arial" w:cs="Arial"/>
          <w:color w:val="000000"/>
          <w:sz w:val="20"/>
          <w:szCs w:val="20"/>
        </w:rPr>
        <w:t xml:space="preserve"> </w:t>
      </w:r>
      <w:r w:rsidR="007679BB" w:rsidRPr="00662CB0">
        <w:rPr>
          <w:rFonts w:ascii="Arial" w:eastAsia="Times New Roman" w:hAnsi="Arial" w:cs="Arial"/>
          <w:color w:val="000000"/>
          <w:sz w:val="20"/>
          <w:szCs w:val="20"/>
        </w:rPr>
        <w:t>(Parmar, 2024)</w:t>
      </w:r>
      <w:r w:rsidRPr="00662CB0">
        <w:rPr>
          <w:rFonts w:ascii="Arial" w:eastAsia="Times New Roman" w:hAnsi="Arial" w:cs="Arial"/>
          <w:color w:val="000000"/>
          <w:sz w:val="20"/>
          <w:szCs w:val="20"/>
        </w:rPr>
        <w:t xml:space="preserve">. In Telangana, onion is cultivated over an area of 195.28 thousand hectares with an average production of 2.98 million </w:t>
      </w:r>
      <w:proofErr w:type="spellStart"/>
      <w:r w:rsidRPr="00662CB0">
        <w:rPr>
          <w:rFonts w:ascii="Arial" w:eastAsia="Times New Roman" w:hAnsi="Arial" w:cs="Arial"/>
          <w:color w:val="000000"/>
          <w:sz w:val="20"/>
          <w:szCs w:val="20"/>
        </w:rPr>
        <w:t>tonnes</w:t>
      </w:r>
      <w:proofErr w:type="spellEnd"/>
      <w:r w:rsidRPr="00662CB0">
        <w:rPr>
          <w:rFonts w:ascii="Arial" w:eastAsia="Times New Roman" w:hAnsi="Arial" w:cs="Arial"/>
          <w:color w:val="000000"/>
          <w:sz w:val="20"/>
          <w:szCs w:val="20"/>
        </w:rPr>
        <w:t xml:space="preserve"> and a productivity level of 15.29 t ha</w:t>
      </w:r>
      <w:r w:rsidRPr="00662CB0">
        <w:rPr>
          <w:rFonts w:ascii="Cambria Math" w:eastAsia="Times New Roman" w:hAnsi="Cambria Math" w:cs="Cambria Math"/>
          <w:color w:val="000000"/>
          <w:sz w:val="20"/>
          <w:szCs w:val="20"/>
        </w:rPr>
        <w:t>⁻</w:t>
      </w:r>
      <w:r w:rsidRPr="00662CB0">
        <w:rPr>
          <w:rFonts w:ascii="Arial" w:eastAsia="Times New Roman" w:hAnsi="Arial" w:cs="Arial"/>
          <w:color w:val="000000"/>
          <w:sz w:val="20"/>
          <w:szCs w:val="20"/>
        </w:rPr>
        <w:t xml:space="preserve">¹ (Horticulture Statistics at a Glance, 2018). Within the state, districts such as </w:t>
      </w:r>
      <w:proofErr w:type="spellStart"/>
      <w:r w:rsidRPr="00662CB0">
        <w:rPr>
          <w:rFonts w:ascii="Arial" w:eastAsia="Times New Roman" w:hAnsi="Arial" w:cs="Arial"/>
          <w:color w:val="000000"/>
          <w:sz w:val="20"/>
          <w:szCs w:val="20"/>
        </w:rPr>
        <w:t>Sangareddy</w:t>
      </w:r>
      <w:proofErr w:type="spellEnd"/>
      <w:r w:rsidRPr="00662CB0">
        <w:rPr>
          <w:rFonts w:ascii="Arial" w:eastAsia="Times New Roman" w:hAnsi="Arial" w:cs="Arial"/>
          <w:color w:val="000000"/>
          <w:sz w:val="20"/>
          <w:szCs w:val="20"/>
        </w:rPr>
        <w:t xml:space="preserve">, </w:t>
      </w:r>
      <w:proofErr w:type="spellStart"/>
      <w:r w:rsidRPr="00662CB0">
        <w:rPr>
          <w:rFonts w:ascii="Arial" w:eastAsia="Times New Roman" w:hAnsi="Arial" w:cs="Arial"/>
          <w:color w:val="000000"/>
          <w:sz w:val="20"/>
          <w:szCs w:val="20"/>
        </w:rPr>
        <w:t>Zaheerabad</w:t>
      </w:r>
      <w:proofErr w:type="spellEnd"/>
      <w:r w:rsidRPr="00662CB0">
        <w:rPr>
          <w:rFonts w:ascii="Arial" w:eastAsia="Times New Roman" w:hAnsi="Arial" w:cs="Arial"/>
          <w:color w:val="000000"/>
          <w:sz w:val="20"/>
          <w:szCs w:val="20"/>
        </w:rPr>
        <w:t xml:space="preserve">, and </w:t>
      </w:r>
      <w:proofErr w:type="spellStart"/>
      <w:r w:rsidRPr="00662CB0">
        <w:rPr>
          <w:rFonts w:ascii="Arial" w:eastAsia="Times New Roman" w:hAnsi="Arial" w:cs="Arial"/>
          <w:color w:val="000000"/>
          <w:sz w:val="20"/>
          <w:szCs w:val="20"/>
        </w:rPr>
        <w:t>Naryankhed</w:t>
      </w:r>
      <w:proofErr w:type="spellEnd"/>
      <w:r w:rsidRPr="00662CB0">
        <w:rPr>
          <w:rFonts w:ascii="Arial" w:eastAsia="Times New Roman" w:hAnsi="Arial" w:cs="Arial"/>
          <w:color w:val="000000"/>
          <w:sz w:val="20"/>
          <w:szCs w:val="20"/>
        </w:rPr>
        <w:t xml:space="preserve"> play a significant role in onion cultivation. However, productivity remains below the national average due to limited adoption of improved varieties and reliance on local cultivars with poor yield potential and low resistance to biotic stresses. </w:t>
      </w:r>
      <w:proofErr w:type="spellStart"/>
      <w:r w:rsidRPr="00662CB0">
        <w:rPr>
          <w:rFonts w:ascii="Arial" w:eastAsia="Times New Roman" w:hAnsi="Arial" w:cs="Arial"/>
          <w:color w:val="000000"/>
          <w:sz w:val="20"/>
          <w:szCs w:val="20"/>
        </w:rPr>
        <w:t>Sangareddy</w:t>
      </w:r>
      <w:proofErr w:type="spellEnd"/>
      <w:r w:rsidRPr="00662CB0">
        <w:rPr>
          <w:rFonts w:ascii="Arial" w:eastAsia="Times New Roman" w:hAnsi="Arial" w:cs="Arial"/>
          <w:color w:val="000000"/>
          <w:sz w:val="20"/>
          <w:szCs w:val="20"/>
        </w:rPr>
        <w:t xml:space="preserve"> district, one of the prominent vegetable-producing regions of Telangana, covers approximately 1,354 hectares under onion cultivation. Despite favorable agro-climatic conditions, the average productivity of local varieties remains low, primarily because of the use of traditional seeds, unscientific management practices, and susceptibility to pests and </w:t>
      </w:r>
      <w:r w:rsidR="0072728B" w:rsidRPr="00662CB0">
        <w:rPr>
          <w:rFonts w:ascii="Arial" w:eastAsia="Times New Roman" w:hAnsi="Arial" w:cs="Arial"/>
          <w:color w:val="000000"/>
          <w:sz w:val="20"/>
          <w:szCs w:val="20"/>
        </w:rPr>
        <w:t>diseases (</w:t>
      </w:r>
      <w:r w:rsidR="007679BB" w:rsidRPr="00662CB0">
        <w:rPr>
          <w:rFonts w:ascii="Arial" w:eastAsia="Times New Roman" w:hAnsi="Arial" w:cs="Arial"/>
          <w:color w:val="000000"/>
          <w:sz w:val="20"/>
          <w:szCs w:val="20"/>
        </w:rPr>
        <w:t>Reddy, 2024)</w:t>
      </w:r>
      <w:r w:rsidRPr="00662CB0">
        <w:rPr>
          <w:rFonts w:ascii="Arial" w:eastAsia="Times New Roman" w:hAnsi="Arial" w:cs="Arial"/>
          <w:color w:val="000000"/>
          <w:sz w:val="20"/>
          <w:szCs w:val="20"/>
        </w:rPr>
        <w:t xml:space="preserve">. </w:t>
      </w:r>
    </w:p>
    <w:p w14:paraId="0B8DEF85" w14:textId="77777777" w:rsidR="007B6913" w:rsidRPr="00662CB0" w:rsidRDefault="007B6913" w:rsidP="00662CB0">
      <w:pPr>
        <w:spacing w:after="0" w:line="240" w:lineRule="auto"/>
        <w:rPr>
          <w:rFonts w:ascii="Arial" w:eastAsia="Times New Roman" w:hAnsi="Arial" w:cs="Arial"/>
          <w:b/>
          <w:bCs/>
          <w:color w:val="000000"/>
          <w:sz w:val="20"/>
          <w:szCs w:val="20"/>
        </w:rPr>
      </w:pPr>
    </w:p>
    <w:p w14:paraId="5F2A7311" w14:textId="1E3047D7" w:rsidR="007B6913" w:rsidRPr="00662CB0" w:rsidRDefault="000F0CE0" w:rsidP="00662CB0">
      <w:pPr>
        <w:spacing w:after="0" w:line="240" w:lineRule="auto"/>
        <w:rPr>
          <w:rFonts w:ascii="Arial" w:eastAsia="Times New Roman" w:hAnsi="Arial" w:cs="Arial"/>
          <w:b/>
          <w:bCs/>
          <w:color w:val="000000"/>
          <w:sz w:val="20"/>
          <w:szCs w:val="20"/>
        </w:rPr>
      </w:pPr>
      <w:r w:rsidRPr="00662CB0">
        <w:rPr>
          <w:rFonts w:ascii="Arial" w:eastAsia="Times New Roman" w:hAnsi="Arial" w:cs="Arial"/>
          <w:b/>
          <w:bCs/>
          <w:color w:val="000000"/>
          <w:sz w:val="20"/>
          <w:szCs w:val="20"/>
        </w:rPr>
        <w:t xml:space="preserve">1.2 </w:t>
      </w:r>
      <w:r w:rsidR="007B6913" w:rsidRPr="00662CB0">
        <w:rPr>
          <w:rFonts w:ascii="Arial" w:eastAsia="Times New Roman" w:hAnsi="Arial" w:cs="Arial"/>
          <w:b/>
          <w:bCs/>
          <w:color w:val="000000"/>
          <w:sz w:val="20"/>
          <w:szCs w:val="20"/>
        </w:rPr>
        <w:t>Production Challenges and Need for Improved Varieties</w:t>
      </w:r>
    </w:p>
    <w:p w14:paraId="7A8D4464" w14:textId="77777777" w:rsidR="007B6913" w:rsidRPr="00662CB0" w:rsidRDefault="007B6913" w:rsidP="00662CB0">
      <w:pPr>
        <w:spacing w:after="0" w:line="240" w:lineRule="auto"/>
        <w:rPr>
          <w:rFonts w:ascii="Arial" w:eastAsia="Times New Roman" w:hAnsi="Arial" w:cs="Arial"/>
          <w:b/>
          <w:bCs/>
          <w:color w:val="000000"/>
          <w:sz w:val="20"/>
          <w:szCs w:val="20"/>
        </w:rPr>
      </w:pPr>
    </w:p>
    <w:p w14:paraId="2A50608F" w14:textId="35437916" w:rsidR="007B6913" w:rsidRPr="00662CB0" w:rsidRDefault="007B6913" w:rsidP="00662CB0">
      <w:pPr>
        <w:spacing w:after="0" w:line="240" w:lineRule="auto"/>
        <w:jc w:val="both"/>
        <w:rPr>
          <w:rFonts w:ascii="Arial" w:eastAsia="Times New Roman" w:hAnsi="Arial" w:cs="Arial"/>
          <w:color w:val="000000"/>
          <w:sz w:val="20"/>
          <w:szCs w:val="20"/>
        </w:rPr>
      </w:pPr>
      <w:r w:rsidRPr="0072728B">
        <w:rPr>
          <w:rFonts w:ascii="Arial" w:eastAsia="Times New Roman" w:hAnsi="Arial" w:cs="Arial"/>
          <w:color w:val="000000"/>
          <w:sz w:val="20"/>
          <w:szCs w:val="20"/>
          <w:highlight w:val="yellow"/>
        </w:rPr>
        <w:t>The productivity of onion is influenced by several factors such as genotype, climate, soil type, and management practices. Varietal performance varies widely across agro-ecological zones, and the adaptability of a cultivar to local conditions determines its commercial success (</w:t>
      </w:r>
      <w:proofErr w:type="spellStart"/>
      <w:r w:rsidRPr="0072728B">
        <w:rPr>
          <w:rFonts w:ascii="Arial" w:eastAsia="Times New Roman" w:hAnsi="Arial" w:cs="Arial"/>
          <w:color w:val="000000"/>
          <w:sz w:val="20"/>
          <w:szCs w:val="20"/>
          <w:highlight w:val="yellow"/>
        </w:rPr>
        <w:t>Hiremath</w:t>
      </w:r>
      <w:proofErr w:type="spellEnd"/>
      <w:r w:rsidRPr="0072728B">
        <w:rPr>
          <w:rFonts w:ascii="Arial" w:eastAsia="Times New Roman" w:hAnsi="Arial" w:cs="Arial"/>
          <w:color w:val="000000"/>
          <w:sz w:val="20"/>
          <w:szCs w:val="20"/>
          <w:highlight w:val="yellow"/>
        </w:rPr>
        <w:t xml:space="preserve"> &amp; </w:t>
      </w:r>
      <w:proofErr w:type="spellStart"/>
      <w:r w:rsidRPr="0072728B">
        <w:rPr>
          <w:rFonts w:ascii="Arial" w:eastAsia="Times New Roman" w:hAnsi="Arial" w:cs="Arial"/>
          <w:color w:val="000000"/>
          <w:sz w:val="20"/>
          <w:szCs w:val="20"/>
          <w:highlight w:val="yellow"/>
        </w:rPr>
        <w:t>Mantur</w:t>
      </w:r>
      <w:proofErr w:type="spellEnd"/>
      <w:r w:rsidRPr="0072728B">
        <w:rPr>
          <w:rFonts w:ascii="Arial" w:eastAsia="Times New Roman" w:hAnsi="Arial" w:cs="Arial"/>
          <w:color w:val="000000"/>
          <w:sz w:val="20"/>
          <w:szCs w:val="20"/>
          <w:highlight w:val="yellow"/>
        </w:rPr>
        <w:t>, 2018)</w:t>
      </w:r>
      <w:r w:rsidR="0072728B" w:rsidRPr="0072728B">
        <w:rPr>
          <w:rFonts w:ascii="Arial" w:eastAsia="Times New Roman" w:hAnsi="Arial" w:cs="Arial"/>
          <w:color w:val="000000"/>
          <w:sz w:val="20"/>
          <w:szCs w:val="20"/>
          <w:highlight w:val="yellow"/>
        </w:rPr>
        <w:t xml:space="preserve">. </w:t>
      </w:r>
      <w:r w:rsidRPr="0072728B">
        <w:rPr>
          <w:rFonts w:ascii="Arial" w:eastAsia="Times New Roman" w:hAnsi="Arial" w:cs="Arial"/>
          <w:color w:val="000000"/>
          <w:sz w:val="20"/>
          <w:szCs w:val="20"/>
          <w:highlight w:val="yellow"/>
        </w:rPr>
        <w:t>In rainfed conditions</w:t>
      </w:r>
      <w:r w:rsidRPr="00662CB0">
        <w:rPr>
          <w:rFonts w:ascii="Arial" w:eastAsia="Times New Roman" w:hAnsi="Arial" w:cs="Arial"/>
          <w:color w:val="000000"/>
          <w:sz w:val="20"/>
          <w:szCs w:val="20"/>
        </w:rPr>
        <w:t xml:space="preserve"> such as those in </w:t>
      </w:r>
      <w:proofErr w:type="spellStart"/>
      <w:r w:rsidRPr="00662CB0">
        <w:rPr>
          <w:rFonts w:ascii="Arial" w:eastAsia="Times New Roman" w:hAnsi="Arial" w:cs="Arial"/>
          <w:color w:val="000000"/>
          <w:sz w:val="20"/>
          <w:szCs w:val="20"/>
        </w:rPr>
        <w:t>Sangareddy</w:t>
      </w:r>
      <w:proofErr w:type="spellEnd"/>
      <w:r w:rsidRPr="00662CB0">
        <w:rPr>
          <w:rFonts w:ascii="Arial" w:eastAsia="Times New Roman" w:hAnsi="Arial" w:cs="Arial"/>
          <w:color w:val="000000"/>
          <w:sz w:val="20"/>
          <w:szCs w:val="20"/>
        </w:rPr>
        <w:t>, the choice of a variety with tolerance to drought, diseases, and pests is crucial. Local varieties generally show poor productivity, limited disease resistance, and short shelf life, leading to significant post-harvest losses. In contrast, improved varieties like Bhima Super, developed by the Directorate of Onion and Garlic Research (DOGR), Pune, have shown superior performance in terms of yield, bulb size, and market preference in other Indian states</w:t>
      </w:r>
      <w:r w:rsidR="004257DD">
        <w:rPr>
          <w:rFonts w:ascii="Arial" w:eastAsia="Times New Roman" w:hAnsi="Arial" w:cs="Arial"/>
          <w:color w:val="000000"/>
          <w:sz w:val="20"/>
          <w:szCs w:val="20"/>
        </w:rPr>
        <w:t>.</w:t>
      </w:r>
      <w:r w:rsidRPr="00662CB0">
        <w:rPr>
          <w:rFonts w:ascii="Arial" w:eastAsia="Times New Roman" w:hAnsi="Arial" w:cs="Arial"/>
          <w:color w:val="000000"/>
          <w:sz w:val="20"/>
          <w:szCs w:val="20"/>
        </w:rPr>
        <w:t xml:space="preserve"> A study in Madhya Pradesh reported that Bhima Super and Bhima Shakti performed better than local varieties, with yields exceeding 280 q ha</w:t>
      </w:r>
      <w:r w:rsidRPr="00662CB0">
        <w:rPr>
          <w:rFonts w:ascii="Cambria Math" w:eastAsia="Times New Roman" w:hAnsi="Cambria Math" w:cs="Cambria Math"/>
          <w:color w:val="000000"/>
          <w:sz w:val="20"/>
          <w:szCs w:val="20"/>
        </w:rPr>
        <w:t>⁻</w:t>
      </w:r>
      <w:r w:rsidRPr="00662CB0">
        <w:rPr>
          <w:rFonts w:ascii="Arial" w:eastAsia="Times New Roman" w:hAnsi="Arial" w:cs="Arial"/>
          <w:color w:val="000000"/>
          <w:sz w:val="20"/>
          <w:szCs w:val="20"/>
        </w:rPr>
        <w:t>¹ (Aswani et al., 2023). Similar trials conducted in Dharwad, Karnataka, revealed that Bhima Super outperformed Bhima Red and Arka Kalyan, recording 34% higher yield over Bellary Red (</w:t>
      </w:r>
      <w:proofErr w:type="spellStart"/>
      <w:r w:rsidRPr="00662CB0">
        <w:rPr>
          <w:rFonts w:ascii="Arial" w:eastAsia="Times New Roman" w:hAnsi="Arial" w:cs="Arial"/>
          <w:color w:val="000000"/>
          <w:sz w:val="20"/>
          <w:szCs w:val="20"/>
        </w:rPr>
        <w:t>Hiremath</w:t>
      </w:r>
      <w:proofErr w:type="spellEnd"/>
      <w:r w:rsidRPr="00662CB0">
        <w:rPr>
          <w:rFonts w:ascii="Arial" w:eastAsia="Times New Roman" w:hAnsi="Arial" w:cs="Arial"/>
          <w:color w:val="000000"/>
          <w:sz w:val="20"/>
          <w:szCs w:val="20"/>
        </w:rPr>
        <w:t xml:space="preserve"> &amp; </w:t>
      </w:r>
      <w:proofErr w:type="spellStart"/>
      <w:r w:rsidRPr="00662CB0">
        <w:rPr>
          <w:rFonts w:ascii="Arial" w:eastAsia="Times New Roman" w:hAnsi="Arial" w:cs="Arial"/>
          <w:color w:val="000000"/>
          <w:sz w:val="20"/>
          <w:szCs w:val="20"/>
        </w:rPr>
        <w:t>Mantur</w:t>
      </w:r>
      <w:proofErr w:type="spellEnd"/>
      <w:r w:rsidRPr="00662CB0">
        <w:rPr>
          <w:rFonts w:ascii="Arial" w:eastAsia="Times New Roman" w:hAnsi="Arial" w:cs="Arial"/>
          <w:color w:val="000000"/>
          <w:sz w:val="20"/>
          <w:szCs w:val="20"/>
        </w:rPr>
        <w:t>, 2018). These findings suggest that Bhima Super’s genetic potential and adaptability can contribute to yield improvement under diverse conditions.</w:t>
      </w:r>
    </w:p>
    <w:p w14:paraId="68950552" w14:textId="77777777" w:rsidR="007B6913" w:rsidRPr="00662CB0" w:rsidRDefault="007B6913" w:rsidP="00662CB0">
      <w:pPr>
        <w:spacing w:after="0" w:line="240" w:lineRule="auto"/>
        <w:rPr>
          <w:rFonts w:ascii="Arial" w:eastAsia="Times New Roman" w:hAnsi="Arial" w:cs="Arial"/>
          <w:b/>
          <w:bCs/>
          <w:color w:val="000000"/>
          <w:sz w:val="20"/>
          <w:szCs w:val="20"/>
        </w:rPr>
      </w:pPr>
    </w:p>
    <w:p w14:paraId="37F9FD8C" w14:textId="6EE9128E" w:rsidR="007B6913" w:rsidRPr="00662CB0" w:rsidRDefault="000F0CE0" w:rsidP="00662CB0">
      <w:pPr>
        <w:spacing w:after="0" w:line="240" w:lineRule="auto"/>
        <w:rPr>
          <w:rFonts w:ascii="Arial" w:eastAsia="Times New Roman" w:hAnsi="Arial" w:cs="Arial"/>
          <w:b/>
          <w:bCs/>
          <w:color w:val="000000"/>
          <w:sz w:val="20"/>
          <w:szCs w:val="20"/>
        </w:rPr>
      </w:pPr>
      <w:r w:rsidRPr="00662CB0">
        <w:rPr>
          <w:rFonts w:ascii="Arial" w:eastAsia="Times New Roman" w:hAnsi="Arial" w:cs="Arial"/>
          <w:b/>
          <w:bCs/>
          <w:color w:val="000000"/>
          <w:sz w:val="20"/>
          <w:szCs w:val="20"/>
        </w:rPr>
        <w:t xml:space="preserve">1.3 </w:t>
      </w:r>
      <w:r w:rsidR="007B6913" w:rsidRPr="00662CB0">
        <w:rPr>
          <w:rFonts w:ascii="Arial" w:eastAsia="Times New Roman" w:hAnsi="Arial" w:cs="Arial"/>
          <w:b/>
          <w:bCs/>
          <w:color w:val="000000"/>
          <w:sz w:val="20"/>
          <w:szCs w:val="20"/>
        </w:rPr>
        <w:t>Onion Breeding, Adaptation, and Economic Importance</w:t>
      </w:r>
    </w:p>
    <w:p w14:paraId="0C80A6C6" w14:textId="77777777" w:rsidR="007B6913" w:rsidRPr="00662CB0" w:rsidRDefault="007B6913" w:rsidP="00662CB0">
      <w:pPr>
        <w:spacing w:after="0" w:line="240" w:lineRule="auto"/>
        <w:rPr>
          <w:rFonts w:ascii="Arial" w:eastAsia="Times New Roman" w:hAnsi="Arial" w:cs="Arial"/>
          <w:b/>
          <w:bCs/>
          <w:color w:val="000000"/>
          <w:sz w:val="20"/>
          <w:szCs w:val="20"/>
        </w:rPr>
      </w:pPr>
    </w:p>
    <w:p w14:paraId="11BB2F56" w14:textId="7FDE4D45" w:rsidR="007B6913" w:rsidRPr="00662CB0" w:rsidRDefault="007B6913" w:rsidP="00662CB0">
      <w:pPr>
        <w:spacing w:after="0" w:line="240" w:lineRule="auto"/>
        <w:jc w:val="both"/>
        <w:rPr>
          <w:rFonts w:ascii="Arial" w:eastAsia="Times New Roman" w:hAnsi="Arial" w:cs="Arial"/>
          <w:color w:val="000000"/>
          <w:sz w:val="20"/>
          <w:szCs w:val="20"/>
        </w:rPr>
      </w:pPr>
      <w:r w:rsidRPr="00662CB0">
        <w:rPr>
          <w:rFonts w:ascii="Arial" w:eastAsia="Times New Roman" w:hAnsi="Arial" w:cs="Arial"/>
          <w:color w:val="000000"/>
          <w:sz w:val="20"/>
          <w:szCs w:val="20"/>
        </w:rPr>
        <w:t>Breeding programs in onion have emphasized developing varieties with improved bulb quality, uniform size, higher dry matter, and resistance to diseases like Purple blotch (</w:t>
      </w:r>
      <w:r w:rsidRPr="00662CB0">
        <w:rPr>
          <w:rFonts w:ascii="Arial" w:eastAsia="Times New Roman" w:hAnsi="Arial" w:cs="Arial"/>
          <w:i/>
          <w:iCs/>
          <w:color w:val="000000"/>
          <w:sz w:val="20"/>
          <w:szCs w:val="20"/>
        </w:rPr>
        <w:t xml:space="preserve">Alternaria </w:t>
      </w:r>
      <w:proofErr w:type="spellStart"/>
      <w:r w:rsidRPr="00662CB0">
        <w:rPr>
          <w:rFonts w:ascii="Arial" w:eastAsia="Times New Roman" w:hAnsi="Arial" w:cs="Arial"/>
          <w:i/>
          <w:iCs/>
          <w:color w:val="000000"/>
          <w:sz w:val="20"/>
          <w:szCs w:val="20"/>
        </w:rPr>
        <w:t>porri</w:t>
      </w:r>
      <w:proofErr w:type="spellEnd"/>
      <w:r w:rsidRPr="00662CB0">
        <w:rPr>
          <w:rFonts w:ascii="Arial" w:eastAsia="Times New Roman" w:hAnsi="Arial" w:cs="Arial"/>
          <w:color w:val="000000"/>
          <w:sz w:val="20"/>
          <w:szCs w:val="20"/>
        </w:rPr>
        <w:t xml:space="preserve">) and </w:t>
      </w:r>
      <w:proofErr w:type="spellStart"/>
      <w:r w:rsidRPr="0072728B">
        <w:rPr>
          <w:rFonts w:ascii="Arial" w:eastAsia="Times New Roman" w:hAnsi="Arial" w:cs="Arial"/>
          <w:i/>
          <w:color w:val="000000"/>
          <w:sz w:val="20"/>
          <w:szCs w:val="20"/>
          <w:highlight w:val="yellow"/>
        </w:rPr>
        <w:t>Stemphylium</w:t>
      </w:r>
      <w:proofErr w:type="spellEnd"/>
      <w:r w:rsidRPr="00662CB0">
        <w:rPr>
          <w:rFonts w:ascii="Arial" w:eastAsia="Times New Roman" w:hAnsi="Arial" w:cs="Arial"/>
          <w:color w:val="000000"/>
          <w:sz w:val="20"/>
          <w:szCs w:val="20"/>
        </w:rPr>
        <w:t xml:space="preserve"> blight (</w:t>
      </w:r>
      <w:proofErr w:type="spellStart"/>
      <w:r w:rsidRPr="00662CB0">
        <w:rPr>
          <w:rFonts w:ascii="Arial" w:eastAsia="Times New Roman" w:hAnsi="Arial" w:cs="Arial"/>
          <w:i/>
          <w:iCs/>
          <w:color w:val="000000"/>
          <w:sz w:val="20"/>
          <w:szCs w:val="20"/>
        </w:rPr>
        <w:t>Stemphylium</w:t>
      </w:r>
      <w:proofErr w:type="spellEnd"/>
      <w:r w:rsidRPr="00662CB0">
        <w:rPr>
          <w:rFonts w:ascii="Arial" w:eastAsia="Times New Roman" w:hAnsi="Arial" w:cs="Arial"/>
          <w:i/>
          <w:iCs/>
          <w:color w:val="000000"/>
          <w:sz w:val="20"/>
          <w:szCs w:val="20"/>
        </w:rPr>
        <w:t xml:space="preserve"> </w:t>
      </w:r>
      <w:proofErr w:type="spellStart"/>
      <w:r w:rsidRPr="00662CB0">
        <w:rPr>
          <w:rFonts w:ascii="Arial" w:eastAsia="Times New Roman" w:hAnsi="Arial" w:cs="Arial"/>
          <w:i/>
          <w:iCs/>
          <w:color w:val="000000"/>
          <w:sz w:val="20"/>
          <w:szCs w:val="20"/>
        </w:rPr>
        <w:t>vesicarium</w:t>
      </w:r>
      <w:proofErr w:type="spellEnd"/>
      <w:r w:rsidRPr="00662CB0">
        <w:rPr>
          <w:rFonts w:ascii="Arial" w:eastAsia="Times New Roman" w:hAnsi="Arial" w:cs="Arial"/>
          <w:color w:val="000000"/>
          <w:sz w:val="20"/>
          <w:szCs w:val="20"/>
        </w:rPr>
        <w:t xml:space="preserve">) (Mahajan et al., 2021). These efforts have resulted in the release of high-yielding cultivars such as Bhima Super, Bhima Shakti, Bhima Shubra, and </w:t>
      </w:r>
      <w:proofErr w:type="spellStart"/>
      <w:r w:rsidRPr="00662CB0">
        <w:rPr>
          <w:rFonts w:ascii="Arial" w:eastAsia="Times New Roman" w:hAnsi="Arial" w:cs="Arial"/>
          <w:color w:val="000000"/>
          <w:sz w:val="20"/>
          <w:szCs w:val="20"/>
        </w:rPr>
        <w:t>Agrifound</w:t>
      </w:r>
      <w:proofErr w:type="spellEnd"/>
      <w:r w:rsidRPr="00662CB0">
        <w:rPr>
          <w:rFonts w:ascii="Arial" w:eastAsia="Times New Roman" w:hAnsi="Arial" w:cs="Arial"/>
          <w:color w:val="000000"/>
          <w:sz w:val="20"/>
          <w:szCs w:val="20"/>
        </w:rPr>
        <w:t xml:space="preserve"> Dark Red, which have shown remarkable adaptability to late kharif conditions across India. Recent research also highlights the role of balanced nutrition and planting time in enhancing bulb yield. For instance, transplanting on 1st October was found to produce the maximum yield (347.76 q ha</w:t>
      </w:r>
      <w:r w:rsidRPr="00662CB0">
        <w:rPr>
          <w:rFonts w:ascii="Cambria Math" w:eastAsia="Times New Roman" w:hAnsi="Cambria Math" w:cs="Cambria Math"/>
          <w:color w:val="000000"/>
          <w:sz w:val="20"/>
          <w:szCs w:val="20"/>
        </w:rPr>
        <w:t>⁻</w:t>
      </w:r>
      <w:r w:rsidRPr="00662CB0">
        <w:rPr>
          <w:rFonts w:ascii="Arial" w:eastAsia="Times New Roman" w:hAnsi="Arial" w:cs="Arial"/>
          <w:color w:val="000000"/>
          <w:sz w:val="20"/>
          <w:szCs w:val="20"/>
        </w:rPr>
        <w:t>¹) under late kharif conditions (Ram &amp; Maji, 2024). Similarly, nutrient management studies in Tamil Nadu demonstrated that integrated application of NPK with Zn and B significantly improved bulb weight, yield, and quality (Paramasivan &amp; Kumar, 2025). These findings underscore the combined importance of varietal selection and agronomic management in achieving higher productivity.</w:t>
      </w:r>
    </w:p>
    <w:p w14:paraId="5513B182" w14:textId="77777777" w:rsidR="007B6913" w:rsidRPr="00662CB0" w:rsidRDefault="007B6913" w:rsidP="00662CB0">
      <w:pPr>
        <w:spacing w:after="0" w:line="240" w:lineRule="auto"/>
        <w:rPr>
          <w:rFonts w:ascii="Arial" w:eastAsia="Times New Roman" w:hAnsi="Arial" w:cs="Arial"/>
          <w:b/>
          <w:bCs/>
          <w:color w:val="000000"/>
          <w:sz w:val="20"/>
          <w:szCs w:val="20"/>
        </w:rPr>
      </w:pPr>
    </w:p>
    <w:p w14:paraId="6F8DBC10" w14:textId="74AAEC6A" w:rsidR="007B6913" w:rsidRPr="00662CB0" w:rsidRDefault="000F0CE0" w:rsidP="00662CB0">
      <w:pPr>
        <w:spacing w:after="0" w:line="240" w:lineRule="auto"/>
        <w:rPr>
          <w:rFonts w:ascii="Arial" w:eastAsia="Times New Roman" w:hAnsi="Arial" w:cs="Arial"/>
          <w:b/>
          <w:bCs/>
          <w:color w:val="000000"/>
          <w:sz w:val="20"/>
          <w:szCs w:val="20"/>
        </w:rPr>
      </w:pPr>
      <w:r w:rsidRPr="00662CB0">
        <w:rPr>
          <w:rFonts w:ascii="Arial" w:eastAsia="Times New Roman" w:hAnsi="Arial" w:cs="Arial"/>
          <w:b/>
          <w:bCs/>
          <w:color w:val="000000"/>
          <w:sz w:val="20"/>
          <w:szCs w:val="20"/>
        </w:rPr>
        <w:t xml:space="preserve">1.4 </w:t>
      </w:r>
      <w:r w:rsidR="007B6913" w:rsidRPr="00662CB0">
        <w:rPr>
          <w:rFonts w:ascii="Arial" w:eastAsia="Times New Roman" w:hAnsi="Arial" w:cs="Arial"/>
          <w:b/>
          <w:bCs/>
          <w:color w:val="000000"/>
          <w:sz w:val="20"/>
          <w:szCs w:val="20"/>
        </w:rPr>
        <w:t>Frontline Demonstrations and Farmer Participation</w:t>
      </w:r>
    </w:p>
    <w:p w14:paraId="2B74AAF9" w14:textId="77777777" w:rsidR="007B6913" w:rsidRPr="00662CB0" w:rsidRDefault="007B6913" w:rsidP="00662CB0">
      <w:pPr>
        <w:spacing w:after="0" w:line="240" w:lineRule="auto"/>
        <w:rPr>
          <w:rFonts w:ascii="Arial" w:eastAsia="Times New Roman" w:hAnsi="Arial" w:cs="Arial"/>
          <w:b/>
          <w:bCs/>
          <w:color w:val="000000"/>
          <w:sz w:val="20"/>
          <w:szCs w:val="20"/>
        </w:rPr>
      </w:pPr>
    </w:p>
    <w:p w14:paraId="7C14CC81" w14:textId="72BA20FC" w:rsidR="007B6913" w:rsidRPr="00662CB0" w:rsidRDefault="007B6913" w:rsidP="00662CB0">
      <w:pPr>
        <w:spacing w:after="0" w:line="240" w:lineRule="auto"/>
        <w:jc w:val="both"/>
        <w:rPr>
          <w:rFonts w:ascii="Arial" w:eastAsia="Times New Roman" w:hAnsi="Arial" w:cs="Arial"/>
          <w:color w:val="000000"/>
          <w:sz w:val="20"/>
          <w:szCs w:val="20"/>
        </w:rPr>
      </w:pPr>
      <w:r w:rsidRPr="00662CB0">
        <w:rPr>
          <w:rFonts w:ascii="Arial" w:eastAsia="Times New Roman" w:hAnsi="Arial" w:cs="Arial"/>
          <w:color w:val="000000"/>
          <w:sz w:val="20"/>
          <w:szCs w:val="20"/>
        </w:rPr>
        <w:t>Frontline demonstrations (FLDs) are a key extension strategy for promoting improved crop varieties and technologies at the farm level. Studies across India have shown that FLDs significantly increase productivity and profitability among smallholder farmers (</w:t>
      </w:r>
      <w:proofErr w:type="spellStart"/>
      <w:r w:rsidRPr="00662CB0">
        <w:rPr>
          <w:rFonts w:ascii="Arial" w:eastAsia="Times New Roman" w:hAnsi="Arial" w:cs="Arial"/>
          <w:color w:val="000000"/>
          <w:sz w:val="20"/>
          <w:szCs w:val="20"/>
        </w:rPr>
        <w:t>Srivastva</w:t>
      </w:r>
      <w:proofErr w:type="spellEnd"/>
      <w:r w:rsidRPr="00662CB0">
        <w:rPr>
          <w:rFonts w:ascii="Arial" w:eastAsia="Times New Roman" w:hAnsi="Arial" w:cs="Arial"/>
          <w:color w:val="000000"/>
          <w:sz w:val="20"/>
          <w:szCs w:val="20"/>
        </w:rPr>
        <w:t xml:space="preserve"> &amp; Meena, 2022). For example, </w:t>
      </w:r>
      <w:r w:rsidRPr="00662CB0">
        <w:rPr>
          <w:rFonts w:ascii="Arial" w:eastAsia="Times New Roman" w:hAnsi="Arial" w:cs="Arial"/>
          <w:color w:val="000000"/>
          <w:sz w:val="20"/>
          <w:szCs w:val="20"/>
        </w:rPr>
        <w:lastRenderedPageBreak/>
        <w:t xml:space="preserve">FLDs conducted in </w:t>
      </w:r>
      <w:proofErr w:type="spellStart"/>
      <w:r w:rsidRPr="00662CB0">
        <w:rPr>
          <w:rFonts w:ascii="Arial" w:eastAsia="Times New Roman" w:hAnsi="Arial" w:cs="Arial"/>
          <w:color w:val="000000"/>
          <w:sz w:val="20"/>
          <w:szCs w:val="20"/>
        </w:rPr>
        <w:t>Mahaboobnagar</w:t>
      </w:r>
      <w:proofErr w:type="spellEnd"/>
      <w:r w:rsidRPr="00662CB0">
        <w:rPr>
          <w:rFonts w:ascii="Arial" w:eastAsia="Times New Roman" w:hAnsi="Arial" w:cs="Arial"/>
          <w:color w:val="000000"/>
          <w:sz w:val="20"/>
          <w:szCs w:val="20"/>
        </w:rPr>
        <w:t xml:space="preserve"> district of Telangana on the </w:t>
      </w:r>
      <w:proofErr w:type="spellStart"/>
      <w:r w:rsidRPr="00662CB0">
        <w:rPr>
          <w:rFonts w:ascii="Arial" w:eastAsia="Times New Roman" w:hAnsi="Arial" w:cs="Arial"/>
          <w:color w:val="000000"/>
          <w:sz w:val="20"/>
          <w:szCs w:val="20"/>
        </w:rPr>
        <w:t>Agrifound</w:t>
      </w:r>
      <w:proofErr w:type="spellEnd"/>
      <w:r w:rsidRPr="00662CB0">
        <w:rPr>
          <w:rFonts w:ascii="Arial" w:eastAsia="Times New Roman" w:hAnsi="Arial" w:cs="Arial"/>
          <w:color w:val="000000"/>
          <w:sz w:val="20"/>
          <w:szCs w:val="20"/>
        </w:rPr>
        <w:t xml:space="preserve"> Dark Red variety recorded 20.3% higher yield than local cultivars, emphasizing the role of participatory research and demonstration in bridging the yield gap (Saritha &amp; Bhatt, 2022). Such initiatives also provide a platform for farmers’ feedback, which helps refine varietal recommendations for specific agro-ecological zones</w:t>
      </w:r>
      <w:r w:rsidRPr="00662CB0">
        <w:rPr>
          <w:rFonts w:ascii="Arial" w:eastAsia="Times New Roman" w:hAnsi="Arial" w:cs="Arial"/>
          <w:b/>
          <w:bCs/>
          <w:color w:val="000000"/>
          <w:sz w:val="20"/>
          <w:szCs w:val="20"/>
        </w:rPr>
        <w:t>.</w:t>
      </w:r>
    </w:p>
    <w:p w14:paraId="44F67B7C" w14:textId="77777777" w:rsidR="007B6913" w:rsidRPr="00662CB0" w:rsidRDefault="007B6913" w:rsidP="00662CB0">
      <w:pPr>
        <w:spacing w:after="0" w:line="240" w:lineRule="auto"/>
        <w:rPr>
          <w:rFonts w:ascii="Arial" w:eastAsia="Times New Roman" w:hAnsi="Arial" w:cs="Arial"/>
          <w:b/>
          <w:bCs/>
          <w:color w:val="000000"/>
          <w:sz w:val="20"/>
          <w:szCs w:val="20"/>
        </w:rPr>
      </w:pPr>
    </w:p>
    <w:p w14:paraId="3EEC0FF3" w14:textId="121E5B9F" w:rsidR="007B6913" w:rsidRPr="00662CB0" w:rsidRDefault="000F0CE0" w:rsidP="00662CB0">
      <w:pPr>
        <w:spacing w:after="0" w:line="240" w:lineRule="auto"/>
        <w:rPr>
          <w:rFonts w:ascii="Arial" w:eastAsia="Times New Roman" w:hAnsi="Arial" w:cs="Arial"/>
          <w:b/>
          <w:bCs/>
          <w:color w:val="000000"/>
          <w:sz w:val="20"/>
          <w:szCs w:val="20"/>
        </w:rPr>
      </w:pPr>
      <w:r w:rsidRPr="00662CB0">
        <w:rPr>
          <w:rFonts w:ascii="Arial" w:eastAsia="Times New Roman" w:hAnsi="Arial" w:cs="Arial"/>
          <w:b/>
          <w:bCs/>
          <w:color w:val="000000"/>
          <w:sz w:val="20"/>
          <w:szCs w:val="20"/>
        </w:rPr>
        <w:t xml:space="preserve">1.5 </w:t>
      </w:r>
      <w:r w:rsidR="007B6913" w:rsidRPr="00662CB0">
        <w:rPr>
          <w:rFonts w:ascii="Arial" w:eastAsia="Times New Roman" w:hAnsi="Arial" w:cs="Arial"/>
          <w:b/>
          <w:bCs/>
          <w:color w:val="000000"/>
          <w:sz w:val="20"/>
          <w:szCs w:val="20"/>
        </w:rPr>
        <w:t>Research Gaps and Rationale for the Study</w:t>
      </w:r>
    </w:p>
    <w:p w14:paraId="012CB732" w14:textId="77777777" w:rsidR="007B6913" w:rsidRPr="00662CB0" w:rsidRDefault="007B6913" w:rsidP="00662CB0">
      <w:pPr>
        <w:spacing w:after="0" w:line="240" w:lineRule="auto"/>
        <w:rPr>
          <w:rFonts w:ascii="Arial" w:eastAsia="Times New Roman" w:hAnsi="Arial" w:cs="Arial"/>
          <w:b/>
          <w:bCs/>
          <w:color w:val="000000"/>
          <w:sz w:val="20"/>
          <w:szCs w:val="20"/>
        </w:rPr>
      </w:pPr>
    </w:p>
    <w:p w14:paraId="2B7CAB71" w14:textId="77777777" w:rsidR="007B6913" w:rsidRPr="00662CB0" w:rsidRDefault="007B6913" w:rsidP="00662CB0">
      <w:pPr>
        <w:spacing w:after="0" w:line="240" w:lineRule="auto"/>
        <w:jc w:val="both"/>
        <w:rPr>
          <w:rFonts w:ascii="Arial" w:eastAsia="Times New Roman" w:hAnsi="Arial" w:cs="Arial"/>
          <w:color w:val="000000"/>
          <w:sz w:val="20"/>
          <w:szCs w:val="20"/>
        </w:rPr>
      </w:pPr>
      <w:r w:rsidRPr="00662CB0">
        <w:rPr>
          <w:rFonts w:ascii="Arial" w:eastAsia="Times New Roman" w:hAnsi="Arial" w:cs="Arial"/>
          <w:color w:val="000000"/>
          <w:sz w:val="20"/>
          <w:szCs w:val="20"/>
        </w:rPr>
        <w:t xml:space="preserve">Despite the availability of several improved varieties, the adoption rate remains low in Telangana, particularly in </w:t>
      </w:r>
      <w:proofErr w:type="spellStart"/>
      <w:r w:rsidRPr="00662CB0">
        <w:rPr>
          <w:rFonts w:ascii="Arial" w:eastAsia="Times New Roman" w:hAnsi="Arial" w:cs="Arial"/>
          <w:color w:val="000000"/>
          <w:sz w:val="20"/>
          <w:szCs w:val="20"/>
        </w:rPr>
        <w:t>Sangareddy</w:t>
      </w:r>
      <w:proofErr w:type="spellEnd"/>
      <w:r w:rsidRPr="00662CB0">
        <w:rPr>
          <w:rFonts w:ascii="Arial" w:eastAsia="Times New Roman" w:hAnsi="Arial" w:cs="Arial"/>
          <w:color w:val="000000"/>
          <w:sz w:val="20"/>
          <w:szCs w:val="20"/>
        </w:rPr>
        <w:t xml:space="preserve"> district. Farmers continue to rely on local onion varieties due to limited seed availability and awareness of improved cultivars. The yield gap between experimental and farmer-managed fields remains high, often exceeding 30–40%. Furthermore, erratic rainfall patterns and soil heterogeneity further complicate the productivity scenario. Therefore, there is a pressing need to evaluate and demonstrate the performance of Bhima Super under local rainfed conditions, emphasizing its potential to improve yield, quality, and economic returns.</w:t>
      </w:r>
    </w:p>
    <w:p w14:paraId="68C9E351" w14:textId="77777777" w:rsidR="007B6913" w:rsidRPr="00662CB0" w:rsidRDefault="007B6913" w:rsidP="00662CB0">
      <w:pPr>
        <w:spacing w:after="0" w:line="240" w:lineRule="auto"/>
        <w:jc w:val="both"/>
        <w:rPr>
          <w:rFonts w:ascii="Arial" w:eastAsia="Times New Roman" w:hAnsi="Arial" w:cs="Arial"/>
          <w:color w:val="000000"/>
          <w:sz w:val="20"/>
          <w:szCs w:val="20"/>
        </w:rPr>
      </w:pPr>
    </w:p>
    <w:p w14:paraId="24229AE4" w14:textId="49C3FDB9" w:rsidR="007B6913" w:rsidRPr="00662CB0" w:rsidRDefault="000F0CE0" w:rsidP="00662CB0">
      <w:pPr>
        <w:spacing w:after="0" w:line="240" w:lineRule="auto"/>
        <w:jc w:val="both"/>
        <w:rPr>
          <w:rFonts w:ascii="Arial" w:eastAsia="Times New Roman" w:hAnsi="Arial" w:cs="Arial"/>
          <w:b/>
          <w:bCs/>
          <w:color w:val="000000"/>
          <w:sz w:val="20"/>
          <w:szCs w:val="20"/>
        </w:rPr>
      </w:pPr>
      <w:r w:rsidRPr="00662CB0">
        <w:rPr>
          <w:rFonts w:ascii="Arial" w:eastAsia="Times New Roman" w:hAnsi="Arial" w:cs="Arial"/>
          <w:b/>
          <w:bCs/>
          <w:color w:val="000000"/>
          <w:sz w:val="20"/>
          <w:szCs w:val="20"/>
        </w:rPr>
        <w:t xml:space="preserve">1.6 </w:t>
      </w:r>
      <w:r w:rsidR="007B6913" w:rsidRPr="00662CB0">
        <w:rPr>
          <w:rFonts w:ascii="Arial" w:eastAsia="Times New Roman" w:hAnsi="Arial" w:cs="Arial"/>
          <w:b/>
          <w:bCs/>
          <w:color w:val="000000"/>
          <w:sz w:val="20"/>
          <w:szCs w:val="20"/>
        </w:rPr>
        <w:t>Objectives of the Study</w:t>
      </w:r>
    </w:p>
    <w:p w14:paraId="5E9CF3BE" w14:textId="77777777" w:rsidR="007B6913" w:rsidRPr="00662CB0" w:rsidRDefault="007B6913" w:rsidP="00662CB0">
      <w:pPr>
        <w:spacing w:after="0" w:line="240" w:lineRule="auto"/>
        <w:rPr>
          <w:rFonts w:ascii="Arial" w:eastAsia="Times New Roman" w:hAnsi="Arial" w:cs="Arial"/>
          <w:b/>
          <w:bCs/>
          <w:color w:val="000000"/>
          <w:sz w:val="20"/>
          <w:szCs w:val="20"/>
        </w:rPr>
      </w:pPr>
    </w:p>
    <w:p w14:paraId="6ACAA0A6" w14:textId="77777777" w:rsidR="0072728B" w:rsidRDefault="007B6913" w:rsidP="0072728B">
      <w:pPr>
        <w:spacing w:after="0" w:line="240" w:lineRule="auto"/>
        <w:jc w:val="both"/>
        <w:rPr>
          <w:rFonts w:ascii="Arial" w:eastAsia="Times New Roman" w:hAnsi="Arial" w:cs="Arial"/>
          <w:iCs/>
          <w:color w:val="000000"/>
          <w:sz w:val="20"/>
          <w:szCs w:val="20"/>
          <w:highlight w:val="yellow"/>
        </w:rPr>
      </w:pPr>
      <w:r w:rsidRPr="0072728B">
        <w:rPr>
          <w:rFonts w:ascii="Arial" w:eastAsia="Times New Roman" w:hAnsi="Arial" w:cs="Arial"/>
          <w:color w:val="000000"/>
          <w:sz w:val="20"/>
          <w:szCs w:val="20"/>
          <w:highlight w:val="yellow"/>
        </w:rPr>
        <w:t xml:space="preserve">The present study was undertaken with the following specific </w:t>
      </w:r>
      <w:r w:rsidR="009B25A4" w:rsidRPr="0072728B">
        <w:rPr>
          <w:rFonts w:ascii="Arial" w:eastAsia="Times New Roman" w:hAnsi="Arial" w:cs="Arial"/>
          <w:color w:val="000000"/>
          <w:sz w:val="20"/>
          <w:szCs w:val="20"/>
          <w:highlight w:val="yellow"/>
        </w:rPr>
        <w:t>objectives</w:t>
      </w:r>
      <w:r w:rsidR="009B25A4" w:rsidRPr="0072728B">
        <w:rPr>
          <w:rFonts w:ascii="Arial" w:eastAsia="Times New Roman" w:hAnsi="Arial" w:cs="Arial"/>
          <w:iCs/>
          <w:color w:val="000000"/>
          <w:sz w:val="20"/>
          <w:szCs w:val="20"/>
          <w:highlight w:val="yellow"/>
        </w:rPr>
        <w:t xml:space="preserve">: </w:t>
      </w:r>
    </w:p>
    <w:p w14:paraId="68B928A1" w14:textId="77777777" w:rsidR="0072728B" w:rsidRDefault="009B25A4" w:rsidP="0072728B">
      <w:pPr>
        <w:spacing w:after="0" w:line="240" w:lineRule="auto"/>
        <w:jc w:val="both"/>
        <w:rPr>
          <w:rFonts w:ascii="Arial" w:eastAsia="Times New Roman" w:hAnsi="Arial" w:cs="Arial"/>
          <w:iCs/>
          <w:color w:val="000000"/>
          <w:sz w:val="20"/>
          <w:szCs w:val="20"/>
          <w:highlight w:val="yellow"/>
        </w:rPr>
      </w:pPr>
      <w:r w:rsidRPr="0072728B">
        <w:rPr>
          <w:rFonts w:ascii="Arial" w:eastAsia="Times New Roman" w:hAnsi="Arial" w:cs="Arial"/>
          <w:iCs/>
          <w:color w:val="000000"/>
          <w:sz w:val="20"/>
          <w:szCs w:val="20"/>
          <w:highlight w:val="yellow"/>
        </w:rPr>
        <w:t xml:space="preserve">A. </w:t>
      </w:r>
      <w:r w:rsidR="007B6913" w:rsidRPr="0072728B">
        <w:rPr>
          <w:rFonts w:ascii="Arial" w:eastAsia="Times New Roman" w:hAnsi="Arial" w:cs="Arial"/>
          <w:iCs/>
          <w:color w:val="000000"/>
          <w:sz w:val="20"/>
          <w:szCs w:val="20"/>
          <w:highlight w:val="yellow"/>
        </w:rPr>
        <w:t xml:space="preserve">To evaluate the growth and yield performance of Bhima Super onion variety compared to local cultivars under late kharif conditions in </w:t>
      </w:r>
      <w:proofErr w:type="spellStart"/>
      <w:r w:rsidR="007B6913" w:rsidRPr="0072728B">
        <w:rPr>
          <w:rFonts w:ascii="Arial" w:eastAsia="Times New Roman" w:hAnsi="Arial" w:cs="Arial"/>
          <w:iCs/>
          <w:color w:val="000000"/>
          <w:sz w:val="20"/>
          <w:szCs w:val="20"/>
          <w:highlight w:val="yellow"/>
        </w:rPr>
        <w:t>Sangareddy</w:t>
      </w:r>
      <w:proofErr w:type="spellEnd"/>
      <w:r w:rsidR="007B6913" w:rsidRPr="0072728B">
        <w:rPr>
          <w:rFonts w:ascii="Arial" w:eastAsia="Times New Roman" w:hAnsi="Arial" w:cs="Arial"/>
          <w:iCs/>
          <w:color w:val="000000"/>
          <w:sz w:val="20"/>
          <w:szCs w:val="20"/>
          <w:highlight w:val="yellow"/>
        </w:rPr>
        <w:t xml:space="preserve"> district.</w:t>
      </w:r>
      <w:r w:rsidRPr="0072728B">
        <w:rPr>
          <w:rFonts w:ascii="Arial" w:eastAsia="Times New Roman" w:hAnsi="Arial" w:cs="Arial"/>
          <w:iCs/>
          <w:color w:val="000000"/>
          <w:sz w:val="20"/>
          <w:szCs w:val="20"/>
          <w:highlight w:val="yellow"/>
        </w:rPr>
        <w:t xml:space="preserve"> </w:t>
      </w:r>
    </w:p>
    <w:p w14:paraId="3B1C04B4" w14:textId="77777777" w:rsidR="0072728B" w:rsidRDefault="009B25A4" w:rsidP="0072728B">
      <w:pPr>
        <w:spacing w:after="0" w:line="240" w:lineRule="auto"/>
        <w:jc w:val="both"/>
        <w:rPr>
          <w:rFonts w:ascii="Arial" w:eastAsia="Times New Roman" w:hAnsi="Arial" w:cs="Arial"/>
          <w:iCs/>
          <w:color w:val="000000"/>
          <w:sz w:val="20"/>
          <w:szCs w:val="20"/>
          <w:highlight w:val="yellow"/>
        </w:rPr>
      </w:pPr>
      <w:r w:rsidRPr="0072728B">
        <w:rPr>
          <w:rFonts w:ascii="Arial" w:eastAsia="Times New Roman" w:hAnsi="Arial" w:cs="Arial"/>
          <w:iCs/>
          <w:color w:val="000000"/>
          <w:sz w:val="20"/>
          <w:szCs w:val="20"/>
          <w:highlight w:val="yellow"/>
        </w:rPr>
        <w:t xml:space="preserve">B. </w:t>
      </w:r>
      <w:r w:rsidR="007B6913" w:rsidRPr="0072728B">
        <w:rPr>
          <w:rFonts w:ascii="Arial" w:eastAsia="Times New Roman" w:hAnsi="Arial" w:cs="Arial"/>
          <w:iCs/>
          <w:color w:val="000000"/>
          <w:sz w:val="20"/>
          <w:szCs w:val="20"/>
          <w:highlight w:val="yellow"/>
        </w:rPr>
        <w:t>To assess the pest and disease incidence in Bhima Super vis-à-vis local varieties.</w:t>
      </w:r>
      <w:r w:rsidRPr="0072728B">
        <w:rPr>
          <w:rFonts w:ascii="Arial" w:eastAsia="Times New Roman" w:hAnsi="Arial" w:cs="Arial"/>
          <w:iCs/>
          <w:color w:val="000000"/>
          <w:sz w:val="20"/>
          <w:szCs w:val="20"/>
          <w:highlight w:val="yellow"/>
        </w:rPr>
        <w:t xml:space="preserve"> </w:t>
      </w:r>
    </w:p>
    <w:p w14:paraId="72ECD578" w14:textId="77777777" w:rsidR="0072728B" w:rsidRDefault="009B25A4" w:rsidP="0072728B">
      <w:pPr>
        <w:spacing w:after="0" w:line="240" w:lineRule="auto"/>
        <w:jc w:val="both"/>
        <w:rPr>
          <w:rFonts w:ascii="Arial" w:eastAsia="Times New Roman" w:hAnsi="Arial" w:cs="Arial"/>
          <w:iCs/>
          <w:color w:val="000000"/>
          <w:sz w:val="20"/>
          <w:szCs w:val="20"/>
          <w:highlight w:val="yellow"/>
        </w:rPr>
      </w:pPr>
      <w:r w:rsidRPr="0072728B">
        <w:rPr>
          <w:rFonts w:ascii="Arial" w:eastAsia="Times New Roman" w:hAnsi="Arial" w:cs="Arial"/>
          <w:iCs/>
          <w:color w:val="000000"/>
          <w:sz w:val="20"/>
          <w:szCs w:val="20"/>
          <w:highlight w:val="yellow"/>
        </w:rPr>
        <w:t xml:space="preserve">C. </w:t>
      </w:r>
      <w:r w:rsidR="007B6913" w:rsidRPr="0072728B">
        <w:rPr>
          <w:rFonts w:ascii="Arial" w:eastAsia="Times New Roman" w:hAnsi="Arial" w:cs="Arial"/>
          <w:iCs/>
          <w:color w:val="000000"/>
          <w:sz w:val="20"/>
          <w:szCs w:val="20"/>
          <w:highlight w:val="yellow"/>
        </w:rPr>
        <w:t>To determine the economic feasibility and farmer acceptance of Bhima Super for large-scale adoption.</w:t>
      </w:r>
      <w:r w:rsidR="0072728B" w:rsidRPr="0072728B">
        <w:rPr>
          <w:rFonts w:ascii="Arial" w:eastAsia="Times New Roman" w:hAnsi="Arial" w:cs="Arial"/>
          <w:iCs/>
          <w:color w:val="000000"/>
          <w:sz w:val="20"/>
          <w:szCs w:val="20"/>
          <w:highlight w:val="yellow"/>
        </w:rPr>
        <w:t xml:space="preserve"> </w:t>
      </w:r>
    </w:p>
    <w:p w14:paraId="354A4450" w14:textId="3CED33E6" w:rsidR="007B6913" w:rsidRPr="0072728B" w:rsidRDefault="007B6913" w:rsidP="0072728B">
      <w:pPr>
        <w:spacing w:after="0" w:line="240" w:lineRule="auto"/>
        <w:ind w:firstLine="360"/>
        <w:jc w:val="both"/>
        <w:rPr>
          <w:rFonts w:ascii="Arial" w:eastAsia="Times New Roman" w:hAnsi="Arial" w:cs="Arial"/>
          <w:color w:val="000000"/>
          <w:sz w:val="20"/>
          <w:szCs w:val="20"/>
        </w:rPr>
      </w:pPr>
      <w:r w:rsidRPr="0072728B">
        <w:rPr>
          <w:rFonts w:ascii="Arial" w:eastAsia="Times New Roman" w:hAnsi="Arial" w:cs="Arial"/>
          <w:color w:val="000000"/>
          <w:sz w:val="20"/>
          <w:szCs w:val="20"/>
          <w:highlight w:val="yellow"/>
        </w:rPr>
        <w:t>Through this study, it is expected to identify a variety that combines high yield, quality, disease tolerance, and better economic returns, ultimately contributing to enhanced farmer income and regional onion productivity in Telangana.</w:t>
      </w:r>
    </w:p>
    <w:p w14:paraId="4B8D0DC6" w14:textId="77777777" w:rsidR="00064631" w:rsidRPr="00662CB0" w:rsidRDefault="00064631" w:rsidP="00662CB0">
      <w:pPr>
        <w:spacing w:after="0" w:line="240" w:lineRule="auto"/>
        <w:jc w:val="both"/>
        <w:rPr>
          <w:rFonts w:ascii="Arial" w:eastAsia="Times New Roman" w:hAnsi="Arial" w:cs="Arial"/>
          <w:color w:val="000000"/>
          <w:sz w:val="20"/>
          <w:szCs w:val="20"/>
        </w:rPr>
      </w:pPr>
    </w:p>
    <w:p w14:paraId="3339DD22" w14:textId="0F6E8CF7" w:rsidR="00DF50CD" w:rsidRPr="00662CB0" w:rsidRDefault="00DF50CD" w:rsidP="00662CB0">
      <w:pPr>
        <w:pStyle w:val="ListParagraph"/>
        <w:numPr>
          <w:ilvl w:val="0"/>
          <w:numId w:val="2"/>
        </w:numPr>
        <w:spacing w:after="0" w:line="240" w:lineRule="auto"/>
        <w:jc w:val="both"/>
        <w:rPr>
          <w:rFonts w:ascii="Arial" w:eastAsia="Times New Roman" w:hAnsi="Arial" w:cs="Arial"/>
          <w:b/>
          <w:bCs/>
          <w:color w:val="000000"/>
          <w:sz w:val="20"/>
          <w:szCs w:val="20"/>
          <w:lang w:val="en-IN"/>
        </w:rPr>
      </w:pPr>
      <w:r w:rsidRPr="00662CB0">
        <w:rPr>
          <w:rFonts w:ascii="Arial" w:eastAsia="Times New Roman" w:hAnsi="Arial" w:cs="Arial"/>
          <w:b/>
          <w:bCs/>
          <w:color w:val="000000"/>
          <w:sz w:val="20"/>
          <w:szCs w:val="20"/>
          <w:lang w:val="en-IN"/>
        </w:rPr>
        <w:t xml:space="preserve">Materials and Methods </w:t>
      </w:r>
    </w:p>
    <w:p w14:paraId="01240F5B" w14:textId="7C0654F7" w:rsidR="00DF50CD" w:rsidRPr="00662CB0" w:rsidRDefault="00DF50CD" w:rsidP="00662CB0">
      <w:pPr>
        <w:spacing w:after="0" w:line="240" w:lineRule="auto"/>
        <w:jc w:val="both"/>
        <w:rPr>
          <w:rFonts w:ascii="Arial" w:eastAsia="Times New Roman" w:hAnsi="Arial" w:cs="Arial"/>
          <w:b/>
          <w:bCs/>
          <w:color w:val="000000"/>
          <w:sz w:val="20"/>
          <w:szCs w:val="20"/>
          <w:lang w:val="en-IN"/>
        </w:rPr>
      </w:pPr>
      <w:r w:rsidRPr="00662CB0">
        <w:rPr>
          <w:rFonts w:ascii="Arial" w:eastAsia="Times New Roman" w:hAnsi="Arial" w:cs="Arial"/>
          <w:b/>
          <w:bCs/>
          <w:color w:val="000000"/>
          <w:sz w:val="20"/>
          <w:szCs w:val="20"/>
          <w:lang w:val="en-IN"/>
        </w:rPr>
        <w:t>2.1 Experimental Site and Climatic Conditions</w:t>
      </w:r>
    </w:p>
    <w:p w14:paraId="1035BC3C" w14:textId="0EF27B50" w:rsidR="00DF50CD" w:rsidRPr="00662CB0" w:rsidRDefault="00DF50CD" w:rsidP="00662CB0">
      <w:pPr>
        <w:spacing w:after="0" w:line="240" w:lineRule="auto"/>
        <w:jc w:val="both"/>
        <w:rPr>
          <w:rFonts w:ascii="Arial" w:eastAsia="Times New Roman" w:hAnsi="Arial" w:cs="Arial"/>
          <w:color w:val="000000"/>
          <w:sz w:val="20"/>
          <w:szCs w:val="20"/>
          <w:lang w:val="en-IN"/>
        </w:rPr>
      </w:pPr>
      <w:r w:rsidRPr="00662CB0">
        <w:rPr>
          <w:rFonts w:ascii="Arial" w:eastAsia="Times New Roman" w:hAnsi="Arial" w:cs="Arial"/>
          <w:color w:val="000000"/>
          <w:sz w:val="20"/>
          <w:szCs w:val="20"/>
          <w:lang w:val="en-IN"/>
        </w:rPr>
        <w:t xml:space="preserve">The field experiment on the performance evaluation of the </w:t>
      </w:r>
      <w:r w:rsidRPr="00662CB0">
        <w:rPr>
          <w:rFonts w:ascii="Arial" w:eastAsia="Times New Roman" w:hAnsi="Arial" w:cs="Arial"/>
          <w:i/>
          <w:iCs/>
          <w:color w:val="000000"/>
          <w:sz w:val="20"/>
          <w:szCs w:val="20"/>
          <w:lang w:val="en-IN"/>
        </w:rPr>
        <w:t>Bhima Super</w:t>
      </w:r>
      <w:r w:rsidRPr="00662CB0">
        <w:rPr>
          <w:rFonts w:ascii="Arial" w:eastAsia="Times New Roman" w:hAnsi="Arial" w:cs="Arial"/>
          <w:color w:val="000000"/>
          <w:sz w:val="20"/>
          <w:szCs w:val="20"/>
          <w:lang w:val="en-IN"/>
        </w:rPr>
        <w:t xml:space="preserve"> onion (</w:t>
      </w:r>
      <w:r w:rsidR="006950B6" w:rsidRPr="006950B6">
        <w:rPr>
          <w:rFonts w:ascii="Arial" w:eastAsia="Times New Roman" w:hAnsi="Arial" w:cs="Arial"/>
          <w:i/>
          <w:iCs/>
          <w:color w:val="000000"/>
          <w:sz w:val="20"/>
          <w:szCs w:val="20"/>
          <w:lang w:val="en-IN"/>
        </w:rPr>
        <w:t xml:space="preserve">Allium </w:t>
      </w:r>
      <w:proofErr w:type="spellStart"/>
      <w:r w:rsidR="006950B6" w:rsidRPr="006950B6">
        <w:rPr>
          <w:rFonts w:ascii="Arial" w:eastAsia="Times New Roman" w:hAnsi="Arial" w:cs="Arial"/>
          <w:i/>
          <w:iCs/>
          <w:color w:val="000000"/>
          <w:sz w:val="20"/>
          <w:szCs w:val="20"/>
          <w:lang w:val="en-IN"/>
        </w:rPr>
        <w:t>cepa</w:t>
      </w:r>
      <w:proofErr w:type="spellEnd"/>
      <w:r w:rsidRPr="00662CB0">
        <w:rPr>
          <w:rFonts w:ascii="Arial" w:eastAsia="Times New Roman" w:hAnsi="Arial" w:cs="Arial"/>
          <w:color w:val="000000"/>
          <w:sz w:val="20"/>
          <w:szCs w:val="20"/>
          <w:lang w:val="en-IN"/>
        </w:rPr>
        <w:t xml:space="preserve"> L.) variety was conducted for four </w:t>
      </w:r>
      <w:proofErr w:type="gramStart"/>
      <w:r w:rsidR="0072728B" w:rsidRPr="0072728B">
        <w:rPr>
          <w:rFonts w:ascii="Arial" w:eastAsia="Times New Roman" w:hAnsi="Arial" w:cs="Arial"/>
          <w:color w:val="000000"/>
          <w:sz w:val="20"/>
          <w:szCs w:val="20"/>
          <w:highlight w:val="yellow"/>
          <w:lang w:val="en-IN"/>
        </w:rPr>
        <w:t>consecutive</w:t>
      </w:r>
      <w:proofErr w:type="gramEnd"/>
      <w:r w:rsidRPr="0072728B">
        <w:rPr>
          <w:rFonts w:ascii="Arial" w:eastAsia="Times New Roman" w:hAnsi="Arial" w:cs="Arial"/>
          <w:color w:val="000000"/>
          <w:sz w:val="20"/>
          <w:szCs w:val="20"/>
          <w:highlight w:val="yellow"/>
          <w:lang w:val="en-IN"/>
        </w:rPr>
        <w:t xml:space="preserve"> late </w:t>
      </w:r>
      <w:r w:rsidRPr="0072728B">
        <w:rPr>
          <w:rFonts w:ascii="Arial" w:eastAsia="Times New Roman" w:hAnsi="Arial" w:cs="Arial"/>
          <w:i/>
          <w:color w:val="000000"/>
          <w:sz w:val="20"/>
          <w:szCs w:val="20"/>
          <w:highlight w:val="yellow"/>
          <w:lang w:val="en-IN"/>
        </w:rPr>
        <w:t>kharif</w:t>
      </w:r>
      <w:r w:rsidRPr="0072728B">
        <w:rPr>
          <w:rFonts w:ascii="Arial" w:eastAsia="Times New Roman" w:hAnsi="Arial" w:cs="Arial"/>
          <w:color w:val="000000"/>
          <w:sz w:val="20"/>
          <w:szCs w:val="20"/>
          <w:highlight w:val="yellow"/>
          <w:lang w:val="en-IN"/>
        </w:rPr>
        <w:t xml:space="preserve"> seasons during</w:t>
      </w:r>
      <w:r w:rsidRPr="00662CB0">
        <w:rPr>
          <w:rFonts w:ascii="Arial" w:eastAsia="Times New Roman" w:hAnsi="Arial" w:cs="Arial"/>
          <w:color w:val="000000"/>
          <w:sz w:val="20"/>
          <w:szCs w:val="20"/>
          <w:lang w:val="en-IN"/>
        </w:rPr>
        <w:t xml:space="preserve"> 2021–22, 2022–23, 2023–24, and 2024–25 under the supervision of Krishi Vigyan Kendra (KVK), </w:t>
      </w:r>
      <w:proofErr w:type="spellStart"/>
      <w:r w:rsidRPr="00662CB0">
        <w:rPr>
          <w:rFonts w:ascii="Arial" w:eastAsia="Times New Roman" w:hAnsi="Arial" w:cs="Arial"/>
          <w:color w:val="000000"/>
          <w:sz w:val="20"/>
          <w:szCs w:val="20"/>
          <w:lang w:val="en-IN"/>
        </w:rPr>
        <w:t>Sangareddy</w:t>
      </w:r>
      <w:proofErr w:type="spellEnd"/>
      <w:r w:rsidRPr="00662CB0">
        <w:rPr>
          <w:rFonts w:ascii="Arial" w:eastAsia="Times New Roman" w:hAnsi="Arial" w:cs="Arial"/>
          <w:color w:val="000000"/>
          <w:sz w:val="20"/>
          <w:szCs w:val="20"/>
          <w:lang w:val="en-IN"/>
        </w:rPr>
        <w:t xml:space="preserve">, affiliated with Professor Jayashankar Telangana State Agricultural University (PJTSAU). The trials were established at two major onion-growing mandals of the district </w:t>
      </w:r>
      <w:proofErr w:type="spellStart"/>
      <w:r w:rsidRPr="00662CB0">
        <w:rPr>
          <w:rFonts w:ascii="Arial" w:eastAsia="Times New Roman" w:hAnsi="Arial" w:cs="Arial"/>
          <w:color w:val="000000"/>
          <w:sz w:val="20"/>
          <w:szCs w:val="20"/>
          <w:lang w:val="en-IN"/>
        </w:rPr>
        <w:t>Jarasangham</w:t>
      </w:r>
      <w:proofErr w:type="spellEnd"/>
      <w:r w:rsidRPr="00662CB0">
        <w:rPr>
          <w:rFonts w:ascii="Arial" w:eastAsia="Times New Roman" w:hAnsi="Arial" w:cs="Arial"/>
          <w:color w:val="000000"/>
          <w:sz w:val="20"/>
          <w:szCs w:val="20"/>
          <w:lang w:val="en-IN"/>
        </w:rPr>
        <w:t xml:space="preserve"> and </w:t>
      </w:r>
      <w:proofErr w:type="spellStart"/>
      <w:r w:rsidR="0072728B" w:rsidRPr="00662CB0">
        <w:rPr>
          <w:rFonts w:ascii="Arial" w:eastAsia="Times New Roman" w:hAnsi="Arial" w:cs="Arial"/>
          <w:color w:val="000000"/>
          <w:sz w:val="20"/>
          <w:szCs w:val="20"/>
          <w:lang w:val="en-IN"/>
        </w:rPr>
        <w:t>Narayankhed</w:t>
      </w:r>
      <w:proofErr w:type="spellEnd"/>
      <w:r w:rsidR="0072728B" w:rsidRPr="00662CB0">
        <w:rPr>
          <w:rFonts w:ascii="Arial" w:eastAsia="Times New Roman" w:hAnsi="Arial" w:cs="Arial"/>
          <w:color w:val="000000"/>
          <w:sz w:val="20"/>
          <w:szCs w:val="20"/>
          <w:lang w:val="en-IN"/>
        </w:rPr>
        <w:t xml:space="preserve"> representing</w:t>
      </w:r>
      <w:r w:rsidRPr="00662CB0">
        <w:rPr>
          <w:rFonts w:ascii="Arial" w:eastAsia="Times New Roman" w:hAnsi="Arial" w:cs="Arial"/>
          <w:color w:val="000000"/>
          <w:sz w:val="20"/>
          <w:szCs w:val="20"/>
          <w:lang w:val="en-IN"/>
        </w:rPr>
        <w:t xml:space="preserve"> typical rainfed </w:t>
      </w:r>
      <w:proofErr w:type="spellStart"/>
      <w:r w:rsidRPr="00662CB0">
        <w:rPr>
          <w:rFonts w:ascii="Arial" w:eastAsia="Times New Roman" w:hAnsi="Arial" w:cs="Arial"/>
          <w:color w:val="000000"/>
          <w:sz w:val="20"/>
          <w:szCs w:val="20"/>
          <w:lang w:val="en-IN"/>
        </w:rPr>
        <w:t>agro</w:t>
      </w:r>
      <w:proofErr w:type="spellEnd"/>
      <w:r w:rsidRPr="00662CB0">
        <w:rPr>
          <w:rFonts w:ascii="Arial" w:eastAsia="Times New Roman" w:hAnsi="Arial" w:cs="Arial"/>
          <w:color w:val="000000"/>
          <w:sz w:val="20"/>
          <w:szCs w:val="20"/>
          <w:lang w:val="en-IN"/>
        </w:rPr>
        <w:t xml:space="preserve">-ecosystems of Telangana. The region lies between latitude 17.6°N and longitude 78.1°E, with an altitude of approximately 495 meters above mean sea level. The climate is classified as semi-arid tropical, characterized by hot summers and moderate winters, with average annual rainfall of 720–850 mm, predominantly received from the southwest monsoon (June–September). The mean daily temperature during the late kharif season ranged between 24°C and 33°C, with relative humidity levels between 60–85%, </w:t>
      </w:r>
      <w:proofErr w:type="spellStart"/>
      <w:r w:rsidRPr="00662CB0">
        <w:rPr>
          <w:rFonts w:ascii="Arial" w:eastAsia="Times New Roman" w:hAnsi="Arial" w:cs="Arial"/>
          <w:color w:val="000000"/>
          <w:sz w:val="20"/>
          <w:szCs w:val="20"/>
          <w:lang w:val="en-IN"/>
        </w:rPr>
        <w:t>favoring</w:t>
      </w:r>
      <w:proofErr w:type="spellEnd"/>
      <w:r w:rsidRPr="00662CB0">
        <w:rPr>
          <w:rFonts w:ascii="Arial" w:eastAsia="Times New Roman" w:hAnsi="Arial" w:cs="Arial"/>
          <w:color w:val="000000"/>
          <w:sz w:val="20"/>
          <w:szCs w:val="20"/>
          <w:lang w:val="en-IN"/>
        </w:rPr>
        <w:t xml:space="preserve"> vegetative growth and bulb development. The experimental soils were sandy loam to clay loam, neutral to slightly alkaline (pH 7.0–7.8), low in available nitrogen, medium in phosphorus, and high in potassium content. Before sowing, soil samples were analysed for texture, organic carbon, and nutrient status following standard protocols, and results were used to guide fertilizer recommendations.</w:t>
      </w:r>
    </w:p>
    <w:p w14:paraId="63FC8FF0" w14:textId="77777777" w:rsidR="00DF50CD" w:rsidRPr="00662CB0" w:rsidRDefault="00DF50CD" w:rsidP="00662CB0">
      <w:pPr>
        <w:spacing w:after="0" w:line="240" w:lineRule="auto"/>
        <w:jc w:val="both"/>
        <w:rPr>
          <w:rFonts w:ascii="Arial" w:eastAsia="Times New Roman" w:hAnsi="Arial" w:cs="Arial"/>
          <w:b/>
          <w:bCs/>
          <w:color w:val="000000"/>
          <w:sz w:val="20"/>
          <w:szCs w:val="20"/>
          <w:lang w:val="en-IN"/>
        </w:rPr>
      </w:pPr>
    </w:p>
    <w:p w14:paraId="56DEB9B5" w14:textId="29E79233" w:rsidR="00DF50CD" w:rsidRPr="00662CB0" w:rsidRDefault="00DF50CD" w:rsidP="00662CB0">
      <w:pPr>
        <w:spacing w:after="0" w:line="240" w:lineRule="auto"/>
        <w:jc w:val="both"/>
        <w:rPr>
          <w:rFonts w:ascii="Arial" w:eastAsia="Times New Roman" w:hAnsi="Arial" w:cs="Arial"/>
          <w:color w:val="000000"/>
          <w:sz w:val="20"/>
          <w:szCs w:val="20"/>
          <w:lang w:val="en-IN"/>
        </w:rPr>
      </w:pPr>
      <w:r w:rsidRPr="00662CB0">
        <w:rPr>
          <w:rFonts w:ascii="Arial" w:eastAsia="Times New Roman" w:hAnsi="Arial" w:cs="Arial"/>
          <w:b/>
          <w:bCs/>
          <w:color w:val="000000"/>
          <w:sz w:val="20"/>
          <w:szCs w:val="20"/>
          <w:lang w:val="en-IN"/>
        </w:rPr>
        <w:t>2.2 Experimental Design and Treatments</w:t>
      </w:r>
    </w:p>
    <w:p w14:paraId="39874B37" w14:textId="77777777" w:rsidR="00DF50CD" w:rsidRPr="00662CB0" w:rsidRDefault="00DF50CD" w:rsidP="00662CB0">
      <w:pPr>
        <w:spacing w:after="0" w:line="240" w:lineRule="auto"/>
        <w:jc w:val="both"/>
        <w:rPr>
          <w:rFonts w:ascii="Arial" w:eastAsia="Times New Roman" w:hAnsi="Arial" w:cs="Arial"/>
          <w:color w:val="000000"/>
          <w:sz w:val="20"/>
          <w:szCs w:val="20"/>
          <w:lang w:val="en-IN"/>
        </w:rPr>
      </w:pPr>
      <w:r w:rsidRPr="00662CB0">
        <w:rPr>
          <w:rFonts w:ascii="Arial" w:eastAsia="Times New Roman" w:hAnsi="Arial" w:cs="Arial"/>
          <w:color w:val="000000"/>
          <w:sz w:val="20"/>
          <w:szCs w:val="20"/>
          <w:lang w:val="en-IN"/>
        </w:rPr>
        <w:t xml:space="preserve">Frontline demonstrations (FLDs) were organized following a </w:t>
      </w:r>
      <w:r w:rsidRPr="0072728B">
        <w:rPr>
          <w:rFonts w:ascii="Arial" w:eastAsia="Times New Roman" w:hAnsi="Arial" w:cs="Arial"/>
          <w:bCs/>
          <w:color w:val="000000"/>
          <w:sz w:val="20"/>
          <w:szCs w:val="20"/>
          <w:highlight w:val="yellow"/>
          <w:lang w:val="en-IN"/>
        </w:rPr>
        <w:t>Randomized Block Design (RBD)</w:t>
      </w:r>
      <w:r w:rsidRPr="00662CB0">
        <w:rPr>
          <w:rFonts w:ascii="Arial" w:eastAsia="Times New Roman" w:hAnsi="Arial" w:cs="Arial"/>
          <w:color w:val="000000"/>
          <w:sz w:val="20"/>
          <w:szCs w:val="20"/>
          <w:lang w:val="en-IN"/>
        </w:rPr>
        <w:t xml:space="preserve"> with two treatments and ten replications at each site:</w:t>
      </w:r>
    </w:p>
    <w:p w14:paraId="165D5D7E" w14:textId="77777777" w:rsidR="00DF50CD" w:rsidRPr="00662CB0" w:rsidRDefault="00DF50CD" w:rsidP="00662CB0">
      <w:pPr>
        <w:numPr>
          <w:ilvl w:val="0"/>
          <w:numId w:val="5"/>
        </w:numPr>
        <w:spacing w:after="0" w:line="240" w:lineRule="auto"/>
        <w:jc w:val="both"/>
        <w:rPr>
          <w:rFonts w:ascii="Arial" w:eastAsia="Times New Roman" w:hAnsi="Arial" w:cs="Arial"/>
          <w:color w:val="000000"/>
          <w:sz w:val="20"/>
          <w:szCs w:val="20"/>
          <w:lang w:val="en-IN"/>
        </w:rPr>
      </w:pPr>
      <w:r w:rsidRPr="00662CB0">
        <w:rPr>
          <w:rFonts w:ascii="Arial" w:eastAsia="Times New Roman" w:hAnsi="Arial" w:cs="Arial"/>
          <w:b/>
          <w:bCs/>
          <w:color w:val="000000"/>
          <w:sz w:val="20"/>
          <w:szCs w:val="20"/>
          <w:lang w:val="en-IN"/>
        </w:rPr>
        <w:t>T</w:t>
      </w:r>
      <w:r w:rsidRPr="00662CB0">
        <w:rPr>
          <w:rFonts w:ascii="Cambria Math" w:eastAsia="Times New Roman" w:hAnsi="Cambria Math" w:cs="Cambria Math"/>
          <w:b/>
          <w:bCs/>
          <w:color w:val="000000"/>
          <w:sz w:val="20"/>
          <w:szCs w:val="20"/>
          <w:lang w:val="en-IN"/>
        </w:rPr>
        <w:t>₁</w:t>
      </w:r>
      <w:r w:rsidRPr="00662CB0">
        <w:rPr>
          <w:rFonts w:ascii="Arial" w:eastAsia="Times New Roman" w:hAnsi="Arial" w:cs="Arial"/>
          <w:b/>
          <w:bCs/>
          <w:color w:val="000000"/>
          <w:sz w:val="20"/>
          <w:szCs w:val="20"/>
          <w:lang w:val="en-IN"/>
        </w:rPr>
        <w:t xml:space="preserve"> – Local Variety (Control):</w:t>
      </w:r>
      <w:r w:rsidRPr="00662CB0">
        <w:rPr>
          <w:rFonts w:ascii="Arial" w:eastAsia="Times New Roman" w:hAnsi="Arial" w:cs="Arial"/>
          <w:color w:val="000000"/>
          <w:sz w:val="20"/>
          <w:szCs w:val="20"/>
          <w:lang w:val="en-IN"/>
        </w:rPr>
        <w:t xml:space="preserve"> Farmers’ traditional seed (AFDR in </w:t>
      </w:r>
      <w:proofErr w:type="spellStart"/>
      <w:r w:rsidRPr="00662CB0">
        <w:rPr>
          <w:rFonts w:ascii="Arial" w:eastAsia="Times New Roman" w:hAnsi="Arial" w:cs="Arial"/>
          <w:color w:val="000000"/>
          <w:sz w:val="20"/>
          <w:szCs w:val="20"/>
          <w:lang w:val="en-IN"/>
        </w:rPr>
        <w:t>Jarasangham</w:t>
      </w:r>
      <w:proofErr w:type="spellEnd"/>
      <w:r w:rsidRPr="00662CB0">
        <w:rPr>
          <w:rFonts w:ascii="Arial" w:eastAsia="Times New Roman" w:hAnsi="Arial" w:cs="Arial"/>
          <w:color w:val="000000"/>
          <w:sz w:val="20"/>
          <w:szCs w:val="20"/>
          <w:lang w:val="en-IN"/>
        </w:rPr>
        <w:t xml:space="preserve">; </w:t>
      </w:r>
      <w:proofErr w:type="spellStart"/>
      <w:r w:rsidRPr="00662CB0">
        <w:rPr>
          <w:rFonts w:ascii="Arial" w:eastAsia="Times New Roman" w:hAnsi="Arial" w:cs="Arial"/>
          <w:color w:val="000000"/>
          <w:sz w:val="20"/>
          <w:szCs w:val="20"/>
          <w:lang w:val="en-IN"/>
        </w:rPr>
        <w:t>Bangaram</w:t>
      </w:r>
      <w:proofErr w:type="spellEnd"/>
      <w:r w:rsidRPr="00662CB0">
        <w:rPr>
          <w:rFonts w:ascii="Arial" w:eastAsia="Times New Roman" w:hAnsi="Arial" w:cs="Arial"/>
          <w:color w:val="000000"/>
          <w:sz w:val="20"/>
          <w:szCs w:val="20"/>
          <w:lang w:val="en-IN"/>
        </w:rPr>
        <w:t xml:space="preserve"> Local in </w:t>
      </w:r>
      <w:proofErr w:type="spellStart"/>
      <w:r w:rsidRPr="00662CB0">
        <w:rPr>
          <w:rFonts w:ascii="Arial" w:eastAsia="Times New Roman" w:hAnsi="Arial" w:cs="Arial"/>
          <w:color w:val="000000"/>
          <w:sz w:val="20"/>
          <w:szCs w:val="20"/>
          <w:lang w:val="en-IN"/>
        </w:rPr>
        <w:t>Narayankhed</w:t>
      </w:r>
      <w:proofErr w:type="spellEnd"/>
      <w:r w:rsidRPr="00662CB0">
        <w:rPr>
          <w:rFonts w:ascii="Arial" w:eastAsia="Times New Roman" w:hAnsi="Arial" w:cs="Arial"/>
          <w:color w:val="000000"/>
          <w:sz w:val="20"/>
          <w:szCs w:val="20"/>
          <w:lang w:val="en-IN"/>
        </w:rPr>
        <w:t>).</w:t>
      </w:r>
    </w:p>
    <w:p w14:paraId="16D85C74" w14:textId="77777777" w:rsidR="00DF50CD" w:rsidRPr="00662CB0" w:rsidRDefault="00DF50CD" w:rsidP="00662CB0">
      <w:pPr>
        <w:numPr>
          <w:ilvl w:val="0"/>
          <w:numId w:val="5"/>
        </w:numPr>
        <w:spacing w:after="0" w:line="240" w:lineRule="auto"/>
        <w:jc w:val="both"/>
        <w:rPr>
          <w:rFonts w:ascii="Arial" w:eastAsia="Times New Roman" w:hAnsi="Arial" w:cs="Arial"/>
          <w:color w:val="000000"/>
          <w:sz w:val="20"/>
          <w:szCs w:val="20"/>
          <w:lang w:val="en-IN"/>
        </w:rPr>
      </w:pPr>
      <w:r w:rsidRPr="00662CB0">
        <w:rPr>
          <w:rFonts w:ascii="Arial" w:eastAsia="Times New Roman" w:hAnsi="Arial" w:cs="Arial"/>
          <w:b/>
          <w:bCs/>
          <w:color w:val="000000"/>
          <w:sz w:val="20"/>
          <w:szCs w:val="20"/>
          <w:lang w:val="en-IN"/>
        </w:rPr>
        <w:t>T</w:t>
      </w:r>
      <w:r w:rsidRPr="00662CB0">
        <w:rPr>
          <w:rFonts w:ascii="Cambria Math" w:eastAsia="Times New Roman" w:hAnsi="Cambria Math" w:cs="Cambria Math"/>
          <w:b/>
          <w:bCs/>
          <w:color w:val="000000"/>
          <w:sz w:val="20"/>
          <w:szCs w:val="20"/>
          <w:lang w:val="en-IN"/>
        </w:rPr>
        <w:t>₂</w:t>
      </w:r>
      <w:r w:rsidRPr="00662CB0">
        <w:rPr>
          <w:rFonts w:ascii="Arial" w:eastAsia="Times New Roman" w:hAnsi="Arial" w:cs="Arial"/>
          <w:b/>
          <w:bCs/>
          <w:color w:val="000000"/>
          <w:sz w:val="20"/>
          <w:szCs w:val="20"/>
          <w:lang w:val="en-IN"/>
        </w:rPr>
        <w:t xml:space="preserve"> – Improved Variety (Bhima Super):</w:t>
      </w:r>
      <w:r w:rsidRPr="00662CB0">
        <w:rPr>
          <w:rFonts w:ascii="Arial" w:eastAsia="Times New Roman" w:hAnsi="Arial" w:cs="Arial"/>
          <w:color w:val="000000"/>
          <w:sz w:val="20"/>
          <w:szCs w:val="20"/>
          <w:lang w:val="en-IN"/>
        </w:rPr>
        <w:t xml:space="preserve"> A red onion variety developed by DOGR, Pune, recommended for kharif and late kharif cultivation.</w:t>
      </w:r>
    </w:p>
    <w:p w14:paraId="055F9208" w14:textId="77777777" w:rsidR="00DF50CD" w:rsidRPr="00662CB0" w:rsidRDefault="00DF50CD" w:rsidP="00662CB0">
      <w:pPr>
        <w:spacing w:after="0" w:line="240" w:lineRule="auto"/>
        <w:jc w:val="both"/>
        <w:rPr>
          <w:rFonts w:ascii="Arial" w:eastAsia="Times New Roman" w:hAnsi="Arial" w:cs="Arial"/>
          <w:color w:val="000000"/>
          <w:sz w:val="20"/>
          <w:szCs w:val="20"/>
          <w:lang w:val="en-IN"/>
        </w:rPr>
      </w:pPr>
      <w:r w:rsidRPr="00662CB0">
        <w:rPr>
          <w:rFonts w:ascii="Arial" w:eastAsia="Times New Roman" w:hAnsi="Arial" w:cs="Arial"/>
          <w:color w:val="000000"/>
          <w:sz w:val="20"/>
          <w:szCs w:val="20"/>
          <w:lang w:val="en-IN"/>
        </w:rPr>
        <w:t>Each farmer’s field served as a replication, with an individual plot size of 0.4 ha (1 acre). All demonstrations were conducted under rainfed conditions, with supplemental irrigation provided only during prolonged dry spells.</w:t>
      </w:r>
    </w:p>
    <w:p w14:paraId="3E71DFC0" w14:textId="33E0763C" w:rsidR="00DF50CD" w:rsidRPr="00662CB0" w:rsidRDefault="00DF50CD" w:rsidP="00662CB0">
      <w:pPr>
        <w:spacing w:after="0" w:line="240" w:lineRule="auto"/>
        <w:jc w:val="both"/>
        <w:rPr>
          <w:rFonts w:ascii="Arial" w:eastAsia="Times New Roman" w:hAnsi="Arial" w:cs="Arial"/>
          <w:color w:val="000000"/>
          <w:sz w:val="20"/>
          <w:szCs w:val="20"/>
          <w:lang w:val="en-IN"/>
        </w:rPr>
      </w:pPr>
    </w:p>
    <w:p w14:paraId="31A18DFC" w14:textId="5A6C9B5A" w:rsidR="00DF50CD" w:rsidRPr="00662CB0" w:rsidRDefault="00DF50CD" w:rsidP="00662CB0">
      <w:pPr>
        <w:spacing w:after="0" w:line="240" w:lineRule="auto"/>
        <w:jc w:val="both"/>
        <w:rPr>
          <w:rFonts w:ascii="Arial" w:eastAsia="Times New Roman" w:hAnsi="Arial" w:cs="Arial"/>
          <w:b/>
          <w:bCs/>
          <w:color w:val="000000"/>
          <w:sz w:val="20"/>
          <w:szCs w:val="20"/>
          <w:lang w:val="en-IN"/>
        </w:rPr>
      </w:pPr>
      <w:r w:rsidRPr="00662CB0">
        <w:rPr>
          <w:rFonts w:ascii="Arial" w:eastAsia="Times New Roman" w:hAnsi="Arial" w:cs="Arial"/>
          <w:b/>
          <w:bCs/>
          <w:color w:val="000000"/>
          <w:sz w:val="20"/>
          <w:szCs w:val="20"/>
          <w:lang w:val="en-IN"/>
        </w:rPr>
        <w:t>2.3 Seed Source and Treatment</w:t>
      </w:r>
    </w:p>
    <w:p w14:paraId="20D638CA" w14:textId="31E169C0" w:rsidR="00DF50CD" w:rsidRPr="00662CB0" w:rsidRDefault="00DF50CD" w:rsidP="00662CB0">
      <w:pPr>
        <w:spacing w:after="0" w:line="240" w:lineRule="auto"/>
        <w:jc w:val="both"/>
        <w:rPr>
          <w:rFonts w:ascii="Arial" w:eastAsia="Times New Roman" w:hAnsi="Arial" w:cs="Arial"/>
          <w:color w:val="000000"/>
          <w:sz w:val="20"/>
          <w:szCs w:val="20"/>
          <w:lang w:val="en-IN"/>
        </w:rPr>
      </w:pPr>
      <w:r w:rsidRPr="00662CB0">
        <w:rPr>
          <w:rFonts w:ascii="Arial" w:eastAsia="Times New Roman" w:hAnsi="Arial" w:cs="Arial"/>
          <w:color w:val="000000"/>
          <w:sz w:val="20"/>
          <w:szCs w:val="20"/>
          <w:lang w:val="en-IN"/>
        </w:rPr>
        <w:t xml:space="preserve">Certified seeds of </w:t>
      </w:r>
      <w:r w:rsidRPr="00662CB0">
        <w:rPr>
          <w:rFonts w:ascii="Arial" w:eastAsia="Times New Roman" w:hAnsi="Arial" w:cs="Arial"/>
          <w:i/>
          <w:iCs/>
          <w:color w:val="000000"/>
          <w:sz w:val="20"/>
          <w:szCs w:val="20"/>
          <w:lang w:val="en-IN"/>
        </w:rPr>
        <w:t>Bhima Super</w:t>
      </w:r>
      <w:r w:rsidRPr="00662CB0">
        <w:rPr>
          <w:rFonts w:ascii="Arial" w:eastAsia="Times New Roman" w:hAnsi="Arial" w:cs="Arial"/>
          <w:color w:val="000000"/>
          <w:sz w:val="20"/>
          <w:szCs w:val="20"/>
          <w:lang w:val="en-IN"/>
        </w:rPr>
        <w:t xml:space="preserve"> were obtained from the National Horticultural Research and Development Foundation (NHRDF), Nashik. Seeds were treated with </w:t>
      </w:r>
      <w:r w:rsidRPr="00662CB0">
        <w:rPr>
          <w:rFonts w:ascii="Arial" w:eastAsia="Times New Roman" w:hAnsi="Arial" w:cs="Arial"/>
          <w:i/>
          <w:iCs/>
          <w:color w:val="000000"/>
          <w:sz w:val="20"/>
          <w:szCs w:val="20"/>
          <w:lang w:val="en-IN"/>
        </w:rPr>
        <w:t xml:space="preserve">Trichoderma </w:t>
      </w:r>
      <w:proofErr w:type="spellStart"/>
      <w:r w:rsidRPr="00662CB0">
        <w:rPr>
          <w:rFonts w:ascii="Arial" w:eastAsia="Times New Roman" w:hAnsi="Arial" w:cs="Arial"/>
          <w:i/>
          <w:iCs/>
          <w:color w:val="000000"/>
          <w:sz w:val="20"/>
          <w:szCs w:val="20"/>
          <w:lang w:val="en-IN"/>
        </w:rPr>
        <w:t>harzianum</w:t>
      </w:r>
      <w:proofErr w:type="spellEnd"/>
      <w:r w:rsidRPr="00662CB0">
        <w:rPr>
          <w:rFonts w:ascii="Arial" w:eastAsia="Times New Roman" w:hAnsi="Arial" w:cs="Arial"/>
          <w:color w:val="000000"/>
          <w:sz w:val="20"/>
          <w:szCs w:val="20"/>
          <w:lang w:val="en-IN"/>
        </w:rPr>
        <w:t xml:space="preserve"> @ 4 g </w:t>
      </w:r>
      <w:r w:rsidRPr="00662CB0">
        <w:rPr>
          <w:rFonts w:ascii="Arial" w:eastAsia="Times New Roman" w:hAnsi="Arial" w:cs="Arial"/>
          <w:color w:val="000000"/>
          <w:sz w:val="20"/>
          <w:szCs w:val="20"/>
          <w:lang w:val="en-IN"/>
        </w:rPr>
        <w:lastRenderedPageBreak/>
        <w:t xml:space="preserve">per kg of seed to minimize soil-borne fungal infections and enhance seedling </w:t>
      </w:r>
      <w:proofErr w:type="spellStart"/>
      <w:r w:rsidRPr="00662CB0">
        <w:rPr>
          <w:rFonts w:ascii="Arial" w:eastAsia="Times New Roman" w:hAnsi="Arial" w:cs="Arial"/>
          <w:color w:val="000000"/>
          <w:sz w:val="20"/>
          <w:szCs w:val="20"/>
          <w:lang w:val="en-IN"/>
        </w:rPr>
        <w:t>vigor</w:t>
      </w:r>
      <w:proofErr w:type="spellEnd"/>
      <w:r w:rsidRPr="00662CB0">
        <w:rPr>
          <w:rFonts w:ascii="Arial" w:eastAsia="Times New Roman" w:hAnsi="Arial" w:cs="Arial"/>
          <w:color w:val="000000"/>
          <w:sz w:val="20"/>
          <w:szCs w:val="20"/>
          <w:lang w:val="en-IN"/>
        </w:rPr>
        <w:t>. The treated seeds were sown in well-prepared raised nursery beds, followed by transplanting at 35–40 days after sowing (DAS) when seedlings reached approximately 15–20 cm in height.</w:t>
      </w:r>
    </w:p>
    <w:p w14:paraId="45A3AE63" w14:textId="736521E9" w:rsidR="00DF50CD" w:rsidRPr="00662CB0" w:rsidRDefault="00DF50CD" w:rsidP="00662CB0">
      <w:pPr>
        <w:spacing w:after="0" w:line="240" w:lineRule="auto"/>
        <w:jc w:val="both"/>
        <w:rPr>
          <w:rFonts w:ascii="Arial" w:eastAsia="Times New Roman" w:hAnsi="Arial" w:cs="Arial"/>
          <w:color w:val="000000"/>
          <w:sz w:val="20"/>
          <w:szCs w:val="20"/>
          <w:lang w:val="en-IN"/>
        </w:rPr>
      </w:pPr>
    </w:p>
    <w:p w14:paraId="554D7293" w14:textId="20F57F3D" w:rsidR="00DF50CD" w:rsidRPr="00662CB0" w:rsidRDefault="00DF50CD" w:rsidP="00662CB0">
      <w:pPr>
        <w:spacing w:after="0" w:line="240" w:lineRule="auto"/>
        <w:jc w:val="both"/>
        <w:rPr>
          <w:rFonts w:ascii="Arial" w:eastAsia="Times New Roman" w:hAnsi="Arial" w:cs="Arial"/>
          <w:b/>
          <w:bCs/>
          <w:color w:val="000000"/>
          <w:sz w:val="20"/>
          <w:szCs w:val="20"/>
          <w:lang w:val="en-IN"/>
        </w:rPr>
      </w:pPr>
      <w:r w:rsidRPr="00662CB0">
        <w:rPr>
          <w:rFonts w:ascii="Arial" w:eastAsia="Times New Roman" w:hAnsi="Arial" w:cs="Arial"/>
          <w:b/>
          <w:bCs/>
          <w:color w:val="000000"/>
          <w:sz w:val="20"/>
          <w:szCs w:val="20"/>
          <w:lang w:val="en-IN"/>
        </w:rPr>
        <w:t>2.4 Crop Management Practices</w:t>
      </w:r>
    </w:p>
    <w:p w14:paraId="17315F66" w14:textId="77777777" w:rsidR="00DF50CD" w:rsidRPr="00662CB0" w:rsidRDefault="00DF50CD" w:rsidP="00662CB0">
      <w:pPr>
        <w:spacing w:after="0" w:line="240" w:lineRule="auto"/>
        <w:jc w:val="both"/>
        <w:rPr>
          <w:rFonts w:ascii="Arial" w:eastAsia="Times New Roman" w:hAnsi="Arial" w:cs="Arial"/>
          <w:color w:val="000000"/>
          <w:sz w:val="20"/>
          <w:szCs w:val="20"/>
          <w:lang w:val="en-IN"/>
        </w:rPr>
      </w:pPr>
      <w:r w:rsidRPr="00662CB0">
        <w:rPr>
          <w:rFonts w:ascii="Arial" w:eastAsia="Times New Roman" w:hAnsi="Arial" w:cs="Arial"/>
          <w:color w:val="000000"/>
          <w:sz w:val="20"/>
          <w:szCs w:val="20"/>
          <w:lang w:val="en-IN"/>
        </w:rPr>
        <w:t xml:space="preserve">All recommended </w:t>
      </w:r>
      <w:r w:rsidRPr="00662CB0">
        <w:rPr>
          <w:rFonts w:ascii="Arial" w:eastAsia="Times New Roman" w:hAnsi="Arial" w:cs="Arial"/>
          <w:b/>
          <w:bCs/>
          <w:color w:val="000000"/>
          <w:sz w:val="20"/>
          <w:szCs w:val="20"/>
          <w:lang w:val="en-IN"/>
        </w:rPr>
        <w:t>package of practices</w:t>
      </w:r>
      <w:r w:rsidRPr="00662CB0">
        <w:rPr>
          <w:rFonts w:ascii="Arial" w:eastAsia="Times New Roman" w:hAnsi="Arial" w:cs="Arial"/>
          <w:color w:val="000000"/>
          <w:sz w:val="20"/>
          <w:szCs w:val="20"/>
          <w:lang w:val="en-IN"/>
        </w:rPr>
        <w:t xml:space="preserve"> for onion cultivation as per PJTSAU guidelines were strictly followed. Key management steps included:</w:t>
      </w:r>
    </w:p>
    <w:p w14:paraId="5C259868" w14:textId="77777777" w:rsidR="00DF50CD" w:rsidRPr="00662CB0" w:rsidRDefault="00DF50CD" w:rsidP="00662CB0">
      <w:pPr>
        <w:numPr>
          <w:ilvl w:val="0"/>
          <w:numId w:val="6"/>
        </w:numPr>
        <w:spacing w:after="0" w:line="240" w:lineRule="auto"/>
        <w:jc w:val="both"/>
        <w:rPr>
          <w:rFonts w:ascii="Arial" w:eastAsia="Times New Roman" w:hAnsi="Arial" w:cs="Arial"/>
          <w:color w:val="000000"/>
          <w:sz w:val="20"/>
          <w:szCs w:val="20"/>
          <w:lang w:val="en-IN"/>
        </w:rPr>
      </w:pPr>
      <w:r w:rsidRPr="00662CB0">
        <w:rPr>
          <w:rFonts w:ascii="Arial" w:eastAsia="Times New Roman" w:hAnsi="Arial" w:cs="Arial"/>
          <w:i/>
          <w:iCs/>
          <w:color w:val="000000"/>
          <w:sz w:val="20"/>
          <w:szCs w:val="20"/>
          <w:lang w:val="en-IN"/>
        </w:rPr>
        <w:t>Land Preparation</w:t>
      </w:r>
      <w:r w:rsidRPr="00662CB0">
        <w:rPr>
          <w:rFonts w:ascii="Arial" w:eastAsia="Times New Roman" w:hAnsi="Arial" w:cs="Arial"/>
          <w:b/>
          <w:bCs/>
          <w:color w:val="000000"/>
          <w:sz w:val="20"/>
          <w:szCs w:val="20"/>
          <w:lang w:val="en-IN"/>
        </w:rPr>
        <w:t>:</w:t>
      </w:r>
      <w:r w:rsidRPr="00662CB0">
        <w:rPr>
          <w:rFonts w:ascii="Arial" w:eastAsia="Times New Roman" w:hAnsi="Arial" w:cs="Arial"/>
          <w:color w:val="000000"/>
          <w:sz w:val="20"/>
          <w:szCs w:val="20"/>
          <w:lang w:val="en-IN"/>
        </w:rPr>
        <w:t xml:space="preserve"> Three ploughings followed by levelling and ridging at 15–20 cm spacing.</w:t>
      </w:r>
    </w:p>
    <w:p w14:paraId="2954AB25" w14:textId="0FEE75FA" w:rsidR="00DF50CD" w:rsidRPr="00662CB0" w:rsidRDefault="00DF50CD" w:rsidP="00662CB0">
      <w:pPr>
        <w:numPr>
          <w:ilvl w:val="0"/>
          <w:numId w:val="6"/>
        </w:numPr>
        <w:spacing w:after="0" w:line="240" w:lineRule="auto"/>
        <w:jc w:val="both"/>
        <w:rPr>
          <w:rFonts w:ascii="Arial" w:eastAsia="Times New Roman" w:hAnsi="Arial" w:cs="Arial"/>
          <w:color w:val="000000"/>
          <w:sz w:val="20"/>
          <w:szCs w:val="20"/>
          <w:lang w:val="en-IN"/>
        </w:rPr>
      </w:pPr>
      <w:r w:rsidRPr="00662CB0">
        <w:rPr>
          <w:rFonts w:ascii="Arial" w:eastAsia="Times New Roman" w:hAnsi="Arial" w:cs="Arial"/>
          <w:i/>
          <w:iCs/>
          <w:color w:val="000000"/>
          <w:sz w:val="20"/>
          <w:szCs w:val="20"/>
          <w:lang w:val="en-IN"/>
        </w:rPr>
        <w:t>Fertilizer Application</w:t>
      </w:r>
      <w:r w:rsidRPr="00662CB0">
        <w:rPr>
          <w:rFonts w:ascii="Arial" w:eastAsia="Times New Roman" w:hAnsi="Arial" w:cs="Arial"/>
          <w:b/>
          <w:bCs/>
          <w:color w:val="000000"/>
          <w:sz w:val="20"/>
          <w:szCs w:val="20"/>
          <w:lang w:val="en-IN"/>
        </w:rPr>
        <w:t>:</w:t>
      </w:r>
      <w:r w:rsidRPr="00662CB0">
        <w:rPr>
          <w:rFonts w:ascii="Arial" w:eastAsia="Times New Roman" w:hAnsi="Arial" w:cs="Arial"/>
          <w:color w:val="000000"/>
          <w:sz w:val="20"/>
          <w:szCs w:val="20"/>
          <w:lang w:val="en-IN"/>
        </w:rPr>
        <w:t xml:space="preserve"> Based on soil test values, nutrients were applied at 100:50:50 kg N:P</w:t>
      </w:r>
      <w:r w:rsidRPr="00662CB0">
        <w:rPr>
          <w:rFonts w:ascii="Cambria Math" w:eastAsia="Times New Roman" w:hAnsi="Cambria Math" w:cs="Cambria Math"/>
          <w:color w:val="000000"/>
          <w:sz w:val="20"/>
          <w:szCs w:val="20"/>
          <w:lang w:val="en-IN"/>
        </w:rPr>
        <w:t>₂</w:t>
      </w:r>
      <w:r w:rsidRPr="00662CB0">
        <w:rPr>
          <w:rFonts w:ascii="Arial" w:eastAsia="Times New Roman" w:hAnsi="Arial" w:cs="Arial"/>
          <w:color w:val="000000"/>
          <w:sz w:val="20"/>
          <w:szCs w:val="20"/>
          <w:lang w:val="en-IN"/>
        </w:rPr>
        <w:t>O</w:t>
      </w:r>
      <w:r w:rsidRPr="00662CB0">
        <w:rPr>
          <w:rFonts w:ascii="Cambria Math" w:eastAsia="Times New Roman" w:hAnsi="Cambria Math" w:cs="Cambria Math"/>
          <w:color w:val="000000"/>
          <w:sz w:val="20"/>
          <w:szCs w:val="20"/>
          <w:lang w:val="en-IN"/>
        </w:rPr>
        <w:t>₅</w:t>
      </w:r>
      <w:r w:rsidRPr="00662CB0">
        <w:rPr>
          <w:rFonts w:ascii="Arial" w:eastAsia="Times New Roman" w:hAnsi="Arial" w:cs="Arial"/>
          <w:color w:val="000000"/>
          <w:sz w:val="20"/>
          <w:szCs w:val="20"/>
          <w:lang w:val="en-IN"/>
        </w:rPr>
        <w:t>:</w:t>
      </w:r>
      <w:r w:rsidR="0072728B">
        <w:rPr>
          <w:rFonts w:ascii="Arial" w:eastAsia="Times New Roman" w:hAnsi="Arial" w:cs="Arial"/>
          <w:color w:val="000000"/>
          <w:sz w:val="20"/>
          <w:szCs w:val="20"/>
          <w:lang w:val="en-IN"/>
        </w:rPr>
        <w:t xml:space="preserve"> </w:t>
      </w:r>
      <w:r w:rsidRPr="00662CB0">
        <w:rPr>
          <w:rFonts w:ascii="Arial" w:eastAsia="Times New Roman" w:hAnsi="Arial" w:cs="Arial"/>
          <w:color w:val="000000"/>
          <w:sz w:val="20"/>
          <w:szCs w:val="20"/>
          <w:lang w:val="en-IN"/>
        </w:rPr>
        <w:t>K</w:t>
      </w:r>
      <w:r w:rsidRPr="00662CB0">
        <w:rPr>
          <w:rFonts w:ascii="Cambria Math" w:eastAsia="Times New Roman" w:hAnsi="Cambria Math" w:cs="Cambria Math"/>
          <w:color w:val="000000"/>
          <w:sz w:val="20"/>
          <w:szCs w:val="20"/>
          <w:lang w:val="en-IN"/>
        </w:rPr>
        <w:t>₂</w:t>
      </w:r>
      <w:r w:rsidRPr="00662CB0">
        <w:rPr>
          <w:rFonts w:ascii="Arial" w:eastAsia="Times New Roman" w:hAnsi="Arial" w:cs="Arial"/>
          <w:color w:val="000000"/>
          <w:sz w:val="20"/>
          <w:szCs w:val="20"/>
          <w:lang w:val="en-IN"/>
        </w:rPr>
        <w:t>O ha</w:t>
      </w:r>
      <w:r w:rsidRPr="00662CB0">
        <w:rPr>
          <w:rFonts w:ascii="Cambria Math" w:eastAsia="Times New Roman" w:hAnsi="Cambria Math" w:cs="Cambria Math"/>
          <w:color w:val="000000"/>
          <w:sz w:val="20"/>
          <w:szCs w:val="20"/>
          <w:lang w:val="en-IN"/>
        </w:rPr>
        <w:t>⁻</w:t>
      </w:r>
      <w:r w:rsidRPr="00662CB0">
        <w:rPr>
          <w:rFonts w:ascii="Arial" w:eastAsia="Times New Roman" w:hAnsi="Arial" w:cs="Arial"/>
          <w:color w:val="000000"/>
          <w:sz w:val="20"/>
          <w:szCs w:val="20"/>
          <w:lang w:val="en-IN"/>
        </w:rPr>
        <w:t>¹. Half of the nitrogen and full doses of phosphorus and potassium were applied as basal, while the remaining nitrogen was top-dressed 30 days after transplanting.</w:t>
      </w:r>
    </w:p>
    <w:p w14:paraId="30366A5B" w14:textId="77777777" w:rsidR="00DF50CD" w:rsidRPr="00662CB0" w:rsidRDefault="00DF50CD" w:rsidP="00662CB0">
      <w:pPr>
        <w:numPr>
          <w:ilvl w:val="0"/>
          <w:numId w:val="6"/>
        </w:numPr>
        <w:spacing w:after="0" w:line="240" w:lineRule="auto"/>
        <w:jc w:val="both"/>
        <w:rPr>
          <w:rFonts w:ascii="Arial" w:eastAsia="Times New Roman" w:hAnsi="Arial" w:cs="Arial"/>
          <w:color w:val="000000"/>
          <w:sz w:val="20"/>
          <w:szCs w:val="20"/>
          <w:lang w:val="en-IN"/>
        </w:rPr>
      </w:pPr>
      <w:r w:rsidRPr="00662CB0">
        <w:rPr>
          <w:rFonts w:ascii="Arial" w:eastAsia="Times New Roman" w:hAnsi="Arial" w:cs="Arial"/>
          <w:i/>
          <w:iCs/>
          <w:color w:val="000000"/>
          <w:sz w:val="20"/>
          <w:szCs w:val="20"/>
          <w:lang w:val="en-IN"/>
        </w:rPr>
        <w:t>Spacing</w:t>
      </w:r>
      <w:r w:rsidRPr="00662CB0">
        <w:rPr>
          <w:rFonts w:ascii="Arial" w:eastAsia="Times New Roman" w:hAnsi="Arial" w:cs="Arial"/>
          <w:b/>
          <w:bCs/>
          <w:color w:val="000000"/>
          <w:sz w:val="20"/>
          <w:szCs w:val="20"/>
          <w:lang w:val="en-IN"/>
        </w:rPr>
        <w:t>:</w:t>
      </w:r>
      <w:r w:rsidRPr="00662CB0">
        <w:rPr>
          <w:rFonts w:ascii="Arial" w:eastAsia="Times New Roman" w:hAnsi="Arial" w:cs="Arial"/>
          <w:color w:val="000000"/>
          <w:sz w:val="20"/>
          <w:szCs w:val="20"/>
          <w:lang w:val="en-IN"/>
        </w:rPr>
        <w:t xml:space="preserve"> Seedlings were transplanted at 15 cm × 10 cm spacing on raised beds.</w:t>
      </w:r>
    </w:p>
    <w:p w14:paraId="329AFC93" w14:textId="77777777" w:rsidR="00DF50CD" w:rsidRPr="00662CB0" w:rsidRDefault="00DF50CD" w:rsidP="00662CB0">
      <w:pPr>
        <w:numPr>
          <w:ilvl w:val="0"/>
          <w:numId w:val="6"/>
        </w:numPr>
        <w:spacing w:after="0" w:line="240" w:lineRule="auto"/>
        <w:jc w:val="both"/>
        <w:rPr>
          <w:rFonts w:ascii="Arial" w:eastAsia="Times New Roman" w:hAnsi="Arial" w:cs="Arial"/>
          <w:color w:val="000000"/>
          <w:sz w:val="20"/>
          <w:szCs w:val="20"/>
          <w:lang w:val="en-IN"/>
        </w:rPr>
      </w:pPr>
      <w:r w:rsidRPr="00662CB0">
        <w:rPr>
          <w:rFonts w:ascii="Arial" w:eastAsia="Times New Roman" w:hAnsi="Arial" w:cs="Arial"/>
          <w:i/>
          <w:iCs/>
          <w:color w:val="000000"/>
          <w:sz w:val="20"/>
          <w:szCs w:val="20"/>
          <w:lang w:val="en-IN"/>
        </w:rPr>
        <w:t>Weed and Water Management:</w:t>
      </w:r>
      <w:r w:rsidRPr="00662CB0">
        <w:rPr>
          <w:rFonts w:ascii="Arial" w:eastAsia="Times New Roman" w:hAnsi="Arial" w:cs="Arial"/>
          <w:color w:val="000000"/>
          <w:sz w:val="20"/>
          <w:szCs w:val="20"/>
          <w:lang w:val="en-IN"/>
        </w:rPr>
        <w:t xml:space="preserve"> Hand weeding at 25 and 45 days after transplanting (DAT). Irrigation was provided at 8–</w:t>
      </w:r>
      <w:proofErr w:type="gramStart"/>
      <w:r w:rsidRPr="00662CB0">
        <w:rPr>
          <w:rFonts w:ascii="Arial" w:eastAsia="Times New Roman" w:hAnsi="Arial" w:cs="Arial"/>
          <w:color w:val="000000"/>
          <w:sz w:val="20"/>
          <w:szCs w:val="20"/>
          <w:lang w:val="en-IN"/>
        </w:rPr>
        <w:t>10 day</w:t>
      </w:r>
      <w:proofErr w:type="gramEnd"/>
      <w:r w:rsidRPr="00662CB0">
        <w:rPr>
          <w:rFonts w:ascii="Arial" w:eastAsia="Times New Roman" w:hAnsi="Arial" w:cs="Arial"/>
          <w:color w:val="000000"/>
          <w:sz w:val="20"/>
          <w:szCs w:val="20"/>
          <w:lang w:val="en-IN"/>
        </w:rPr>
        <w:t xml:space="preserve"> intervals depending on rainfall distribution.</w:t>
      </w:r>
    </w:p>
    <w:p w14:paraId="7ED8733B" w14:textId="77777777" w:rsidR="00DF50CD" w:rsidRPr="00662CB0" w:rsidRDefault="00DF50CD" w:rsidP="00662CB0">
      <w:pPr>
        <w:numPr>
          <w:ilvl w:val="0"/>
          <w:numId w:val="6"/>
        </w:numPr>
        <w:spacing w:after="0" w:line="240" w:lineRule="auto"/>
        <w:jc w:val="both"/>
        <w:rPr>
          <w:rFonts w:ascii="Arial" w:eastAsia="Times New Roman" w:hAnsi="Arial" w:cs="Arial"/>
          <w:color w:val="000000"/>
          <w:sz w:val="20"/>
          <w:szCs w:val="20"/>
          <w:lang w:val="en-IN"/>
        </w:rPr>
      </w:pPr>
      <w:r w:rsidRPr="00662CB0">
        <w:rPr>
          <w:rFonts w:ascii="Arial" w:eastAsia="Times New Roman" w:hAnsi="Arial" w:cs="Arial"/>
          <w:i/>
          <w:iCs/>
          <w:color w:val="000000"/>
          <w:sz w:val="20"/>
          <w:szCs w:val="20"/>
          <w:lang w:val="en-IN"/>
        </w:rPr>
        <w:t>Pest and Disease Management</w:t>
      </w:r>
      <w:r w:rsidRPr="00662CB0">
        <w:rPr>
          <w:rFonts w:ascii="Arial" w:eastAsia="Times New Roman" w:hAnsi="Arial" w:cs="Arial"/>
          <w:b/>
          <w:bCs/>
          <w:color w:val="000000"/>
          <w:sz w:val="20"/>
          <w:szCs w:val="20"/>
          <w:lang w:val="en-IN"/>
        </w:rPr>
        <w:t>:</w:t>
      </w:r>
      <w:r w:rsidRPr="00662CB0">
        <w:rPr>
          <w:rFonts w:ascii="Arial" w:eastAsia="Times New Roman" w:hAnsi="Arial" w:cs="Arial"/>
          <w:color w:val="000000"/>
          <w:sz w:val="20"/>
          <w:szCs w:val="20"/>
          <w:lang w:val="en-IN"/>
        </w:rPr>
        <w:t xml:space="preserve"> Preventive sprays of </w:t>
      </w:r>
      <w:r w:rsidRPr="00662CB0">
        <w:rPr>
          <w:rFonts w:ascii="Arial" w:eastAsia="Times New Roman" w:hAnsi="Arial" w:cs="Arial"/>
          <w:i/>
          <w:iCs/>
          <w:color w:val="000000"/>
          <w:sz w:val="20"/>
          <w:szCs w:val="20"/>
          <w:lang w:val="en-IN"/>
        </w:rPr>
        <w:t>Imidacloprid</w:t>
      </w:r>
      <w:r w:rsidRPr="00662CB0">
        <w:rPr>
          <w:rFonts w:ascii="Arial" w:eastAsia="Times New Roman" w:hAnsi="Arial" w:cs="Arial"/>
          <w:color w:val="000000"/>
          <w:sz w:val="20"/>
          <w:szCs w:val="20"/>
          <w:lang w:val="en-IN"/>
        </w:rPr>
        <w:t xml:space="preserve"> (0.3 ml L</w:t>
      </w:r>
      <w:r w:rsidRPr="00662CB0">
        <w:rPr>
          <w:rFonts w:ascii="Cambria Math" w:eastAsia="Times New Roman" w:hAnsi="Cambria Math" w:cs="Cambria Math"/>
          <w:color w:val="000000"/>
          <w:sz w:val="20"/>
          <w:szCs w:val="20"/>
          <w:lang w:val="en-IN"/>
        </w:rPr>
        <w:t>⁻</w:t>
      </w:r>
      <w:r w:rsidRPr="00662CB0">
        <w:rPr>
          <w:rFonts w:ascii="Arial" w:eastAsia="Times New Roman" w:hAnsi="Arial" w:cs="Arial"/>
          <w:color w:val="000000"/>
          <w:sz w:val="20"/>
          <w:szCs w:val="20"/>
          <w:lang w:val="en-IN"/>
        </w:rPr>
        <w:t xml:space="preserve">¹) for thrips and </w:t>
      </w:r>
      <w:r w:rsidRPr="00662CB0">
        <w:rPr>
          <w:rFonts w:ascii="Arial" w:eastAsia="Times New Roman" w:hAnsi="Arial" w:cs="Arial"/>
          <w:i/>
          <w:iCs/>
          <w:color w:val="000000"/>
          <w:sz w:val="20"/>
          <w:szCs w:val="20"/>
          <w:lang w:val="en-IN"/>
        </w:rPr>
        <w:t>Mancozeb</w:t>
      </w:r>
      <w:r w:rsidRPr="00662CB0">
        <w:rPr>
          <w:rFonts w:ascii="Arial" w:eastAsia="Times New Roman" w:hAnsi="Arial" w:cs="Arial"/>
          <w:color w:val="000000"/>
          <w:sz w:val="20"/>
          <w:szCs w:val="20"/>
          <w:lang w:val="en-IN"/>
        </w:rPr>
        <w:t xml:space="preserve"> (0.25%) for foliar diseases were applied at fortnightly intervals.</w:t>
      </w:r>
    </w:p>
    <w:p w14:paraId="50C9AAD9" w14:textId="051F08F3" w:rsidR="00DF50CD" w:rsidRPr="00662CB0" w:rsidRDefault="00DF50CD" w:rsidP="00662CB0">
      <w:pPr>
        <w:spacing w:after="0" w:line="240" w:lineRule="auto"/>
        <w:jc w:val="both"/>
        <w:rPr>
          <w:rFonts w:ascii="Arial" w:eastAsia="Times New Roman" w:hAnsi="Arial" w:cs="Arial"/>
          <w:color w:val="000000"/>
          <w:sz w:val="20"/>
          <w:szCs w:val="20"/>
          <w:lang w:val="en-IN"/>
        </w:rPr>
      </w:pPr>
    </w:p>
    <w:p w14:paraId="63AC2FF4" w14:textId="660F73C9" w:rsidR="00DF50CD" w:rsidRPr="00662CB0" w:rsidRDefault="00DF50CD" w:rsidP="00662CB0">
      <w:pPr>
        <w:spacing w:after="0" w:line="240" w:lineRule="auto"/>
        <w:jc w:val="both"/>
        <w:rPr>
          <w:rFonts w:ascii="Arial" w:eastAsia="Times New Roman" w:hAnsi="Arial" w:cs="Arial"/>
          <w:color w:val="000000"/>
          <w:sz w:val="20"/>
          <w:szCs w:val="20"/>
          <w:lang w:val="en-IN"/>
        </w:rPr>
      </w:pPr>
      <w:r w:rsidRPr="00662CB0">
        <w:rPr>
          <w:rFonts w:ascii="Arial" w:eastAsia="Times New Roman" w:hAnsi="Arial" w:cs="Arial"/>
          <w:b/>
          <w:bCs/>
          <w:color w:val="000000"/>
          <w:sz w:val="20"/>
          <w:szCs w:val="20"/>
          <w:lang w:val="en-IN"/>
        </w:rPr>
        <w:t>2.5 Observations Recorded</w:t>
      </w:r>
    </w:p>
    <w:p w14:paraId="5FB89DC6" w14:textId="77777777" w:rsidR="00DF50CD" w:rsidRPr="00662CB0" w:rsidRDefault="00DF50CD" w:rsidP="00662CB0">
      <w:pPr>
        <w:spacing w:after="0" w:line="240" w:lineRule="auto"/>
        <w:jc w:val="both"/>
        <w:rPr>
          <w:rFonts w:ascii="Arial" w:eastAsia="Times New Roman" w:hAnsi="Arial" w:cs="Arial"/>
          <w:color w:val="000000"/>
          <w:sz w:val="20"/>
          <w:szCs w:val="20"/>
          <w:lang w:val="en-IN"/>
        </w:rPr>
      </w:pPr>
      <w:r w:rsidRPr="00662CB0">
        <w:rPr>
          <w:rFonts w:ascii="Arial" w:eastAsia="Times New Roman" w:hAnsi="Arial" w:cs="Arial"/>
          <w:color w:val="000000"/>
          <w:sz w:val="20"/>
          <w:szCs w:val="20"/>
          <w:lang w:val="en-IN"/>
        </w:rPr>
        <w:t>To assess varietal performance, observations were recorded on 10 randomly selected plants per plot at various growth stages for the following parameters:</w:t>
      </w:r>
    </w:p>
    <w:p w14:paraId="4889919E" w14:textId="77777777" w:rsidR="00DF50CD" w:rsidRPr="00662CB0" w:rsidRDefault="00DF50CD" w:rsidP="00662CB0">
      <w:pPr>
        <w:spacing w:after="0" w:line="240" w:lineRule="auto"/>
        <w:jc w:val="both"/>
        <w:rPr>
          <w:rFonts w:ascii="Arial" w:eastAsia="Times New Roman" w:hAnsi="Arial" w:cs="Arial"/>
          <w:b/>
          <w:bCs/>
          <w:color w:val="000000"/>
          <w:sz w:val="20"/>
          <w:szCs w:val="20"/>
          <w:lang w:val="en-IN"/>
        </w:rPr>
      </w:pPr>
      <w:r w:rsidRPr="00662CB0">
        <w:rPr>
          <w:rFonts w:ascii="Arial" w:eastAsia="Times New Roman" w:hAnsi="Arial" w:cs="Arial"/>
          <w:b/>
          <w:bCs/>
          <w:color w:val="000000"/>
          <w:sz w:val="20"/>
          <w:szCs w:val="20"/>
          <w:lang w:val="en-IN"/>
        </w:rPr>
        <w:t>A. Germination Percentage (%)</w:t>
      </w:r>
    </w:p>
    <w:p w14:paraId="60A42852" w14:textId="77777777" w:rsidR="00DF50CD" w:rsidRPr="00662CB0" w:rsidRDefault="00DF50CD" w:rsidP="00662CB0">
      <w:pPr>
        <w:spacing w:after="0" w:line="240" w:lineRule="auto"/>
        <w:jc w:val="both"/>
        <w:rPr>
          <w:rFonts w:ascii="Arial" w:eastAsia="Times New Roman" w:hAnsi="Arial" w:cs="Arial"/>
          <w:color w:val="000000"/>
          <w:sz w:val="20"/>
          <w:szCs w:val="20"/>
          <w:lang w:val="en-IN"/>
        </w:rPr>
      </w:pPr>
      <w:r w:rsidRPr="00662CB0">
        <w:rPr>
          <w:rFonts w:ascii="Arial" w:eastAsia="Times New Roman" w:hAnsi="Arial" w:cs="Arial"/>
          <w:color w:val="000000"/>
          <w:sz w:val="20"/>
          <w:szCs w:val="20"/>
          <w:lang w:val="en-IN"/>
        </w:rPr>
        <w:t>Germination percentage was determined by counting emerged seedlings 15 days after sowing, expressed as:</w:t>
      </w:r>
    </w:p>
    <w:p w14:paraId="14ABCE66" w14:textId="5854A6E1" w:rsidR="00DF50CD" w:rsidRPr="00662CB0" w:rsidRDefault="00DF50CD" w:rsidP="00662CB0">
      <w:pPr>
        <w:spacing w:after="0" w:line="240" w:lineRule="auto"/>
        <w:jc w:val="both"/>
        <w:rPr>
          <w:rFonts w:ascii="Arial" w:eastAsia="Times New Roman" w:hAnsi="Arial" w:cs="Arial"/>
          <w:color w:val="000000"/>
          <w:sz w:val="20"/>
          <w:szCs w:val="20"/>
          <w:lang w:val="en-IN"/>
        </w:rPr>
      </w:pPr>
      <m:oMathPara>
        <m:oMath>
          <m:r>
            <m:rPr>
              <m:nor/>
            </m:rPr>
            <w:rPr>
              <w:rFonts w:ascii="Arial" w:eastAsia="Times New Roman" w:hAnsi="Arial" w:cs="Arial"/>
              <w:color w:val="000000"/>
              <w:sz w:val="20"/>
              <w:szCs w:val="20"/>
              <w:lang w:val="en-IN"/>
            </w:rPr>
            <m:t>Germination (%)</m:t>
          </m:r>
          <m:r>
            <w:rPr>
              <w:rFonts w:ascii="Cambria Math" w:eastAsia="Times New Roman" w:hAnsi="Cambria Math" w:cs="Arial"/>
              <w:color w:val="000000"/>
              <w:sz w:val="20"/>
              <w:szCs w:val="20"/>
              <w:lang w:val="en-IN"/>
            </w:rPr>
            <m:t>=</m:t>
          </m:r>
          <m:f>
            <m:fPr>
              <m:ctrlPr>
                <w:rPr>
                  <w:rFonts w:ascii="Cambria Math" w:eastAsia="Times New Roman" w:hAnsi="Cambria Math" w:cs="Arial"/>
                  <w:color w:val="000000"/>
                  <w:sz w:val="20"/>
                  <w:szCs w:val="20"/>
                  <w:lang w:val="en-IN"/>
                </w:rPr>
              </m:ctrlPr>
            </m:fPr>
            <m:num>
              <m:r>
                <m:rPr>
                  <m:nor/>
                </m:rPr>
                <w:rPr>
                  <w:rFonts w:ascii="Arial" w:eastAsia="Times New Roman" w:hAnsi="Arial" w:cs="Arial"/>
                  <w:color w:val="000000"/>
                  <w:sz w:val="20"/>
                  <w:szCs w:val="20"/>
                  <w:lang w:val="en-IN"/>
                </w:rPr>
                <m:t>Number of germinated seeds</m:t>
              </m:r>
            </m:num>
            <m:den>
              <m:r>
                <m:rPr>
                  <m:nor/>
                </m:rPr>
                <w:rPr>
                  <w:rFonts w:ascii="Arial" w:eastAsia="Times New Roman" w:hAnsi="Arial" w:cs="Arial"/>
                  <w:color w:val="000000"/>
                  <w:sz w:val="20"/>
                  <w:szCs w:val="20"/>
                  <w:lang w:val="en-IN"/>
                </w:rPr>
                <m:t>Total seeds sown</m:t>
              </m:r>
            </m:den>
          </m:f>
          <m:r>
            <w:rPr>
              <w:rFonts w:ascii="Cambria Math" w:eastAsia="Times New Roman" w:hAnsi="Cambria Math" w:cs="Arial"/>
              <w:color w:val="000000"/>
              <w:sz w:val="20"/>
              <w:szCs w:val="20"/>
              <w:lang w:val="en-IN"/>
            </w:rPr>
            <m:t>×100</m:t>
          </m:r>
          <m:r>
            <m:rPr>
              <m:sty m:val="p"/>
            </m:rPr>
            <w:rPr>
              <w:rFonts w:ascii="Cambria Math" w:eastAsia="Times New Roman" w:hAnsi="Cambria Math" w:cs="Arial"/>
              <w:color w:val="000000"/>
              <w:sz w:val="20"/>
              <w:szCs w:val="20"/>
              <w:lang w:val="en-IN"/>
            </w:rPr>
            <w:br/>
          </m:r>
        </m:oMath>
      </m:oMathPara>
    </w:p>
    <w:p w14:paraId="1E19D528" w14:textId="77777777" w:rsidR="00DF50CD" w:rsidRPr="00662CB0" w:rsidRDefault="00DF50CD" w:rsidP="00662CB0">
      <w:pPr>
        <w:spacing w:after="0" w:line="240" w:lineRule="auto"/>
        <w:jc w:val="both"/>
        <w:rPr>
          <w:rFonts w:ascii="Arial" w:eastAsia="Times New Roman" w:hAnsi="Arial" w:cs="Arial"/>
          <w:b/>
          <w:bCs/>
          <w:color w:val="000000"/>
          <w:sz w:val="20"/>
          <w:szCs w:val="20"/>
          <w:lang w:val="en-IN"/>
        </w:rPr>
      </w:pPr>
      <w:r w:rsidRPr="00662CB0">
        <w:rPr>
          <w:rFonts w:ascii="Arial" w:eastAsia="Times New Roman" w:hAnsi="Arial" w:cs="Arial"/>
          <w:b/>
          <w:bCs/>
          <w:color w:val="000000"/>
          <w:sz w:val="20"/>
          <w:szCs w:val="20"/>
          <w:lang w:val="en-IN"/>
        </w:rPr>
        <w:t>B. Vegetative Growth Parameters</w:t>
      </w:r>
    </w:p>
    <w:p w14:paraId="6013188D" w14:textId="77777777" w:rsidR="00DF50CD" w:rsidRPr="00662CB0" w:rsidRDefault="00DF50CD" w:rsidP="00662CB0">
      <w:pPr>
        <w:numPr>
          <w:ilvl w:val="0"/>
          <w:numId w:val="7"/>
        </w:numPr>
        <w:spacing w:after="0" w:line="240" w:lineRule="auto"/>
        <w:jc w:val="both"/>
        <w:rPr>
          <w:rFonts w:ascii="Arial" w:eastAsia="Times New Roman" w:hAnsi="Arial" w:cs="Arial"/>
          <w:color w:val="000000"/>
          <w:sz w:val="20"/>
          <w:szCs w:val="20"/>
          <w:lang w:val="en-IN"/>
        </w:rPr>
      </w:pPr>
      <w:r w:rsidRPr="00662CB0">
        <w:rPr>
          <w:rFonts w:ascii="Arial" w:eastAsia="Times New Roman" w:hAnsi="Arial" w:cs="Arial"/>
          <w:b/>
          <w:bCs/>
          <w:color w:val="000000"/>
          <w:sz w:val="20"/>
          <w:szCs w:val="20"/>
          <w:lang w:val="en-IN"/>
        </w:rPr>
        <w:t>Plant Height (cm):</w:t>
      </w:r>
      <w:r w:rsidRPr="00662CB0">
        <w:rPr>
          <w:rFonts w:ascii="Arial" w:eastAsia="Times New Roman" w:hAnsi="Arial" w:cs="Arial"/>
          <w:color w:val="000000"/>
          <w:sz w:val="20"/>
          <w:szCs w:val="20"/>
          <w:lang w:val="en-IN"/>
        </w:rPr>
        <w:t xml:space="preserve"> Measured from the base to the tip of the longest leaf at 60 DAT.</w:t>
      </w:r>
    </w:p>
    <w:p w14:paraId="57A1BBD4" w14:textId="77777777" w:rsidR="00DF50CD" w:rsidRPr="00662CB0" w:rsidRDefault="00DF50CD" w:rsidP="00662CB0">
      <w:pPr>
        <w:numPr>
          <w:ilvl w:val="0"/>
          <w:numId w:val="7"/>
        </w:numPr>
        <w:spacing w:after="0" w:line="240" w:lineRule="auto"/>
        <w:jc w:val="both"/>
        <w:rPr>
          <w:rFonts w:ascii="Arial" w:eastAsia="Times New Roman" w:hAnsi="Arial" w:cs="Arial"/>
          <w:color w:val="000000"/>
          <w:sz w:val="20"/>
          <w:szCs w:val="20"/>
          <w:lang w:val="en-IN"/>
        </w:rPr>
      </w:pPr>
      <w:r w:rsidRPr="00662CB0">
        <w:rPr>
          <w:rFonts w:ascii="Arial" w:eastAsia="Times New Roman" w:hAnsi="Arial" w:cs="Arial"/>
          <w:b/>
          <w:bCs/>
          <w:color w:val="000000"/>
          <w:sz w:val="20"/>
          <w:szCs w:val="20"/>
          <w:lang w:val="en-IN"/>
        </w:rPr>
        <w:t>Number of Leaves per Plant:</w:t>
      </w:r>
      <w:r w:rsidRPr="00662CB0">
        <w:rPr>
          <w:rFonts w:ascii="Arial" w:eastAsia="Times New Roman" w:hAnsi="Arial" w:cs="Arial"/>
          <w:color w:val="000000"/>
          <w:sz w:val="20"/>
          <w:szCs w:val="20"/>
          <w:lang w:val="en-IN"/>
        </w:rPr>
        <w:t xml:space="preserve"> Counted on ten randomly selected plants per plot.</w:t>
      </w:r>
    </w:p>
    <w:p w14:paraId="72AF8F5A" w14:textId="77777777" w:rsidR="00DF50CD" w:rsidRPr="00662CB0" w:rsidRDefault="00DF50CD" w:rsidP="00662CB0">
      <w:pPr>
        <w:numPr>
          <w:ilvl w:val="0"/>
          <w:numId w:val="7"/>
        </w:numPr>
        <w:spacing w:after="0" w:line="240" w:lineRule="auto"/>
        <w:jc w:val="both"/>
        <w:rPr>
          <w:rFonts w:ascii="Arial" w:eastAsia="Times New Roman" w:hAnsi="Arial" w:cs="Arial"/>
          <w:color w:val="000000"/>
          <w:sz w:val="20"/>
          <w:szCs w:val="20"/>
          <w:lang w:val="en-IN"/>
        </w:rPr>
      </w:pPr>
      <w:r w:rsidRPr="00662CB0">
        <w:rPr>
          <w:rFonts w:ascii="Arial" w:eastAsia="Times New Roman" w:hAnsi="Arial" w:cs="Arial"/>
          <w:b/>
          <w:bCs/>
          <w:color w:val="000000"/>
          <w:sz w:val="20"/>
          <w:szCs w:val="20"/>
          <w:lang w:val="en-IN"/>
        </w:rPr>
        <w:t>Collar Thickness (cm):</w:t>
      </w:r>
      <w:r w:rsidRPr="00662CB0">
        <w:rPr>
          <w:rFonts w:ascii="Arial" w:eastAsia="Times New Roman" w:hAnsi="Arial" w:cs="Arial"/>
          <w:color w:val="000000"/>
          <w:sz w:val="20"/>
          <w:szCs w:val="20"/>
          <w:lang w:val="en-IN"/>
        </w:rPr>
        <w:t xml:space="preserve"> Measured at the base of the </w:t>
      </w:r>
      <w:proofErr w:type="spellStart"/>
      <w:r w:rsidRPr="00662CB0">
        <w:rPr>
          <w:rFonts w:ascii="Arial" w:eastAsia="Times New Roman" w:hAnsi="Arial" w:cs="Arial"/>
          <w:color w:val="000000"/>
          <w:sz w:val="20"/>
          <w:szCs w:val="20"/>
          <w:lang w:val="en-IN"/>
        </w:rPr>
        <w:t>pseudostem</w:t>
      </w:r>
      <w:proofErr w:type="spellEnd"/>
      <w:r w:rsidRPr="00662CB0">
        <w:rPr>
          <w:rFonts w:ascii="Arial" w:eastAsia="Times New Roman" w:hAnsi="Arial" w:cs="Arial"/>
          <w:color w:val="000000"/>
          <w:sz w:val="20"/>
          <w:szCs w:val="20"/>
          <w:lang w:val="en-IN"/>
        </w:rPr>
        <w:t xml:space="preserve"> using Vernier </w:t>
      </w:r>
      <w:proofErr w:type="spellStart"/>
      <w:r w:rsidRPr="00662CB0">
        <w:rPr>
          <w:rFonts w:ascii="Arial" w:eastAsia="Times New Roman" w:hAnsi="Arial" w:cs="Arial"/>
          <w:color w:val="000000"/>
          <w:sz w:val="20"/>
          <w:szCs w:val="20"/>
          <w:lang w:val="en-IN"/>
        </w:rPr>
        <w:t>calipers</w:t>
      </w:r>
      <w:proofErr w:type="spellEnd"/>
      <w:r w:rsidRPr="00662CB0">
        <w:rPr>
          <w:rFonts w:ascii="Arial" w:eastAsia="Times New Roman" w:hAnsi="Arial" w:cs="Arial"/>
          <w:color w:val="000000"/>
          <w:sz w:val="20"/>
          <w:szCs w:val="20"/>
          <w:lang w:val="en-IN"/>
        </w:rPr>
        <w:t>.</w:t>
      </w:r>
    </w:p>
    <w:p w14:paraId="541B59A5" w14:textId="77777777" w:rsidR="00DF50CD" w:rsidRPr="00662CB0" w:rsidRDefault="00DF50CD" w:rsidP="00662CB0">
      <w:pPr>
        <w:spacing w:after="0" w:line="240" w:lineRule="auto"/>
        <w:jc w:val="both"/>
        <w:rPr>
          <w:rFonts w:ascii="Arial" w:eastAsia="Times New Roman" w:hAnsi="Arial" w:cs="Arial"/>
          <w:b/>
          <w:bCs/>
          <w:color w:val="000000"/>
          <w:sz w:val="20"/>
          <w:szCs w:val="20"/>
          <w:lang w:val="en-IN"/>
        </w:rPr>
      </w:pPr>
      <w:r w:rsidRPr="00662CB0">
        <w:rPr>
          <w:rFonts w:ascii="Arial" w:eastAsia="Times New Roman" w:hAnsi="Arial" w:cs="Arial"/>
          <w:b/>
          <w:bCs/>
          <w:color w:val="000000"/>
          <w:sz w:val="20"/>
          <w:szCs w:val="20"/>
          <w:lang w:val="en-IN"/>
        </w:rPr>
        <w:t>C. Yield and Yield Attributes</w:t>
      </w:r>
    </w:p>
    <w:p w14:paraId="384AE2C9" w14:textId="77777777" w:rsidR="00DF50CD" w:rsidRPr="00662CB0" w:rsidRDefault="00DF50CD" w:rsidP="00662CB0">
      <w:pPr>
        <w:numPr>
          <w:ilvl w:val="0"/>
          <w:numId w:val="8"/>
        </w:numPr>
        <w:spacing w:after="0" w:line="240" w:lineRule="auto"/>
        <w:jc w:val="both"/>
        <w:rPr>
          <w:rFonts w:ascii="Arial" w:eastAsia="Times New Roman" w:hAnsi="Arial" w:cs="Arial"/>
          <w:color w:val="000000"/>
          <w:sz w:val="20"/>
          <w:szCs w:val="20"/>
          <w:lang w:val="en-IN"/>
        </w:rPr>
      </w:pPr>
      <w:r w:rsidRPr="00662CB0">
        <w:rPr>
          <w:rFonts w:ascii="Arial" w:eastAsia="Times New Roman" w:hAnsi="Arial" w:cs="Arial"/>
          <w:b/>
          <w:bCs/>
          <w:color w:val="000000"/>
          <w:sz w:val="20"/>
          <w:szCs w:val="20"/>
          <w:lang w:val="en-IN"/>
        </w:rPr>
        <w:t>Average Bulb Weight (g):</w:t>
      </w:r>
      <w:r w:rsidRPr="00662CB0">
        <w:rPr>
          <w:rFonts w:ascii="Arial" w:eastAsia="Times New Roman" w:hAnsi="Arial" w:cs="Arial"/>
          <w:color w:val="000000"/>
          <w:sz w:val="20"/>
          <w:szCs w:val="20"/>
          <w:lang w:val="en-IN"/>
        </w:rPr>
        <w:t xml:space="preserve"> Recorded as mean of five representative bulbs.</w:t>
      </w:r>
    </w:p>
    <w:p w14:paraId="2BEB1CAD" w14:textId="77777777" w:rsidR="00DF50CD" w:rsidRPr="00662CB0" w:rsidRDefault="00DF50CD" w:rsidP="00662CB0">
      <w:pPr>
        <w:numPr>
          <w:ilvl w:val="0"/>
          <w:numId w:val="8"/>
        </w:numPr>
        <w:spacing w:after="0" w:line="240" w:lineRule="auto"/>
        <w:jc w:val="both"/>
        <w:rPr>
          <w:rFonts w:ascii="Arial" w:eastAsia="Times New Roman" w:hAnsi="Arial" w:cs="Arial"/>
          <w:color w:val="000000"/>
          <w:sz w:val="20"/>
          <w:szCs w:val="20"/>
          <w:lang w:val="en-IN"/>
        </w:rPr>
      </w:pPr>
      <w:r w:rsidRPr="00662CB0">
        <w:rPr>
          <w:rFonts w:ascii="Arial" w:eastAsia="Times New Roman" w:hAnsi="Arial" w:cs="Arial"/>
          <w:b/>
          <w:bCs/>
          <w:color w:val="000000"/>
          <w:sz w:val="20"/>
          <w:szCs w:val="20"/>
          <w:lang w:val="en-IN"/>
        </w:rPr>
        <w:t>Bulb Yield (q ha</w:t>
      </w:r>
      <w:r w:rsidRPr="00662CB0">
        <w:rPr>
          <w:rFonts w:ascii="Cambria Math" w:eastAsia="Times New Roman" w:hAnsi="Cambria Math" w:cs="Cambria Math"/>
          <w:b/>
          <w:bCs/>
          <w:color w:val="000000"/>
          <w:sz w:val="20"/>
          <w:szCs w:val="20"/>
          <w:lang w:val="en-IN"/>
        </w:rPr>
        <w:t>⁻</w:t>
      </w:r>
      <w:r w:rsidRPr="00662CB0">
        <w:rPr>
          <w:rFonts w:ascii="Arial" w:eastAsia="Times New Roman" w:hAnsi="Arial" w:cs="Arial"/>
          <w:b/>
          <w:bCs/>
          <w:color w:val="000000"/>
          <w:sz w:val="20"/>
          <w:szCs w:val="20"/>
          <w:lang w:val="en-IN"/>
        </w:rPr>
        <w:t>¹):</w:t>
      </w:r>
      <w:r w:rsidRPr="00662CB0">
        <w:rPr>
          <w:rFonts w:ascii="Arial" w:eastAsia="Times New Roman" w:hAnsi="Arial" w:cs="Arial"/>
          <w:color w:val="000000"/>
          <w:sz w:val="20"/>
          <w:szCs w:val="20"/>
          <w:lang w:val="en-IN"/>
        </w:rPr>
        <w:t xml:space="preserve"> Marketable yield was estimated by weighing cured bulbs from each plot, converted to quintals per hectare.</w:t>
      </w:r>
    </w:p>
    <w:p w14:paraId="2A7EF749" w14:textId="57A7DCF3" w:rsidR="00DF50CD" w:rsidRPr="00662CB0" w:rsidRDefault="00DF50CD" w:rsidP="00662CB0">
      <w:pPr>
        <w:numPr>
          <w:ilvl w:val="0"/>
          <w:numId w:val="8"/>
        </w:numPr>
        <w:spacing w:after="0" w:line="240" w:lineRule="auto"/>
        <w:jc w:val="both"/>
        <w:rPr>
          <w:rFonts w:ascii="Arial" w:eastAsia="Times New Roman" w:hAnsi="Arial" w:cs="Arial"/>
          <w:color w:val="000000"/>
          <w:sz w:val="20"/>
          <w:szCs w:val="20"/>
          <w:lang w:val="en-IN"/>
        </w:rPr>
      </w:pPr>
      <w:r w:rsidRPr="00662CB0">
        <w:rPr>
          <w:rFonts w:ascii="Arial" w:eastAsia="Times New Roman" w:hAnsi="Arial" w:cs="Arial"/>
          <w:b/>
          <w:bCs/>
          <w:color w:val="000000"/>
          <w:sz w:val="20"/>
          <w:szCs w:val="20"/>
          <w:lang w:val="en-IN"/>
        </w:rPr>
        <w:t>Benefit–Cost (B:C) Ratio:</w:t>
      </w:r>
      <w:r w:rsidRPr="00662CB0">
        <w:rPr>
          <w:rFonts w:ascii="Arial" w:eastAsia="Times New Roman" w:hAnsi="Arial" w:cs="Arial"/>
          <w:color w:val="000000"/>
          <w:sz w:val="20"/>
          <w:szCs w:val="20"/>
          <w:lang w:val="en-IN"/>
        </w:rPr>
        <w:t xml:space="preserve"> Computed as the ratio of gross returns to total cost of cultivation, derived from farmers’ cost structure.</w:t>
      </w:r>
    </w:p>
    <w:p w14:paraId="63E18475" w14:textId="77777777" w:rsidR="00DF50CD" w:rsidRPr="00662CB0" w:rsidRDefault="00DF50CD" w:rsidP="00662CB0">
      <w:pPr>
        <w:spacing w:after="0" w:line="240" w:lineRule="auto"/>
        <w:jc w:val="both"/>
        <w:rPr>
          <w:rFonts w:ascii="Arial" w:eastAsia="Times New Roman" w:hAnsi="Arial" w:cs="Arial"/>
          <w:b/>
          <w:bCs/>
          <w:color w:val="000000"/>
          <w:sz w:val="20"/>
          <w:szCs w:val="20"/>
          <w:lang w:val="en-IN"/>
        </w:rPr>
      </w:pPr>
      <w:r w:rsidRPr="00662CB0">
        <w:rPr>
          <w:rFonts w:ascii="Arial" w:eastAsia="Times New Roman" w:hAnsi="Arial" w:cs="Arial"/>
          <w:b/>
          <w:bCs/>
          <w:color w:val="000000"/>
          <w:sz w:val="20"/>
          <w:szCs w:val="20"/>
          <w:lang w:val="en-IN"/>
        </w:rPr>
        <w:t>D. Pest and Disease Assessment</w:t>
      </w:r>
    </w:p>
    <w:p w14:paraId="5DA36DA5" w14:textId="77777777" w:rsidR="00DF50CD" w:rsidRPr="00662CB0" w:rsidRDefault="00DF50CD" w:rsidP="00662CB0">
      <w:pPr>
        <w:spacing w:after="0" w:line="240" w:lineRule="auto"/>
        <w:jc w:val="both"/>
        <w:rPr>
          <w:rFonts w:ascii="Arial" w:eastAsia="Times New Roman" w:hAnsi="Arial" w:cs="Arial"/>
          <w:b/>
          <w:bCs/>
          <w:color w:val="000000"/>
          <w:sz w:val="20"/>
          <w:szCs w:val="20"/>
          <w:lang w:val="en-IN"/>
        </w:rPr>
      </w:pPr>
      <w:r w:rsidRPr="00662CB0">
        <w:rPr>
          <w:rFonts w:ascii="Arial" w:eastAsia="Times New Roman" w:hAnsi="Arial" w:cs="Arial"/>
          <w:b/>
          <w:bCs/>
          <w:color w:val="000000"/>
          <w:sz w:val="20"/>
          <w:szCs w:val="20"/>
          <w:lang w:val="en-IN"/>
        </w:rPr>
        <w:t>1. Thrips Incidence (%)</w:t>
      </w:r>
    </w:p>
    <w:p w14:paraId="61B2376B" w14:textId="77777777" w:rsidR="00DF50CD" w:rsidRPr="00662CB0" w:rsidRDefault="00DF50CD" w:rsidP="00662CB0">
      <w:pPr>
        <w:spacing w:after="0" w:line="240" w:lineRule="auto"/>
        <w:jc w:val="both"/>
        <w:rPr>
          <w:rFonts w:ascii="Arial" w:eastAsia="Times New Roman" w:hAnsi="Arial" w:cs="Arial"/>
          <w:color w:val="000000"/>
          <w:sz w:val="20"/>
          <w:szCs w:val="20"/>
          <w:lang w:val="en-IN"/>
        </w:rPr>
      </w:pPr>
      <w:r w:rsidRPr="00662CB0">
        <w:rPr>
          <w:rFonts w:ascii="Arial" w:eastAsia="Times New Roman" w:hAnsi="Arial" w:cs="Arial"/>
          <w:color w:val="000000"/>
          <w:sz w:val="20"/>
          <w:szCs w:val="20"/>
          <w:lang w:val="en-IN"/>
        </w:rPr>
        <w:t xml:space="preserve">Incidence of </w:t>
      </w:r>
      <w:proofErr w:type="spellStart"/>
      <w:r w:rsidRPr="00662CB0">
        <w:rPr>
          <w:rFonts w:ascii="Arial" w:eastAsia="Times New Roman" w:hAnsi="Arial" w:cs="Arial"/>
          <w:color w:val="000000"/>
          <w:sz w:val="20"/>
          <w:szCs w:val="20"/>
          <w:lang w:val="en-IN"/>
        </w:rPr>
        <w:t>thrips</w:t>
      </w:r>
      <w:proofErr w:type="spellEnd"/>
      <w:r w:rsidRPr="00662CB0">
        <w:rPr>
          <w:rFonts w:ascii="Arial" w:eastAsia="Times New Roman" w:hAnsi="Arial" w:cs="Arial"/>
          <w:color w:val="000000"/>
          <w:sz w:val="20"/>
          <w:szCs w:val="20"/>
          <w:lang w:val="en-IN"/>
        </w:rPr>
        <w:t xml:space="preserve"> (</w:t>
      </w:r>
      <w:proofErr w:type="spellStart"/>
      <w:r w:rsidRPr="00662CB0">
        <w:rPr>
          <w:rFonts w:ascii="Arial" w:eastAsia="Times New Roman" w:hAnsi="Arial" w:cs="Arial"/>
          <w:i/>
          <w:iCs/>
          <w:color w:val="000000"/>
          <w:sz w:val="20"/>
          <w:szCs w:val="20"/>
          <w:lang w:val="en-IN"/>
        </w:rPr>
        <w:t>Thrips</w:t>
      </w:r>
      <w:proofErr w:type="spellEnd"/>
      <w:r w:rsidRPr="00662CB0">
        <w:rPr>
          <w:rFonts w:ascii="Arial" w:eastAsia="Times New Roman" w:hAnsi="Arial" w:cs="Arial"/>
          <w:i/>
          <w:iCs/>
          <w:color w:val="000000"/>
          <w:sz w:val="20"/>
          <w:szCs w:val="20"/>
          <w:lang w:val="en-IN"/>
        </w:rPr>
        <w:t xml:space="preserve"> </w:t>
      </w:r>
      <w:proofErr w:type="spellStart"/>
      <w:r w:rsidRPr="00662CB0">
        <w:rPr>
          <w:rFonts w:ascii="Arial" w:eastAsia="Times New Roman" w:hAnsi="Arial" w:cs="Arial"/>
          <w:i/>
          <w:iCs/>
          <w:color w:val="000000"/>
          <w:sz w:val="20"/>
          <w:szCs w:val="20"/>
          <w:lang w:val="en-IN"/>
        </w:rPr>
        <w:t>tabaci</w:t>
      </w:r>
      <w:proofErr w:type="spellEnd"/>
      <w:r w:rsidRPr="00662CB0">
        <w:rPr>
          <w:rFonts w:ascii="Arial" w:eastAsia="Times New Roman" w:hAnsi="Arial" w:cs="Arial"/>
          <w:color w:val="000000"/>
          <w:sz w:val="20"/>
          <w:szCs w:val="20"/>
          <w:lang w:val="en-IN"/>
        </w:rPr>
        <w:t>) was assessed visually at 15-day intervals starting from 30 DAT until harvest. Percent infestation was calculated using the following formula:</w:t>
      </w:r>
    </w:p>
    <w:p w14:paraId="0D04F3F8" w14:textId="6EE85E01" w:rsidR="00DF50CD" w:rsidRPr="00662CB0" w:rsidRDefault="00DF50CD" w:rsidP="00662CB0">
      <w:pPr>
        <w:spacing w:after="0" w:line="240" w:lineRule="auto"/>
        <w:jc w:val="both"/>
        <w:rPr>
          <w:rFonts w:ascii="Arial" w:eastAsia="Times New Roman" w:hAnsi="Arial" w:cs="Arial"/>
          <w:color w:val="000000"/>
          <w:sz w:val="20"/>
          <w:szCs w:val="20"/>
          <w:lang w:val="en-IN"/>
        </w:rPr>
      </w:pPr>
      <m:oMathPara>
        <m:oMath>
          <m:r>
            <m:rPr>
              <m:nor/>
            </m:rPr>
            <w:rPr>
              <w:rFonts w:ascii="Arial" w:eastAsia="Times New Roman" w:hAnsi="Arial" w:cs="Arial"/>
              <w:color w:val="000000"/>
              <w:sz w:val="20"/>
              <w:szCs w:val="20"/>
              <w:lang w:val="en-IN"/>
            </w:rPr>
            <m:t>Thrips incidence (%)</m:t>
          </m:r>
          <m:r>
            <w:rPr>
              <w:rFonts w:ascii="Cambria Math" w:eastAsia="Times New Roman" w:hAnsi="Cambria Math" w:cs="Arial"/>
              <w:color w:val="000000"/>
              <w:sz w:val="20"/>
              <w:szCs w:val="20"/>
              <w:lang w:val="en-IN"/>
            </w:rPr>
            <m:t>=</m:t>
          </m:r>
          <m:f>
            <m:fPr>
              <m:ctrlPr>
                <w:rPr>
                  <w:rFonts w:ascii="Cambria Math" w:eastAsia="Times New Roman" w:hAnsi="Cambria Math" w:cs="Arial"/>
                  <w:color w:val="000000"/>
                  <w:sz w:val="20"/>
                  <w:szCs w:val="20"/>
                  <w:lang w:val="en-IN"/>
                </w:rPr>
              </m:ctrlPr>
            </m:fPr>
            <m:num>
              <m:r>
                <m:rPr>
                  <m:nor/>
                </m:rPr>
                <w:rPr>
                  <w:rFonts w:ascii="Arial" w:eastAsia="Times New Roman" w:hAnsi="Arial" w:cs="Arial"/>
                  <w:color w:val="000000"/>
                  <w:sz w:val="20"/>
                  <w:szCs w:val="20"/>
                  <w:lang w:val="en-IN"/>
                </w:rPr>
                <m:t>Number of infested leaves</m:t>
              </m:r>
            </m:num>
            <m:den>
              <m:r>
                <m:rPr>
                  <m:nor/>
                </m:rPr>
                <w:rPr>
                  <w:rFonts w:ascii="Arial" w:eastAsia="Times New Roman" w:hAnsi="Arial" w:cs="Arial"/>
                  <w:color w:val="000000"/>
                  <w:sz w:val="20"/>
                  <w:szCs w:val="20"/>
                  <w:lang w:val="en-IN"/>
                </w:rPr>
                <m:t>Total leaves observed</m:t>
              </m:r>
            </m:den>
          </m:f>
          <m:r>
            <w:rPr>
              <w:rFonts w:ascii="Cambria Math" w:eastAsia="Times New Roman" w:hAnsi="Cambria Math" w:cs="Arial"/>
              <w:color w:val="000000"/>
              <w:sz w:val="20"/>
              <w:szCs w:val="20"/>
              <w:lang w:val="en-IN"/>
            </w:rPr>
            <m:t>×100</m:t>
          </m:r>
          <m:r>
            <m:rPr>
              <m:sty m:val="p"/>
            </m:rPr>
            <w:rPr>
              <w:rFonts w:ascii="Cambria Math" w:eastAsia="Times New Roman" w:hAnsi="Cambria Math" w:cs="Arial"/>
              <w:color w:val="000000"/>
              <w:sz w:val="20"/>
              <w:szCs w:val="20"/>
              <w:lang w:val="en-IN"/>
            </w:rPr>
            <w:br/>
          </m:r>
        </m:oMath>
      </m:oMathPara>
    </w:p>
    <w:p w14:paraId="12101A62" w14:textId="77777777" w:rsidR="00DF50CD" w:rsidRPr="00662CB0" w:rsidRDefault="00DF50CD" w:rsidP="00662CB0">
      <w:pPr>
        <w:spacing w:after="0" w:line="240" w:lineRule="auto"/>
        <w:jc w:val="both"/>
        <w:rPr>
          <w:rFonts w:ascii="Arial" w:eastAsia="Times New Roman" w:hAnsi="Arial" w:cs="Arial"/>
          <w:b/>
          <w:bCs/>
          <w:color w:val="000000"/>
          <w:sz w:val="20"/>
          <w:szCs w:val="20"/>
          <w:lang w:val="en-IN"/>
        </w:rPr>
      </w:pPr>
      <w:r w:rsidRPr="00662CB0">
        <w:rPr>
          <w:rFonts w:ascii="Arial" w:eastAsia="Times New Roman" w:hAnsi="Arial" w:cs="Arial"/>
          <w:b/>
          <w:bCs/>
          <w:color w:val="000000"/>
          <w:sz w:val="20"/>
          <w:szCs w:val="20"/>
          <w:lang w:val="en-IN"/>
        </w:rPr>
        <w:t>2. Purple Blotch and Stemphylium Blight Incidence</w:t>
      </w:r>
    </w:p>
    <w:p w14:paraId="248DC31F" w14:textId="77777777" w:rsidR="00B95580" w:rsidRPr="00662CB0" w:rsidRDefault="00B95580" w:rsidP="00662CB0">
      <w:pPr>
        <w:spacing w:after="0" w:line="240" w:lineRule="auto"/>
        <w:jc w:val="both"/>
        <w:rPr>
          <w:rFonts w:ascii="Arial" w:eastAsia="Times New Roman" w:hAnsi="Arial" w:cs="Arial"/>
          <w:color w:val="000000"/>
          <w:sz w:val="20"/>
          <w:szCs w:val="20"/>
          <w:lang w:val="en-IN"/>
        </w:rPr>
      </w:pPr>
      <w:r w:rsidRPr="00662CB0">
        <w:rPr>
          <w:rFonts w:ascii="Arial" w:eastAsia="Times New Roman" w:hAnsi="Arial" w:cs="Arial"/>
          <w:color w:val="000000"/>
          <w:sz w:val="20"/>
          <w:szCs w:val="20"/>
          <w:lang w:val="en-IN"/>
        </w:rPr>
        <w:t xml:space="preserve">Two major foliar diseases, </w:t>
      </w:r>
      <w:r w:rsidRPr="00662CB0">
        <w:rPr>
          <w:rFonts w:ascii="Arial" w:eastAsia="Times New Roman" w:hAnsi="Arial" w:cs="Arial"/>
          <w:i/>
          <w:iCs/>
          <w:color w:val="000000"/>
          <w:sz w:val="20"/>
          <w:szCs w:val="20"/>
          <w:lang w:val="en-IN"/>
        </w:rPr>
        <w:t>Purple blotch</w:t>
      </w:r>
      <w:r w:rsidRPr="00662CB0">
        <w:rPr>
          <w:rFonts w:ascii="Arial" w:eastAsia="Times New Roman" w:hAnsi="Arial" w:cs="Arial"/>
          <w:color w:val="000000"/>
          <w:sz w:val="20"/>
          <w:szCs w:val="20"/>
          <w:lang w:val="en-IN"/>
        </w:rPr>
        <w:t xml:space="preserve"> (</w:t>
      </w:r>
      <w:r w:rsidRPr="00662CB0">
        <w:rPr>
          <w:rFonts w:ascii="Arial" w:eastAsia="Times New Roman" w:hAnsi="Arial" w:cs="Arial"/>
          <w:i/>
          <w:iCs/>
          <w:color w:val="000000"/>
          <w:sz w:val="20"/>
          <w:szCs w:val="20"/>
          <w:lang w:val="en-IN"/>
        </w:rPr>
        <w:t xml:space="preserve">Alternaria </w:t>
      </w:r>
      <w:proofErr w:type="spellStart"/>
      <w:r w:rsidRPr="00662CB0">
        <w:rPr>
          <w:rFonts w:ascii="Arial" w:eastAsia="Times New Roman" w:hAnsi="Arial" w:cs="Arial"/>
          <w:i/>
          <w:iCs/>
          <w:color w:val="000000"/>
          <w:sz w:val="20"/>
          <w:szCs w:val="20"/>
          <w:lang w:val="en-IN"/>
        </w:rPr>
        <w:t>porri</w:t>
      </w:r>
      <w:proofErr w:type="spellEnd"/>
      <w:r w:rsidRPr="00662CB0">
        <w:rPr>
          <w:rFonts w:ascii="Arial" w:eastAsia="Times New Roman" w:hAnsi="Arial" w:cs="Arial"/>
          <w:color w:val="000000"/>
          <w:sz w:val="20"/>
          <w:szCs w:val="20"/>
          <w:lang w:val="en-IN"/>
        </w:rPr>
        <w:t xml:space="preserve">) and </w:t>
      </w:r>
      <w:proofErr w:type="spellStart"/>
      <w:r w:rsidRPr="00662CB0">
        <w:rPr>
          <w:rFonts w:ascii="Arial" w:eastAsia="Times New Roman" w:hAnsi="Arial" w:cs="Arial"/>
          <w:i/>
          <w:iCs/>
          <w:color w:val="000000"/>
          <w:sz w:val="20"/>
          <w:szCs w:val="20"/>
          <w:lang w:val="en-IN"/>
        </w:rPr>
        <w:t>Stemphylium</w:t>
      </w:r>
      <w:proofErr w:type="spellEnd"/>
      <w:r w:rsidRPr="00662CB0">
        <w:rPr>
          <w:rFonts w:ascii="Arial" w:eastAsia="Times New Roman" w:hAnsi="Arial" w:cs="Arial"/>
          <w:i/>
          <w:iCs/>
          <w:color w:val="000000"/>
          <w:sz w:val="20"/>
          <w:szCs w:val="20"/>
          <w:lang w:val="en-IN"/>
        </w:rPr>
        <w:t xml:space="preserve"> blight</w:t>
      </w:r>
      <w:r w:rsidRPr="00662CB0">
        <w:rPr>
          <w:rFonts w:ascii="Arial" w:eastAsia="Times New Roman" w:hAnsi="Arial" w:cs="Arial"/>
          <w:color w:val="000000"/>
          <w:sz w:val="20"/>
          <w:szCs w:val="20"/>
          <w:lang w:val="en-IN"/>
        </w:rPr>
        <w:t xml:space="preserve"> (</w:t>
      </w:r>
      <w:proofErr w:type="spellStart"/>
      <w:r w:rsidRPr="00662CB0">
        <w:rPr>
          <w:rFonts w:ascii="Arial" w:eastAsia="Times New Roman" w:hAnsi="Arial" w:cs="Arial"/>
          <w:i/>
          <w:iCs/>
          <w:color w:val="000000"/>
          <w:sz w:val="20"/>
          <w:szCs w:val="20"/>
          <w:lang w:val="en-IN"/>
        </w:rPr>
        <w:t>Stemphylium</w:t>
      </w:r>
      <w:proofErr w:type="spellEnd"/>
      <w:r w:rsidRPr="00662CB0">
        <w:rPr>
          <w:rFonts w:ascii="Arial" w:eastAsia="Times New Roman" w:hAnsi="Arial" w:cs="Arial"/>
          <w:i/>
          <w:iCs/>
          <w:color w:val="000000"/>
          <w:sz w:val="20"/>
          <w:szCs w:val="20"/>
          <w:lang w:val="en-IN"/>
        </w:rPr>
        <w:t xml:space="preserve"> </w:t>
      </w:r>
      <w:proofErr w:type="spellStart"/>
      <w:r w:rsidRPr="00662CB0">
        <w:rPr>
          <w:rFonts w:ascii="Arial" w:eastAsia="Times New Roman" w:hAnsi="Arial" w:cs="Arial"/>
          <w:i/>
          <w:iCs/>
          <w:color w:val="000000"/>
          <w:sz w:val="20"/>
          <w:szCs w:val="20"/>
          <w:lang w:val="en-IN"/>
        </w:rPr>
        <w:t>vesicarium</w:t>
      </w:r>
      <w:proofErr w:type="spellEnd"/>
      <w:r w:rsidRPr="00662CB0">
        <w:rPr>
          <w:rFonts w:ascii="Arial" w:eastAsia="Times New Roman" w:hAnsi="Arial" w:cs="Arial"/>
          <w:color w:val="000000"/>
          <w:sz w:val="20"/>
          <w:szCs w:val="20"/>
          <w:lang w:val="en-IN"/>
        </w:rPr>
        <w:t>), were recorded and rated following the scales developed by (Sharma, 1986).</w:t>
      </w:r>
    </w:p>
    <w:p w14:paraId="6D83374E" w14:textId="4A30B244" w:rsidR="00B95580" w:rsidRPr="0072728B" w:rsidRDefault="00B95580" w:rsidP="00662CB0">
      <w:pPr>
        <w:spacing w:after="0" w:line="240" w:lineRule="auto"/>
        <w:jc w:val="both"/>
        <w:rPr>
          <w:rFonts w:ascii="Arial" w:eastAsia="Times New Roman" w:hAnsi="Arial" w:cs="Arial"/>
          <w:color w:val="000000"/>
          <w:sz w:val="20"/>
          <w:szCs w:val="20"/>
          <w:lang w:val="en-IN"/>
        </w:rPr>
      </w:pPr>
      <w:r w:rsidRPr="0072728B">
        <w:rPr>
          <w:rFonts w:ascii="Arial" w:eastAsia="Times New Roman" w:hAnsi="Arial" w:cs="Arial"/>
          <w:bCs/>
          <w:color w:val="000000"/>
          <w:sz w:val="20"/>
          <w:szCs w:val="20"/>
          <w:highlight w:val="yellow"/>
          <w:lang w:val="en-IN"/>
        </w:rPr>
        <w:t>Disease scoring</w:t>
      </w:r>
      <w:r w:rsidRPr="0072728B">
        <w:rPr>
          <w:rFonts w:ascii="Arial" w:eastAsia="Times New Roman" w:hAnsi="Arial" w:cs="Arial"/>
          <w:color w:val="000000"/>
          <w:sz w:val="20"/>
          <w:szCs w:val="20"/>
          <w:highlight w:val="yellow"/>
          <w:lang w:val="en-IN"/>
        </w:rPr>
        <w:t xml:space="preserve"> was performed visually on ten randomly selected plants per plot at 15-day intervals beginning 45 DAT. Ratings were based on the proportion of leaf area affected, following the 0–5 scale for </w:t>
      </w:r>
      <w:r w:rsidRPr="0072728B">
        <w:rPr>
          <w:rFonts w:ascii="Arial" w:eastAsia="Times New Roman" w:hAnsi="Arial" w:cs="Arial"/>
          <w:iCs/>
          <w:color w:val="000000"/>
          <w:sz w:val="20"/>
          <w:szCs w:val="20"/>
          <w:highlight w:val="yellow"/>
          <w:lang w:val="en-IN"/>
        </w:rPr>
        <w:t>Stemphylium blight</w:t>
      </w:r>
      <w:r w:rsidRPr="0072728B">
        <w:rPr>
          <w:rFonts w:ascii="Arial" w:eastAsia="Times New Roman" w:hAnsi="Arial" w:cs="Arial"/>
          <w:color w:val="000000"/>
          <w:sz w:val="20"/>
          <w:szCs w:val="20"/>
          <w:highlight w:val="yellow"/>
          <w:lang w:val="en-IN"/>
        </w:rPr>
        <w:t xml:space="preserve"> (Table 1) and the 0–9 grade system for </w:t>
      </w:r>
      <w:r w:rsidRPr="0072728B">
        <w:rPr>
          <w:rFonts w:ascii="Arial" w:eastAsia="Times New Roman" w:hAnsi="Arial" w:cs="Arial"/>
          <w:iCs/>
          <w:color w:val="000000"/>
          <w:sz w:val="20"/>
          <w:szCs w:val="20"/>
          <w:highlight w:val="yellow"/>
          <w:lang w:val="en-IN"/>
        </w:rPr>
        <w:t>Purple blotch</w:t>
      </w:r>
      <w:r w:rsidRPr="0072728B">
        <w:rPr>
          <w:rFonts w:ascii="Arial" w:eastAsia="Times New Roman" w:hAnsi="Arial" w:cs="Arial"/>
          <w:color w:val="000000"/>
          <w:sz w:val="20"/>
          <w:szCs w:val="20"/>
          <w:highlight w:val="yellow"/>
          <w:lang w:val="en-IN"/>
        </w:rPr>
        <w:t xml:space="preserve"> (Table 2).</w:t>
      </w:r>
    </w:p>
    <w:p w14:paraId="4933A841" w14:textId="77777777" w:rsidR="0072728B" w:rsidRPr="00662CB0" w:rsidRDefault="0072728B" w:rsidP="00662CB0">
      <w:pPr>
        <w:spacing w:after="0" w:line="240" w:lineRule="auto"/>
        <w:jc w:val="both"/>
        <w:rPr>
          <w:rFonts w:ascii="Arial" w:eastAsia="Times New Roman" w:hAnsi="Arial" w:cs="Arial"/>
          <w:color w:val="000000"/>
          <w:sz w:val="20"/>
          <w:szCs w:val="20"/>
          <w:lang w:val="en-IN"/>
        </w:rPr>
      </w:pPr>
    </w:p>
    <w:p w14:paraId="5DED8A45" w14:textId="00DCA200" w:rsidR="00B95580" w:rsidRPr="00662CB0" w:rsidRDefault="00B95580" w:rsidP="00662CB0">
      <w:pPr>
        <w:spacing w:after="0" w:line="240" w:lineRule="auto"/>
        <w:jc w:val="both"/>
        <w:rPr>
          <w:rFonts w:ascii="Arial" w:eastAsia="Times New Roman" w:hAnsi="Arial" w:cs="Arial"/>
          <w:b/>
          <w:bCs/>
          <w:color w:val="000000"/>
          <w:sz w:val="20"/>
          <w:szCs w:val="20"/>
          <w:lang w:val="en-IN"/>
        </w:rPr>
      </w:pPr>
      <w:r w:rsidRPr="006950B6">
        <w:rPr>
          <w:rFonts w:ascii="Arial" w:eastAsia="Times New Roman" w:hAnsi="Arial" w:cs="Arial"/>
          <w:b/>
          <w:bCs/>
          <w:color w:val="000000"/>
          <w:sz w:val="20"/>
          <w:szCs w:val="20"/>
          <w:highlight w:val="yellow"/>
          <w:lang w:val="en-IN"/>
        </w:rPr>
        <w:t>Table 1. Scale for categorizing onion varieties against Stemphylium blight (Sharma, 1986)</w:t>
      </w:r>
    </w:p>
    <w:tbl>
      <w:tblPr>
        <w:tblW w:w="8894" w:type="dxa"/>
        <w:jc w:val="center"/>
        <w:tblCellSpacing w:w="15" w:type="dxa"/>
        <w:tblCellMar>
          <w:top w:w="15" w:type="dxa"/>
          <w:left w:w="15" w:type="dxa"/>
          <w:bottom w:w="15" w:type="dxa"/>
          <w:right w:w="15" w:type="dxa"/>
        </w:tblCellMar>
        <w:tblLook w:val="04A0" w:firstRow="1" w:lastRow="0" w:firstColumn="1" w:lastColumn="0" w:noHBand="0" w:noVBand="1"/>
      </w:tblPr>
      <w:tblGrid>
        <w:gridCol w:w="1040"/>
        <w:gridCol w:w="3401"/>
        <w:gridCol w:w="4453"/>
      </w:tblGrid>
      <w:tr w:rsidR="00B95580" w:rsidRPr="0072728B" w14:paraId="19FE688D" w14:textId="77777777" w:rsidTr="0072728B">
        <w:trPr>
          <w:trHeight w:val="182"/>
          <w:tblHeader/>
          <w:tblCellSpacing w:w="15" w:type="dxa"/>
          <w:jc w:val="center"/>
        </w:trPr>
        <w:tc>
          <w:tcPr>
            <w:tcW w:w="0" w:type="auto"/>
            <w:tcBorders>
              <w:top w:val="single" w:sz="4" w:space="0" w:color="auto"/>
              <w:bottom w:val="single" w:sz="4" w:space="0" w:color="auto"/>
            </w:tcBorders>
            <w:vAlign w:val="center"/>
            <w:hideMark/>
          </w:tcPr>
          <w:p w14:paraId="7CDE584C" w14:textId="77777777" w:rsidR="00B95580" w:rsidRPr="0072728B" w:rsidRDefault="00B95580" w:rsidP="00662CB0">
            <w:pPr>
              <w:spacing w:after="0" w:line="240" w:lineRule="auto"/>
              <w:jc w:val="both"/>
              <w:rPr>
                <w:rFonts w:ascii="Arial" w:eastAsia="Times New Roman" w:hAnsi="Arial" w:cs="Arial"/>
                <w:b/>
                <w:bCs/>
                <w:color w:val="000000"/>
                <w:sz w:val="20"/>
                <w:szCs w:val="20"/>
                <w:highlight w:val="yellow"/>
                <w:lang w:val="en-IN"/>
              </w:rPr>
            </w:pPr>
            <w:r w:rsidRPr="0072728B">
              <w:rPr>
                <w:rFonts w:ascii="Arial" w:eastAsia="Times New Roman" w:hAnsi="Arial" w:cs="Arial"/>
                <w:b/>
                <w:bCs/>
                <w:color w:val="000000"/>
                <w:sz w:val="20"/>
                <w:szCs w:val="20"/>
                <w:highlight w:val="yellow"/>
                <w:lang w:val="en-IN"/>
              </w:rPr>
              <w:t>Score</w:t>
            </w:r>
          </w:p>
        </w:tc>
        <w:tc>
          <w:tcPr>
            <w:tcW w:w="0" w:type="auto"/>
            <w:tcBorders>
              <w:top w:val="single" w:sz="4" w:space="0" w:color="auto"/>
              <w:bottom w:val="single" w:sz="4" w:space="0" w:color="auto"/>
            </w:tcBorders>
            <w:vAlign w:val="center"/>
            <w:hideMark/>
          </w:tcPr>
          <w:p w14:paraId="78EE56A3" w14:textId="77777777" w:rsidR="00B95580" w:rsidRPr="0072728B" w:rsidRDefault="00B95580" w:rsidP="00662CB0">
            <w:pPr>
              <w:spacing w:after="0" w:line="240" w:lineRule="auto"/>
              <w:jc w:val="both"/>
              <w:rPr>
                <w:rFonts w:ascii="Arial" w:eastAsia="Times New Roman" w:hAnsi="Arial" w:cs="Arial"/>
                <w:b/>
                <w:bCs/>
                <w:color w:val="000000"/>
                <w:sz w:val="20"/>
                <w:szCs w:val="20"/>
                <w:highlight w:val="yellow"/>
                <w:lang w:val="en-IN"/>
              </w:rPr>
            </w:pPr>
            <w:r w:rsidRPr="0072728B">
              <w:rPr>
                <w:rFonts w:ascii="Arial" w:eastAsia="Times New Roman" w:hAnsi="Arial" w:cs="Arial"/>
                <w:b/>
                <w:bCs/>
                <w:color w:val="000000"/>
                <w:sz w:val="20"/>
                <w:szCs w:val="20"/>
                <w:highlight w:val="yellow"/>
                <w:lang w:val="en-IN"/>
              </w:rPr>
              <w:t>Disease Severity (%)</w:t>
            </w:r>
          </w:p>
        </w:tc>
        <w:tc>
          <w:tcPr>
            <w:tcW w:w="0" w:type="auto"/>
            <w:tcBorders>
              <w:top w:val="single" w:sz="4" w:space="0" w:color="auto"/>
              <w:bottom w:val="single" w:sz="4" w:space="0" w:color="auto"/>
            </w:tcBorders>
            <w:vAlign w:val="center"/>
            <w:hideMark/>
          </w:tcPr>
          <w:p w14:paraId="6A7EB54E" w14:textId="77777777" w:rsidR="00B95580" w:rsidRPr="0072728B" w:rsidRDefault="00B95580" w:rsidP="00662CB0">
            <w:pPr>
              <w:spacing w:after="0" w:line="240" w:lineRule="auto"/>
              <w:jc w:val="both"/>
              <w:rPr>
                <w:rFonts w:ascii="Arial" w:eastAsia="Times New Roman" w:hAnsi="Arial" w:cs="Arial"/>
                <w:b/>
                <w:bCs/>
                <w:color w:val="000000"/>
                <w:sz w:val="20"/>
                <w:szCs w:val="20"/>
                <w:highlight w:val="yellow"/>
                <w:lang w:val="en-IN"/>
              </w:rPr>
            </w:pPr>
            <w:r w:rsidRPr="0072728B">
              <w:rPr>
                <w:rFonts w:ascii="Arial" w:eastAsia="Times New Roman" w:hAnsi="Arial" w:cs="Arial"/>
                <w:b/>
                <w:bCs/>
                <w:color w:val="000000"/>
                <w:sz w:val="20"/>
                <w:szCs w:val="20"/>
                <w:highlight w:val="yellow"/>
                <w:lang w:val="en-IN"/>
              </w:rPr>
              <w:t>Disease Reaction</w:t>
            </w:r>
          </w:p>
        </w:tc>
      </w:tr>
      <w:tr w:rsidR="00B95580" w:rsidRPr="0072728B" w14:paraId="03989216" w14:textId="77777777" w:rsidTr="0072728B">
        <w:trPr>
          <w:trHeight w:val="190"/>
          <w:tblCellSpacing w:w="15" w:type="dxa"/>
          <w:jc w:val="center"/>
        </w:trPr>
        <w:tc>
          <w:tcPr>
            <w:tcW w:w="0" w:type="auto"/>
            <w:vAlign w:val="center"/>
            <w:hideMark/>
          </w:tcPr>
          <w:p w14:paraId="4FFD9C53" w14:textId="77777777" w:rsidR="00B95580" w:rsidRPr="0072728B" w:rsidRDefault="00B95580" w:rsidP="00662CB0">
            <w:pPr>
              <w:spacing w:after="0" w:line="240" w:lineRule="auto"/>
              <w:jc w:val="both"/>
              <w:rPr>
                <w:rFonts w:ascii="Arial" w:eastAsia="Times New Roman" w:hAnsi="Arial" w:cs="Arial"/>
                <w:color w:val="000000"/>
                <w:sz w:val="20"/>
                <w:szCs w:val="20"/>
                <w:highlight w:val="yellow"/>
                <w:lang w:val="en-IN"/>
              </w:rPr>
            </w:pPr>
            <w:r w:rsidRPr="0072728B">
              <w:rPr>
                <w:rFonts w:ascii="Arial" w:eastAsia="Times New Roman" w:hAnsi="Arial" w:cs="Arial"/>
                <w:color w:val="000000"/>
                <w:sz w:val="20"/>
                <w:szCs w:val="20"/>
                <w:highlight w:val="yellow"/>
                <w:lang w:val="en-IN"/>
              </w:rPr>
              <w:t>0</w:t>
            </w:r>
          </w:p>
        </w:tc>
        <w:tc>
          <w:tcPr>
            <w:tcW w:w="0" w:type="auto"/>
            <w:vAlign w:val="center"/>
            <w:hideMark/>
          </w:tcPr>
          <w:p w14:paraId="4F62F158" w14:textId="77777777" w:rsidR="00B95580" w:rsidRPr="0072728B" w:rsidRDefault="00B95580" w:rsidP="00662CB0">
            <w:pPr>
              <w:spacing w:after="0" w:line="240" w:lineRule="auto"/>
              <w:jc w:val="both"/>
              <w:rPr>
                <w:rFonts w:ascii="Arial" w:eastAsia="Times New Roman" w:hAnsi="Arial" w:cs="Arial"/>
                <w:color w:val="000000"/>
                <w:sz w:val="20"/>
                <w:szCs w:val="20"/>
                <w:highlight w:val="yellow"/>
                <w:lang w:val="en-IN"/>
              </w:rPr>
            </w:pPr>
            <w:r w:rsidRPr="0072728B">
              <w:rPr>
                <w:rFonts w:ascii="Arial" w:eastAsia="Times New Roman" w:hAnsi="Arial" w:cs="Arial"/>
                <w:color w:val="000000"/>
                <w:sz w:val="20"/>
                <w:szCs w:val="20"/>
                <w:highlight w:val="yellow"/>
                <w:lang w:val="en-IN"/>
              </w:rPr>
              <w:t>&lt; 5</w:t>
            </w:r>
          </w:p>
        </w:tc>
        <w:tc>
          <w:tcPr>
            <w:tcW w:w="0" w:type="auto"/>
            <w:vAlign w:val="center"/>
            <w:hideMark/>
          </w:tcPr>
          <w:p w14:paraId="21D1AAF7" w14:textId="77777777" w:rsidR="00B95580" w:rsidRPr="0072728B" w:rsidRDefault="00B95580" w:rsidP="00662CB0">
            <w:pPr>
              <w:spacing w:after="0" w:line="240" w:lineRule="auto"/>
              <w:jc w:val="both"/>
              <w:rPr>
                <w:rFonts w:ascii="Arial" w:eastAsia="Times New Roman" w:hAnsi="Arial" w:cs="Arial"/>
                <w:color w:val="000000"/>
                <w:sz w:val="20"/>
                <w:szCs w:val="20"/>
                <w:highlight w:val="yellow"/>
                <w:lang w:val="en-IN"/>
              </w:rPr>
            </w:pPr>
            <w:r w:rsidRPr="0072728B">
              <w:rPr>
                <w:rFonts w:ascii="Arial" w:eastAsia="Times New Roman" w:hAnsi="Arial" w:cs="Arial"/>
                <w:color w:val="000000"/>
                <w:sz w:val="20"/>
                <w:szCs w:val="20"/>
                <w:highlight w:val="yellow"/>
                <w:lang w:val="en-IN"/>
              </w:rPr>
              <w:t>Immune (I)</w:t>
            </w:r>
          </w:p>
        </w:tc>
      </w:tr>
      <w:tr w:rsidR="00B95580" w:rsidRPr="0072728B" w14:paraId="3A4AE479" w14:textId="77777777" w:rsidTr="0072728B">
        <w:trPr>
          <w:trHeight w:val="190"/>
          <w:tblCellSpacing w:w="15" w:type="dxa"/>
          <w:jc w:val="center"/>
        </w:trPr>
        <w:tc>
          <w:tcPr>
            <w:tcW w:w="0" w:type="auto"/>
            <w:vAlign w:val="center"/>
            <w:hideMark/>
          </w:tcPr>
          <w:p w14:paraId="0F290CFE" w14:textId="77777777" w:rsidR="00B95580" w:rsidRPr="0072728B" w:rsidRDefault="00B95580" w:rsidP="00662CB0">
            <w:pPr>
              <w:spacing w:after="0" w:line="240" w:lineRule="auto"/>
              <w:jc w:val="both"/>
              <w:rPr>
                <w:rFonts w:ascii="Arial" w:eastAsia="Times New Roman" w:hAnsi="Arial" w:cs="Arial"/>
                <w:color w:val="000000"/>
                <w:sz w:val="20"/>
                <w:szCs w:val="20"/>
                <w:highlight w:val="yellow"/>
                <w:lang w:val="en-IN"/>
              </w:rPr>
            </w:pPr>
            <w:r w:rsidRPr="0072728B">
              <w:rPr>
                <w:rFonts w:ascii="Arial" w:eastAsia="Times New Roman" w:hAnsi="Arial" w:cs="Arial"/>
                <w:color w:val="000000"/>
                <w:sz w:val="20"/>
                <w:szCs w:val="20"/>
                <w:highlight w:val="yellow"/>
                <w:lang w:val="en-IN"/>
              </w:rPr>
              <w:t>1</w:t>
            </w:r>
          </w:p>
        </w:tc>
        <w:tc>
          <w:tcPr>
            <w:tcW w:w="0" w:type="auto"/>
            <w:vAlign w:val="center"/>
            <w:hideMark/>
          </w:tcPr>
          <w:p w14:paraId="34E42C30" w14:textId="77777777" w:rsidR="00B95580" w:rsidRPr="0072728B" w:rsidRDefault="00B95580" w:rsidP="00662CB0">
            <w:pPr>
              <w:spacing w:after="0" w:line="240" w:lineRule="auto"/>
              <w:jc w:val="both"/>
              <w:rPr>
                <w:rFonts w:ascii="Arial" w:eastAsia="Times New Roman" w:hAnsi="Arial" w:cs="Arial"/>
                <w:color w:val="000000"/>
                <w:sz w:val="20"/>
                <w:szCs w:val="20"/>
                <w:highlight w:val="yellow"/>
                <w:lang w:val="en-IN"/>
              </w:rPr>
            </w:pPr>
            <w:r w:rsidRPr="0072728B">
              <w:rPr>
                <w:rFonts w:ascii="Arial" w:eastAsia="Times New Roman" w:hAnsi="Arial" w:cs="Arial"/>
                <w:color w:val="000000"/>
                <w:sz w:val="20"/>
                <w:szCs w:val="20"/>
                <w:highlight w:val="yellow"/>
                <w:lang w:val="en-IN"/>
              </w:rPr>
              <w:t>6–10</w:t>
            </w:r>
          </w:p>
        </w:tc>
        <w:tc>
          <w:tcPr>
            <w:tcW w:w="0" w:type="auto"/>
            <w:vAlign w:val="center"/>
            <w:hideMark/>
          </w:tcPr>
          <w:p w14:paraId="308004F4" w14:textId="77777777" w:rsidR="00B95580" w:rsidRPr="0072728B" w:rsidRDefault="00B95580" w:rsidP="00662CB0">
            <w:pPr>
              <w:spacing w:after="0" w:line="240" w:lineRule="auto"/>
              <w:jc w:val="both"/>
              <w:rPr>
                <w:rFonts w:ascii="Arial" w:eastAsia="Times New Roman" w:hAnsi="Arial" w:cs="Arial"/>
                <w:color w:val="000000"/>
                <w:sz w:val="20"/>
                <w:szCs w:val="20"/>
                <w:highlight w:val="yellow"/>
                <w:lang w:val="en-IN"/>
              </w:rPr>
            </w:pPr>
            <w:r w:rsidRPr="0072728B">
              <w:rPr>
                <w:rFonts w:ascii="Arial" w:eastAsia="Times New Roman" w:hAnsi="Arial" w:cs="Arial"/>
                <w:color w:val="000000"/>
                <w:sz w:val="20"/>
                <w:szCs w:val="20"/>
                <w:highlight w:val="yellow"/>
                <w:lang w:val="en-IN"/>
              </w:rPr>
              <w:t>Resistant (R)</w:t>
            </w:r>
          </w:p>
        </w:tc>
      </w:tr>
      <w:tr w:rsidR="00B95580" w:rsidRPr="0072728B" w14:paraId="7E1ABBA2" w14:textId="77777777" w:rsidTr="0072728B">
        <w:trPr>
          <w:trHeight w:val="190"/>
          <w:tblCellSpacing w:w="15" w:type="dxa"/>
          <w:jc w:val="center"/>
        </w:trPr>
        <w:tc>
          <w:tcPr>
            <w:tcW w:w="0" w:type="auto"/>
            <w:vAlign w:val="center"/>
            <w:hideMark/>
          </w:tcPr>
          <w:p w14:paraId="662BDC02" w14:textId="77777777" w:rsidR="00B95580" w:rsidRPr="0072728B" w:rsidRDefault="00B95580" w:rsidP="00662CB0">
            <w:pPr>
              <w:spacing w:after="0" w:line="240" w:lineRule="auto"/>
              <w:jc w:val="both"/>
              <w:rPr>
                <w:rFonts w:ascii="Arial" w:eastAsia="Times New Roman" w:hAnsi="Arial" w:cs="Arial"/>
                <w:color w:val="000000"/>
                <w:sz w:val="20"/>
                <w:szCs w:val="20"/>
                <w:highlight w:val="yellow"/>
                <w:lang w:val="en-IN"/>
              </w:rPr>
            </w:pPr>
            <w:r w:rsidRPr="0072728B">
              <w:rPr>
                <w:rFonts w:ascii="Arial" w:eastAsia="Times New Roman" w:hAnsi="Arial" w:cs="Arial"/>
                <w:color w:val="000000"/>
                <w:sz w:val="20"/>
                <w:szCs w:val="20"/>
                <w:highlight w:val="yellow"/>
                <w:lang w:val="en-IN"/>
              </w:rPr>
              <w:t>2</w:t>
            </w:r>
          </w:p>
        </w:tc>
        <w:tc>
          <w:tcPr>
            <w:tcW w:w="0" w:type="auto"/>
            <w:vAlign w:val="center"/>
            <w:hideMark/>
          </w:tcPr>
          <w:p w14:paraId="3BA421B4" w14:textId="77777777" w:rsidR="00B95580" w:rsidRPr="0072728B" w:rsidRDefault="00B95580" w:rsidP="00662CB0">
            <w:pPr>
              <w:spacing w:after="0" w:line="240" w:lineRule="auto"/>
              <w:jc w:val="both"/>
              <w:rPr>
                <w:rFonts w:ascii="Arial" w:eastAsia="Times New Roman" w:hAnsi="Arial" w:cs="Arial"/>
                <w:color w:val="000000"/>
                <w:sz w:val="20"/>
                <w:szCs w:val="20"/>
                <w:highlight w:val="yellow"/>
                <w:lang w:val="en-IN"/>
              </w:rPr>
            </w:pPr>
            <w:r w:rsidRPr="0072728B">
              <w:rPr>
                <w:rFonts w:ascii="Arial" w:eastAsia="Times New Roman" w:hAnsi="Arial" w:cs="Arial"/>
                <w:color w:val="000000"/>
                <w:sz w:val="20"/>
                <w:szCs w:val="20"/>
                <w:highlight w:val="yellow"/>
                <w:lang w:val="en-IN"/>
              </w:rPr>
              <w:t>11–20</w:t>
            </w:r>
          </w:p>
        </w:tc>
        <w:tc>
          <w:tcPr>
            <w:tcW w:w="0" w:type="auto"/>
            <w:vAlign w:val="center"/>
            <w:hideMark/>
          </w:tcPr>
          <w:p w14:paraId="22ADBC3A" w14:textId="77777777" w:rsidR="00B95580" w:rsidRPr="0072728B" w:rsidRDefault="00B95580" w:rsidP="00662CB0">
            <w:pPr>
              <w:spacing w:after="0" w:line="240" w:lineRule="auto"/>
              <w:jc w:val="both"/>
              <w:rPr>
                <w:rFonts w:ascii="Arial" w:eastAsia="Times New Roman" w:hAnsi="Arial" w:cs="Arial"/>
                <w:color w:val="000000"/>
                <w:sz w:val="20"/>
                <w:szCs w:val="20"/>
                <w:highlight w:val="yellow"/>
                <w:lang w:val="en-IN"/>
              </w:rPr>
            </w:pPr>
            <w:r w:rsidRPr="0072728B">
              <w:rPr>
                <w:rFonts w:ascii="Arial" w:eastAsia="Times New Roman" w:hAnsi="Arial" w:cs="Arial"/>
                <w:color w:val="000000"/>
                <w:sz w:val="20"/>
                <w:szCs w:val="20"/>
                <w:highlight w:val="yellow"/>
                <w:lang w:val="en-IN"/>
              </w:rPr>
              <w:t>Moderately Resistant (MR)</w:t>
            </w:r>
          </w:p>
        </w:tc>
      </w:tr>
      <w:tr w:rsidR="00B95580" w:rsidRPr="0072728B" w14:paraId="7A301B62" w14:textId="77777777" w:rsidTr="0072728B">
        <w:trPr>
          <w:trHeight w:val="190"/>
          <w:tblCellSpacing w:w="15" w:type="dxa"/>
          <w:jc w:val="center"/>
        </w:trPr>
        <w:tc>
          <w:tcPr>
            <w:tcW w:w="0" w:type="auto"/>
            <w:vAlign w:val="center"/>
            <w:hideMark/>
          </w:tcPr>
          <w:p w14:paraId="629D2964" w14:textId="77777777" w:rsidR="00B95580" w:rsidRPr="0072728B" w:rsidRDefault="00B95580" w:rsidP="00662CB0">
            <w:pPr>
              <w:spacing w:after="0" w:line="240" w:lineRule="auto"/>
              <w:jc w:val="both"/>
              <w:rPr>
                <w:rFonts w:ascii="Arial" w:eastAsia="Times New Roman" w:hAnsi="Arial" w:cs="Arial"/>
                <w:color w:val="000000"/>
                <w:sz w:val="20"/>
                <w:szCs w:val="20"/>
                <w:highlight w:val="yellow"/>
                <w:lang w:val="en-IN"/>
              </w:rPr>
            </w:pPr>
            <w:r w:rsidRPr="0072728B">
              <w:rPr>
                <w:rFonts w:ascii="Arial" w:eastAsia="Times New Roman" w:hAnsi="Arial" w:cs="Arial"/>
                <w:color w:val="000000"/>
                <w:sz w:val="20"/>
                <w:szCs w:val="20"/>
                <w:highlight w:val="yellow"/>
                <w:lang w:val="en-IN"/>
              </w:rPr>
              <w:t>3</w:t>
            </w:r>
          </w:p>
        </w:tc>
        <w:tc>
          <w:tcPr>
            <w:tcW w:w="0" w:type="auto"/>
            <w:vAlign w:val="center"/>
            <w:hideMark/>
          </w:tcPr>
          <w:p w14:paraId="4249BEC4" w14:textId="77777777" w:rsidR="00B95580" w:rsidRPr="0072728B" w:rsidRDefault="00B95580" w:rsidP="00662CB0">
            <w:pPr>
              <w:spacing w:after="0" w:line="240" w:lineRule="auto"/>
              <w:jc w:val="both"/>
              <w:rPr>
                <w:rFonts w:ascii="Arial" w:eastAsia="Times New Roman" w:hAnsi="Arial" w:cs="Arial"/>
                <w:color w:val="000000"/>
                <w:sz w:val="20"/>
                <w:szCs w:val="20"/>
                <w:highlight w:val="yellow"/>
                <w:lang w:val="en-IN"/>
              </w:rPr>
            </w:pPr>
            <w:r w:rsidRPr="0072728B">
              <w:rPr>
                <w:rFonts w:ascii="Arial" w:eastAsia="Times New Roman" w:hAnsi="Arial" w:cs="Arial"/>
                <w:color w:val="000000"/>
                <w:sz w:val="20"/>
                <w:szCs w:val="20"/>
                <w:highlight w:val="yellow"/>
                <w:lang w:val="en-IN"/>
              </w:rPr>
              <w:t>21–40</w:t>
            </w:r>
          </w:p>
        </w:tc>
        <w:tc>
          <w:tcPr>
            <w:tcW w:w="0" w:type="auto"/>
            <w:vAlign w:val="center"/>
            <w:hideMark/>
          </w:tcPr>
          <w:p w14:paraId="22282C16" w14:textId="77777777" w:rsidR="00B95580" w:rsidRPr="0072728B" w:rsidRDefault="00B95580" w:rsidP="00662CB0">
            <w:pPr>
              <w:spacing w:after="0" w:line="240" w:lineRule="auto"/>
              <w:jc w:val="both"/>
              <w:rPr>
                <w:rFonts w:ascii="Arial" w:eastAsia="Times New Roman" w:hAnsi="Arial" w:cs="Arial"/>
                <w:color w:val="000000"/>
                <w:sz w:val="20"/>
                <w:szCs w:val="20"/>
                <w:highlight w:val="yellow"/>
                <w:lang w:val="en-IN"/>
              </w:rPr>
            </w:pPr>
            <w:r w:rsidRPr="0072728B">
              <w:rPr>
                <w:rFonts w:ascii="Arial" w:eastAsia="Times New Roman" w:hAnsi="Arial" w:cs="Arial"/>
                <w:color w:val="000000"/>
                <w:sz w:val="20"/>
                <w:szCs w:val="20"/>
                <w:highlight w:val="yellow"/>
                <w:lang w:val="en-IN"/>
              </w:rPr>
              <w:t>Moderately Susceptible (MS)</w:t>
            </w:r>
          </w:p>
        </w:tc>
      </w:tr>
      <w:tr w:rsidR="00B95580" w:rsidRPr="0072728B" w14:paraId="225446DC" w14:textId="77777777" w:rsidTr="0072728B">
        <w:trPr>
          <w:trHeight w:val="190"/>
          <w:tblCellSpacing w:w="15" w:type="dxa"/>
          <w:jc w:val="center"/>
        </w:trPr>
        <w:tc>
          <w:tcPr>
            <w:tcW w:w="0" w:type="auto"/>
            <w:vAlign w:val="center"/>
            <w:hideMark/>
          </w:tcPr>
          <w:p w14:paraId="2297852D" w14:textId="77777777" w:rsidR="00B95580" w:rsidRPr="0072728B" w:rsidRDefault="00B95580" w:rsidP="00662CB0">
            <w:pPr>
              <w:spacing w:after="0" w:line="240" w:lineRule="auto"/>
              <w:jc w:val="both"/>
              <w:rPr>
                <w:rFonts w:ascii="Arial" w:eastAsia="Times New Roman" w:hAnsi="Arial" w:cs="Arial"/>
                <w:color w:val="000000"/>
                <w:sz w:val="20"/>
                <w:szCs w:val="20"/>
                <w:highlight w:val="yellow"/>
                <w:lang w:val="en-IN"/>
              </w:rPr>
            </w:pPr>
            <w:r w:rsidRPr="0072728B">
              <w:rPr>
                <w:rFonts w:ascii="Arial" w:eastAsia="Times New Roman" w:hAnsi="Arial" w:cs="Arial"/>
                <w:color w:val="000000"/>
                <w:sz w:val="20"/>
                <w:szCs w:val="20"/>
                <w:highlight w:val="yellow"/>
                <w:lang w:val="en-IN"/>
              </w:rPr>
              <w:t>4</w:t>
            </w:r>
          </w:p>
        </w:tc>
        <w:tc>
          <w:tcPr>
            <w:tcW w:w="0" w:type="auto"/>
            <w:vAlign w:val="center"/>
            <w:hideMark/>
          </w:tcPr>
          <w:p w14:paraId="29DCCB84" w14:textId="77777777" w:rsidR="00B95580" w:rsidRPr="0072728B" w:rsidRDefault="00B95580" w:rsidP="00662CB0">
            <w:pPr>
              <w:spacing w:after="0" w:line="240" w:lineRule="auto"/>
              <w:jc w:val="both"/>
              <w:rPr>
                <w:rFonts w:ascii="Arial" w:eastAsia="Times New Roman" w:hAnsi="Arial" w:cs="Arial"/>
                <w:color w:val="000000"/>
                <w:sz w:val="20"/>
                <w:szCs w:val="20"/>
                <w:highlight w:val="yellow"/>
                <w:lang w:val="en-IN"/>
              </w:rPr>
            </w:pPr>
            <w:r w:rsidRPr="0072728B">
              <w:rPr>
                <w:rFonts w:ascii="Arial" w:eastAsia="Times New Roman" w:hAnsi="Arial" w:cs="Arial"/>
                <w:color w:val="000000"/>
                <w:sz w:val="20"/>
                <w:szCs w:val="20"/>
                <w:highlight w:val="yellow"/>
                <w:lang w:val="en-IN"/>
              </w:rPr>
              <w:t>41–60</w:t>
            </w:r>
          </w:p>
        </w:tc>
        <w:tc>
          <w:tcPr>
            <w:tcW w:w="0" w:type="auto"/>
            <w:vAlign w:val="center"/>
            <w:hideMark/>
          </w:tcPr>
          <w:p w14:paraId="16785B53" w14:textId="77777777" w:rsidR="00B95580" w:rsidRPr="0072728B" w:rsidRDefault="00B95580" w:rsidP="00662CB0">
            <w:pPr>
              <w:spacing w:after="0" w:line="240" w:lineRule="auto"/>
              <w:jc w:val="both"/>
              <w:rPr>
                <w:rFonts w:ascii="Arial" w:eastAsia="Times New Roman" w:hAnsi="Arial" w:cs="Arial"/>
                <w:color w:val="000000"/>
                <w:sz w:val="20"/>
                <w:szCs w:val="20"/>
                <w:highlight w:val="yellow"/>
                <w:lang w:val="en-IN"/>
              </w:rPr>
            </w:pPr>
            <w:r w:rsidRPr="0072728B">
              <w:rPr>
                <w:rFonts w:ascii="Arial" w:eastAsia="Times New Roman" w:hAnsi="Arial" w:cs="Arial"/>
                <w:color w:val="000000"/>
                <w:sz w:val="20"/>
                <w:szCs w:val="20"/>
                <w:highlight w:val="yellow"/>
                <w:lang w:val="en-IN"/>
              </w:rPr>
              <w:t>Susceptible (S)</w:t>
            </w:r>
          </w:p>
        </w:tc>
      </w:tr>
      <w:tr w:rsidR="00B95580" w:rsidRPr="00662CB0" w14:paraId="41B390C5" w14:textId="77777777" w:rsidTr="0072728B">
        <w:trPr>
          <w:trHeight w:val="190"/>
          <w:tblCellSpacing w:w="15" w:type="dxa"/>
          <w:jc w:val="center"/>
        </w:trPr>
        <w:tc>
          <w:tcPr>
            <w:tcW w:w="0" w:type="auto"/>
            <w:tcBorders>
              <w:bottom w:val="single" w:sz="4" w:space="0" w:color="auto"/>
            </w:tcBorders>
            <w:vAlign w:val="center"/>
            <w:hideMark/>
          </w:tcPr>
          <w:p w14:paraId="162F393F" w14:textId="77777777" w:rsidR="00B95580" w:rsidRPr="0072728B" w:rsidRDefault="00B95580" w:rsidP="00662CB0">
            <w:pPr>
              <w:spacing w:after="0" w:line="240" w:lineRule="auto"/>
              <w:jc w:val="both"/>
              <w:rPr>
                <w:rFonts w:ascii="Arial" w:eastAsia="Times New Roman" w:hAnsi="Arial" w:cs="Arial"/>
                <w:color w:val="000000"/>
                <w:sz w:val="20"/>
                <w:szCs w:val="20"/>
                <w:highlight w:val="yellow"/>
                <w:lang w:val="en-IN"/>
              </w:rPr>
            </w:pPr>
            <w:r w:rsidRPr="0072728B">
              <w:rPr>
                <w:rFonts w:ascii="Arial" w:eastAsia="Times New Roman" w:hAnsi="Arial" w:cs="Arial"/>
                <w:color w:val="000000"/>
                <w:sz w:val="20"/>
                <w:szCs w:val="20"/>
                <w:highlight w:val="yellow"/>
                <w:lang w:val="en-IN"/>
              </w:rPr>
              <w:t>5</w:t>
            </w:r>
          </w:p>
        </w:tc>
        <w:tc>
          <w:tcPr>
            <w:tcW w:w="0" w:type="auto"/>
            <w:tcBorders>
              <w:bottom w:val="single" w:sz="4" w:space="0" w:color="auto"/>
            </w:tcBorders>
            <w:vAlign w:val="center"/>
            <w:hideMark/>
          </w:tcPr>
          <w:p w14:paraId="2CB3D8C4" w14:textId="77777777" w:rsidR="00B95580" w:rsidRPr="0072728B" w:rsidRDefault="00B95580" w:rsidP="00662CB0">
            <w:pPr>
              <w:spacing w:after="0" w:line="240" w:lineRule="auto"/>
              <w:jc w:val="both"/>
              <w:rPr>
                <w:rFonts w:ascii="Arial" w:eastAsia="Times New Roman" w:hAnsi="Arial" w:cs="Arial"/>
                <w:color w:val="000000"/>
                <w:sz w:val="20"/>
                <w:szCs w:val="20"/>
                <w:highlight w:val="yellow"/>
                <w:lang w:val="en-IN"/>
              </w:rPr>
            </w:pPr>
            <w:r w:rsidRPr="0072728B">
              <w:rPr>
                <w:rFonts w:ascii="Arial" w:eastAsia="Times New Roman" w:hAnsi="Arial" w:cs="Arial"/>
                <w:color w:val="000000"/>
                <w:sz w:val="20"/>
                <w:szCs w:val="20"/>
                <w:highlight w:val="yellow"/>
                <w:lang w:val="en-IN"/>
              </w:rPr>
              <w:t>&gt; 60</w:t>
            </w:r>
          </w:p>
        </w:tc>
        <w:tc>
          <w:tcPr>
            <w:tcW w:w="0" w:type="auto"/>
            <w:tcBorders>
              <w:bottom w:val="single" w:sz="4" w:space="0" w:color="auto"/>
            </w:tcBorders>
            <w:vAlign w:val="center"/>
            <w:hideMark/>
          </w:tcPr>
          <w:p w14:paraId="0A8F977F" w14:textId="77777777" w:rsidR="00B95580" w:rsidRPr="00662CB0" w:rsidRDefault="00B95580" w:rsidP="00662CB0">
            <w:pPr>
              <w:spacing w:after="0" w:line="240" w:lineRule="auto"/>
              <w:jc w:val="both"/>
              <w:rPr>
                <w:rFonts w:ascii="Arial" w:eastAsia="Times New Roman" w:hAnsi="Arial" w:cs="Arial"/>
                <w:color w:val="000000"/>
                <w:sz w:val="20"/>
                <w:szCs w:val="20"/>
                <w:lang w:val="en-IN"/>
              </w:rPr>
            </w:pPr>
            <w:r w:rsidRPr="0072728B">
              <w:rPr>
                <w:rFonts w:ascii="Arial" w:eastAsia="Times New Roman" w:hAnsi="Arial" w:cs="Arial"/>
                <w:color w:val="000000"/>
                <w:sz w:val="20"/>
                <w:szCs w:val="20"/>
                <w:highlight w:val="yellow"/>
                <w:lang w:val="en-IN"/>
              </w:rPr>
              <w:t>Highly Susceptible (HS)</w:t>
            </w:r>
          </w:p>
        </w:tc>
      </w:tr>
    </w:tbl>
    <w:p w14:paraId="20C5A0CC" w14:textId="30AB2140" w:rsidR="00B95580" w:rsidRPr="00662CB0" w:rsidRDefault="00B95580" w:rsidP="00662CB0">
      <w:pPr>
        <w:spacing w:after="0" w:line="240" w:lineRule="auto"/>
        <w:jc w:val="both"/>
        <w:rPr>
          <w:rFonts w:ascii="Arial" w:eastAsia="Times New Roman" w:hAnsi="Arial" w:cs="Arial"/>
          <w:color w:val="000000"/>
          <w:sz w:val="20"/>
          <w:szCs w:val="20"/>
          <w:lang w:val="en-IN"/>
        </w:rPr>
      </w:pPr>
    </w:p>
    <w:p w14:paraId="58B673AC" w14:textId="405FB047" w:rsidR="00B95580" w:rsidRPr="006950B6" w:rsidRDefault="00B95580" w:rsidP="0072728B">
      <w:pPr>
        <w:spacing w:after="0" w:line="240" w:lineRule="auto"/>
        <w:jc w:val="center"/>
        <w:rPr>
          <w:rFonts w:ascii="Arial" w:eastAsia="Times New Roman" w:hAnsi="Arial" w:cs="Arial"/>
          <w:b/>
          <w:bCs/>
          <w:color w:val="000000"/>
          <w:sz w:val="20"/>
          <w:szCs w:val="20"/>
          <w:highlight w:val="yellow"/>
          <w:lang w:val="en-IN"/>
        </w:rPr>
      </w:pPr>
      <w:r w:rsidRPr="006950B6">
        <w:rPr>
          <w:rFonts w:ascii="Arial" w:eastAsia="Times New Roman" w:hAnsi="Arial" w:cs="Arial"/>
          <w:b/>
          <w:bCs/>
          <w:color w:val="000000"/>
          <w:sz w:val="20"/>
          <w:szCs w:val="20"/>
          <w:highlight w:val="yellow"/>
          <w:lang w:val="en-IN"/>
        </w:rPr>
        <w:t>Table 2. Scale for categorizing onion varieties against Purple blotch (Sharma, 1986)</w:t>
      </w:r>
    </w:p>
    <w:tbl>
      <w:tblPr>
        <w:tblW w:w="8278" w:type="dxa"/>
        <w:jc w:val="center"/>
        <w:tblCellSpacing w:w="15" w:type="dxa"/>
        <w:tblCellMar>
          <w:top w:w="15" w:type="dxa"/>
          <w:left w:w="15" w:type="dxa"/>
          <w:bottom w:w="15" w:type="dxa"/>
          <w:right w:w="15" w:type="dxa"/>
        </w:tblCellMar>
        <w:tblLook w:val="04A0" w:firstRow="1" w:lastRow="0" w:firstColumn="1" w:lastColumn="0" w:noHBand="0" w:noVBand="1"/>
      </w:tblPr>
      <w:tblGrid>
        <w:gridCol w:w="1131"/>
        <w:gridCol w:w="5407"/>
        <w:gridCol w:w="1740"/>
      </w:tblGrid>
      <w:tr w:rsidR="00B95580" w:rsidRPr="006950B6" w14:paraId="5BFAC187" w14:textId="77777777" w:rsidTr="0072728B">
        <w:trPr>
          <w:trHeight w:val="200"/>
          <w:tblHeader/>
          <w:tblCellSpacing w:w="15" w:type="dxa"/>
          <w:jc w:val="center"/>
        </w:trPr>
        <w:tc>
          <w:tcPr>
            <w:tcW w:w="0" w:type="auto"/>
            <w:tcBorders>
              <w:top w:val="single" w:sz="4" w:space="0" w:color="auto"/>
              <w:bottom w:val="single" w:sz="4" w:space="0" w:color="auto"/>
            </w:tcBorders>
            <w:vAlign w:val="center"/>
            <w:hideMark/>
          </w:tcPr>
          <w:p w14:paraId="6A8064D9" w14:textId="77777777" w:rsidR="00B95580" w:rsidRPr="006950B6" w:rsidRDefault="00B95580" w:rsidP="00662CB0">
            <w:pPr>
              <w:spacing w:after="0" w:line="240" w:lineRule="auto"/>
              <w:jc w:val="both"/>
              <w:rPr>
                <w:rFonts w:ascii="Arial" w:eastAsia="Times New Roman" w:hAnsi="Arial" w:cs="Arial"/>
                <w:b/>
                <w:bCs/>
                <w:color w:val="000000"/>
                <w:sz w:val="20"/>
                <w:szCs w:val="20"/>
                <w:highlight w:val="yellow"/>
                <w:lang w:val="en-IN"/>
              </w:rPr>
            </w:pPr>
            <w:r w:rsidRPr="006950B6">
              <w:rPr>
                <w:rFonts w:ascii="Arial" w:eastAsia="Times New Roman" w:hAnsi="Arial" w:cs="Arial"/>
                <w:b/>
                <w:bCs/>
                <w:color w:val="000000"/>
                <w:sz w:val="20"/>
                <w:szCs w:val="20"/>
                <w:highlight w:val="yellow"/>
                <w:lang w:val="en-IN"/>
              </w:rPr>
              <w:t>Sl. No</w:t>
            </w:r>
          </w:p>
        </w:tc>
        <w:tc>
          <w:tcPr>
            <w:tcW w:w="0" w:type="auto"/>
            <w:tcBorders>
              <w:top w:val="single" w:sz="4" w:space="0" w:color="auto"/>
              <w:bottom w:val="single" w:sz="4" w:space="0" w:color="auto"/>
            </w:tcBorders>
            <w:vAlign w:val="center"/>
            <w:hideMark/>
          </w:tcPr>
          <w:p w14:paraId="5AA9D117" w14:textId="77777777" w:rsidR="00B95580" w:rsidRPr="006950B6" w:rsidRDefault="00B95580" w:rsidP="00662CB0">
            <w:pPr>
              <w:spacing w:after="0" w:line="240" w:lineRule="auto"/>
              <w:jc w:val="both"/>
              <w:rPr>
                <w:rFonts w:ascii="Arial" w:eastAsia="Times New Roman" w:hAnsi="Arial" w:cs="Arial"/>
                <w:b/>
                <w:bCs/>
                <w:color w:val="000000"/>
                <w:sz w:val="20"/>
                <w:szCs w:val="20"/>
                <w:highlight w:val="yellow"/>
                <w:lang w:val="en-IN"/>
              </w:rPr>
            </w:pPr>
            <w:r w:rsidRPr="006950B6">
              <w:rPr>
                <w:rFonts w:ascii="Arial" w:eastAsia="Times New Roman" w:hAnsi="Arial" w:cs="Arial"/>
                <w:b/>
                <w:bCs/>
                <w:color w:val="000000"/>
                <w:sz w:val="20"/>
                <w:szCs w:val="20"/>
                <w:highlight w:val="yellow"/>
                <w:lang w:val="en-IN"/>
              </w:rPr>
              <w:t>Percent Leaf Area Covered (%)</w:t>
            </w:r>
          </w:p>
        </w:tc>
        <w:tc>
          <w:tcPr>
            <w:tcW w:w="0" w:type="auto"/>
            <w:tcBorders>
              <w:top w:val="single" w:sz="4" w:space="0" w:color="auto"/>
              <w:bottom w:val="single" w:sz="4" w:space="0" w:color="auto"/>
            </w:tcBorders>
            <w:vAlign w:val="center"/>
            <w:hideMark/>
          </w:tcPr>
          <w:p w14:paraId="3FC74DA6" w14:textId="77777777" w:rsidR="00B95580" w:rsidRPr="006950B6" w:rsidRDefault="00B95580" w:rsidP="00662CB0">
            <w:pPr>
              <w:spacing w:after="0" w:line="240" w:lineRule="auto"/>
              <w:jc w:val="both"/>
              <w:rPr>
                <w:rFonts w:ascii="Arial" w:eastAsia="Times New Roman" w:hAnsi="Arial" w:cs="Arial"/>
                <w:b/>
                <w:bCs/>
                <w:color w:val="000000"/>
                <w:sz w:val="20"/>
                <w:szCs w:val="20"/>
                <w:highlight w:val="yellow"/>
                <w:lang w:val="en-IN"/>
              </w:rPr>
            </w:pPr>
            <w:r w:rsidRPr="006950B6">
              <w:rPr>
                <w:rFonts w:ascii="Arial" w:eastAsia="Times New Roman" w:hAnsi="Arial" w:cs="Arial"/>
                <w:b/>
                <w:bCs/>
                <w:color w:val="000000"/>
                <w:sz w:val="20"/>
                <w:szCs w:val="20"/>
                <w:highlight w:val="yellow"/>
                <w:lang w:val="en-IN"/>
              </w:rPr>
              <w:t>Grade (X)</w:t>
            </w:r>
          </w:p>
        </w:tc>
      </w:tr>
      <w:tr w:rsidR="00B95580" w:rsidRPr="006950B6" w14:paraId="7DD5F9C0" w14:textId="77777777" w:rsidTr="0072728B">
        <w:trPr>
          <w:trHeight w:val="209"/>
          <w:tblCellSpacing w:w="15" w:type="dxa"/>
          <w:jc w:val="center"/>
        </w:trPr>
        <w:tc>
          <w:tcPr>
            <w:tcW w:w="0" w:type="auto"/>
            <w:vAlign w:val="center"/>
            <w:hideMark/>
          </w:tcPr>
          <w:p w14:paraId="3DDF4B48" w14:textId="77777777" w:rsidR="00B95580" w:rsidRPr="006950B6" w:rsidRDefault="00B95580" w:rsidP="00662CB0">
            <w:pPr>
              <w:spacing w:after="0" w:line="240" w:lineRule="auto"/>
              <w:jc w:val="both"/>
              <w:rPr>
                <w:rFonts w:ascii="Arial" w:eastAsia="Times New Roman" w:hAnsi="Arial" w:cs="Arial"/>
                <w:color w:val="000000"/>
                <w:sz w:val="20"/>
                <w:szCs w:val="20"/>
                <w:highlight w:val="yellow"/>
                <w:lang w:val="en-IN"/>
              </w:rPr>
            </w:pPr>
            <w:r w:rsidRPr="006950B6">
              <w:rPr>
                <w:rFonts w:ascii="Arial" w:eastAsia="Times New Roman" w:hAnsi="Arial" w:cs="Arial"/>
                <w:color w:val="000000"/>
                <w:sz w:val="20"/>
                <w:szCs w:val="20"/>
                <w:highlight w:val="yellow"/>
                <w:lang w:val="en-IN"/>
              </w:rPr>
              <w:t>1</w:t>
            </w:r>
          </w:p>
        </w:tc>
        <w:tc>
          <w:tcPr>
            <w:tcW w:w="0" w:type="auto"/>
            <w:vAlign w:val="center"/>
            <w:hideMark/>
          </w:tcPr>
          <w:p w14:paraId="3A57F0EF" w14:textId="77777777" w:rsidR="00B95580" w:rsidRPr="006950B6" w:rsidRDefault="00B95580" w:rsidP="00662CB0">
            <w:pPr>
              <w:spacing w:after="0" w:line="240" w:lineRule="auto"/>
              <w:jc w:val="both"/>
              <w:rPr>
                <w:rFonts w:ascii="Arial" w:eastAsia="Times New Roman" w:hAnsi="Arial" w:cs="Arial"/>
                <w:color w:val="000000"/>
                <w:sz w:val="20"/>
                <w:szCs w:val="20"/>
                <w:highlight w:val="yellow"/>
                <w:lang w:val="en-IN"/>
              </w:rPr>
            </w:pPr>
            <w:r w:rsidRPr="006950B6">
              <w:rPr>
                <w:rFonts w:ascii="Arial" w:eastAsia="Times New Roman" w:hAnsi="Arial" w:cs="Arial"/>
                <w:color w:val="000000"/>
                <w:sz w:val="20"/>
                <w:szCs w:val="20"/>
                <w:highlight w:val="yellow"/>
                <w:lang w:val="en-IN"/>
              </w:rPr>
              <w:t>1</w:t>
            </w:r>
          </w:p>
        </w:tc>
        <w:tc>
          <w:tcPr>
            <w:tcW w:w="0" w:type="auto"/>
            <w:vAlign w:val="center"/>
            <w:hideMark/>
          </w:tcPr>
          <w:p w14:paraId="5AC2CA41" w14:textId="77777777" w:rsidR="00B95580" w:rsidRPr="006950B6" w:rsidRDefault="00B95580" w:rsidP="00662CB0">
            <w:pPr>
              <w:spacing w:after="0" w:line="240" w:lineRule="auto"/>
              <w:jc w:val="both"/>
              <w:rPr>
                <w:rFonts w:ascii="Arial" w:eastAsia="Times New Roman" w:hAnsi="Arial" w:cs="Arial"/>
                <w:color w:val="000000"/>
                <w:sz w:val="20"/>
                <w:szCs w:val="20"/>
                <w:highlight w:val="yellow"/>
                <w:lang w:val="en-IN"/>
              </w:rPr>
            </w:pPr>
            <w:r w:rsidRPr="006950B6">
              <w:rPr>
                <w:rFonts w:ascii="Arial" w:eastAsia="Times New Roman" w:hAnsi="Arial" w:cs="Arial"/>
                <w:color w:val="000000"/>
                <w:sz w:val="20"/>
                <w:szCs w:val="20"/>
                <w:highlight w:val="yellow"/>
                <w:lang w:val="en-IN"/>
              </w:rPr>
              <w:t>0</w:t>
            </w:r>
          </w:p>
        </w:tc>
      </w:tr>
      <w:tr w:rsidR="00B95580" w:rsidRPr="006950B6" w14:paraId="32F2D3A9" w14:textId="77777777" w:rsidTr="0072728B">
        <w:trPr>
          <w:trHeight w:val="209"/>
          <w:tblCellSpacing w:w="15" w:type="dxa"/>
          <w:jc w:val="center"/>
        </w:trPr>
        <w:tc>
          <w:tcPr>
            <w:tcW w:w="0" w:type="auto"/>
            <w:vAlign w:val="center"/>
            <w:hideMark/>
          </w:tcPr>
          <w:p w14:paraId="14DB284C" w14:textId="77777777" w:rsidR="00B95580" w:rsidRPr="006950B6" w:rsidRDefault="00B95580" w:rsidP="00662CB0">
            <w:pPr>
              <w:spacing w:after="0" w:line="240" w:lineRule="auto"/>
              <w:jc w:val="both"/>
              <w:rPr>
                <w:rFonts w:ascii="Arial" w:eastAsia="Times New Roman" w:hAnsi="Arial" w:cs="Arial"/>
                <w:color w:val="000000"/>
                <w:sz w:val="20"/>
                <w:szCs w:val="20"/>
                <w:highlight w:val="yellow"/>
                <w:lang w:val="en-IN"/>
              </w:rPr>
            </w:pPr>
            <w:r w:rsidRPr="006950B6">
              <w:rPr>
                <w:rFonts w:ascii="Arial" w:eastAsia="Times New Roman" w:hAnsi="Arial" w:cs="Arial"/>
                <w:color w:val="000000"/>
                <w:sz w:val="20"/>
                <w:szCs w:val="20"/>
                <w:highlight w:val="yellow"/>
                <w:lang w:val="en-IN"/>
              </w:rPr>
              <w:t>2</w:t>
            </w:r>
          </w:p>
        </w:tc>
        <w:tc>
          <w:tcPr>
            <w:tcW w:w="0" w:type="auto"/>
            <w:vAlign w:val="center"/>
            <w:hideMark/>
          </w:tcPr>
          <w:p w14:paraId="36A5B4AA" w14:textId="77777777" w:rsidR="00B95580" w:rsidRPr="006950B6" w:rsidRDefault="00B95580" w:rsidP="00662CB0">
            <w:pPr>
              <w:spacing w:after="0" w:line="240" w:lineRule="auto"/>
              <w:jc w:val="both"/>
              <w:rPr>
                <w:rFonts w:ascii="Arial" w:eastAsia="Times New Roman" w:hAnsi="Arial" w:cs="Arial"/>
                <w:color w:val="000000"/>
                <w:sz w:val="20"/>
                <w:szCs w:val="20"/>
                <w:highlight w:val="yellow"/>
                <w:lang w:val="en-IN"/>
              </w:rPr>
            </w:pPr>
            <w:r w:rsidRPr="006950B6">
              <w:rPr>
                <w:rFonts w:ascii="Arial" w:eastAsia="Times New Roman" w:hAnsi="Arial" w:cs="Arial"/>
                <w:color w:val="000000"/>
                <w:sz w:val="20"/>
                <w:szCs w:val="20"/>
                <w:highlight w:val="yellow"/>
                <w:lang w:val="en-IN"/>
              </w:rPr>
              <w:t>2</w:t>
            </w:r>
          </w:p>
        </w:tc>
        <w:tc>
          <w:tcPr>
            <w:tcW w:w="0" w:type="auto"/>
            <w:vAlign w:val="center"/>
            <w:hideMark/>
          </w:tcPr>
          <w:p w14:paraId="0E10BB6C" w14:textId="77777777" w:rsidR="00B95580" w:rsidRPr="006950B6" w:rsidRDefault="00B95580" w:rsidP="00662CB0">
            <w:pPr>
              <w:spacing w:after="0" w:line="240" w:lineRule="auto"/>
              <w:jc w:val="both"/>
              <w:rPr>
                <w:rFonts w:ascii="Arial" w:eastAsia="Times New Roman" w:hAnsi="Arial" w:cs="Arial"/>
                <w:color w:val="000000"/>
                <w:sz w:val="20"/>
                <w:szCs w:val="20"/>
                <w:highlight w:val="yellow"/>
                <w:lang w:val="en-IN"/>
              </w:rPr>
            </w:pPr>
            <w:r w:rsidRPr="006950B6">
              <w:rPr>
                <w:rFonts w:ascii="Arial" w:eastAsia="Times New Roman" w:hAnsi="Arial" w:cs="Arial"/>
                <w:color w:val="000000"/>
                <w:sz w:val="20"/>
                <w:szCs w:val="20"/>
                <w:highlight w:val="yellow"/>
                <w:lang w:val="en-IN"/>
              </w:rPr>
              <w:t>1</w:t>
            </w:r>
          </w:p>
        </w:tc>
      </w:tr>
      <w:tr w:rsidR="00B95580" w:rsidRPr="006950B6" w14:paraId="39079DE1" w14:textId="77777777" w:rsidTr="0072728B">
        <w:trPr>
          <w:trHeight w:val="209"/>
          <w:tblCellSpacing w:w="15" w:type="dxa"/>
          <w:jc w:val="center"/>
        </w:trPr>
        <w:tc>
          <w:tcPr>
            <w:tcW w:w="0" w:type="auto"/>
            <w:vAlign w:val="center"/>
            <w:hideMark/>
          </w:tcPr>
          <w:p w14:paraId="28AEC16E" w14:textId="77777777" w:rsidR="00B95580" w:rsidRPr="006950B6" w:rsidRDefault="00B95580" w:rsidP="00662CB0">
            <w:pPr>
              <w:spacing w:after="0" w:line="240" w:lineRule="auto"/>
              <w:jc w:val="both"/>
              <w:rPr>
                <w:rFonts w:ascii="Arial" w:eastAsia="Times New Roman" w:hAnsi="Arial" w:cs="Arial"/>
                <w:color w:val="000000"/>
                <w:sz w:val="20"/>
                <w:szCs w:val="20"/>
                <w:highlight w:val="yellow"/>
                <w:lang w:val="en-IN"/>
              </w:rPr>
            </w:pPr>
            <w:r w:rsidRPr="006950B6">
              <w:rPr>
                <w:rFonts w:ascii="Arial" w:eastAsia="Times New Roman" w:hAnsi="Arial" w:cs="Arial"/>
                <w:color w:val="000000"/>
                <w:sz w:val="20"/>
                <w:szCs w:val="20"/>
                <w:highlight w:val="yellow"/>
                <w:lang w:val="en-IN"/>
              </w:rPr>
              <w:t>3</w:t>
            </w:r>
          </w:p>
        </w:tc>
        <w:tc>
          <w:tcPr>
            <w:tcW w:w="0" w:type="auto"/>
            <w:vAlign w:val="center"/>
            <w:hideMark/>
          </w:tcPr>
          <w:p w14:paraId="533F53EE" w14:textId="77777777" w:rsidR="00B95580" w:rsidRPr="006950B6" w:rsidRDefault="00B95580" w:rsidP="00662CB0">
            <w:pPr>
              <w:spacing w:after="0" w:line="240" w:lineRule="auto"/>
              <w:jc w:val="both"/>
              <w:rPr>
                <w:rFonts w:ascii="Arial" w:eastAsia="Times New Roman" w:hAnsi="Arial" w:cs="Arial"/>
                <w:color w:val="000000"/>
                <w:sz w:val="20"/>
                <w:szCs w:val="20"/>
                <w:highlight w:val="yellow"/>
                <w:lang w:val="en-IN"/>
              </w:rPr>
            </w:pPr>
            <w:r w:rsidRPr="006950B6">
              <w:rPr>
                <w:rFonts w:ascii="Arial" w:eastAsia="Times New Roman" w:hAnsi="Arial" w:cs="Arial"/>
                <w:color w:val="000000"/>
                <w:sz w:val="20"/>
                <w:szCs w:val="20"/>
                <w:highlight w:val="yellow"/>
                <w:lang w:val="en-IN"/>
              </w:rPr>
              <w:t>2–10</w:t>
            </w:r>
          </w:p>
        </w:tc>
        <w:tc>
          <w:tcPr>
            <w:tcW w:w="0" w:type="auto"/>
            <w:vAlign w:val="center"/>
            <w:hideMark/>
          </w:tcPr>
          <w:p w14:paraId="3F83A96D" w14:textId="77777777" w:rsidR="00B95580" w:rsidRPr="006950B6" w:rsidRDefault="00B95580" w:rsidP="00662CB0">
            <w:pPr>
              <w:spacing w:after="0" w:line="240" w:lineRule="auto"/>
              <w:jc w:val="both"/>
              <w:rPr>
                <w:rFonts w:ascii="Arial" w:eastAsia="Times New Roman" w:hAnsi="Arial" w:cs="Arial"/>
                <w:color w:val="000000"/>
                <w:sz w:val="20"/>
                <w:szCs w:val="20"/>
                <w:highlight w:val="yellow"/>
                <w:lang w:val="en-IN"/>
              </w:rPr>
            </w:pPr>
            <w:r w:rsidRPr="006950B6">
              <w:rPr>
                <w:rFonts w:ascii="Arial" w:eastAsia="Times New Roman" w:hAnsi="Arial" w:cs="Arial"/>
                <w:color w:val="000000"/>
                <w:sz w:val="20"/>
                <w:szCs w:val="20"/>
                <w:highlight w:val="yellow"/>
                <w:lang w:val="en-IN"/>
              </w:rPr>
              <w:t>3</w:t>
            </w:r>
          </w:p>
        </w:tc>
      </w:tr>
      <w:tr w:rsidR="00B95580" w:rsidRPr="006950B6" w14:paraId="456A6E93" w14:textId="77777777" w:rsidTr="0072728B">
        <w:trPr>
          <w:trHeight w:val="209"/>
          <w:tblCellSpacing w:w="15" w:type="dxa"/>
          <w:jc w:val="center"/>
        </w:trPr>
        <w:tc>
          <w:tcPr>
            <w:tcW w:w="0" w:type="auto"/>
            <w:vAlign w:val="center"/>
            <w:hideMark/>
          </w:tcPr>
          <w:p w14:paraId="74408E10" w14:textId="77777777" w:rsidR="00B95580" w:rsidRPr="006950B6" w:rsidRDefault="00B95580" w:rsidP="00662CB0">
            <w:pPr>
              <w:spacing w:after="0" w:line="240" w:lineRule="auto"/>
              <w:jc w:val="both"/>
              <w:rPr>
                <w:rFonts w:ascii="Arial" w:eastAsia="Times New Roman" w:hAnsi="Arial" w:cs="Arial"/>
                <w:color w:val="000000"/>
                <w:sz w:val="20"/>
                <w:szCs w:val="20"/>
                <w:highlight w:val="yellow"/>
                <w:lang w:val="en-IN"/>
              </w:rPr>
            </w:pPr>
            <w:r w:rsidRPr="006950B6">
              <w:rPr>
                <w:rFonts w:ascii="Arial" w:eastAsia="Times New Roman" w:hAnsi="Arial" w:cs="Arial"/>
                <w:color w:val="000000"/>
                <w:sz w:val="20"/>
                <w:szCs w:val="20"/>
                <w:highlight w:val="yellow"/>
                <w:lang w:val="en-IN"/>
              </w:rPr>
              <w:t>4</w:t>
            </w:r>
          </w:p>
        </w:tc>
        <w:tc>
          <w:tcPr>
            <w:tcW w:w="0" w:type="auto"/>
            <w:vAlign w:val="center"/>
            <w:hideMark/>
          </w:tcPr>
          <w:p w14:paraId="6B96E708" w14:textId="77777777" w:rsidR="00B95580" w:rsidRPr="006950B6" w:rsidRDefault="00B95580" w:rsidP="00662CB0">
            <w:pPr>
              <w:spacing w:after="0" w:line="240" w:lineRule="auto"/>
              <w:jc w:val="both"/>
              <w:rPr>
                <w:rFonts w:ascii="Arial" w:eastAsia="Times New Roman" w:hAnsi="Arial" w:cs="Arial"/>
                <w:color w:val="000000"/>
                <w:sz w:val="20"/>
                <w:szCs w:val="20"/>
                <w:highlight w:val="yellow"/>
                <w:lang w:val="en-IN"/>
              </w:rPr>
            </w:pPr>
            <w:r w:rsidRPr="006950B6">
              <w:rPr>
                <w:rFonts w:ascii="Arial" w:eastAsia="Times New Roman" w:hAnsi="Arial" w:cs="Arial"/>
                <w:color w:val="000000"/>
                <w:sz w:val="20"/>
                <w:szCs w:val="20"/>
                <w:highlight w:val="yellow"/>
                <w:lang w:val="en-IN"/>
              </w:rPr>
              <w:t>11–25</w:t>
            </w:r>
          </w:p>
        </w:tc>
        <w:tc>
          <w:tcPr>
            <w:tcW w:w="0" w:type="auto"/>
            <w:vAlign w:val="center"/>
            <w:hideMark/>
          </w:tcPr>
          <w:p w14:paraId="172A1B6A" w14:textId="77777777" w:rsidR="00B95580" w:rsidRPr="006950B6" w:rsidRDefault="00B95580" w:rsidP="00662CB0">
            <w:pPr>
              <w:spacing w:after="0" w:line="240" w:lineRule="auto"/>
              <w:jc w:val="both"/>
              <w:rPr>
                <w:rFonts w:ascii="Arial" w:eastAsia="Times New Roman" w:hAnsi="Arial" w:cs="Arial"/>
                <w:color w:val="000000"/>
                <w:sz w:val="20"/>
                <w:szCs w:val="20"/>
                <w:highlight w:val="yellow"/>
                <w:lang w:val="en-IN"/>
              </w:rPr>
            </w:pPr>
            <w:r w:rsidRPr="006950B6">
              <w:rPr>
                <w:rFonts w:ascii="Arial" w:eastAsia="Times New Roman" w:hAnsi="Arial" w:cs="Arial"/>
                <w:color w:val="000000"/>
                <w:sz w:val="20"/>
                <w:szCs w:val="20"/>
                <w:highlight w:val="yellow"/>
                <w:lang w:val="en-IN"/>
              </w:rPr>
              <w:t>5</w:t>
            </w:r>
          </w:p>
        </w:tc>
      </w:tr>
      <w:tr w:rsidR="00B95580" w:rsidRPr="006950B6" w14:paraId="28BDD3AA" w14:textId="77777777" w:rsidTr="0072728B">
        <w:trPr>
          <w:trHeight w:val="209"/>
          <w:tblCellSpacing w:w="15" w:type="dxa"/>
          <w:jc w:val="center"/>
        </w:trPr>
        <w:tc>
          <w:tcPr>
            <w:tcW w:w="0" w:type="auto"/>
            <w:vAlign w:val="center"/>
            <w:hideMark/>
          </w:tcPr>
          <w:p w14:paraId="1F20D8AB" w14:textId="77777777" w:rsidR="00B95580" w:rsidRPr="006950B6" w:rsidRDefault="00B95580" w:rsidP="00662CB0">
            <w:pPr>
              <w:spacing w:after="0" w:line="240" w:lineRule="auto"/>
              <w:jc w:val="both"/>
              <w:rPr>
                <w:rFonts w:ascii="Arial" w:eastAsia="Times New Roman" w:hAnsi="Arial" w:cs="Arial"/>
                <w:color w:val="000000"/>
                <w:sz w:val="20"/>
                <w:szCs w:val="20"/>
                <w:highlight w:val="yellow"/>
                <w:lang w:val="en-IN"/>
              </w:rPr>
            </w:pPr>
            <w:r w:rsidRPr="006950B6">
              <w:rPr>
                <w:rFonts w:ascii="Arial" w:eastAsia="Times New Roman" w:hAnsi="Arial" w:cs="Arial"/>
                <w:color w:val="000000"/>
                <w:sz w:val="20"/>
                <w:szCs w:val="20"/>
                <w:highlight w:val="yellow"/>
                <w:lang w:val="en-IN"/>
              </w:rPr>
              <w:t>5</w:t>
            </w:r>
          </w:p>
        </w:tc>
        <w:tc>
          <w:tcPr>
            <w:tcW w:w="0" w:type="auto"/>
            <w:vAlign w:val="center"/>
            <w:hideMark/>
          </w:tcPr>
          <w:p w14:paraId="4A24D4BD" w14:textId="77777777" w:rsidR="00B95580" w:rsidRPr="006950B6" w:rsidRDefault="00B95580" w:rsidP="00662CB0">
            <w:pPr>
              <w:spacing w:after="0" w:line="240" w:lineRule="auto"/>
              <w:jc w:val="both"/>
              <w:rPr>
                <w:rFonts w:ascii="Arial" w:eastAsia="Times New Roman" w:hAnsi="Arial" w:cs="Arial"/>
                <w:color w:val="000000"/>
                <w:sz w:val="20"/>
                <w:szCs w:val="20"/>
                <w:highlight w:val="yellow"/>
                <w:lang w:val="en-IN"/>
              </w:rPr>
            </w:pPr>
            <w:r w:rsidRPr="006950B6">
              <w:rPr>
                <w:rFonts w:ascii="Arial" w:eastAsia="Times New Roman" w:hAnsi="Arial" w:cs="Arial"/>
                <w:color w:val="000000"/>
                <w:sz w:val="20"/>
                <w:szCs w:val="20"/>
                <w:highlight w:val="yellow"/>
                <w:lang w:val="en-IN"/>
              </w:rPr>
              <w:t>26–50</w:t>
            </w:r>
          </w:p>
        </w:tc>
        <w:tc>
          <w:tcPr>
            <w:tcW w:w="0" w:type="auto"/>
            <w:vAlign w:val="center"/>
            <w:hideMark/>
          </w:tcPr>
          <w:p w14:paraId="02022E7B" w14:textId="77777777" w:rsidR="00B95580" w:rsidRPr="006950B6" w:rsidRDefault="00B95580" w:rsidP="00662CB0">
            <w:pPr>
              <w:spacing w:after="0" w:line="240" w:lineRule="auto"/>
              <w:jc w:val="both"/>
              <w:rPr>
                <w:rFonts w:ascii="Arial" w:eastAsia="Times New Roman" w:hAnsi="Arial" w:cs="Arial"/>
                <w:color w:val="000000"/>
                <w:sz w:val="20"/>
                <w:szCs w:val="20"/>
                <w:highlight w:val="yellow"/>
                <w:lang w:val="en-IN"/>
              </w:rPr>
            </w:pPr>
            <w:r w:rsidRPr="006950B6">
              <w:rPr>
                <w:rFonts w:ascii="Arial" w:eastAsia="Times New Roman" w:hAnsi="Arial" w:cs="Arial"/>
                <w:color w:val="000000"/>
                <w:sz w:val="20"/>
                <w:szCs w:val="20"/>
                <w:highlight w:val="yellow"/>
                <w:lang w:val="en-IN"/>
              </w:rPr>
              <w:t>7</w:t>
            </w:r>
          </w:p>
        </w:tc>
      </w:tr>
      <w:tr w:rsidR="00B95580" w:rsidRPr="00662CB0" w14:paraId="67A8C976" w14:textId="77777777" w:rsidTr="0072728B">
        <w:trPr>
          <w:trHeight w:val="209"/>
          <w:tblCellSpacing w:w="15" w:type="dxa"/>
          <w:jc w:val="center"/>
        </w:trPr>
        <w:tc>
          <w:tcPr>
            <w:tcW w:w="0" w:type="auto"/>
            <w:tcBorders>
              <w:bottom w:val="single" w:sz="4" w:space="0" w:color="auto"/>
            </w:tcBorders>
            <w:vAlign w:val="center"/>
            <w:hideMark/>
          </w:tcPr>
          <w:p w14:paraId="156DF655" w14:textId="77777777" w:rsidR="00B95580" w:rsidRPr="006950B6" w:rsidRDefault="00B95580" w:rsidP="00662CB0">
            <w:pPr>
              <w:spacing w:after="0" w:line="240" w:lineRule="auto"/>
              <w:jc w:val="both"/>
              <w:rPr>
                <w:rFonts w:ascii="Arial" w:eastAsia="Times New Roman" w:hAnsi="Arial" w:cs="Arial"/>
                <w:color w:val="000000"/>
                <w:sz w:val="20"/>
                <w:szCs w:val="20"/>
                <w:highlight w:val="yellow"/>
                <w:lang w:val="en-IN"/>
              </w:rPr>
            </w:pPr>
            <w:r w:rsidRPr="006950B6">
              <w:rPr>
                <w:rFonts w:ascii="Arial" w:eastAsia="Times New Roman" w:hAnsi="Arial" w:cs="Arial"/>
                <w:color w:val="000000"/>
                <w:sz w:val="20"/>
                <w:szCs w:val="20"/>
                <w:highlight w:val="yellow"/>
                <w:lang w:val="en-IN"/>
              </w:rPr>
              <w:t>6</w:t>
            </w:r>
          </w:p>
        </w:tc>
        <w:tc>
          <w:tcPr>
            <w:tcW w:w="0" w:type="auto"/>
            <w:tcBorders>
              <w:bottom w:val="single" w:sz="4" w:space="0" w:color="auto"/>
            </w:tcBorders>
            <w:vAlign w:val="center"/>
            <w:hideMark/>
          </w:tcPr>
          <w:p w14:paraId="368FCFA1" w14:textId="77777777" w:rsidR="00B95580" w:rsidRPr="006950B6" w:rsidRDefault="00B95580" w:rsidP="00662CB0">
            <w:pPr>
              <w:spacing w:after="0" w:line="240" w:lineRule="auto"/>
              <w:jc w:val="both"/>
              <w:rPr>
                <w:rFonts w:ascii="Arial" w:eastAsia="Times New Roman" w:hAnsi="Arial" w:cs="Arial"/>
                <w:color w:val="000000"/>
                <w:sz w:val="20"/>
                <w:szCs w:val="20"/>
                <w:highlight w:val="yellow"/>
                <w:lang w:val="en-IN"/>
              </w:rPr>
            </w:pPr>
            <w:r w:rsidRPr="006950B6">
              <w:rPr>
                <w:rFonts w:ascii="Arial" w:eastAsia="Times New Roman" w:hAnsi="Arial" w:cs="Arial"/>
                <w:color w:val="000000"/>
                <w:sz w:val="20"/>
                <w:szCs w:val="20"/>
                <w:highlight w:val="yellow"/>
                <w:lang w:val="en-IN"/>
              </w:rPr>
              <w:t>&gt; 50</w:t>
            </w:r>
          </w:p>
        </w:tc>
        <w:tc>
          <w:tcPr>
            <w:tcW w:w="0" w:type="auto"/>
            <w:tcBorders>
              <w:bottom w:val="single" w:sz="4" w:space="0" w:color="auto"/>
            </w:tcBorders>
            <w:vAlign w:val="center"/>
            <w:hideMark/>
          </w:tcPr>
          <w:p w14:paraId="461D2888" w14:textId="77777777" w:rsidR="00B95580" w:rsidRPr="00662CB0" w:rsidRDefault="00B95580" w:rsidP="00662CB0">
            <w:pPr>
              <w:spacing w:after="0" w:line="240" w:lineRule="auto"/>
              <w:jc w:val="both"/>
              <w:rPr>
                <w:rFonts w:ascii="Arial" w:eastAsia="Times New Roman" w:hAnsi="Arial" w:cs="Arial"/>
                <w:color w:val="000000"/>
                <w:sz w:val="20"/>
                <w:szCs w:val="20"/>
                <w:lang w:val="en-IN"/>
              </w:rPr>
            </w:pPr>
            <w:r w:rsidRPr="006950B6">
              <w:rPr>
                <w:rFonts w:ascii="Arial" w:eastAsia="Times New Roman" w:hAnsi="Arial" w:cs="Arial"/>
                <w:color w:val="000000"/>
                <w:sz w:val="20"/>
                <w:szCs w:val="20"/>
                <w:highlight w:val="yellow"/>
                <w:lang w:val="en-IN"/>
              </w:rPr>
              <w:t>9</w:t>
            </w:r>
          </w:p>
        </w:tc>
      </w:tr>
    </w:tbl>
    <w:p w14:paraId="74EEBB35" w14:textId="77777777" w:rsidR="0072728B" w:rsidRDefault="0072728B" w:rsidP="00662CB0">
      <w:pPr>
        <w:spacing w:after="0" w:line="240" w:lineRule="auto"/>
        <w:jc w:val="both"/>
        <w:rPr>
          <w:rFonts w:ascii="Arial" w:eastAsia="Times New Roman" w:hAnsi="Arial" w:cs="Arial"/>
          <w:color w:val="000000"/>
          <w:sz w:val="20"/>
          <w:szCs w:val="20"/>
          <w:lang w:val="en-IN"/>
        </w:rPr>
      </w:pPr>
    </w:p>
    <w:p w14:paraId="5145AED3" w14:textId="436E2E30" w:rsidR="00B95580" w:rsidRPr="00662CB0" w:rsidRDefault="00B95580" w:rsidP="00662CB0">
      <w:pPr>
        <w:spacing w:after="0" w:line="240" w:lineRule="auto"/>
        <w:jc w:val="both"/>
        <w:rPr>
          <w:rFonts w:ascii="Arial" w:eastAsia="Times New Roman" w:hAnsi="Arial" w:cs="Arial"/>
          <w:color w:val="000000"/>
          <w:sz w:val="20"/>
          <w:szCs w:val="20"/>
          <w:lang w:val="en-IN"/>
        </w:rPr>
      </w:pPr>
      <w:r w:rsidRPr="00662CB0">
        <w:rPr>
          <w:rFonts w:ascii="Arial" w:eastAsia="Times New Roman" w:hAnsi="Arial" w:cs="Arial"/>
          <w:color w:val="000000"/>
          <w:sz w:val="20"/>
          <w:szCs w:val="20"/>
          <w:lang w:val="en-IN"/>
        </w:rPr>
        <w:t xml:space="preserve">The average disease severity per variety was computed using these grades, and varietal response was interpreted as </w:t>
      </w:r>
      <w:r w:rsidRPr="00662CB0">
        <w:rPr>
          <w:rFonts w:ascii="Arial" w:eastAsia="Times New Roman" w:hAnsi="Arial" w:cs="Arial"/>
          <w:i/>
          <w:iCs/>
          <w:color w:val="000000"/>
          <w:sz w:val="20"/>
          <w:szCs w:val="20"/>
          <w:lang w:val="en-IN"/>
        </w:rPr>
        <w:t>resistant, moderately resistant, moderately susceptible,</w:t>
      </w:r>
      <w:r w:rsidRPr="00662CB0">
        <w:rPr>
          <w:rFonts w:ascii="Arial" w:eastAsia="Times New Roman" w:hAnsi="Arial" w:cs="Arial"/>
          <w:color w:val="000000"/>
          <w:sz w:val="20"/>
          <w:szCs w:val="20"/>
          <w:lang w:val="en-IN"/>
        </w:rPr>
        <w:t xml:space="preserve"> or </w:t>
      </w:r>
      <w:r w:rsidRPr="00662CB0">
        <w:rPr>
          <w:rFonts w:ascii="Arial" w:eastAsia="Times New Roman" w:hAnsi="Arial" w:cs="Arial"/>
          <w:i/>
          <w:iCs/>
          <w:color w:val="000000"/>
          <w:sz w:val="20"/>
          <w:szCs w:val="20"/>
          <w:lang w:val="en-IN"/>
        </w:rPr>
        <w:t>susceptible</w:t>
      </w:r>
      <w:r w:rsidRPr="00662CB0">
        <w:rPr>
          <w:rFonts w:ascii="Arial" w:eastAsia="Times New Roman" w:hAnsi="Arial" w:cs="Arial"/>
          <w:color w:val="000000"/>
          <w:sz w:val="20"/>
          <w:szCs w:val="20"/>
          <w:lang w:val="en-IN"/>
        </w:rPr>
        <w:t xml:space="preserve"> based on the mean values.</w:t>
      </w:r>
    </w:p>
    <w:p w14:paraId="5BB240CF" w14:textId="77777777" w:rsidR="00DF50CD" w:rsidRPr="00662CB0" w:rsidRDefault="00DF50CD" w:rsidP="00662CB0">
      <w:pPr>
        <w:spacing w:after="0" w:line="240" w:lineRule="auto"/>
        <w:jc w:val="both"/>
        <w:rPr>
          <w:rFonts w:ascii="Arial" w:eastAsia="Times New Roman" w:hAnsi="Arial" w:cs="Arial"/>
          <w:b/>
          <w:bCs/>
          <w:color w:val="000000"/>
          <w:sz w:val="20"/>
          <w:szCs w:val="20"/>
          <w:lang w:val="en-IN"/>
        </w:rPr>
      </w:pPr>
      <w:r w:rsidRPr="00662CB0">
        <w:rPr>
          <w:rFonts w:ascii="Arial" w:eastAsia="Times New Roman" w:hAnsi="Arial" w:cs="Arial"/>
          <w:b/>
          <w:bCs/>
          <w:color w:val="000000"/>
          <w:sz w:val="20"/>
          <w:szCs w:val="20"/>
          <w:lang w:val="en-IN"/>
        </w:rPr>
        <w:t>3. Percent Leaf Area Affected</w:t>
      </w:r>
    </w:p>
    <w:p w14:paraId="606D3AC3" w14:textId="77777777" w:rsidR="00DF50CD" w:rsidRPr="00662CB0" w:rsidRDefault="00DF50CD" w:rsidP="00662CB0">
      <w:pPr>
        <w:spacing w:after="0" w:line="240" w:lineRule="auto"/>
        <w:jc w:val="both"/>
        <w:rPr>
          <w:rFonts w:ascii="Arial" w:eastAsia="Times New Roman" w:hAnsi="Arial" w:cs="Arial"/>
          <w:color w:val="000000"/>
          <w:sz w:val="20"/>
          <w:szCs w:val="20"/>
          <w:lang w:val="en-IN"/>
        </w:rPr>
      </w:pPr>
      <w:r w:rsidRPr="00662CB0">
        <w:rPr>
          <w:rFonts w:ascii="Arial" w:eastAsia="Times New Roman" w:hAnsi="Arial" w:cs="Arial"/>
          <w:color w:val="000000"/>
          <w:sz w:val="20"/>
          <w:szCs w:val="20"/>
          <w:lang w:val="en-IN"/>
        </w:rPr>
        <w:t>Percent surface area of the leaf infected by disease was determined following the method of (Singh, 2004):</w:t>
      </w:r>
    </w:p>
    <w:p w14:paraId="59742474" w14:textId="6E63F769" w:rsidR="00DF50CD" w:rsidRPr="00662CB0" w:rsidRDefault="00DF50CD" w:rsidP="00662CB0">
      <w:pPr>
        <w:spacing w:after="0" w:line="240" w:lineRule="auto"/>
        <w:jc w:val="both"/>
        <w:rPr>
          <w:rFonts w:ascii="Arial" w:eastAsia="Times New Roman" w:hAnsi="Arial" w:cs="Arial"/>
          <w:color w:val="000000"/>
          <w:sz w:val="20"/>
          <w:szCs w:val="20"/>
          <w:lang w:val="en-IN"/>
        </w:rPr>
      </w:pPr>
      <m:oMathPara>
        <m:oMath>
          <m:r>
            <m:rPr>
              <m:nor/>
            </m:rPr>
            <w:rPr>
              <w:rFonts w:ascii="Arial" w:eastAsia="Times New Roman" w:hAnsi="Arial" w:cs="Arial"/>
              <w:color w:val="000000"/>
              <w:sz w:val="20"/>
              <w:szCs w:val="20"/>
              <w:lang w:val="en-IN"/>
            </w:rPr>
            <m:t>Disease Incidence (%)</m:t>
          </m:r>
          <m:r>
            <w:rPr>
              <w:rFonts w:ascii="Cambria Math" w:eastAsia="Times New Roman" w:hAnsi="Cambria Math" w:cs="Arial"/>
              <w:color w:val="000000"/>
              <w:sz w:val="20"/>
              <w:szCs w:val="20"/>
              <w:lang w:val="en-IN"/>
            </w:rPr>
            <m:t>=</m:t>
          </m:r>
          <m:f>
            <m:fPr>
              <m:ctrlPr>
                <w:rPr>
                  <w:rFonts w:ascii="Cambria Math" w:eastAsia="Times New Roman" w:hAnsi="Cambria Math" w:cs="Arial"/>
                  <w:color w:val="000000"/>
                  <w:sz w:val="20"/>
                  <w:szCs w:val="20"/>
                  <w:lang w:val="en-IN"/>
                </w:rPr>
              </m:ctrlPr>
            </m:fPr>
            <m:num>
              <m:r>
                <m:rPr>
                  <m:nor/>
                </m:rPr>
                <w:rPr>
                  <w:rFonts w:ascii="Arial" w:eastAsia="Times New Roman" w:hAnsi="Arial" w:cs="Arial"/>
                  <w:color w:val="000000"/>
                  <w:sz w:val="20"/>
                  <w:szCs w:val="20"/>
                  <w:lang w:val="en-IN"/>
                </w:rPr>
                <m:t>Infected Leaf Area</m:t>
              </m:r>
            </m:num>
            <m:den>
              <m:r>
                <m:rPr>
                  <m:nor/>
                </m:rPr>
                <w:rPr>
                  <w:rFonts w:ascii="Arial" w:eastAsia="Times New Roman" w:hAnsi="Arial" w:cs="Arial"/>
                  <w:color w:val="000000"/>
                  <w:sz w:val="20"/>
                  <w:szCs w:val="20"/>
                  <w:lang w:val="en-IN"/>
                </w:rPr>
                <m:t>Total Leaf Area</m:t>
              </m:r>
            </m:den>
          </m:f>
          <m:r>
            <w:rPr>
              <w:rFonts w:ascii="Cambria Math" w:eastAsia="Times New Roman" w:hAnsi="Cambria Math" w:cs="Arial"/>
              <w:color w:val="000000"/>
              <w:sz w:val="20"/>
              <w:szCs w:val="20"/>
              <w:lang w:val="en-IN"/>
            </w:rPr>
            <m:t>×100</m:t>
          </m:r>
          <m:r>
            <m:rPr>
              <m:sty m:val="p"/>
            </m:rPr>
            <w:rPr>
              <w:rFonts w:ascii="Cambria Math" w:eastAsia="Times New Roman" w:hAnsi="Cambria Math" w:cs="Arial"/>
              <w:color w:val="000000"/>
              <w:sz w:val="20"/>
              <w:szCs w:val="20"/>
              <w:lang w:val="en-IN"/>
            </w:rPr>
            <w:br/>
          </m:r>
        </m:oMath>
      </m:oMathPara>
    </w:p>
    <w:p w14:paraId="4A1891D2" w14:textId="7E08297C" w:rsidR="00DF50CD" w:rsidRPr="00662CB0" w:rsidRDefault="00DF50CD" w:rsidP="00662CB0">
      <w:pPr>
        <w:spacing w:after="0" w:line="240" w:lineRule="auto"/>
        <w:jc w:val="both"/>
        <w:rPr>
          <w:rFonts w:ascii="Arial" w:eastAsia="Times New Roman" w:hAnsi="Arial" w:cs="Arial"/>
          <w:color w:val="000000"/>
          <w:sz w:val="20"/>
          <w:szCs w:val="20"/>
          <w:lang w:val="en-IN"/>
        </w:rPr>
      </w:pPr>
      <w:r w:rsidRPr="00662CB0">
        <w:rPr>
          <w:rFonts w:ascii="Arial" w:eastAsia="Times New Roman" w:hAnsi="Arial" w:cs="Arial"/>
          <w:color w:val="000000"/>
          <w:sz w:val="20"/>
          <w:szCs w:val="20"/>
          <w:lang w:val="en-IN"/>
        </w:rPr>
        <w:t>This assessment was conducted at 15-day intervals until harvest to categorize varietal reaction to diseases as resistant, moderately resistant, or susceptible.</w:t>
      </w:r>
    </w:p>
    <w:p w14:paraId="2B9EF264" w14:textId="77777777" w:rsidR="00DF50CD" w:rsidRPr="00662CB0" w:rsidRDefault="00DF50CD" w:rsidP="00662CB0">
      <w:pPr>
        <w:spacing w:after="0" w:line="240" w:lineRule="auto"/>
        <w:jc w:val="both"/>
        <w:rPr>
          <w:rFonts w:ascii="Arial" w:eastAsia="Times New Roman" w:hAnsi="Arial" w:cs="Arial"/>
          <w:b/>
          <w:bCs/>
          <w:color w:val="000000"/>
          <w:sz w:val="20"/>
          <w:szCs w:val="20"/>
          <w:lang w:val="en-IN"/>
        </w:rPr>
      </w:pPr>
      <w:r w:rsidRPr="00662CB0">
        <w:rPr>
          <w:rFonts w:ascii="Arial" w:eastAsia="Times New Roman" w:hAnsi="Arial" w:cs="Arial"/>
          <w:b/>
          <w:bCs/>
          <w:color w:val="000000"/>
          <w:sz w:val="20"/>
          <w:szCs w:val="20"/>
          <w:lang w:val="en-IN"/>
        </w:rPr>
        <w:t>E. Farmers’ Participatory Evaluation</w:t>
      </w:r>
    </w:p>
    <w:p w14:paraId="3BE2E95F" w14:textId="04A23B44" w:rsidR="00DF50CD" w:rsidRPr="00662CB0" w:rsidRDefault="00DF50CD" w:rsidP="00662CB0">
      <w:pPr>
        <w:spacing w:after="0" w:line="240" w:lineRule="auto"/>
        <w:jc w:val="both"/>
        <w:rPr>
          <w:rFonts w:ascii="Arial" w:eastAsia="Times New Roman" w:hAnsi="Arial" w:cs="Arial"/>
          <w:color w:val="000000"/>
          <w:sz w:val="20"/>
          <w:szCs w:val="20"/>
          <w:lang w:val="en-IN"/>
        </w:rPr>
      </w:pPr>
      <w:r w:rsidRPr="00662CB0">
        <w:rPr>
          <w:rFonts w:ascii="Arial" w:eastAsia="Times New Roman" w:hAnsi="Arial" w:cs="Arial"/>
          <w:color w:val="000000"/>
          <w:sz w:val="20"/>
          <w:szCs w:val="20"/>
          <w:lang w:val="en-IN"/>
        </w:rPr>
        <w:t xml:space="preserve">Farmers’ perceptions were collected using a structured evaluation format covering </w:t>
      </w:r>
      <w:r w:rsidRPr="00662CB0">
        <w:rPr>
          <w:rFonts w:ascii="Arial" w:eastAsia="Times New Roman" w:hAnsi="Arial" w:cs="Arial"/>
          <w:b/>
          <w:bCs/>
          <w:color w:val="000000"/>
          <w:sz w:val="20"/>
          <w:szCs w:val="20"/>
          <w:lang w:val="en-IN"/>
        </w:rPr>
        <w:t xml:space="preserve">bulb size, shape, </w:t>
      </w:r>
      <w:proofErr w:type="spellStart"/>
      <w:r w:rsidRPr="00662CB0">
        <w:rPr>
          <w:rFonts w:ascii="Arial" w:eastAsia="Times New Roman" w:hAnsi="Arial" w:cs="Arial"/>
          <w:b/>
          <w:bCs/>
          <w:color w:val="000000"/>
          <w:sz w:val="20"/>
          <w:szCs w:val="20"/>
          <w:lang w:val="en-IN"/>
        </w:rPr>
        <w:t>color</w:t>
      </w:r>
      <w:proofErr w:type="spellEnd"/>
      <w:r w:rsidRPr="00662CB0">
        <w:rPr>
          <w:rFonts w:ascii="Arial" w:eastAsia="Times New Roman" w:hAnsi="Arial" w:cs="Arial"/>
          <w:b/>
          <w:bCs/>
          <w:color w:val="000000"/>
          <w:sz w:val="20"/>
          <w:szCs w:val="20"/>
          <w:lang w:val="en-IN"/>
        </w:rPr>
        <w:t>, skin texture, yield, market price, and storage quality</w:t>
      </w:r>
      <w:r w:rsidRPr="00662CB0">
        <w:rPr>
          <w:rFonts w:ascii="Arial" w:eastAsia="Times New Roman" w:hAnsi="Arial" w:cs="Arial"/>
          <w:color w:val="000000"/>
          <w:sz w:val="20"/>
          <w:szCs w:val="20"/>
          <w:lang w:val="en-IN"/>
        </w:rPr>
        <w:t xml:space="preserve">. Each attribute was rated on a </w:t>
      </w:r>
      <w:r w:rsidRPr="00662CB0">
        <w:rPr>
          <w:rFonts w:ascii="Arial" w:eastAsia="Times New Roman" w:hAnsi="Arial" w:cs="Arial"/>
          <w:b/>
          <w:bCs/>
          <w:color w:val="000000"/>
          <w:sz w:val="20"/>
          <w:szCs w:val="20"/>
          <w:lang w:val="en-IN"/>
        </w:rPr>
        <w:t>1–6 scale</w:t>
      </w:r>
      <w:r w:rsidRPr="00662CB0">
        <w:rPr>
          <w:rFonts w:ascii="Arial" w:eastAsia="Times New Roman" w:hAnsi="Arial" w:cs="Arial"/>
          <w:color w:val="000000"/>
          <w:sz w:val="20"/>
          <w:szCs w:val="20"/>
          <w:lang w:val="en-IN"/>
        </w:rPr>
        <w:t xml:space="preserve"> (1 = highest preference; 6 = lowest). The ranking was computed as the sum of all attributes’ scores across farmers, identifying the most preferred variety.</w:t>
      </w:r>
    </w:p>
    <w:p w14:paraId="0B1FBCC7" w14:textId="77777777" w:rsidR="00DF50CD" w:rsidRPr="00662CB0" w:rsidRDefault="00DF50CD" w:rsidP="00662CB0">
      <w:pPr>
        <w:spacing w:after="0" w:line="240" w:lineRule="auto"/>
        <w:jc w:val="both"/>
        <w:rPr>
          <w:rFonts w:ascii="Arial" w:eastAsia="Times New Roman" w:hAnsi="Arial" w:cs="Arial"/>
          <w:b/>
          <w:bCs/>
          <w:color w:val="000000"/>
          <w:sz w:val="20"/>
          <w:szCs w:val="20"/>
          <w:lang w:val="en-IN"/>
        </w:rPr>
      </w:pPr>
      <w:r w:rsidRPr="00662CB0">
        <w:rPr>
          <w:rFonts w:ascii="Arial" w:eastAsia="Times New Roman" w:hAnsi="Arial" w:cs="Arial"/>
          <w:b/>
          <w:bCs/>
          <w:color w:val="000000"/>
          <w:sz w:val="20"/>
          <w:szCs w:val="20"/>
          <w:lang w:val="en-IN"/>
        </w:rPr>
        <w:t>F. Economic Analysis</w:t>
      </w:r>
    </w:p>
    <w:p w14:paraId="5B99DAE9" w14:textId="77777777" w:rsidR="00DF50CD" w:rsidRPr="00662CB0" w:rsidRDefault="00DF50CD" w:rsidP="00662CB0">
      <w:pPr>
        <w:spacing w:after="0" w:line="240" w:lineRule="auto"/>
        <w:jc w:val="both"/>
        <w:rPr>
          <w:rFonts w:ascii="Arial" w:eastAsia="Times New Roman" w:hAnsi="Arial" w:cs="Arial"/>
          <w:color w:val="000000"/>
          <w:sz w:val="20"/>
          <w:szCs w:val="20"/>
          <w:lang w:val="en-IN"/>
        </w:rPr>
      </w:pPr>
      <w:r w:rsidRPr="00662CB0">
        <w:rPr>
          <w:rFonts w:ascii="Arial" w:eastAsia="Times New Roman" w:hAnsi="Arial" w:cs="Arial"/>
          <w:color w:val="000000"/>
          <w:sz w:val="20"/>
          <w:szCs w:val="20"/>
          <w:lang w:val="en-IN"/>
        </w:rPr>
        <w:t>Economic viability was assessed through:</w:t>
      </w:r>
    </w:p>
    <w:p w14:paraId="386FF476" w14:textId="77777777" w:rsidR="00DF50CD" w:rsidRPr="00662CB0" w:rsidRDefault="00DF50CD" w:rsidP="00662CB0">
      <w:pPr>
        <w:numPr>
          <w:ilvl w:val="0"/>
          <w:numId w:val="9"/>
        </w:numPr>
        <w:spacing w:after="0" w:line="240" w:lineRule="auto"/>
        <w:jc w:val="both"/>
        <w:rPr>
          <w:rFonts w:ascii="Arial" w:eastAsia="Times New Roman" w:hAnsi="Arial" w:cs="Arial"/>
          <w:color w:val="000000"/>
          <w:sz w:val="20"/>
          <w:szCs w:val="20"/>
          <w:lang w:val="en-IN"/>
        </w:rPr>
      </w:pPr>
      <w:r w:rsidRPr="00662CB0">
        <w:rPr>
          <w:rFonts w:ascii="Arial" w:eastAsia="Times New Roman" w:hAnsi="Arial" w:cs="Arial"/>
          <w:b/>
          <w:bCs/>
          <w:color w:val="000000"/>
          <w:sz w:val="20"/>
          <w:szCs w:val="20"/>
          <w:lang w:val="en-IN"/>
        </w:rPr>
        <w:t>Gross Cost (₹ ha</w:t>
      </w:r>
      <w:r w:rsidRPr="00662CB0">
        <w:rPr>
          <w:rFonts w:ascii="Cambria Math" w:eastAsia="Times New Roman" w:hAnsi="Cambria Math" w:cs="Cambria Math"/>
          <w:b/>
          <w:bCs/>
          <w:color w:val="000000"/>
          <w:sz w:val="20"/>
          <w:szCs w:val="20"/>
          <w:lang w:val="en-IN"/>
        </w:rPr>
        <w:t>⁻</w:t>
      </w:r>
      <w:r w:rsidRPr="00662CB0">
        <w:rPr>
          <w:rFonts w:ascii="Arial" w:eastAsia="Times New Roman" w:hAnsi="Arial" w:cs="Arial"/>
          <w:b/>
          <w:bCs/>
          <w:color w:val="000000"/>
          <w:sz w:val="20"/>
          <w:szCs w:val="20"/>
          <w:lang w:val="en-IN"/>
        </w:rPr>
        <w:t>¹):</w:t>
      </w:r>
      <w:r w:rsidRPr="00662CB0">
        <w:rPr>
          <w:rFonts w:ascii="Arial" w:eastAsia="Times New Roman" w:hAnsi="Arial" w:cs="Arial"/>
          <w:color w:val="000000"/>
          <w:sz w:val="20"/>
          <w:szCs w:val="20"/>
          <w:lang w:val="en-IN"/>
        </w:rPr>
        <w:t xml:space="preserve"> Including all variable inputs—seeds, fertilizers, </w:t>
      </w:r>
      <w:proofErr w:type="spellStart"/>
      <w:r w:rsidRPr="00662CB0">
        <w:rPr>
          <w:rFonts w:ascii="Arial" w:eastAsia="Times New Roman" w:hAnsi="Arial" w:cs="Arial"/>
          <w:color w:val="000000"/>
          <w:sz w:val="20"/>
          <w:szCs w:val="20"/>
          <w:lang w:val="en-IN"/>
        </w:rPr>
        <w:t>labor</w:t>
      </w:r>
      <w:proofErr w:type="spellEnd"/>
      <w:r w:rsidRPr="00662CB0">
        <w:rPr>
          <w:rFonts w:ascii="Arial" w:eastAsia="Times New Roman" w:hAnsi="Arial" w:cs="Arial"/>
          <w:color w:val="000000"/>
          <w:sz w:val="20"/>
          <w:szCs w:val="20"/>
          <w:lang w:val="en-IN"/>
        </w:rPr>
        <w:t>, and plant protection.</w:t>
      </w:r>
    </w:p>
    <w:p w14:paraId="3A022836" w14:textId="77777777" w:rsidR="00DF50CD" w:rsidRPr="00662CB0" w:rsidRDefault="00DF50CD" w:rsidP="00662CB0">
      <w:pPr>
        <w:numPr>
          <w:ilvl w:val="0"/>
          <w:numId w:val="9"/>
        </w:numPr>
        <w:spacing w:after="0" w:line="240" w:lineRule="auto"/>
        <w:jc w:val="both"/>
        <w:rPr>
          <w:rFonts w:ascii="Arial" w:eastAsia="Times New Roman" w:hAnsi="Arial" w:cs="Arial"/>
          <w:color w:val="000000"/>
          <w:sz w:val="20"/>
          <w:szCs w:val="20"/>
          <w:lang w:val="en-IN"/>
        </w:rPr>
      </w:pPr>
      <w:r w:rsidRPr="00662CB0">
        <w:rPr>
          <w:rFonts w:ascii="Arial" w:eastAsia="Times New Roman" w:hAnsi="Arial" w:cs="Arial"/>
          <w:b/>
          <w:bCs/>
          <w:color w:val="000000"/>
          <w:sz w:val="20"/>
          <w:szCs w:val="20"/>
          <w:lang w:val="en-IN"/>
        </w:rPr>
        <w:t>Gross Return (₹ ha</w:t>
      </w:r>
      <w:r w:rsidRPr="00662CB0">
        <w:rPr>
          <w:rFonts w:ascii="Cambria Math" w:eastAsia="Times New Roman" w:hAnsi="Cambria Math" w:cs="Cambria Math"/>
          <w:b/>
          <w:bCs/>
          <w:color w:val="000000"/>
          <w:sz w:val="20"/>
          <w:szCs w:val="20"/>
          <w:lang w:val="en-IN"/>
        </w:rPr>
        <w:t>⁻</w:t>
      </w:r>
      <w:r w:rsidRPr="00662CB0">
        <w:rPr>
          <w:rFonts w:ascii="Arial" w:eastAsia="Times New Roman" w:hAnsi="Arial" w:cs="Arial"/>
          <w:b/>
          <w:bCs/>
          <w:color w:val="000000"/>
          <w:sz w:val="20"/>
          <w:szCs w:val="20"/>
          <w:lang w:val="en-IN"/>
        </w:rPr>
        <w:t>¹):</w:t>
      </w:r>
      <w:r w:rsidRPr="00662CB0">
        <w:rPr>
          <w:rFonts w:ascii="Arial" w:eastAsia="Times New Roman" w:hAnsi="Arial" w:cs="Arial"/>
          <w:color w:val="000000"/>
          <w:sz w:val="20"/>
          <w:szCs w:val="20"/>
          <w:lang w:val="en-IN"/>
        </w:rPr>
        <w:t xml:space="preserve"> Calculated based on prevailing market prices.</w:t>
      </w:r>
    </w:p>
    <w:p w14:paraId="7FCD752F" w14:textId="77777777" w:rsidR="00DF50CD" w:rsidRPr="00662CB0" w:rsidRDefault="00DF50CD" w:rsidP="00662CB0">
      <w:pPr>
        <w:numPr>
          <w:ilvl w:val="0"/>
          <w:numId w:val="9"/>
        </w:numPr>
        <w:spacing w:after="0" w:line="240" w:lineRule="auto"/>
        <w:jc w:val="both"/>
        <w:rPr>
          <w:rFonts w:ascii="Arial" w:eastAsia="Times New Roman" w:hAnsi="Arial" w:cs="Arial"/>
          <w:color w:val="000000"/>
          <w:sz w:val="20"/>
          <w:szCs w:val="20"/>
          <w:lang w:val="en-IN"/>
        </w:rPr>
      </w:pPr>
      <w:r w:rsidRPr="00662CB0">
        <w:rPr>
          <w:rFonts w:ascii="Arial" w:eastAsia="Times New Roman" w:hAnsi="Arial" w:cs="Arial"/>
          <w:b/>
          <w:bCs/>
          <w:color w:val="000000"/>
          <w:sz w:val="20"/>
          <w:szCs w:val="20"/>
          <w:lang w:val="en-IN"/>
        </w:rPr>
        <w:t>Net Return (₹ ha</w:t>
      </w:r>
      <w:r w:rsidRPr="00662CB0">
        <w:rPr>
          <w:rFonts w:ascii="Cambria Math" w:eastAsia="Times New Roman" w:hAnsi="Cambria Math" w:cs="Cambria Math"/>
          <w:b/>
          <w:bCs/>
          <w:color w:val="000000"/>
          <w:sz w:val="20"/>
          <w:szCs w:val="20"/>
          <w:lang w:val="en-IN"/>
        </w:rPr>
        <w:t>⁻</w:t>
      </w:r>
      <w:r w:rsidRPr="00662CB0">
        <w:rPr>
          <w:rFonts w:ascii="Arial" w:eastAsia="Times New Roman" w:hAnsi="Arial" w:cs="Arial"/>
          <w:b/>
          <w:bCs/>
          <w:color w:val="000000"/>
          <w:sz w:val="20"/>
          <w:szCs w:val="20"/>
          <w:lang w:val="en-IN"/>
        </w:rPr>
        <w:t>¹):</w:t>
      </w:r>
      <w:r w:rsidRPr="00662CB0">
        <w:rPr>
          <w:rFonts w:ascii="Arial" w:eastAsia="Times New Roman" w:hAnsi="Arial" w:cs="Arial"/>
          <w:color w:val="000000"/>
          <w:sz w:val="20"/>
          <w:szCs w:val="20"/>
          <w:lang w:val="en-IN"/>
        </w:rPr>
        <w:t xml:space="preserve"> Gross return minus total cost.</w:t>
      </w:r>
    </w:p>
    <w:p w14:paraId="0815768D" w14:textId="77777777" w:rsidR="00DF50CD" w:rsidRPr="00662CB0" w:rsidRDefault="00DF50CD" w:rsidP="00662CB0">
      <w:pPr>
        <w:numPr>
          <w:ilvl w:val="0"/>
          <w:numId w:val="9"/>
        </w:numPr>
        <w:spacing w:after="0" w:line="240" w:lineRule="auto"/>
        <w:jc w:val="both"/>
        <w:rPr>
          <w:rFonts w:ascii="Arial" w:eastAsia="Times New Roman" w:hAnsi="Arial" w:cs="Arial"/>
          <w:color w:val="000000"/>
          <w:sz w:val="20"/>
          <w:szCs w:val="20"/>
          <w:lang w:val="en-IN"/>
        </w:rPr>
      </w:pPr>
      <w:r w:rsidRPr="00662CB0">
        <w:rPr>
          <w:rFonts w:ascii="Arial" w:eastAsia="Times New Roman" w:hAnsi="Arial" w:cs="Arial"/>
          <w:b/>
          <w:bCs/>
          <w:color w:val="000000"/>
          <w:sz w:val="20"/>
          <w:szCs w:val="20"/>
          <w:lang w:val="en-IN"/>
        </w:rPr>
        <w:t>Benefit–Cost (B:C) Ratio:</w:t>
      </w:r>
      <w:r w:rsidRPr="00662CB0">
        <w:rPr>
          <w:rFonts w:ascii="Arial" w:eastAsia="Times New Roman" w:hAnsi="Arial" w:cs="Arial"/>
          <w:color w:val="000000"/>
          <w:sz w:val="20"/>
          <w:szCs w:val="20"/>
          <w:lang w:val="en-IN"/>
        </w:rPr>
        <w:t xml:space="preserve"> Indicator of profitability, computed as:</w:t>
      </w:r>
    </w:p>
    <w:p w14:paraId="3A71B70B" w14:textId="032E87E7" w:rsidR="00DF50CD" w:rsidRPr="00662CB0" w:rsidRDefault="00DF50CD" w:rsidP="00662CB0">
      <w:pPr>
        <w:spacing w:after="0" w:line="240" w:lineRule="auto"/>
        <w:jc w:val="both"/>
        <w:rPr>
          <w:rFonts w:ascii="Arial" w:eastAsia="Times New Roman" w:hAnsi="Arial" w:cs="Arial"/>
          <w:color w:val="000000"/>
          <w:sz w:val="20"/>
          <w:szCs w:val="20"/>
          <w:lang w:val="en-IN"/>
        </w:rPr>
      </w:pPr>
      <m:oMathPara>
        <m:oMath>
          <m:r>
            <w:rPr>
              <w:rFonts w:ascii="Cambria Math" w:eastAsia="Times New Roman" w:hAnsi="Cambria Math" w:cs="Arial"/>
              <w:color w:val="000000"/>
              <w:sz w:val="20"/>
              <w:szCs w:val="20"/>
              <w:lang w:val="en-IN"/>
            </w:rPr>
            <m:t>B:C=</m:t>
          </m:r>
          <m:f>
            <m:fPr>
              <m:ctrlPr>
                <w:rPr>
                  <w:rFonts w:ascii="Cambria Math" w:eastAsia="Times New Roman" w:hAnsi="Cambria Math" w:cs="Arial"/>
                  <w:color w:val="000000"/>
                  <w:sz w:val="20"/>
                  <w:szCs w:val="20"/>
                  <w:lang w:val="en-IN"/>
                </w:rPr>
              </m:ctrlPr>
            </m:fPr>
            <m:num>
              <m:r>
                <m:rPr>
                  <m:nor/>
                </m:rPr>
                <w:rPr>
                  <w:rFonts w:ascii="Arial" w:eastAsia="Times New Roman" w:hAnsi="Arial" w:cs="Arial"/>
                  <w:color w:val="000000"/>
                  <w:sz w:val="20"/>
                  <w:szCs w:val="20"/>
                  <w:lang w:val="en-IN"/>
                </w:rPr>
                <m:t>Gross Return</m:t>
              </m:r>
            </m:num>
            <m:den>
              <m:r>
                <m:rPr>
                  <m:nor/>
                </m:rPr>
                <w:rPr>
                  <w:rFonts w:ascii="Arial" w:eastAsia="Times New Roman" w:hAnsi="Arial" w:cs="Arial"/>
                  <w:color w:val="000000"/>
                  <w:sz w:val="20"/>
                  <w:szCs w:val="20"/>
                  <w:lang w:val="en-IN"/>
                </w:rPr>
                <m:t>Total Cost</m:t>
              </m:r>
            </m:den>
          </m:f>
          <m:r>
            <m:rPr>
              <m:sty m:val="p"/>
            </m:rPr>
            <w:rPr>
              <w:rFonts w:ascii="Cambria Math" w:eastAsia="Times New Roman" w:hAnsi="Cambria Math" w:cs="Arial"/>
              <w:color w:val="000000"/>
              <w:sz w:val="20"/>
              <w:szCs w:val="20"/>
              <w:lang w:val="en-IN"/>
            </w:rPr>
            <w:br/>
          </m:r>
        </m:oMath>
      </m:oMathPara>
    </w:p>
    <w:p w14:paraId="78890012" w14:textId="162647E0" w:rsidR="00DF50CD" w:rsidRDefault="00DF50CD" w:rsidP="00662CB0">
      <w:pPr>
        <w:spacing w:after="0" w:line="240" w:lineRule="auto"/>
        <w:jc w:val="both"/>
        <w:rPr>
          <w:rFonts w:ascii="Arial" w:eastAsia="Times New Roman" w:hAnsi="Arial" w:cs="Arial"/>
          <w:color w:val="000000"/>
          <w:sz w:val="20"/>
          <w:szCs w:val="20"/>
          <w:lang w:val="en-IN"/>
        </w:rPr>
      </w:pPr>
      <w:r w:rsidRPr="00662CB0">
        <w:rPr>
          <w:rFonts w:ascii="Arial" w:eastAsia="Times New Roman" w:hAnsi="Arial" w:cs="Arial"/>
          <w:color w:val="000000"/>
          <w:sz w:val="20"/>
          <w:szCs w:val="20"/>
          <w:lang w:val="en-IN"/>
        </w:rPr>
        <w:t>This analysis provided a comparative understanding of the economic advantage of Bhima Super over local cultivars under real farming conditions.</w:t>
      </w:r>
    </w:p>
    <w:p w14:paraId="55A02175" w14:textId="77777777" w:rsidR="006950B6" w:rsidRPr="00662CB0" w:rsidRDefault="006950B6" w:rsidP="00662CB0">
      <w:pPr>
        <w:spacing w:after="0" w:line="240" w:lineRule="auto"/>
        <w:jc w:val="both"/>
        <w:rPr>
          <w:rFonts w:ascii="Arial" w:eastAsia="Times New Roman" w:hAnsi="Arial" w:cs="Arial"/>
          <w:color w:val="000000"/>
          <w:sz w:val="20"/>
          <w:szCs w:val="20"/>
          <w:lang w:val="en-IN"/>
        </w:rPr>
      </w:pPr>
    </w:p>
    <w:p w14:paraId="3AD4BCDB" w14:textId="77777777" w:rsidR="00DF50CD" w:rsidRPr="006950B6" w:rsidRDefault="00DF50CD" w:rsidP="00662CB0">
      <w:pPr>
        <w:spacing w:after="0" w:line="240" w:lineRule="auto"/>
        <w:jc w:val="both"/>
        <w:rPr>
          <w:rFonts w:ascii="Arial" w:eastAsia="Times New Roman" w:hAnsi="Arial" w:cs="Arial"/>
          <w:b/>
          <w:bCs/>
          <w:color w:val="000000"/>
          <w:sz w:val="20"/>
          <w:szCs w:val="20"/>
          <w:highlight w:val="yellow"/>
          <w:lang w:val="en-IN"/>
        </w:rPr>
      </w:pPr>
      <w:r w:rsidRPr="006950B6">
        <w:rPr>
          <w:rFonts w:ascii="Arial" w:eastAsia="Times New Roman" w:hAnsi="Arial" w:cs="Arial"/>
          <w:b/>
          <w:bCs/>
          <w:color w:val="000000"/>
          <w:sz w:val="20"/>
          <w:szCs w:val="20"/>
          <w:highlight w:val="yellow"/>
          <w:lang w:val="en-IN"/>
        </w:rPr>
        <w:t>G. Statistical Analysis</w:t>
      </w:r>
    </w:p>
    <w:p w14:paraId="47B4C109" w14:textId="605210E0" w:rsidR="00DF50CD" w:rsidRPr="00662CB0" w:rsidRDefault="00DF50CD" w:rsidP="00662CB0">
      <w:pPr>
        <w:spacing w:after="0" w:line="240" w:lineRule="auto"/>
        <w:jc w:val="both"/>
        <w:rPr>
          <w:rFonts w:ascii="Arial" w:eastAsia="Times New Roman" w:hAnsi="Arial" w:cs="Arial"/>
          <w:color w:val="000000"/>
          <w:sz w:val="20"/>
          <w:szCs w:val="20"/>
          <w:lang w:val="en-IN"/>
        </w:rPr>
      </w:pPr>
      <w:r w:rsidRPr="006950B6">
        <w:rPr>
          <w:rFonts w:ascii="Arial" w:eastAsia="Times New Roman" w:hAnsi="Arial" w:cs="Arial"/>
          <w:color w:val="000000"/>
          <w:sz w:val="20"/>
          <w:szCs w:val="20"/>
          <w:highlight w:val="yellow"/>
          <w:lang w:val="en-IN"/>
        </w:rPr>
        <w:t xml:space="preserve">Data were subjected to Analysis of Variance (ANOVA) following standard procedures for RBD to test treatment significance at </w:t>
      </w:r>
      <w:r w:rsidRPr="006950B6">
        <w:rPr>
          <w:rFonts w:ascii="Arial" w:eastAsia="Times New Roman" w:hAnsi="Arial" w:cs="Arial"/>
          <w:i/>
          <w:iCs/>
          <w:color w:val="000000"/>
          <w:sz w:val="20"/>
          <w:szCs w:val="20"/>
          <w:highlight w:val="yellow"/>
          <w:lang w:val="en-IN"/>
        </w:rPr>
        <w:t>p ≤ 0.05</w:t>
      </w:r>
      <w:r w:rsidRPr="006950B6">
        <w:rPr>
          <w:rFonts w:ascii="Arial" w:eastAsia="Times New Roman" w:hAnsi="Arial" w:cs="Arial"/>
          <w:color w:val="000000"/>
          <w:sz w:val="20"/>
          <w:szCs w:val="20"/>
          <w:highlight w:val="yellow"/>
          <w:lang w:val="en-IN"/>
        </w:rPr>
        <w:t>. The statistical computations were performed using OPSTAT software (Department of Statistics, CCS Haryana Agricultural University). Mean comparisons were done using Least Significant Difference (LSD) test. Disease incidence data were arc-sine transformed before analysis to normalize percentage values (Gupta &amp; Bhargav, 2020).</w:t>
      </w:r>
    </w:p>
    <w:p w14:paraId="0C7E2559" w14:textId="77777777" w:rsidR="006950B6" w:rsidRDefault="006950B6" w:rsidP="00662CB0">
      <w:pPr>
        <w:spacing w:after="0" w:line="240" w:lineRule="auto"/>
        <w:jc w:val="both"/>
        <w:rPr>
          <w:rFonts w:ascii="Arial" w:eastAsia="Times New Roman" w:hAnsi="Arial" w:cs="Arial"/>
          <w:b/>
          <w:bCs/>
          <w:color w:val="000000"/>
          <w:sz w:val="20"/>
          <w:szCs w:val="20"/>
          <w:lang w:val="en-IN"/>
        </w:rPr>
      </w:pPr>
    </w:p>
    <w:p w14:paraId="7DF90DF4" w14:textId="77777777" w:rsidR="002B23F6" w:rsidRPr="006950B6" w:rsidRDefault="002B23F6" w:rsidP="00662CB0">
      <w:pPr>
        <w:pStyle w:val="ListParagraph"/>
        <w:spacing w:after="0" w:line="240" w:lineRule="auto"/>
        <w:jc w:val="both"/>
        <w:rPr>
          <w:rFonts w:ascii="Arial" w:eastAsia="Times New Roman" w:hAnsi="Arial" w:cs="Arial"/>
          <w:b/>
          <w:bCs/>
          <w:sz w:val="24"/>
          <w:szCs w:val="20"/>
          <w:lang w:val="en-IN"/>
        </w:rPr>
      </w:pPr>
    </w:p>
    <w:p w14:paraId="1E80AE39" w14:textId="05A418D6" w:rsidR="002B23F6" w:rsidRPr="006950B6" w:rsidRDefault="006950B6" w:rsidP="00662CB0">
      <w:pPr>
        <w:spacing w:after="0" w:line="240" w:lineRule="auto"/>
        <w:ind w:left="360"/>
        <w:jc w:val="both"/>
        <w:rPr>
          <w:rFonts w:ascii="Arial" w:eastAsia="Times New Roman" w:hAnsi="Arial" w:cs="Arial"/>
          <w:b/>
          <w:bCs/>
          <w:sz w:val="24"/>
          <w:szCs w:val="20"/>
          <w:lang w:val="en-IN"/>
        </w:rPr>
      </w:pPr>
      <w:r w:rsidRPr="006950B6">
        <w:rPr>
          <w:rFonts w:ascii="Arial" w:eastAsia="Times New Roman" w:hAnsi="Arial" w:cs="Arial"/>
          <w:b/>
          <w:bCs/>
          <w:sz w:val="24"/>
          <w:szCs w:val="20"/>
          <w:lang w:val="en-IN"/>
        </w:rPr>
        <w:t>3.RESULTS AND DISCUSSION</w:t>
      </w:r>
    </w:p>
    <w:p w14:paraId="49A88A70" w14:textId="257BEB03" w:rsidR="002B23F6" w:rsidRPr="00662CB0" w:rsidRDefault="002B23F6" w:rsidP="00662CB0">
      <w:pPr>
        <w:spacing w:after="0" w:line="240" w:lineRule="auto"/>
        <w:jc w:val="both"/>
        <w:rPr>
          <w:rFonts w:ascii="Arial" w:eastAsia="Times New Roman" w:hAnsi="Arial" w:cs="Arial"/>
          <w:sz w:val="20"/>
          <w:szCs w:val="20"/>
          <w:lang w:val="en-IN"/>
        </w:rPr>
      </w:pPr>
      <w:r w:rsidRPr="00662CB0">
        <w:rPr>
          <w:rFonts w:ascii="Arial" w:eastAsia="Times New Roman" w:hAnsi="Arial" w:cs="Arial"/>
          <w:sz w:val="20"/>
          <w:szCs w:val="20"/>
          <w:lang w:val="en-IN"/>
        </w:rPr>
        <w:t xml:space="preserve">The present study aimed to evaluate the performance of </w:t>
      </w:r>
      <w:r w:rsidRPr="00662CB0">
        <w:rPr>
          <w:rFonts w:ascii="Arial" w:eastAsia="Times New Roman" w:hAnsi="Arial" w:cs="Arial"/>
          <w:i/>
          <w:iCs/>
          <w:sz w:val="20"/>
          <w:szCs w:val="20"/>
          <w:lang w:val="en-IN"/>
        </w:rPr>
        <w:t>Bhima Super</w:t>
      </w:r>
      <w:r w:rsidRPr="00662CB0">
        <w:rPr>
          <w:rFonts w:ascii="Arial" w:eastAsia="Times New Roman" w:hAnsi="Arial" w:cs="Arial"/>
          <w:sz w:val="20"/>
          <w:szCs w:val="20"/>
          <w:lang w:val="en-IN"/>
        </w:rPr>
        <w:t xml:space="preserve"> onion (</w:t>
      </w:r>
      <w:r w:rsidR="006950B6" w:rsidRPr="006950B6">
        <w:rPr>
          <w:rFonts w:ascii="Arial" w:eastAsia="Times New Roman" w:hAnsi="Arial" w:cs="Arial"/>
          <w:i/>
          <w:iCs/>
          <w:sz w:val="20"/>
          <w:szCs w:val="20"/>
          <w:lang w:val="en-IN"/>
        </w:rPr>
        <w:t xml:space="preserve">Allium </w:t>
      </w:r>
      <w:proofErr w:type="spellStart"/>
      <w:r w:rsidR="006950B6" w:rsidRPr="006950B6">
        <w:rPr>
          <w:rFonts w:ascii="Arial" w:eastAsia="Times New Roman" w:hAnsi="Arial" w:cs="Arial"/>
          <w:i/>
          <w:iCs/>
          <w:sz w:val="20"/>
          <w:szCs w:val="20"/>
          <w:lang w:val="en-IN"/>
        </w:rPr>
        <w:t>cepa</w:t>
      </w:r>
      <w:proofErr w:type="spellEnd"/>
      <w:r w:rsidRPr="00662CB0">
        <w:rPr>
          <w:rFonts w:ascii="Arial" w:eastAsia="Times New Roman" w:hAnsi="Arial" w:cs="Arial"/>
          <w:sz w:val="20"/>
          <w:szCs w:val="20"/>
          <w:lang w:val="en-IN"/>
        </w:rPr>
        <w:t xml:space="preserve"> L.) variety in comparison with local cultivars under late kharif conditions of </w:t>
      </w:r>
      <w:proofErr w:type="spellStart"/>
      <w:r w:rsidRPr="00662CB0">
        <w:rPr>
          <w:rFonts w:ascii="Arial" w:eastAsia="Times New Roman" w:hAnsi="Arial" w:cs="Arial"/>
          <w:sz w:val="20"/>
          <w:szCs w:val="20"/>
          <w:lang w:val="en-IN"/>
        </w:rPr>
        <w:t>Sangareddy</w:t>
      </w:r>
      <w:proofErr w:type="spellEnd"/>
      <w:r w:rsidRPr="00662CB0">
        <w:rPr>
          <w:rFonts w:ascii="Arial" w:eastAsia="Times New Roman" w:hAnsi="Arial" w:cs="Arial"/>
          <w:sz w:val="20"/>
          <w:szCs w:val="20"/>
          <w:lang w:val="en-IN"/>
        </w:rPr>
        <w:t xml:space="preserve"> district, Telangana, during four consecutive seasons (2021–22 to 2024–25). The results are discussed under the following heads.</w:t>
      </w:r>
    </w:p>
    <w:p w14:paraId="61D3BA56" w14:textId="3745A0DA" w:rsidR="002B23F6" w:rsidRPr="00662CB0" w:rsidRDefault="002B23F6" w:rsidP="00662CB0">
      <w:pPr>
        <w:spacing w:after="0" w:line="240" w:lineRule="auto"/>
        <w:jc w:val="both"/>
        <w:rPr>
          <w:rFonts w:ascii="Arial" w:eastAsia="Times New Roman" w:hAnsi="Arial" w:cs="Arial"/>
          <w:sz w:val="20"/>
          <w:szCs w:val="20"/>
          <w:lang w:val="en-IN"/>
        </w:rPr>
      </w:pPr>
    </w:p>
    <w:p w14:paraId="12A0524E" w14:textId="5CDAC0F6" w:rsidR="002B23F6" w:rsidRPr="00662CB0" w:rsidRDefault="002B23F6" w:rsidP="00662CB0">
      <w:pPr>
        <w:spacing w:after="0" w:line="240" w:lineRule="auto"/>
        <w:jc w:val="both"/>
        <w:rPr>
          <w:rFonts w:ascii="Arial" w:eastAsia="Times New Roman" w:hAnsi="Arial" w:cs="Arial"/>
          <w:b/>
          <w:bCs/>
          <w:sz w:val="20"/>
          <w:szCs w:val="20"/>
          <w:lang w:val="en-IN"/>
        </w:rPr>
      </w:pPr>
      <w:r w:rsidRPr="00662CB0">
        <w:rPr>
          <w:rFonts w:ascii="Arial" w:eastAsia="Times New Roman" w:hAnsi="Arial" w:cs="Arial"/>
          <w:b/>
          <w:bCs/>
          <w:sz w:val="20"/>
          <w:szCs w:val="20"/>
          <w:lang w:val="en-IN"/>
        </w:rPr>
        <w:t>3.1. Growth Parameters</w:t>
      </w:r>
    </w:p>
    <w:p w14:paraId="3F93EEA9" w14:textId="7E5DE2B9" w:rsidR="002B23F6" w:rsidRPr="00662CB0" w:rsidRDefault="002B23F6" w:rsidP="00662CB0">
      <w:pPr>
        <w:spacing w:after="0" w:line="240" w:lineRule="auto"/>
        <w:jc w:val="both"/>
        <w:rPr>
          <w:rFonts w:ascii="Arial" w:eastAsia="Times New Roman" w:hAnsi="Arial" w:cs="Arial"/>
          <w:sz w:val="20"/>
          <w:szCs w:val="20"/>
          <w:lang w:val="en-IN"/>
        </w:rPr>
      </w:pPr>
      <w:r w:rsidRPr="00662CB0">
        <w:rPr>
          <w:rFonts w:ascii="Arial" w:eastAsia="Times New Roman" w:hAnsi="Arial" w:cs="Arial"/>
          <w:sz w:val="20"/>
          <w:szCs w:val="20"/>
          <w:lang w:val="en-IN"/>
        </w:rPr>
        <w:t xml:space="preserve">The growth performance of </w:t>
      </w:r>
      <w:r w:rsidRPr="00662CB0">
        <w:rPr>
          <w:rFonts w:ascii="Arial" w:eastAsia="Times New Roman" w:hAnsi="Arial" w:cs="Arial"/>
          <w:i/>
          <w:iCs/>
          <w:sz w:val="20"/>
          <w:szCs w:val="20"/>
          <w:lang w:val="en-IN"/>
        </w:rPr>
        <w:t>Bhima Super</w:t>
      </w:r>
      <w:r w:rsidRPr="00662CB0">
        <w:rPr>
          <w:rFonts w:ascii="Arial" w:eastAsia="Times New Roman" w:hAnsi="Arial" w:cs="Arial"/>
          <w:sz w:val="20"/>
          <w:szCs w:val="20"/>
          <w:lang w:val="en-IN"/>
        </w:rPr>
        <w:t xml:space="preserve"> and local onion varieties is presented in </w:t>
      </w:r>
      <w:r w:rsidRPr="006950B6">
        <w:rPr>
          <w:rFonts w:ascii="Arial" w:eastAsia="Times New Roman" w:hAnsi="Arial" w:cs="Arial"/>
          <w:bCs/>
          <w:sz w:val="20"/>
          <w:szCs w:val="20"/>
          <w:lang w:val="en-IN"/>
        </w:rPr>
        <w:t>Table 3</w:t>
      </w:r>
      <w:r w:rsidRPr="006950B6">
        <w:rPr>
          <w:rFonts w:ascii="Arial" w:eastAsia="Times New Roman" w:hAnsi="Arial" w:cs="Arial"/>
          <w:sz w:val="20"/>
          <w:szCs w:val="20"/>
          <w:lang w:val="en-IN"/>
        </w:rPr>
        <w:t>.</w:t>
      </w:r>
      <w:r w:rsidRPr="00662CB0">
        <w:rPr>
          <w:rFonts w:ascii="Arial" w:eastAsia="Times New Roman" w:hAnsi="Arial" w:cs="Arial"/>
          <w:sz w:val="20"/>
          <w:szCs w:val="20"/>
          <w:lang w:val="en-IN"/>
        </w:rPr>
        <w:t xml:space="preserve"> The data revealed significant differences among varieties with respect to germination, plant height, number of leaves per plant, and collar thickness across the study period. </w:t>
      </w:r>
    </w:p>
    <w:p w14:paraId="2A1F129F" w14:textId="77777777" w:rsidR="002B23F6" w:rsidRPr="00662CB0" w:rsidRDefault="002B23F6" w:rsidP="00662CB0">
      <w:pPr>
        <w:spacing w:after="0" w:line="240" w:lineRule="auto"/>
        <w:jc w:val="both"/>
        <w:rPr>
          <w:rFonts w:ascii="Arial" w:eastAsia="Times New Roman" w:hAnsi="Arial" w:cs="Arial"/>
          <w:sz w:val="20"/>
          <w:szCs w:val="20"/>
          <w:lang w:val="en-IN"/>
        </w:rPr>
      </w:pPr>
    </w:p>
    <w:p w14:paraId="2937A7BB" w14:textId="77777777" w:rsidR="002B23F6" w:rsidRPr="00662CB0" w:rsidRDefault="002B23F6" w:rsidP="006950B6">
      <w:pPr>
        <w:spacing w:after="0" w:line="240" w:lineRule="auto"/>
        <w:jc w:val="center"/>
        <w:rPr>
          <w:rFonts w:ascii="Arial" w:eastAsia="Times New Roman" w:hAnsi="Arial" w:cs="Arial"/>
          <w:b/>
          <w:bCs/>
          <w:sz w:val="20"/>
          <w:szCs w:val="20"/>
          <w:lang w:val="en-IN"/>
        </w:rPr>
      </w:pPr>
      <w:r w:rsidRPr="00662CB0">
        <w:rPr>
          <w:rFonts w:ascii="Arial" w:eastAsia="Times New Roman" w:hAnsi="Arial" w:cs="Arial"/>
          <w:b/>
          <w:bCs/>
          <w:sz w:val="20"/>
          <w:szCs w:val="20"/>
          <w:lang w:val="en-IN"/>
        </w:rPr>
        <w:lastRenderedPageBreak/>
        <w:t>Table 3. Growth Parameters of Onion Varieties</w:t>
      </w:r>
    </w:p>
    <w:tbl>
      <w:tblPr>
        <w:tblW w:w="9052" w:type="dxa"/>
        <w:jc w:val="center"/>
        <w:tblCellSpacing w:w="15" w:type="dxa"/>
        <w:tblCellMar>
          <w:top w:w="15" w:type="dxa"/>
          <w:left w:w="15" w:type="dxa"/>
          <w:bottom w:w="15" w:type="dxa"/>
          <w:right w:w="15" w:type="dxa"/>
        </w:tblCellMar>
        <w:tblLook w:val="04A0" w:firstRow="1" w:lastRow="0" w:firstColumn="1" w:lastColumn="0" w:noHBand="0" w:noVBand="1"/>
      </w:tblPr>
      <w:tblGrid>
        <w:gridCol w:w="1087"/>
        <w:gridCol w:w="3457"/>
        <w:gridCol w:w="2257"/>
        <w:gridCol w:w="2251"/>
      </w:tblGrid>
      <w:tr w:rsidR="002B23F6" w:rsidRPr="006950B6" w14:paraId="087DD1F1" w14:textId="77777777" w:rsidTr="006950B6">
        <w:trPr>
          <w:trHeight w:val="174"/>
          <w:tblHeader/>
          <w:tblCellSpacing w:w="15" w:type="dxa"/>
          <w:jc w:val="center"/>
        </w:trPr>
        <w:tc>
          <w:tcPr>
            <w:tcW w:w="0" w:type="auto"/>
            <w:tcBorders>
              <w:top w:val="single" w:sz="4" w:space="0" w:color="auto"/>
            </w:tcBorders>
            <w:vAlign w:val="center"/>
            <w:hideMark/>
          </w:tcPr>
          <w:p w14:paraId="572A7EB5" w14:textId="77777777" w:rsidR="002B23F6" w:rsidRPr="006950B6" w:rsidRDefault="002B23F6" w:rsidP="00662CB0">
            <w:pPr>
              <w:spacing w:after="0" w:line="240" w:lineRule="auto"/>
              <w:jc w:val="both"/>
              <w:rPr>
                <w:rFonts w:ascii="Arial" w:eastAsia="Times New Roman" w:hAnsi="Arial" w:cs="Arial"/>
                <w:b/>
                <w:bCs/>
                <w:sz w:val="20"/>
                <w:szCs w:val="20"/>
                <w:highlight w:val="yellow"/>
                <w:lang w:val="en-IN"/>
              </w:rPr>
            </w:pPr>
            <w:r w:rsidRPr="006950B6">
              <w:rPr>
                <w:rFonts w:ascii="Arial" w:eastAsia="Times New Roman" w:hAnsi="Arial" w:cs="Arial"/>
                <w:b/>
                <w:bCs/>
                <w:sz w:val="20"/>
                <w:szCs w:val="20"/>
                <w:highlight w:val="yellow"/>
                <w:lang w:val="en-IN"/>
              </w:rPr>
              <w:t>Sl. No</w:t>
            </w:r>
          </w:p>
        </w:tc>
        <w:tc>
          <w:tcPr>
            <w:tcW w:w="0" w:type="auto"/>
            <w:tcBorders>
              <w:top w:val="single" w:sz="4" w:space="0" w:color="auto"/>
            </w:tcBorders>
            <w:vAlign w:val="center"/>
            <w:hideMark/>
          </w:tcPr>
          <w:p w14:paraId="144BD46D" w14:textId="77777777" w:rsidR="002B23F6" w:rsidRPr="006950B6" w:rsidRDefault="002B23F6" w:rsidP="00662CB0">
            <w:pPr>
              <w:spacing w:after="0" w:line="240" w:lineRule="auto"/>
              <w:jc w:val="both"/>
              <w:rPr>
                <w:rFonts w:ascii="Arial" w:eastAsia="Times New Roman" w:hAnsi="Arial" w:cs="Arial"/>
                <w:b/>
                <w:bCs/>
                <w:sz w:val="20"/>
                <w:szCs w:val="20"/>
                <w:highlight w:val="yellow"/>
                <w:lang w:val="en-IN"/>
              </w:rPr>
            </w:pPr>
            <w:r w:rsidRPr="006950B6">
              <w:rPr>
                <w:rFonts w:ascii="Arial" w:eastAsia="Times New Roman" w:hAnsi="Arial" w:cs="Arial"/>
                <w:b/>
                <w:bCs/>
                <w:sz w:val="20"/>
                <w:szCs w:val="20"/>
                <w:highlight w:val="yellow"/>
                <w:lang w:val="en-IN"/>
              </w:rPr>
              <w:t>Parameters</w:t>
            </w:r>
          </w:p>
        </w:tc>
        <w:tc>
          <w:tcPr>
            <w:tcW w:w="0" w:type="auto"/>
            <w:tcBorders>
              <w:top w:val="single" w:sz="4" w:space="0" w:color="auto"/>
            </w:tcBorders>
            <w:vAlign w:val="center"/>
            <w:hideMark/>
          </w:tcPr>
          <w:p w14:paraId="3C2117F0" w14:textId="77777777" w:rsidR="002B23F6" w:rsidRPr="006950B6" w:rsidRDefault="002B23F6" w:rsidP="00662CB0">
            <w:pPr>
              <w:spacing w:after="0" w:line="240" w:lineRule="auto"/>
              <w:jc w:val="both"/>
              <w:rPr>
                <w:rFonts w:ascii="Arial" w:eastAsia="Times New Roman" w:hAnsi="Arial" w:cs="Arial"/>
                <w:b/>
                <w:bCs/>
                <w:sz w:val="20"/>
                <w:szCs w:val="20"/>
                <w:highlight w:val="yellow"/>
                <w:lang w:val="en-IN"/>
              </w:rPr>
            </w:pPr>
            <w:r w:rsidRPr="006950B6">
              <w:rPr>
                <w:rFonts w:ascii="Arial" w:eastAsia="Times New Roman" w:hAnsi="Arial" w:cs="Arial"/>
                <w:b/>
                <w:bCs/>
                <w:sz w:val="20"/>
                <w:szCs w:val="20"/>
                <w:highlight w:val="yellow"/>
                <w:lang w:val="en-IN"/>
              </w:rPr>
              <w:t>Local Variety</w:t>
            </w:r>
          </w:p>
        </w:tc>
        <w:tc>
          <w:tcPr>
            <w:tcW w:w="0" w:type="auto"/>
            <w:tcBorders>
              <w:top w:val="single" w:sz="4" w:space="0" w:color="auto"/>
            </w:tcBorders>
            <w:vAlign w:val="center"/>
            <w:hideMark/>
          </w:tcPr>
          <w:p w14:paraId="5CA030D2" w14:textId="77777777" w:rsidR="002B23F6" w:rsidRPr="006950B6" w:rsidRDefault="002B23F6" w:rsidP="00662CB0">
            <w:pPr>
              <w:spacing w:after="0" w:line="240" w:lineRule="auto"/>
              <w:jc w:val="both"/>
              <w:rPr>
                <w:rFonts w:ascii="Arial" w:eastAsia="Times New Roman" w:hAnsi="Arial" w:cs="Arial"/>
                <w:b/>
                <w:bCs/>
                <w:sz w:val="20"/>
                <w:szCs w:val="20"/>
                <w:highlight w:val="yellow"/>
                <w:lang w:val="en-IN"/>
              </w:rPr>
            </w:pPr>
            <w:r w:rsidRPr="006950B6">
              <w:rPr>
                <w:rFonts w:ascii="Arial" w:eastAsia="Times New Roman" w:hAnsi="Arial" w:cs="Arial"/>
                <w:b/>
                <w:bCs/>
                <w:sz w:val="20"/>
                <w:szCs w:val="20"/>
                <w:highlight w:val="yellow"/>
                <w:lang w:val="en-IN"/>
              </w:rPr>
              <w:t>Bhima Super</w:t>
            </w:r>
          </w:p>
        </w:tc>
      </w:tr>
      <w:tr w:rsidR="002B23F6" w:rsidRPr="006950B6" w14:paraId="14100ED1" w14:textId="77777777" w:rsidTr="006950B6">
        <w:trPr>
          <w:trHeight w:val="182"/>
          <w:tblCellSpacing w:w="15" w:type="dxa"/>
          <w:jc w:val="center"/>
        </w:trPr>
        <w:tc>
          <w:tcPr>
            <w:tcW w:w="0" w:type="auto"/>
            <w:tcBorders>
              <w:top w:val="single" w:sz="4" w:space="0" w:color="auto"/>
            </w:tcBorders>
            <w:vAlign w:val="center"/>
            <w:hideMark/>
          </w:tcPr>
          <w:p w14:paraId="5DEBC25F" w14:textId="77777777" w:rsidR="002B23F6" w:rsidRPr="006950B6" w:rsidRDefault="002B23F6" w:rsidP="00662CB0">
            <w:pPr>
              <w:spacing w:after="0" w:line="240" w:lineRule="auto"/>
              <w:jc w:val="both"/>
              <w:rPr>
                <w:rFonts w:ascii="Arial" w:eastAsia="Times New Roman" w:hAnsi="Arial" w:cs="Arial"/>
                <w:b/>
                <w:bCs/>
                <w:sz w:val="20"/>
                <w:szCs w:val="20"/>
                <w:highlight w:val="yellow"/>
                <w:lang w:val="en-IN"/>
              </w:rPr>
            </w:pPr>
          </w:p>
        </w:tc>
        <w:tc>
          <w:tcPr>
            <w:tcW w:w="0" w:type="auto"/>
            <w:tcBorders>
              <w:top w:val="single" w:sz="4" w:space="0" w:color="auto"/>
            </w:tcBorders>
            <w:vAlign w:val="center"/>
            <w:hideMark/>
          </w:tcPr>
          <w:p w14:paraId="388C9CB7" w14:textId="77777777" w:rsidR="002B23F6" w:rsidRPr="006950B6" w:rsidRDefault="002B23F6" w:rsidP="00662CB0">
            <w:pPr>
              <w:spacing w:after="0" w:line="240" w:lineRule="auto"/>
              <w:jc w:val="both"/>
              <w:rPr>
                <w:rFonts w:ascii="Arial" w:eastAsia="Times New Roman" w:hAnsi="Arial" w:cs="Arial"/>
                <w:sz w:val="20"/>
                <w:szCs w:val="20"/>
                <w:highlight w:val="yellow"/>
                <w:lang w:val="en-IN"/>
              </w:rPr>
            </w:pPr>
          </w:p>
        </w:tc>
        <w:tc>
          <w:tcPr>
            <w:tcW w:w="0" w:type="auto"/>
            <w:tcBorders>
              <w:top w:val="single" w:sz="4" w:space="0" w:color="auto"/>
            </w:tcBorders>
            <w:vAlign w:val="center"/>
            <w:hideMark/>
          </w:tcPr>
          <w:p w14:paraId="0564E908" w14:textId="5191875F"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sz w:val="20"/>
                <w:szCs w:val="20"/>
                <w:highlight w:val="yellow"/>
                <w:lang w:val="en-IN"/>
              </w:rPr>
              <w:t>20</w:t>
            </w:r>
            <w:r w:rsidR="00B44227" w:rsidRPr="006950B6">
              <w:rPr>
                <w:rFonts w:ascii="Arial" w:eastAsia="Times New Roman" w:hAnsi="Arial" w:cs="Arial"/>
                <w:sz w:val="20"/>
                <w:szCs w:val="20"/>
                <w:highlight w:val="yellow"/>
                <w:lang w:val="en-IN"/>
              </w:rPr>
              <w:t>21</w:t>
            </w:r>
            <w:r w:rsidRPr="006950B6">
              <w:rPr>
                <w:rFonts w:ascii="Arial" w:eastAsia="Times New Roman" w:hAnsi="Arial" w:cs="Arial"/>
                <w:sz w:val="20"/>
                <w:szCs w:val="20"/>
                <w:highlight w:val="yellow"/>
                <w:lang w:val="en-IN"/>
              </w:rPr>
              <w:t>-</w:t>
            </w:r>
            <w:r w:rsidR="00B44227" w:rsidRPr="006950B6">
              <w:rPr>
                <w:rFonts w:ascii="Arial" w:eastAsia="Times New Roman" w:hAnsi="Arial" w:cs="Arial"/>
                <w:sz w:val="20"/>
                <w:szCs w:val="20"/>
                <w:highlight w:val="yellow"/>
                <w:lang w:val="en-IN"/>
              </w:rPr>
              <w:t>22</w:t>
            </w:r>
          </w:p>
        </w:tc>
        <w:tc>
          <w:tcPr>
            <w:tcW w:w="0" w:type="auto"/>
            <w:tcBorders>
              <w:top w:val="single" w:sz="4" w:space="0" w:color="auto"/>
            </w:tcBorders>
            <w:vAlign w:val="center"/>
            <w:hideMark/>
          </w:tcPr>
          <w:p w14:paraId="0B4C9580" w14:textId="43632D8C"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sz w:val="20"/>
                <w:szCs w:val="20"/>
                <w:highlight w:val="yellow"/>
                <w:lang w:val="en-IN"/>
              </w:rPr>
              <w:t>20</w:t>
            </w:r>
            <w:r w:rsidR="00B44227" w:rsidRPr="006950B6">
              <w:rPr>
                <w:rFonts w:ascii="Arial" w:eastAsia="Times New Roman" w:hAnsi="Arial" w:cs="Arial"/>
                <w:sz w:val="20"/>
                <w:szCs w:val="20"/>
                <w:highlight w:val="yellow"/>
                <w:lang w:val="en-IN"/>
              </w:rPr>
              <w:t>21-22</w:t>
            </w:r>
          </w:p>
        </w:tc>
      </w:tr>
      <w:tr w:rsidR="002B23F6" w:rsidRPr="006950B6" w14:paraId="616799BE" w14:textId="77777777" w:rsidTr="006950B6">
        <w:trPr>
          <w:trHeight w:val="182"/>
          <w:tblCellSpacing w:w="15" w:type="dxa"/>
          <w:jc w:val="center"/>
        </w:trPr>
        <w:tc>
          <w:tcPr>
            <w:tcW w:w="0" w:type="auto"/>
            <w:tcBorders>
              <w:top w:val="single" w:sz="4" w:space="0" w:color="auto"/>
            </w:tcBorders>
            <w:vAlign w:val="center"/>
            <w:hideMark/>
          </w:tcPr>
          <w:p w14:paraId="47152E0F" w14:textId="77777777"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sz w:val="20"/>
                <w:szCs w:val="20"/>
                <w:highlight w:val="yellow"/>
                <w:lang w:val="en-IN"/>
              </w:rPr>
              <w:t>1</w:t>
            </w:r>
          </w:p>
        </w:tc>
        <w:tc>
          <w:tcPr>
            <w:tcW w:w="0" w:type="auto"/>
            <w:tcBorders>
              <w:top w:val="single" w:sz="4" w:space="0" w:color="auto"/>
            </w:tcBorders>
            <w:vAlign w:val="center"/>
            <w:hideMark/>
          </w:tcPr>
          <w:p w14:paraId="1294CFE4" w14:textId="77777777"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sz w:val="20"/>
                <w:szCs w:val="20"/>
                <w:highlight w:val="yellow"/>
                <w:lang w:val="en-IN"/>
              </w:rPr>
              <w:t>Germination (%)</w:t>
            </w:r>
          </w:p>
        </w:tc>
        <w:tc>
          <w:tcPr>
            <w:tcW w:w="0" w:type="auto"/>
            <w:tcBorders>
              <w:top w:val="single" w:sz="4" w:space="0" w:color="auto"/>
            </w:tcBorders>
            <w:vAlign w:val="center"/>
            <w:hideMark/>
          </w:tcPr>
          <w:p w14:paraId="71F81A84" w14:textId="1001C1B1"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sz w:val="20"/>
                <w:szCs w:val="20"/>
                <w:highlight w:val="yellow"/>
                <w:lang w:val="en-IN"/>
              </w:rPr>
              <w:t>84.0</w:t>
            </w:r>
          </w:p>
        </w:tc>
        <w:tc>
          <w:tcPr>
            <w:tcW w:w="0" w:type="auto"/>
            <w:tcBorders>
              <w:top w:val="single" w:sz="4" w:space="0" w:color="auto"/>
            </w:tcBorders>
            <w:vAlign w:val="center"/>
            <w:hideMark/>
          </w:tcPr>
          <w:p w14:paraId="561E3F1A" w14:textId="2D82DA69"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sz w:val="20"/>
                <w:szCs w:val="20"/>
                <w:highlight w:val="yellow"/>
                <w:lang w:val="en-IN"/>
              </w:rPr>
              <w:t>84.</w:t>
            </w:r>
            <w:r w:rsidR="00B44227" w:rsidRPr="006950B6">
              <w:rPr>
                <w:rFonts w:ascii="Arial" w:eastAsia="Times New Roman" w:hAnsi="Arial" w:cs="Arial"/>
                <w:sz w:val="20"/>
                <w:szCs w:val="20"/>
                <w:highlight w:val="yellow"/>
                <w:lang w:val="en-IN"/>
              </w:rPr>
              <w:t>2</w:t>
            </w:r>
            <w:r w:rsidRPr="006950B6">
              <w:rPr>
                <w:rFonts w:ascii="Arial" w:eastAsia="Times New Roman" w:hAnsi="Arial" w:cs="Arial"/>
                <w:sz w:val="20"/>
                <w:szCs w:val="20"/>
                <w:highlight w:val="yellow"/>
                <w:lang w:val="en-IN"/>
              </w:rPr>
              <w:t>0</w:t>
            </w:r>
          </w:p>
        </w:tc>
      </w:tr>
      <w:tr w:rsidR="002B23F6" w:rsidRPr="006950B6" w14:paraId="3E8F0341" w14:textId="77777777" w:rsidTr="006950B6">
        <w:trPr>
          <w:trHeight w:val="182"/>
          <w:tblCellSpacing w:w="15" w:type="dxa"/>
          <w:jc w:val="center"/>
        </w:trPr>
        <w:tc>
          <w:tcPr>
            <w:tcW w:w="0" w:type="auto"/>
            <w:vAlign w:val="center"/>
            <w:hideMark/>
          </w:tcPr>
          <w:p w14:paraId="5E81EAEF" w14:textId="77777777"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sz w:val="20"/>
                <w:szCs w:val="20"/>
                <w:highlight w:val="yellow"/>
                <w:lang w:val="en-IN"/>
              </w:rPr>
              <w:t>2</w:t>
            </w:r>
          </w:p>
        </w:tc>
        <w:tc>
          <w:tcPr>
            <w:tcW w:w="0" w:type="auto"/>
            <w:vAlign w:val="center"/>
            <w:hideMark/>
          </w:tcPr>
          <w:p w14:paraId="391EB5A8" w14:textId="77777777"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sz w:val="20"/>
                <w:szCs w:val="20"/>
                <w:highlight w:val="yellow"/>
                <w:lang w:val="en-IN"/>
              </w:rPr>
              <w:t>Plant Height (cm)</w:t>
            </w:r>
          </w:p>
        </w:tc>
        <w:tc>
          <w:tcPr>
            <w:tcW w:w="0" w:type="auto"/>
            <w:vAlign w:val="center"/>
            <w:hideMark/>
          </w:tcPr>
          <w:p w14:paraId="6A2BB7E9" w14:textId="77777777"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sz w:val="20"/>
                <w:szCs w:val="20"/>
                <w:highlight w:val="yellow"/>
                <w:lang w:val="en-IN"/>
              </w:rPr>
              <w:t>55.34</w:t>
            </w:r>
          </w:p>
        </w:tc>
        <w:tc>
          <w:tcPr>
            <w:tcW w:w="0" w:type="auto"/>
            <w:vAlign w:val="center"/>
            <w:hideMark/>
          </w:tcPr>
          <w:p w14:paraId="2A3B433B" w14:textId="77777777"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sz w:val="20"/>
                <w:szCs w:val="20"/>
                <w:highlight w:val="yellow"/>
                <w:lang w:val="en-IN"/>
              </w:rPr>
              <w:t>58.98</w:t>
            </w:r>
          </w:p>
        </w:tc>
      </w:tr>
      <w:tr w:rsidR="002B23F6" w:rsidRPr="006950B6" w14:paraId="44AA8314" w14:textId="77777777" w:rsidTr="006950B6">
        <w:trPr>
          <w:trHeight w:val="182"/>
          <w:tblCellSpacing w:w="15" w:type="dxa"/>
          <w:jc w:val="center"/>
        </w:trPr>
        <w:tc>
          <w:tcPr>
            <w:tcW w:w="0" w:type="auto"/>
            <w:vAlign w:val="center"/>
            <w:hideMark/>
          </w:tcPr>
          <w:p w14:paraId="0F7C9FC5" w14:textId="77777777"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sz w:val="20"/>
                <w:szCs w:val="20"/>
                <w:highlight w:val="yellow"/>
                <w:lang w:val="en-IN"/>
              </w:rPr>
              <w:t>3</w:t>
            </w:r>
          </w:p>
        </w:tc>
        <w:tc>
          <w:tcPr>
            <w:tcW w:w="0" w:type="auto"/>
            <w:vAlign w:val="center"/>
            <w:hideMark/>
          </w:tcPr>
          <w:p w14:paraId="3B0A0329" w14:textId="77777777"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sz w:val="20"/>
                <w:szCs w:val="20"/>
                <w:highlight w:val="yellow"/>
                <w:lang w:val="en-IN"/>
              </w:rPr>
              <w:t>No. of Leaves/Plant</w:t>
            </w:r>
          </w:p>
        </w:tc>
        <w:tc>
          <w:tcPr>
            <w:tcW w:w="0" w:type="auto"/>
            <w:vAlign w:val="center"/>
            <w:hideMark/>
          </w:tcPr>
          <w:p w14:paraId="0A281763" w14:textId="77777777"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sz w:val="20"/>
                <w:szCs w:val="20"/>
                <w:highlight w:val="yellow"/>
                <w:lang w:val="en-IN"/>
              </w:rPr>
              <w:t>8.72</w:t>
            </w:r>
          </w:p>
        </w:tc>
        <w:tc>
          <w:tcPr>
            <w:tcW w:w="0" w:type="auto"/>
            <w:vAlign w:val="center"/>
            <w:hideMark/>
          </w:tcPr>
          <w:p w14:paraId="3F15DC20" w14:textId="77777777"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sz w:val="20"/>
                <w:szCs w:val="20"/>
                <w:highlight w:val="yellow"/>
                <w:lang w:val="en-IN"/>
              </w:rPr>
              <w:t>9.02</w:t>
            </w:r>
          </w:p>
        </w:tc>
      </w:tr>
      <w:tr w:rsidR="002B23F6" w:rsidRPr="00662CB0" w14:paraId="7B47D635" w14:textId="77777777" w:rsidTr="006950B6">
        <w:trPr>
          <w:trHeight w:val="182"/>
          <w:tblCellSpacing w:w="15" w:type="dxa"/>
          <w:jc w:val="center"/>
        </w:trPr>
        <w:tc>
          <w:tcPr>
            <w:tcW w:w="0" w:type="auto"/>
            <w:tcBorders>
              <w:bottom w:val="single" w:sz="4" w:space="0" w:color="auto"/>
            </w:tcBorders>
            <w:vAlign w:val="center"/>
            <w:hideMark/>
          </w:tcPr>
          <w:p w14:paraId="5C736CBB" w14:textId="77777777"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sz w:val="20"/>
                <w:szCs w:val="20"/>
                <w:highlight w:val="yellow"/>
                <w:lang w:val="en-IN"/>
              </w:rPr>
              <w:t>4</w:t>
            </w:r>
          </w:p>
        </w:tc>
        <w:tc>
          <w:tcPr>
            <w:tcW w:w="0" w:type="auto"/>
            <w:tcBorders>
              <w:bottom w:val="single" w:sz="4" w:space="0" w:color="auto"/>
            </w:tcBorders>
            <w:vAlign w:val="center"/>
            <w:hideMark/>
          </w:tcPr>
          <w:p w14:paraId="531F334D" w14:textId="77777777"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sz w:val="20"/>
                <w:szCs w:val="20"/>
                <w:highlight w:val="yellow"/>
                <w:lang w:val="en-IN"/>
              </w:rPr>
              <w:t>Collar Thickness (cm)</w:t>
            </w:r>
          </w:p>
        </w:tc>
        <w:tc>
          <w:tcPr>
            <w:tcW w:w="0" w:type="auto"/>
            <w:tcBorders>
              <w:bottom w:val="single" w:sz="4" w:space="0" w:color="auto"/>
            </w:tcBorders>
            <w:vAlign w:val="center"/>
            <w:hideMark/>
          </w:tcPr>
          <w:p w14:paraId="6EFFE3FE" w14:textId="77777777"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sz w:val="20"/>
                <w:szCs w:val="20"/>
                <w:highlight w:val="yellow"/>
                <w:lang w:val="en-IN"/>
              </w:rPr>
              <w:t>1.28</w:t>
            </w:r>
          </w:p>
        </w:tc>
        <w:tc>
          <w:tcPr>
            <w:tcW w:w="0" w:type="auto"/>
            <w:tcBorders>
              <w:bottom w:val="single" w:sz="4" w:space="0" w:color="auto"/>
            </w:tcBorders>
            <w:vAlign w:val="center"/>
            <w:hideMark/>
          </w:tcPr>
          <w:p w14:paraId="69DA6B00" w14:textId="77777777" w:rsidR="002B23F6" w:rsidRPr="00662CB0" w:rsidRDefault="002B23F6" w:rsidP="00662CB0">
            <w:pPr>
              <w:spacing w:after="0" w:line="240" w:lineRule="auto"/>
              <w:jc w:val="both"/>
              <w:rPr>
                <w:rFonts w:ascii="Arial" w:eastAsia="Times New Roman" w:hAnsi="Arial" w:cs="Arial"/>
                <w:sz w:val="20"/>
                <w:szCs w:val="20"/>
                <w:lang w:val="en-IN"/>
              </w:rPr>
            </w:pPr>
            <w:r w:rsidRPr="006950B6">
              <w:rPr>
                <w:rFonts w:ascii="Arial" w:eastAsia="Times New Roman" w:hAnsi="Arial" w:cs="Arial"/>
                <w:sz w:val="20"/>
                <w:szCs w:val="20"/>
                <w:highlight w:val="yellow"/>
                <w:lang w:val="en-IN"/>
              </w:rPr>
              <w:t>1.37</w:t>
            </w:r>
          </w:p>
        </w:tc>
      </w:tr>
    </w:tbl>
    <w:p w14:paraId="1B259F05" w14:textId="77777777" w:rsidR="006950B6" w:rsidRDefault="006950B6" w:rsidP="00662CB0">
      <w:pPr>
        <w:spacing w:after="0" w:line="240" w:lineRule="auto"/>
        <w:jc w:val="both"/>
        <w:rPr>
          <w:rFonts w:ascii="Arial" w:eastAsia="Times New Roman" w:hAnsi="Arial" w:cs="Arial"/>
          <w:sz w:val="20"/>
          <w:szCs w:val="20"/>
          <w:lang w:val="en-IN"/>
        </w:rPr>
      </w:pPr>
    </w:p>
    <w:p w14:paraId="0BD68DFA" w14:textId="03597D39" w:rsidR="002B23F6" w:rsidRPr="00662CB0" w:rsidRDefault="002B23F6" w:rsidP="00662CB0">
      <w:pPr>
        <w:spacing w:after="0" w:line="240" w:lineRule="auto"/>
        <w:jc w:val="both"/>
        <w:rPr>
          <w:rFonts w:ascii="Arial" w:eastAsia="Times New Roman" w:hAnsi="Arial" w:cs="Arial"/>
          <w:sz w:val="20"/>
          <w:szCs w:val="20"/>
          <w:lang w:val="en-IN"/>
        </w:rPr>
      </w:pPr>
      <w:r w:rsidRPr="00662CB0">
        <w:rPr>
          <w:rFonts w:ascii="Arial" w:eastAsia="Times New Roman" w:hAnsi="Arial" w:cs="Arial"/>
          <w:sz w:val="20"/>
          <w:szCs w:val="20"/>
          <w:lang w:val="en-IN"/>
        </w:rPr>
        <w:t xml:space="preserve">The mean germination percentage of </w:t>
      </w:r>
      <w:r w:rsidRPr="00662CB0">
        <w:rPr>
          <w:rFonts w:ascii="Arial" w:eastAsia="Times New Roman" w:hAnsi="Arial" w:cs="Arial"/>
          <w:i/>
          <w:iCs/>
          <w:sz w:val="20"/>
          <w:szCs w:val="20"/>
          <w:lang w:val="en-IN"/>
        </w:rPr>
        <w:t>Bhima Super</w:t>
      </w:r>
      <w:r w:rsidRPr="00662CB0">
        <w:rPr>
          <w:rFonts w:ascii="Arial" w:eastAsia="Times New Roman" w:hAnsi="Arial" w:cs="Arial"/>
          <w:sz w:val="20"/>
          <w:szCs w:val="20"/>
          <w:lang w:val="en-IN"/>
        </w:rPr>
        <w:t xml:space="preserve"> (91.6%) was notably higher than that of the local varieties (83.32%), suggesting better seed </w:t>
      </w:r>
      <w:proofErr w:type="spellStart"/>
      <w:r w:rsidRPr="00662CB0">
        <w:rPr>
          <w:rFonts w:ascii="Arial" w:eastAsia="Times New Roman" w:hAnsi="Arial" w:cs="Arial"/>
          <w:sz w:val="20"/>
          <w:szCs w:val="20"/>
          <w:lang w:val="en-IN"/>
        </w:rPr>
        <w:t>vigor</w:t>
      </w:r>
      <w:proofErr w:type="spellEnd"/>
      <w:r w:rsidRPr="00662CB0">
        <w:rPr>
          <w:rFonts w:ascii="Arial" w:eastAsia="Times New Roman" w:hAnsi="Arial" w:cs="Arial"/>
          <w:sz w:val="20"/>
          <w:szCs w:val="20"/>
          <w:lang w:val="en-IN"/>
        </w:rPr>
        <w:t xml:space="preserve"> and germplasm quality. Similar findings were reported by (</w:t>
      </w:r>
      <w:proofErr w:type="spellStart"/>
      <w:r w:rsidRPr="00662CB0">
        <w:rPr>
          <w:rFonts w:ascii="Arial" w:eastAsia="Times New Roman" w:hAnsi="Arial" w:cs="Arial"/>
          <w:sz w:val="20"/>
          <w:szCs w:val="20"/>
          <w:lang w:val="en-IN"/>
        </w:rPr>
        <w:t>Kerur</w:t>
      </w:r>
      <w:proofErr w:type="spellEnd"/>
      <w:r w:rsidRPr="00662CB0">
        <w:rPr>
          <w:rFonts w:ascii="Arial" w:eastAsia="Times New Roman" w:hAnsi="Arial" w:cs="Arial"/>
          <w:sz w:val="20"/>
          <w:szCs w:val="20"/>
          <w:lang w:val="en-IN"/>
        </w:rPr>
        <w:t xml:space="preserve"> et al., 2016) and (Gupta &amp; Bhargav, 2020), who observed that </w:t>
      </w:r>
      <w:r w:rsidRPr="00662CB0">
        <w:rPr>
          <w:rFonts w:ascii="Arial" w:eastAsia="Times New Roman" w:hAnsi="Arial" w:cs="Arial"/>
          <w:i/>
          <w:iCs/>
          <w:sz w:val="20"/>
          <w:szCs w:val="20"/>
          <w:lang w:val="en-IN"/>
        </w:rPr>
        <w:t>Bhima Super</w:t>
      </w:r>
      <w:r w:rsidRPr="00662CB0">
        <w:rPr>
          <w:rFonts w:ascii="Arial" w:eastAsia="Times New Roman" w:hAnsi="Arial" w:cs="Arial"/>
          <w:sz w:val="20"/>
          <w:szCs w:val="20"/>
          <w:lang w:val="en-IN"/>
        </w:rPr>
        <w:t xml:space="preserve"> consistently produced stronger seedlings and better establishment under rainfed conditions.</w:t>
      </w:r>
    </w:p>
    <w:p w14:paraId="41115F07" w14:textId="77777777" w:rsidR="002B23F6" w:rsidRPr="00662CB0" w:rsidRDefault="002B23F6" w:rsidP="00662CB0">
      <w:pPr>
        <w:spacing w:after="0" w:line="240" w:lineRule="auto"/>
        <w:jc w:val="both"/>
        <w:rPr>
          <w:rFonts w:ascii="Arial" w:eastAsia="Times New Roman" w:hAnsi="Arial" w:cs="Arial"/>
          <w:sz w:val="20"/>
          <w:szCs w:val="20"/>
          <w:lang w:val="en-IN"/>
        </w:rPr>
      </w:pPr>
      <w:r w:rsidRPr="00662CB0">
        <w:rPr>
          <w:rFonts w:ascii="Arial" w:eastAsia="Times New Roman" w:hAnsi="Arial" w:cs="Arial"/>
          <w:sz w:val="20"/>
          <w:szCs w:val="20"/>
          <w:lang w:val="en-IN"/>
        </w:rPr>
        <w:t xml:space="preserve">The average plant height in </w:t>
      </w:r>
      <w:r w:rsidRPr="00662CB0">
        <w:rPr>
          <w:rFonts w:ascii="Arial" w:eastAsia="Times New Roman" w:hAnsi="Arial" w:cs="Arial"/>
          <w:i/>
          <w:iCs/>
          <w:sz w:val="20"/>
          <w:szCs w:val="20"/>
          <w:lang w:val="en-IN"/>
        </w:rPr>
        <w:t>Bhima Super</w:t>
      </w:r>
      <w:r w:rsidRPr="00662CB0">
        <w:rPr>
          <w:rFonts w:ascii="Arial" w:eastAsia="Times New Roman" w:hAnsi="Arial" w:cs="Arial"/>
          <w:sz w:val="20"/>
          <w:szCs w:val="20"/>
          <w:lang w:val="en-IN"/>
        </w:rPr>
        <w:t xml:space="preserve"> (62.0 cm) exceeded that of local varieties (56.7 cm), indicating enhanced vegetative </w:t>
      </w:r>
      <w:proofErr w:type="spellStart"/>
      <w:r w:rsidRPr="00662CB0">
        <w:rPr>
          <w:rFonts w:ascii="Arial" w:eastAsia="Times New Roman" w:hAnsi="Arial" w:cs="Arial"/>
          <w:sz w:val="20"/>
          <w:szCs w:val="20"/>
          <w:lang w:val="en-IN"/>
        </w:rPr>
        <w:t>vigor</w:t>
      </w:r>
      <w:proofErr w:type="spellEnd"/>
      <w:r w:rsidRPr="00662CB0">
        <w:rPr>
          <w:rFonts w:ascii="Arial" w:eastAsia="Times New Roman" w:hAnsi="Arial" w:cs="Arial"/>
          <w:sz w:val="20"/>
          <w:szCs w:val="20"/>
          <w:lang w:val="en-IN"/>
        </w:rPr>
        <w:t xml:space="preserve"> and efficient nutrient utilization. A greater number of leaves per plant (10.88) and thicker collars (1.43 cm) were also recorded in </w:t>
      </w:r>
      <w:r w:rsidRPr="00662CB0">
        <w:rPr>
          <w:rFonts w:ascii="Arial" w:eastAsia="Times New Roman" w:hAnsi="Arial" w:cs="Arial"/>
          <w:i/>
          <w:iCs/>
          <w:sz w:val="20"/>
          <w:szCs w:val="20"/>
          <w:lang w:val="en-IN"/>
        </w:rPr>
        <w:t>Bhima Super</w:t>
      </w:r>
      <w:r w:rsidRPr="00662CB0">
        <w:rPr>
          <w:rFonts w:ascii="Arial" w:eastAsia="Times New Roman" w:hAnsi="Arial" w:cs="Arial"/>
          <w:sz w:val="20"/>
          <w:szCs w:val="20"/>
          <w:lang w:val="en-IN"/>
        </w:rPr>
        <w:t>, implying robust photosynthetic capacity and assimilate translocation efficiency. These morphological advantages collectively contribute to larger bulb size and higher yield (Bhoi &amp; Barik, 2020).</w:t>
      </w:r>
    </w:p>
    <w:p w14:paraId="527753A7" w14:textId="77777777" w:rsidR="002B23F6" w:rsidRPr="00662CB0" w:rsidRDefault="002B23F6" w:rsidP="00662CB0">
      <w:pPr>
        <w:spacing w:after="0" w:line="240" w:lineRule="auto"/>
        <w:jc w:val="both"/>
        <w:rPr>
          <w:rFonts w:ascii="Arial" w:eastAsia="Times New Roman" w:hAnsi="Arial" w:cs="Arial"/>
          <w:sz w:val="20"/>
          <w:szCs w:val="20"/>
          <w:lang w:val="en-IN"/>
        </w:rPr>
      </w:pPr>
      <w:r w:rsidRPr="00662CB0">
        <w:rPr>
          <w:rFonts w:ascii="Arial" w:eastAsia="Times New Roman" w:hAnsi="Arial" w:cs="Arial"/>
          <w:sz w:val="20"/>
          <w:szCs w:val="20"/>
          <w:lang w:val="en-IN"/>
        </w:rPr>
        <w:t>In agreement, (</w:t>
      </w:r>
      <w:proofErr w:type="spellStart"/>
      <w:r w:rsidRPr="00662CB0">
        <w:rPr>
          <w:rFonts w:ascii="Arial" w:eastAsia="Times New Roman" w:hAnsi="Arial" w:cs="Arial"/>
          <w:sz w:val="20"/>
          <w:szCs w:val="20"/>
          <w:lang w:val="en-IN"/>
        </w:rPr>
        <w:t>Hiremath</w:t>
      </w:r>
      <w:proofErr w:type="spellEnd"/>
      <w:r w:rsidRPr="00662CB0">
        <w:rPr>
          <w:rFonts w:ascii="Arial" w:eastAsia="Times New Roman" w:hAnsi="Arial" w:cs="Arial"/>
          <w:sz w:val="20"/>
          <w:szCs w:val="20"/>
          <w:lang w:val="en-IN"/>
        </w:rPr>
        <w:t xml:space="preserve"> &amp; </w:t>
      </w:r>
      <w:proofErr w:type="spellStart"/>
      <w:r w:rsidRPr="00662CB0">
        <w:rPr>
          <w:rFonts w:ascii="Arial" w:eastAsia="Times New Roman" w:hAnsi="Arial" w:cs="Arial"/>
          <w:sz w:val="20"/>
          <w:szCs w:val="20"/>
          <w:lang w:val="en-IN"/>
        </w:rPr>
        <w:t>Mantur</w:t>
      </w:r>
      <w:proofErr w:type="spellEnd"/>
      <w:r w:rsidRPr="00662CB0">
        <w:rPr>
          <w:rFonts w:ascii="Arial" w:eastAsia="Times New Roman" w:hAnsi="Arial" w:cs="Arial"/>
          <w:sz w:val="20"/>
          <w:szCs w:val="20"/>
          <w:lang w:val="en-IN"/>
        </w:rPr>
        <w:t xml:space="preserve">, 2018) reported that vigorous vegetative growth is a key determinant of yield improvement in onion. The higher collar thickness of </w:t>
      </w:r>
      <w:r w:rsidRPr="00662CB0">
        <w:rPr>
          <w:rFonts w:ascii="Arial" w:eastAsia="Times New Roman" w:hAnsi="Arial" w:cs="Arial"/>
          <w:i/>
          <w:iCs/>
          <w:sz w:val="20"/>
          <w:szCs w:val="20"/>
          <w:lang w:val="en-IN"/>
        </w:rPr>
        <w:t>Bhima Super</w:t>
      </w:r>
      <w:r w:rsidRPr="00662CB0">
        <w:rPr>
          <w:rFonts w:ascii="Arial" w:eastAsia="Times New Roman" w:hAnsi="Arial" w:cs="Arial"/>
          <w:sz w:val="20"/>
          <w:szCs w:val="20"/>
          <w:lang w:val="en-IN"/>
        </w:rPr>
        <w:t xml:space="preserve"> also enhances mechanical strength, reducing lodging and improving bulb quality (Mahajan &amp; Khar, 2021).</w:t>
      </w:r>
    </w:p>
    <w:p w14:paraId="46D10BC7" w14:textId="508A4AA7" w:rsidR="002B23F6" w:rsidRPr="00662CB0" w:rsidRDefault="002B23F6" w:rsidP="00662CB0">
      <w:pPr>
        <w:spacing w:after="0" w:line="240" w:lineRule="auto"/>
        <w:jc w:val="both"/>
        <w:rPr>
          <w:rFonts w:ascii="Arial" w:eastAsia="Times New Roman" w:hAnsi="Arial" w:cs="Arial"/>
          <w:sz w:val="20"/>
          <w:szCs w:val="20"/>
          <w:lang w:val="en-IN"/>
        </w:rPr>
      </w:pPr>
    </w:p>
    <w:p w14:paraId="5CBDB087" w14:textId="23A48814" w:rsidR="002B23F6" w:rsidRPr="00662CB0" w:rsidRDefault="002B23F6" w:rsidP="00662CB0">
      <w:pPr>
        <w:spacing w:after="0" w:line="240" w:lineRule="auto"/>
        <w:jc w:val="both"/>
        <w:rPr>
          <w:rFonts w:ascii="Arial" w:eastAsia="Times New Roman" w:hAnsi="Arial" w:cs="Arial"/>
          <w:b/>
          <w:bCs/>
          <w:sz w:val="20"/>
          <w:szCs w:val="20"/>
          <w:lang w:val="en-IN"/>
        </w:rPr>
      </w:pPr>
      <w:r w:rsidRPr="00662CB0">
        <w:rPr>
          <w:rFonts w:ascii="Arial" w:eastAsia="Times New Roman" w:hAnsi="Arial" w:cs="Arial"/>
          <w:b/>
          <w:bCs/>
          <w:sz w:val="20"/>
          <w:szCs w:val="20"/>
          <w:lang w:val="en-IN"/>
        </w:rPr>
        <w:t>3.2. Yield and Economic Performance</w:t>
      </w:r>
    </w:p>
    <w:p w14:paraId="7429FFB6" w14:textId="77777777" w:rsidR="002B23F6" w:rsidRPr="00662CB0" w:rsidRDefault="002B23F6" w:rsidP="00662CB0">
      <w:pPr>
        <w:spacing w:after="0" w:line="240" w:lineRule="auto"/>
        <w:jc w:val="both"/>
        <w:rPr>
          <w:rFonts w:ascii="Arial" w:eastAsia="Times New Roman" w:hAnsi="Arial" w:cs="Arial"/>
          <w:sz w:val="20"/>
          <w:szCs w:val="20"/>
          <w:lang w:val="en-IN"/>
        </w:rPr>
      </w:pPr>
      <w:r w:rsidRPr="00662CB0">
        <w:rPr>
          <w:rFonts w:ascii="Arial" w:eastAsia="Times New Roman" w:hAnsi="Arial" w:cs="Arial"/>
          <w:sz w:val="20"/>
          <w:szCs w:val="20"/>
          <w:lang w:val="en-IN"/>
        </w:rPr>
        <w:t xml:space="preserve">Yield and economic results are presented in </w:t>
      </w:r>
      <w:r w:rsidRPr="006950B6">
        <w:rPr>
          <w:rFonts w:ascii="Arial" w:eastAsia="Times New Roman" w:hAnsi="Arial" w:cs="Arial"/>
          <w:bCs/>
          <w:sz w:val="20"/>
          <w:szCs w:val="20"/>
          <w:lang w:val="en-IN"/>
        </w:rPr>
        <w:t>Table 4</w:t>
      </w:r>
      <w:r w:rsidRPr="006950B6">
        <w:rPr>
          <w:rFonts w:ascii="Arial" w:eastAsia="Times New Roman" w:hAnsi="Arial" w:cs="Arial"/>
          <w:sz w:val="20"/>
          <w:szCs w:val="20"/>
          <w:lang w:val="en-IN"/>
        </w:rPr>
        <w:t>,</w:t>
      </w:r>
      <w:r w:rsidRPr="00662CB0">
        <w:rPr>
          <w:rFonts w:ascii="Arial" w:eastAsia="Times New Roman" w:hAnsi="Arial" w:cs="Arial"/>
          <w:sz w:val="20"/>
          <w:szCs w:val="20"/>
          <w:lang w:val="en-IN"/>
        </w:rPr>
        <w:t xml:space="preserve"> showing a distinct superiority of </w:t>
      </w:r>
      <w:r w:rsidRPr="00662CB0">
        <w:rPr>
          <w:rFonts w:ascii="Arial" w:eastAsia="Times New Roman" w:hAnsi="Arial" w:cs="Arial"/>
          <w:i/>
          <w:iCs/>
          <w:sz w:val="20"/>
          <w:szCs w:val="20"/>
          <w:lang w:val="en-IN"/>
        </w:rPr>
        <w:t>Bhima Super</w:t>
      </w:r>
      <w:r w:rsidRPr="00662CB0">
        <w:rPr>
          <w:rFonts w:ascii="Arial" w:eastAsia="Times New Roman" w:hAnsi="Arial" w:cs="Arial"/>
          <w:sz w:val="20"/>
          <w:szCs w:val="20"/>
          <w:lang w:val="en-IN"/>
        </w:rPr>
        <w:t xml:space="preserve"> over the local check for all years and parameters.</w:t>
      </w:r>
    </w:p>
    <w:p w14:paraId="0A43CCB3" w14:textId="6DD40658" w:rsidR="002B23F6" w:rsidRPr="00662CB0" w:rsidRDefault="002B23F6" w:rsidP="00662CB0">
      <w:pPr>
        <w:spacing w:after="0" w:line="240" w:lineRule="auto"/>
        <w:jc w:val="both"/>
        <w:rPr>
          <w:rFonts w:ascii="Arial" w:eastAsia="Times New Roman" w:hAnsi="Arial" w:cs="Arial"/>
          <w:sz w:val="20"/>
          <w:szCs w:val="20"/>
          <w:lang w:val="en-IN"/>
        </w:rPr>
      </w:pPr>
    </w:p>
    <w:p w14:paraId="6610B1F0" w14:textId="77777777" w:rsidR="002B23F6" w:rsidRPr="006950B6" w:rsidRDefault="002B23F6" w:rsidP="006950B6">
      <w:pPr>
        <w:spacing w:after="0" w:line="240" w:lineRule="auto"/>
        <w:jc w:val="center"/>
        <w:rPr>
          <w:rFonts w:ascii="Arial" w:eastAsia="Times New Roman" w:hAnsi="Arial" w:cs="Arial"/>
          <w:b/>
          <w:bCs/>
          <w:sz w:val="20"/>
          <w:szCs w:val="20"/>
          <w:highlight w:val="yellow"/>
          <w:lang w:val="en-IN"/>
        </w:rPr>
      </w:pPr>
      <w:r w:rsidRPr="006950B6">
        <w:rPr>
          <w:rFonts w:ascii="Arial" w:eastAsia="Times New Roman" w:hAnsi="Arial" w:cs="Arial"/>
          <w:b/>
          <w:bCs/>
          <w:sz w:val="20"/>
          <w:szCs w:val="20"/>
          <w:highlight w:val="yellow"/>
          <w:lang w:val="en-IN"/>
        </w:rPr>
        <w:t>Table 4. Yield and Economics of Onion Varieties</w:t>
      </w:r>
    </w:p>
    <w:tbl>
      <w:tblPr>
        <w:tblW w:w="8625" w:type="dxa"/>
        <w:jc w:val="center"/>
        <w:tblCellSpacing w:w="15" w:type="dxa"/>
        <w:tblCellMar>
          <w:top w:w="15" w:type="dxa"/>
          <w:left w:w="15" w:type="dxa"/>
          <w:bottom w:w="15" w:type="dxa"/>
          <w:right w:w="15" w:type="dxa"/>
        </w:tblCellMar>
        <w:tblLook w:val="04A0" w:firstRow="1" w:lastRow="0" w:firstColumn="1" w:lastColumn="0" w:noHBand="0" w:noVBand="1"/>
      </w:tblPr>
      <w:tblGrid>
        <w:gridCol w:w="1021"/>
        <w:gridCol w:w="3376"/>
        <w:gridCol w:w="2116"/>
        <w:gridCol w:w="2112"/>
      </w:tblGrid>
      <w:tr w:rsidR="002B23F6" w:rsidRPr="006950B6" w14:paraId="0910F93C" w14:textId="77777777" w:rsidTr="006950B6">
        <w:trPr>
          <w:trHeight w:val="194"/>
          <w:tblHeader/>
          <w:tblCellSpacing w:w="15" w:type="dxa"/>
          <w:jc w:val="center"/>
        </w:trPr>
        <w:tc>
          <w:tcPr>
            <w:tcW w:w="0" w:type="auto"/>
            <w:tcBorders>
              <w:top w:val="single" w:sz="4" w:space="0" w:color="auto"/>
            </w:tcBorders>
            <w:vAlign w:val="center"/>
            <w:hideMark/>
          </w:tcPr>
          <w:p w14:paraId="298725E5" w14:textId="77777777" w:rsidR="002B23F6" w:rsidRPr="006950B6" w:rsidRDefault="002B23F6" w:rsidP="00662CB0">
            <w:pPr>
              <w:spacing w:after="0" w:line="240" w:lineRule="auto"/>
              <w:jc w:val="both"/>
              <w:rPr>
                <w:rFonts w:ascii="Arial" w:eastAsia="Times New Roman" w:hAnsi="Arial" w:cs="Arial"/>
                <w:b/>
                <w:bCs/>
                <w:sz w:val="20"/>
                <w:szCs w:val="20"/>
                <w:highlight w:val="yellow"/>
                <w:lang w:val="en-IN"/>
              </w:rPr>
            </w:pPr>
            <w:r w:rsidRPr="006950B6">
              <w:rPr>
                <w:rFonts w:ascii="Arial" w:eastAsia="Times New Roman" w:hAnsi="Arial" w:cs="Arial"/>
                <w:b/>
                <w:bCs/>
                <w:sz w:val="20"/>
                <w:szCs w:val="20"/>
                <w:highlight w:val="yellow"/>
                <w:lang w:val="en-IN"/>
              </w:rPr>
              <w:t>Sl. No</w:t>
            </w:r>
          </w:p>
        </w:tc>
        <w:tc>
          <w:tcPr>
            <w:tcW w:w="0" w:type="auto"/>
            <w:tcBorders>
              <w:top w:val="single" w:sz="4" w:space="0" w:color="auto"/>
            </w:tcBorders>
            <w:vAlign w:val="center"/>
            <w:hideMark/>
          </w:tcPr>
          <w:p w14:paraId="40C596A3" w14:textId="77777777" w:rsidR="002B23F6" w:rsidRPr="006950B6" w:rsidRDefault="002B23F6" w:rsidP="00662CB0">
            <w:pPr>
              <w:spacing w:after="0" w:line="240" w:lineRule="auto"/>
              <w:jc w:val="both"/>
              <w:rPr>
                <w:rFonts w:ascii="Arial" w:eastAsia="Times New Roman" w:hAnsi="Arial" w:cs="Arial"/>
                <w:b/>
                <w:bCs/>
                <w:sz w:val="20"/>
                <w:szCs w:val="20"/>
                <w:highlight w:val="yellow"/>
                <w:lang w:val="en-IN"/>
              </w:rPr>
            </w:pPr>
            <w:r w:rsidRPr="006950B6">
              <w:rPr>
                <w:rFonts w:ascii="Arial" w:eastAsia="Times New Roman" w:hAnsi="Arial" w:cs="Arial"/>
                <w:b/>
                <w:bCs/>
                <w:sz w:val="20"/>
                <w:szCs w:val="20"/>
                <w:highlight w:val="yellow"/>
                <w:lang w:val="en-IN"/>
              </w:rPr>
              <w:t>Parameters</w:t>
            </w:r>
          </w:p>
        </w:tc>
        <w:tc>
          <w:tcPr>
            <w:tcW w:w="0" w:type="auto"/>
            <w:tcBorders>
              <w:top w:val="single" w:sz="4" w:space="0" w:color="auto"/>
            </w:tcBorders>
            <w:vAlign w:val="center"/>
            <w:hideMark/>
          </w:tcPr>
          <w:p w14:paraId="7730B9E3" w14:textId="77777777" w:rsidR="002B23F6" w:rsidRPr="006950B6" w:rsidRDefault="002B23F6" w:rsidP="00662CB0">
            <w:pPr>
              <w:spacing w:after="0" w:line="240" w:lineRule="auto"/>
              <w:jc w:val="both"/>
              <w:rPr>
                <w:rFonts w:ascii="Arial" w:eastAsia="Times New Roman" w:hAnsi="Arial" w:cs="Arial"/>
                <w:b/>
                <w:bCs/>
                <w:sz w:val="20"/>
                <w:szCs w:val="20"/>
                <w:highlight w:val="yellow"/>
                <w:lang w:val="en-IN"/>
              </w:rPr>
            </w:pPr>
            <w:r w:rsidRPr="006950B6">
              <w:rPr>
                <w:rFonts w:ascii="Arial" w:eastAsia="Times New Roman" w:hAnsi="Arial" w:cs="Arial"/>
                <w:b/>
                <w:bCs/>
                <w:sz w:val="20"/>
                <w:szCs w:val="20"/>
                <w:highlight w:val="yellow"/>
                <w:lang w:val="en-IN"/>
              </w:rPr>
              <w:t>Local Variety</w:t>
            </w:r>
          </w:p>
        </w:tc>
        <w:tc>
          <w:tcPr>
            <w:tcW w:w="0" w:type="auto"/>
            <w:tcBorders>
              <w:top w:val="single" w:sz="4" w:space="0" w:color="auto"/>
            </w:tcBorders>
            <w:vAlign w:val="center"/>
            <w:hideMark/>
          </w:tcPr>
          <w:p w14:paraId="23582F08" w14:textId="77777777" w:rsidR="002B23F6" w:rsidRPr="006950B6" w:rsidRDefault="002B23F6" w:rsidP="00662CB0">
            <w:pPr>
              <w:spacing w:after="0" w:line="240" w:lineRule="auto"/>
              <w:jc w:val="both"/>
              <w:rPr>
                <w:rFonts w:ascii="Arial" w:eastAsia="Times New Roman" w:hAnsi="Arial" w:cs="Arial"/>
                <w:b/>
                <w:bCs/>
                <w:sz w:val="20"/>
                <w:szCs w:val="20"/>
                <w:highlight w:val="yellow"/>
                <w:lang w:val="en-IN"/>
              </w:rPr>
            </w:pPr>
            <w:r w:rsidRPr="006950B6">
              <w:rPr>
                <w:rFonts w:ascii="Arial" w:eastAsia="Times New Roman" w:hAnsi="Arial" w:cs="Arial"/>
                <w:b/>
                <w:bCs/>
                <w:sz w:val="20"/>
                <w:szCs w:val="20"/>
                <w:highlight w:val="yellow"/>
                <w:lang w:val="en-IN"/>
              </w:rPr>
              <w:t>Bhima Super</w:t>
            </w:r>
          </w:p>
        </w:tc>
      </w:tr>
      <w:tr w:rsidR="002B23F6" w:rsidRPr="006950B6" w14:paraId="794CB0CE" w14:textId="77777777" w:rsidTr="006950B6">
        <w:trPr>
          <w:trHeight w:val="203"/>
          <w:tblCellSpacing w:w="15" w:type="dxa"/>
          <w:jc w:val="center"/>
        </w:trPr>
        <w:tc>
          <w:tcPr>
            <w:tcW w:w="0" w:type="auto"/>
            <w:vAlign w:val="center"/>
            <w:hideMark/>
          </w:tcPr>
          <w:p w14:paraId="6B363688" w14:textId="77777777" w:rsidR="002B23F6" w:rsidRPr="006950B6" w:rsidRDefault="002B23F6" w:rsidP="00662CB0">
            <w:pPr>
              <w:spacing w:after="0" w:line="240" w:lineRule="auto"/>
              <w:jc w:val="both"/>
              <w:rPr>
                <w:rFonts w:ascii="Arial" w:eastAsia="Times New Roman" w:hAnsi="Arial" w:cs="Arial"/>
                <w:b/>
                <w:bCs/>
                <w:sz w:val="20"/>
                <w:szCs w:val="20"/>
                <w:highlight w:val="yellow"/>
                <w:lang w:val="en-IN"/>
              </w:rPr>
            </w:pPr>
          </w:p>
        </w:tc>
        <w:tc>
          <w:tcPr>
            <w:tcW w:w="0" w:type="auto"/>
            <w:vAlign w:val="center"/>
            <w:hideMark/>
          </w:tcPr>
          <w:p w14:paraId="19D6E10A" w14:textId="77777777" w:rsidR="002B23F6" w:rsidRPr="006950B6" w:rsidRDefault="002B23F6" w:rsidP="00662CB0">
            <w:pPr>
              <w:spacing w:after="0" w:line="240" w:lineRule="auto"/>
              <w:jc w:val="both"/>
              <w:rPr>
                <w:rFonts w:ascii="Arial" w:eastAsia="Times New Roman" w:hAnsi="Arial" w:cs="Arial"/>
                <w:sz w:val="20"/>
                <w:szCs w:val="20"/>
                <w:highlight w:val="yellow"/>
                <w:lang w:val="en-IN"/>
              </w:rPr>
            </w:pPr>
          </w:p>
        </w:tc>
        <w:tc>
          <w:tcPr>
            <w:tcW w:w="0" w:type="auto"/>
            <w:tcBorders>
              <w:top w:val="single" w:sz="4" w:space="0" w:color="auto"/>
            </w:tcBorders>
            <w:vAlign w:val="center"/>
            <w:hideMark/>
          </w:tcPr>
          <w:p w14:paraId="63840A2F" w14:textId="3A2CE5FC"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sz w:val="20"/>
                <w:szCs w:val="20"/>
                <w:highlight w:val="yellow"/>
                <w:lang w:val="en-IN"/>
              </w:rPr>
              <w:t>20</w:t>
            </w:r>
            <w:r w:rsidR="00B44227" w:rsidRPr="006950B6">
              <w:rPr>
                <w:rFonts w:ascii="Arial" w:eastAsia="Times New Roman" w:hAnsi="Arial" w:cs="Arial"/>
                <w:sz w:val="20"/>
                <w:szCs w:val="20"/>
                <w:highlight w:val="yellow"/>
                <w:lang w:val="en-IN"/>
              </w:rPr>
              <w:t>21</w:t>
            </w:r>
            <w:r w:rsidRPr="006950B6">
              <w:rPr>
                <w:rFonts w:ascii="Arial" w:eastAsia="Times New Roman" w:hAnsi="Arial" w:cs="Arial"/>
                <w:sz w:val="20"/>
                <w:szCs w:val="20"/>
                <w:highlight w:val="yellow"/>
                <w:lang w:val="en-IN"/>
              </w:rPr>
              <w:t>-</w:t>
            </w:r>
            <w:r w:rsidR="00B44227" w:rsidRPr="006950B6">
              <w:rPr>
                <w:rFonts w:ascii="Arial" w:eastAsia="Times New Roman" w:hAnsi="Arial" w:cs="Arial"/>
                <w:sz w:val="20"/>
                <w:szCs w:val="20"/>
                <w:highlight w:val="yellow"/>
                <w:lang w:val="en-IN"/>
              </w:rPr>
              <w:t>22</w:t>
            </w:r>
          </w:p>
        </w:tc>
        <w:tc>
          <w:tcPr>
            <w:tcW w:w="0" w:type="auto"/>
            <w:tcBorders>
              <w:top w:val="single" w:sz="4" w:space="0" w:color="auto"/>
            </w:tcBorders>
            <w:vAlign w:val="center"/>
            <w:hideMark/>
          </w:tcPr>
          <w:p w14:paraId="5B8786D6" w14:textId="123E9AFE"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sz w:val="20"/>
                <w:szCs w:val="20"/>
                <w:highlight w:val="yellow"/>
                <w:lang w:val="en-IN"/>
              </w:rPr>
              <w:t>20</w:t>
            </w:r>
            <w:r w:rsidR="00B44227" w:rsidRPr="006950B6">
              <w:rPr>
                <w:rFonts w:ascii="Arial" w:eastAsia="Times New Roman" w:hAnsi="Arial" w:cs="Arial"/>
                <w:sz w:val="20"/>
                <w:szCs w:val="20"/>
                <w:highlight w:val="yellow"/>
                <w:lang w:val="en-IN"/>
              </w:rPr>
              <w:t>21</w:t>
            </w:r>
            <w:r w:rsidRPr="006950B6">
              <w:rPr>
                <w:rFonts w:ascii="Arial" w:eastAsia="Times New Roman" w:hAnsi="Arial" w:cs="Arial"/>
                <w:sz w:val="20"/>
                <w:szCs w:val="20"/>
                <w:highlight w:val="yellow"/>
                <w:lang w:val="en-IN"/>
              </w:rPr>
              <w:t>-</w:t>
            </w:r>
            <w:r w:rsidR="00B44227" w:rsidRPr="006950B6">
              <w:rPr>
                <w:rFonts w:ascii="Arial" w:eastAsia="Times New Roman" w:hAnsi="Arial" w:cs="Arial"/>
                <w:sz w:val="20"/>
                <w:szCs w:val="20"/>
                <w:highlight w:val="yellow"/>
                <w:lang w:val="en-IN"/>
              </w:rPr>
              <w:t>22</w:t>
            </w:r>
          </w:p>
        </w:tc>
      </w:tr>
      <w:tr w:rsidR="002B23F6" w:rsidRPr="006950B6" w14:paraId="4E2A94F1" w14:textId="77777777" w:rsidTr="006950B6">
        <w:trPr>
          <w:trHeight w:val="212"/>
          <w:tblCellSpacing w:w="15" w:type="dxa"/>
          <w:jc w:val="center"/>
        </w:trPr>
        <w:tc>
          <w:tcPr>
            <w:tcW w:w="0" w:type="auto"/>
            <w:tcBorders>
              <w:top w:val="single" w:sz="4" w:space="0" w:color="auto"/>
            </w:tcBorders>
            <w:vAlign w:val="center"/>
            <w:hideMark/>
          </w:tcPr>
          <w:p w14:paraId="0E27D2B7" w14:textId="77777777"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sz w:val="20"/>
                <w:szCs w:val="20"/>
                <w:highlight w:val="yellow"/>
                <w:lang w:val="en-IN"/>
              </w:rPr>
              <w:t>1</w:t>
            </w:r>
          </w:p>
        </w:tc>
        <w:tc>
          <w:tcPr>
            <w:tcW w:w="0" w:type="auto"/>
            <w:tcBorders>
              <w:top w:val="single" w:sz="4" w:space="0" w:color="auto"/>
            </w:tcBorders>
            <w:vAlign w:val="center"/>
            <w:hideMark/>
          </w:tcPr>
          <w:p w14:paraId="28CB5DF8" w14:textId="77777777"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sz w:val="20"/>
                <w:szCs w:val="20"/>
                <w:highlight w:val="yellow"/>
                <w:lang w:val="en-IN"/>
              </w:rPr>
              <w:t>Total Yield (q ha</w:t>
            </w:r>
            <w:r w:rsidRPr="006950B6">
              <w:rPr>
                <w:rFonts w:ascii="Cambria Math" w:eastAsia="Times New Roman" w:hAnsi="Cambria Math" w:cs="Cambria Math"/>
                <w:sz w:val="20"/>
                <w:szCs w:val="20"/>
                <w:highlight w:val="yellow"/>
                <w:lang w:val="en-IN"/>
              </w:rPr>
              <w:t>⁻</w:t>
            </w:r>
            <w:r w:rsidRPr="006950B6">
              <w:rPr>
                <w:rFonts w:ascii="Arial" w:eastAsia="Times New Roman" w:hAnsi="Arial" w:cs="Arial"/>
                <w:sz w:val="20"/>
                <w:szCs w:val="20"/>
                <w:highlight w:val="yellow"/>
                <w:lang w:val="en-IN"/>
              </w:rPr>
              <w:t>¹)</w:t>
            </w:r>
          </w:p>
        </w:tc>
        <w:tc>
          <w:tcPr>
            <w:tcW w:w="0" w:type="auto"/>
            <w:tcBorders>
              <w:top w:val="single" w:sz="4" w:space="0" w:color="auto"/>
            </w:tcBorders>
            <w:vAlign w:val="center"/>
            <w:hideMark/>
          </w:tcPr>
          <w:p w14:paraId="1CE0C25F" w14:textId="7EB6AFBD"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sz w:val="20"/>
                <w:szCs w:val="20"/>
                <w:highlight w:val="yellow"/>
                <w:lang w:val="en-IN"/>
              </w:rPr>
              <w:t>1</w:t>
            </w:r>
            <w:r w:rsidR="00B44227" w:rsidRPr="006950B6">
              <w:rPr>
                <w:rFonts w:ascii="Arial" w:eastAsia="Times New Roman" w:hAnsi="Arial" w:cs="Arial"/>
                <w:sz w:val="20"/>
                <w:szCs w:val="20"/>
                <w:highlight w:val="yellow"/>
                <w:lang w:val="en-IN"/>
              </w:rPr>
              <w:t>52.6</w:t>
            </w:r>
          </w:p>
        </w:tc>
        <w:tc>
          <w:tcPr>
            <w:tcW w:w="0" w:type="auto"/>
            <w:tcBorders>
              <w:top w:val="single" w:sz="4" w:space="0" w:color="auto"/>
            </w:tcBorders>
            <w:vAlign w:val="center"/>
            <w:hideMark/>
          </w:tcPr>
          <w:p w14:paraId="758D70BA" w14:textId="4CA7D62B" w:rsidR="002B23F6" w:rsidRPr="006950B6" w:rsidRDefault="00B44227"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sz w:val="20"/>
                <w:szCs w:val="20"/>
                <w:highlight w:val="yellow"/>
                <w:lang w:val="en-IN"/>
              </w:rPr>
              <w:t xml:space="preserve"> 160.4</w:t>
            </w:r>
          </w:p>
        </w:tc>
      </w:tr>
      <w:tr w:rsidR="002B23F6" w:rsidRPr="006950B6" w14:paraId="7E7F5FB9" w14:textId="77777777" w:rsidTr="006950B6">
        <w:trPr>
          <w:trHeight w:val="203"/>
          <w:tblCellSpacing w:w="15" w:type="dxa"/>
          <w:jc w:val="center"/>
        </w:trPr>
        <w:tc>
          <w:tcPr>
            <w:tcW w:w="0" w:type="auto"/>
            <w:vAlign w:val="center"/>
            <w:hideMark/>
          </w:tcPr>
          <w:p w14:paraId="52A0C7AD" w14:textId="77777777"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sz w:val="20"/>
                <w:szCs w:val="20"/>
                <w:highlight w:val="yellow"/>
                <w:lang w:val="en-IN"/>
              </w:rPr>
              <w:t>2</w:t>
            </w:r>
          </w:p>
        </w:tc>
        <w:tc>
          <w:tcPr>
            <w:tcW w:w="0" w:type="auto"/>
            <w:vAlign w:val="center"/>
            <w:hideMark/>
          </w:tcPr>
          <w:p w14:paraId="7D1927CA" w14:textId="77777777"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sz w:val="20"/>
                <w:szCs w:val="20"/>
                <w:highlight w:val="yellow"/>
                <w:lang w:val="en-IN"/>
              </w:rPr>
              <w:t>Gross Cost (₹ ha</w:t>
            </w:r>
            <w:r w:rsidRPr="006950B6">
              <w:rPr>
                <w:rFonts w:ascii="Cambria Math" w:eastAsia="Times New Roman" w:hAnsi="Cambria Math" w:cs="Cambria Math"/>
                <w:sz w:val="20"/>
                <w:szCs w:val="20"/>
                <w:highlight w:val="yellow"/>
                <w:lang w:val="en-IN"/>
              </w:rPr>
              <w:t>⁻</w:t>
            </w:r>
            <w:r w:rsidRPr="006950B6">
              <w:rPr>
                <w:rFonts w:ascii="Arial" w:eastAsia="Times New Roman" w:hAnsi="Arial" w:cs="Arial"/>
                <w:sz w:val="20"/>
                <w:szCs w:val="20"/>
                <w:highlight w:val="yellow"/>
                <w:lang w:val="en-IN"/>
              </w:rPr>
              <w:t>¹)</w:t>
            </w:r>
          </w:p>
        </w:tc>
        <w:tc>
          <w:tcPr>
            <w:tcW w:w="0" w:type="auto"/>
            <w:vAlign w:val="center"/>
            <w:hideMark/>
          </w:tcPr>
          <w:p w14:paraId="49185875" w14:textId="77777777"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sz w:val="20"/>
                <w:szCs w:val="20"/>
                <w:highlight w:val="yellow"/>
                <w:lang w:val="en-IN"/>
              </w:rPr>
              <w:t>105,280</w:t>
            </w:r>
          </w:p>
        </w:tc>
        <w:tc>
          <w:tcPr>
            <w:tcW w:w="0" w:type="auto"/>
            <w:vAlign w:val="center"/>
            <w:hideMark/>
          </w:tcPr>
          <w:p w14:paraId="460665E2" w14:textId="77777777"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sz w:val="20"/>
                <w:szCs w:val="20"/>
                <w:highlight w:val="yellow"/>
                <w:lang w:val="en-IN"/>
              </w:rPr>
              <w:t>120,764</w:t>
            </w:r>
          </w:p>
        </w:tc>
      </w:tr>
      <w:tr w:rsidR="002B23F6" w:rsidRPr="006950B6" w14:paraId="379FACB8" w14:textId="77777777" w:rsidTr="006950B6">
        <w:trPr>
          <w:trHeight w:val="212"/>
          <w:tblCellSpacing w:w="15" w:type="dxa"/>
          <w:jc w:val="center"/>
        </w:trPr>
        <w:tc>
          <w:tcPr>
            <w:tcW w:w="0" w:type="auto"/>
            <w:vAlign w:val="center"/>
            <w:hideMark/>
          </w:tcPr>
          <w:p w14:paraId="77882720" w14:textId="77777777"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sz w:val="20"/>
                <w:szCs w:val="20"/>
                <w:highlight w:val="yellow"/>
                <w:lang w:val="en-IN"/>
              </w:rPr>
              <w:t>3</w:t>
            </w:r>
          </w:p>
        </w:tc>
        <w:tc>
          <w:tcPr>
            <w:tcW w:w="0" w:type="auto"/>
            <w:vAlign w:val="center"/>
            <w:hideMark/>
          </w:tcPr>
          <w:p w14:paraId="3D51FE9F" w14:textId="77777777"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sz w:val="20"/>
                <w:szCs w:val="20"/>
                <w:highlight w:val="yellow"/>
                <w:lang w:val="en-IN"/>
              </w:rPr>
              <w:t>Gross Returns (₹ ha</w:t>
            </w:r>
            <w:r w:rsidRPr="006950B6">
              <w:rPr>
                <w:rFonts w:ascii="Cambria Math" w:eastAsia="Times New Roman" w:hAnsi="Cambria Math" w:cs="Cambria Math"/>
                <w:sz w:val="20"/>
                <w:szCs w:val="20"/>
                <w:highlight w:val="yellow"/>
                <w:lang w:val="en-IN"/>
              </w:rPr>
              <w:t>⁻</w:t>
            </w:r>
            <w:r w:rsidRPr="006950B6">
              <w:rPr>
                <w:rFonts w:ascii="Arial" w:eastAsia="Times New Roman" w:hAnsi="Arial" w:cs="Arial"/>
                <w:sz w:val="20"/>
                <w:szCs w:val="20"/>
                <w:highlight w:val="yellow"/>
                <w:lang w:val="en-IN"/>
              </w:rPr>
              <w:t>¹)</w:t>
            </w:r>
          </w:p>
        </w:tc>
        <w:tc>
          <w:tcPr>
            <w:tcW w:w="0" w:type="auto"/>
            <w:vAlign w:val="center"/>
            <w:hideMark/>
          </w:tcPr>
          <w:p w14:paraId="0DA1E751" w14:textId="77777777"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sz w:val="20"/>
                <w:szCs w:val="20"/>
                <w:highlight w:val="yellow"/>
                <w:lang w:val="en-IN"/>
              </w:rPr>
              <w:t>192,480</w:t>
            </w:r>
          </w:p>
        </w:tc>
        <w:tc>
          <w:tcPr>
            <w:tcW w:w="0" w:type="auto"/>
            <w:vAlign w:val="center"/>
            <w:hideMark/>
          </w:tcPr>
          <w:p w14:paraId="1733C1D4" w14:textId="77777777"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sz w:val="20"/>
                <w:szCs w:val="20"/>
                <w:highlight w:val="yellow"/>
                <w:lang w:val="en-IN"/>
              </w:rPr>
              <w:t>228,900</w:t>
            </w:r>
          </w:p>
        </w:tc>
      </w:tr>
      <w:tr w:rsidR="002B23F6" w:rsidRPr="006950B6" w14:paraId="535AE7A6" w14:textId="77777777" w:rsidTr="006950B6">
        <w:trPr>
          <w:trHeight w:val="203"/>
          <w:tblCellSpacing w:w="15" w:type="dxa"/>
          <w:jc w:val="center"/>
        </w:trPr>
        <w:tc>
          <w:tcPr>
            <w:tcW w:w="0" w:type="auto"/>
            <w:vAlign w:val="center"/>
            <w:hideMark/>
          </w:tcPr>
          <w:p w14:paraId="03B1EC5C" w14:textId="77777777"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sz w:val="20"/>
                <w:szCs w:val="20"/>
                <w:highlight w:val="yellow"/>
                <w:lang w:val="en-IN"/>
              </w:rPr>
              <w:t>4</w:t>
            </w:r>
          </w:p>
        </w:tc>
        <w:tc>
          <w:tcPr>
            <w:tcW w:w="0" w:type="auto"/>
            <w:vAlign w:val="center"/>
            <w:hideMark/>
          </w:tcPr>
          <w:p w14:paraId="5BC52CE8" w14:textId="77777777"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sz w:val="20"/>
                <w:szCs w:val="20"/>
                <w:highlight w:val="yellow"/>
                <w:lang w:val="en-IN"/>
              </w:rPr>
              <w:t>Net Returns (₹ ha</w:t>
            </w:r>
            <w:r w:rsidRPr="006950B6">
              <w:rPr>
                <w:rFonts w:ascii="Cambria Math" w:eastAsia="Times New Roman" w:hAnsi="Cambria Math" w:cs="Cambria Math"/>
                <w:sz w:val="20"/>
                <w:szCs w:val="20"/>
                <w:highlight w:val="yellow"/>
                <w:lang w:val="en-IN"/>
              </w:rPr>
              <w:t>⁻</w:t>
            </w:r>
            <w:r w:rsidRPr="006950B6">
              <w:rPr>
                <w:rFonts w:ascii="Arial" w:eastAsia="Times New Roman" w:hAnsi="Arial" w:cs="Arial"/>
                <w:sz w:val="20"/>
                <w:szCs w:val="20"/>
                <w:highlight w:val="yellow"/>
                <w:lang w:val="en-IN"/>
              </w:rPr>
              <w:t>¹)</w:t>
            </w:r>
          </w:p>
        </w:tc>
        <w:tc>
          <w:tcPr>
            <w:tcW w:w="0" w:type="auto"/>
            <w:vAlign w:val="center"/>
            <w:hideMark/>
          </w:tcPr>
          <w:p w14:paraId="3658B5EB" w14:textId="77777777"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sz w:val="20"/>
                <w:szCs w:val="20"/>
                <w:highlight w:val="yellow"/>
                <w:lang w:val="en-IN"/>
              </w:rPr>
              <w:t>87,199</w:t>
            </w:r>
          </w:p>
        </w:tc>
        <w:tc>
          <w:tcPr>
            <w:tcW w:w="0" w:type="auto"/>
            <w:vAlign w:val="center"/>
            <w:hideMark/>
          </w:tcPr>
          <w:p w14:paraId="0447D8F5" w14:textId="77777777"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sz w:val="20"/>
                <w:szCs w:val="20"/>
                <w:highlight w:val="yellow"/>
                <w:lang w:val="en-IN"/>
              </w:rPr>
              <w:t>108,135</w:t>
            </w:r>
          </w:p>
        </w:tc>
      </w:tr>
      <w:tr w:rsidR="002B23F6" w:rsidRPr="00662CB0" w14:paraId="74FEDD4A" w14:textId="77777777" w:rsidTr="006950B6">
        <w:trPr>
          <w:trHeight w:val="203"/>
          <w:tblCellSpacing w:w="15" w:type="dxa"/>
          <w:jc w:val="center"/>
        </w:trPr>
        <w:tc>
          <w:tcPr>
            <w:tcW w:w="0" w:type="auto"/>
            <w:tcBorders>
              <w:bottom w:val="single" w:sz="4" w:space="0" w:color="auto"/>
            </w:tcBorders>
            <w:vAlign w:val="center"/>
            <w:hideMark/>
          </w:tcPr>
          <w:p w14:paraId="6175B16E" w14:textId="77777777"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sz w:val="20"/>
                <w:szCs w:val="20"/>
                <w:highlight w:val="yellow"/>
                <w:lang w:val="en-IN"/>
              </w:rPr>
              <w:t>5</w:t>
            </w:r>
          </w:p>
        </w:tc>
        <w:tc>
          <w:tcPr>
            <w:tcW w:w="0" w:type="auto"/>
            <w:tcBorders>
              <w:bottom w:val="single" w:sz="4" w:space="0" w:color="auto"/>
            </w:tcBorders>
            <w:vAlign w:val="center"/>
            <w:hideMark/>
          </w:tcPr>
          <w:p w14:paraId="7B24B8E7" w14:textId="77777777"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sz w:val="20"/>
                <w:szCs w:val="20"/>
                <w:highlight w:val="yellow"/>
                <w:lang w:val="en-IN"/>
              </w:rPr>
              <w:t>Benefit–Cost Ratio</w:t>
            </w:r>
          </w:p>
        </w:tc>
        <w:tc>
          <w:tcPr>
            <w:tcW w:w="0" w:type="auto"/>
            <w:tcBorders>
              <w:bottom w:val="single" w:sz="4" w:space="0" w:color="auto"/>
            </w:tcBorders>
            <w:vAlign w:val="center"/>
            <w:hideMark/>
          </w:tcPr>
          <w:p w14:paraId="4AD65DFE" w14:textId="77777777"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sz w:val="20"/>
                <w:szCs w:val="20"/>
                <w:highlight w:val="yellow"/>
                <w:lang w:val="en-IN"/>
              </w:rPr>
              <w:t>1.82</w:t>
            </w:r>
          </w:p>
        </w:tc>
        <w:tc>
          <w:tcPr>
            <w:tcW w:w="0" w:type="auto"/>
            <w:tcBorders>
              <w:bottom w:val="single" w:sz="4" w:space="0" w:color="auto"/>
            </w:tcBorders>
            <w:vAlign w:val="center"/>
            <w:hideMark/>
          </w:tcPr>
          <w:p w14:paraId="1CE0BEA7" w14:textId="77777777" w:rsidR="002B23F6" w:rsidRPr="00662CB0" w:rsidRDefault="002B23F6" w:rsidP="00662CB0">
            <w:pPr>
              <w:spacing w:after="0" w:line="240" w:lineRule="auto"/>
              <w:jc w:val="both"/>
              <w:rPr>
                <w:rFonts w:ascii="Arial" w:eastAsia="Times New Roman" w:hAnsi="Arial" w:cs="Arial"/>
                <w:sz w:val="20"/>
                <w:szCs w:val="20"/>
                <w:lang w:val="en-IN"/>
              </w:rPr>
            </w:pPr>
            <w:r w:rsidRPr="006950B6">
              <w:rPr>
                <w:rFonts w:ascii="Arial" w:eastAsia="Times New Roman" w:hAnsi="Arial" w:cs="Arial"/>
                <w:sz w:val="20"/>
                <w:szCs w:val="20"/>
                <w:highlight w:val="yellow"/>
                <w:lang w:val="en-IN"/>
              </w:rPr>
              <w:t>1.90</w:t>
            </w:r>
          </w:p>
        </w:tc>
      </w:tr>
    </w:tbl>
    <w:p w14:paraId="707C4ACE" w14:textId="5B4813F3" w:rsidR="002B23F6" w:rsidRPr="00662CB0" w:rsidRDefault="002B23F6" w:rsidP="00662CB0">
      <w:pPr>
        <w:spacing w:after="0" w:line="240" w:lineRule="auto"/>
        <w:jc w:val="both"/>
        <w:rPr>
          <w:rFonts w:ascii="Arial" w:eastAsia="Times New Roman" w:hAnsi="Arial" w:cs="Arial"/>
          <w:sz w:val="20"/>
          <w:szCs w:val="20"/>
          <w:lang w:val="en-IN"/>
        </w:rPr>
      </w:pPr>
    </w:p>
    <w:p w14:paraId="6B4EA277" w14:textId="77777777" w:rsidR="002B23F6" w:rsidRPr="00662CB0" w:rsidRDefault="002B23F6" w:rsidP="00662CB0">
      <w:pPr>
        <w:spacing w:after="0" w:line="240" w:lineRule="auto"/>
        <w:jc w:val="both"/>
        <w:rPr>
          <w:rFonts w:ascii="Arial" w:eastAsia="Times New Roman" w:hAnsi="Arial" w:cs="Arial"/>
          <w:sz w:val="20"/>
          <w:szCs w:val="20"/>
          <w:lang w:val="en-IN"/>
        </w:rPr>
      </w:pPr>
      <w:r w:rsidRPr="00662CB0">
        <w:rPr>
          <w:rFonts w:ascii="Arial" w:eastAsia="Times New Roman" w:hAnsi="Arial" w:cs="Arial"/>
          <w:sz w:val="20"/>
          <w:szCs w:val="20"/>
          <w:lang w:val="en-IN"/>
        </w:rPr>
        <w:t xml:space="preserve">The mean yield of </w:t>
      </w:r>
      <w:r w:rsidRPr="00662CB0">
        <w:rPr>
          <w:rFonts w:ascii="Arial" w:eastAsia="Times New Roman" w:hAnsi="Arial" w:cs="Arial"/>
          <w:i/>
          <w:iCs/>
          <w:sz w:val="20"/>
          <w:szCs w:val="20"/>
          <w:lang w:val="en-IN"/>
        </w:rPr>
        <w:t>Bhima Super</w:t>
      </w:r>
      <w:r w:rsidRPr="00662CB0">
        <w:rPr>
          <w:rFonts w:ascii="Arial" w:eastAsia="Times New Roman" w:hAnsi="Arial" w:cs="Arial"/>
          <w:sz w:val="20"/>
          <w:szCs w:val="20"/>
          <w:lang w:val="en-IN"/>
        </w:rPr>
        <w:t xml:space="preserve"> was 223.7 q ha</w:t>
      </w:r>
      <w:r w:rsidRPr="00662CB0">
        <w:rPr>
          <w:rFonts w:ascii="Cambria Math" w:eastAsia="Times New Roman" w:hAnsi="Cambria Math" w:cs="Cambria Math"/>
          <w:sz w:val="20"/>
          <w:szCs w:val="20"/>
          <w:lang w:val="en-IN"/>
        </w:rPr>
        <w:t>⁻</w:t>
      </w:r>
      <w:r w:rsidRPr="00662CB0">
        <w:rPr>
          <w:rFonts w:ascii="Arial" w:eastAsia="Times New Roman" w:hAnsi="Arial" w:cs="Arial"/>
          <w:sz w:val="20"/>
          <w:szCs w:val="20"/>
          <w:lang w:val="en-IN"/>
        </w:rPr>
        <w:t>¹, representing a 49% increase over the local check (150.1 q ha</w:t>
      </w:r>
      <w:r w:rsidRPr="00662CB0">
        <w:rPr>
          <w:rFonts w:ascii="Cambria Math" w:eastAsia="Times New Roman" w:hAnsi="Cambria Math" w:cs="Cambria Math"/>
          <w:sz w:val="20"/>
          <w:szCs w:val="20"/>
          <w:lang w:val="en-IN"/>
        </w:rPr>
        <w:t>⁻</w:t>
      </w:r>
      <w:r w:rsidRPr="00662CB0">
        <w:rPr>
          <w:rFonts w:ascii="Arial" w:eastAsia="Times New Roman" w:hAnsi="Arial" w:cs="Arial"/>
          <w:sz w:val="20"/>
          <w:szCs w:val="20"/>
          <w:lang w:val="en-IN"/>
        </w:rPr>
        <w:t xml:space="preserve">¹). The economic return analysis revealed a significantly higher B:C ratio (2.82) in </w:t>
      </w:r>
      <w:r w:rsidRPr="00662CB0">
        <w:rPr>
          <w:rFonts w:ascii="Arial" w:eastAsia="Times New Roman" w:hAnsi="Arial" w:cs="Arial"/>
          <w:i/>
          <w:iCs/>
          <w:sz w:val="20"/>
          <w:szCs w:val="20"/>
          <w:lang w:val="en-IN"/>
        </w:rPr>
        <w:t>Bhima Super</w:t>
      </w:r>
      <w:r w:rsidRPr="00662CB0">
        <w:rPr>
          <w:rFonts w:ascii="Arial" w:eastAsia="Times New Roman" w:hAnsi="Arial" w:cs="Arial"/>
          <w:sz w:val="20"/>
          <w:szCs w:val="20"/>
          <w:lang w:val="en-IN"/>
        </w:rPr>
        <w:t xml:space="preserve"> compared to 1.82 in the local variety. The net return of ₹208,219 ha</w:t>
      </w:r>
      <w:r w:rsidRPr="00662CB0">
        <w:rPr>
          <w:rFonts w:ascii="Cambria Math" w:eastAsia="Times New Roman" w:hAnsi="Cambria Math" w:cs="Cambria Math"/>
          <w:sz w:val="20"/>
          <w:szCs w:val="20"/>
          <w:lang w:val="en-IN"/>
        </w:rPr>
        <w:t>⁻</w:t>
      </w:r>
      <w:r w:rsidRPr="00662CB0">
        <w:rPr>
          <w:rFonts w:ascii="Arial" w:eastAsia="Times New Roman" w:hAnsi="Arial" w:cs="Arial"/>
          <w:sz w:val="20"/>
          <w:szCs w:val="20"/>
          <w:lang w:val="en-IN"/>
        </w:rPr>
        <w:t xml:space="preserve">¹ demonstrates the economic viability of </w:t>
      </w:r>
      <w:r w:rsidRPr="00662CB0">
        <w:rPr>
          <w:rFonts w:ascii="Arial" w:eastAsia="Times New Roman" w:hAnsi="Arial" w:cs="Arial"/>
          <w:i/>
          <w:iCs/>
          <w:sz w:val="20"/>
          <w:szCs w:val="20"/>
          <w:lang w:val="en-IN"/>
        </w:rPr>
        <w:t>Bhima Super</w:t>
      </w:r>
      <w:r w:rsidRPr="00662CB0">
        <w:rPr>
          <w:rFonts w:ascii="Arial" w:eastAsia="Times New Roman" w:hAnsi="Arial" w:cs="Arial"/>
          <w:sz w:val="20"/>
          <w:szCs w:val="20"/>
          <w:lang w:val="en-IN"/>
        </w:rPr>
        <w:t xml:space="preserve"> for late kharif cultivation under rainfed conditions.</w:t>
      </w:r>
    </w:p>
    <w:p w14:paraId="336E9C48" w14:textId="33FB101F" w:rsidR="002B23F6" w:rsidRPr="00662CB0" w:rsidRDefault="002B23F6" w:rsidP="00662CB0">
      <w:pPr>
        <w:spacing w:after="0" w:line="240" w:lineRule="auto"/>
        <w:jc w:val="both"/>
        <w:rPr>
          <w:rFonts w:ascii="Arial" w:eastAsia="Times New Roman" w:hAnsi="Arial" w:cs="Arial"/>
          <w:sz w:val="20"/>
          <w:szCs w:val="20"/>
          <w:lang w:val="en-IN"/>
        </w:rPr>
      </w:pPr>
      <w:r w:rsidRPr="00662CB0">
        <w:rPr>
          <w:rFonts w:ascii="Arial" w:eastAsia="Times New Roman" w:hAnsi="Arial" w:cs="Arial"/>
          <w:sz w:val="20"/>
          <w:szCs w:val="20"/>
          <w:lang w:val="en-IN"/>
        </w:rPr>
        <w:t>These results agree with (</w:t>
      </w:r>
      <w:proofErr w:type="spellStart"/>
      <w:r w:rsidRPr="00662CB0">
        <w:rPr>
          <w:rFonts w:ascii="Arial" w:eastAsia="Times New Roman" w:hAnsi="Arial" w:cs="Arial"/>
          <w:sz w:val="20"/>
          <w:szCs w:val="20"/>
          <w:lang w:val="en-IN"/>
        </w:rPr>
        <w:t>Kerur</w:t>
      </w:r>
      <w:proofErr w:type="spellEnd"/>
      <w:r w:rsidRPr="00662CB0">
        <w:rPr>
          <w:rFonts w:ascii="Arial" w:eastAsia="Times New Roman" w:hAnsi="Arial" w:cs="Arial"/>
          <w:sz w:val="20"/>
          <w:szCs w:val="20"/>
          <w:lang w:val="en-IN"/>
        </w:rPr>
        <w:t xml:space="preserve"> et al., 2016), who reported similar profitability and yield advantages of </w:t>
      </w:r>
      <w:r w:rsidRPr="00662CB0">
        <w:rPr>
          <w:rFonts w:ascii="Arial" w:eastAsia="Times New Roman" w:hAnsi="Arial" w:cs="Arial"/>
          <w:i/>
          <w:iCs/>
          <w:sz w:val="20"/>
          <w:szCs w:val="20"/>
          <w:lang w:val="en-IN"/>
        </w:rPr>
        <w:t>Bhima Super</w:t>
      </w:r>
      <w:r w:rsidRPr="00662CB0">
        <w:rPr>
          <w:rFonts w:ascii="Arial" w:eastAsia="Times New Roman" w:hAnsi="Arial" w:cs="Arial"/>
          <w:sz w:val="20"/>
          <w:szCs w:val="20"/>
          <w:lang w:val="en-IN"/>
        </w:rPr>
        <w:t xml:space="preserve"> under Karnataka’s agro-ecosystem. The superior yield performance of </w:t>
      </w:r>
      <w:r w:rsidRPr="00662CB0">
        <w:rPr>
          <w:rFonts w:ascii="Arial" w:eastAsia="Times New Roman" w:hAnsi="Arial" w:cs="Arial"/>
          <w:i/>
          <w:iCs/>
          <w:sz w:val="20"/>
          <w:szCs w:val="20"/>
          <w:lang w:val="en-IN"/>
        </w:rPr>
        <w:t>Bhima Super</w:t>
      </w:r>
      <w:r w:rsidRPr="00662CB0">
        <w:rPr>
          <w:rFonts w:ascii="Arial" w:eastAsia="Times New Roman" w:hAnsi="Arial" w:cs="Arial"/>
          <w:sz w:val="20"/>
          <w:szCs w:val="20"/>
          <w:lang w:val="en-IN"/>
        </w:rPr>
        <w:t xml:space="preserve"> could be attributed to its balanced bulb morphology, genetic tolerance to foliar diseases, and effective nutrient utilization under rainfed conditions (Aswani et al., 2023). A similar yield improvement of 43% was also reported by (Sahoo et al., 2020) in Bhima Super compared to </w:t>
      </w:r>
      <w:proofErr w:type="spellStart"/>
      <w:r w:rsidRPr="00662CB0">
        <w:rPr>
          <w:rFonts w:ascii="Arial" w:eastAsia="Times New Roman" w:hAnsi="Arial" w:cs="Arial"/>
          <w:sz w:val="20"/>
          <w:szCs w:val="20"/>
          <w:lang w:val="en-IN"/>
        </w:rPr>
        <w:t>Agrifound</w:t>
      </w:r>
      <w:proofErr w:type="spellEnd"/>
      <w:r w:rsidRPr="00662CB0">
        <w:rPr>
          <w:rFonts w:ascii="Arial" w:eastAsia="Times New Roman" w:hAnsi="Arial" w:cs="Arial"/>
          <w:sz w:val="20"/>
          <w:szCs w:val="20"/>
          <w:lang w:val="en-IN"/>
        </w:rPr>
        <w:t xml:space="preserve"> Dark Red in Odisha.</w:t>
      </w:r>
    </w:p>
    <w:p w14:paraId="356E47D4" w14:textId="77322AE3" w:rsidR="002B23F6" w:rsidRPr="00662CB0" w:rsidRDefault="002B23F6" w:rsidP="00662CB0">
      <w:pPr>
        <w:spacing w:after="0" w:line="240" w:lineRule="auto"/>
        <w:jc w:val="both"/>
        <w:rPr>
          <w:rFonts w:ascii="Arial" w:eastAsia="Times New Roman" w:hAnsi="Arial" w:cs="Arial"/>
          <w:sz w:val="20"/>
          <w:szCs w:val="20"/>
          <w:lang w:val="en-IN"/>
        </w:rPr>
      </w:pPr>
    </w:p>
    <w:p w14:paraId="62C66967" w14:textId="0724170E" w:rsidR="002B23F6" w:rsidRPr="00662CB0" w:rsidRDefault="002B23F6" w:rsidP="00662CB0">
      <w:pPr>
        <w:spacing w:after="0" w:line="240" w:lineRule="auto"/>
        <w:jc w:val="both"/>
        <w:rPr>
          <w:rFonts w:ascii="Arial" w:eastAsia="Times New Roman" w:hAnsi="Arial" w:cs="Arial"/>
          <w:b/>
          <w:bCs/>
          <w:sz w:val="20"/>
          <w:szCs w:val="20"/>
          <w:lang w:val="en-IN"/>
        </w:rPr>
      </w:pPr>
      <w:r w:rsidRPr="00662CB0">
        <w:rPr>
          <w:rFonts w:ascii="Arial" w:eastAsia="Times New Roman" w:hAnsi="Arial" w:cs="Arial"/>
          <w:b/>
          <w:bCs/>
          <w:sz w:val="20"/>
          <w:szCs w:val="20"/>
          <w:lang w:val="en-IN"/>
        </w:rPr>
        <w:t>3.3. Pest and Disease Incidence</w:t>
      </w:r>
    </w:p>
    <w:p w14:paraId="70C68901" w14:textId="77777777" w:rsidR="002B23F6" w:rsidRPr="006950B6" w:rsidRDefault="002B23F6" w:rsidP="00662CB0">
      <w:pPr>
        <w:spacing w:after="0" w:line="240" w:lineRule="auto"/>
        <w:jc w:val="both"/>
        <w:rPr>
          <w:rFonts w:ascii="Arial" w:eastAsia="Times New Roman" w:hAnsi="Arial" w:cs="Arial"/>
          <w:sz w:val="20"/>
          <w:szCs w:val="20"/>
          <w:lang w:val="en-IN"/>
        </w:rPr>
      </w:pPr>
      <w:r w:rsidRPr="00662CB0">
        <w:rPr>
          <w:rFonts w:ascii="Arial" w:eastAsia="Times New Roman" w:hAnsi="Arial" w:cs="Arial"/>
          <w:sz w:val="20"/>
          <w:szCs w:val="20"/>
          <w:lang w:val="en-IN"/>
        </w:rPr>
        <w:t xml:space="preserve">The performance of onion varieties against key pest and disease infestations is summarized in </w:t>
      </w:r>
      <w:r w:rsidRPr="006950B6">
        <w:rPr>
          <w:rFonts w:ascii="Arial" w:eastAsia="Times New Roman" w:hAnsi="Arial" w:cs="Arial"/>
          <w:bCs/>
          <w:sz w:val="20"/>
          <w:szCs w:val="20"/>
          <w:highlight w:val="yellow"/>
          <w:lang w:val="en-IN"/>
        </w:rPr>
        <w:t>Table 5</w:t>
      </w:r>
      <w:r w:rsidRPr="006950B6">
        <w:rPr>
          <w:rFonts w:ascii="Arial" w:eastAsia="Times New Roman" w:hAnsi="Arial" w:cs="Arial"/>
          <w:sz w:val="20"/>
          <w:szCs w:val="20"/>
          <w:highlight w:val="yellow"/>
          <w:lang w:val="en-IN"/>
        </w:rPr>
        <w:t>.</w:t>
      </w:r>
    </w:p>
    <w:p w14:paraId="0B82DD7C" w14:textId="2EA135C4" w:rsidR="002B23F6" w:rsidRPr="00662CB0" w:rsidRDefault="002B23F6" w:rsidP="00662CB0">
      <w:pPr>
        <w:spacing w:after="0" w:line="240" w:lineRule="auto"/>
        <w:jc w:val="both"/>
        <w:rPr>
          <w:rFonts w:ascii="Arial" w:eastAsia="Times New Roman" w:hAnsi="Arial" w:cs="Arial"/>
          <w:sz w:val="20"/>
          <w:szCs w:val="20"/>
          <w:lang w:val="en-IN"/>
        </w:rPr>
      </w:pPr>
    </w:p>
    <w:p w14:paraId="367783BD" w14:textId="77777777" w:rsidR="002B23F6" w:rsidRPr="00662CB0" w:rsidRDefault="002B23F6" w:rsidP="006950B6">
      <w:pPr>
        <w:spacing w:after="0" w:line="240" w:lineRule="auto"/>
        <w:jc w:val="center"/>
        <w:rPr>
          <w:rFonts w:ascii="Arial" w:eastAsia="Times New Roman" w:hAnsi="Arial" w:cs="Arial"/>
          <w:b/>
          <w:bCs/>
          <w:sz w:val="20"/>
          <w:szCs w:val="20"/>
          <w:lang w:val="en-IN"/>
        </w:rPr>
      </w:pPr>
      <w:r w:rsidRPr="00662CB0">
        <w:rPr>
          <w:rFonts w:ascii="Arial" w:eastAsia="Times New Roman" w:hAnsi="Arial" w:cs="Arial"/>
          <w:b/>
          <w:bCs/>
          <w:sz w:val="20"/>
          <w:szCs w:val="20"/>
          <w:lang w:val="en-IN"/>
        </w:rPr>
        <w:t>Table 5. Pest and Disease Incidence of Onion Varieties</w:t>
      </w:r>
    </w:p>
    <w:tbl>
      <w:tblPr>
        <w:tblW w:w="8815" w:type="dxa"/>
        <w:jc w:val="center"/>
        <w:tblCellSpacing w:w="15" w:type="dxa"/>
        <w:tblCellMar>
          <w:top w:w="15" w:type="dxa"/>
          <w:left w:w="15" w:type="dxa"/>
          <w:bottom w:w="15" w:type="dxa"/>
          <w:right w:w="15" w:type="dxa"/>
        </w:tblCellMar>
        <w:tblLook w:val="04A0" w:firstRow="1" w:lastRow="0" w:firstColumn="1" w:lastColumn="0" w:noHBand="0" w:noVBand="1"/>
      </w:tblPr>
      <w:tblGrid>
        <w:gridCol w:w="963"/>
        <w:gridCol w:w="3871"/>
        <w:gridCol w:w="1992"/>
        <w:gridCol w:w="1989"/>
      </w:tblGrid>
      <w:tr w:rsidR="002B23F6" w:rsidRPr="00662CB0" w14:paraId="7E7FFF45" w14:textId="77777777" w:rsidTr="006950B6">
        <w:trPr>
          <w:trHeight w:val="179"/>
          <w:tblHeader/>
          <w:tblCellSpacing w:w="15" w:type="dxa"/>
          <w:jc w:val="center"/>
        </w:trPr>
        <w:tc>
          <w:tcPr>
            <w:tcW w:w="0" w:type="auto"/>
            <w:tcBorders>
              <w:top w:val="single" w:sz="4" w:space="0" w:color="auto"/>
            </w:tcBorders>
            <w:vAlign w:val="center"/>
            <w:hideMark/>
          </w:tcPr>
          <w:p w14:paraId="2205AB26" w14:textId="77777777" w:rsidR="002B23F6" w:rsidRPr="00662CB0" w:rsidRDefault="002B23F6" w:rsidP="00662CB0">
            <w:pPr>
              <w:spacing w:after="0" w:line="240" w:lineRule="auto"/>
              <w:jc w:val="both"/>
              <w:rPr>
                <w:rFonts w:ascii="Arial" w:eastAsia="Times New Roman" w:hAnsi="Arial" w:cs="Arial"/>
                <w:b/>
                <w:bCs/>
                <w:sz w:val="20"/>
                <w:szCs w:val="20"/>
                <w:lang w:val="en-IN"/>
              </w:rPr>
            </w:pPr>
            <w:r w:rsidRPr="00662CB0">
              <w:rPr>
                <w:rFonts w:ascii="Arial" w:eastAsia="Times New Roman" w:hAnsi="Arial" w:cs="Arial"/>
                <w:b/>
                <w:bCs/>
                <w:sz w:val="20"/>
                <w:szCs w:val="20"/>
                <w:lang w:val="en-IN"/>
              </w:rPr>
              <w:t>Sl. No</w:t>
            </w:r>
          </w:p>
        </w:tc>
        <w:tc>
          <w:tcPr>
            <w:tcW w:w="0" w:type="auto"/>
            <w:tcBorders>
              <w:top w:val="single" w:sz="4" w:space="0" w:color="auto"/>
            </w:tcBorders>
            <w:vAlign w:val="center"/>
            <w:hideMark/>
          </w:tcPr>
          <w:p w14:paraId="4E83A134" w14:textId="77777777" w:rsidR="002B23F6" w:rsidRPr="00662CB0" w:rsidRDefault="002B23F6" w:rsidP="00662CB0">
            <w:pPr>
              <w:spacing w:after="0" w:line="240" w:lineRule="auto"/>
              <w:jc w:val="both"/>
              <w:rPr>
                <w:rFonts w:ascii="Arial" w:eastAsia="Times New Roman" w:hAnsi="Arial" w:cs="Arial"/>
                <w:b/>
                <w:bCs/>
                <w:sz w:val="20"/>
                <w:szCs w:val="20"/>
                <w:lang w:val="en-IN"/>
              </w:rPr>
            </w:pPr>
            <w:r w:rsidRPr="00662CB0">
              <w:rPr>
                <w:rFonts w:ascii="Arial" w:eastAsia="Times New Roman" w:hAnsi="Arial" w:cs="Arial"/>
                <w:b/>
                <w:bCs/>
                <w:sz w:val="20"/>
                <w:szCs w:val="20"/>
                <w:lang w:val="en-IN"/>
              </w:rPr>
              <w:t>Parameters</w:t>
            </w:r>
          </w:p>
        </w:tc>
        <w:tc>
          <w:tcPr>
            <w:tcW w:w="0" w:type="auto"/>
            <w:tcBorders>
              <w:top w:val="single" w:sz="4" w:space="0" w:color="auto"/>
            </w:tcBorders>
            <w:vAlign w:val="center"/>
            <w:hideMark/>
          </w:tcPr>
          <w:p w14:paraId="2ACC1DE9" w14:textId="77777777" w:rsidR="002B23F6" w:rsidRPr="00662CB0" w:rsidRDefault="002B23F6" w:rsidP="00662CB0">
            <w:pPr>
              <w:spacing w:after="0" w:line="240" w:lineRule="auto"/>
              <w:jc w:val="both"/>
              <w:rPr>
                <w:rFonts w:ascii="Arial" w:eastAsia="Times New Roman" w:hAnsi="Arial" w:cs="Arial"/>
                <w:b/>
                <w:bCs/>
                <w:sz w:val="20"/>
                <w:szCs w:val="20"/>
                <w:lang w:val="en-IN"/>
              </w:rPr>
            </w:pPr>
            <w:r w:rsidRPr="00662CB0">
              <w:rPr>
                <w:rFonts w:ascii="Arial" w:eastAsia="Times New Roman" w:hAnsi="Arial" w:cs="Arial"/>
                <w:b/>
                <w:bCs/>
                <w:sz w:val="20"/>
                <w:szCs w:val="20"/>
                <w:lang w:val="en-IN"/>
              </w:rPr>
              <w:t>Local Variety</w:t>
            </w:r>
          </w:p>
        </w:tc>
        <w:tc>
          <w:tcPr>
            <w:tcW w:w="0" w:type="auto"/>
            <w:tcBorders>
              <w:top w:val="single" w:sz="4" w:space="0" w:color="auto"/>
            </w:tcBorders>
            <w:vAlign w:val="center"/>
            <w:hideMark/>
          </w:tcPr>
          <w:p w14:paraId="73A43B33" w14:textId="77777777" w:rsidR="002B23F6" w:rsidRPr="00662CB0" w:rsidRDefault="002B23F6" w:rsidP="00662CB0">
            <w:pPr>
              <w:spacing w:after="0" w:line="240" w:lineRule="auto"/>
              <w:jc w:val="both"/>
              <w:rPr>
                <w:rFonts w:ascii="Arial" w:eastAsia="Times New Roman" w:hAnsi="Arial" w:cs="Arial"/>
                <w:b/>
                <w:bCs/>
                <w:sz w:val="20"/>
                <w:szCs w:val="20"/>
                <w:lang w:val="en-IN"/>
              </w:rPr>
            </w:pPr>
            <w:r w:rsidRPr="00662CB0">
              <w:rPr>
                <w:rFonts w:ascii="Arial" w:eastAsia="Times New Roman" w:hAnsi="Arial" w:cs="Arial"/>
                <w:b/>
                <w:bCs/>
                <w:sz w:val="20"/>
                <w:szCs w:val="20"/>
                <w:lang w:val="en-IN"/>
              </w:rPr>
              <w:t>Bhima Super</w:t>
            </w:r>
          </w:p>
        </w:tc>
      </w:tr>
      <w:tr w:rsidR="002B23F6" w:rsidRPr="00662CB0" w14:paraId="480BF259" w14:textId="77777777" w:rsidTr="006950B6">
        <w:trPr>
          <w:trHeight w:val="187"/>
          <w:tblCellSpacing w:w="15" w:type="dxa"/>
          <w:jc w:val="center"/>
        </w:trPr>
        <w:tc>
          <w:tcPr>
            <w:tcW w:w="0" w:type="auto"/>
            <w:vAlign w:val="center"/>
            <w:hideMark/>
          </w:tcPr>
          <w:p w14:paraId="0F710211" w14:textId="77777777" w:rsidR="002B23F6" w:rsidRPr="00662CB0" w:rsidRDefault="002B23F6" w:rsidP="00662CB0">
            <w:pPr>
              <w:spacing w:after="0" w:line="240" w:lineRule="auto"/>
              <w:jc w:val="both"/>
              <w:rPr>
                <w:rFonts w:ascii="Arial" w:eastAsia="Times New Roman" w:hAnsi="Arial" w:cs="Arial"/>
                <w:b/>
                <w:bCs/>
                <w:sz w:val="20"/>
                <w:szCs w:val="20"/>
                <w:lang w:val="en-IN"/>
              </w:rPr>
            </w:pPr>
          </w:p>
        </w:tc>
        <w:tc>
          <w:tcPr>
            <w:tcW w:w="0" w:type="auto"/>
            <w:vAlign w:val="center"/>
            <w:hideMark/>
          </w:tcPr>
          <w:p w14:paraId="7D68ED5C" w14:textId="77777777" w:rsidR="002B23F6" w:rsidRPr="00662CB0" w:rsidRDefault="002B23F6" w:rsidP="00662CB0">
            <w:pPr>
              <w:spacing w:after="0" w:line="240" w:lineRule="auto"/>
              <w:jc w:val="both"/>
              <w:rPr>
                <w:rFonts w:ascii="Arial" w:eastAsia="Times New Roman" w:hAnsi="Arial" w:cs="Arial"/>
                <w:sz w:val="20"/>
                <w:szCs w:val="20"/>
                <w:lang w:val="en-IN"/>
              </w:rPr>
            </w:pPr>
          </w:p>
        </w:tc>
        <w:tc>
          <w:tcPr>
            <w:tcW w:w="0" w:type="auto"/>
            <w:tcBorders>
              <w:top w:val="single" w:sz="4" w:space="0" w:color="auto"/>
            </w:tcBorders>
            <w:vAlign w:val="center"/>
            <w:hideMark/>
          </w:tcPr>
          <w:p w14:paraId="3D66E28D" w14:textId="65963F74" w:rsidR="002B23F6" w:rsidRPr="00662CB0" w:rsidRDefault="002B23F6" w:rsidP="00662CB0">
            <w:pPr>
              <w:spacing w:after="0" w:line="240" w:lineRule="auto"/>
              <w:jc w:val="both"/>
              <w:rPr>
                <w:rFonts w:ascii="Arial" w:eastAsia="Times New Roman" w:hAnsi="Arial" w:cs="Arial"/>
                <w:sz w:val="20"/>
                <w:szCs w:val="20"/>
                <w:lang w:val="en-IN"/>
              </w:rPr>
            </w:pPr>
            <w:r w:rsidRPr="00662CB0">
              <w:rPr>
                <w:rFonts w:ascii="Arial" w:eastAsia="Times New Roman" w:hAnsi="Arial" w:cs="Arial"/>
                <w:sz w:val="20"/>
                <w:szCs w:val="20"/>
                <w:lang w:val="en-IN"/>
              </w:rPr>
              <w:t>20</w:t>
            </w:r>
            <w:r w:rsidR="00B44227" w:rsidRPr="00662CB0">
              <w:rPr>
                <w:rFonts w:ascii="Arial" w:eastAsia="Times New Roman" w:hAnsi="Arial" w:cs="Arial"/>
                <w:sz w:val="20"/>
                <w:szCs w:val="20"/>
                <w:lang w:val="en-IN"/>
              </w:rPr>
              <w:t>21</w:t>
            </w:r>
            <w:r w:rsidRPr="00662CB0">
              <w:rPr>
                <w:rFonts w:ascii="Arial" w:eastAsia="Times New Roman" w:hAnsi="Arial" w:cs="Arial"/>
                <w:sz w:val="20"/>
                <w:szCs w:val="20"/>
                <w:lang w:val="en-IN"/>
              </w:rPr>
              <w:t>-</w:t>
            </w:r>
            <w:r w:rsidR="00B44227" w:rsidRPr="00662CB0">
              <w:rPr>
                <w:rFonts w:ascii="Arial" w:eastAsia="Times New Roman" w:hAnsi="Arial" w:cs="Arial"/>
                <w:sz w:val="20"/>
                <w:szCs w:val="20"/>
                <w:lang w:val="en-IN"/>
              </w:rPr>
              <w:t>22</w:t>
            </w:r>
          </w:p>
        </w:tc>
        <w:tc>
          <w:tcPr>
            <w:tcW w:w="0" w:type="auto"/>
            <w:tcBorders>
              <w:top w:val="single" w:sz="4" w:space="0" w:color="auto"/>
            </w:tcBorders>
            <w:vAlign w:val="center"/>
            <w:hideMark/>
          </w:tcPr>
          <w:p w14:paraId="2F0E0614" w14:textId="1A3EAD6E" w:rsidR="002B23F6" w:rsidRPr="00662CB0" w:rsidRDefault="002B23F6" w:rsidP="00662CB0">
            <w:pPr>
              <w:spacing w:after="0" w:line="240" w:lineRule="auto"/>
              <w:jc w:val="both"/>
              <w:rPr>
                <w:rFonts w:ascii="Arial" w:eastAsia="Times New Roman" w:hAnsi="Arial" w:cs="Arial"/>
                <w:sz w:val="20"/>
                <w:szCs w:val="20"/>
                <w:lang w:val="en-IN"/>
              </w:rPr>
            </w:pPr>
            <w:r w:rsidRPr="00662CB0">
              <w:rPr>
                <w:rFonts w:ascii="Arial" w:eastAsia="Times New Roman" w:hAnsi="Arial" w:cs="Arial"/>
                <w:sz w:val="20"/>
                <w:szCs w:val="20"/>
                <w:lang w:val="en-IN"/>
              </w:rPr>
              <w:t>20</w:t>
            </w:r>
            <w:r w:rsidR="00B44227" w:rsidRPr="00662CB0">
              <w:rPr>
                <w:rFonts w:ascii="Arial" w:eastAsia="Times New Roman" w:hAnsi="Arial" w:cs="Arial"/>
                <w:sz w:val="20"/>
                <w:szCs w:val="20"/>
                <w:lang w:val="en-IN"/>
              </w:rPr>
              <w:t>21-22</w:t>
            </w:r>
          </w:p>
        </w:tc>
      </w:tr>
      <w:tr w:rsidR="002B23F6" w:rsidRPr="00662CB0" w14:paraId="3E69F7EB" w14:textId="77777777" w:rsidTr="006950B6">
        <w:trPr>
          <w:trHeight w:val="187"/>
          <w:tblCellSpacing w:w="15" w:type="dxa"/>
          <w:jc w:val="center"/>
        </w:trPr>
        <w:tc>
          <w:tcPr>
            <w:tcW w:w="0" w:type="auto"/>
            <w:tcBorders>
              <w:top w:val="single" w:sz="4" w:space="0" w:color="auto"/>
            </w:tcBorders>
            <w:vAlign w:val="center"/>
            <w:hideMark/>
          </w:tcPr>
          <w:p w14:paraId="0D5D2C4F" w14:textId="77777777" w:rsidR="002B23F6" w:rsidRPr="00662CB0" w:rsidRDefault="002B23F6" w:rsidP="00662CB0">
            <w:pPr>
              <w:spacing w:after="0" w:line="240" w:lineRule="auto"/>
              <w:jc w:val="both"/>
              <w:rPr>
                <w:rFonts w:ascii="Arial" w:eastAsia="Times New Roman" w:hAnsi="Arial" w:cs="Arial"/>
                <w:sz w:val="20"/>
                <w:szCs w:val="20"/>
                <w:lang w:val="en-IN"/>
              </w:rPr>
            </w:pPr>
            <w:r w:rsidRPr="00662CB0">
              <w:rPr>
                <w:rFonts w:ascii="Arial" w:eastAsia="Times New Roman" w:hAnsi="Arial" w:cs="Arial"/>
                <w:sz w:val="20"/>
                <w:szCs w:val="20"/>
                <w:lang w:val="en-IN"/>
              </w:rPr>
              <w:t>1</w:t>
            </w:r>
          </w:p>
        </w:tc>
        <w:tc>
          <w:tcPr>
            <w:tcW w:w="0" w:type="auto"/>
            <w:tcBorders>
              <w:top w:val="single" w:sz="4" w:space="0" w:color="auto"/>
            </w:tcBorders>
            <w:vAlign w:val="center"/>
            <w:hideMark/>
          </w:tcPr>
          <w:p w14:paraId="4A797C5C" w14:textId="77777777" w:rsidR="002B23F6" w:rsidRPr="00662CB0" w:rsidRDefault="002B23F6" w:rsidP="00662CB0">
            <w:pPr>
              <w:spacing w:after="0" w:line="240" w:lineRule="auto"/>
              <w:jc w:val="both"/>
              <w:rPr>
                <w:rFonts w:ascii="Arial" w:eastAsia="Times New Roman" w:hAnsi="Arial" w:cs="Arial"/>
                <w:sz w:val="20"/>
                <w:szCs w:val="20"/>
                <w:lang w:val="en-IN"/>
              </w:rPr>
            </w:pPr>
            <w:r w:rsidRPr="00662CB0">
              <w:rPr>
                <w:rFonts w:ascii="Arial" w:eastAsia="Times New Roman" w:hAnsi="Arial" w:cs="Arial"/>
                <w:sz w:val="20"/>
                <w:szCs w:val="20"/>
                <w:lang w:val="en-IN"/>
              </w:rPr>
              <w:t>Thrips Incidence (%)</w:t>
            </w:r>
          </w:p>
        </w:tc>
        <w:tc>
          <w:tcPr>
            <w:tcW w:w="0" w:type="auto"/>
            <w:tcBorders>
              <w:top w:val="single" w:sz="4" w:space="0" w:color="auto"/>
            </w:tcBorders>
            <w:vAlign w:val="center"/>
            <w:hideMark/>
          </w:tcPr>
          <w:p w14:paraId="31A4AEF6" w14:textId="77777777" w:rsidR="002B23F6" w:rsidRPr="00662CB0" w:rsidRDefault="002B23F6" w:rsidP="00662CB0">
            <w:pPr>
              <w:spacing w:after="0" w:line="240" w:lineRule="auto"/>
              <w:jc w:val="both"/>
              <w:rPr>
                <w:rFonts w:ascii="Arial" w:eastAsia="Times New Roman" w:hAnsi="Arial" w:cs="Arial"/>
                <w:sz w:val="20"/>
                <w:szCs w:val="20"/>
                <w:lang w:val="en-IN"/>
              </w:rPr>
            </w:pPr>
            <w:r w:rsidRPr="00662CB0">
              <w:rPr>
                <w:rFonts w:ascii="Arial" w:eastAsia="Times New Roman" w:hAnsi="Arial" w:cs="Arial"/>
                <w:sz w:val="20"/>
                <w:szCs w:val="20"/>
                <w:lang w:val="en-IN"/>
              </w:rPr>
              <w:t>18.37</w:t>
            </w:r>
          </w:p>
        </w:tc>
        <w:tc>
          <w:tcPr>
            <w:tcW w:w="0" w:type="auto"/>
            <w:tcBorders>
              <w:top w:val="single" w:sz="4" w:space="0" w:color="auto"/>
            </w:tcBorders>
            <w:vAlign w:val="center"/>
            <w:hideMark/>
          </w:tcPr>
          <w:p w14:paraId="15D8EF88" w14:textId="77777777" w:rsidR="002B23F6" w:rsidRPr="00662CB0" w:rsidRDefault="002B23F6" w:rsidP="00662CB0">
            <w:pPr>
              <w:spacing w:after="0" w:line="240" w:lineRule="auto"/>
              <w:jc w:val="both"/>
              <w:rPr>
                <w:rFonts w:ascii="Arial" w:eastAsia="Times New Roman" w:hAnsi="Arial" w:cs="Arial"/>
                <w:sz w:val="20"/>
                <w:szCs w:val="20"/>
                <w:lang w:val="en-IN"/>
              </w:rPr>
            </w:pPr>
            <w:r w:rsidRPr="00662CB0">
              <w:rPr>
                <w:rFonts w:ascii="Arial" w:eastAsia="Times New Roman" w:hAnsi="Arial" w:cs="Arial"/>
                <w:sz w:val="20"/>
                <w:szCs w:val="20"/>
                <w:lang w:val="en-IN"/>
              </w:rPr>
              <w:t>17.48</w:t>
            </w:r>
          </w:p>
        </w:tc>
      </w:tr>
      <w:tr w:rsidR="002B23F6" w:rsidRPr="00662CB0" w14:paraId="723BFF81" w14:textId="77777777" w:rsidTr="006950B6">
        <w:trPr>
          <w:trHeight w:val="187"/>
          <w:tblCellSpacing w:w="15" w:type="dxa"/>
          <w:jc w:val="center"/>
        </w:trPr>
        <w:tc>
          <w:tcPr>
            <w:tcW w:w="0" w:type="auto"/>
            <w:vAlign w:val="center"/>
            <w:hideMark/>
          </w:tcPr>
          <w:p w14:paraId="0258BF1A" w14:textId="77777777" w:rsidR="002B23F6" w:rsidRPr="00662CB0" w:rsidRDefault="002B23F6" w:rsidP="00662CB0">
            <w:pPr>
              <w:spacing w:after="0" w:line="240" w:lineRule="auto"/>
              <w:jc w:val="both"/>
              <w:rPr>
                <w:rFonts w:ascii="Arial" w:eastAsia="Times New Roman" w:hAnsi="Arial" w:cs="Arial"/>
                <w:sz w:val="20"/>
                <w:szCs w:val="20"/>
                <w:lang w:val="en-IN"/>
              </w:rPr>
            </w:pPr>
            <w:r w:rsidRPr="00662CB0">
              <w:rPr>
                <w:rFonts w:ascii="Arial" w:eastAsia="Times New Roman" w:hAnsi="Arial" w:cs="Arial"/>
                <w:sz w:val="20"/>
                <w:szCs w:val="20"/>
                <w:lang w:val="en-IN"/>
              </w:rPr>
              <w:t>2</w:t>
            </w:r>
          </w:p>
        </w:tc>
        <w:tc>
          <w:tcPr>
            <w:tcW w:w="0" w:type="auto"/>
            <w:vAlign w:val="center"/>
            <w:hideMark/>
          </w:tcPr>
          <w:p w14:paraId="21A7FBEC" w14:textId="77777777" w:rsidR="002B23F6" w:rsidRPr="00662CB0" w:rsidRDefault="002B23F6" w:rsidP="00662CB0">
            <w:pPr>
              <w:spacing w:after="0" w:line="240" w:lineRule="auto"/>
              <w:jc w:val="both"/>
              <w:rPr>
                <w:rFonts w:ascii="Arial" w:eastAsia="Times New Roman" w:hAnsi="Arial" w:cs="Arial"/>
                <w:sz w:val="20"/>
                <w:szCs w:val="20"/>
                <w:lang w:val="en-IN"/>
              </w:rPr>
            </w:pPr>
            <w:r w:rsidRPr="00662CB0">
              <w:rPr>
                <w:rFonts w:ascii="Arial" w:eastAsia="Times New Roman" w:hAnsi="Arial" w:cs="Arial"/>
                <w:sz w:val="20"/>
                <w:szCs w:val="20"/>
                <w:lang w:val="en-IN"/>
              </w:rPr>
              <w:t>Purple Blotch Incidence (%)</w:t>
            </w:r>
          </w:p>
        </w:tc>
        <w:tc>
          <w:tcPr>
            <w:tcW w:w="0" w:type="auto"/>
            <w:vAlign w:val="center"/>
            <w:hideMark/>
          </w:tcPr>
          <w:p w14:paraId="44785E69" w14:textId="26F88581" w:rsidR="002B23F6" w:rsidRPr="00662CB0" w:rsidRDefault="002B23F6" w:rsidP="00662CB0">
            <w:pPr>
              <w:spacing w:after="0" w:line="240" w:lineRule="auto"/>
              <w:jc w:val="both"/>
              <w:rPr>
                <w:rFonts w:ascii="Arial" w:eastAsia="Times New Roman" w:hAnsi="Arial" w:cs="Arial"/>
                <w:sz w:val="20"/>
                <w:szCs w:val="20"/>
                <w:lang w:val="en-IN"/>
              </w:rPr>
            </w:pPr>
            <w:r w:rsidRPr="00662CB0">
              <w:rPr>
                <w:rFonts w:ascii="Arial" w:eastAsia="Times New Roman" w:hAnsi="Arial" w:cs="Arial"/>
                <w:sz w:val="20"/>
                <w:szCs w:val="20"/>
                <w:lang w:val="en-IN"/>
              </w:rPr>
              <w:t>2</w:t>
            </w:r>
            <w:r w:rsidR="00B44227" w:rsidRPr="00662CB0">
              <w:rPr>
                <w:rFonts w:ascii="Arial" w:eastAsia="Times New Roman" w:hAnsi="Arial" w:cs="Arial"/>
                <w:sz w:val="20"/>
                <w:szCs w:val="20"/>
                <w:lang w:val="en-IN"/>
              </w:rPr>
              <w:t>8</w:t>
            </w:r>
            <w:r w:rsidRPr="00662CB0">
              <w:rPr>
                <w:rFonts w:ascii="Arial" w:eastAsia="Times New Roman" w:hAnsi="Arial" w:cs="Arial"/>
                <w:sz w:val="20"/>
                <w:szCs w:val="20"/>
                <w:lang w:val="en-IN"/>
              </w:rPr>
              <w:t>.</w:t>
            </w:r>
            <w:r w:rsidR="00B44227" w:rsidRPr="00662CB0">
              <w:rPr>
                <w:rFonts w:ascii="Arial" w:eastAsia="Times New Roman" w:hAnsi="Arial" w:cs="Arial"/>
                <w:sz w:val="20"/>
                <w:szCs w:val="20"/>
                <w:lang w:val="en-IN"/>
              </w:rPr>
              <w:t>8</w:t>
            </w:r>
            <w:r w:rsidRPr="00662CB0">
              <w:rPr>
                <w:rFonts w:ascii="Arial" w:eastAsia="Times New Roman" w:hAnsi="Arial" w:cs="Arial"/>
                <w:sz w:val="20"/>
                <w:szCs w:val="20"/>
                <w:lang w:val="en-IN"/>
              </w:rPr>
              <w:t>1</w:t>
            </w:r>
          </w:p>
        </w:tc>
        <w:tc>
          <w:tcPr>
            <w:tcW w:w="0" w:type="auto"/>
            <w:vAlign w:val="center"/>
            <w:hideMark/>
          </w:tcPr>
          <w:p w14:paraId="58CAAC2C" w14:textId="03FA96FB" w:rsidR="002B23F6" w:rsidRPr="00662CB0" w:rsidRDefault="00B44227" w:rsidP="00662CB0">
            <w:pPr>
              <w:spacing w:after="0" w:line="240" w:lineRule="auto"/>
              <w:jc w:val="both"/>
              <w:rPr>
                <w:rFonts w:ascii="Arial" w:eastAsia="Times New Roman" w:hAnsi="Arial" w:cs="Arial"/>
                <w:sz w:val="20"/>
                <w:szCs w:val="20"/>
                <w:lang w:val="en-IN"/>
              </w:rPr>
            </w:pPr>
            <w:r w:rsidRPr="00662CB0">
              <w:rPr>
                <w:rFonts w:ascii="Arial" w:eastAsia="Times New Roman" w:hAnsi="Arial" w:cs="Arial"/>
                <w:sz w:val="20"/>
                <w:szCs w:val="20"/>
                <w:lang w:val="en-IN"/>
              </w:rPr>
              <w:t>23.41</w:t>
            </w:r>
          </w:p>
        </w:tc>
      </w:tr>
      <w:tr w:rsidR="002B23F6" w:rsidRPr="00662CB0" w14:paraId="223BBBD7" w14:textId="77777777" w:rsidTr="006950B6">
        <w:trPr>
          <w:trHeight w:val="187"/>
          <w:tblCellSpacing w:w="15" w:type="dxa"/>
          <w:jc w:val="center"/>
        </w:trPr>
        <w:tc>
          <w:tcPr>
            <w:tcW w:w="0" w:type="auto"/>
            <w:tcBorders>
              <w:bottom w:val="single" w:sz="4" w:space="0" w:color="auto"/>
            </w:tcBorders>
            <w:vAlign w:val="center"/>
            <w:hideMark/>
          </w:tcPr>
          <w:p w14:paraId="02C5EACF" w14:textId="77777777" w:rsidR="002B23F6" w:rsidRPr="00662CB0" w:rsidRDefault="002B23F6" w:rsidP="00662CB0">
            <w:pPr>
              <w:spacing w:after="0" w:line="240" w:lineRule="auto"/>
              <w:jc w:val="both"/>
              <w:rPr>
                <w:rFonts w:ascii="Arial" w:eastAsia="Times New Roman" w:hAnsi="Arial" w:cs="Arial"/>
                <w:sz w:val="20"/>
                <w:szCs w:val="20"/>
                <w:lang w:val="en-IN"/>
              </w:rPr>
            </w:pPr>
            <w:r w:rsidRPr="00662CB0">
              <w:rPr>
                <w:rFonts w:ascii="Arial" w:eastAsia="Times New Roman" w:hAnsi="Arial" w:cs="Arial"/>
                <w:sz w:val="20"/>
                <w:szCs w:val="20"/>
                <w:lang w:val="en-IN"/>
              </w:rPr>
              <w:t>3</w:t>
            </w:r>
          </w:p>
        </w:tc>
        <w:tc>
          <w:tcPr>
            <w:tcW w:w="0" w:type="auto"/>
            <w:tcBorders>
              <w:bottom w:val="single" w:sz="4" w:space="0" w:color="auto"/>
            </w:tcBorders>
            <w:vAlign w:val="center"/>
            <w:hideMark/>
          </w:tcPr>
          <w:p w14:paraId="7DCDACE2" w14:textId="77777777" w:rsidR="002B23F6" w:rsidRPr="00662CB0" w:rsidRDefault="002B23F6" w:rsidP="00662CB0">
            <w:pPr>
              <w:spacing w:after="0" w:line="240" w:lineRule="auto"/>
              <w:jc w:val="both"/>
              <w:rPr>
                <w:rFonts w:ascii="Arial" w:eastAsia="Times New Roman" w:hAnsi="Arial" w:cs="Arial"/>
                <w:sz w:val="20"/>
                <w:szCs w:val="20"/>
                <w:lang w:val="en-IN"/>
              </w:rPr>
            </w:pPr>
            <w:r w:rsidRPr="00662CB0">
              <w:rPr>
                <w:rFonts w:ascii="Arial" w:eastAsia="Times New Roman" w:hAnsi="Arial" w:cs="Arial"/>
                <w:sz w:val="20"/>
                <w:szCs w:val="20"/>
                <w:lang w:val="en-IN"/>
              </w:rPr>
              <w:t>Stemphylium Blight (%)</w:t>
            </w:r>
          </w:p>
        </w:tc>
        <w:tc>
          <w:tcPr>
            <w:tcW w:w="0" w:type="auto"/>
            <w:tcBorders>
              <w:bottom w:val="single" w:sz="4" w:space="0" w:color="auto"/>
            </w:tcBorders>
            <w:vAlign w:val="center"/>
            <w:hideMark/>
          </w:tcPr>
          <w:p w14:paraId="566E6851" w14:textId="40B34EE0" w:rsidR="002B23F6" w:rsidRPr="00662CB0" w:rsidRDefault="002B23F6" w:rsidP="00662CB0">
            <w:pPr>
              <w:spacing w:after="0" w:line="240" w:lineRule="auto"/>
              <w:jc w:val="both"/>
              <w:rPr>
                <w:rFonts w:ascii="Arial" w:eastAsia="Times New Roman" w:hAnsi="Arial" w:cs="Arial"/>
                <w:sz w:val="20"/>
                <w:szCs w:val="20"/>
                <w:lang w:val="en-IN"/>
              </w:rPr>
            </w:pPr>
            <w:r w:rsidRPr="00662CB0">
              <w:rPr>
                <w:rFonts w:ascii="Arial" w:eastAsia="Times New Roman" w:hAnsi="Arial" w:cs="Arial"/>
                <w:sz w:val="20"/>
                <w:szCs w:val="20"/>
                <w:lang w:val="en-IN"/>
              </w:rPr>
              <w:t>2</w:t>
            </w:r>
            <w:r w:rsidR="00B44227" w:rsidRPr="00662CB0">
              <w:rPr>
                <w:rFonts w:ascii="Arial" w:eastAsia="Times New Roman" w:hAnsi="Arial" w:cs="Arial"/>
                <w:sz w:val="20"/>
                <w:szCs w:val="20"/>
                <w:lang w:val="en-IN"/>
              </w:rPr>
              <w:t>9</w:t>
            </w:r>
            <w:r w:rsidRPr="00662CB0">
              <w:rPr>
                <w:rFonts w:ascii="Arial" w:eastAsia="Times New Roman" w:hAnsi="Arial" w:cs="Arial"/>
                <w:sz w:val="20"/>
                <w:szCs w:val="20"/>
                <w:lang w:val="en-IN"/>
              </w:rPr>
              <w:t>.1</w:t>
            </w:r>
            <w:r w:rsidR="00B44227" w:rsidRPr="00662CB0">
              <w:rPr>
                <w:rFonts w:ascii="Arial" w:eastAsia="Times New Roman" w:hAnsi="Arial" w:cs="Arial"/>
                <w:sz w:val="20"/>
                <w:szCs w:val="20"/>
                <w:lang w:val="en-IN"/>
              </w:rPr>
              <w:t>8</w:t>
            </w:r>
          </w:p>
        </w:tc>
        <w:tc>
          <w:tcPr>
            <w:tcW w:w="0" w:type="auto"/>
            <w:tcBorders>
              <w:bottom w:val="single" w:sz="4" w:space="0" w:color="auto"/>
            </w:tcBorders>
            <w:vAlign w:val="center"/>
            <w:hideMark/>
          </w:tcPr>
          <w:p w14:paraId="64A4D2E6" w14:textId="7977C6E9" w:rsidR="002B23F6" w:rsidRPr="00662CB0" w:rsidRDefault="00B44227" w:rsidP="00662CB0">
            <w:pPr>
              <w:spacing w:after="0" w:line="240" w:lineRule="auto"/>
              <w:jc w:val="both"/>
              <w:rPr>
                <w:rFonts w:ascii="Arial" w:eastAsia="Times New Roman" w:hAnsi="Arial" w:cs="Arial"/>
                <w:sz w:val="20"/>
                <w:szCs w:val="20"/>
                <w:lang w:val="en-IN"/>
              </w:rPr>
            </w:pPr>
            <w:r w:rsidRPr="00662CB0">
              <w:rPr>
                <w:rFonts w:ascii="Arial" w:eastAsia="Times New Roman" w:hAnsi="Arial" w:cs="Arial"/>
                <w:sz w:val="20"/>
                <w:szCs w:val="20"/>
                <w:lang w:val="en-IN"/>
              </w:rPr>
              <w:t xml:space="preserve"> 26.41</w:t>
            </w:r>
          </w:p>
        </w:tc>
      </w:tr>
    </w:tbl>
    <w:p w14:paraId="68A1EB5D" w14:textId="70317163" w:rsidR="002B23F6" w:rsidRPr="00662CB0" w:rsidRDefault="002B23F6" w:rsidP="00662CB0">
      <w:pPr>
        <w:spacing w:after="0" w:line="240" w:lineRule="auto"/>
        <w:jc w:val="both"/>
        <w:rPr>
          <w:rFonts w:ascii="Arial" w:eastAsia="Times New Roman" w:hAnsi="Arial" w:cs="Arial"/>
          <w:sz w:val="20"/>
          <w:szCs w:val="20"/>
          <w:lang w:val="en-IN"/>
        </w:rPr>
      </w:pPr>
    </w:p>
    <w:p w14:paraId="5BB015EE" w14:textId="1417BAC3" w:rsidR="002B23F6" w:rsidRPr="00662CB0" w:rsidRDefault="002B23F6" w:rsidP="006950B6">
      <w:pPr>
        <w:spacing w:after="0" w:line="240" w:lineRule="auto"/>
        <w:jc w:val="both"/>
        <w:rPr>
          <w:rFonts w:ascii="Arial" w:eastAsia="Times New Roman" w:hAnsi="Arial" w:cs="Arial"/>
          <w:sz w:val="20"/>
          <w:szCs w:val="20"/>
          <w:lang w:val="en-IN"/>
        </w:rPr>
      </w:pPr>
      <w:r w:rsidRPr="00662CB0">
        <w:rPr>
          <w:rFonts w:ascii="Arial" w:eastAsia="Times New Roman" w:hAnsi="Arial" w:cs="Arial"/>
          <w:sz w:val="20"/>
          <w:szCs w:val="20"/>
          <w:lang w:val="en-IN"/>
        </w:rPr>
        <w:t xml:space="preserve">The data clearly indicate that </w:t>
      </w:r>
      <w:r w:rsidRPr="00662CB0">
        <w:rPr>
          <w:rFonts w:ascii="Arial" w:eastAsia="Times New Roman" w:hAnsi="Arial" w:cs="Arial"/>
          <w:i/>
          <w:iCs/>
          <w:sz w:val="20"/>
          <w:szCs w:val="20"/>
          <w:lang w:val="en-IN"/>
        </w:rPr>
        <w:t>Bhima Super</w:t>
      </w:r>
      <w:r w:rsidRPr="00662CB0">
        <w:rPr>
          <w:rFonts w:ascii="Arial" w:eastAsia="Times New Roman" w:hAnsi="Arial" w:cs="Arial"/>
          <w:sz w:val="20"/>
          <w:szCs w:val="20"/>
          <w:lang w:val="en-IN"/>
        </w:rPr>
        <w:t xml:space="preserve"> exhibited </w:t>
      </w:r>
      <w:r w:rsidRPr="006950B6">
        <w:rPr>
          <w:rFonts w:ascii="Arial" w:eastAsia="Times New Roman" w:hAnsi="Arial" w:cs="Arial"/>
          <w:bCs/>
          <w:sz w:val="20"/>
          <w:szCs w:val="20"/>
          <w:highlight w:val="yellow"/>
          <w:lang w:val="en-IN"/>
        </w:rPr>
        <w:t>lower pest and disease incidence</w:t>
      </w:r>
      <w:r w:rsidRPr="00662CB0">
        <w:rPr>
          <w:rFonts w:ascii="Arial" w:eastAsia="Times New Roman" w:hAnsi="Arial" w:cs="Arial"/>
          <w:sz w:val="20"/>
          <w:szCs w:val="20"/>
          <w:lang w:val="en-IN"/>
        </w:rPr>
        <w:t xml:space="preserve"> across all years compared to local varieties. The mean thrips infestation in </w:t>
      </w:r>
      <w:r w:rsidRPr="00662CB0">
        <w:rPr>
          <w:rFonts w:ascii="Arial" w:eastAsia="Times New Roman" w:hAnsi="Arial" w:cs="Arial"/>
          <w:i/>
          <w:iCs/>
          <w:sz w:val="20"/>
          <w:szCs w:val="20"/>
          <w:lang w:val="en-IN"/>
        </w:rPr>
        <w:t>Bhima Super</w:t>
      </w:r>
      <w:r w:rsidRPr="00662CB0">
        <w:rPr>
          <w:rFonts w:ascii="Arial" w:eastAsia="Times New Roman" w:hAnsi="Arial" w:cs="Arial"/>
          <w:sz w:val="20"/>
          <w:szCs w:val="20"/>
          <w:lang w:val="en-IN"/>
        </w:rPr>
        <w:t xml:space="preserve"> (13.36%) was significantly less than that of local cultivars (18.23%). Similarly, the incidences of purple blotch and </w:t>
      </w:r>
      <w:r w:rsidRPr="00662CB0">
        <w:rPr>
          <w:rFonts w:ascii="Arial" w:eastAsia="Times New Roman" w:hAnsi="Arial" w:cs="Arial"/>
          <w:i/>
          <w:iCs/>
          <w:sz w:val="20"/>
          <w:szCs w:val="20"/>
          <w:lang w:val="en-IN"/>
        </w:rPr>
        <w:t>Stemphylium</w:t>
      </w:r>
      <w:r w:rsidRPr="00662CB0">
        <w:rPr>
          <w:rFonts w:ascii="Arial" w:eastAsia="Times New Roman" w:hAnsi="Arial" w:cs="Arial"/>
          <w:sz w:val="20"/>
          <w:szCs w:val="20"/>
          <w:lang w:val="en-IN"/>
        </w:rPr>
        <w:t xml:space="preserve"> blight were markedly reduced in </w:t>
      </w:r>
      <w:r w:rsidRPr="00662CB0">
        <w:rPr>
          <w:rFonts w:ascii="Arial" w:eastAsia="Times New Roman" w:hAnsi="Arial" w:cs="Arial"/>
          <w:i/>
          <w:iCs/>
          <w:sz w:val="20"/>
          <w:szCs w:val="20"/>
          <w:lang w:val="en-IN"/>
        </w:rPr>
        <w:t>Bhima Super</w:t>
      </w:r>
      <w:r w:rsidRPr="00662CB0">
        <w:rPr>
          <w:rFonts w:ascii="Arial" w:eastAsia="Times New Roman" w:hAnsi="Arial" w:cs="Arial"/>
          <w:sz w:val="20"/>
          <w:szCs w:val="20"/>
          <w:lang w:val="en-IN"/>
        </w:rPr>
        <w:t xml:space="preserve"> (11.9% and 14.33%) compared to 26.62% and 28.27% in local varieties, respectively.</w:t>
      </w:r>
      <w:r w:rsidR="006950B6">
        <w:rPr>
          <w:rFonts w:ascii="Arial" w:eastAsia="Times New Roman" w:hAnsi="Arial" w:cs="Arial"/>
          <w:sz w:val="20"/>
          <w:szCs w:val="20"/>
          <w:lang w:val="en-IN"/>
        </w:rPr>
        <w:t xml:space="preserve"> </w:t>
      </w:r>
      <w:r w:rsidRPr="00662CB0">
        <w:rPr>
          <w:rFonts w:ascii="Arial" w:eastAsia="Times New Roman" w:hAnsi="Arial" w:cs="Arial"/>
          <w:sz w:val="20"/>
          <w:szCs w:val="20"/>
          <w:lang w:val="en-IN"/>
        </w:rPr>
        <w:t xml:space="preserve">According to the scales defined by (Sharma, 1986) and (Singh, 2004), </w:t>
      </w:r>
      <w:r w:rsidRPr="00662CB0">
        <w:rPr>
          <w:rFonts w:ascii="Arial" w:eastAsia="Times New Roman" w:hAnsi="Arial" w:cs="Arial"/>
          <w:i/>
          <w:iCs/>
          <w:sz w:val="20"/>
          <w:szCs w:val="20"/>
          <w:lang w:val="en-IN"/>
        </w:rPr>
        <w:t>Bhima Super</w:t>
      </w:r>
      <w:r w:rsidRPr="00662CB0">
        <w:rPr>
          <w:rFonts w:ascii="Arial" w:eastAsia="Times New Roman" w:hAnsi="Arial" w:cs="Arial"/>
          <w:sz w:val="20"/>
          <w:szCs w:val="20"/>
          <w:lang w:val="en-IN"/>
        </w:rPr>
        <w:t xml:space="preserve"> was categorized as moderately resistant (MR) to both diseases, while the local check was moderately susceptible (MS). The lower infection levels may be attributed to structural resistance mechanisms such as thicker epidermal layers and reduced stomatal density (Patil et al., 2021).</w:t>
      </w:r>
      <w:r w:rsidR="006950B6">
        <w:rPr>
          <w:rFonts w:ascii="Arial" w:eastAsia="Times New Roman" w:hAnsi="Arial" w:cs="Arial"/>
          <w:sz w:val="20"/>
          <w:szCs w:val="20"/>
          <w:lang w:val="en-IN"/>
        </w:rPr>
        <w:t xml:space="preserve"> </w:t>
      </w:r>
      <w:r w:rsidRPr="00662CB0">
        <w:rPr>
          <w:rFonts w:ascii="Arial" w:eastAsia="Times New Roman" w:hAnsi="Arial" w:cs="Arial"/>
          <w:sz w:val="20"/>
          <w:szCs w:val="20"/>
          <w:lang w:val="en-IN"/>
        </w:rPr>
        <w:t xml:space="preserve">Similar resistance patterns were also observed by (Umamaheswarappa et al., 2018) and (Mahajan &amp; Khar, 2021), confirming that improved onion varieties bred at DOGR exhibit broad tolerance to </w:t>
      </w:r>
      <w:r w:rsidRPr="00662CB0">
        <w:rPr>
          <w:rFonts w:ascii="Arial" w:eastAsia="Times New Roman" w:hAnsi="Arial" w:cs="Arial"/>
          <w:i/>
          <w:iCs/>
          <w:sz w:val="20"/>
          <w:szCs w:val="20"/>
          <w:lang w:val="en-IN"/>
        </w:rPr>
        <w:t xml:space="preserve">Alternaria </w:t>
      </w:r>
      <w:proofErr w:type="spellStart"/>
      <w:r w:rsidRPr="00662CB0">
        <w:rPr>
          <w:rFonts w:ascii="Arial" w:eastAsia="Times New Roman" w:hAnsi="Arial" w:cs="Arial"/>
          <w:i/>
          <w:iCs/>
          <w:sz w:val="20"/>
          <w:szCs w:val="20"/>
          <w:lang w:val="en-IN"/>
        </w:rPr>
        <w:t>porri</w:t>
      </w:r>
      <w:proofErr w:type="spellEnd"/>
      <w:r w:rsidRPr="00662CB0">
        <w:rPr>
          <w:rFonts w:ascii="Arial" w:eastAsia="Times New Roman" w:hAnsi="Arial" w:cs="Arial"/>
          <w:sz w:val="20"/>
          <w:szCs w:val="20"/>
          <w:lang w:val="en-IN"/>
        </w:rPr>
        <w:t xml:space="preserve"> and </w:t>
      </w:r>
      <w:proofErr w:type="spellStart"/>
      <w:r w:rsidRPr="00662CB0">
        <w:rPr>
          <w:rFonts w:ascii="Arial" w:eastAsia="Times New Roman" w:hAnsi="Arial" w:cs="Arial"/>
          <w:i/>
          <w:iCs/>
          <w:sz w:val="20"/>
          <w:szCs w:val="20"/>
          <w:lang w:val="en-IN"/>
        </w:rPr>
        <w:t>Stemphylium</w:t>
      </w:r>
      <w:proofErr w:type="spellEnd"/>
      <w:r w:rsidRPr="00662CB0">
        <w:rPr>
          <w:rFonts w:ascii="Arial" w:eastAsia="Times New Roman" w:hAnsi="Arial" w:cs="Arial"/>
          <w:i/>
          <w:iCs/>
          <w:sz w:val="20"/>
          <w:szCs w:val="20"/>
          <w:lang w:val="en-IN"/>
        </w:rPr>
        <w:t xml:space="preserve"> </w:t>
      </w:r>
      <w:proofErr w:type="spellStart"/>
      <w:r w:rsidRPr="00662CB0">
        <w:rPr>
          <w:rFonts w:ascii="Arial" w:eastAsia="Times New Roman" w:hAnsi="Arial" w:cs="Arial"/>
          <w:i/>
          <w:iCs/>
          <w:sz w:val="20"/>
          <w:szCs w:val="20"/>
          <w:lang w:val="en-IN"/>
        </w:rPr>
        <w:t>vesicarium</w:t>
      </w:r>
      <w:proofErr w:type="spellEnd"/>
      <w:r w:rsidRPr="00662CB0">
        <w:rPr>
          <w:rFonts w:ascii="Arial" w:eastAsia="Times New Roman" w:hAnsi="Arial" w:cs="Arial"/>
          <w:sz w:val="20"/>
          <w:szCs w:val="20"/>
          <w:lang w:val="en-IN"/>
        </w:rPr>
        <w:t>.</w:t>
      </w:r>
    </w:p>
    <w:p w14:paraId="0D462800" w14:textId="33D7DD8C" w:rsidR="002B23F6" w:rsidRPr="00662CB0" w:rsidRDefault="002B23F6" w:rsidP="00662CB0">
      <w:pPr>
        <w:spacing w:after="0" w:line="240" w:lineRule="auto"/>
        <w:jc w:val="both"/>
        <w:rPr>
          <w:rFonts w:ascii="Arial" w:eastAsia="Times New Roman" w:hAnsi="Arial" w:cs="Arial"/>
          <w:sz w:val="20"/>
          <w:szCs w:val="20"/>
          <w:lang w:val="en-IN"/>
        </w:rPr>
      </w:pPr>
    </w:p>
    <w:p w14:paraId="577947FD" w14:textId="692732B0" w:rsidR="002B23F6" w:rsidRPr="00662CB0" w:rsidRDefault="002B23F6" w:rsidP="00662CB0">
      <w:pPr>
        <w:spacing w:after="0" w:line="240" w:lineRule="auto"/>
        <w:jc w:val="both"/>
        <w:rPr>
          <w:rFonts w:ascii="Arial" w:eastAsia="Times New Roman" w:hAnsi="Arial" w:cs="Arial"/>
          <w:b/>
          <w:bCs/>
          <w:sz w:val="20"/>
          <w:szCs w:val="20"/>
          <w:lang w:val="en-IN"/>
        </w:rPr>
      </w:pPr>
      <w:r w:rsidRPr="00662CB0">
        <w:rPr>
          <w:rFonts w:ascii="Arial" w:eastAsia="Times New Roman" w:hAnsi="Arial" w:cs="Arial"/>
          <w:b/>
          <w:bCs/>
          <w:sz w:val="20"/>
          <w:szCs w:val="20"/>
          <w:lang w:val="en-IN"/>
        </w:rPr>
        <w:t>3.4. Farmer Feedback and Varietal Preference</w:t>
      </w:r>
    </w:p>
    <w:p w14:paraId="62CB9365" w14:textId="77777777" w:rsidR="002B23F6" w:rsidRPr="00662CB0" w:rsidRDefault="002B23F6" w:rsidP="00662CB0">
      <w:pPr>
        <w:spacing w:after="0" w:line="240" w:lineRule="auto"/>
        <w:jc w:val="both"/>
        <w:rPr>
          <w:rFonts w:ascii="Arial" w:eastAsia="Times New Roman" w:hAnsi="Arial" w:cs="Arial"/>
          <w:sz w:val="20"/>
          <w:szCs w:val="20"/>
          <w:lang w:val="en-IN"/>
        </w:rPr>
      </w:pPr>
      <w:r w:rsidRPr="00662CB0">
        <w:rPr>
          <w:rFonts w:ascii="Arial" w:eastAsia="Times New Roman" w:hAnsi="Arial" w:cs="Arial"/>
          <w:sz w:val="20"/>
          <w:szCs w:val="20"/>
          <w:lang w:val="en-IN"/>
        </w:rPr>
        <w:t xml:space="preserve">Farmers’ perception of varietal attributes and preference ranking are shown in </w:t>
      </w:r>
      <w:r w:rsidRPr="006950B6">
        <w:rPr>
          <w:rFonts w:ascii="Arial" w:eastAsia="Times New Roman" w:hAnsi="Arial" w:cs="Arial"/>
          <w:bCs/>
          <w:sz w:val="20"/>
          <w:szCs w:val="20"/>
          <w:lang w:val="en-IN"/>
        </w:rPr>
        <w:t>Table 6</w:t>
      </w:r>
      <w:r w:rsidRPr="006950B6">
        <w:rPr>
          <w:rFonts w:ascii="Arial" w:eastAsia="Times New Roman" w:hAnsi="Arial" w:cs="Arial"/>
          <w:sz w:val="20"/>
          <w:szCs w:val="20"/>
          <w:lang w:val="en-IN"/>
        </w:rPr>
        <w:t>.</w:t>
      </w:r>
    </w:p>
    <w:p w14:paraId="36E26568" w14:textId="0F73BA7A" w:rsidR="002B23F6" w:rsidRPr="00662CB0" w:rsidRDefault="002B23F6" w:rsidP="00662CB0">
      <w:pPr>
        <w:spacing w:after="0" w:line="240" w:lineRule="auto"/>
        <w:jc w:val="both"/>
        <w:rPr>
          <w:rFonts w:ascii="Arial" w:eastAsia="Times New Roman" w:hAnsi="Arial" w:cs="Arial"/>
          <w:sz w:val="20"/>
          <w:szCs w:val="20"/>
          <w:lang w:val="en-IN"/>
        </w:rPr>
      </w:pPr>
    </w:p>
    <w:p w14:paraId="265906D9" w14:textId="77777777" w:rsidR="002B23F6" w:rsidRPr="00662CB0" w:rsidRDefault="002B23F6" w:rsidP="006950B6">
      <w:pPr>
        <w:spacing w:after="0" w:line="240" w:lineRule="auto"/>
        <w:jc w:val="center"/>
        <w:rPr>
          <w:rFonts w:ascii="Arial" w:eastAsia="Times New Roman" w:hAnsi="Arial" w:cs="Arial"/>
          <w:b/>
          <w:bCs/>
          <w:sz w:val="20"/>
          <w:szCs w:val="20"/>
          <w:lang w:val="en-IN"/>
        </w:rPr>
      </w:pPr>
      <w:r w:rsidRPr="00662CB0">
        <w:rPr>
          <w:rFonts w:ascii="Arial" w:eastAsia="Times New Roman" w:hAnsi="Arial" w:cs="Arial"/>
          <w:b/>
          <w:bCs/>
          <w:sz w:val="20"/>
          <w:szCs w:val="20"/>
          <w:lang w:val="en-IN"/>
        </w:rPr>
        <w:t>Table 6. Varietal Performance and Farmers’ Feedback on Onion Characteristics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4"/>
        <w:gridCol w:w="1228"/>
        <w:gridCol w:w="461"/>
        <w:gridCol w:w="661"/>
        <w:gridCol w:w="705"/>
        <w:gridCol w:w="483"/>
        <w:gridCol w:w="538"/>
        <w:gridCol w:w="1518"/>
        <w:gridCol w:w="1439"/>
        <w:gridCol w:w="994"/>
        <w:gridCol w:w="565"/>
      </w:tblGrid>
      <w:tr w:rsidR="002B23F6" w:rsidRPr="006950B6" w14:paraId="62A5E556" w14:textId="77777777" w:rsidTr="006950B6">
        <w:trPr>
          <w:tblHeader/>
          <w:tblCellSpacing w:w="15" w:type="dxa"/>
        </w:trPr>
        <w:tc>
          <w:tcPr>
            <w:tcW w:w="0" w:type="auto"/>
            <w:tcBorders>
              <w:top w:val="single" w:sz="4" w:space="0" w:color="auto"/>
              <w:bottom w:val="single" w:sz="4" w:space="0" w:color="auto"/>
            </w:tcBorders>
            <w:vAlign w:val="center"/>
            <w:hideMark/>
          </w:tcPr>
          <w:p w14:paraId="406871EC" w14:textId="77777777" w:rsidR="002B23F6" w:rsidRPr="006950B6" w:rsidRDefault="002B23F6" w:rsidP="00662CB0">
            <w:pPr>
              <w:spacing w:after="0" w:line="240" w:lineRule="auto"/>
              <w:jc w:val="both"/>
              <w:rPr>
                <w:rFonts w:ascii="Arial" w:eastAsia="Times New Roman" w:hAnsi="Arial" w:cs="Arial"/>
                <w:b/>
                <w:bCs/>
                <w:sz w:val="20"/>
                <w:szCs w:val="20"/>
                <w:highlight w:val="yellow"/>
                <w:lang w:val="en-IN"/>
              </w:rPr>
            </w:pPr>
            <w:r w:rsidRPr="006950B6">
              <w:rPr>
                <w:rFonts w:ascii="Arial" w:eastAsia="Times New Roman" w:hAnsi="Arial" w:cs="Arial"/>
                <w:b/>
                <w:bCs/>
                <w:sz w:val="20"/>
                <w:szCs w:val="20"/>
                <w:highlight w:val="yellow"/>
                <w:lang w:val="en-IN"/>
              </w:rPr>
              <w:t>Sl. No</w:t>
            </w:r>
          </w:p>
        </w:tc>
        <w:tc>
          <w:tcPr>
            <w:tcW w:w="0" w:type="auto"/>
            <w:tcBorders>
              <w:top w:val="single" w:sz="4" w:space="0" w:color="auto"/>
              <w:bottom w:val="single" w:sz="4" w:space="0" w:color="auto"/>
            </w:tcBorders>
            <w:vAlign w:val="center"/>
            <w:hideMark/>
          </w:tcPr>
          <w:p w14:paraId="01E74254" w14:textId="77777777" w:rsidR="002B23F6" w:rsidRPr="006950B6" w:rsidRDefault="002B23F6" w:rsidP="00662CB0">
            <w:pPr>
              <w:spacing w:after="0" w:line="240" w:lineRule="auto"/>
              <w:jc w:val="both"/>
              <w:rPr>
                <w:rFonts w:ascii="Arial" w:eastAsia="Times New Roman" w:hAnsi="Arial" w:cs="Arial"/>
                <w:b/>
                <w:bCs/>
                <w:sz w:val="20"/>
                <w:szCs w:val="20"/>
                <w:highlight w:val="yellow"/>
                <w:lang w:val="en-IN"/>
              </w:rPr>
            </w:pPr>
            <w:r w:rsidRPr="006950B6">
              <w:rPr>
                <w:rFonts w:ascii="Arial" w:eastAsia="Times New Roman" w:hAnsi="Arial" w:cs="Arial"/>
                <w:b/>
                <w:bCs/>
                <w:sz w:val="20"/>
                <w:szCs w:val="20"/>
                <w:highlight w:val="yellow"/>
                <w:lang w:val="en-IN"/>
              </w:rPr>
              <w:t>Variety</w:t>
            </w:r>
          </w:p>
        </w:tc>
        <w:tc>
          <w:tcPr>
            <w:tcW w:w="0" w:type="auto"/>
            <w:tcBorders>
              <w:top w:val="single" w:sz="4" w:space="0" w:color="auto"/>
              <w:bottom w:val="single" w:sz="4" w:space="0" w:color="auto"/>
            </w:tcBorders>
            <w:vAlign w:val="center"/>
            <w:hideMark/>
          </w:tcPr>
          <w:p w14:paraId="1FE850F5" w14:textId="77777777" w:rsidR="002B23F6" w:rsidRPr="006950B6" w:rsidRDefault="002B23F6" w:rsidP="00662CB0">
            <w:pPr>
              <w:spacing w:after="0" w:line="240" w:lineRule="auto"/>
              <w:jc w:val="both"/>
              <w:rPr>
                <w:rFonts w:ascii="Arial" w:eastAsia="Times New Roman" w:hAnsi="Arial" w:cs="Arial"/>
                <w:b/>
                <w:bCs/>
                <w:sz w:val="20"/>
                <w:szCs w:val="20"/>
                <w:highlight w:val="yellow"/>
                <w:lang w:val="en-IN"/>
              </w:rPr>
            </w:pPr>
            <w:r w:rsidRPr="006950B6">
              <w:rPr>
                <w:rFonts w:ascii="Arial" w:eastAsia="Times New Roman" w:hAnsi="Arial" w:cs="Arial"/>
                <w:b/>
                <w:bCs/>
                <w:sz w:val="20"/>
                <w:szCs w:val="20"/>
                <w:highlight w:val="yellow"/>
                <w:lang w:val="en-IN"/>
              </w:rPr>
              <w:t>Size</w:t>
            </w:r>
          </w:p>
        </w:tc>
        <w:tc>
          <w:tcPr>
            <w:tcW w:w="0" w:type="auto"/>
            <w:tcBorders>
              <w:top w:val="single" w:sz="4" w:space="0" w:color="auto"/>
              <w:bottom w:val="single" w:sz="4" w:space="0" w:color="auto"/>
            </w:tcBorders>
            <w:vAlign w:val="center"/>
            <w:hideMark/>
          </w:tcPr>
          <w:p w14:paraId="2E768293" w14:textId="77777777" w:rsidR="002B23F6" w:rsidRPr="006950B6" w:rsidRDefault="002B23F6" w:rsidP="00662CB0">
            <w:pPr>
              <w:spacing w:after="0" w:line="240" w:lineRule="auto"/>
              <w:jc w:val="both"/>
              <w:rPr>
                <w:rFonts w:ascii="Arial" w:eastAsia="Times New Roman" w:hAnsi="Arial" w:cs="Arial"/>
                <w:b/>
                <w:bCs/>
                <w:sz w:val="20"/>
                <w:szCs w:val="20"/>
                <w:highlight w:val="yellow"/>
                <w:lang w:val="en-IN"/>
              </w:rPr>
            </w:pPr>
            <w:r w:rsidRPr="006950B6">
              <w:rPr>
                <w:rFonts w:ascii="Arial" w:eastAsia="Times New Roman" w:hAnsi="Arial" w:cs="Arial"/>
                <w:b/>
                <w:bCs/>
                <w:sz w:val="20"/>
                <w:szCs w:val="20"/>
                <w:highlight w:val="yellow"/>
                <w:lang w:val="en-IN"/>
              </w:rPr>
              <w:t>Shape</w:t>
            </w:r>
          </w:p>
        </w:tc>
        <w:tc>
          <w:tcPr>
            <w:tcW w:w="0" w:type="auto"/>
            <w:tcBorders>
              <w:top w:val="single" w:sz="4" w:space="0" w:color="auto"/>
              <w:bottom w:val="single" w:sz="4" w:space="0" w:color="auto"/>
            </w:tcBorders>
            <w:vAlign w:val="center"/>
            <w:hideMark/>
          </w:tcPr>
          <w:p w14:paraId="137C1B65" w14:textId="77777777" w:rsidR="002B23F6" w:rsidRPr="006950B6" w:rsidRDefault="002B23F6" w:rsidP="00662CB0">
            <w:pPr>
              <w:spacing w:after="0" w:line="240" w:lineRule="auto"/>
              <w:jc w:val="both"/>
              <w:rPr>
                <w:rFonts w:ascii="Arial" w:eastAsia="Times New Roman" w:hAnsi="Arial" w:cs="Arial"/>
                <w:b/>
                <w:bCs/>
                <w:sz w:val="20"/>
                <w:szCs w:val="20"/>
                <w:highlight w:val="yellow"/>
                <w:lang w:val="en-IN"/>
              </w:rPr>
            </w:pPr>
            <w:r w:rsidRPr="006950B6">
              <w:rPr>
                <w:rFonts w:ascii="Arial" w:eastAsia="Times New Roman" w:hAnsi="Arial" w:cs="Arial"/>
                <w:b/>
                <w:bCs/>
                <w:sz w:val="20"/>
                <w:szCs w:val="20"/>
                <w:highlight w:val="yellow"/>
                <w:lang w:val="en-IN"/>
              </w:rPr>
              <w:t>Colour</w:t>
            </w:r>
          </w:p>
        </w:tc>
        <w:tc>
          <w:tcPr>
            <w:tcW w:w="0" w:type="auto"/>
            <w:tcBorders>
              <w:top w:val="single" w:sz="4" w:space="0" w:color="auto"/>
              <w:bottom w:val="single" w:sz="4" w:space="0" w:color="auto"/>
            </w:tcBorders>
            <w:vAlign w:val="center"/>
            <w:hideMark/>
          </w:tcPr>
          <w:p w14:paraId="1B33AAF0" w14:textId="77777777" w:rsidR="002B23F6" w:rsidRPr="006950B6" w:rsidRDefault="002B23F6" w:rsidP="00662CB0">
            <w:pPr>
              <w:spacing w:after="0" w:line="240" w:lineRule="auto"/>
              <w:jc w:val="both"/>
              <w:rPr>
                <w:rFonts w:ascii="Arial" w:eastAsia="Times New Roman" w:hAnsi="Arial" w:cs="Arial"/>
                <w:b/>
                <w:bCs/>
                <w:sz w:val="20"/>
                <w:szCs w:val="20"/>
                <w:highlight w:val="yellow"/>
                <w:lang w:val="en-IN"/>
              </w:rPr>
            </w:pPr>
            <w:r w:rsidRPr="006950B6">
              <w:rPr>
                <w:rFonts w:ascii="Arial" w:eastAsia="Times New Roman" w:hAnsi="Arial" w:cs="Arial"/>
                <w:b/>
                <w:bCs/>
                <w:sz w:val="20"/>
                <w:szCs w:val="20"/>
                <w:highlight w:val="yellow"/>
                <w:lang w:val="en-IN"/>
              </w:rPr>
              <w:t>Skin</w:t>
            </w:r>
          </w:p>
        </w:tc>
        <w:tc>
          <w:tcPr>
            <w:tcW w:w="0" w:type="auto"/>
            <w:tcBorders>
              <w:top w:val="single" w:sz="4" w:space="0" w:color="auto"/>
              <w:bottom w:val="single" w:sz="4" w:space="0" w:color="auto"/>
            </w:tcBorders>
            <w:vAlign w:val="center"/>
            <w:hideMark/>
          </w:tcPr>
          <w:p w14:paraId="28318A56" w14:textId="77777777" w:rsidR="002B23F6" w:rsidRPr="006950B6" w:rsidRDefault="002B23F6" w:rsidP="00662CB0">
            <w:pPr>
              <w:spacing w:after="0" w:line="240" w:lineRule="auto"/>
              <w:jc w:val="both"/>
              <w:rPr>
                <w:rFonts w:ascii="Arial" w:eastAsia="Times New Roman" w:hAnsi="Arial" w:cs="Arial"/>
                <w:b/>
                <w:bCs/>
                <w:sz w:val="20"/>
                <w:szCs w:val="20"/>
                <w:highlight w:val="yellow"/>
                <w:lang w:val="en-IN"/>
              </w:rPr>
            </w:pPr>
            <w:r w:rsidRPr="006950B6">
              <w:rPr>
                <w:rFonts w:ascii="Arial" w:eastAsia="Times New Roman" w:hAnsi="Arial" w:cs="Arial"/>
                <w:b/>
                <w:bCs/>
                <w:sz w:val="20"/>
                <w:szCs w:val="20"/>
                <w:highlight w:val="yellow"/>
                <w:lang w:val="en-IN"/>
              </w:rPr>
              <w:t>Yield</w:t>
            </w:r>
          </w:p>
        </w:tc>
        <w:tc>
          <w:tcPr>
            <w:tcW w:w="0" w:type="auto"/>
            <w:tcBorders>
              <w:top w:val="single" w:sz="4" w:space="0" w:color="auto"/>
              <w:bottom w:val="single" w:sz="4" w:space="0" w:color="auto"/>
            </w:tcBorders>
            <w:vAlign w:val="center"/>
            <w:hideMark/>
          </w:tcPr>
          <w:p w14:paraId="0F94D438" w14:textId="77777777" w:rsidR="002B23F6" w:rsidRPr="006950B6" w:rsidRDefault="002B23F6" w:rsidP="00662CB0">
            <w:pPr>
              <w:spacing w:after="0" w:line="240" w:lineRule="auto"/>
              <w:jc w:val="both"/>
              <w:rPr>
                <w:rFonts w:ascii="Arial" w:eastAsia="Times New Roman" w:hAnsi="Arial" w:cs="Arial"/>
                <w:b/>
                <w:bCs/>
                <w:sz w:val="20"/>
                <w:szCs w:val="20"/>
                <w:highlight w:val="yellow"/>
                <w:lang w:val="en-IN"/>
              </w:rPr>
            </w:pPr>
            <w:r w:rsidRPr="006950B6">
              <w:rPr>
                <w:rFonts w:ascii="Arial" w:eastAsia="Times New Roman" w:hAnsi="Arial" w:cs="Arial"/>
                <w:b/>
                <w:bCs/>
                <w:sz w:val="20"/>
                <w:szCs w:val="20"/>
                <w:highlight w:val="yellow"/>
                <w:lang w:val="en-IN"/>
              </w:rPr>
              <w:t>Market Preference</w:t>
            </w:r>
          </w:p>
        </w:tc>
        <w:tc>
          <w:tcPr>
            <w:tcW w:w="0" w:type="auto"/>
            <w:tcBorders>
              <w:top w:val="single" w:sz="4" w:space="0" w:color="auto"/>
              <w:bottom w:val="single" w:sz="4" w:space="0" w:color="auto"/>
            </w:tcBorders>
            <w:vAlign w:val="center"/>
            <w:hideMark/>
          </w:tcPr>
          <w:p w14:paraId="5B9E2D0D" w14:textId="77777777" w:rsidR="002B23F6" w:rsidRPr="006950B6" w:rsidRDefault="002B23F6" w:rsidP="00662CB0">
            <w:pPr>
              <w:spacing w:after="0" w:line="240" w:lineRule="auto"/>
              <w:jc w:val="both"/>
              <w:rPr>
                <w:rFonts w:ascii="Arial" w:eastAsia="Times New Roman" w:hAnsi="Arial" w:cs="Arial"/>
                <w:b/>
                <w:bCs/>
                <w:sz w:val="20"/>
                <w:szCs w:val="20"/>
                <w:highlight w:val="yellow"/>
                <w:lang w:val="en-IN"/>
              </w:rPr>
            </w:pPr>
            <w:r w:rsidRPr="006950B6">
              <w:rPr>
                <w:rFonts w:ascii="Arial" w:eastAsia="Times New Roman" w:hAnsi="Arial" w:cs="Arial"/>
                <w:b/>
                <w:bCs/>
                <w:sz w:val="20"/>
                <w:szCs w:val="20"/>
                <w:highlight w:val="yellow"/>
                <w:lang w:val="en-IN"/>
              </w:rPr>
              <w:t>Seed Availability</w:t>
            </w:r>
          </w:p>
        </w:tc>
        <w:tc>
          <w:tcPr>
            <w:tcW w:w="0" w:type="auto"/>
            <w:tcBorders>
              <w:top w:val="single" w:sz="4" w:space="0" w:color="auto"/>
              <w:bottom w:val="single" w:sz="4" w:space="0" w:color="auto"/>
            </w:tcBorders>
            <w:vAlign w:val="center"/>
            <w:hideMark/>
          </w:tcPr>
          <w:p w14:paraId="5E333B37" w14:textId="77777777" w:rsidR="002B23F6" w:rsidRPr="006950B6" w:rsidRDefault="002B23F6" w:rsidP="00662CB0">
            <w:pPr>
              <w:spacing w:after="0" w:line="240" w:lineRule="auto"/>
              <w:jc w:val="both"/>
              <w:rPr>
                <w:rFonts w:ascii="Arial" w:eastAsia="Times New Roman" w:hAnsi="Arial" w:cs="Arial"/>
                <w:b/>
                <w:bCs/>
                <w:sz w:val="20"/>
                <w:szCs w:val="20"/>
                <w:highlight w:val="yellow"/>
                <w:lang w:val="en-IN"/>
              </w:rPr>
            </w:pPr>
            <w:r w:rsidRPr="006950B6">
              <w:rPr>
                <w:rFonts w:ascii="Arial" w:eastAsia="Times New Roman" w:hAnsi="Arial" w:cs="Arial"/>
                <w:b/>
                <w:bCs/>
                <w:sz w:val="20"/>
                <w:szCs w:val="20"/>
                <w:highlight w:val="yellow"/>
                <w:lang w:val="en-IN"/>
              </w:rPr>
              <w:t>Total Points</w:t>
            </w:r>
          </w:p>
        </w:tc>
        <w:tc>
          <w:tcPr>
            <w:tcW w:w="0" w:type="auto"/>
            <w:tcBorders>
              <w:top w:val="single" w:sz="4" w:space="0" w:color="auto"/>
              <w:bottom w:val="single" w:sz="4" w:space="0" w:color="auto"/>
            </w:tcBorders>
            <w:vAlign w:val="center"/>
            <w:hideMark/>
          </w:tcPr>
          <w:p w14:paraId="6E73919B" w14:textId="77777777" w:rsidR="002B23F6" w:rsidRPr="006950B6" w:rsidRDefault="002B23F6" w:rsidP="00662CB0">
            <w:pPr>
              <w:spacing w:after="0" w:line="240" w:lineRule="auto"/>
              <w:jc w:val="both"/>
              <w:rPr>
                <w:rFonts w:ascii="Arial" w:eastAsia="Times New Roman" w:hAnsi="Arial" w:cs="Arial"/>
                <w:b/>
                <w:bCs/>
                <w:sz w:val="20"/>
                <w:szCs w:val="20"/>
                <w:highlight w:val="yellow"/>
                <w:lang w:val="en-IN"/>
              </w:rPr>
            </w:pPr>
            <w:r w:rsidRPr="006950B6">
              <w:rPr>
                <w:rFonts w:ascii="Arial" w:eastAsia="Times New Roman" w:hAnsi="Arial" w:cs="Arial"/>
                <w:b/>
                <w:bCs/>
                <w:sz w:val="20"/>
                <w:szCs w:val="20"/>
                <w:highlight w:val="yellow"/>
                <w:lang w:val="en-IN"/>
              </w:rPr>
              <w:t>Rank</w:t>
            </w:r>
          </w:p>
        </w:tc>
      </w:tr>
      <w:tr w:rsidR="002B23F6" w:rsidRPr="006950B6" w14:paraId="46E9223A" w14:textId="77777777" w:rsidTr="006950B6">
        <w:trPr>
          <w:tblCellSpacing w:w="15" w:type="dxa"/>
        </w:trPr>
        <w:tc>
          <w:tcPr>
            <w:tcW w:w="0" w:type="auto"/>
            <w:vAlign w:val="center"/>
            <w:hideMark/>
          </w:tcPr>
          <w:p w14:paraId="115C022A" w14:textId="77777777"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sz w:val="20"/>
                <w:szCs w:val="20"/>
                <w:highlight w:val="yellow"/>
                <w:lang w:val="en-IN"/>
              </w:rPr>
              <w:t>1</w:t>
            </w:r>
          </w:p>
        </w:tc>
        <w:tc>
          <w:tcPr>
            <w:tcW w:w="0" w:type="auto"/>
            <w:vAlign w:val="center"/>
            <w:hideMark/>
          </w:tcPr>
          <w:p w14:paraId="11CBCAA5" w14:textId="77777777"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sz w:val="20"/>
                <w:szCs w:val="20"/>
                <w:highlight w:val="yellow"/>
                <w:lang w:val="en-IN"/>
              </w:rPr>
              <w:t>Bellary Red</w:t>
            </w:r>
          </w:p>
        </w:tc>
        <w:tc>
          <w:tcPr>
            <w:tcW w:w="0" w:type="auto"/>
            <w:vAlign w:val="center"/>
            <w:hideMark/>
          </w:tcPr>
          <w:p w14:paraId="5229D70F" w14:textId="77777777"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sz w:val="20"/>
                <w:szCs w:val="20"/>
                <w:highlight w:val="yellow"/>
                <w:lang w:val="en-IN"/>
              </w:rPr>
              <w:t>3</w:t>
            </w:r>
          </w:p>
        </w:tc>
        <w:tc>
          <w:tcPr>
            <w:tcW w:w="0" w:type="auto"/>
            <w:vAlign w:val="center"/>
            <w:hideMark/>
          </w:tcPr>
          <w:p w14:paraId="2A2C405A" w14:textId="77777777"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sz w:val="20"/>
                <w:szCs w:val="20"/>
                <w:highlight w:val="yellow"/>
                <w:lang w:val="en-IN"/>
              </w:rPr>
              <w:t>3</w:t>
            </w:r>
          </w:p>
        </w:tc>
        <w:tc>
          <w:tcPr>
            <w:tcW w:w="0" w:type="auto"/>
            <w:vAlign w:val="center"/>
            <w:hideMark/>
          </w:tcPr>
          <w:p w14:paraId="7EAD97BB" w14:textId="77777777"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sz w:val="20"/>
                <w:szCs w:val="20"/>
                <w:highlight w:val="yellow"/>
                <w:lang w:val="en-IN"/>
              </w:rPr>
              <w:t>4</w:t>
            </w:r>
          </w:p>
        </w:tc>
        <w:tc>
          <w:tcPr>
            <w:tcW w:w="0" w:type="auto"/>
            <w:vAlign w:val="center"/>
            <w:hideMark/>
          </w:tcPr>
          <w:p w14:paraId="64A2D55F" w14:textId="77777777"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sz w:val="20"/>
                <w:szCs w:val="20"/>
                <w:highlight w:val="yellow"/>
                <w:lang w:val="en-IN"/>
              </w:rPr>
              <w:t>4</w:t>
            </w:r>
          </w:p>
        </w:tc>
        <w:tc>
          <w:tcPr>
            <w:tcW w:w="0" w:type="auto"/>
            <w:vAlign w:val="center"/>
            <w:hideMark/>
          </w:tcPr>
          <w:p w14:paraId="55E081D7" w14:textId="77777777"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sz w:val="20"/>
                <w:szCs w:val="20"/>
                <w:highlight w:val="yellow"/>
                <w:lang w:val="en-IN"/>
              </w:rPr>
              <w:t>3</w:t>
            </w:r>
          </w:p>
        </w:tc>
        <w:tc>
          <w:tcPr>
            <w:tcW w:w="0" w:type="auto"/>
            <w:vAlign w:val="center"/>
            <w:hideMark/>
          </w:tcPr>
          <w:p w14:paraId="20E1F744" w14:textId="77777777"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sz w:val="20"/>
                <w:szCs w:val="20"/>
                <w:highlight w:val="yellow"/>
                <w:lang w:val="en-IN"/>
              </w:rPr>
              <w:t>4</w:t>
            </w:r>
          </w:p>
        </w:tc>
        <w:tc>
          <w:tcPr>
            <w:tcW w:w="0" w:type="auto"/>
            <w:vAlign w:val="center"/>
            <w:hideMark/>
          </w:tcPr>
          <w:p w14:paraId="17D79D3C" w14:textId="77777777"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sz w:val="20"/>
                <w:szCs w:val="20"/>
                <w:highlight w:val="yellow"/>
                <w:lang w:val="en-IN"/>
              </w:rPr>
              <w:t>2</w:t>
            </w:r>
          </w:p>
        </w:tc>
        <w:tc>
          <w:tcPr>
            <w:tcW w:w="0" w:type="auto"/>
            <w:vAlign w:val="center"/>
            <w:hideMark/>
          </w:tcPr>
          <w:p w14:paraId="45B7BCBF" w14:textId="77777777"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sz w:val="20"/>
                <w:szCs w:val="20"/>
                <w:highlight w:val="yellow"/>
                <w:lang w:val="en-IN"/>
              </w:rPr>
              <w:t>23</w:t>
            </w:r>
          </w:p>
        </w:tc>
        <w:tc>
          <w:tcPr>
            <w:tcW w:w="0" w:type="auto"/>
            <w:vAlign w:val="center"/>
            <w:hideMark/>
          </w:tcPr>
          <w:p w14:paraId="34D0BCD6" w14:textId="77777777"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sz w:val="20"/>
                <w:szCs w:val="20"/>
                <w:highlight w:val="yellow"/>
                <w:lang w:val="en-IN"/>
              </w:rPr>
              <w:t>III</w:t>
            </w:r>
          </w:p>
        </w:tc>
      </w:tr>
      <w:tr w:rsidR="002B23F6" w:rsidRPr="006950B6" w14:paraId="0F4E5134" w14:textId="77777777" w:rsidTr="006950B6">
        <w:trPr>
          <w:tblCellSpacing w:w="15" w:type="dxa"/>
        </w:trPr>
        <w:tc>
          <w:tcPr>
            <w:tcW w:w="0" w:type="auto"/>
            <w:vAlign w:val="center"/>
            <w:hideMark/>
          </w:tcPr>
          <w:p w14:paraId="78D2E5A8" w14:textId="77777777"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sz w:val="20"/>
                <w:szCs w:val="20"/>
                <w:highlight w:val="yellow"/>
                <w:lang w:val="en-IN"/>
              </w:rPr>
              <w:t>2</w:t>
            </w:r>
          </w:p>
        </w:tc>
        <w:tc>
          <w:tcPr>
            <w:tcW w:w="0" w:type="auto"/>
            <w:vAlign w:val="center"/>
            <w:hideMark/>
          </w:tcPr>
          <w:p w14:paraId="4DC14F06" w14:textId="77777777" w:rsidR="002B23F6" w:rsidRPr="006950B6" w:rsidRDefault="002B23F6" w:rsidP="00662CB0">
            <w:pPr>
              <w:spacing w:after="0" w:line="240" w:lineRule="auto"/>
              <w:jc w:val="both"/>
              <w:rPr>
                <w:rFonts w:ascii="Arial" w:eastAsia="Times New Roman" w:hAnsi="Arial" w:cs="Arial"/>
                <w:sz w:val="20"/>
                <w:szCs w:val="20"/>
                <w:highlight w:val="yellow"/>
                <w:lang w:val="en-IN"/>
              </w:rPr>
            </w:pPr>
            <w:proofErr w:type="spellStart"/>
            <w:r w:rsidRPr="006950B6">
              <w:rPr>
                <w:rFonts w:ascii="Arial" w:eastAsia="Times New Roman" w:hAnsi="Arial" w:cs="Arial"/>
                <w:sz w:val="20"/>
                <w:szCs w:val="20"/>
                <w:highlight w:val="yellow"/>
                <w:lang w:val="en-IN"/>
              </w:rPr>
              <w:t>Nyamathi</w:t>
            </w:r>
            <w:proofErr w:type="spellEnd"/>
            <w:r w:rsidRPr="006950B6">
              <w:rPr>
                <w:rFonts w:ascii="Arial" w:eastAsia="Times New Roman" w:hAnsi="Arial" w:cs="Arial"/>
                <w:sz w:val="20"/>
                <w:szCs w:val="20"/>
                <w:highlight w:val="yellow"/>
                <w:lang w:val="en-IN"/>
              </w:rPr>
              <w:t xml:space="preserve"> Local</w:t>
            </w:r>
          </w:p>
        </w:tc>
        <w:tc>
          <w:tcPr>
            <w:tcW w:w="0" w:type="auto"/>
            <w:vAlign w:val="center"/>
            <w:hideMark/>
          </w:tcPr>
          <w:p w14:paraId="0C016FBA" w14:textId="77777777"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sz w:val="20"/>
                <w:szCs w:val="20"/>
                <w:highlight w:val="yellow"/>
                <w:lang w:val="en-IN"/>
              </w:rPr>
              <w:t>3</w:t>
            </w:r>
          </w:p>
        </w:tc>
        <w:tc>
          <w:tcPr>
            <w:tcW w:w="0" w:type="auto"/>
            <w:vAlign w:val="center"/>
            <w:hideMark/>
          </w:tcPr>
          <w:p w14:paraId="2E27DE2E" w14:textId="77777777"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sz w:val="20"/>
                <w:szCs w:val="20"/>
                <w:highlight w:val="yellow"/>
                <w:lang w:val="en-IN"/>
              </w:rPr>
              <w:t>3</w:t>
            </w:r>
          </w:p>
        </w:tc>
        <w:tc>
          <w:tcPr>
            <w:tcW w:w="0" w:type="auto"/>
            <w:vAlign w:val="center"/>
            <w:hideMark/>
          </w:tcPr>
          <w:p w14:paraId="4A83599C" w14:textId="77777777"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sz w:val="20"/>
                <w:szCs w:val="20"/>
                <w:highlight w:val="yellow"/>
                <w:lang w:val="en-IN"/>
              </w:rPr>
              <w:t>3</w:t>
            </w:r>
          </w:p>
        </w:tc>
        <w:tc>
          <w:tcPr>
            <w:tcW w:w="0" w:type="auto"/>
            <w:vAlign w:val="center"/>
            <w:hideMark/>
          </w:tcPr>
          <w:p w14:paraId="2C1199C7" w14:textId="77777777"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sz w:val="20"/>
                <w:szCs w:val="20"/>
                <w:highlight w:val="yellow"/>
                <w:lang w:val="en-IN"/>
              </w:rPr>
              <w:t>4</w:t>
            </w:r>
          </w:p>
        </w:tc>
        <w:tc>
          <w:tcPr>
            <w:tcW w:w="0" w:type="auto"/>
            <w:vAlign w:val="center"/>
            <w:hideMark/>
          </w:tcPr>
          <w:p w14:paraId="3A45348B" w14:textId="77777777"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sz w:val="20"/>
                <w:szCs w:val="20"/>
                <w:highlight w:val="yellow"/>
                <w:lang w:val="en-IN"/>
              </w:rPr>
              <w:t>3</w:t>
            </w:r>
          </w:p>
        </w:tc>
        <w:tc>
          <w:tcPr>
            <w:tcW w:w="0" w:type="auto"/>
            <w:vAlign w:val="center"/>
            <w:hideMark/>
          </w:tcPr>
          <w:p w14:paraId="0BFD9CC1" w14:textId="77777777"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sz w:val="20"/>
                <w:szCs w:val="20"/>
                <w:highlight w:val="yellow"/>
                <w:lang w:val="en-IN"/>
              </w:rPr>
              <w:t>3</w:t>
            </w:r>
          </w:p>
        </w:tc>
        <w:tc>
          <w:tcPr>
            <w:tcW w:w="0" w:type="auto"/>
            <w:vAlign w:val="center"/>
            <w:hideMark/>
          </w:tcPr>
          <w:p w14:paraId="1B734CF1" w14:textId="77777777"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sz w:val="20"/>
                <w:szCs w:val="20"/>
                <w:highlight w:val="yellow"/>
                <w:lang w:val="en-IN"/>
              </w:rPr>
              <w:t>2</w:t>
            </w:r>
          </w:p>
        </w:tc>
        <w:tc>
          <w:tcPr>
            <w:tcW w:w="0" w:type="auto"/>
            <w:vAlign w:val="center"/>
            <w:hideMark/>
          </w:tcPr>
          <w:p w14:paraId="315B6F33" w14:textId="77777777"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sz w:val="20"/>
                <w:szCs w:val="20"/>
                <w:highlight w:val="yellow"/>
                <w:lang w:val="en-IN"/>
              </w:rPr>
              <w:t>21</w:t>
            </w:r>
          </w:p>
        </w:tc>
        <w:tc>
          <w:tcPr>
            <w:tcW w:w="0" w:type="auto"/>
            <w:vAlign w:val="center"/>
            <w:hideMark/>
          </w:tcPr>
          <w:p w14:paraId="1BC5D378" w14:textId="77777777"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sz w:val="20"/>
                <w:szCs w:val="20"/>
                <w:highlight w:val="yellow"/>
                <w:lang w:val="en-IN"/>
              </w:rPr>
              <w:t>II</w:t>
            </w:r>
          </w:p>
        </w:tc>
      </w:tr>
      <w:tr w:rsidR="002B23F6" w:rsidRPr="00662CB0" w14:paraId="4215D8B3" w14:textId="77777777" w:rsidTr="006950B6">
        <w:trPr>
          <w:tblCellSpacing w:w="15" w:type="dxa"/>
        </w:trPr>
        <w:tc>
          <w:tcPr>
            <w:tcW w:w="0" w:type="auto"/>
            <w:tcBorders>
              <w:bottom w:val="single" w:sz="4" w:space="0" w:color="auto"/>
            </w:tcBorders>
            <w:vAlign w:val="center"/>
            <w:hideMark/>
          </w:tcPr>
          <w:p w14:paraId="4A8DEA9E" w14:textId="77777777"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sz w:val="20"/>
                <w:szCs w:val="20"/>
                <w:highlight w:val="yellow"/>
                <w:lang w:val="en-IN"/>
              </w:rPr>
              <w:t>3</w:t>
            </w:r>
          </w:p>
        </w:tc>
        <w:tc>
          <w:tcPr>
            <w:tcW w:w="0" w:type="auto"/>
            <w:tcBorders>
              <w:bottom w:val="single" w:sz="4" w:space="0" w:color="auto"/>
            </w:tcBorders>
            <w:vAlign w:val="center"/>
            <w:hideMark/>
          </w:tcPr>
          <w:p w14:paraId="416E881D" w14:textId="77777777"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b/>
                <w:bCs/>
                <w:sz w:val="20"/>
                <w:szCs w:val="20"/>
                <w:highlight w:val="yellow"/>
                <w:lang w:val="en-IN"/>
              </w:rPr>
              <w:t>Bhima Super</w:t>
            </w:r>
          </w:p>
        </w:tc>
        <w:tc>
          <w:tcPr>
            <w:tcW w:w="0" w:type="auto"/>
            <w:tcBorders>
              <w:bottom w:val="single" w:sz="4" w:space="0" w:color="auto"/>
            </w:tcBorders>
            <w:vAlign w:val="center"/>
            <w:hideMark/>
          </w:tcPr>
          <w:p w14:paraId="48689CC6" w14:textId="77777777"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b/>
                <w:bCs/>
                <w:sz w:val="20"/>
                <w:szCs w:val="20"/>
                <w:highlight w:val="yellow"/>
                <w:lang w:val="en-IN"/>
              </w:rPr>
              <w:t>1</w:t>
            </w:r>
          </w:p>
        </w:tc>
        <w:tc>
          <w:tcPr>
            <w:tcW w:w="0" w:type="auto"/>
            <w:tcBorders>
              <w:bottom w:val="single" w:sz="4" w:space="0" w:color="auto"/>
            </w:tcBorders>
            <w:vAlign w:val="center"/>
            <w:hideMark/>
          </w:tcPr>
          <w:p w14:paraId="70532268" w14:textId="77777777"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b/>
                <w:bCs/>
                <w:sz w:val="20"/>
                <w:szCs w:val="20"/>
                <w:highlight w:val="yellow"/>
                <w:lang w:val="en-IN"/>
              </w:rPr>
              <w:t>2</w:t>
            </w:r>
          </w:p>
        </w:tc>
        <w:tc>
          <w:tcPr>
            <w:tcW w:w="0" w:type="auto"/>
            <w:tcBorders>
              <w:bottom w:val="single" w:sz="4" w:space="0" w:color="auto"/>
            </w:tcBorders>
            <w:vAlign w:val="center"/>
            <w:hideMark/>
          </w:tcPr>
          <w:p w14:paraId="405BDEC0" w14:textId="77777777"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b/>
                <w:bCs/>
                <w:sz w:val="20"/>
                <w:szCs w:val="20"/>
                <w:highlight w:val="yellow"/>
                <w:lang w:val="en-IN"/>
              </w:rPr>
              <w:t>1</w:t>
            </w:r>
          </w:p>
        </w:tc>
        <w:tc>
          <w:tcPr>
            <w:tcW w:w="0" w:type="auto"/>
            <w:tcBorders>
              <w:bottom w:val="single" w:sz="4" w:space="0" w:color="auto"/>
            </w:tcBorders>
            <w:vAlign w:val="center"/>
            <w:hideMark/>
          </w:tcPr>
          <w:p w14:paraId="1F7D460A" w14:textId="77777777"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b/>
                <w:bCs/>
                <w:sz w:val="20"/>
                <w:szCs w:val="20"/>
                <w:highlight w:val="yellow"/>
                <w:lang w:val="en-IN"/>
              </w:rPr>
              <w:t>2</w:t>
            </w:r>
          </w:p>
        </w:tc>
        <w:tc>
          <w:tcPr>
            <w:tcW w:w="0" w:type="auto"/>
            <w:tcBorders>
              <w:bottom w:val="single" w:sz="4" w:space="0" w:color="auto"/>
            </w:tcBorders>
            <w:vAlign w:val="center"/>
            <w:hideMark/>
          </w:tcPr>
          <w:p w14:paraId="23F4C2C1" w14:textId="77777777"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b/>
                <w:bCs/>
                <w:sz w:val="20"/>
                <w:szCs w:val="20"/>
                <w:highlight w:val="yellow"/>
                <w:lang w:val="en-IN"/>
              </w:rPr>
              <w:t>1</w:t>
            </w:r>
          </w:p>
        </w:tc>
        <w:tc>
          <w:tcPr>
            <w:tcW w:w="0" w:type="auto"/>
            <w:tcBorders>
              <w:bottom w:val="single" w:sz="4" w:space="0" w:color="auto"/>
            </w:tcBorders>
            <w:vAlign w:val="center"/>
            <w:hideMark/>
          </w:tcPr>
          <w:p w14:paraId="7FE026C6" w14:textId="77777777"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b/>
                <w:bCs/>
                <w:sz w:val="20"/>
                <w:szCs w:val="20"/>
                <w:highlight w:val="yellow"/>
                <w:lang w:val="en-IN"/>
              </w:rPr>
              <w:t>1</w:t>
            </w:r>
          </w:p>
        </w:tc>
        <w:tc>
          <w:tcPr>
            <w:tcW w:w="0" w:type="auto"/>
            <w:tcBorders>
              <w:bottom w:val="single" w:sz="4" w:space="0" w:color="auto"/>
            </w:tcBorders>
            <w:vAlign w:val="center"/>
            <w:hideMark/>
          </w:tcPr>
          <w:p w14:paraId="553C70C4" w14:textId="77777777"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b/>
                <w:bCs/>
                <w:sz w:val="20"/>
                <w:szCs w:val="20"/>
                <w:highlight w:val="yellow"/>
                <w:lang w:val="en-IN"/>
              </w:rPr>
              <w:t>3</w:t>
            </w:r>
          </w:p>
        </w:tc>
        <w:tc>
          <w:tcPr>
            <w:tcW w:w="0" w:type="auto"/>
            <w:tcBorders>
              <w:bottom w:val="single" w:sz="4" w:space="0" w:color="auto"/>
            </w:tcBorders>
            <w:vAlign w:val="center"/>
            <w:hideMark/>
          </w:tcPr>
          <w:p w14:paraId="0ABEEC58" w14:textId="77777777" w:rsidR="002B23F6" w:rsidRPr="006950B6" w:rsidRDefault="002B23F6" w:rsidP="00662CB0">
            <w:pPr>
              <w:spacing w:after="0" w:line="240" w:lineRule="auto"/>
              <w:jc w:val="both"/>
              <w:rPr>
                <w:rFonts w:ascii="Arial" w:eastAsia="Times New Roman" w:hAnsi="Arial" w:cs="Arial"/>
                <w:sz w:val="20"/>
                <w:szCs w:val="20"/>
                <w:highlight w:val="yellow"/>
                <w:lang w:val="en-IN"/>
              </w:rPr>
            </w:pPr>
            <w:r w:rsidRPr="006950B6">
              <w:rPr>
                <w:rFonts w:ascii="Arial" w:eastAsia="Times New Roman" w:hAnsi="Arial" w:cs="Arial"/>
                <w:b/>
                <w:bCs/>
                <w:sz w:val="20"/>
                <w:szCs w:val="20"/>
                <w:highlight w:val="yellow"/>
                <w:lang w:val="en-IN"/>
              </w:rPr>
              <w:t>11</w:t>
            </w:r>
          </w:p>
        </w:tc>
        <w:tc>
          <w:tcPr>
            <w:tcW w:w="0" w:type="auto"/>
            <w:tcBorders>
              <w:bottom w:val="single" w:sz="4" w:space="0" w:color="auto"/>
            </w:tcBorders>
            <w:vAlign w:val="center"/>
            <w:hideMark/>
          </w:tcPr>
          <w:p w14:paraId="597D96FA" w14:textId="77777777" w:rsidR="002B23F6" w:rsidRPr="00662CB0" w:rsidRDefault="002B23F6" w:rsidP="00662CB0">
            <w:pPr>
              <w:spacing w:after="0" w:line="240" w:lineRule="auto"/>
              <w:jc w:val="both"/>
              <w:rPr>
                <w:rFonts w:ascii="Arial" w:eastAsia="Times New Roman" w:hAnsi="Arial" w:cs="Arial"/>
                <w:sz w:val="20"/>
                <w:szCs w:val="20"/>
                <w:lang w:val="en-IN"/>
              </w:rPr>
            </w:pPr>
            <w:r w:rsidRPr="006950B6">
              <w:rPr>
                <w:rFonts w:ascii="Arial" w:eastAsia="Times New Roman" w:hAnsi="Arial" w:cs="Arial"/>
                <w:b/>
                <w:bCs/>
                <w:sz w:val="20"/>
                <w:szCs w:val="20"/>
                <w:highlight w:val="yellow"/>
                <w:lang w:val="en-IN"/>
              </w:rPr>
              <w:t>I</w:t>
            </w:r>
          </w:p>
        </w:tc>
      </w:tr>
    </w:tbl>
    <w:p w14:paraId="5B2729BC" w14:textId="209009D4" w:rsidR="002B23F6" w:rsidRPr="00662CB0" w:rsidRDefault="002B23F6" w:rsidP="00662CB0">
      <w:pPr>
        <w:spacing w:after="0" w:line="240" w:lineRule="auto"/>
        <w:jc w:val="both"/>
        <w:rPr>
          <w:rFonts w:ascii="Arial" w:eastAsia="Times New Roman" w:hAnsi="Arial" w:cs="Arial"/>
          <w:sz w:val="20"/>
          <w:szCs w:val="20"/>
          <w:lang w:val="en-IN"/>
        </w:rPr>
      </w:pPr>
    </w:p>
    <w:p w14:paraId="087901EB" w14:textId="77777777" w:rsidR="002B23F6" w:rsidRPr="00662CB0" w:rsidRDefault="002B23F6" w:rsidP="00662CB0">
      <w:pPr>
        <w:spacing w:after="0" w:line="240" w:lineRule="auto"/>
        <w:jc w:val="both"/>
        <w:rPr>
          <w:rFonts w:ascii="Arial" w:eastAsia="Times New Roman" w:hAnsi="Arial" w:cs="Arial"/>
          <w:sz w:val="20"/>
          <w:szCs w:val="20"/>
          <w:lang w:val="en-IN"/>
        </w:rPr>
      </w:pPr>
      <w:r w:rsidRPr="00662CB0">
        <w:rPr>
          <w:rFonts w:ascii="Arial" w:eastAsia="Times New Roman" w:hAnsi="Arial" w:cs="Arial"/>
          <w:sz w:val="20"/>
          <w:szCs w:val="20"/>
          <w:lang w:val="en-IN"/>
        </w:rPr>
        <w:t xml:space="preserve">Farmers ranked </w:t>
      </w:r>
      <w:r w:rsidRPr="00662CB0">
        <w:rPr>
          <w:rFonts w:ascii="Arial" w:eastAsia="Times New Roman" w:hAnsi="Arial" w:cs="Arial"/>
          <w:i/>
          <w:iCs/>
          <w:sz w:val="20"/>
          <w:szCs w:val="20"/>
          <w:lang w:val="en-IN"/>
        </w:rPr>
        <w:t>Bhima Super</w:t>
      </w:r>
      <w:r w:rsidRPr="00662CB0">
        <w:rPr>
          <w:rFonts w:ascii="Arial" w:eastAsia="Times New Roman" w:hAnsi="Arial" w:cs="Arial"/>
          <w:sz w:val="20"/>
          <w:szCs w:val="20"/>
          <w:lang w:val="en-IN"/>
        </w:rPr>
        <w:t xml:space="preserve"> as the most preferred variety due to its larger bulb size, attractive red </w:t>
      </w:r>
      <w:proofErr w:type="spellStart"/>
      <w:r w:rsidRPr="00662CB0">
        <w:rPr>
          <w:rFonts w:ascii="Arial" w:eastAsia="Times New Roman" w:hAnsi="Arial" w:cs="Arial"/>
          <w:sz w:val="20"/>
          <w:szCs w:val="20"/>
          <w:lang w:val="en-IN"/>
        </w:rPr>
        <w:t>color</w:t>
      </w:r>
      <w:proofErr w:type="spellEnd"/>
      <w:r w:rsidRPr="00662CB0">
        <w:rPr>
          <w:rFonts w:ascii="Arial" w:eastAsia="Times New Roman" w:hAnsi="Arial" w:cs="Arial"/>
          <w:sz w:val="20"/>
          <w:szCs w:val="20"/>
          <w:lang w:val="en-IN"/>
        </w:rPr>
        <w:t xml:space="preserve">, firm skin, uniform shape, and high market price. The total score of 11 ranked it first, followed by </w:t>
      </w:r>
      <w:proofErr w:type="spellStart"/>
      <w:r w:rsidRPr="00662CB0">
        <w:rPr>
          <w:rFonts w:ascii="Arial" w:eastAsia="Times New Roman" w:hAnsi="Arial" w:cs="Arial"/>
          <w:i/>
          <w:iCs/>
          <w:sz w:val="20"/>
          <w:szCs w:val="20"/>
          <w:lang w:val="en-IN"/>
        </w:rPr>
        <w:t>Nyamathi</w:t>
      </w:r>
      <w:proofErr w:type="spellEnd"/>
      <w:r w:rsidRPr="00662CB0">
        <w:rPr>
          <w:rFonts w:ascii="Arial" w:eastAsia="Times New Roman" w:hAnsi="Arial" w:cs="Arial"/>
          <w:i/>
          <w:iCs/>
          <w:sz w:val="20"/>
          <w:szCs w:val="20"/>
          <w:lang w:val="en-IN"/>
        </w:rPr>
        <w:t xml:space="preserve"> Local</w:t>
      </w:r>
      <w:r w:rsidRPr="00662CB0">
        <w:rPr>
          <w:rFonts w:ascii="Arial" w:eastAsia="Times New Roman" w:hAnsi="Arial" w:cs="Arial"/>
          <w:sz w:val="20"/>
          <w:szCs w:val="20"/>
          <w:lang w:val="en-IN"/>
        </w:rPr>
        <w:t xml:space="preserve"> (21) and </w:t>
      </w:r>
      <w:r w:rsidRPr="00662CB0">
        <w:rPr>
          <w:rFonts w:ascii="Arial" w:eastAsia="Times New Roman" w:hAnsi="Arial" w:cs="Arial"/>
          <w:i/>
          <w:iCs/>
          <w:sz w:val="20"/>
          <w:szCs w:val="20"/>
          <w:lang w:val="en-IN"/>
        </w:rPr>
        <w:t>Bellary Red</w:t>
      </w:r>
      <w:r w:rsidRPr="00662CB0">
        <w:rPr>
          <w:rFonts w:ascii="Arial" w:eastAsia="Times New Roman" w:hAnsi="Arial" w:cs="Arial"/>
          <w:sz w:val="20"/>
          <w:szCs w:val="20"/>
          <w:lang w:val="en-IN"/>
        </w:rPr>
        <w:t xml:space="preserve"> (23).</w:t>
      </w:r>
    </w:p>
    <w:p w14:paraId="67C31ADC" w14:textId="6D649098" w:rsidR="002B23F6" w:rsidRDefault="002B23F6" w:rsidP="00662CB0">
      <w:pPr>
        <w:spacing w:after="0" w:line="240" w:lineRule="auto"/>
        <w:jc w:val="both"/>
        <w:rPr>
          <w:rFonts w:ascii="Arial" w:eastAsia="Times New Roman" w:hAnsi="Arial" w:cs="Arial"/>
          <w:sz w:val="20"/>
          <w:szCs w:val="20"/>
          <w:lang w:val="en-IN"/>
        </w:rPr>
      </w:pPr>
      <w:r w:rsidRPr="00662CB0">
        <w:rPr>
          <w:rFonts w:ascii="Arial" w:eastAsia="Times New Roman" w:hAnsi="Arial" w:cs="Arial"/>
          <w:sz w:val="20"/>
          <w:szCs w:val="20"/>
          <w:lang w:val="en-IN"/>
        </w:rPr>
        <w:t xml:space="preserve">The high acceptability of </w:t>
      </w:r>
      <w:r w:rsidRPr="00662CB0">
        <w:rPr>
          <w:rFonts w:ascii="Arial" w:eastAsia="Times New Roman" w:hAnsi="Arial" w:cs="Arial"/>
          <w:i/>
          <w:iCs/>
          <w:sz w:val="20"/>
          <w:szCs w:val="20"/>
          <w:lang w:val="en-IN"/>
        </w:rPr>
        <w:t>Bhima Super</w:t>
      </w:r>
      <w:r w:rsidRPr="00662CB0">
        <w:rPr>
          <w:rFonts w:ascii="Arial" w:eastAsia="Times New Roman" w:hAnsi="Arial" w:cs="Arial"/>
          <w:sz w:val="20"/>
          <w:szCs w:val="20"/>
          <w:lang w:val="en-IN"/>
        </w:rPr>
        <w:t xml:space="preserve"> among farmers corroborates the participatory findings of (Saritha &amp; Bhatt, 2022), who reported that front-line demonstrations and on-farm trials play a vital role in increasing farmer adoption of improved onion varieties.</w:t>
      </w:r>
    </w:p>
    <w:p w14:paraId="460C1B8B" w14:textId="77777777" w:rsidR="006950B6" w:rsidRPr="00662CB0" w:rsidRDefault="006950B6" w:rsidP="00662CB0">
      <w:pPr>
        <w:spacing w:after="0" w:line="240" w:lineRule="auto"/>
        <w:jc w:val="both"/>
        <w:rPr>
          <w:rFonts w:ascii="Arial" w:eastAsia="Times New Roman" w:hAnsi="Arial" w:cs="Arial"/>
          <w:sz w:val="20"/>
          <w:szCs w:val="20"/>
          <w:lang w:val="en-IN"/>
        </w:rPr>
      </w:pPr>
    </w:p>
    <w:p w14:paraId="54B568EC" w14:textId="3269C82A" w:rsidR="002B23F6" w:rsidRPr="00662CB0" w:rsidRDefault="002B23F6" w:rsidP="00662CB0">
      <w:pPr>
        <w:spacing w:after="0" w:line="240" w:lineRule="auto"/>
        <w:jc w:val="both"/>
        <w:rPr>
          <w:rFonts w:ascii="Arial" w:eastAsia="Times New Roman" w:hAnsi="Arial" w:cs="Arial"/>
          <w:sz w:val="20"/>
          <w:szCs w:val="20"/>
          <w:lang w:val="en-IN"/>
        </w:rPr>
      </w:pPr>
      <w:r w:rsidRPr="00662CB0">
        <w:rPr>
          <w:rFonts w:ascii="Arial" w:eastAsia="Times New Roman" w:hAnsi="Arial" w:cs="Arial"/>
          <w:sz w:val="20"/>
          <w:szCs w:val="20"/>
          <w:lang w:val="en-IN"/>
        </w:rPr>
        <w:t>3.</w:t>
      </w:r>
      <w:r w:rsidRPr="00662CB0">
        <w:rPr>
          <w:rFonts w:ascii="Arial" w:eastAsia="Times New Roman" w:hAnsi="Arial" w:cs="Arial"/>
          <w:b/>
          <w:bCs/>
          <w:sz w:val="20"/>
          <w:szCs w:val="20"/>
          <w:lang w:val="en-IN"/>
        </w:rPr>
        <w:t>5. Comparative Review and Discussion</w:t>
      </w:r>
    </w:p>
    <w:p w14:paraId="4E871B72" w14:textId="77777777" w:rsidR="002B23F6" w:rsidRPr="00662CB0" w:rsidRDefault="002B23F6" w:rsidP="00662CB0">
      <w:pPr>
        <w:spacing w:after="0" w:line="240" w:lineRule="auto"/>
        <w:jc w:val="both"/>
        <w:rPr>
          <w:rFonts w:ascii="Arial" w:eastAsia="Times New Roman" w:hAnsi="Arial" w:cs="Arial"/>
          <w:sz w:val="20"/>
          <w:szCs w:val="20"/>
          <w:lang w:val="en-IN"/>
        </w:rPr>
      </w:pPr>
      <w:r w:rsidRPr="00662CB0">
        <w:rPr>
          <w:rFonts w:ascii="Arial" w:eastAsia="Times New Roman" w:hAnsi="Arial" w:cs="Arial"/>
          <w:sz w:val="20"/>
          <w:szCs w:val="20"/>
          <w:lang w:val="en-IN"/>
        </w:rPr>
        <w:t xml:space="preserve">The present findings are consistent with the body of national and international research highlighting </w:t>
      </w:r>
      <w:r w:rsidRPr="00662CB0">
        <w:rPr>
          <w:rFonts w:ascii="Arial" w:eastAsia="Times New Roman" w:hAnsi="Arial" w:cs="Arial"/>
          <w:i/>
          <w:iCs/>
          <w:sz w:val="20"/>
          <w:szCs w:val="20"/>
          <w:lang w:val="en-IN"/>
        </w:rPr>
        <w:t>Bhima Super</w:t>
      </w:r>
      <w:r w:rsidRPr="00662CB0">
        <w:rPr>
          <w:rFonts w:ascii="Arial" w:eastAsia="Times New Roman" w:hAnsi="Arial" w:cs="Arial"/>
          <w:sz w:val="20"/>
          <w:szCs w:val="20"/>
          <w:lang w:val="en-IN"/>
        </w:rPr>
        <w:t xml:space="preserve"> as a high-performing onion genotype. Across regions, the yield range of </w:t>
      </w:r>
      <w:r w:rsidRPr="00662CB0">
        <w:rPr>
          <w:rFonts w:ascii="Arial" w:eastAsia="Times New Roman" w:hAnsi="Arial" w:cs="Arial"/>
          <w:i/>
          <w:iCs/>
          <w:sz w:val="20"/>
          <w:szCs w:val="20"/>
          <w:lang w:val="en-IN"/>
        </w:rPr>
        <w:t>Bhima Super</w:t>
      </w:r>
      <w:r w:rsidRPr="00662CB0">
        <w:rPr>
          <w:rFonts w:ascii="Arial" w:eastAsia="Times New Roman" w:hAnsi="Arial" w:cs="Arial"/>
          <w:sz w:val="20"/>
          <w:szCs w:val="20"/>
          <w:lang w:val="en-IN"/>
        </w:rPr>
        <w:t xml:space="preserve"> (220–280 q ha</w:t>
      </w:r>
      <w:r w:rsidRPr="00662CB0">
        <w:rPr>
          <w:rFonts w:ascii="Cambria Math" w:eastAsia="Times New Roman" w:hAnsi="Cambria Math" w:cs="Cambria Math"/>
          <w:sz w:val="20"/>
          <w:szCs w:val="20"/>
          <w:lang w:val="en-IN"/>
        </w:rPr>
        <w:t>⁻</w:t>
      </w:r>
      <w:r w:rsidRPr="00662CB0">
        <w:rPr>
          <w:rFonts w:ascii="Arial" w:eastAsia="Times New Roman" w:hAnsi="Arial" w:cs="Arial"/>
          <w:sz w:val="20"/>
          <w:szCs w:val="20"/>
          <w:lang w:val="en-IN"/>
        </w:rPr>
        <w:t>¹) reported here aligns with observations from Madhya Pradesh [(Aswani et al., 2023)], Karnataka [(Umamaheswarappa et al., 2018)], and Odisha [(Sahoo et al., 2020)].</w:t>
      </w:r>
    </w:p>
    <w:p w14:paraId="3034CBF7" w14:textId="77777777" w:rsidR="002B23F6" w:rsidRPr="00662CB0" w:rsidRDefault="002B23F6" w:rsidP="00662CB0">
      <w:pPr>
        <w:spacing w:after="0" w:line="240" w:lineRule="auto"/>
        <w:jc w:val="both"/>
        <w:rPr>
          <w:rFonts w:ascii="Arial" w:eastAsia="Times New Roman" w:hAnsi="Arial" w:cs="Arial"/>
          <w:sz w:val="20"/>
          <w:szCs w:val="20"/>
          <w:lang w:val="en-IN"/>
        </w:rPr>
      </w:pPr>
      <w:r w:rsidRPr="00662CB0">
        <w:rPr>
          <w:rFonts w:ascii="Arial" w:eastAsia="Times New Roman" w:hAnsi="Arial" w:cs="Arial"/>
          <w:sz w:val="20"/>
          <w:szCs w:val="20"/>
          <w:lang w:val="en-IN"/>
        </w:rPr>
        <w:t>Further, the combination of high yield and moderate disease resistance has been emphasized in multiple studies [(Mahajan &amp; Khar, 2021); (Patil et al., 2021); (</w:t>
      </w:r>
      <w:proofErr w:type="spellStart"/>
      <w:r w:rsidRPr="00662CB0">
        <w:rPr>
          <w:rFonts w:ascii="Arial" w:eastAsia="Times New Roman" w:hAnsi="Arial" w:cs="Arial"/>
          <w:sz w:val="20"/>
          <w:szCs w:val="20"/>
          <w:lang w:val="en-IN"/>
        </w:rPr>
        <w:t>Hiremath</w:t>
      </w:r>
      <w:proofErr w:type="spellEnd"/>
      <w:r w:rsidRPr="00662CB0">
        <w:rPr>
          <w:rFonts w:ascii="Arial" w:eastAsia="Times New Roman" w:hAnsi="Arial" w:cs="Arial"/>
          <w:sz w:val="20"/>
          <w:szCs w:val="20"/>
          <w:lang w:val="en-IN"/>
        </w:rPr>
        <w:t xml:space="preserve"> &amp; </w:t>
      </w:r>
      <w:proofErr w:type="spellStart"/>
      <w:r w:rsidRPr="00662CB0">
        <w:rPr>
          <w:rFonts w:ascii="Arial" w:eastAsia="Times New Roman" w:hAnsi="Arial" w:cs="Arial"/>
          <w:sz w:val="20"/>
          <w:szCs w:val="20"/>
          <w:lang w:val="en-IN"/>
        </w:rPr>
        <w:t>Mantur</w:t>
      </w:r>
      <w:proofErr w:type="spellEnd"/>
      <w:r w:rsidRPr="00662CB0">
        <w:rPr>
          <w:rFonts w:ascii="Arial" w:eastAsia="Times New Roman" w:hAnsi="Arial" w:cs="Arial"/>
          <w:sz w:val="20"/>
          <w:szCs w:val="20"/>
          <w:lang w:val="en-IN"/>
        </w:rPr>
        <w:t>, 2018)]. These results underscore the importance of integrating varietal improvement with participatory extension approaches for enhancing regional onion productivity.</w:t>
      </w:r>
    </w:p>
    <w:p w14:paraId="74819D9E" w14:textId="77777777" w:rsidR="002B23F6" w:rsidRPr="00662CB0" w:rsidRDefault="002B23F6" w:rsidP="00662CB0">
      <w:pPr>
        <w:spacing w:after="0" w:line="240" w:lineRule="auto"/>
        <w:jc w:val="both"/>
        <w:rPr>
          <w:rFonts w:ascii="Arial" w:eastAsia="Times New Roman" w:hAnsi="Arial" w:cs="Arial"/>
          <w:sz w:val="20"/>
          <w:szCs w:val="20"/>
          <w:lang w:val="en-IN"/>
        </w:rPr>
      </w:pPr>
      <w:r w:rsidRPr="00662CB0">
        <w:rPr>
          <w:rFonts w:ascii="Arial" w:eastAsia="Times New Roman" w:hAnsi="Arial" w:cs="Arial"/>
          <w:sz w:val="20"/>
          <w:szCs w:val="20"/>
          <w:lang w:val="en-IN"/>
        </w:rPr>
        <w:t xml:space="preserve">Economic viability analysis suggests that adoption of </w:t>
      </w:r>
      <w:r w:rsidRPr="00662CB0">
        <w:rPr>
          <w:rFonts w:ascii="Arial" w:eastAsia="Times New Roman" w:hAnsi="Arial" w:cs="Arial"/>
          <w:i/>
          <w:iCs/>
          <w:sz w:val="20"/>
          <w:szCs w:val="20"/>
          <w:lang w:val="en-IN"/>
        </w:rPr>
        <w:t>Bhima Super</w:t>
      </w:r>
      <w:r w:rsidRPr="00662CB0">
        <w:rPr>
          <w:rFonts w:ascii="Arial" w:eastAsia="Times New Roman" w:hAnsi="Arial" w:cs="Arial"/>
          <w:sz w:val="20"/>
          <w:szCs w:val="20"/>
          <w:lang w:val="en-IN"/>
        </w:rPr>
        <w:t xml:space="preserve"> can increase net income by 40–50% per hectare, validating the effectiveness of varietal replacement strategies in rainfed systems [(</w:t>
      </w:r>
      <w:proofErr w:type="spellStart"/>
      <w:r w:rsidRPr="00662CB0">
        <w:rPr>
          <w:rFonts w:ascii="Arial" w:eastAsia="Times New Roman" w:hAnsi="Arial" w:cs="Arial"/>
          <w:sz w:val="20"/>
          <w:szCs w:val="20"/>
          <w:lang w:val="en-IN"/>
        </w:rPr>
        <w:t>Srivastva</w:t>
      </w:r>
      <w:proofErr w:type="spellEnd"/>
      <w:r w:rsidRPr="00662CB0">
        <w:rPr>
          <w:rFonts w:ascii="Arial" w:eastAsia="Times New Roman" w:hAnsi="Arial" w:cs="Arial"/>
          <w:sz w:val="20"/>
          <w:szCs w:val="20"/>
          <w:lang w:val="en-IN"/>
        </w:rPr>
        <w:t xml:space="preserve"> &amp; Meena, 2022)].</w:t>
      </w:r>
    </w:p>
    <w:p w14:paraId="6F58C2CB" w14:textId="6446C791" w:rsidR="006F560A" w:rsidRPr="006950B6" w:rsidRDefault="00662CB0" w:rsidP="006950B6">
      <w:pPr>
        <w:pStyle w:val="ListParagraph"/>
        <w:numPr>
          <w:ilvl w:val="0"/>
          <w:numId w:val="9"/>
        </w:numPr>
        <w:spacing w:after="0" w:line="240" w:lineRule="auto"/>
        <w:jc w:val="both"/>
        <w:rPr>
          <w:rFonts w:ascii="Arial" w:eastAsia="Times New Roman" w:hAnsi="Arial" w:cs="Arial"/>
          <w:b/>
          <w:bCs/>
          <w:sz w:val="24"/>
          <w:szCs w:val="20"/>
          <w:lang w:val="en-IN"/>
        </w:rPr>
      </w:pPr>
      <w:r w:rsidRPr="006950B6">
        <w:rPr>
          <w:rFonts w:ascii="Arial" w:eastAsia="Times New Roman" w:hAnsi="Arial" w:cs="Arial"/>
          <w:b/>
          <w:bCs/>
          <w:sz w:val="24"/>
          <w:szCs w:val="20"/>
          <w:lang w:val="en-IN"/>
        </w:rPr>
        <w:t>CONCLUSION</w:t>
      </w:r>
    </w:p>
    <w:p w14:paraId="3B35DF5B" w14:textId="239F8E9B" w:rsidR="006F560A" w:rsidRDefault="006F560A" w:rsidP="00662CB0">
      <w:pPr>
        <w:spacing w:after="0" w:line="240" w:lineRule="auto"/>
        <w:jc w:val="both"/>
        <w:rPr>
          <w:rFonts w:ascii="Arial" w:eastAsia="Times New Roman" w:hAnsi="Arial" w:cs="Arial"/>
          <w:sz w:val="20"/>
          <w:szCs w:val="20"/>
          <w:lang w:val="en-IN"/>
        </w:rPr>
      </w:pPr>
      <w:r w:rsidRPr="00662CB0">
        <w:rPr>
          <w:rFonts w:ascii="Arial" w:eastAsia="Times New Roman" w:hAnsi="Arial" w:cs="Arial"/>
          <w:sz w:val="20"/>
          <w:szCs w:val="20"/>
          <w:lang w:val="en-IN"/>
        </w:rPr>
        <w:t xml:space="preserve">The present multi-year study conclusively demonstrated the superior performance of the </w:t>
      </w:r>
      <w:r w:rsidRPr="00662CB0">
        <w:rPr>
          <w:rFonts w:ascii="Arial" w:eastAsia="Times New Roman" w:hAnsi="Arial" w:cs="Arial"/>
          <w:i/>
          <w:iCs/>
          <w:sz w:val="20"/>
          <w:szCs w:val="20"/>
          <w:lang w:val="en-IN"/>
        </w:rPr>
        <w:t>Bhima Super</w:t>
      </w:r>
      <w:r w:rsidRPr="00662CB0">
        <w:rPr>
          <w:rFonts w:ascii="Arial" w:eastAsia="Times New Roman" w:hAnsi="Arial" w:cs="Arial"/>
          <w:sz w:val="20"/>
          <w:szCs w:val="20"/>
          <w:lang w:val="en-IN"/>
        </w:rPr>
        <w:t xml:space="preserve"> onion (</w:t>
      </w:r>
      <w:r w:rsidR="006950B6" w:rsidRPr="006950B6">
        <w:rPr>
          <w:rFonts w:ascii="Arial" w:eastAsia="Times New Roman" w:hAnsi="Arial" w:cs="Arial"/>
          <w:i/>
          <w:iCs/>
          <w:sz w:val="20"/>
          <w:szCs w:val="20"/>
          <w:lang w:val="en-IN"/>
        </w:rPr>
        <w:t xml:space="preserve">Allium </w:t>
      </w:r>
      <w:proofErr w:type="spellStart"/>
      <w:r w:rsidR="006950B6" w:rsidRPr="006950B6">
        <w:rPr>
          <w:rFonts w:ascii="Arial" w:eastAsia="Times New Roman" w:hAnsi="Arial" w:cs="Arial"/>
          <w:i/>
          <w:iCs/>
          <w:sz w:val="20"/>
          <w:szCs w:val="20"/>
          <w:lang w:val="en-IN"/>
        </w:rPr>
        <w:t>cepa</w:t>
      </w:r>
      <w:proofErr w:type="spellEnd"/>
      <w:r w:rsidRPr="00662CB0">
        <w:rPr>
          <w:rFonts w:ascii="Arial" w:eastAsia="Times New Roman" w:hAnsi="Arial" w:cs="Arial"/>
          <w:sz w:val="20"/>
          <w:szCs w:val="20"/>
          <w:lang w:val="en-IN"/>
        </w:rPr>
        <w:t xml:space="preserve"> L.) variety over traditional local cultivars under late kharif conditions of </w:t>
      </w:r>
      <w:proofErr w:type="spellStart"/>
      <w:r w:rsidRPr="00662CB0">
        <w:rPr>
          <w:rFonts w:ascii="Arial" w:eastAsia="Times New Roman" w:hAnsi="Arial" w:cs="Arial"/>
          <w:sz w:val="20"/>
          <w:szCs w:val="20"/>
          <w:lang w:val="en-IN"/>
        </w:rPr>
        <w:t>Sangareddy</w:t>
      </w:r>
      <w:proofErr w:type="spellEnd"/>
      <w:r w:rsidRPr="00662CB0">
        <w:rPr>
          <w:rFonts w:ascii="Arial" w:eastAsia="Times New Roman" w:hAnsi="Arial" w:cs="Arial"/>
          <w:sz w:val="20"/>
          <w:szCs w:val="20"/>
          <w:lang w:val="en-IN"/>
        </w:rPr>
        <w:t xml:space="preserve"> district, Telangana. Across four seasons, </w:t>
      </w:r>
      <w:r w:rsidRPr="00662CB0">
        <w:rPr>
          <w:rFonts w:ascii="Arial" w:eastAsia="Times New Roman" w:hAnsi="Arial" w:cs="Arial"/>
          <w:i/>
          <w:iCs/>
          <w:sz w:val="20"/>
          <w:szCs w:val="20"/>
          <w:lang w:val="en-IN"/>
        </w:rPr>
        <w:t>Bhima Super</w:t>
      </w:r>
      <w:r w:rsidRPr="00662CB0">
        <w:rPr>
          <w:rFonts w:ascii="Arial" w:eastAsia="Times New Roman" w:hAnsi="Arial" w:cs="Arial"/>
          <w:sz w:val="20"/>
          <w:szCs w:val="20"/>
          <w:lang w:val="en-IN"/>
        </w:rPr>
        <w:t xml:space="preserve"> exhibited significantly higher germination (91.6%), plant height (62.0 cm), number of leaves per plant (10.88), and bulb yield (223.7 q ha</w:t>
      </w:r>
      <w:r w:rsidRPr="00662CB0">
        <w:rPr>
          <w:rFonts w:ascii="Cambria Math" w:eastAsia="Times New Roman" w:hAnsi="Cambria Math" w:cs="Cambria Math"/>
          <w:sz w:val="20"/>
          <w:szCs w:val="20"/>
          <w:lang w:val="en-IN"/>
        </w:rPr>
        <w:t>⁻</w:t>
      </w:r>
      <w:r w:rsidRPr="00662CB0">
        <w:rPr>
          <w:rFonts w:ascii="Arial" w:eastAsia="Times New Roman" w:hAnsi="Arial" w:cs="Arial"/>
          <w:sz w:val="20"/>
          <w:szCs w:val="20"/>
          <w:lang w:val="en-IN"/>
        </w:rPr>
        <w:t xml:space="preserve">¹), representing a yield advantage of 49% over local varieties. The variety also showed lower pest and disease incidences, with reduced thrips (13.36%), purple blotch (11.9%), and </w:t>
      </w:r>
      <w:r w:rsidRPr="00662CB0">
        <w:rPr>
          <w:rFonts w:ascii="Arial" w:eastAsia="Times New Roman" w:hAnsi="Arial" w:cs="Arial"/>
          <w:i/>
          <w:iCs/>
          <w:sz w:val="20"/>
          <w:szCs w:val="20"/>
          <w:lang w:val="en-IN"/>
        </w:rPr>
        <w:t>Stemphylium</w:t>
      </w:r>
      <w:r w:rsidRPr="00662CB0">
        <w:rPr>
          <w:rFonts w:ascii="Arial" w:eastAsia="Times New Roman" w:hAnsi="Arial" w:cs="Arial"/>
          <w:sz w:val="20"/>
          <w:szCs w:val="20"/>
          <w:lang w:val="en-IN"/>
        </w:rPr>
        <w:t xml:space="preserve"> blight (14.33%) infestations, classifying it as moderately resistant. Economic evaluation revealed its profitability, achieving a mean benefit–cost ratio of 2.82 and net returns of ₹208,219 ha</w:t>
      </w:r>
      <w:r w:rsidRPr="00662CB0">
        <w:rPr>
          <w:rFonts w:ascii="Cambria Math" w:eastAsia="Times New Roman" w:hAnsi="Cambria Math" w:cs="Cambria Math"/>
          <w:sz w:val="20"/>
          <w:szCs w:val="20"/>
          <w:lang w:val="en-IN"/>
        </w:rPr>
        <w:t>⁻</w:t>
      </w:r>
      <w:r w:rsidRPr="00662CB0">
        <w:rPr>
          <w:rFonts w:ascii="Arial" w:eastAsia="Times New Roman" w:hAnsi="Arial" w:cs="Arial"/>
          <w:sz w:val="20"/>
          <w:szCs w:val="20"/>
          <w:lang w:val="en-IN"/>
        </w:rPr>
        <w:t xml:space="preserve">¹, indicating strong commercial viability. Farmer feedback ranked </w:t>
      </w:r>
      <w:r w:rsidRPr="00662CB0">
        <w:rPr>
          <w:rFonts w:ascii="Arial" w:eastAsia="Times New Roman" w:hAnsi="Arial" w:cs="Arial"/>
          <w:i/>
          <w:iCs/>
          <w:sz w:val="20"/>
          <w:szCs w:val="20"/>
          <w:lang w:val="en-IN"/>
        </w:rPr>
        <w:t>Bhima Super</w:t>
      </w:r>
      <w:r w:rsidRPr="00662CB0">
        <w:rPr>
          <w:rFonts w:ascii="Arial" w:eastAsia="Times New Roman" w:hAnsi="Arial" w:cs="Arial"/>
          <w:sz w:val="20"/>
          <w:szCs w:val="20"/>
          <w:lang w:val="en-IN"/>
        </w:rPr>
        <w:t xml:space="preserve"> highest for bulb size, </w:t>
      </w:r>
      <w:proofErr w:type="spellStart"/>
      <w:r w:rsidRPr="00662CB0">
        <w:rPr>
          <w:rFonts w:ascii="Arial" w:eastAsia="Times New Roman" w:hAnsi="Arial" w:cs="Arial"/>
          <w:sz w:val="20"/>
          <w:szCs w:val="20"/>
          <w:lang w:val="en-IN"/>
        </w:rPr>
        <w:t>color</w:t>
      </w:r>
      <w:proofErr w:type="spellEnd"/>
      <w:r w:rsidRPr="00662CB0">
        <w:rPr>
          <w:rFonts w:ascii="Arial" w:eastAsia="Times New Roman" w:hAnsi="Arial" w:cs="Arial"/>
          <w:sz w:val="20"/>
          <w:szCs w:val="20"/>
          <w:lang w:val="en-IN"/>
        </w:rPr>
        <w:t xml:space="preserve">, and market preference, highlighting its acceptability and potential for wide-scale adoption. Overall, the findings establish </w:t>
      </w:r>
      <w:r w:rsidRPr="00662CB0">
        <w:rPr>
          <w:rFonts w:ascii="Arial" w:eastAsia="Times New Roman" w:hAnsi="Arial" w:cs="Arial"/>
          <w:i/>
          <w:iCs/>
          <w:sz w:val="20"/>
          <w:szCs w:val="20"/>
          <w:lang w:val="en-IN"/>
        </w:rPr>
        <w:t>Bhima Super</w:t>
      </w:r>
      <w:r w:rsidRPr="00662CB0">
        <w:rPr>
          <w:rFonts w:ascii="Arial" w:eastAsia="Times New Roman" w:hAnsi="Arial" w:cs="Arial"/>
          <w:sz w:val="20"/>
          <w:szCs w:val="20"/>
          <w:lang w:val="en-IN"/>
        </w:rPr>
        <w:t xml:space="preserve"> as a high-yielding, disease-tolerant, and economically rewarding variety ideally suited for semi-arid, rainfed regions of Telangana. Its adoption can substantially improve farmer income, reduce production risk, and strengthen the sustainability of onion cultivation systems under changing climatic conditions.</w:t>
      </w:r>
    </w:p>
    <w:p w14:paraId="48171B1F" w14:textId="77777777" w:rsidR="00662CB0" w:rsidRPr="00662CB0" w:rsidRDefault="00662CB0" w:rsidP="00662CB0">
      <w:pPr>
        <w:spacing w:after="0" w:line="240" w:lineRule="auto"/>
        <w:jc w:val="both"/>
        <w:rPr>
          <w:rFonts w:ascii="Arial" w:eastAsia="Times New Roman" w:hAnsi="Arial" w:cs="Arial"/>
          <w:sz w:val="20"/>
          <w:szCs w:val="20"/>
          <w:lang w:val="en-IN"/>
        </w:rPr>
      </w:pPr>
    </w:p>
    <w:p w14:paraId="23EBAE08" w14:textId="588C9F47" w:rsidR="007B3C12" w:rsidRPr="00662CB0" w:rsidRDefault="00662CB0" w:rsidP="00662CB0">
      <w:pPr>
        <w:spacing w:line="240" w:lineRule="auto"/>
        <w:rPr>
          <w:rFonts w:ascii="Arial" w:eastAsia="Calibri" w:hAnsi="Arial" w:cs="Arial"/>
          <w:b/>
          <w:kern w:val="2"/>
          <w:sz w:val="24"/>
          <w:szCs w:val="20"/>
          <w:highlight w:val="yellow"/>
        </w:rPr>
      </w:pPr>
      <w:bookmarkStart w:id="1" w:name="_Hlk204003461"/>
      <w:bookmarkStart w:id="2" w:name="_Hlk213070710"/>
      <w:r w:rsidRPr="00662CB0">
        <w:rPr>
          <w:rFonts w:ascii="Arial" w:eastAsia="Calibri" w:hAnsi="Arial" w:cs="Arial"/>
          <w:b/>
          <w:kern w:val="2"/>
          <w:sz w:val="24"/>
          <w:szCs w:val="20"/>
          <w:highlight w:val="yellow"/>
        </w:rPr>
        <w:t>DISCLAIMER (ARTIFICIAL INTELLIGENCE)</w:t>
      </w:r>
    </w:p>
    <w:p w14:paraId="07A20CB0" w14:textId="77777777" w:rsidR="007B3C12" w:rsidRPr="00662CB0" w:rsidRDefault="007B3C12" w:rsidP="00662CB0">
      <w:pPr>
        <w:spacing w:line="240" w:lineRule="auto"/>
        <w:jc w:val="both"/>
        <w:rPr>
          <w:rFonts w:ascii="Arial" w:eastAsia="Calibri" w:hAnsi="Arial" w:cs="Arial"/>
          <w:kern w:val="2"/>
          <w:sz w:val="20"/>
          <w:szCs w:val="20"/>
          <w:highlight w:val="yellow"/>
        </w:rPr>
      </w:pPr>
      <w:r w:rsidRPr="00662CB0">
        <w:rPr>
          <w:rFonts w:ascii="Arial" w:eastAsia="Calibri" w:hAnsi="Arial" w:cs="Arial"/>
          <w:kern w:val="2"/>
          <w:sz w:val="20"/>
          <w:szCs w:val="20"/>
          <w:highlight w:val="yellow"/>
        </w:rPr>
        <w:t>Author(s) hereby declare that NO generative AI technologies such as Large Language Models (</w:t>
      </w:r>
      <w:proofErr w:type="spellStart"/>
      <w:r w:rsidRPr="00662CB0">
        <w:rPr>
          <w:rFonts w:ascii="Arial" w:eastAsia="Calibri" w:hAnsi="Arial" w:cs="Arial"/>
          <w:kern w:val="2"/>
          <w:sz w:val="20"/>
          <w:szCs w:val="20"/>
          <w:highlight w:val="yellow"/>
        </w:rPr>
        <w:t>ChatGPT</w:t>
      </w:r>
      <w:proofErr w:type="spellEnd"/>
      <w:r w:rsidRPr="00662CB0">
        <w:rPr>
          <w:rFonts w:ascii="Arial" w:eastAsia="Calibri" w:hAnsi="Arial" w:cs="Arial"/>
          <w:kern w:val="2"/>
          <w:sz w:val="20"/>
          <w:szCs w:val="20"/>
          <w:highlight w:val="yellow"/>
        </w:rPr>
        <w:t xml:space="preserve">, COPILOT, etc.) and text-to-image generators have been used during the writing or editing of this manuscript. </w:t>
      </w:r>
    </w:p>
    <w:bookmarkEnd w:id="1"/>
    <w:bookmarkEnd w:id="2"/>
    <w:p w14:paraId="2CCA7DFE" w14:textId="778C34EA" w:rsidR="002B23F6" w:rsidRPr="00662CB0" w:rsidRDefault="00662CB0" w:rsidP="00662CB0">
      <w:pPr>
        <w:spacing w:after="0" w:line="240" w:lineRule="auto"/>
        <w:jc w:val="both"/>
        <w:rPr>
          <w:rFonts w:ascii="Arial" w:eastAsia="Times New Roman" w:hAnsi="Arial" w:cs="Arial"/>
          <w:b/>
          <w:bCs/>
          <w:sz w:val="24"/>
          <w:szCs w:val="20"/>
          <w:lang w:val="en-IN"/>
        </w:rPr>
      </w:pPr>
      <w:r w:rsidRPr="00662CB0">
        <w:rPr>
          <w:rFonts w:ascii="Arial" w:eastAsia="Times New Roman" w:hAnsi="Arial" w:cs="Arial"/>
          <w:b/>
          <w:bCs/>
          <w:sz w:val="24"/>
          <w:szCs w:val="20"/>
          <w:lang w:val="en-IN"/>
        </w:rPr>
        <w:t xml:space="preserve">REFERENCES </w:t>
      </w:r>
    </w:p>
    <w:p w14:paraId="3BAA3393" w14:textId="06C6D68D" w:rsidR="00662CB0" w:rsidRPr="004257DD" w:rsidRDefault="00662CB0" w:rsidP="00662CB0">
      <w:pPr>
        <w:pStyle w:val="NormalWeb"/>
        <w:ind w:left="851" w:hanging="851"/>
        <w:jc w:val="both"/>
        <w:rPr>
          <w:rFonts w:ascii="Arial" w:hAnsi="Arial" w:cs="Arial"/>
          <w:sz w:val="20"/>
          <w:szCs w:val="20"/>
          <w:highlight w:val="yellow"/>
        </w:rPr>
      </w:pPr>
      <w:bookmarkStart w:id="3" w:name="_Hlk217990730"/>
      <w:proofErr w:type="spellStart"/>
      <w:r w:rsidRPr="004257DD">
        <w:rPr>
          <w:rFonts w:ascii="Arial" w:hAnsi="Arial" w:cs="Arial"/>
          <w:sz w:val="20"/>
          <w:szCs w:val="20"/>
          <w:highlight w:val="yellow"/>
        </w:rPr>
        <w:t>Aswani</w:t>
      </w:r>
      <w:proofErr w:type="spellEnd"/>
      <w:r w:rsidRPr="004257DD">
        <w:rPr>
          <w:rFonts w:ascii="Arial" w:hAnsi="Arial" w:cs="Arial"/>
          <w:sz w:val="20"/>
          <w:szCs w:val="20"/>
          <w:highlight w:val="yellow"/>
        </w:rPr>
        <w:t xml:space="preserve">, R. C., Hada, N., Singh, Y. P., Jain, D. K., Tyagi, S. K., &amp; </w:t>
      </w:r>
      <w:proofErr w:type="spellStart"/>
      <w:r w:rsidRPr="004257DD">
        <w:rPr>
          <w:rFonts w:ascii="Arial" w:hAnsi="Arial" w:cs="Arial"/>
          <w:sz w:val="20"/>
          <w:szCs w:val="20"/>
          <w:highlight w:val="yellow"/>
        </w:rPr>
        <w:t>Gathiye</w:t>
      </w:r>
      <w:proofErr w:type="spellEnd"/>
      <w:r w:rsidRPr="004257DD">
        <w:rPr>
          <w:rFonts w:ascii="Arial" w:hAnsi="Arial" w:cs="Arial"/>
          <w:sz w:val="20"/>
          <w:szCs w:val="20"/>
          <w:highlight w:val="yellow"/>
        </w:rPr>
        <w:t>, G. S. (2023). Assessment, estimation and economic performance of different kharif onion (</w:t>
      </w:r>
      <w:r w:rsidR="006950B6" w:rsidRPr="004257DD">
        <w:rPr>
          <w:rFonts w:ascii="Arial" w:hAnsi="Arial" w:cs="Arial"/>
          <w:i/>
          <w:sz w:val="20"/>
          <w:szCs w:val="20"/>
          <w:highlight w:val="yellow"/>
        </w:rPr>
        <w:t xml:space="preserve">Allium </w:t>
      </w:r>
      <w:proofErr w:type="spellStart"/>
      <w:r w:rsidR="006950B6" w:rsidRPr="004257DD">
        <w:rPr>
          <w:rFonts w:ascii="Arial" w:hAnsi="Arial" w:cs="Arial"/>
          <w:i/>
          <w:sz w:val="20"/>
          <w:szCs w:val="20"/>
          <w:highlight w:val="yellow"/>
        </w:rPr>
        <w:t>cepa</w:t>
      </w:r>
      <w:proofErr w:type="spellEnd"/>
      <w:r w:rsidRPr="004257DD">
        <w:rPr>
          <w:rFonts w:ascii="Arial" w:hAnsi="Arial" w:cs="Arial"/>
          <w:sz w:val="20"/>
          <w:szCs w:val="20"/>
          <w:highlight w:val="yellow"/>
        </w:rPr>
        <w:t xml:space="preserve"> L.) varieties under Malwa Plateau of Madhya Pradesh. </w:t>
      </w:r>
      <w:r w:rsidRPr="004257DD">
        <w:rPr>
          <w:rFonts w:ascii="Arial" w:hAnsi="Arial" w:cs="Arial"/>
          <w:i/>
          <w:sz w:val="20"/>
          <w:szCs w:val="20"/>
          <w:highlight w:val="yellow"/>
        </w:rPr>
        <w:t>Journal of Agriculture and Ecology, 16</w:t>
      </w:r>
      <w:r w:rsidRPr="004257DD">
        <w:rPr>
          <w:rFonts w:ascii="Arial" w:hAnsi="Arial" w:cs="Arial"/>
          <w:sz w:val="20"/>
          <w:szCs w:val="20"/>
          <w:highlight w:val="yellow"/>
        </w:rPr>
        <w:t xml:space="preserve">, 43–47. </w:t>
      </w:r>
      <w:hyperlink r:id="rId7" w:history="1">
        <w:r w:rsidRPr="004257DD">
          <w:rPr>
            <w:rStyle w:val="Hyperlink"/>
            <w:rFonts w:ascii="Arial" w:hAnsi="Arial" w:cs="Arial"/>
            <w:sz w:val="20"/>
            <w:szCs w:val="20"/>
            <w:highlight w:val="yellow"/>
          </w:rPr>
          <w:t>https://doi.org/10.58628/JAE-2316-209</w:t>
        </w:r>
      </w:hyperlink>
    </w:p>
    <w:p w14:paraId="0B896399" w14:textId="77777777" w:rsidR="00662CB0" w:rsidRPr="004257DD" w:rsidRDefault="00662CB0" w:rsidP="00662CB0">
      <w:pPr>
        <w:pStyle w:val="NormalWeb"/>
        <w:ind w:left="851" w:hanging="851"/>
        <w:jc w:val="both"/>
        <w:rPr>
          <w:rFonts w:ascii="Arial" w:hAnsi="Arial" w:cs="Arial"/>
          <w:sz w:val="20"/>
          <w:szCs w:val="20"/>
          <w:highlight w:val="yellow"/>
        </w:rPr>
      </w:pPr>
      <w:r w:rsidRPr="004257DD">
        <w:rPr>
          <w:rFonts w:ascii="Arial" w:hAnsi="Arial" w:cs="Arial"/>
          <w:sz w:val="20"/>
          <w:szCs w:val="20"/>
          <w:highlight w:val="yellow"/>
        </w:rPr>
        <w:t xml:space="preserve">Bhoi, S., Barik, N., Aslam, T., Chattopadhyay, S. B., &amp; Maity, T. K. (2020). Genetic Analysis of Kharif Onion Genotypes and their Performance Study in Plains of West Bengal. </w:t>
      </w:r>
      <w:r w:rsidRPr="004257DD">
        <w:rPr>
          <w:rFonts w:ascii="Arial" w:hAnsi="Arial" w:cs="Arial"/>
          <w:i/>
          <w:sz w:val="20"/>
          <w:szCs w:val="20"/>
          <w:highlight w:val="yellow"/>
        </w:rPr>
        <w:t>International Journal of Current Microbiology and Applied Sciences, 9</w:t>
      </w:r>
      <w:r w:rsidRPr="004257DD">
        <w:rPr>
          <w:rFonts w:ascii="Arial" w:hAnsi="Arial" w:cs="Arial"/>
          <w:sz w:val="20"/>
          <w:szCs w:val="20"/>
          <w:highlight w:val="yellow"/>
        </w:rPr>
        <w:t xml:space="preserve">(9), 2323–2327. </w:t>
      </w:r>
      <w:hyperlink r:id="rId8" w:history="1">
        <w:r w:rsidRPr="004257DD">
          <w:rPr>
            <w:rStyle w:val="Hyperlink"/>
            <w:rFonts w:ascii="Arial" w:hAnsi="Arial" w:cs="Arial"/>
            <w:sz w:val="20"/>
            <w:szCs w:val="20"/>
            <w:highlight w:val="yellow"/>
          </w:rPr>
          <w:t>https://doi.org/10.20546/ijcmas.2020.909.290</w:t>
        </w:r>
      </w:hyperlink>
    </w:p>
    <w:p w14:paraId="30BEAC37" w14:textId="44FCE394" w:rsidR="00662CB0" w:rsidRPr="004257DD" w:rsidRDefault="00662CB0" w:rsidP="00662CB0">
      <w:pPr>
        <w:pStyle w:val="NormalWeb"/>
        <w:ind w:left="851" w:hanging="851"/>
        <w:jc w:val="both"/>
        <w:rPr>
          <w:rFonts w:ascii="Arial" w:hAnsi="Arial" w:cs="Arial"/>
          <w:sz w:val="20"/>
          <w:szCs w:val="20"/>
          <w:highlight w:val="yellow"/>
          <w:lang w:val="en-US"/>
        </w:rPr>
      </w:pPr>
      <w:r w:rsidRPr="004257DD">
        <w:rPr>
          <w:rFonts w:ascii="Arial" w:hAnsi="Arial" w:cs="Arial"/>
          <w:sz w:val="20"/>
          <w:szCs w:val="20"/>
          <w:highlight w:val="yellow"/>
          <w:lang w:val="en-US"/>
        </w:rPr>
        <w:t>Cheng, K., Xiao, J., He, J., Yang, R., Pei, J., Jin, W., El-</w:t>
      </w:r>
      <w:proofErr w:type="spellStart"/>
      <w:r w:rsidRPr="004257DD">
        <w:rPr>
          <w:rFonts w:ascii="Arial" w:hAnsi="Arial" w:cs="Arial"/>
          <w:sz w:val="20"/>
          <w:szCs w:val="20"/>
          <w:highlight w:val="yellow"/>
          <w:lang w:val="en-US"/>
        </w:rPr>
        <w:t>Aty</w:t>
      </w:r>
      <w:proofErr w:type="spellEnd"/>
      <w:r w:rsidRPr="004257DD">
        <w:rPr>
          <w:rFonts w:ascii="Arial" w:hAnsi="Arial" w:cs="Arial"/>
          <w:sz w:val="20"/>
          <w:szCs w:val="20"/>
          <w:highlight w:val="yellow"/>
          <w:lang w:val="en-US"/>
        </w:rPr>
        <w:t>, A., Dhanani, T., Li, Y., &amp; Kureshi, A. (2025). Unraveling volatile metabolites in pigmented onion (</w:t>
      </w:r>
      <w:r w:rsidR="006950B6" w:rsidRPr="004257DD">
        <w:rPr>
          <w:rFonts w:ascii="Arial" w:hAnsi="Arial" w:cs="Arial"/>
          <w:i/>
          <w:sz w:val="20"/>
          <w:szCs w:val="20"/>
          <w:highlight w:val="yellow"/>
          <w:lang w:val="en-US"/>
        </w:rPr>
        <w:t xml:space="preserve">Allium </w:t>
      </w:r>
      <w:proofErr w:type="spellStart"/>
      <w:r w:rsidR="006950B6" w:rsidRPr="004257DD">
        <w:rPr>
          <w:rFonts w:ascii="Arial" w:hAnsi="Arial" w:cs="Arial"/>
          <w:i/>
          <w:sz w:val="20"/>
          <w:szCs w:val="20"/>
          <w:highlight w:val="yellow"/>
          <w:lang w:val="en-US"/>
        </w:rPr>
        <w:t>cepa</w:t>
      </w:r>
      <w:proofErr w:type="spellEnd"/>
      <w:r w:rsidRPr="004257DD">
        <w:rPr>
          <w:rFonts w:ascii="Arial" w:hAnsi="Arial" w:cs="Arial"/>
          <w:sz w:val="20"/>
          <w:szCs w:val="20"/>
          <w:highlight w:val="yellow"/>
          <w:lang w:val="en-US"/>
        </w:rPr>
        <w:t xml:space="preserve"> L.) bulbs through HS-SPME/GC–MS-based metabolomics and machine learning. </w:t>
      </w:r>
      <w:r w:rsidRPr="004257DD">
        <w:rPr>
          <w:rFonts w:ascii="Arial" w:hAnsi="Arial" w:cs="Arial"/>
          <w:i/>
          <w:sz w:val="20"/>
          <w:szCs w:val="20"/>
          <w:highlight w:val="yellow"/>
          <w:lang w:val="en-US"/>
        </w:rPr>
        <w:t>Frontiers in Nutrition, 12</w:t>
      </w:r>
      <w:r w:rsidRPr="004257DD">
        <w:rPr>
          <w:rFonts w:ascii="Arial" w:hAnsi="Arial" w:cs="Arial"/>
          <w:sz w:val="20"/>
          <w:szCs w:val="20"/>
          <w:highlight w:val="yellow"/>
          <w:lang w:val="en-US"/>
        </w:rPr>
        <w:t xml:space="preserve">. </w:t>
      </w:r>
      <w:hyperlink r:id="rId9" w:history="1">
        <w:r w:rsidRPr="004257DD">
          <w:rPr>
            <w:rStyle w:val="Hyperlink"/>
            <w:rFonts w:ascii="Arial" w:hAnsi="Arial" w:cs="Arial"/>
            <w:sz w:val="20"/>
            <w:szCs w:val="20"/>
            <w:highlight w:val="yellow"/>
            <w:lang w:val="en-US"/>
          </w:rPr>
          <w:t>https://doi.org/10.3389/fnut.2025.1582576</w:t>
        </w:r>
      </w:hyperlink>
    </w:p>
    <w:p w14:paraId="1DE18656" w14:textId="059B319A" w:rsidR="00662CB0" w:rsidRPr="004257DD" w:rsidRDefault="00662CB0" w:rsidP="00662CB0">
      <w:pPr>
        <w:pStyle w:val="NormalWeb"/>
        <w:ind w:left="851" w:hanging="851"/>
        <w:jc w:val="both"/>
        <w:rPr>
          <w:rFonts w:ascii="Arial" w:hAnsi="Arial" w:cs="Arial"/>
          <w:sz w:val="20"/>
          <w:szCs w:val="20"/>
          <w:highlight w:val="yellow"/>
        </w:rPr>
      </w:pPr>
      <w:r w:rsidRPr="004257DD">
        <w:rPr>
          <w:rFonts w:ascii="Arial" w:hAnsi="Arial" w:cs="Arial"/>
          <w:sz w:val="20"/>
          <w:szCs w:val="20"/>
          <w:highlight w:val="yellow"/>
        </w:rPr>
        <w:t>Gupta, N., Bhargav, K. S., &amp; Dixit, A. K. (2020). Evaluation of kharif onion (</w:t>
      </w:r>
      <w:r w:rsidR="006950B6" w:rsidRPr="004257DD">
        <w:rPr>
          <w:rFonts w:ascii="Arial" w:hAnsi="Arial" w:cs="Arial"/>
          <w:i/>
          <w:sz w:val="20"/>
          <w:szCs w:val="20"/>
          <w:highlight w:val="yellow"/>
        </w:rPr>
        <w:t xml:space="preserve">Allium </w:t>
      </w:r>
      <w:proofErr w:type="spellStart"/>
      <w:r w:rsidR="006950B6" w:rsidRPr="004257DD">
        <w:rPr>
          <w:rFonts w:ascii="Arial" w:hAnsi="Arial" w:cs="Arial"/>
          <w:i/>
          <w:sz w:val="20"/>
          <w:szCs w:val="20"/>
          <w:highlight w:val="yellow"/>
        </w:rPr>
        <w:t>cepa</w:t>
      </w:r>
      <w:proofErr w:type="spellEnd"/>
      <w:r w:rsidRPr="004257DD">
        <w:rPr>
          <w:rFonts w:ascii="Arial" w:hAnsi="Arial" w:cs="Arial"/>
          <w:sz w:val="20"/>
          <w:szCs w:val="20"/>
          <w:highlight w:val="yellow"/>
        </w:rPr>
        <w:t xml:space="preserve"> L.) varieties in </w:t>
      </w:r>
      <w:proofErr w:type="spellStart"/>
      <w:r w:rsidRPr="004257DD">
        <w:rPr>
          <w:rFonts w:ascii="Arial" w:hAnsi="Arial" w:cs="Arial"/>
          <w:sz w:val="20"/>
          <w:szCs w:val="20"/>
          <w:highlight w:val="yellow"/>
        </w:rPr>
        <w:t>Malwa</w:t>
      </w:r>
      <w:proofErr w:type="spellEnd"/>
      <w:r w:rsidRPr="004257DD">
        <w:rPr>
          <w:rFonts w:ascii="Arial" w:hAnsi="Arial" w:cs="Arial"/>
          <w:sz w:val="20"/>
          <w:szCs w:val="20"/>
          <w:highlight w:val="yellow"/>
        </w:rPr>
        <w:t xml:space="preserve"> </w:t>
      </w:r>
      <w:proofErr w:type="spellStart"/>
      <w:r w:rsidRPr="004257DD">
        <w:rPr>
          <w:rFonts w:ascii="Arial" w:hAnsi="Arial" w:cs="Arial"/>
          <w:sz w:val="20"/>
          <w:szCs w:val="20"/>
          <w:highlight w:val="yellow"/>
        </w:rPr>
        <w:t>Agro</w:t>
      </w:r>
      <w:proofErr w:type="spellEnd"/>
      <w:r w:rsidRPr="004257DD">
        <w:rPr>
          <w:rFonts w:ascii="Arial" w:hAnsi="Arial" w:cs="Arial"/>
          <w:sz w:val="20"/>
          <w:szCs w:val="20"/>
          <w:highlight w:val="yellow"/>
        </w:rPr>
        <w:t xml:space="preserve"> Climatic Zone of Madhya Pradesh. </w:t>
      </w:r>
      <w:r w:rsidRPr="004257DD">
        <w:rPr>
          <w:rFonts w:ascii="Arial" w:hAnsi="Arial" w:cs="Arial"/>
          <w:i/>
          <w:sz w:val="20"/>
          <w:szCs w:val="20"/>
          <w:highlight w:val="yellow"/>
        </w:rPr>
        <w:t>International Journal of Current Microbiology and Applied Sciences, 9(</w:t>
      </w:r>
      <w:r w:rsidRPr="004257DD">
        <w:rPr>
          <w:rFonts w:ascii="Arial" w:hAnsi="Arial" w:cs="Arial"/>
          <w:sz w:val="20"/>
          <w:szCs w:val="20"/>
          <w:highlight w:val="yellow"/>
        </w:rPr>
        <w:t xml:space="preserve">12), 2722–2727. </w:t>
      </w:r>
      <w:hyperlink r:id="rId10" w:history="1">
        <w:r w:rsidR="00DE5F22" w:rsidRPr="00C53DC6">
          <w:rPr>
            <w:rStyle w:val="Hyperlink"/>
            <w:rFonts w:ascii="Arial" w:hAnsi="Arial" w:cs="Arial"/>
            <w:sz w:val="20"/>
            <w:szCs w:val="20"/>
            <w:highlight w:val="yellow"/>
          </w:rPr>
          <w:t>https://doi.org/10.20546/ijcmas.2020.912.323</w:t>
        </w:r>
      </w:hyperlink>
    </w:p>
    <w:p w14:paraId="6FEB483D" w14:textId="77777777" w:rsidR="00662CB0" w:rsidRPr="004257DD" w:rsidRDefault="00662CB0" w:rsidP="00662CB0">
      <w:pPr>
        <w:pStyle w:val="NormalWeb"/>
        <w:ind w:left="851" w:hanging="851"/>
        <w:jc w:val="both"/>
        <w:rPr>
          <w:rFonts w:ascii="Arial" w:hAnsi="Arial" w:cs="Arial"/>
          <w:sz w:val="20"/>
          <w:szCs w:val="20"/>
          <w:highlight w:val="yellow"/>
        </w:rPr>
      </w:pPr>
      <w:proofErr w:type="spellStart"/>
      <w:r w:rsidRPr="004257DD">
        <w:rPr>
          <w:rFonts w:ascii="Arial" w:hAnsi="Arial" w:cs="Arial"/>
          <w:sz w:val="20"/>
          <w:szCs w:val="20"/>
          <w:highlight w:val="yellow"/>
        </w:rPr>
        <w:t>Hiremath</w:t>
      </w:r>
      <w:proofErr w:type="spellEnd"/>
      <w:r w:rsidRPr="004257DD">
        <w:rPr>
          <w:rFonts w:ascii="Arial" w:hAnsi="Arial" w:cs="Arial"/>
          <w:sz w:val="20"/>
          <w:szCs w:val="20"/>
          <w:highlight w:val="yellow"/>
        </w:rPr>
        <w:t xml:space="preserve">, S. M., &amp; </w:t>
      </w:r>
      <w:proofErr w:type="spellStart"/>
      <w:r w:rsidRPr="004257DD">
        <w:rPr>
          <w:rFonts w:ascii="Arial" w:hAnsi="Arial" w:cs="Arial"/>
          <w:sz w:val="20"/>
          <w:szCs w:val="20"/>
          <w:highlight w:val="yellow"/>
        </w:rPr>
        <w:t>Mantur</w:t>
      </w:r>
      <w:proofErr w:type="spellEnd"/>
      <w:r w:rsidRPr="004257DD">
        <w:rPr>
          <w:rFonts w:ascii="Arial" w:hAnsi="Arial" w:cs="Arial"/>
          <w:sz w:val="20"/>
          <w:szCs w:val="20"/>
          <w:highlight w:val="yellow"/>
        </w:rPr>
        <w:t xml:space="preserve">, S. M. (2018). Assessment of onion varieties for late Kharif. International </w:t>
      </w:r>
      <w:r w:rsidRPr="004257DD">
        <w:rPr>
          <w:rFonts w:ascii="Arial" w:hAnsi="Arial" w:cs="Arial"/>
          <w:i/>
          <w:sz w:val="20"/>
          <w:szCs w:val="20"/>
          <w:highlight w:val="yellow"/>
        </w:rPr>
        <w:t>Journal of Agricultural Sciences, 14(</w:t>
      </w:r>
      <w:r w:rsidRPr="004257DD">
        <w:rPr>
          <w:rFonts w:ascii="Arial" w:hAnsi="Arial" w:cs="Arial"/>
          <w:sz w:val="20"/>
          <w:szCs w:val="20"/>
          <w:highlight w:val="yellow"/>
        </w:rPr>
        <w:t xml:space="preserve">1), 102–105. </w:t>
      </w:r>
      <w:hyperlink r:id="rId11" w:history="1">
        <w:r w:rsidRPr="004257DD">
          <w:rPr>
            <w:rStyle w:val="Hyperlink"/>
            <w:rFonts w:ascii="Arial" w:hAnsi="Arial" w:cs="Arial"/>
            <w:sz w:val="20"/>
            <w:szCs w:val="20"/>
            <w:highlight w:val="yellow"/>
          </w:rPr>
          <w:t>https://doi.org/10.15740/HAS/IJAS/14.1/102-105</w:t>
        </w:r>
      </w:hyperlink>
    </w:p>
    <w:p w14:paraId="303F3270" w14:textId="77777777" w:rsidR="00662CB0" w:rsidRPr="004257DD" w:rsidRDefault="00662CB0" w:rsidP="00662CB0">
      <w:pPr>
        <w:pStyle w:val="NormalWeb"/>
        <w:ind w:left="851" w:hanging="851"/>
        <w:jc w:val="both"/>
        <w:rPr>
          <w:rFonts w:ascii="Arial" w:hAnsi="Arial" w:cs="Arial"/>
          <w:sz w:val="20"/>
          <w:szCs w:val="20"/>
          <w:highlight w:val="yellow"/>
          <w:lang w:val="en-US"/>
        </w:rPr>
      </w:pPr>
      <w:r w:rsidRPr="004257DD">
        <w:rPr>
          <w:rFonts w:ascii="Arial" w:hAnsi="Arial" w:cs="Arial"/>
          <w:sz w:val="20"/>
          <w:szCs w:val="20"/>
          <w:highlight w:val="yellow"/>
          <w:lang w:val="en-US"/>
        </w:rPr>
        <w:t xml:space="preserve">Jagadish, H. M., Reddy, M. V. S., </w:t>
      </w:r>
      <w:proofErr w:type="spellStart"/>
      <w:r w:rsidRPr="004257DD">
        <w:rPr>
          <w:rFonts w:ascii="Arial" w:hAnsi="Arial" w:cs="Arial"/>
          <w:sz w:val="20"/>
          <w:szCs w:val="20"/>
          <w:highlight w:val="yellow"/>
          <w:lang w:val="en-US"/>
        </w:rPr>
        <w:t>Shivalingaiah</w:t>
      </w:r>
      <w:proofErr w:type="spellEnd"/>
      <w:r w:rsidRPr="004257DD">
        <w:rPr>
          <w:rFonts w:ascii="Arial" w:hAnsi="Arial" w:cs="Arial"/>
          <w:sz w:val="20"/>
          <w:szCs w:val="20"/>
          <w:highlight w:val="yellow"/>
          <w:lang w:val="en-US"/>
        </w:rPr>
        <w:t xml:space="preserve">, Y. N., Meghana, N., &amp; </w:t>
      </w:r>
      <w:proofErr w:type="spellStart"/>
      <w:r w:rsidRPr="004257DD">
        <w:rPr>
          <w:rFonts w:ascii="Arial" w:hAnsi="Arial" w:cs="Arial"/>
          <w:sz w:val="20"/>
          <w:szCs w:val="20"/>
          <w:highlight w:val="yellow"/>
          <w:lang w:val="en-US"/>
        </w:rPr>
        <w:t>Bhairagond</w:t>
      </w:r>
      <w:proofErr w:type="spellEnd"/>
      <w:r w:rsidRPr="004257DD">
        <w:rPr>
          <w:rFonts w:ascii="Arial" w:hAnsi="Arial" w:cs="Arial"/>
          <w:sz w:val="20"/>
          <w:szCs w:val="20"/>
          <w:highlight w:val="yellow"/>
          <w:lang w:val="en-US"/>
        </w:rPr>
        <w:t xml:space="preserve">, G. S. (2024). From Field to Market: The Challenges Faced by Onion Growers in </w:t>
      </w:r>
      <w:proofErr w:type="spellStart"/>
      <w:r w:rsidRPr="004257DD">
        <w:rPr>
          <w:rFonts w:ascii="Arial" w:hAnsi="Arial" w:cs="Arial"/>
          <w:sz w:val="20"/>
          <w:szCs w:val="20"/>
          <w:highlight w:val="yellow"/>
          <w:lang w:val="en-US"/>
        </w:rPr>
        <w:t>Chitradurga</w:t>
      </w:r>
      <w:proofErr w:type="spellEnd"/>
      <w:r w:rsidRPr="004257DD">
        <w:rPr>
          <w:rFonts w:ascii="Arial" w:hAnsi="Arial" w:cs="Arial"/>
          <w:sz w:val="20"/>
          <w:szCs w:val="20"/>
          <w:highlight w:val="yellow"/>
          <w:lang w:val="en-US"/>
        </w:rPr>
        <w:t xml:space="preserve">, Karnataka, India. </w:t>
      </w:r>
      <w:r w:rsidRPr="004257DD">
        <w:rPr>
          <w:rFonts w:ascii="Arial" w:hAnsi="Arial" w:cs="Arial"/>
          <w:i/>
          <w:sz w:val="20"/>
          <w:szCs w:val="20"/>
          <w:highlight w:val="yellow"/>
          <w:lang w:val="en-US"/>
        </w:rPr>
        <w:t>Journal of Scientific Research and Reports, 30</w:t>
      </w:r>
      <w:r w:rsidRPr="004257DD">
        <w:rPr>
          <w:rFonts w:ascii="Arial" w:hAnsi="Arial" w:cs="Arial"/>
          <w:sz w:val="20"/>
          <w:szCs w:val="20"/>
          <w:highlight w:val="yellow"/>
          <w:lang w:val="en-US"/>
        </w:rPr>
        <w:t xml:space="preserve">(11), 35-44. </w:t>
      </w:r>
      <w:hyperlink r:id="rId12" w:history="1">
        <w:r w:rsidRPr="004257DD">
          <w:rPr>
            <w:rStyle w:val="Hyperlink"/>
            <w:rFonts w:ascii="Arial" w:hAnsi="Arial" w:cs="Arial"/>
            <w:sz w:val="20"/>
            <w:szCs w:val="20"/>
            <w:highlight w:val="yellow"/>
            <w:lang w:val="en-US"/>
          </w:rPr>
          <w:t>https://doi.org/10.9734/jsrr/2024/v30i112529</w:t>
        </w:r>
      </w:hyperlink>
    </w:p>
    <w:p w14:paraId="7BC44C27" w14:textId="2570EEBD" w:rsidR="00662CB0" w:rsidRPr="004257DD" w:rsidRDefault="004257DD" w:rsidP="00662CB0">
      <w:pPr>
        <w:pStyle w:val="NormalWeb"/>
        <w:ind w:left="851" w:hanging="851"/>
        <w:jc w:val="both"/>
        <w:rPr>
          <w:rFonts w:ascii="Arial" w:hAnsi="Arial" w:cs="Arial"/>
          <w:sz w:val="20"/>
          <w:szCs w:val="20"/>
          <w:highlight w:val="yellow"/>
        </w:rPr>
      </w:pPr>
      <w:r w:rsidRPr="004257DD">
        <w:rPr>
          <w:rFonts w:ascii="Arial" w:hAnsi="Arial" w:cs="Arial"/>
          <w:color w:val="222222"/>
          <w:sz w:val="20"/>
          <w:szCs w:val="20"/>
          <w:highlight w:val="yellow"/>
          <w:shd w:val="clear" w:color="auto" w:fill="FFFFFF"/>
        </w:rPr>
        <w:t xml:space="preserve">Mahmood, N., </w:t>
      </w:r>
      <w:proofErr w:type="spellStart"/>
      <w:r w:rsidRPr="004257DD">
        <w:rPr>
          <w:rFonts w:ascii="Arial" w:hAnsi="Arial" w:cs="Arial"/>
          <w:color w:val="222222"/>
          <w:sz w:val="20"/>
          <w:szCs w:val="20"/>
          <w:highlight w:val="yellow"/>
          <w:shd w:val="clear" w:color="auto" w:fill="FFFFFF"/>
        </w:rPr>
        <w:t>Muazzam</w:t>
      </w:r>
      <w:proofErr w:type="spellEnd"/>
      <w:r w:rsidRPr="004257DD">
        <w:rPr>
          <w:rFonts w:ascii="Arial" w:hAnsi="Arial" w:cs="Arial"/>
          <w:color w:val="222222"/>
          <w:sz w:val="20"/>
          <w:szCs w:val="20"/>
          <w:highlight w:val="yellow"/>
          <w:shd w:val="clear" w:color="auto" w:fill="FFFFFF"/>
        </w:rPr>
        <w:t xml:space="preserve">, M. A., Ahmad, M., Hussain, S., &amp; </w:t>
      </w:r>
      <w:proofErr w:type="spellStart"/>
      <w:r w:rsidRPr="004257DD">
        <w:rPr>
          <w:rFonts w:ascii="Arial" w:hAnsi="Arial" w:cs="Arial"/>
          <w:color w:val="222222"/>
          <w:sz w:val="20"/>
          <w:szCs w:val="20"/>
          <w:highlight w:val="yellow"/>
          <w:shd w:val="clear" w:color="auto" w:fill="FFFFFF"/>
        </w:rPr>
        <w:t>Javed</w:t>
      </w:r>
      <w:proofErr w:type="spellEnd"/>
      <w:r w:rsidRPr="004257DD">
        <w:rPr>
          <w:rFonts w:ascii="Arial" w:hAnsi="Arial" w:cs="Arial"/>
          <w:color w:val="222222"/>
          <w:sz w:val="20"/>
          <w:szCs w:val="20"/>
          <w:highlight w:val="yellow"/>
          <w:shd w:val="clear" w:color="auto" w:fill="FFFFFF"/>
        </w:rPr>
        <w:t xml:space="preserve">, W. (2021). Phytochemistry of Allium </w:t>
      </w:r>
      <w:proofErr w:type="spellStart"/>
      <w:r w:rsidRPr="004257DD">
        <w:rPr>
          <w:rFonts w:ascii="Arial" w:hAnsi="Arial" w:cs="Arial"/>
          <w:color w:val="222222"/>
          <w:sz w:val="20"/>
          <w:szCs w:val="20"/>
          <w:highlight w:val="yellow"/>
          <w:shd w:val="clear" w:color="auto" w:fill="FFFFFF"/>
        </w:rPr>
        <w:t>cepa</w:t>
      </w:r>
      <w:proofErr w:type="spellEnd"/>
      <w:r w:rsidRPr="004257DD">
        <w:rPr>
          <w:rFonts w:ascii="Arial" w:hAnsi="Arial" w:cs="Arial"/>
          <w:color w:val="222222"/>
          <w:sz w:val="20"/>
          <w:szCs w:val="20"/>
          <w:highlight w:val="yellow"/>
          <w:shd w:val="clear" w:color="auto" w:fill="FFFFFF"/>
        </w:rPr>
        <w:t xml:space="preserve"> </w:t>
      </w:r>
      <w:proofErr w:type="gramStart"/>
      <w:r w:rsidRPr="004257DD">
        <w:rPr>
          <w:rFonts w:ascii="Arial" w:hAnsi="Arial" w:cs="Arial"/>
          <w:color w:val="222222"/>
          <w:sz w:val="20"/>
          <w:szCs w:val="20"/>
          <w:highlight w:val="yellow"/>
          <w:shd w:val="clear" w:color="auto" w:fill="FFFFFF"/>
        </w:rPr>
        <w:t>L.(</w:t>
      </w:r>
      <w:proofErr w:type="gramEnd"/>
      <w:r w:rsidRPr="004257DD">
        <w:rPr>
          <w:rFonts w:ascii="Arial" w:hAnsi="Arial" w:cs="Arial"/>
          <w:color w:val="222222"/>
          <w:sz w:val="20"/>
          <w:szCs w:val="20"/>
          <w:highlight w:val="yellow"/>
          <w:shd w:val="clear" w:color="auto" w:fill="FFFFFF"/>
        </w:rPr>
        <w:t>Onion): An overview of its nutritional and pharmacological importance. </w:t>
      </w:r>
      <w:r w:rsidRPr="004257DD">
        <w:rPr>
          <w:rFonts w:ascii="Arial" w:hAnsi="Arial" w:cs="Arial"/>
          <w:i/>
          <w:iCs/>
          <w:color w:val="222222"/>
          <w:sz w:val="20"/>
          <w:szCs w:val="20"/>
          <w:highlight w:val="yellow"/>
          <w:shd w:val="clear" w:color="auto" w:fill="FFFFFF"/>
        </w:rPr>
        <w:t>Scientific Inquiry and Review</w:t>
      </w:r>
      <w:r w:rsidRPr="004257DD">
        <w:rPr>
          <w:rFonts w:ascii="Arial" w:hAnsi="Arial" w:cs="Arial"/>
          <w:color w:val="222222"/>
          <w:sz w:val="20"/>
          <w:szCs w:val="20"/>
          <w:highlight w:val="yellow"/>
          <w:shd w:val="clear" w:color="auto" w:fill="FFFFFF"/>
        </w:rPr>
        <w:t>, </w:t>
      </w:r>
      <w:r w:rsidRPr="004257DD">
        <w:rPr>
          <w:rFonts w:ascii="Arial" w:hAnsi="Arial" w:cs="Arial"/>
          <w:i/>
          <w:iCs/>
          <w:color w:val="222222"/>
          <w:sz w:val="20"/>
          <w:szCs w:val="20"/>
          <w:highlight w:val="yellow"/>
          <w:shd w:val="clear" w:color="auto" w:fill="FFFFFF"/>
        </w:rPr>
        <w:t>5</w:t>
      </w:r>
      <w:r w:rsidRPr="004257DD">
        <w:rPr>
          <w:rFonts w:ascii="Arial" w:hAnsi="Arial" w:cs="Arial"/>
          <w:color w:val="222222"/>
          <w:sz w:val="20"/>
          <w:szCs w:val="20"/>
          <w:highlight w:val="yellow"/>
          <w:shd w:val="clear" w:color="auto" w:fill="FFFFFF"/>
        </w:rPr>
        <w:t xml:space="preserve">(3), 41-59. </w:t>
      </w:r>
      <w:hyperlink r:id="rId13" w:history="1">
        <w:r w:rsidR="00662CB0" w:rsidRPr="004257DD">
          <w:rPr>
            <w:rStyle w:val="Hyperlink"/>
            <w:rFonts w:ascii="Arial" w:hAnsi="Arial" w:cs="Arial"/>
            <w:sz w:val="20"/>
            <w:szCs w:val="20"/>
            <w:highlight w:val="yellow"/>
          </w:rPr>
          <w:t>https://doi.org/10.61180/vegsci.2021.v48.i2.01</w:t>
        </w:r>
      </w:hyperlink>
    </w:p>
    <w:p w14:paraId="34AA5CD8" w14:textId="1BE953DD" w:rsidR="00662CB0" w:rsidRPr="004257DD" w:rsidRDefault="004257DD" w:rsidP="00662CB0">
      <w:pPr>
        <w:pStyle w:val="NormalWeb"/>
        <w:ind w:left="851" w:hanging="851"/>
        <w:jc w:val="both"/>
        <w:rPr>
          <w:rFonts w:ascii="Arial" w:hAnsi="Arial" w:cs="Arial"/>
          <w:sz w:val="20"/>
          <w:szCs w:val="20"/>
          <w:highlight w:val="yellow"/>
          <w:lang w:val="en-US"/>
        </w:rPr>
      </w:pPr>
      <w:r w:rsidRPr="004257DD">
        <w:rPr>
          <w:rFonts w:ascii="Arial" w:hAnsi="Arial" w:cs="Arial"/>
          <w:color w:val="222222"/>
          <w:sz w:val="20"/>
          <w:szCs w:val="20"/>
          <w:highlight w:val="yellow"/>
          <w:shd w:val="clear" w:color="auto" w:fill="FFFFFF"/>
        </w:rPr>
        <w:t xml:space="preserve">Mahmood, N., </w:t>
      </w:r>
      <w:proofErr w:type="spellStart"/>
      <w:r w:rsidRPr="004257DD">
        <w:rPr>
          <w:rFonts w:ascii="Arial" w:hAnsi="Arial" w:cs="Arial"/>
          <w:color w:val="222222"/>
          <w:sz w:val="20"/>
          <w:szCs w:val="20"/>
          <w:highlight w:val="yellow"/>
          <w:shd w:val="clear" w:color="auto" w:fill="FFFFFF"/>
        </w:rPr>
        <w:t>Muazzam</w:t>
      </w:r>
      <w:proofErr w:type="spellEnd"/>
      <w:r w:rsidRPr="004257DD">
        <w:rPr>
          <w:rFonts w:ascii="Arial" w:hAnsi="Arial" w:cs="Arial"/>
          <w:color w:val="222222"/>
          <w:sz w:val="20"/>
          <w:szCs w:val="20"/>
          <w:highlight w:val="yellow"/>
          <w:shd w:val="clear" w:color="auto" w:fill="FFFFFF"/>
        </w:rPr>
        <w:t xml:space="preserve">, M. A., Ahmad, M., Hussain, S., &amp; </w:t>
      </w:r>
      <w:proofErr w:type="spellStart"/>
      <w:r w:rsidRPr="004257DD">
        <w:rPr>
          <w:rFonts w:ascii="Arial" w:hAnsi="Arial" w:cs="Arial"/>
          <w:color w:val="222222"/>
          <w:sz w:val="20"/>
          <w:szCs w:val="20"/>
          <w:highlight w:val="yellow"/>
          <w:shd w:val="clear" w:color="auto" w:fill="FFFFFF"/>
        </w:rPr>
        <w:t>Javed</w:t>
      </w:r>
      <w:proofErr w:type="spellEnd"/>
      <w:r w:rsidRPr="004257DD">
        <w:rPr>
          <w:rFonts w:ascii="Arial" w:hAnsi="Arial" w:cs="Arial"/>
          <w:color w:val="222222"/>
          <w:sz w:val="20"/>
          <w:szCs w:val="20"/>
          <w:highlight w:val="yellow"/>
          <w:shd w:val="clear" w:color="auto" w:fill="FFFFFF"/>
        </w:rPr>
        <w:t xml:space="preserve">, W. (2021). Phytochemistry of </w:t>
      </w:r>
      <w:r w:rsidRPr="004257DD">
        <w:rPr>
          <w:rFonts w:ascii="Arial" w:hAnsi="Arial" w:cs="Arial"/>
          <w:i/>
          <w:color w:val="222222"/>
          <w:sz w:val="20"/>
          <w:szCs w:val="20"/>
          <w:highlight w:val="yellow"/>
          <w:shd w:val="clear" w:color="auto" w:fill="FFFFFF"/>
        </w:rPr>
        <w:t xml:space="preserve">Allium </w:t>
      </w:r>
      <w:proofErr w:type="spellStart"/>
      <w:r w:rsidRPr="004257DD">
        <w:rPr>
          <w:rFonts w:ascii="Arial" w:hAnsi="Arial" w:cs="Arial"/>
          <w:i/>
          <w:color w:val="222222"/>
          <w:sz w:val="20"/>
          <w:szCs w:val="20"/>
          <w:highlight w:val="yellow"/>
          <w:shd w:val="clear" w:color="auto" w:fill="FFFFFF"/>
        </w:rPr>
        <w:t>cepa</w:t>
      </w:r>
      <w:proofErr w:type="spellEnd"/>
      <w:r w:rsidRPr="004257DD">
        <w:rPr>
          <w:rFonts w:ascii="Arial" w:hAnsi="Arial" w:cs="Arial"/>
          <w:color w:val="222222"/>
          <w:sz w:val="20"/>
          <w:szCs w:val="20"/>
          <w:highlight w:val="yellow"/>
          <w:shd w:val="clear" w:color="auto" w:fill="FFFFFF"/>
        </w:rPr>
        <w:t xml:space="preserve"> L. (Onion): An overview of its nutritional and pharmacological importance. </w:t>
      </w:r>
      <w:r w:rsidRPr="004257DD">
        <w:rPr>
          <w:rFonts w:ascii="Arial" w:hAnsi="Arial" w:cs="Arial"/>
          <w:i/>
          <w:iCs/>
          <w:color w:val="222222"/>
          <w:sz w:val="20"/>
          <w:szCs w:val="20"/>
          <w:highlight w:val="yellow"/>
          <w:shd w:val="clear" w:color="auto" w:fill="FFFFFF"/>
        </w:rPr>
        <w:t>Scientific Inquiry and Review</w:t>
      </w:r>
      <w:r w:rsidRPr="004257DD">
        <w:rPr>
          <w:rFonts w:ascii="Arial" w:hAnsi="Arial" w:cs="Arial"/>
          <w:color w:val="222222"/>
          <w:sz w:val="20"/>
          <w:szCs w:val="20"/>
          <w:highlight w:val="yellow"/>
          <w:shd w:val="clear" w:color="auto" w:fill="FFFFFF"/>
        </w:rPr>
        <w:t>, </w:t>
      </w:r>
      <w:r w:rsidRPr="004257DD">
        <w:rPr>
          <w:rFonts w:ascii="Arial" w:hAnsi="Arial" w:cs="Arial"/>
          <w:i/>
          <w:iCs/>
          <w:color w:val="222222"/>
          <w:sz w:val="20"/>
          <w:szCs w:val="20"/>
          <w:highlight w:val="yellow"/>
          <w:shd w:val="clear" w:color="auto" w:fill="FFFFFF"/>
        </w:rPr>
        <w:t>5</w:t>
      </w:r>
      <w:r w:rsidRPr="004257DD">
        <w:rPr>
          <w:rFonts w:ascii="Arial" w:hAnsi="Arial" w:cs="Arial"/>
          <w:color w:val="222222"/>
          <w:sz w:val="20"/>
          <w:szCs w:val="20"/>
          <w:highlight w:val="yellow"/>
          <w:shd w:val="clear" w:color="auto" w:fill="FFFFFF"/>
        </w:rPr>
        <w:t xml:space="preserve">(3), 41-59. </w:t>
      </w:r>
      <w:hyperlink r:id="rId14" w:history="1">
        <w:r w:rsidR="00662CB0" w:rsidRPr="004257DD">
          <w:rPr>
            <w:rStyle w:val="Hyperlink"/>
            <w:rFonts w:ascii="Arial" w:hAnsi="Arial" w:cs="Arial"/>
            <w:sz w:val="20"/>
            <w:szCs w:val="20"/>
            <w:highlight w:val="yellow"/>
            <w:lang w:val="en-US"/>
          </w:rPr>
          <w:t>https://doi.org/10.32350/sir/53.04</w:t>
        </w:r>
      </w:hyperlink>
    </w:p>
    <w:p w14:paraId="06B8A669" w14:textId="6A0AD6CE" w:rsidR="00662CB0" w:rsidRPr="004257DD" w:rsidRDefault="004257DD" w:rsidP="00662CB0">
      <w:pPr>
        <w:pStyle w:val="NormalWeb"/>
        <w:ind w:left="851" w:hanging="851"/>
        <w:jc w:val="both"/>
        <w:rPr>
          <w:rFonts w:ascii="Arial" w:hAnsi="Arial" w:cs="Arial"/>
          <w:sz w:val="20"/>
          <w:szCs w:val="20"/>
          <w:highlight w:val="yellow"/>
          <w:lang w:val="en-US"/>
        </w:rPr>
      </w:pPr>
      <w:proofErr w:type="spellStart"/>
      <w:r w:rsidRPr="004257DD">
        <w:rPr>
          <w:rFonts w:ascii="Arial" w:hAnsi="Arial" w:cs="Arial"/>
          <w:color w:val="222222"/>
          <w:sz w:val="20"/>
          <w:szCs w:val="20"/>
          <w:highlight w:val="yellow"/>
          <w:shd w:val="clear" w:color="auto" w:fill="FFFFFF"/>
        </w:rPr>
        <w:t>Marcinkowska</w:t>
      </w:r>
      <w:proofErr w:type="spellEnd"/>
      <w:r w:rsidRPr="004257DD">
        <w:rPr>
          <w:rFonts w:ascii="Arial" w:hAnsi="Arial" w:cs="Arial"/>
          <w:color w:val="222222"/>
          <w:sz w:val="20"/>
          <w:szCs w:val="20"/>
          <w:highlight w:val="yellow"/>
          <w:shd w:val="clear" w:color="auto" w:fill="FFFFFF"/>
        </w:rPr>
        <w:t xml:space="preserve">, M. A., &amp; </w:t>
      </w:r>
      <w:proofErr w:type="spellStart"/>
      <w:r w:rsidRPr="004257DD">
        <w:rPr>
          <w:rFonts w:ascii="Arial" w:hAnsi="Arial" w:cs="Arial"/>
          <w:color w:val="222222"/>
          <w:sz w:val="20"/>
          <w:szCs w:val="20"/>
          <w:highlight w:val="yellow"/>
          <w:shd w:val="clear" w:color="auto" w:fill="FFFFFF"/>
        </w:rPr>
        <w:t>Jeleń</w:t>
      </w:r>
      <w:proofErr w:type="spellEnd"/>
      <w:r w:rsidRPr="004257DD">
        <w:rPr>
          <w:rFonts w:ascii="Arial" w:hAnsi="Arial" w:cs="Arial"/>
          <w:color w:val="222222"/>
          <w:sz w:val="20"/>
          <w:szCs w:val="20"/>
          <w:highlight w:val="yellow"/>
          <w:shd w:val="clear" w:color="auto" w:fill="FFFFFF"/>
        </w:rPr>
        <w:t xml:space="preserve">, H. H. (2022). Role of </w:t>
      </w:r>
      <w:proofErr w:type="spellStart"/>
      <w:r w:rsidRPr="004257DD">
        <w:rPr>
          <w:rFonts w:ascii="Arial" w:hAnsi="Arial" w:cs="Arial"/>
          <w:color w:val="222222"/>
          <w:sz w:val="20"/>
          <w:szCs w:val="20"/>
          <w:highlight w:val="yellow"/>
          <w:shd w:val="clear" w:color="auto" w:fill="FFFFFF"/>
        </w:rPr>
        <w:t>sulfur</w:t>
      </w:r>
      <w:proofErr w:type="spellEnd"/>
      <w:r w:rsidRPr="004257DD">
        <w:rPr>
          <w:rFonts w:ascii="Arial" w:hAnsi="Arial" w:cs="Arial"/>
          <w:color w:val="222222"/>
          <w:sz w:val="20"/>
          <w:szCs w:val="20"/>
          <w:highlight w:val="yellow"/>
          <w:shd w:val="clear" w:color="auto" w:fill="FFFFFF"/>
        </w:rPr>
        <w:t xml:space="preserve"> compounds in vegetable and mushroom aroma. </w:t>
      </w:r>
      <w:r w:rsidRPr="004257DD">
        <w:rPr>
          <w:rFonts w:ascii="Arial" w:hAnsi="Arial" w:cs="Arial"/>
          <w:i/>
          <w:iCs/>
          <w:color w:val="222222"/>
          <w:sz w:val="20"/>
          <w:szCs w:val="20"/>
          <w:highlight w:val="yellow"/>
          <w:shd w:val="clear" w:color="auto" w:fill="FFFFFF"/>
        </w:rPr>
        <w:t>Molecules</w:t>
      </w:r>
      <w:r w:rsidRPr="004257DD">
        <w:rPr>
          <w:rFonts w:ascii="Arial" w:hAnsi="Arial" w:cs="Arial"/>
          <w:color w:val="222222"/>
          <w:sz w:val="20"/>
          <w:szCs w:val="20"/>
          <w:highlight w:val="yellow"/>
          <w:shd w:val="clear" w:color="auto" w:fill="FFFFFF"/>
        </w:rPr>
        <w:t>, </w:t>
      </w:r>
      <w:r w:rsidRPr="004257DD">
        <w:rPr>
          <w:rFonts w:ascii="Arial" w:hAnsi="Arial" w:cs="Arial"/>
          <w:i/>
          <w:iCs/>
          <w:color w:val="222222"/>
          <w:sz w:val="20"/>
          <w:szCs w:val="20"/>
          <w:highlight w:val="yellow"/>
          <w:shd w:val="clear" w:color="auto" w:fill="FFFFFF"/>
        </w:rPr>
        <w:t>27</w:t>
      </w:r>
      <w:r w:rsidRPr="004257DD">
        <w:rPr>
          <w:rFonts w:ascii="Arial" w:hAnsi="Arial" w:cs="Arial"/>
          <w:color w:val="222222"/>
          <w:sz w:val="20"/>
          <w:szCs w:val="20"/>
          <w:highlight w:val="yellow"/>
          <w:shd w:val="clear" w:color="auto" w:fill="FFFFFF"/>
        </w:rPr>
        <w:t>(18), 6116.</w:t>
      </w:r>
      <w:r w:rsidR="00662CB0" w:rsidRPr="004257DD">
        <w:rPr>
          <w:rFonts w:ascii="Arial" w:hAnsi="Arial" w:cs="Arial"/>
          <w:sz w:val="20"/>
          <w:szCs w:val="20"/>
          <w:highlight w:val="yellow"/>
          <w:lang w:val="en-US"/>
        </w:rPr>
        <w:t xml:space="preserve"> </w:t>
      </w:r>
      <w:hyperlink r:id="rId15" w:history="1">
        <w:r w:rsidR="00662CB0" w:rsidRPr="004257DD">
          <w:rPr>
            <w:rStyle w:val="Hyperlink"/>
            <w:rFonts w:ascii="Arial" w:hAnsi="Arial" w:cs="Arial"/>
            <w:sz w:val="20"/>
            <w:szCs w:val="20"/>
            <w:highlight w:val="yellow"/>
            <w:lang w:val="en-US"/>
          </w:rPr>
          <w:t>https://doi.org/10.3390/molecules27186116</w:t>
        </w:r>
      </w:hyperlink>
    </w:p>
    <w:p w14:paraId="74D4B8BF" w14:textId="015A1EE0" w:rsidR="00662CB0" w:rsidRPr="004257DD" w:rsidRDefault="006950B6" w:rsidP="00662CB0">
      <w:pPr>
        <w:pStyle w:val="NormalWeb"/>
        <w:ind w:left="851" w:hanging="851"/>
        <w:jc w:val="both"/>
        <w:rPr>
          <w:rFonts w:ascii="Arial" w:hAnsi="Arial" w:cs="Arial"/>
          <w:sz w:val="20"/>
          <w:szCs w:val="20"/>
          <w:highlight w:val="yellow"/>
          <w:lang w:val="en-US"/>
        </w:rPr>
      </w:pPr>
      <w:r w:rsidRPr="004257DD">
        <w:rPr>
          <w:rFonts w:ascii="Arial" w:hAnsi="Arial" w:cs="Arial"/>
          <w:color w:val="222222"/>
          <w:sz w:val="20"/>
          <w:szCs w:val="20"/>
          <w:highlight w:val="yellow"/>
          <w:shd w:val="clear" w:color="auto" w:fill="FFFFFF"/>
        </w:rPr>
        <w:t xml:space="preserve">Momoh, J. O., </w:t>
      </w:r>
      <w:proofErr w:type="spellStart"/>
      <w:r w:rsidRPr="004257DD">
        <w:rPr>
          <w:rFonts w:ascii="Arial" w:hAnsi="Arial" w:cs="Arial"/>
          <w:color w:val="222222"/>
          <w:sz w:val="20"/>
          <w:szCs w:val="20"/>
          <w:highlight w:val="yellow"/>
          <w:shd w:val="clear" w:color="auto" w:fill="FFFFFF"/>
        </w:rPr>
        <w:t>Manuwa</w:t>
      </w:r>
      <w:proofErr w:type="spellEnd"/>
      <w:r w:rsidRPr="004257DD">
        <w:rPr>
          <w:rFonts w:ascii="Arial" w:hAnsi="Arial" w:cs="Arial"/>
          <w:color w:val="222222"/>
          <w:sz w:val="20"/>
          <w:szCs w:val="20"/>
          <w:highlight w:val="yellow"/>
          <w:shd w:val="clear" w:color="auto" w:fill="FFFFFF"/>
        </w:rPr>
        <w:t xml:space="preserve">, A. A., </w:t>
      </w:r>
      <w:proofErr w:type="spellStart"/>
      <w:r w:rsidRPr="004257DD">
        <w:rPr>
          <w:rFonts w:ascii="Arial" w:hAnsi="Arial" w:cs="Arial"/>
          <w:color w:val="222222"/>
          <w:sz w:val="20"/>
          <w:szCs w:val="20"/>
          <w:highlight w:val="yellow"/>
          <w:shd w:val="clear" w:color="auto" w:fill="FFFFFF"/>
        </w:rPr>
        <w:t>Ayinde</w:t>
      </w:r>
      <w:proofErr w:type="spellEnd"/>
      <w:r w:rsidRPr="004257DD">
        <w:rPr>
          <w:rFonts w:ascii="Arial" w:hAnsi="Arial" w:cs="Arial"/>
          <w:color w:val="222222"/>
          <w:sz w:val="20"/>
          <w:szCs w:val="20"/>
          <w:highlight w:val="yellow"/>
          <w:shd w:val="clear" w:color="auto" w:fill="FFFFFF"/>
        </w:rPr>
        <w:t>, F. A., &amp; Bankole, Y. O. (2023). Nutritional, phytochemicals, GC-MS and antibacterial activities of aqueous red onion (</w:t>
      </w:r>
      <w:r w:rsidRPr="004257DD">
        <w:rPr>
          <w:rFonts w:ascii="Arial" w:hAnsi="Arial" w:cs="Arial"/>
          <w:i/>
          <w:color w:val="222222"/>
          <w:sz w:val="20"/>
          <w:szCs w:val="20"/>
          <w:highlight w:val="yellow"/>
          <w:shd w:val="clear" w:color="auto" w:fill="FFFFFF"/>
        </w:rPr>
        <w:t xml:space="preserve">Allium </w:t>
      </w:r>
      <w:proofErr w:type="spellStart"/>
      <w:r w:rsidRPr="004257DD">
        <w:rPr>
          <w:rFonts w:ascii="Arial" w:hAnsi="Arial" w:cs="Arial"/>
          <w:i/>
          <w:color w:val="222222"/>
          <w:sz w:val="20"/>
          <w:szCs w:val="20"/>
          <w:highlight w:val="yellow"/>
          <w:shd w:val="clear" w:color="auto" w:fill="FFFFFF"/>
        </w:rPr>
        <w:t>cepa</w:t>
      </w:r>
      <w:proofErr w:type="spellEnd"/>
      <w:r w:rsidRPr="004257DD">
        <w:rPr>
          <w:rFonts w:ascii="Arial" w:hAnsi="Arial" w:cs="Arial"/>
          <w:color w:val="222222"/>
          <w:sz w:val="20"/>
          <w:szCs w:val="20"/>
          <w:highlight w:val="yellow"/>
          <w:shd w:val="clear" w:color="auto" w:fill="FFFFFF"/>
        </w:rPr>
        <w:t>) extract against Staphylococcus aureus and Escherichia coli. </w:t>
      </w:r>
      <w:r w:rsidRPr="004257DD">
        <w:rPr>
          <w:rFonts w:ascii="Arial" w:hAnsi="Arial" w:cs="Arial"/>
          <w:i/>
          <w:iCs/>
          <w:color w:val="222222"/>
          <w:sz w:val="20"/>
          <w:szCs w:val="20"/>
          <w:highlight w:val="yellow"/>
          <w:shd w:val="clear" w:color="auto" w:fill="FFFFFF"/>
        </w:rPr>
        <w:t>International Journal of Tropical Disease &amp; Health</w:t>
      </w:r>
      <w:r w:rsidRPr="004257DD">
        <w:rPr>
          <w:rFonts w:ascii="Arial" w:hAnsi="Arial" w:cs="Arial"/>
          <w:color w:val="222222"/>
          <w:sz w:val="20"/>
          <w:szCs w:val="20"/>
          <w:highlight w:val="yellow"/>
          <w:shd w:val="clear" w:color="auto" w:fill="FFFFFF"/>
        </w:rPr>
        <w:t>, </w:t>
      </w:r>
      <w:r w:rsidRPr="004257DD">
        <w:rPr>
          <w:rFonts w:ascii="Arial" w:hAnsi="Arial" w:cs="Arial"/>
          <w:i/>
          <w:iCs/>
          <w:color w:val="222222"/>
          <w:sz w:val="20"/>
          <w:szCs w:val="20"/>
          <w:highlight w:val="yellow"/>
          <w:shd w:val="clear" w:color="auto" w:fill="FFFFFF"/>
        </w:rPr>
        <w:t>44</w:t>
      </w:r>
      <w:r w:rsidRPr="004257DD">
        <w:rPr>
          <w:rFonts w:ascii="Arial" w:hAnsi="Arial" w:cs="Arial"/>
          <w:color w:val="222222"/>
          <w:sz w:val="20"/>
          <w:szCs w:val="20"/>
          <w:highlight w:val="yellow"/>
          <w:shd w:val="clear" w:color="auto" w:fill="FFFFFF"/>
        </w:rPr>
        <w:t xml:space="preserve">(5), 35-51. </w:t>
      </w:r>
      <w:hyperlink r:id="rId16" w:history="1">
        <w:r w:rsidR="00662CB0" w:rsidRPr="004257DD">
          <w:rPr>
            <w:rStyle w:val="Hyperlink"/>
            <w:rFonts w:ascii="Arial" w:hAnsi="Arial" w:cs="Arial"/>
            <w:sz w:val="20"/>
            <w:szCs w:val="20"/>
            <w:highlight w:val="yellow"/>
            <w:lang w:val="en-US"/>
          </w:rPr>
          <w:t>https://doi.org/10.9734/ijtdh/2023/v44i51407</w:t>
        </w:r>
      </w:hyperlink>
      <w:r w:rsidR="00662CB0" w:rsidRPr="004257DD">
        <w:rPr>
          <w:rFonts w:ascii="Arial" w:hAnsi="Arial" w:cs="Arial"/>
          <w:sz w:val="20"/>
          <w:szCs w:val="20"/>
          <w:highlight w:val="yellow"/>
          <w:lang w:val="en-US"/>
        </w:rPr>
        <w:t xml:space="preserve">. </w:t>
      </w:r>
    </w:p>
    <w:p w14:paraId="1FC076D8" w14:textId="43A053DD" w:rsidR="00662CB0" w:rsidRPr="004257DD" w:rsidRDefault="006950B6" w:rsidP="00662CB0">
      <w:pPr>
        <w:pStyle w:val="NormalWeb"/>
        <w:ind w:left="851" w:hanging="851"/>
        <w:jc w:val="both"/>
        <w:rPr>
          <w:rFonts w:ascii="Arial" w:hAnsi="Arial" w:cs="Arial"/>
          <w:sz w:val="20"/>
          <w:szCs w:val="20"/>
          <w:highlight w:val="yellow"/>
        </w:rPr>
      </w:pPr>
      <w:proofErr w:type="spellStart"/>
      <w:r w:rsidRPr="004257DD">
        <w:rPr>
          <w:rFonts w:ascii="Arial" w:hAnsi="Arial" w:cs="Arial"/>
          <w:color w:val="222222"/>
          <w:sz w:val="20"/>
          <w:szCs w:val="20"/>
          <w:highlight w:val="yellow"/>
          <w:shd w:val="clear" w:color="auto" w:fill="FFFFFF"/>
        </w:rPr>
        <w:t>Paramasivan</w:t>
      </w:r>
      <w:proofErr w:type="spellEnd"/>
      <w:r w:rsidRPr="004257DD">
        <w:rPr>
          <w:rFonts w:ascii="Arial" w:hAnsi="Arial" w:cs="Arial"/>
          <w:color w:val="222222"/>
          <w:sz w:val="20"/>
          <w:szCs w:val="20"/>
          <w:highlight w:val="yellow"/>
          <w:shd w:val="clear" w:color="auto" w:fill="FFFFFF"/>
        </w:rPr>
        <w:t xml:space="preserve">, M., Senthil Kumar, N., </w:t>
      </w:r>
      <w:proofErr w:type="spellStart"/>
      <w:r w:rsidRPr="004257DD">
        <w:rPr>
          <w:rFonts w:ascii="Arial" w:hAnsi="Arial" w:cs="Arial"/>
          <w:color w:val="222222"/>
          <w:sz w:val="20"/>
          <w:szCs w:val="20"/>
          <w:highlight w:val="yellow"/>
          <w:shd w:val="clear" w:color="auto" w:fill="FFFFFF"/>
        </w:rPr>
        <w:t>Allwin</w:t>
      </w:r>
      <w:proofErr w:type="spellEnd"/>
      <w:r w:rsidRPr="004257DD">
        <w:rPr>
          <w:rFonts w:ascii="Arial" w:hAnsi="Arial" w:cs="Arial"/>
          <w:color w:val="222222"/>
          <w:sz w:val="20"/>
          <w:szCs w:val="20"/>
          <w:highlight w:val="yellow"/>
          <w:shd w:val="clear" w:color="auto" w:fill="FFFFFF"/>
        </w:rPr>
        <w:t xml:space="preserve">, L., </w:t>
      </w:r>
      <w:proofErr w:type="spellStart"/>
      <w:r w:rsidRPr="004257DD">
        <w:rPr>
          <w:rFonts w:ascii="Arial" w:hAnsi="Arial" w:cs="Arial"/>
          <w:color w:val="222222"/>
          <w:sz w:val="20"/>
          <w:szCs w:val="20"/>
          <w:highlight w:val="yellow"/>
          <w:shd w:val="clear" w:color="auto" w:fill="FFFFFF"/>
        </w:rPr>
        <w:t>Sethupathy</w:t>
      </w:r>
      <w:proofErr w:type="spellEnd"/>
      <w:r w:rsidRPr="004257DD">
        <w:rPr>
          <w:rFonts w:ascii="Arial" w:hAnsi="Arial" w:cs="Arial"/>
          <w:color w:val="222222"/>
          <w:sz w:val="20"/>
          <w:szCs w:val="20"/>
          <w:highlight w:val="yellow"/>
          <w:shd w:val="clear" w:color="auto" w:fill="FFFFFF"/>
        </w:rPr>
        <w:t xml:space="preserve">, S., Manikandan, K., Balaji, T., ... &amp; </w:t>
      </w:r>
      <w:proofErr w:type="spellStart"/>
      <w:r w:rsidRPr="004257DD">
        <w:rPr>
          <w:rFonts w:ascii="Arial" w:hAnsi="Arial" w:cs="Arial"/>
          <w:color w:val="222222"/>
          <w:sz w:val="20"/>
          <w:szCs w:val="20"/>
          <w:highlight w:val="yellow"/>
          <w:shd w:val="clear" w:color="auto" w:fill="FFFFFF"/>
        </w:rPr>
        <w:t>Surulirajan</w:t>
      </w:r>
      <w:proofErr w:type="spellEnd"/>
      <w:r w:rsidRPr="004257DD">
        <w:rPr>
          <w:rFonts w:ascii="Arial" w:hAnsi="Arial" w:cs="Arial"/>
          <w:color w:val="222222"/>
          <w:sz w:val="20"/>
          <w:szCs w:val="20"/>
          <w:highlight w:val="yellow"/>
          <w:shd w:val="clear" w:color="auto" w:fill="FFFFFF"/>
        </w:rPr>
        <w:t>, M. (2025). Effect of N, P, K, Zn and B nutrients on growth, yield and quality of onion (</w:t>
      </w:r>
      <w:r w:rsidRPr="004257DD">
        <w:rPr>
          <w:rFonts w:ascii="Arial" w:hAnsi="Arial" w:cs="Arial"/>
          <w:i/>
          <w:color w:val="222222"/>
          <w:sz w:val="20"/>
          <w:szCs w:val="20"/>
          <w:highlight w:val="yellow"/>
          <w:shd w:val="clear" w:color="auto" w:fill="FFFFFF"/>
        </w:rPr>
        <w:t xml:space="preserve">Allium </w:t>
      </w:r>
      <w:proofErr w:type="spellStart"/>
      <w:r w:rsidRPr="004257DD">
        <w:rPr>
          <w:rFonts w:ascii="Arial" w:hAnsi="Arial" w:cs="Arial"/>
          <w:i/>
          <w:color w:val="222222"/>
          <w:sz w:val="20"/>
          <w:szCs w:val="20"/>
          <w:highlight w:val="yellow"/>
          <w:shd w:val="clear" w:color="auto" w:fill="FFFFFF"/>
        </w:rPr>
        <w:t>cepa</w:t>
      </w:r>
      <w:proofErr w:type="spellEnd"/>
      <w:r w:rsidRPr="004257DD">
        <w:rPr>
          <w:rFonts w:ascii="Arial" w:hAnsi="Arial" w:cs="Arial"/>
          <w:color w:val="222222"/>
          <w:sz w:val="20"/>
          <w:szCs w:val="20"/>
          <w:highlight w:val="yellow"/>
          <w:shd w:val="clear" w:color="auto" w:fill="FFFFFF"/>
        </w:rPr>
        <w:t xml:space="preserve"> l.) And fertility status of soil in </w:t>
      </w:r>
      <w:proofErr w:type="spellStart"/>
      <w:r w:rsidRPr="004257DD">
        <w:rPr>
          <w:rFonts w:ascii="Arial" w:hAnsi="Arial" w:cs="Arial"/>
          <w:color w:val="222222"/>
          <w:sz w:val="20"/>
          <w:szCs w:val="20"/>
          <w:highlight w:val="yellow"/>
          <w:shd w:val="clear" w:color="auto" w:fill="FFFFFF"/>
        </w:rPr>
        <w:t>alfisols</w:t>
      </w:r>
      <w:proofErr w:type="spellEnd"/>
      <w:r w:rsidRPr="004257DD">
        <w:rPr>
          <w:rFonts w:ascii="Arial" w:hAnsi="Arial" w:cs="Arial"/>
          <w:color w:val="222222"/>
          <w:sz w:val="20"/>
          <w:szCs w:val="20"/>
          <w:highlight w:val="yellow"/>
          <w:shd w:val="clear" w:color="auto" w:fill="FFFFFF"/>
        </w:rPr>
        <w:t xml:space="preserve"> of southern </w:t>
      </w:r>
      <w:proofErr w:type="spellStart"/>
      <w:r w:rsidRPr="004257DD">
        <w:rPr>
          <w:rFonts w:ascii="Arial" w:hAnsi="Arial" w:cs="Arial"/>
          <w:color w:val="222222"/>
          <w:sz w:val="20"/>
          <w:szCs w:val="20"/>
          <w:highlight w:val="yellow"/>
          <w:shd w:val="clear" w:color="auto" w:fill="FFFFFF"/>
        </w:rPr>
        <w:t>tamil</w:t>
      </w:r>
      <w:proofErr w:type="spellEnd"/>
      <w:r w:rsidRPr="004257DD">
        <w:rPr>
          <w:rFonts w:ascii="Arial" w:hAnsi="Arial" w:cs="Arial"/>
          <w:color w:val="222222"/>
          <w:sz w:val="20"/>
          <w:szCs w:val="20"/>
          <w:highlight w:val="yellow"/>
          <w:shd w:val="clear" w:color="auto" w:fill="FFFFFF"/>
        </w:rPr>
        <w:t xml:space="preserve"> </w:t>
      </w:r>
      <w:proofErr w:type="spellStart"/>
      <w:r w:rsidRPr="004257DD">
        <w:rPr>
          <w:rFonts w:ascii="Arial" w:hAnsi="Arial" w:cs="Arial"/>
          <w:color w:val="222222"/>
          <w:sz w:val="20"/>
          <w:szCs w:val="20"/>
          <w:highlight w:val="yellow"/>
          <w:shd w:val="clear" w:color="auto" w:fill="FFFFFF"/>
        </w:rPr>
        <w:t>nadu</w:t>
      </w:r>
      <w:proofErr w:type="spellEnd"/>
      <w:r w:rsidRPr="004257DD">
        <w:rPr>
          <w:rFonts w:ascii="Arial" w:hAnsi="Arial" w:cs="Arial"/>
          <w:color w:val="222222"/>
          <w:sz w:val="20"/>
          <w:szCs w:val="20"/>
          <w:highlight w:val="yellow"/>
          <w:shd w:val="clear" w:color="auto" w:fill="FFFFFF"/>
        </w:rPr>
        <w:t xml:space="preserve">, </w:t>
      </w:r>
      <w:proofErr w:type="spellStart"/>
      <w:r w:rsidRPr="004257DD">
        <w:rPr>
          <w:rFonts w:ascii="Arial" w:hAnsi="Arial" w:cs="Arial"/>
          <w:color w:val="222222"/>
          <w:sz w:val="20"/>
          <w:szCs w:val="20"/>
          <w:highlight w:val="yellow"/>
          <w:shd w:val="clear" w:color="auto" w:fill="FFFFFF"/>
        </w:rPr>
        <w:lastRenderedPageBreak/>
        <w:t>india</w:t>
      </w:r>
      <w:proofErr w:type="spellEnd"/>
      <w:r w:rsidRPr="004257DD">
        <w:rPr>
          <w:rFonts w:ascii="Arial" w:hAnsi="Arial" w:cs="Arial"/>
          <w:color w:val="222222"/>
          <w:sz w:val="20"/>
          <w:szCs w:val="20"/>
          <w:highlight w:val="yellow"/>
          <w:shd w:val="clear" w:color="auto" w:fill="FFFFFF"/>
        </w:rPr>
        <w:t>. </w:t>
      </w:r>
      <w:r w:rsidRPr="004257DD">
        <w:rPr>
          <w:rFonts w:ascii="Arial" w:hAnsi="Arial" w:cs="Arial"/>
          <w:i/>
          <w:iCs/>
          <w:color w:val="222222"/>
          <w:sz w:val="20"/>
          <w:szCs w:val="20"/>
          <w:highlight w:val="yellow"/>
          <w:shd w:val="clear" w:color="auto" w:fill="FFFFFF"/>
        </w:rPr>
        <w:t>Applied Ecology &amp; Environmental Research</w:t>
      </w:r>
      <w:r w:rsidRPr="004257DD">
        <w:rPr>
          <w:rFonts w:ascii="Arial" w:hAnsi="Arial" w:cs="Arial"/>
          <w:color w:val="222222"/>
          <w:sz w:val="20"/>
          <w:szCs w:val="20"/>
          <w:highlight w:val="yellow"/>
          <w:shd w:val="clear" w:color="auto" w:fill="FFFFFF"/>
        </w:rPr>
        <w:t>, </w:t>
      </w:r>
      <w:r w:rsidRPr="004257DD">
        <w:rPr>
          <w:rFonts w:ascii="Arial" w:hAnsi="Arial" w:cs="Arial"/>
          <w:i/>
          <w:iCs/>
          <w:color w:val="222222"/>
          <w:sz w:val="20"/>
          <w:szCs w:val="20"/>
          <w:highlight w:val="yellow"/>
          <w:shd w:val="clear" w:color="auto" w:fill="FFFFFF"/>
        </w:rPr>
        <w:t>23</w:t>
      </w:r>
      <w:r w:rsidRPr="004257DD">
        <w:rPr>
          <w:rFonts w:ascii="Arial" w:hAnsi="Arial" w:cs="Arial"/>
          <w:color w:val="222222"/>
          <w:sz w:val="20"/>
          <w:szCs w:val="20"/>
          <w:highlight w:val="yellow"/>
          <w:shd w:val="clear" w:color="auto" w:fill="FFFFFF"/>
        </w:rPr>
        <w:t xml:space="preserve">(2). </w:t>
      </w:r>
      <w:hyperlink r:id="rId17" w:history="1">
        <w:r w:rsidR="00662CB0" w:rsidRPr="004257DD">
          <w:rPr>
            <w:rStyle w:val="Hyperlink"/>
            <w:rFonts w:ascii="Arial" w:hAnsi="Arial" w:cs="Arial"/>
            <w:sz w:val="20"/>
            <w:szCs w:val="20"/>
            <w:highlight w:val="yellow"/>
          </w:rPr>
          <w:t>https://doi.org/10.15666/aeer/2302_21372146</w:t>
        </w:r>
      </w:hyperlink>
    </w:p>
    <w:p w14:paraId="359BEEE5" w14:textId="042E775F" w:rsidR="00662CB0" w:rsidRPr="004257DD" w:rsidRDefault="006950B6" w:rsidP="00662CB0">
      <w:pPr>
        <w:pStyle w:val="NormalWeb"/>
        <w:ind w:left="851" w:hanging="851"/>
        <w:jc w:val="both"/>
        <w:rPr>
          <w:rFonts w:ascii="Arial" w:hAnsi="Arial" w:cs="Arial"/>
          <w:sz w:val="20"/>
          <w:szCs w:val="20"/>
          <w:highlight w:val="yellow"/>
        </w:rPr>
      </w:pPr>
      <w:r w:rsidRPr="004257DD">
        <w:rPr>
          <w:rFonts w:ascii="Arial" w:hAnsi="Arial" w:cs="Arial"/>
          <w:color w:val="222222"/>
          <w:sz w:val="20"/>
          <w:szCs w:val="20"/>
          <w:highlight w:val="yellow"/>
          <w:shd w:val="clear" w:color="auto" w:fill="FFFFFF"/>
        </w:rPr>
        <w:t xml:space="preserve">Parmar, H. B., </w:t>
      </w:r>
      <w:proofErr w:type="spellStart"/>
      <w:r w:rsidRPr="004257DD">
        <w:rPr>
          <w:rFonts w:ascii="Arial" w:hAnsi="Arial" w:cs="Arial"/>
          <w:color w:val="222222"/>
          <w:sz w:val="20"/>
          <w:szCs w:val="20"/>
          <w:highlight w:val="yellow"/>
          <w:shd w:val="clear" w:color="auto" w:fill="FFFFFF"/>
        </w:rPr>
        <w:t>Bhopala</w:t>
      </w:r>
      <w:proofErr w:type="spellEnd"/>
      <w:r w:rsidRPr="004257DD">
        <w:rPr>
          <w:rFonts w:ascii="Arial" w:hAnsi="Arial" w:cs="Arial"/>
          <w:color w:val="222222"/>
          <w:sz w:val="20"/>
          <w:szCs w:val="20"/>
          <w:highlight w:val="yellow"/>
          <w:shd w:val="clear" w:color="auto" w:fill="FFFFFF"/>
        </w:rPr>
        <w:t xml:space="preserve">, U. D., &amp; </w:t>
      </w:r>
      <w:proofErr w:type="spellStart"/>
      <w:r w:rsidRPr="004257DD">
        <w:rPr>
          <w:rFonts w:ascii="Arial" w:hAnsi="Arial" w:cs="Arial"/>
          <w:color w:val="222222"/>
          <w:sz w:val="20"/>
          <w:szCs w:val="20"/>
          <w:highlight w:val="yellow"/>
          <w:shd w:val="clear" w:color="auto" w:fill="FFFFFF"/>
        </w:rPr>
        <w:t>Dhandhalya</w:t>
      </w:r>
      <w:proofErr w:type="spellEnd"/>
      <w:r w:rsidRPr="004257DD">
        <w:rPr>
          <w:rFonts w:ascii="Arial" w:hAnsi="Arial" w:cs="Arial"/>
          <w:color w:val="222222"/>
          <w:sz w:val="20"/>
          <w:szCs w:val="20"/>
          <w:highlight w:val="yellow"/>
          <w:shd w:val="clear" w:color="auto" w:fill="FFFFFF"/>
        </w:rPr>
        <w:t xml:space="preserve">, M. G. (2024). </w:t>
      </w:r>
      <w:proofErr w:type="spellStart"/>
      <w:r w:rsidRPr="004257DD">
        <w:rPr>
          <w:rFonts w:ascii="Arial" w:hAnsi="Arial" w:cs="Arial"/>
          <w:color w:val="222222"/>
          <w:sz w:val="20"/>
          <w:szCs w:val="20"/>
          <w:highlight w:val="yellow"/>
          <w:shd w:val="clear" w:color="auto" w:fill="FFFFFF"/>
        </w:rPr>
        <w:t>Analyzing</w:t>
      </w:r>
      <w:proofErr w:type="spellEnd"/>
      <w:r w:rsidRPr="004257DD">
        <w:rPr>
          <w:rFonts w:ascii="Arial" w:hAnsi="Arial" w:cs="Arial"/>
          <w:color w:val="222222"/>
          <w:sz w:val="20"/>
          <w:szCs w:val="20"/>
          <w:highlight w:val="yellow"/>
          <w:shd w:val="clear" w:color="auto" w:fill="FFFFFF"/>
        </w:rPr>
        <w:t xml:space="preserve"> the Seasonal Variations and Price Trends in Major Onion Markets of India. </w:t>
      </w:r>
      <w:r w:rsidRPr="004257DD">
        <w:rPr>
          <w:rFonts w:ascii="Arial" w:hAnsi="Arial" w:cs="Arial"/>
          <w:i/>
          <w:iCs/>
          <w:color w:val="222222"/>
          <w:sz w:val="20"/>
          <w:szCs w:val="20"/>
          <w:highlight w:val="yellow"/>
          <w:shd w:val="clear" w:color="auto" w:fill="FFFFFF"/>
        </w:rPr>
        <w:t>Asian Journal of Agricultural Extension, Economics &amp; Sociology</w:t>
      </w:r>
      <w:r w:rsidRPr="004257DD">
        <w:rPr>
          <w:rFonts w:ascii="Arial" w:hAnsi="Arial" w:cs="Arial"/>
          <w:color w:val="222222"/>
          <w:sz w:val="20"/>
          <w:szCs w:val="20"/>
          <w:highlight w:val="yellow"/>
          <w:shd w:val="clear" w:color="auto" w:fill="FFFFFF"/>
        </w:rPr>
        <w:t>, </w:t>
      </w:r>
      <w:r w:rsidRPr="004257DD">
        <w:rPr>
          <w:rFonts w:ascii="Arial" w:hAnsi="Arial" w:cs="Arial"/>
          <w:i/>
          <w:iCs/>
          <w:color w:val="222222"/>
          <w:sz w:val="20"/>
          <w:szCs w:val="20"/>
          <w:highlight w:val="yellow"/>
          <w:shd w:val="clear" w:color="auto" w:fill="FFFFFF"/>
        </w:rPr>
        <w:t>42</w:t>
      </w:r>
      <w:r w:rsidRPr="004257DD">
        <w:rPr>
          <w:rFonts w:ascii="Arial" w:hAnsi="Arial" w:cs="Arial"/>
          <w:color w:val="222222"/>
          <w:sz w:val="20"/>
          <w:szCs w:val="20"/>
          <w:highlight w:val="yellow"/>
          <w:shd w:val="clear" w:color="auto" w:fill="FFFFFF"/>
        </w:rPr>
        <w:t xml:space="preserve">(1), 24-33. </w:t>
      </w:r>
      <w:hyperlink r:id="rId18" w:history="1">
        <w:r w:rsidR="00662CB0" w:rsidRPr="004257DD">
          <w:rPr>
            <w:rStyle w:val="Hyperlink"/>
            <w:rFonts w:ascii="Arial" w:hAnsi="Arial" w:cs="Arial"/>
            <w:sz w:val="20"/>
            <w:szCs w:val="20"/>
            <w:highlight w:val="yellow"/>
            <w:lang w:val="en-US"/>
          </w:rPr>
          <w:t>https://doi.org/10.9734/ajaees/2024/v42i12343</w:t>
        </w:r>
      </w:hyperlink>
    </w:p>
    <w:p w14:paraId="3A28AA66" w14:textId="77777777" w:rsidR="00662CB0" w:rsidRPr="004257DD" w:rsidRDefault="00662CB0" w:rsidP="00662CB0">
      <w:pPr>
        <w:pStyle w:val="NormalWeb"/>
        <w:ind w:left="851" w:hanging="851"/>
        <w:jc w:val="both"/>
        <w:rPr>
          <w:rFonts w:ascii="Arial" w:hAnsi="Arial" w:cs="Arial"/>
          <w:sz w:val="20"/>
          <w:szCs w:val="20"/>
          <w:highlight w:val="yellow"/>
        </w:rPr>
      </w:pPr>
      <w:r w:rsidRPr="004257DD">
        <w:rPr>
          <w:rFonts w:ascii="Arial" w:hAnsi="Arial" w:cs="Arial"/>
          <w:sz w:val="20"/>
          <w:szCs w:val="20"/>
          <w:highlight w:val="yellow"/>
        </w:rPr>
        <w:t xml:space="preserve">Patil, B. R., &amp; Bora, P. S. (2021). </w:t>
      </w:r>
      <w:r w:rsidRPr="004257DD">
        <w:rPr>
          <w:rStyle w:val="Emphasis"/>
          <w:rFonts w:ascii="Arial" w:hAnsi="Arial" w:cs="Arial"/>
          <w:sz w:val="20"/>
          <w:szCs w:val="20"/>
          <w:highlight w:val="yellow"/>
        </w:rPr>
        <w:t xml:space="preserve">Identification of resistant onion genotypes against purple blotch disease (Alternaria </w:t>
      </w:r>
      <w:proofErr w:type="spellStart"/>
      <w:r w:rsidRPr="004257DD">
        <w:rPr>
          <w:rStyle w:val="Emphasis"/>
          <w:rFonts w:ascii="Arial" w:hAnsi="Arial" w:cs="Arial"/>
          <w:sz w:val="20"/>
          <w:szCs w:val="20"/>
          <w:highlight w:val="yellow"/>
        </w:rPr>
        <w:t>porri</w:t>
      </w:r>
      <w:proofErr w:type="spellEnd"/>
      <w:r w:rsidRPr="004257DD">
        <w:rPr>
          <w:rStyle w:val="Emphasis"/>
          <w:rFonts w:ascii="Arial" w:hAnsi="Arial" w:cs="Arial"/>
          <w:sz w:val="20"/>
          <w:szCs w:val="20"/>
          <w:highlight w:val="yellow"/>
        </w:rPr>
        <w:t>).</w:t>
      </w:r>
      <w:r w:rsidRPr="004257DD">
        <w:rPr>
          <w:rFonts w:ascii="Arial" w:hAnsi="Arial" w:cs="Arial"/>
          <w:sz w:val="20"/>
          <w:szCs w:val="20"/>
          <w:highlight w:val="yellow"/>
        </w:rPr>
        <w:t xml:space="preserve"> </w:t>
      </w:r>
      <w:r w:rsidRPr="004257DD">
        <w:rPr>
          <w:rStyle w:val="Emphasis"/>
          <w:rFonts w:ascii="Arial" w:hAnsi="Arial" w:cs="Arial"/>
          <w:sz w:val="20"/>
          <w:szCs w:val="20"/>
          <w:highlight w:val="yellow"/>
        </w:rPr>
        <w:t>Journal of Pharmacognosy and Phytochemistry, 10</w:t>
      </w:r>
      <w:r w:rsidRPr="004257DD">
        <w:rPr>
          <w:rFonts w:ascii="Arial" w:hAnsi="Arial" w:cs="Arial"/>
          <w:sz w:val="20"/>
          <w:szCs w:val="20"/>
          <w:highlight w:val="yellow"/>
        </w:rPr>
        <w:t>(2), 159–163.</w:t>
      </w:r>
    </w:p>
    <w:p w14:paraId="451DD16A" w14:textId="404A25CF" w:rsidR="00662CB0" w:rsidRPr="004257DD" w:rsidRDefault="006950B6" w:rsidP="00662CB0">
      <w:pPr>
        <w:pStyle w:val="NormalWeb"/>
        <w:ind w:left="851" w:hanging="851"/>
        <w:jc w:val="both"/>
        <w:rPr>
          <w:rFonts w:ascii="Arial" w:hAnsi="Arial" w:cs="Arial"/>
          <w:sz w:val="20"/>
          <w:szCs w:val="20"/>
          <w:highlight w:val="yellow"/>
        </w:rPr>
      </w:pPr>
      <w:r w:rsidRPr="004257DD">
        <w:rPr>
          <w:rFonts w:ascii="Arial" w:hAnsi="Arial" w:cs="Arial"/>
          <w:color w:val="222222"/>
          <w:sz w:val="20"/>
          <w:szCs w:val="20"/>
          <w:highlight w:val="yellow"/>
          <w:shd w:val="clear" w:color="auto" w:fill="FFFFFF"/>
        </w:rPr>
        <w:t xml:space="preserve">Ram, M., Maji, S., </w:t>
      </w:r>
      <w:proofErr w:type="spellStart"/>
      <w:r w:rsidRPr="004257DD">
        <w:rPr>
          <w:rFonts w:ascii="Arial" w:hAnsi="Arial" w:cs="Arial"/>
          <w:color w:val="222222"/>
          <w:sz w:val="20"/>
          <w:szCs w:val="20"/>
          <w:highlight w:val="yellow"/>
          <w:shd w:val="clear" w:color="auto" w:fill="FFFFFF"/>
        </w:rPr>
        <w:t>Razauddin</w:t>
      </w:r>
      <w:proofErr w:type="spellEnd"/>
      <w:r w:rsidRPr="004257DD">
        <w:rPr>
          <w:rFonts w:ascii="Arial" w:hAnsi="Arial" w:cs="Arial"/>
          <w:color w:val="222222"/>
          <w:sz w:val="20"/>
          <w:szCs w:val="20"/>
          <w:highlight w:val="yellow"/>
          <w:shd w:val="clear" w:color="auto" w:fill="FFFFFF"/>
        </w:rPr>
        <w:t xml:space="preserve">, M. P., &amp; Meena, R. C. (2024). Selection of Suitable Date of Transplanting for </w:t>
      </w:r>
      <w:proofErr w:type="gramStart"/>
      <w:r w:rsidRPr="004257DD">
        <w:rPr>
          <w:rFonts w:ascii="Arial" w:hAnsi="Arial" w:cs="Arial"/>
          <w:color w:val="222222"/>
          <w:sz w:val="20"/>
          <w:szCs w:val="20"/>
          <w:highlight w:val="yellow"/>
          <w:shd w:val="clear" w:color="auto" w:fill="FFFFFF"/>
        </w:rPr>
        <w:t>Year Round</w:t>
      </w:r>
      <w:proofErr w:type="gramEnd"/>
      <w:r w:rsidRPr="004257DD">
        <w:rPr>
          <w:rFonts w:ascii="Arial" w:hAnsi="Arial" w:cs="Arial"/>
          <w:color w:val="222222"/>
          <w:sz w:val="20"/>
          <w:szCs w:val="20"/>
          <w:highlight w:val="yellow"/>
          <w:shd w:val="clear" w:color="auto" w:fill="FFFFFF"/>
        </w:rPr>
        <w:t xml:space="preserve"> Production of Onion (</w:t>
      </w:r>
      <w:r w:rsidRPr="004257DD">
        <w:rPr>
          <w:rFonts w:ascii="Arial" w:hAnsi="Arial" w:cs="Arial"/>
          <w:i/>
          <w:color w:val="222222"/>
          <w:sz w:val="20"/>
          <w:szCs w:val="20"/>
          <w:highlight w:val="yellow"/>
          <w:shd w:val="clear" w:color="auto" w:fill="FFFFFF"/>
        </w:rPr>
        <w:t xml:space="preserve">Allium </w:t>
      </w:r>
      <w:proofErr w:type="spellStart"/>
      <w:r w:rsidRPr="004257DD">
        <w:rPr>
          <w:rFonts w:ascii="Arial" w:hAnsi="Arial" w:cs="Arial"/>
          <w:i/>
          <w:color w:val="222222"/>
          <w:sz w:val="20"/>
          <w:szCs w:val="20"/>
          <w:highlight w:val="yellow"/>
          <w:shd w:val="clear" w:color="auto" w:fill="FFFFFF"/>
        </w:rPr>
        <w:t>cepa</w:t>
      </w:r>
      <w:proofErr w:type="spellEnd"/>
      <w:r w:rsidRPr="004257DD">
        <w:rPr>
          <w:rFonts w:ascii="Arial" w:hAnsi="Arial" w:cs="Arial"/>
          <w:color w:val="222222"/>
          <w:sz w:val="20"/>
          <w:szCs w:val="20"/>
          <w:highlight w:val="yellow"/>
          <w:shd w:val="clear" w:color="auto" w:fill="FFFFFF"/>
        </w:rPr>
        <w:t xml:space="preserve"> L.) cv </w:t>
      </w:r>
      <w:proofErr w:type="spellStart"/>
      <w:r w:rsidRPr="004257DD">
        <w:rPr>
          <w:rFonts w:ascii="Arial" w:hAnsi="Arial" w:cs="Arial"/>
          <w:color w:val="222222"/>
          <w:sz w:val="20"/>
          <w:szCs w:val="20"/>
          <w:highlight w:val="yellow"/>
          <w:shd w:val="clear" w:color="auto" w:fill="FFFFFF"/>
        </w:rPr>
        <w:t>Agrifound</w:t>
      </w:r>
      <w:proofErr w:type="spellEnd"/>
      <w:r w:rsidRPr="004257DD">
        <w:rPr>
          <w:rFonts w:ascii="Arial" w:hAnsi="Arial" w:cs="Arial"/>
          <w:color w:val="222222"/>
          <w:sz w:val="20"/>
          <w:szCs w:val="20"/>
          <w:highlight w:val="yellow"/>
          <w:shd w:val="clear" w:color="auto" w:fill="FFFFFF"/>
        </w:rPr>
        <w:t xml:space="preserve"> Dark Red. </w:t>
      </w:r>
      <w:r w:rsidRPr="004257DD">
        <w:rPr>
          <w:rFonts w:ascii="Arial" w:hAnsi="Arial" w:cs="Arial"/>
          <w:i/>
          <w:iCs/>
          <w:color w:val="222222"/>
          <w:sz w:val="20"/>
          <w:szCs w:val="20"/>
          <w:highlight w:val="yellow"/>
          <w:shd w:val="clear" w:color="auto" w:fill="FFFFFF"/>
        </w:rPr>
        <w:t>Environment and Ecology</w:t>
      </w:r>
      <w:r w:rsidRPr="004257DD">
        <w:rPr>
          <w:rFonts w:ascii="Arial" w:hAnsi="Arial" w:cs="Arial"/>
          <w:color w:val="222222"/>
          <w:sz w:val="20"/>
          <w:szCs w:val="20"/>
          <w:highlight w:val="yellow"/>
          <w:shd w:val="clear" w:color="auto" w:fill="FFFFFF"/>
        </w:rPr>
        <w:t>, </w:t>
      </w:r>
      <w:r w:rsidRPr="004257DD">
        <w:rPr>
          <w:rFonts w:ascii="Arial" w:hAnsi="Arial" w:cs="Arial"/>
          <w:i/>
          <w:iCs/>
          <w:color w:val="222222"/>
          <w:sz w:val="20"/>
          <w:szCs w:val="20"/>
          <w:highlight w:val="yellow"/>
          <w:shd w:val="clear" w:color="auto" w:fill="FFFFFF"/>
        </w:rPr>
        <w:t>42</w:t>
      </w:r>
      <w:r w:rsidRPr="004257DD">
        <w:rPr>
          <w:rFonts w:ascii="Arial" w:hAnsi="Arial" w:cs="Arial"/>
          <w:color w:val="222222"/>
          <w:sz w:val="20"/>
          <w:szCs w:val="20"/>
          <w:highlight w:val="yellow"/>
          <w:shd w:val="clear" w:color="auto" w:fill="FFFFFF"/>
        </w:rPr>
        <w:t xml:space="preserve">(1A), 285-292. </w:t>
      </w:r>
      <w:hyperlink r:id="rId19" w:history="1">
        <w:r w:rsidR="00662CB0" w:rsidRPr="004257DD">
          <w:rPr>
            <w:rStyle w:val="Hyperlink"/>
            <w:rFonts w:ascii="Arial" w:hAnsi="Arial" w:cs="Arial"/>
            <w:sz w:val="20"/>
            <w:szCs w:val="20"/>
            <w:highlight w:val="yellow"/>
          </w:rPr>
          <w:t>https://doi.org/10.60151/envec/eevg1351</w:t>
        </w:r>
      </w:hyperlink>
    </w:p>
    <w:p w14:paraId="23F7987D" w14:textId="77777777" w:rsidR="00662CB0" w:rsidRPr="004257DD" w:rsidRDefault="00662CB0" w:rsidP="00662CB0">
      <w:pPr>
        <w:pStyle w:val="NormalWeb"/>
        <w:ind w:left="851" w:hanging="851"/>
        <w:jc w:val="both"/>
        <w:rPr>
          <w:rFonts w:ascii="Arial" w:hAnsi="Arial" w:cs="Arial"/>
          <w:sz w:val="20"/>
          <w:szCs w:val="20"/>
          <w:highlight w:val="yellow"/>
        </w:rPr>
      </w:pPr>
      <w:r w:rsidRPr="004257DD">
        <w:rPr>
          <w:rFonts w:ascii="Arial" w:hAnsi="Arial" w:cs="Arial"/>
          <w:sz w:val="20"/>
          <w:szCs w:val="20"/>
          <w:highlight w:val="yellow"/>
          <w:lang w:val="en-US"/>
        </w:rPr>
        <w:t xml:space="preserve">Sahoo, B., </w:t>
      </w:r>
      <w:proofErr w:type="spellStart"/>
      <w:r w:rsidRPr="004257DD">
        <w:rPr>
          <w:rFonts w:ascii="Arial" w:hAnsi="Arial" w:cs="Arial"/>
          <w:sz w:val="20"/>
          <w:szCs w:val="20"/>
          <w:highlight w:val="yellow"/>
          <w:lang w:val="en-US"/>
        </w:rPr>
        <w:t>Nedunchezhiyan</w:t>
      </w:r>
      <w:proofErr w:type="spellEnd"/>
      <w:r w:rsidRPr="004257DD">
        <w:rPr>
          <w:rFonts w:ascii="Arial" w:hAnsi="Arial" w:cs="Arial"/>
          <w:sz w:val="20"/>
          <w:szCs w:val="20"/>
          <w:highlight w:val="yellow"/>
          <w:lang w:val="en-US"/>
        </w:rPr>
        <w:t xml:space="preserve">, M., Tripathy, S., Sahoo, K., Munshi, R., &amp; Toppo, M. (2020). Assessment of Onion Varieties for Late Kharif in North-Eastern Coastal Plain Zone of Odisha. </w:t>
      </w:r>
      <w:r w:rsidRPr="004257DD">
        <w:rPr>
          <w:rFonts w:ascii="Arial" w:hAnsi="Arial" w:cs="Arial"/>
          <w:i/>
          <w:sz w:val="20"/>
          <w:szCs w:val="20"/>
          <w:highlight w:val="yellow"/>
          <w:lang w:val="en-US"/>
        </w:rPr>
        <w:t>Int. J. Curr. Microbiol. App. Sci, 9</w:t>
      </w:r>
      <w:r w:rsidRPr="004257DD">
        <w:rPr>
          <w:rFonts w:ascii="Arial" w:hAnsi="Arial" w:cs="Arial"/>
          <w:sz w:val="20"/>
          <w:szCs w:val="20"/>
          <w:highlight w:val="yellow"/>
          <w:lang w:val="en-US"/>
        </w:rPr>
        <w:t xml:space="preserve">(09), 2513-2518. </w:t>
      </w:r>
      <w:hyperlink r:id="rId20" w:history="1">
        <w:r w:rsidRPr="004257DD">
          <w:rPr>
            <w:rStyle w:val="Hyperlink"/>
            <w:rFonts w:ascii="Arial" w:hAnsi="Arial" w:cs="Arial"/>
            <w:sz w:val="20"/>
            <w:szCs w:val="20"/>
            <w:highlight w:val="yellow"/>
            <w:lang w:val="en-US"/>
          </w:rPr>
          <w:t>https://doi.org/10.20546/ijcmas.2020.909.314</w:t>
        </w:r>
      </w:hyperlink>
    </w:p>
    <w:p w14:paraId="6CA1CA1A" w14:textId="4851EE02" w:rsidR="00662CB0" w:rsidRPr="004257DD" w:rsidRDefault="006950B6" w:rsidP="00662CB0">
      <w:pPr>
        <w:pStyle w:val="NormalWeb"/>
        <w:ind w:left="851" w:hanging="851"/>
        <w:jc w:val="both"/>
        <w:rPr>
          <w:rFonts w:ascii="Arial" w:hAnsi="Arial" w:cs="Arial"/>
          <w:sz w:val="20"/>
          <w:szCs w:val="20"/>
          <w:highlight w:val="yellow"/>
        </w:rPr>
      </w:pPr>
      <w:r w:rsidRPr="004257DD">
        <w:rPr>
          <w:rFonts w:ascii="Arial" w:hAnsi="Arial" w:cs="Arial"/>
          <w:color w:val="222222"/>
          <w:sz w:val="20"/>
          <w:szCs w:val="20"/>
          <w:highlight w:val="yellow"/>
          <w:shd w:val="clear" w:color="auto" w:fill="FFFFFF"/>
        </w:rPr>
        <w:t xml:space="preserve">Saritha, K., Bhatt, P. S., &amp; </w:t>
      </w:r>
      <w:proofErr w:type="spellStart"/>
      <w:r w:rsidRPr="004257DD">
        <w:rPr>
          <w:rFonts w:ascii="Arial" w:hAnsi="Arial" w:cs="Arial"/>
          <w:color w:val="222222"/>
          <w:sz w:val="20"/>
          <w:szCs w:val="20"/>
          <w:highlight w:val="yellow"/>
          <w:shd w:val="clear" w:color="auto" w:fill="FFFFFF"/>
        </w:rPr>
        <w:t>Sireesha</w:t>
      </w:r>
      <w:proofErr w:type="spellEnd"/>
      <w:r w:rsidRPr="004257DD">
        <w:rPr>
          <w:rFonts w:ascii="Arial" w:hAnsi="Arial" w:cs="Arial"/>
          <w:color w:val="222222"/>
          <w:sz w:val="20"/>
          <w:szCs w:val="20"/>
          <w:highlight w:val="yellow"/>
          <w:shd w:val="clear" w:color="auto" w:fill="FFFFFF"/>
        </w:rPr>
        <w:t xml:space="preserve">, D. (2022). Front Line Demonstrations–An Effective of Upscaling Improved Varieties of Onion Variety </w:t>
      </w:r>
      <w:proofErr w:type="spellStart"/>
      <w:r w:rsidRPr="004257DD">
        <w:rPr>
          <w:rFonts w:ascii="Arial" w:hAnsi="Arial" w:cs="Arial"/>
          <w:color w:val="222222"/>
          <w:sz w:val="20"/>
          <w:szCs w:val="20"/>
          <w:highlight w:val="yellow"/>
          <w:shd w:val="clear" w:color="auto" w:fill="FFFFFF"/>
        </w:rPr>
        <w:t>Agrifound</w:t>
      </w:r>
      <w:proofErr w:type="spellEnd"/>
      <w:r w:rsidRPr="004257DD">
        <w:rPr>
          <w:rFonts w:ascii="Arial" w:hAnsi="Arial" w:cs="Arial"/>
          <w:color w:val="222222"/>
          <w:sz w:val="20"/>
          <w:szCs w:val="20"/>
          <w:highlight w:val="yellow"/>
          <w:shd w:val="clear" w:color="auto" w:fill="FFFFFF"/>
        </w:rPr>
        <w:t xml:space="preserve"> Dark Red in </w:t>
      </w:r>
      <w:proofErr w:type="spellStart"/>
      <w:r w:rsidRPr="004257DD">
        <w:rPr>
          <w:rFonts w:ascii="Arial" w:hAnsi="Arial" w:cs="Arial"/>
          <w:color w:val="222222"/>
          <w:sz w:val="20"/>
          <w:szCs w:val="20"/>
          <w:highlight w:val="yellow"/>
          <w:shd w:val="clear" w:color="auto" w:fill="FFFFFF"/>
        </w:rPr>
        <w:t>Mahaboobnagar</w:t>
      </w:r>
      <w:proofErr w:type="spellEnd"/>
      <w:r w:rsidRPr="004257DD">
        <w:rPr>
          <w:rFonts w:ascii="Arial" w:hAnsi="Arial" w:cs="Arial"/>
          <w:color w:val="222222"/>
          <w:sz w:val="20"/>
          <w:szCs w:val="20"/>
          <w:highlight w:val="yellow"/>
          <w:shd w:val="clear" w:color="auto" w:fill="FFFFFF"/>
        </w:rPr>
        <w:t xml:space="preserve"> District of Telangana, India. </w:t>
      </w:r>
      <w:r w:rsidRPr="004257DD">
        <w:rPr>
          <w:rFonts w:ascii="Arial" w:hAnsi="Arial" w:cs="Arial"/>
          <w:i/>
          <w:iCs/>
          <w:color w:val="222222"/>
          <w:sz w:val="20"/>
          <w:szCs w:val="20"/>
          <w:highlight w:val="yellow"/>
          <w:shd w:val="clear" w:color="auto" w:fill="FFFFFF"/>
        </w:rPr>
        <w:t>International Journal of Environment and Climate Change</w:t>
      </w:r>
      <w:r w:rsidRPr="004257DD">
        <w:rPr>
          <w:rFonts w:ascii="Arial" w:hAnsi="Arial" w:cs="Arial"/>
          <w:color w:val="222222"/>
          <w:sz w:val="20"/>
          <w:szCs w:val="20"/>
          <w:highlight w:val="yellow"/>
          <w:shd w:val="clear" w:color="auto" w:fill="FFFFFF"/>
        </w:rPr>
        <w:t>, </w:t>
      </w:r>
      <w:r w:rsidRPr="004257DD">
        <w:rPr>
          <w:rFonts w:ascii="Arial" w:hAnsi="Arial" w:cs="Arial"/>
          <w:i/>
          <w:iCs/>
          <w:color w:val="222222"/>
          <w:sz w:val="20"/>
          <w:szCs w:val="20"/>
          <w:highlight w:val="yellow"/>
          <w:shd w:val="clear" w:color="auto" w:fill="FFFFFF"/>
        </w:rPr>
        <w:t>12</w:t>
      </w:r>
      <w:r w:rsidRPr="004257DD">
        <w:rPr>
          <w:rFonts w:ascii="Arial" w:hAnsi="Arial" w:cs="Arial"/>
          <w:color w:val="222222"/>
          <w:sz w:val="20"/>
          <w:szCs w:val="20"/>
          <w:highlight w:val="yellow"/>
          <w:shd w:val="clear" w:color="auto" w:fill="FFFFFF"/>
        </w:rPr>
        <w:t xml:space="preserve">(12), 1438-1442. </w:t>
      </w:r>
      <w:hyperlink r:id="rId21" w:history="1">
        <w:r w:rsidR="00662CB0" w:rsidRPr="004257DD">
          <w:rPr>
            <w:rStyle w:val="Hyperlink"/>
            <w:rFonts w:ascii="Arial" w:hAnsi="Arial" w:cs="Arial"/>
            <w:sz w:val="20"/>
            <w:szCs w:val="20"/>
            <w:highlight w:val="yellow"/>
          </w:rPr>
          <w:t>https://doi.org/10.9734/ijecc/2022/v12i121584</w:t>
        </w:r>
      </w:hyperlink>
    </w:p>
    <w:p w14:paraId="15D3275B" w14:textId="77777777" w:rsidR="00662CB0" w:rsidRPr="004257DD" w:rsidRDefault="00662CB0" w:rsidP="00662CB0">
      <w:pPr>
        <w:pStyle w:val="NormalWeb"/>
        <w:ind w:left="851" w:hanging="851"/>
        <w:jc w:val="both"/>
        <w:rPr>
          <w:rFonts w:ascii="Arial" w:hAnsi="Arial" w:cs="Arial"/>
          <w:sz w:val="20"/>
          <w:szCs w:val="20"/>
          <w:highlight w:val="yellow"/>
        </w:rPr>
      </w:pPr>
      <w:r w:rsidRPr="004257DD">
        <w:rPr>
          <w:rFonts w:ascii="Arial" w:hAnsi="Arial" w:cs="Arial"/>
          <w:sz w:val="20"/>
          <w:szCs w:val="20"/>
          <w:highlight w:val="yellow"/>
        </w:rPr>
        <w:t>Sharma, S. R. (1986). Effect of fungicidal sprays on purple blotch and bulb yield of onion. Indian Phytopathology, 39, 78–82.</w:t>
      </w:r>
    </w:p>
    <w:p w14:paraId="609994B7" w14:textId="77777777" w:rsidR="00662CB0" w:rsidRPr="004257DD" w:rsidRDefault="00662CB0" w:rsidP="00662CB0">
      <w:pPr>
        <w:pStyle w:val="NormalWeb"/>
        <w:ind w:left="851" w:hanging="851"/>
        <w:jc w:val="both"/>
        <w:rPr>
          <w:rFonts w:ascii="Arial" w:hAnsi="Arial" w:cs="Arial"/>
          <w:sz w:val="20"/>
          <w:szCs w:val="20"/>
          <w:highlight w:val="yellow"/>
        </w:rPr>
      </w:pPr>
      <w:r w:rsidRPr="004257DD">
        <w:rPr>
          <w:rFonts w:ascii="Arial" w:hAnsi="Arial" w:cs="Arial"/>
          <w:sz w:val="20"/>
          <w:szCs w:val="20"/>
          <w:highlight w:val="yellow"/>
        </w:rPr>
        <w:t xml:space="preserve">Singh, R. S. (2004). </w:t>
      </w:r>
      <w:r w:rsidRPr="004257DD">
        <w:rPr>
          <w:rStyle w:val="Emphasis"/>
          <w:rFonts w:ascii="Arial" w:hAnsi="Arial" w:cs="Arial"/>
          <w:sz w:val="20"/>
          <w:szCs w:val="20"/>
          <w:highlight w:val="yellow"/>
        </w:rPr>
        <w:t>Diseases of Vegetable Crops</w:t>
      </w:r>
      <w:r w:rsidRPr="004257DD">
        <w:rPr>
          <w:rFonts w:ascii="Arial" w:hAnsi="Arial" w:cs="Arial"/>
          <w:sz w:val="20"/>
          <w:szCs w:val="20"/>
          <w:highlight w:val="yellow"/>
        </w:rPr>
        <w:t xml:space="preserve"> (2nd ed.). Oxford and IBH Publishing Co. </w:t>
      </w:r>
      <w:proofErr w:type="spellStart"/>
      <w:r w:rsidRPr="004257DD">
        <w:rPr>
          <w:rFonts w:ascii="Arial" w:hAnsi="Arial" w:cs="Arial"/>
          <w:sz w:val="20"/>
          <w:szCs w:val="20"/>
          <w:highlight w:val="yellow"/>
        </w:rPr>
        <w:t>Pvt.</w:t>
      </w:r>
      <w:proofErr w:type="spellEnd"/>
      <w:r w:rsidRPr="004257DD">
        <w:rPr>
          <w:rFonts w:ascii="Arial" w:hAnsi="Arial" w:cs="Arial"/>
          <w:sz w:val="20"/>
          <w:szCs w:val="20"/>
          <w:highlight w:val="yellow"/>
        </w:rPr>
        <w:t xml:space="preserve"> Ltd., New Delhi, pp. 287–289.</w:t>
      </w:r>
    </w:p>
    <w:p w14:paraId="7EEB1555" w14:textId="6B7ADE46" w:rsidR="00662CB0" w:rsidRPr="004257DD" w:rsidRDefault="00662CB0" w:rsidP="00662CB0">
      <w:pPr>
        <w:pStyle w:val="NormalWeb"/>
        <w:ind w:left="851" w:hanging="851"/>
        <w:jc w:val="both"/>
        <w:rPr>
          <w:rFonts w:ascii="Arial" w:hAnsi="Arial" w:cs="Arial"/>
          <w:sz w:val="20"/>
          <w:szCs w:val="20"/>
          <w:highlight w:val="yellow"/>
          <w:lang w:val="en-US"/>
        </w:rPr>
      </w:pPr>
      <w:proofErr w:type="spellStart"/>
      <w:r w:rsidRPr="004257DD">
        <w:rPr>
          <w:rFonts w:ascii="Arial" w:hAnsi="Arial" w:cs="Arial"/>
          <w:sz w:val="20"/>
          <w:szCs w:val="20"/>
          <w:highlight w:val="yellow"/>
        </w:rPr>
        <w:t>Srivastva</w:t>
      </w:r>
      <w:proofErr w:type="spellEnd"/>
      <w:r w:rsidRPr="004257DD">
        <w:rPr>
          <w:rFonts w:ascii="Arial" w:hAnsi="Arial" w:cs="Arial"/>
          <w:sz w:val="20"/>
          <w:szCs w:val="20"/>
          <w:highlight w:val="yellow"/>
        </w:rPr>
        <w:t>, R., Meena, K., Tiwari, A., Singh, N., &amp; Behera, T. (2022). Yield and economics of kharif onion (</w:t>
      </w:r>
      <w:r w:rsidR="006950B6" w:rsidRPr="004257DD">
        <w:rPr>
          <w:rFonts w:ascii="Arial" w:hAnsi="Arial" w:cs="Arial"/>
          <w:i/>
          <w:sz w:val="20"/>
          <w:szCs w:val="20"/>
          <w:highlight w:val="yellow"/>
        </w:rPr>
        <w:t xml:space="preserve">Allium </w:t>
      </w:r>
      <w:proofErr w:type="spellStart"/>
      <w:r w:rsidR="006950B6" w:rsidRPr="004257DD">
        <w:rPr>
          <w:rFonts w:ascii="Arial" w:hAnsi="Arial" w:cs="Arial"/>
          <w:i/>
          <w:sz w:val="20"/>
          <w:szCs w:val="20"/>
          <w:highlight w:val="yellow"/>
        </w:rPr>
        <w:t>cepa</w:t>
      </w:r>
      <w:proofErr w:type="spellEnd"/>
      <w:r w:rsidRPr="004257DD">
        <w:rPr>
          <w:rFonts w:ascii="Arial" w:hAnsi="Arial" w:cs="Arial"/>
          <w:sz w:val="20"/>
          <w:szCs w:val="20"/>
          <w:highlight w:val="yellow"/>
        </w:rPr>
        <w:t xml:space="preserve"> L.) under front line demonstration in Eastern Plain Zone of Uttar Pradesh, India. </w:t>
      </w:r>
      <w:r w:rsidRPr="004257DD">
        <w:rPr>
          <w:rFonts w:ascii="Arial" w:hAnsi="Arial" w:cs="Arial"/>
          <w:i/>
          <w:sz w:val="20"/>
          <w:szCs w:val="20"/>
          <w:highlight w:val="yellow"/>
        </w:rPr>
        <w:t>International Journal of Plant &amp; Soil Science, 34</w:t>
      </w:r>
      <w:r w:rsidRPr="004257DD">
        <w:rPr>
          <w:rFonts w:ascii="Arial" w:hAnsi="Arial" w:cs="Arial"/>
          <w:sz w:val="20"/>
          <w:szCs w:val="20"/>
          <w:highlight w:val="yellow"/>
        </w:rPr>
        <w:t xml:space="preserve">(23), 1034–1040. </w:t>
      </w:r>
      <w:hyperlink r:id="rId22" w:history="1">
        <w:r w:rsidRPr="004257DD">
          <w:rPr>
            <w:rStyle w:val="Hyperlink"/>
            <w:rFonts w:ascii="Arial" w:hAnsi="Arial" w:cs="Arial"/>
            <w:sz w:val="20"/>
            <w:szCs w:val="20"/>
            <w:highlight w:val="yellow"/>
          </w:rPr>
          <w:t>https://doi.org/10.9734/ijpss/2022/v34i232513</w:t>
        </w:r>
      </w:hyperlink>
    </w:p>
    <w:p w14:paraId="1B9E4A74" w14:textId="2F26590C" w:rsidR="00662CB0" w:rsidRPr="00662CB0" w:rsidRDefault="00662CB0" w:rsidP="00662CB0">
      <w:pPr>
        <w:pStyle w:val="NormalWeb"/>
        <w:ind w:left="851" w:hanging="851"/>
        <w:jc w:val="both"/>
        <w:rPr>
          <w:rFonts w:ascii="Arial" w:hAnsi="Arial" w:cs="Arial"/>
          <w:sz w:val="20"/>
          <w:szCs w:val="20"/>
          <w:lang w:val="en-US"/>
        </w:rPr>
      </w:pPr>
      <w:proofErr w:type="spellStart"/>
      <w:r w:rsidRPr="004257DD">
        <w:rPr>
          <w:rFonts w:ascii="Arial" w:hAnsi="Arial" w:cs="Arial"/>
          <w:sz w:val="20"/>
          <w:szCs w:val="20"/>
          <w:highlight w:val="yellow"/>
          <w:lang w:val="en-US"/>
        </w:rPr>
        <w:t>Umamaheswarappa</w:t>
      </w:r>
      <w:proofErr w:type="spellEnd"/>
      <w:r w:rsidRPr="004257DD">
        <w:rPr>
          <w:rFonts w:ascii="Arial" w:hAnsi="Arial" w:cs="Arial"/>
          <w:sz w:val="20"/>
          <w:szCs w:val="20"/>
          <w:highlight w:val="yellow"/>
          <w:lang w:val="en-US"/>
        </w:rPr>
        <w:t xml:space="preserve">, P., </w:t>
      </w:r>
      <w:proofErr w:type="spellStart"/>
      <w:r w:rsidRPr="004257DD">
        <w:rPr>
          <w:rFonts w:ascii="Arial" w:hAnsi="Arial" w:cs="Arial"/>
          <w:sz w:val="20"/>
          <w:szCs w:val="20"/>
          <w:highlight w:val="yellow"/>
          <w:lang w:val="en-US"/>
        </w:rPr>
        <w:t>Chandrappa</w:t>
      </w:r>
      <w:proofErr w:type="spellEnd"/>
      <w:r w:rsidRPr="004257DD">
        <w:rPr>
          <w:rFonts w:ascii="Arial" w:hAnsi="Arial" w:cs="Arial"/>
          <w:sz w:val="20"/>
          <w:szCs w:val="20"/>
          <w:highlight w:val="yellow"/>
          <w:lang w:val="en-US"/>
        </w:rPr>
        <w:t xml:space="preserve">, D., &amp; </w:t>
      </w:r>
      <w:proofErr w:type="spellStart"/>
      <w:r w:rsidRPr="004257DD">
        <w:rPr>
          <w:rFonts w:ascii="Arial" w:hAnsi="Arial" w:cs="Arial"/>
          <w:sz w:val="20"/>
          <w:szCs w:val="20"/>
          <w:highlight w:val="yellow"/>
          <w:lang w:val="en-US"/>
        </w:rPr>
        <w:t>Chandravamshi</w:t>
      </w:r>
      <w:proofErr w:type="spellEnd"/>
      <w:r w:rsidRPr="004257DD">
        <w:rPr>
          <w:rFonts w:ascii="Arial" w:hAnsi="Arial" w:cs="Arial"/>
          <w:sz w:val="20"/>
          <w:szCs w:val="20"/>
          <w:highlight w:val="yellow"/>
          <w:lang w:val="en-US"/>
        </w:rPr>
        <w:t>, P. (2018). Performance of onion (</w:t>
      </w:r>
      <w:r w:rsidR="006950B6" w:rsidRPr="004257DD">
        <w:rPr>
          <w:rFonts w:ascii="Arial" w:hAnsi="Arial" w:cs="Arial"/>
          <w:i/>
          <w:sz w:val="20"/>
          <w:szCs w:val="20"/>
          <w:highlight w:val="yellow"/>
          <w:lang w:val="en-US"/>
        </w:rPr>
        <w:t xml:space="preserve">Allium </w:t>
      </w:r>
      <w:proofErr w:type="spellStart"/>
      <w:r w:rsidR="006950B6" w:rsidRPr="004257DD">
        <w:rPr>
          <w:rFonts w:ascii="Arial" w:hAnsi="Arial" w:cs="Arial"/>
          <w:i/>
          <w:sz w:val="20"/>
          <w:szCs w:val="20"/>
          <w:highlight w:val="yellow"/>
          <w:lang w:val="en-US"/>
        </w:rPr>
        <w:t>cepa</w:t>
      </w:r>
      <w:proofErr w:type="spellEnd"/>
      <w:r w:rsidRPr="004257DD">
        <w:rPr>
          <w:rFonts w:ascii="Arial" w:hAnsi="Arial" w:cs="Arial"/>
          <w:sz w:val="20"/>
          <w:szCs w:val="20"/>
          <w:highlight w:val="yellow"/>
          <w:lang w:val="en-US"/>
        </w:rPr>
        <w:t xml:space="preserve"> L.) varieties for growth and yield parameters under central dry zone of Karnataka. </w:t>
      </w:r>
      <w:r w:rsidRPr="004257DD">
        <w:rPr>
          <w:rFonts w:ascii="Arial" w:hAnsi="Arial" w:cs="Arial"/>
          <w:i/>
          <w:sz w:val="20"/>
          <w:szCs w:val="20"/>
          <w:highlight w:val="yellow"/>
          <w:lang w:val="en-US"/>
        </w:rPr>
        <w:t>Journal of Pharmacognosy and Phytochemistry, 7</w:t>
      </w:r>
      <w:r w:rsidRPr="004257DD">
        <w:rPr>
          <w:rFonts w:ascii="Arial" w:hAnsi="Arial" w:cs="Arial"/>
          <w:sz w:val="20"/>
          <w:szCs w:val="20"/>
          <w:highlight w:val="yellow"/>
          <w:lang w:val="en-US"/>
        </w:rPr>
        <w:t xml:space="preserve">(3S), 344-346. </w:t>
      </w:r>
      <w:hyperlink r:id="rId23" w:history="1">
        <w:r w:rsidRPr="004257DD">
          <w:rPr>
            <w:rStyle w:val="Hyperlink"/>
            <w:rFonts w:ascii="Arial" w:hAnsi="Arial" w:cs="Arial"/>
            <w:sz w:val="20"/>
            <w:szCs w:val="20"/>
            <w:highlight w:val="yellow"/>
            <w:lang w:val="en-US"/>
          </w:rPr>
          <w:t>https://www.jpp.com/journal/vol-7-special-issue-3-2018/344-346</w:t>
        </w:r>
      </w:hyperlink>
      <w:bookmarkEnd w:id="3"/>
    </w:p>
    <w:sectPr w:rsidR="00662CB0" w:rsidRPr="00662CB0" w:rsidSect="00662CB0">
      <w:headerReference w:type="even" r:id="rId24"/>
      <w:headerReference w:type="default" r:id="rId25"/>
      <w:footerReference w:type="even" r:id="rId26"/>
      <w:footerReference w:type="default" r:id="rId27"/>
      <w:headerReference w:type="first" r:id="rId28"/>
      <w:footerReference w:type="first" r:id="rId2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880E9" w14:textId="77777777" w:rsidR="00370488" w:rsidRDefault="00370488">
      <w:pPr>
        <w:spacing w:line="240" w:lineRule="auto"/>
      </w:pPr>
      <w:r>
        <w:separator/>
      </w:r>
    </w:p>
  </w:endnote>
  <w:endnote w:type="continuationSeparator" w:id="0">
    <w:p w14:paraId="7357FFB4" w14:textId="77777777" w:rsidR="00370488" w:rsidRDefault="003704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8D136" w14:textId="77777777" w:rsidR="00DB79AB" w:rsidRDefault="00DB79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7747D" w14:textId="77777777" w:rsidR="00DB79AB" w:rsidRDefault="00DB79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C6B8C" w14:textId="77777777" w:rsidR="00DB79AB" w:rsidRDefault="00DB79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20C6C" w14:textId="77777777" w:rsidR="00370488" w:rsidRDefault="00370488">
      <w:pPr>
        <w:spacing w:after="0"/>
      </w:pPr>
      <w:r>
        <w:separator/>
      </w:r>
    </w:p>
  </w:footnote>
  <w:footnote w:type="continuationSeparator" w:id="0">
    <w:p w14:paraId="524F40C0" w14:textId="77777777" w:rsidR="00370488" w:rsidRDefault="0037048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AD32C" w14:textId="6C2A3492" w:rsidR="00DB79AB" w:rsidRDefault="00370488">
    <w:pPr>
      <w:pStyle w:val="Header"/>
    </w:pPr>
    <w:r>
      <w:rPr>
        <w:noProof/>
      </w:rPr>
      <w:pict w14:anchorId="39F0F6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66703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A8ECE" w14:textId="2E37C9E3" w:rsidR="00DB79AB" w:rsidRDefault="00370488">
    <w:pPr>
      <w:pStyle w:val="Header"/>
    </w:pPr>
    <w:r>
      <w:rPr>
        <w:noProof/>
      </w:rPr>
      <w:pict w14:anchorId="02E535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66703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FE447" w14:textId="41388D02" w:rsidR="00DB79AB" w:rsidRDefault="00370488">
    <w:pPr>
      <w:pStyle w:val="Header"/>
    </w:pPr>
    <w:r>
      <w:rPr>
        <w:noProof/>
      </w:rPr>
      <w:pict w14:anchorId="4FE5E2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66703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C2AF0"/>
    <w:multiLevelType w:val="multilevel"/>
    <w:tmpl w:val="C3786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1E1158"/>
    <w:multiLevelType w:val="multilevel"/>
    <w:tmpl w:val="29C83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5574DF"/>
    <w:multiLevelType w:val="multilevel"/>
    <w:tmpl w:val="DF3C8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B40D41"/>
    <w:multiLevelType w:val="hybridMultilevel"/>
    <w:tmpl w:val="5706E07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FF7726F"/>
    <w:multiLevelType w:val="multilevel"/>
    <w:tmpl w:val="A1F49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2D1C17"/>
    <w:multiLevelType w:val="multilevel"/>
    <w:tmpl w:val="AE740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C91C7D"/>
    <w:multiLevelType w:val="multilevel"/>
    <w:tmpl w:val="247C1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A82DA1"/>
    <w:multiLevelType w:val="multilevel"/>
    <w:tmpl w:val="532C5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7F6175"/>
    <w:multiLevelType w:val="hybridMultilevel"/>
    <w:tmpl w:val="611011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1347727"/>
    <w:multiLevelType w:val="multilevel"/>
    <w:tmpl w:val="BBDC6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FA050E"/>
    <w:multiLevelType w:val="multilevel"/>
    <w:tmpl w:val="33082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925D8D"/>
    <w:multiLevelType w:val="hybridMultilevel"/>
    <w:tmpl w:val="611011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53F7020"/>
    <w:multiLevelType w:val="multilevel"/>
    <w:tmpl w:val="AD46E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3"/>
  </w:num>
  <w:num w:numId="4">
    <w:abstractNumId w:val="10"/>
  </w:num>
  <w:num w:numId="5">
    <w:abstractNumId w:val="6"/>
  </w:num>
  <w:num w:numId="6">
    <w:abstractNumId w:val="12"/>
  </w:num>
  <w:num w:numId="7">
    <w:abstractNumId w:val="2"/>
  </w:num>
  <w:num w:numId="8">
    <w:abstractNumId w:val="7"/>
  </w:num>
  <w:num w:numId="9">
    <w:abstractNumId w:val="1"/>
  </w:num>
  <w:num w:numId="10">
    <w:abstractNumId w:val="0"/>
  </w:num>
  <w:num w:numId="11">
    <w:abstractNumId w:val="5"/>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160CF"/>
    <w:rsid w:val="00064631"/>
    <w:rsid w:val="00084D15"/>
    <w:rsid w:val="000C0E01"/>
    <w:rsid w:val="000D7D47"/>
    <w:rsid w:val="000F0CE0"/>
    <w:rsid w:val="00120A53"/>
    <w:rsid w:val="001961A8"/>
    <w:rsid w:val="001979BD"/>
    <w:rsid w:val="001A514E"/>
    <w:rsid w:val="001D7DB3"/>
    <w:rsid w:val="001E242A"/>
    <w:rsid w:val="001F3C3A"/>
    <w:rsid w:val="001F4628"/>
    <w:rsid w:val="00213894"/>
    <w:rsid w:val="00285C73"/>
    <w:rsid w:val="002A62D3"/>
    <w:rsid w:val="002B23F6"/>
    <w:rsid w:val="002B7576"/>
    <w:rsid w:val="002E1CCD"/>
    <w:rsid w:val="003348DF"/>
    <w:rsid w:val="00335F47"/>
    <w:rsid w:val="00370488"/>
    <w:rsid w:val="003A14FD"/>
    <w:rsid w:val="004257DD"/>
    <w:rsid w:val="00466A7B"/>
    <w:rsid w:val="004845DC"/>
    <w:rsid w:val="004D543A"/>
    <w:rsid w:val="004E375D"/>
    <w:rsid w:val="00552783"/>
    <w:rsid w:val="00564707"/>
    <w:rsid w:val="0064241A"/>
    <w:rsid w:val="00662CB0"/>
    <w:rsid w:val="006639AE"/>
    <w:rsid w:val="006950B6"/>
    <w:rsid w:val="006F2FA7"/>
    <w:rsid w:val="006F560A"/>
    <w:rsid w:val="00700CFE"/>
    <w:rsid w:val="0072728B"/>
    <w:rsid w:val="007679BB"/>
    <w:rsid w:val="0079047C"/>
    <w:rsid w:val="007B3C12"/>
    <w:rsid w:val="007B6913"/>
    <w:rsid w:val="007C4BA5"/>
    <w:rsid w:val="007E1385"/>
    <w:rsid w:val="0086114B"/>
    <w:rsid w:val="00955EBD"/>
    <w:rsid w:val="009677E9"/>
    <w:rsid w:val="0097355E"/>
    <w:rsid w:val="009A7311"/>
    <w:rsid w:val="009B25A4"/>
    <w:rsid w:val="009D110C"/>
    <w:rsid w:val="009D7016"/>
    <w:rsid w:val="00A85DD6"/>
    <w:rsid w:val="00AB56C0"/>
    <w:rsid w:val="00AC5D92"/>
    <w:rsid w:val="00AF2C50"/>
    <w:rsid w:val="00B00DDB"/>
    <w:rsid w:val="00B05D3C"/>
    <w:rsid w:val="00B10880"/>
    <w:rsid w:val="00B44227"/>
    <w:rsid w:val="00B510A7"/>
    <w:rsid w:val="00B62997"/>
    <w:rsid w:val="00B71FC7"/>
    <w:rsid w:val="00B95580"/>
    <w:rsid w:val="00BB2FE7"/>
    <w:rsid w:val="00C1390F"/>
    <w:rsid w:val="00CE2E0C"/>
    <w:rsid w:val="00D14E42"/>
    <w:rsid w:val="00D163C1"/>
    <w:rsid w:val="00D31030"/>
    <w:rsid w:val="00D364F0"/>
    <w:rsid w:val="00D50DDE"/>
    <w:rsid w:val="00D62A55"/>
    <w:rsid w:val="00D7506A"/>
    <w:rsid w:val="00DB18B4"/>
    <w:rsid w:val="00DB79AB"/>
    <w:rsid w:val="00DE5F22"/>
    <w:rsid w:val="00DF50CD"/>
    <w:rsid w:val="00E160CF"/>
    <w:rsid w:val="00E21D5D"/>
    <w:rsid w:val="00E25662"/>
    <w:rsid w:val="00E3014F"/>
    <w:rsid w:val="00E5261E"/>
    <w:rsid w:val="00EC1B07"/>
    <w:rsid w:val="00F111DE"/>
    <w:rsid w:val="00F2472B"/>
    <w:rsid w:val="00F35974"/>
    <w:rsid w:val="00F71C2B"/>
    <w:rsid w:val="00F85596"/>
    <w:rsid w:val="00FE2DFB"/>
    <w:rsid w:val="421734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7C6D70"/>
  <w15:docId w15:val="{09F08359-8991-479A-9355-ABB3E7359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2997"/>
    <w:pPr>
      <w:spacing w:after="200" w:line="276" w:lineRule="auto"/>
    </w:pPr>
    <w:rPr>
      <w:sz w:val="22"/>
      <w:szCs w:val="22"/>
    </w:rPr>
  </w:style>
  <w:style w:type="paragraph" w:styleId="Heading1">
    <w:name w:val="heading 1"/>
    <w:basedOn w:val="Normal"/>
    <w:link w:val="Heading1Char"/>
    <w:uiPriority w:val="9"/>
    <w:qFormat/>
    <w:rsid w:val="00064631"/>
    <w:pPr>
      <w:widowControl w:val="0"/>
      <w:autoSpaceDE w:val="0"/>
      <w:autoSpaceDN w:val="0"/>
      <w:spacing w:after="0" w:line="240" w:lineRule="auto"/>
      <w:ind w:left="386"/>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7B691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B691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B9558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AB56C0"/>
    <w:pPr>
      <w:widowControl w:val="0"/>
      <w:autoSpaceDE w:val="0"/>
      <w:autoSpaceDN w:val="0"/>
      <w:spacing w:after="0" w:line="270" w:lineRule="exact"/>
      <w:ind w:right="16"/>
      <w:jc w:val="center"/>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064631"/>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06463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64631"/>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B691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7B6913"/>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99"/>
    <w:unhideWhenUsed/>
    <w:rsid w:val="007B6913"/>
    <w:pPr>
      <w:ind w:left="720"/>
      <w:contextualSpacing/>
    </w:pPr>
  </w:style>
  <w:style w:type="character" w:customStyle="1" w:styleId="Heading5Char">
    <w:name w:val="Heading 5 Char"/>
    <w:basedOn w:val="DefaultParagraphFont"/>
    <w:link w:val="Heading5"/>
    <w:uiPriority w:val="9"/>
    <w:semiHidden/>
    <w:rsid w:val="00B95580"/>
    <w:rPr>
      <w:rFonts w:asciiTheme="majorHAnsi" w:eastAsiaTheme="majorEastAsia" w:hAnsiTheme="majorHAnsi" w:cstheme="majorBidi"/>
      <w:color w:val="365F91" w:themeColor="accent1" w:themeShade="BF"/>
      <w:sz w:val="22"/>
      <w:szCs w:val="22"/>
    </w:rPr>
  </w:style>
  <w:style w:type="character" w:styleId="Hyperlink">
    <w:name w:val="Hyperlink"/>
    <w:basedOn w:val="DefaultParagraphFont"/>
    <w:uiPriority w:val="99"/>
    <w:unhideWhenUsed/>
    <w:rsid w:val="00285C73"/>
    <w:rPr>
      <w:color w:val="0000FF" w:themeColor="hyperlink"/>
      <w:u w:val="single"/>
    </w:rPr>
  </w:style>
  <w:style w:type="character" w:customStyle="1" w:styleId="UnresolvedMention1">
    <w:name w:val="Unresolved Mention1"/>
    <w:basedOn w:val="DefaultParagraphFont"/>
    <w:uiPriority w:val="99"/>
    <w:semiHidden/>
    <w:unhideWhenUsed/>
    <w:rsid w:val="00285C73"/>
    <w:rPr>
      <w:color w:val="605E5C"/>
      <w:shd w:val="clear" w:color="auto" w:fill="E1DFDD"/>
    </w:rPr>
  </w:style>
  <w:style w:type="paragraph" w:styleId="NormalWeb">
    <w:name w:val="Normal (Web)"/>
    <w:basedOn w:val="Normal"/>
    <w:uiPriority w:val="99"/>
    <w:semiHidden/>
    <w:unhideWhenUsed/>
    <w:rsid w:val="0056470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564707"/>
    <w:rPr>
      <w:i/>
      <w:iCs/>
    </w:rPr>
  </w:style>
  <w:style w:type="character" w:styleId="UnresolvedMention">
    <w:name w:val="Unresolved Mention"/>
    <w:basedOn w:val="DefaultParagraphFont"/>
    <w:uiPriority w:val="99"/>
    <w:semiHidden/>
    <w:unhideWhenUsed/>
    <w:rsid w:val="00D163C1"/>
    <w:rPr>
      <w:color w:val="605E5C"/>
      <w:shd w:val="clear" w:color="auto" w:fill="E1DFDD"/>
    </w:rPr>
  </w:style>
  <w:style w:type="paragraph" w:styleId="Header">
    <w:name w:val="header"/>
    <w:basedOn w:val="Normal"/>
    <w:link w:val="HeaderChar"/>
    <w:uiPriority w:val="99"/>
    <w:unhideWhenUsed/>
    <w:rsid w:val="00DB79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9AB"/>
    <w:rPr>
      <w:sz w:val="22"/>
      <w:szCs w:val="22"/>
    </w:rPr>
  </w:style>
  <w:style w:type="paragraph" w:styleId="Footer">
    <w:name w:val="footer"/>
    <w:basedOn w:val="Normal"/>
    <w:link w:val="FooterChar"/>
    <w:uiPriority w:val="99"/>
    <w:unhideWhenUsed/>
    <w:rsid w:val="00DB79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9A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0546/ijcmas.2020.909.290" TargetMode="External"/><Relationship Id="rId13" Type="http://schemas.openxmlformats.org/officeDocument/2006/relationships/hyperlink" Target="https://doi.org/10.61180/vegsci.2021.v48.i2.01" TargetMode="External"/><Relationship Id="rId18" Type="http://schemas.openxmlformats.org/officeDocument/2006/relationships/hyperlink" Target="https://doi.org/10.9734/ajaees/2024/v42i12343"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9734/ijecc/2022/v12i121584" TargetMode="External"/><Relationship Id="rId7" Type="http://schemas.openxmlformats.org/officeDocument/2006/relationships/hyperlink" Target="https://doi.org/10.58628/JAE-2316-209" TargetMode="External"/><Relationship Id="rId12" Type="http://schemas.openxmlformats.org/officeDocument/2006/relationships/hyperlink" Target="https://doi.org/10.9734/jsrr/2024/v30i112529" TargetMode="External"/><Relationship Id="rId17" Type="http://schemas.openxmlformats.org/officeDocument/2006/relationships/hyperlink" Target="https://doi.org/10.15666/aeer/2302_21372146"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9734/ijtdh/2023/v44i51407" TargetMode="External"/><Relationship Id="rId20" Type="http://schemas.openxmlformats.org/officeDocument/2006/relationships/hyperlink" Target="https://doi.org/10.20546/ijcmas.2020.909.314"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740/HAS/IJAS/14.1/102-105"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3390/molecules27186116" TargetMode="External"/><Relationship Id="rId23" Type="http://schemas.openxmlformats.org/officeDocument/2006/relationships/hyperlink" Target="https://www.jpp.com/journal/vol-7-special-issue-3-2018/344-346" TargetMode="External"/><Relationship Id="rId28" Type="http://schemas.openxmlformats.org/officeDocument/2006/relationships/header" Target="header3.xml"/><Relationship Id="rId10" Type="http://schemas.openxmlformats.org/officeDocument/2006/relationships/hyperlink" Target="https://doi.org/10.20546/ijcmas.2020.912.323" TargetMode="External"/><Relationship Id="rId19" Type="http://schemas.openxmlformats.org/officeDocument/2006/relationships/hyperlink" Target="https://doi.org/10.60151/envec/eevg1351"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389/fnut.2025.1582576" TargetMode="External"/><Relationship Id="rId14" Type="http://schemas.openxmlformats.org/officeDocument/2006/relationships/hyperlink" Target="https://doi.org/10.32350/sir/53.04" TargetMode="External"/><Relationship Id="rId22" Type="http://schemas.openxmlformats.org/officeDocument/2006/relationships/hyperlink" Target="https://doi.org/10.9734/ijpss/2022/v34i232513"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9</Pages>
  <Words>4985</Words>
  <Characters>28418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Shailaja</dc:creator>
  <cp:lastModifiedBy>SDI 1186</cp:lastModifiedBy>
  <cp:revision>14</cp:revision>
  <dcterms:created xsi:type="dcterms:W3CDTF">2025-12-24T13:10:00Z</dcterms:created>
  <dcterms:modified xsi:type="dcterms:W3CDTF">2025-12-30T07:15:00Z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E767E8CAD1C94BE4A6D24AA8FCB622E9_12</vt:lpwstr>
  </property>
  <property fmtid="{D5CDD505-2E9C-101B-9397-08002B2CF9AE}" pid="4" name="GrammarlyDocumentId">
    <vt:lpwstr>cf953358-6693-4797-b578-f3e0fd993251</vt:lpwstr>
  </property>
</Properties>
</file>