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7836D" w14:textId="77777777" w:rsidR="00B75915" w:rsidRPr="00B75915" w:rsidRDefault="00B75915" w:rsidP="00B75915">
      <w:pPr>
        <w:pStyle w:val="Author"/>
        <w:rPr>
          <w:rFonts w:ascii="Arial" w:hAnsi="Arial" w:cs="Arial"/>
          <w:bCs/>
          <w:i/>
          <w:iCs/>
          <w:kern w:val="28"/>
          <w:sz w:val="18"/>
          <w:szCs w:val="18"/>
          <w:u w:val="single"/>
        </w:rPr>
      </w:pPr>
      <w:r w:rsidRPr="00B75915">
        <w:rPr>
          <w:rFonts w:ascii="Arial" w:hAnsi="Arial" w:cs="Arial"/>
          <w:bCs/>
          <w:i/>
          <w:iCs/>
          <w:kern w:val="28"/>
          <w:sz w:val="18"/>
          <w:szCs w:val="18"/>
          <w:u w:val="single"/>
        </w:rPr>
        <w:t>Original Research Article</w:t>
      </w:r>
    </w:p>
    <w:p w14:paraId="5AD33908" w14:textId="648F0680" w:rsidR="00163BC4" w:rsidRPr="00163BC4" w:rsidRDefault="00D12AE8" w:rsidP="00441B6F">
      <w:pPr>
        <w:pStyle w:val="Author"/>
        <w:spacing w:line="240" w:lineRule="auto"/>
        <w:rPr>
          <w:rFonts w:ascii="Arial" w:hAnsi="Arial" w:cs="Arial"/>
          <w:bCs/>
          <w:iCs/>
          <w:kern w:val="28"/>
          <w:sz w:val="36"/>
        </w:rPr>
      </w:pPr>
      <w:r w:rsidRPr="00D12AE8">
        <w:rPr>
          <w:rFonts w:ascii="Arial" w:hAnsi="Arial" w:cs="Arial"/>
          <w:bCs/>
          <w:iCs/>
          <w:kern w:val="28"/>
          <w:sz w:val="36"/>
        </w:rPr>
        <w:t xml:space="preserve">Nutritional Potential of </w:t>
      </w:r>
      <w:r w:rsidR="009A395D" w:rsidRPr="009A395D">
        <w:rPr>
          <w:rFonts w:ascii="Arial" w:hAnsi="Arial" w:cs="Arial"/>
          <w:bCs/>
          <w:i/>
          <w:iCs/>
          <w:kern w:val="28"/>
          <w:sz w:val="36"/>
        </w:rPr>
        <w:t>Cajanus cajan</w:t>
      </w:r>
      <w:r w:rsidRPr="00D12AE8">
        <w:rPr>
          <w:rFonts w:ascii="Arial" w:hAnsi="Arial" w:cs="Arial"/>
          <w:bCs/>
          <w:iCs/>
          <w:kern w:val="28"/>
          <w:sz w:val="36"/>
        </w:rPr>
        <w:t xml:space="preserve"> Leaves: Assessment of their Contribution to Human Dietary Needs</w:t>
      </w:r>
    </w:p>
    <w:p w14:paraId="743FE0EA" w14:textId="77777777" w:rsidR="00A258C3" w:rsidRPr="00790ADA" w:rsidRDefault="00A258C3" w:rsidP="00441B6F">
      <w:pPr>
        <w:pStyle w:val="Author"/>
        <w:spacing w:line="240" w:lineRule="auto"/>
        <w:jc w:val="both"/>
        <w:rPr>
          <w:rFonts w:ascii="Arial" w:hAnsi="Arial" w:cs="Arial"/>
          <w:sz w:val="36"/>
        </w:rPr>
      </w:pPr>
    </w:p>
    <w:p w14:paraId="642A61D3" w14:textId="77777777" w:rsidR="00B01FCD" w:rsidRPr="00FB3A86" w:rsidRDefault="00AF2AD7" w:rsidP="00441B6F">
      <w:pPr>
        <w:pStyle w:val="Copyright"/>
        <w:spacing w:after="0" w:line="240" w:lineRule="auto"/>
        <w:jc w:val="both"/>
        <w:rPr>
          <w:rFonts w:ascii="Arial" w:hAnsi="Arial" w:cs="Arial"/>
        </w:rPr>
        <w:sectPr w:rsidR="00B01FCD" w:rsidRPr="00FB3A86" w:rsidSect="00266B5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71F5BDC8" wp14:editId="7B7E8A54">
                <wp:extent cx="5303520" cy="635"/>
                <wp:effectExtent l="13335" t="10795" r="1714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9F250C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8F7CAD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80A0DA5" w14:textId="77777777" w:rsidTr="00277AB2">
        <w:tc>
          <w:tcPr>
            <w:tcW w:w="8198" w:type="dxa"/>
            <w:shd w:val="clear" w:color="auto" w:fill="F2F2F2"/>
          </w:tcPr>
          <w:p w14:paraId="652DAF96" w14:textId="77777777" w:rsidR="00277AB2" w:rsidRPr="00D2391E" w:rsidRDefault="00277AB2" w:rsidP="00441B6F">
            <w:pPr>
              <w:pStyle w:val="Body"/>
              <w:spacing w:after="0"/>
              <w:rPr>
                <w:rFonts w:ascii="Arial" w:hAnsi="Arial" w:cs="Arial"/>
              </w:rPr>
            </w:pPr>
            <w:r w:rsidRPr="00D2391E">
              <w:rPr>
                <w:rFonts w:ascii="Arial" w:hAnsi="Arial" w:cs="Arial"/>
                <w:b/>
                <w:bCs/>
              </w:rPr>
              <w:t>Introduction:</w:t>
            </w:r>
            <w:r w:rsidRPr="00D2391E">
              <w:rPr>
                <w:rFonts w:ascii="Arial" w:hAnsi="Arial" w:cs="Arial"/>
              </w:rPr>
              <w:t xml:space="preserve"> Despite Togo's rich agrobiodiversity, acute food insecurity remains a critical challenge, affecting approximately 386,000 people during the lean season. This highlights the need for sustainable nutritional strategies, such as the valorization of Neglected and Underutilized Species (NUS). </w:t>
            </w:r>
          </w:p>
          <w:p w14:paraId="24B5F5A5" w14:textId="41359BC6" w:rsidR="00277AB2" w:rsidRPr="00D2391E" w:rsidRDefault="00277AB2" w:rsidP="00441B6F">
            <w:pPr>
              <w:pStyle w:val="Body"/>
              <w:spacing w:after="0"/>
              <w:rPr>
                <w:rFonts w:ascii="Arial" w:hAnsi="Arial" w:cs="Arial"/>
              </w:rPr>
            </w:pPr>
            <w:r w:rsidRPr="00D2391E">
              <w:rPr>
                <w:rFonts w:ascii="Arial" w:hAnsi="Arial" w:cs="Arial"/>
                <w:b/>
                <w:bCs/>
              </w:rPr>
              <w:t>Objective:</w:t>
            </w:r>
            <w:r w:rsidRPr="00D2391E">
              <w:rPr>
                <w:rFonts w:ascii="Arial" w:hAnsi="Arial" w:cs="Arial"/>
              </w:rPr>
              <w:t xml:space="preserve"> This study aimed to conduct a comprehensive bromatological and mineral analysis of </w:t>
            </w:r>
            <w:r w:rsidR="009A395D" w:rsidRPr="009A395D">
              <w:rPr>
                <w:rFonts w:ascii="Arial" w:hAnsi="Arial" w:cs="Arial"/>
                <w:i/>
                <w:iCs/>
              </w:rPr>
              <w:t>Cajanus cajan</w:t>
            </w:r>
            <w:r w:rsidRPr="00D2391E">
              <w:rPr>
                <w:rFonts w:ascii="Arial" w:hAnsi="Arial" w:cs="Arial"/>
              </w:rPr>
              <w:t xml:space="preserve"> (pigeon pea) leaves grown in Togo to evaluate their potential contribution to human nutritional requirements.</w:t>
            </w:r>
          </w:p>
          <w:p w14:paraId="739D80D9" w14:textId="77777777" w:rsidR="00277AB2" w:rsidRPr="00D2391E" w:rsidRDefault="00277AB2" w:rsidP="00277AB2">
            <w:pPr>
              <w:pStyle w:val="Body"/>
              <w:spacing w:after="0"/>
              <w:rPr>
                <w:rFonts w:ascii="Arial" w:hAnsi="Arial" w:cs="Arial"/>
              </w:rPr>
            </w:pPr>
            <w:r w:rsidRPr="00D2391E">
              <w:rPr>
                <w:rFonts w:ascii="Arial" w:hAnsi="Arial" w:cs="Arial"/>
                <w:b/>
              </w:rPr>
              <w:t xml:space="preserve">Materials and </w:t>
            </w:r>
            <w:r w:rsidRPr="00D2391E">
              <w:rPr>
                <w:rFonts w:ascii="Arial" w:hAnsi="Arial" w:cs="Arial"/>
                <w:b/>
                <w:bCs/>
              </w:rPr>
              <w:t>Methods:</w:t>
            </w:r>
            <w:r w:rsidRPr="00D2391E">
              <w:rPr>
                <w:rFonts w:ascii="Arial" w:hAnsi="Arial" w:cs="Arial"/>
              </w:rPr>
              <w:t xml:space="preserve"> Fresh leaves were harvested, air-dried, and pulverized. Proximate composition was determined using standard AOAC methods, while mineral content was analyzed via Flame Atomic Absorption Spectrophotometry. Anti-nutritional factors (phytates, oxalates, saponins, tannins) were also quantified. </w:t>
            </w:r>
          </w:p>
          <w:p w14:paraId="15A23496" w14:textId="2A65920B" w:rsidR="00D2391E" w:rsidRPr="00D2391E" w:rsidRDefault="00D2391E" w:rsidP="00D2391E">
            <w:pPr>
              <w:pStyle w:val="Body"/>
              <w:spacing w:after="0"/>
              <w:rPr>
                <w:rFonts w:ascii="Arial" w:hAnsi="Arial" w:cs="Arial"/>
                <w:bCs/>
                <w:lang w:val="fr-FR"/>
              </w:rPr>
            </w:pPr>
            <w:proofErr w:type="gramStart"/>
            <w:r w:rsidRPr="00D2391E">
              <w:rPr>
                <w:rFonts w:ascii="Arial" w:hAnsi="Arial" w:cs="Arial"/>
                <w:bCs/>
                <w:highlight w:val="yellow"/>
                <w:lang w:val="fr-FR"/>
              </w:rPr>
              <w:t>Results:</w:t>
            </w:r>
            <w:proofErr w:type="gramEnd"/>
            <w:r w:rsidRPr="00D2391E">
              <w:rPr>
                <w:rFonts w:ascii="Arial" w:hAnsi="Arial" w:cs="Arial"/>
                <w:bCs/>
                <w:highlight w:val="yellow"/>
                <w:lang w:val="fr-FR"/>
              </w:rPr>
              <w:t xml:space="preserve"> The leaves exhibited high nutritional density on a dry matter (DM) basis, specifically containing 29.14 ± 1.09 g/100g </w:t>
            </w:r>
            <w:r w:rsidR="00BE453C">
              <w:rPr>
                <w:rFonts w:ascii="Arial" w:hAnsi="Arial" w:cs="Arial"/>
                <w:bCs/>
                <w:highlight w:val="yellow"/>
                <w:lang w:val="fr-FR"/>
              </w:rPr>
              <w:t xml:space="preserve"> crude</w:t>
            </w:r>
            <w:r w:rsidRPr="00D2391E">
              <w:rPr>
                <w:rFonts w:ascii="Arial" w:hAnsi="Arial" w:cs="Arial"/>
                <w:bCs/>
                <w:highlight w:val="yellow"/>
                <w:lang w:val="fr-FR"/>
              </w:rPr>
              <w:t xml:space="preserve"> protein and 13.45 ± 1.32 g/100g dietary fiber. Mineral analysis revealed exceptionally high calcium levels (3537 ± 133.30 mg/100g), contributing significantly to RDAs. Key findings highlight the potential for </w:t>
            </w:r>
            <w:r w:rsidR="009A395D" w:rsidRPr="009A395D">
              <w:rPr>
                <w:rFonts w:ascii="Arial" w:hAnsi="Arial" w:cs="Arial"/>
                <w:bCs/>
                <w:i/>
                <w:iCs/>
                <w:highlight w:val="yellow"/>
                <w:lang w:val="fr-FR"/>
              </w:rPr>
              <w:t>C. cajan</w:t>
            </w:r>
            <w:r w:rsidRPr="00D2391E">
              <w:rPr>
                <w:rFonts w:ascii="Arial" w:hAnsi="Arial" w:cs="Arial"/>
                <w:bCs/>
                <w:highlight w:val="yellow"/>
                <w:lang w:val="fr-FR"/>
              </w:rPr>
              <w:t xml:space="preserve"> leaves to serve as </w:t>
            </w:r>
            <w:proofErr w:type="gramStart"/>
            <w:r w:rsidRPr="00D2391E">
              <w:rPr>
                <w:rFonts w:ascii="Arial" w:hAnsi="Arial" w:cs="Arial"/>
                <w:bCs/>
                <w:highlight w:val="yellow"/>
                <w:lang w:val="fr-FR"/>
              </w:rPr>
              <w:t>a</w:t>
            </w:r>
            <w:proofErr w:type="gramEnd"/>
            <w:r w:rsidRPr="00D2391E">
              <w:rPr>
                <w:rFonts w:ascii="Arial" w:hAnsi="Arial" w:cs="Arial"/>
                <w:bCs/>
                <w:highlight w:val="yellow"/>
                <w:lang w:val="fr-FR"/>
              </w:rPr>
              <w:t xml:space="preserve"> basis for functional foods and plant-based therapies.</w:t>
            </w:r>
            <w:r w:rsidRPr="00D2391E">
              <w:rPr>
                <w:rFonts w:ascii="Arial" w:hAnsi="Arial" w:cs="Arial"/>
                <w:bCs/>
                <w:lang w:val="fr-FR"/>
              </w:rPr>
              <w:t xml:space="preserve"> </w:t>
            </w:r>
          </w:p>
          <w:p w14:paraId="7C64F0BA" w14:textId="08D2AF78" w:rsidR="00277AB2" w:rsidRPr="00D2391E" w:rsidRDefault="00277AB2" w:rsidP="00277AB2">
            <w:pPr>
              <w:pStyle w:val="Body"/>
              <w:spacing w:after="0"/>
              <w:rPr>
                <w:rFonts w:ascii="Arial" w:hAnsi="Arial" w:cs="Arial"/>
              </w:rPr>
            </w:pPr>
          </w:p>
          <w:p w14:paraId="4773FEFD" w14:textId="3C98E69F" w:rsidR="00505F06" w:rsidRPr="00BA1B01" w:rsidRDefault="00277AB2" w:rsidP="00277AB2">
            <w:pPr>
              <w:pStyle w:val="Body"/>
              <w:spacing w:after="0"/>
              <w:rPr>
                <w:rFonts w:ascii="Arial" w:eastAsia="Calibri" w:hAnsi="Arial" w:cs="Arial"/>
                <w:szCs w:val="22"/>
              </w:rPr>
            </w:pPr>
            <w:r w:rsidRPr="00D2391E">
              <w:rPr>
                <w:rFonts w:ascii="Arial" w:hAnsi="Arial" w:cs="Arial"/>
                <w:b/>
                <w:bCs/>
              </w:rPr>
              <w:t>Conclusion:</w:t>
            </w:r>
            <w:r w:rsidRPr="00D2391E">
              <w:rPr>
                <w:rFonts w:ascii="Arial" w:hAnsi="Arial" w:cs="Arial"/>
              </w:rPr>
              <w:t xml:space="preserve"> </w:t>
            </w:r>
            <w:r w:rsidR="009A395D" w:rsidRPr="009A395D">
              <w:rPr>
                <w:rFonts w:ascii="Arial" w:hAnsi="Arial" w:cs="Arial"/>
                <w:i/>
                <w:iCs/>
              </w:rPr>
              <w:t>C. cajan</w:t>
            </w:r>
            <w:r w:rsidRPr="00D2391E">
              <w:rPr>
                <w:rFonts w:ascii="Arial" w:hAnsi="Arial" w:cs="Arial"/>
              </w:rPr>
              <w:t xml:space="preserve"> leaves represent a nutrient-dense resource capable of addressing specific dietary deficiencies in Togo. While their potential is significant, adequate processing methods are required to minimize anti-nutritional factors and ensure nutrient bioavailability</w:t>
            </w:r>
            <w:r>
              <w:t>.</w:t>
            </w:r>
          </w:p>
        </w:tc>
      </w:tr>
    </w:tbl>
    <w:p w14:paraId="44BA55B2" w14:textId="77777777" w:rsidR="00636EB2" w:rsidRDefault="00636EB2" w:rsidP="00441B6F">
      <w:pPr>
        <w:pStyle w:val="Body"/>
        <w:spacing w:after="0"/>
        <w:rPr>
          <w:rFonts w:ascii="Arial" w:hAnsi="Arial" w:cs="Arial"/>
          <w:i/>
        </w:rPr>
      </w:pPr>
    </w:p>
    <w:p w14:paraId="3B7676F0" w14:textId="35AC720F" w:rsidR="00A24E7E" w:rsidRDefault="00A24E7E" w:rsidP="00441B6F">
      <w:pPr>
        <w:pStyle w:val="Body"/>
        <w:spacing w:after="0"/>
        <w:rPr>
          <w:rFonts w:ascii="Arial" w:hAnsi="Arial" w:cs="Arial"/>
          <w:i/>
        </w:rPr>
      </w:pPr>
      <w:r>
        <w:rPr>
          <w:rFonts w:ascii="Arial" w:hAnsi="Arial" w:cs="Arial"/>
          <w:i/>
        </w:rPr>
        <w:t xml:space="preserve">Keywords: </w:t>
      </w:r>
      <w:r w:rsidR="00510C11">
        <w:rPr>
          <w:rFonts w:ascii="Arial" w:hAnsi="Arial" w:cs="Arial"/>
          <w:i/>
        </w:rPr>
        <w:t>(</w:t>
      </w:r>
      <w:r w:rsidR="009A395D" w:rsidRPr="009A395D">
        <w:rPr>
          <w:rFonts w:ascii="Arial" w:hAnsi="Arial" w:cs="Arial"/>
          <w:i/>
          <w:iCs/>
          <w:lang w:val="en-IE"/>
        </w:rPr>
        <w:t>Cajanus cajan</w:t>
      </w:r>
      <w:r w:rsidR="00D12AE8" w:rsidRPr="009A395D">
        <w:rPr>
          <w:rFonts w:ascii="Arial" w:hAnsi="Arial" w:cs="Arial"/>
          <w:i/>
          <w:iCs/>
          <w:lang w:val="en-IE"/>
        </w:rPr>
        <w:t xml:space="preserve"> </w:t>
      </w:r>
      <w:r w:rsidR="00D12AE8" w:rsidRPr="00D12AE8">
        <w:rPr>
          <w:rFonts w:ascii="Arial" w:hAnsi="Arial" w:cs="Arial"/>
          <w:i/>
          <w:iCs/>
          <w:lang w:val="en-IE"/>
        </w:rPr>
        <w:t xml:space="preserve">leaves, Nutritional Value, Proximate Composition, Mineral Content, Anti-nutritional Factors, Food </w:t>
      </w:r>
      <w:proofErr w:type="gramStart"/>
      <w:r w:rsidR="00D12AE8" w:rsidRPr="00D12AE8">
        <w:rPr>
          <w:rFonts w:ascii="Arial" w:hAnsi="Arial" w:cs="Arial"/>
          <w:i/>
          <w:iCs/>
          <w:lang w:val="en-IE"/>
        </w:rPr>
        <w:t>Security</w:t>
      </w:r>
      <w:r>
        <w:rPr>
          <w:rFonts w:ascii="Arial" w:hAnsi="Arial" w:cs="Arial"/>
          <w:i/>
        </w:rPr>
        <w:t xml:space="preserve"> }</w:t>
      </w:r>
      <w:proofErr w:type="gramEnd"/>
      <w:r w:rsidR="00D12AE8">
        <w:rPr>
          <w:rFonts w:ascii="Arial" w:hAnsi="Arial" w:cs="Arial"/>
          <w:i/>
        </w:rPr>
        <w:t xml:space="preserve"> </w:t>
      </w:r>
    </w:p>
    <w:p w14:paraId="4ABDB6E5" w14:textId="77777777" w:rsidR="00790ADA" w:rsidRDefault="00790ADA" w:rsidP="00441B6F">
      <w:pPr>
        <w:pStyle w:val="Body"/>
        <w:spacing w:after="0"/>
        <w:rPr>
          <w:rFonts w:ascii="Arial" w:hAnsi="Arial" w:cs="Arial"/>
          <w:i/>
        </w:rPr>
      </w:pPr>
    </w:p>
    <w:p w14:paraId="6B1E43A2" w14:textId="77777777" w:rsidR="0024282C" w:rsidRDefault="0024282C" w:rsidP="00441B6F">
      <w:pPr>
        <w:pStyle w:val="Body"/>
        <w:spacing w:after="0"/>
        <w:rPr>
          <w:rFonts w:ascii="Arial" w:hAnsi="Arial" w:cs="Arial"/>
          <w:i/>
          <w:sz w:val="18"/>
        </w:rPr>
      </w:pPr>
    </w:p>
    <w:p w14:paraId="031592E5" w14:textId="77777777" w:rsidR="00505F06" w:rsidRPr="00A24E7E" w:rsidRDefault="00505F06" w:rsidP="00441B6F">
      <w:pPr>
        <w:pStyle w:val="Body"/>
        <w:spacing w:after="0"/>
        <w:rPr>
          <w:rFonts w:ascii="Arial" w:hAnsi="Arial" w:cs="Arial"/>
          <w:i/>
        </w:rPr>
      </w:pPr>
    </w:p>
    <w:p w14:paraId="6DB1042D" w14:textId="77777777" w:rsidR="007F7B32" w:rsidRDefault="00902823" w:rsidP="006670CD">
      <w:pPr>
        <w:pStyle w:val="AbstHead"/>
        <w:spacing w:after="0"/>
        <w:jc w:val="right"/>
        <w:rPr>
          <w:rFonts w:ascii="Arial" w:hAnsi="Arial" w:cs="Arial"/>
        </w:rPr>
      </w:pPr>
      <w:r>
        <w:rPr>
          <w:rFonts w:ascii="Arial" w:hAnsi="Arial" w:cs="Arial"/>
        </w:rPr>
        <w:t xml:space="preserve">1. </w:t>
      </w:r>
      <w:r w:rsidR="00B01FCD" w:rsidRPr="00FB3A86">
        <w:rPr>
          <w:rFonts w:ascii="Arial" w:hAnsi="Arial" w:cs="Arial"/>
        </w:rPr>
        <w:t>INTRODUCTION</w:t>
      </w:r>
    </w:p>
    <w:p w14:paraId="3AFA19E7" w14:textId="39582021" w:rsidR="00D12AE8" w:rsidRPr="00D12AE8" w:rsidRDefault="00D12AE8" w:rsidP="006670CD">
      <w:pPr>
        <w:pStyle w:val="Body"/>
        <w:ind w:firstLine="720"/>
        <w:rPr>
          <w:rFonts w:ascii="Arial" w:eastAsia="Calibri" w:hAnsi="Arial" w:cs="Arial"/>
          <w:szCs w:val="22"/>
          <w:lang w:val="fr-FR"/>
        </w:rPr>
      </w:pPr>
      <w:r w:rsidRPr="00D12AE8">
        <w:rPr>
          <w:rFonts w:ascii="Arial" w:eastAsia="Calibri" w:hAnsi="Arial" w:cs="Arial"/>
          <w:szCs w:val="22"/>
          <w:lang w:val="fr-FR"/>
        </w:rPr>
        <w:t xml:space="preserve">The global health landscape is increasingly defined by the paradoxical challenge of the double burden of malnutrition, characterized by the coexistence of undernutrition and overnutrition, often within the same communities and even households </w:t>
      </w:r>
      <w:r w:rsidR="00510C11">
        <w:rPr>
          <w:rFonts w:ascii="Arial" w:eastAsia="Calibri" w:hAnsi="Arial" w:cs="Arial"/>
          <w:szCs w:val="22"/>
          <w:lang w:val="fr-FR"/>
        </w:rPr>
        <w:t>(</w:t>
      </w:r>
      <w:r w:rsidRPr="00D12AE8">
        <w:rPr>
          <w:rFonts w:ascii="Arial" w:eastAsia="Calibri" w:hAnsi="Arial" w:cs="Arial"/>
          <w:szCs w:val="22"/>
          <w:lang w:val="fr-FR"/>
        </w:rPr>
        <w:t>Popkin et al., 2020</w:t>
      </w:r>
      <w:r w:rsidR="00510C11">
        <w:rPr>
          <w:rFonts w:ascii="Arial" w:eastAsia="Calibri" w:hAnsi="Arial" w:cs="Arial"/>
          <w:szCs w:val="22"/>
          <w:lang w:val="fr-FR"/>
        </w:rPr>
        <w:t>)</w:t>
      </w:r>
      <w:r w:rsidRPr="00D12AE8">
        <w:rPr>
          <w:rFonts w:ascii="Arial" w:eastAsia="Calibri" w:hAnsi="Arial" w:cs="Arial"/>
          <w:szCs w:val="22"/>
          <w:lang w:val="fr-FR"/>
        </w:rPr>
        <w:t xml:space="preserve">. This nutritional dichotomy is particularly acute in sub-Saharan Africa, where chronic micronutrient deficiencies, or "hidden hunger," persist alongside rising rates of diet-related non-communicable diseases, </w:t>
      </w:r>
      <w:r w:rsidR="00510C11">
        <w:rPr>
          <w:rFonts w:ascii="Arial" w:eastAsia="Calibri" w:hAnsi="Arial" w:cs="Arial"/>
          <w:szCs w:val="22"/>
          <w:lang w:val="fr-FR"/>
        </w:rPr>
        <w:t>(</w:t>
      </w:r>
      <w:r w:rsidRPr="00D12AE8">
        <w:rPr>
          <w:rFonts w:ascii="Arial" w:eastAsia="Calibri" w:hAnsi="Arial" w:cs="Arial"/>
          <w:szCs w:val="22"/>
          <w:lang w:val="fr-FR"/>
        </w:rPr>
        <w:t>Field et al., 2022 ; Gerrano et al., 2022 ; He &amp; MacGregor</w:t>
      </w:r>
      <w:r w:rsidR="0062050B">
        <w:rPr>
          <w:rFonts w:ascii="Arial" w:eastAsia="Calibri" w:hAnsi="Arial" w:cs="Arial"/>
          <w:szCs w:val="22"/>
          <w:lang w:val="fr-FR"/>
        </w:rPr>
        <w:t>, 2008 : Kunyanga et al., 2013 </w:t>
      </w:r>
      <w:r w:rsidRPr="00D12AE8">
        <w:rPr>
          <w:rFonts w:ascii="Arial" w:eastAsia="Calibri" w:hAnsi="Arial" w:cs="Arial"/>
          <w:szCs w:val="22"/>
          <w:lang w:val="fr-FR"/>
        </w:rPr>
        <w:t>; Li &amp; Shah, 2016</w:t>
      </w:r>
      <w:r w:rsidR="00510C11">
        <w:rPr>
          <w:rFonts w:ascii="Arial" w:eastAsia="Calibri" w:hAnsi="Arial" w:cs="Arial"/>
          <w:szCs w:val="22"/>
          <w:lang w:val="fr-FR"/>
        </w:rPr>
        <w:t>(</w:t>
      </w:r>
    </w:p>
    <w:p w14:paraId="27C07E86" w14:textId="77777777" w:rsidR="00D12AE8" w:rsidRPr="00D12AE8" w:rsidRDefault="00D12AE8" w:rsidP="006670CD">
      <w:pPr>
        <w:pStyle w:val="Body"/>
        <w:ind w:firstLine="720"/>
        <w:rPr>
          <w:rFonts w:ascii="Arial" w:eastAsia="Calibri" w:hAnsi="Arial" w:cs="Arial"/>
          <w:szCs w:val="22"/>
          <w:lang w:val="fr-FR"/>
        </w:rPr>
      </w:pPr>
      <w:r w:rsidRPr="00D12AE8">
        <w:rPr>
          <w:rFonts w:ascii="Arial" w:eastAsia="Calibri" w:hAnsi="Arial" w:cs="Arial"/>
          <w:szCs w:val="22"/>
          <w:lang w:val="fr-FR"/>
        </w:rPr>
        <w:t xml:space="preserve"> In Togo, this complex issue is </w:t>
      </w:r>
      <w:proofErr w:type="gramStart"/>
      <w:r w:rsidRPr="00D12AE8">
        <w:rPr>
          <w:rFonts w:ascii="Arial" w:eastAsia="Calibri" w:hAnsi="Arial" w:cs="Arial"/>
          <w:szCs w:val="22"/>
          <w:lang w:val="fr-FR"/>
        </w:rPr>
        <w:t>palpable;</w:t>
      </w:r>
      <w:proofErr w:type="gramEnd"/>
      <w:r w:rsidRPr="00D12AE8">
        <w:rPr>
          <w:rFonts w:ascii="Arial" w:eastAsia="Calibri" w:hAnsi="Arial" w:cs="Arial"/>
          <w:szCs w:val="22"/>
          <w:lang w:val="fr-FR"/>
        </w:rPr>
        <w:t xml:space="preserve"> despite a rich national agrobiodiversity, an estimated 386,000 people faced acute food insecurity between June and August 2022 </w:t>
      </w:r>
      <w:r w:rsidR="00510C11">
        <w:rPr>
          <w:rFonts w:ascii="Arial" w:eastAsia="Calibri" w:hAnsi="Arial" w:cs="Arial"/>
          <w:szCs w:val="22"/>
          <w:lang w:val="fr-FR"/>
        </w:rPr>
        <w:t>(</w:t>
      </w:r>
      <w:r w:rsidRPr="00D12AE8">
        <w:rPr>
          <w:rFonts w:ascii="Arial" w:eastAsia="Calibri" w:hAnsi="Arial" w:cs="Arial"/>
          <w:szCs w:val="22"/>
          <w:lang w:val="fr-FR"/>
        </w:rPr>
        <w:t>FAO, 2022</w:t>
      </w:r>
      <w:r w:rsidR="00510C11">
        <w:rPr>
          <w:rFonts w:ascii="Arial" w:eastAsia="Calibri" w:hAnsi="Arial" w:cs="Arial"/>
          <w:szCs w:val="22"/>
          <w:lang w:val="fr-FR"/>
        </w:rPr>
        <w:t>)</w:t>
      </w:r>
      <w:r w:rsidRPr="00D12AE8">
        <w:rPr>
          <w:rFonts w:ascii="Arial" w:eastAsia="Calibri" w:hAnsi="Arial" w:cs="Arial"/>
          <w:szCs w:val="22"/>
          <w:lang w:val="fr-FR"/>
        </w:rPr>
        <w:t xml:space="preserve">. Such statistics underscore the urgent need for sustainable, culturally appropriate, and cost-effective nutritional strategies. A promising avenue lies in the scientific valorization of locally available but often overlooked food resources, particularly Neglected and Underutilized Species (NUS), which represent a reservoir of essential nutrients capable of diversifying diets and enhancing food system resilience </w:t>
      </w:r>
      <w:r w:rsidR="00510C11">
        <w:rPr>
          <w:rFonts w:ascii="Arial" w:eastAsia="Calibri" w:hAnsi="Arial" w:cs="Arial"/>
          <w:szCs w:val="22"/>
          <w:lang w:val="fr-FR"/>
        </w:rPr>
        <w:t>(</w:t>
      </w:r>
      <w:r w:rsidRPr="00D12AE8">
        <w:rPr>
          <w:rFonts w:ascii="Arial" w:eastAsia="Calibri" w:hAnsi="Arial" w:cs="Arial"/>
          <w:szCs w:val="22"/>
          <w:lang w:val="fr-FR"/>
        </w:rPr>
        <w:t xml:space="preserve">Chivenge et al., </w:t>
      </w:r>
      <w:proofErr w:type="gramStart"/>
      <w:r w:rsidRPr="00D12AE8">
        <w:rPr>
          <w:rFonts w:ascii="Arial" w:eastAsia="Calibri" w:hAnsi="Arial" w:cs="Arial"/>
          <w:szCs w:val="22"/>
          <w:lang w:val="fr-FR"/>
        </w:rPr>
        <w:t>2015;</w:t>
      </w:r>
      <w:proofErr w:type="gramEnd"/>
      <w:r w:rsidRPr="00D12AE8">
        <w:rPr>
          <w:rFonts w:ascii="Arial" w:eastAsia="Calibri" w:hAnsi="Arial" w:cs="Arial"/>
          <w:szCs w:val="22"/>
          <w:lang w:val="fr-FR"/>
        </w:rPr>
        <w:t xml:space="preserve"> Akpavi et al., 2008</w:t>
      </w:r>
      <w:r w:rsidR="00510C11">
        <w:rPr>
          <w:rFonts w:ascii="Arial" w:eastAsia="Calibri" w:hAnsi="Arial" w:cs="Arial"/>
          <w:szCs w:val="22"/>
          <w:lang w:val="fr-FR"/>
        </w:rPr>
        <w:t>)</w:t>
      </w:r>
      <w:r w:rsidRPr="00D12AE8">
        <w:rPr>
          <w:rFonts w:ascii="Arial" w:eastAsia="Calibri" w:hAnsi="Arial" w:cs="Arial"/>
          <w:szCs w:val="22"/>
          <w:lang w:val="fr-FR"/>
        </w:rPr>
        <w:t>.</w:t>
      </w:r>
    </w:p>
    <w:p w14:paraId="1EC298B9" w14:textId="125F7625" w:rsidR="00D12AE8" w:rsidRPr="00D12AE8" w:rsidRDefault="00D12AE8" w:rsidP="006670CD">
      <w:pPr>
        <w:pStyle w:val="Body"/>
        <w:spacing w:after="0"/>
        <w:ind w:firstLine="720"/>
        <w:rPr>
          <w:rFonts w:ascii="Arial" w:eastAsia="Calibri" w:hAnsi="Arial" w:cs="Arial"/>
          <w:szCs w:val="22"/>
          <w:lang w:val="fr-FR"/>
        </w:rPr>
      </w:pPr>
      <w:r w:rsidRPr="00D12AE8">
        <w:rPr>
          <w:rFonts w:ascii="Arial" w:eastAsia="Calibri" w:hAnsi="Arial" w:cs="Arial"/>
          <w:szCs w:val="22"/>
          <w:lang w:val="fr-FR"/>
        </w:rPr>
        <w:lastRenderedPageBreak/>
        <w:t xml:space="preserve">Among these underutilized resources, </w:t>
      </w:r>
      <w:r w:rsidR="009A395D" w:rsidRPr="009A395D">
        <w:rPr>
          <w:rFonts w:ascii="Arial" w:eastAsia="Calibri" w:hAnsi="Arial" w:cs="Arial"/>
          <w:i/>
          <w:szCs w:val="22"/>
          <w:lang w:val="fr-FR"/>
        </w:rPr>
        <w:t>Cajanus cajan</w:t>
      </w:r>
      <w:r w:rsidRPr="00D12AE8">
        <w:rPr>
          <w:rFonts w:ascii="Arial" w:eastAsia="Calibri" w:hAnsi="Arial" w:cs="Arial"/>
          <w:szCs w:val="22"/>
          <w:lang w:val="fr-FR"/>
        </w:rPr>
        <w:t xml:space="preserve"> (L.) Millsp., commonly known as pigeon pea, holds significant promise. Globally recognized as the sixth most important grain legume, its seeds are a well-established source of dietary protein and calories, contributing significantly to food security in tropical and semi-arid regions </w:t>
      </w:r>
      <w:r w:rsidR="00510C11">
        <w:rPr>
          <w:rFonts w:ascii="Arial" w:eastAsia="Calibri" w:hAnsi="Arial" w:cs="Arial"/>
          <w:szCs w:val="22"/>
          <w:lang w:val="fr-FR"/>
        </w:rPr>
        <w:t>(</w:t>
      </w:r>
      <w:r w:rsidRPr="00D12AE8">
        <w:rPr>
          <w:rFonts w:ascii="Arial" w:eastAsia="Calibri" w:hAnsi="Arial" w:cs="Arial"/>
          <w:szCs w:val="22"/>
          <w:lang w:val="fr-FR"/>
        </w:rPr>
        <w:t xml:space="preserve">Fossou et al., </w:t>
      </w:r>
      <w:proofErr w:type="gramStart"/>
      <w:r w:rsidR="00E40985">
        <w:rPr>
          <w:rFonts w:ascii="Arial" w:eastAsia="Calibri" w:hAnsi="Arial" w:cs="Arial"/>
          <w:szCs w:val="22"/>
          <w:lang w:val="fr-FR"/>
        </w:rPr>
        <w:t xml:space="preserve">2012 </w:t>
      </w:r>
      <w:r w:rsidR="00510C11">
        <w:rPr>
          <w:rFonts w:ascii="Arial" w:eastAsia="Calibri" w:hAnsi="Arial" w:cs="Arial"/>
          <w:szCs w:val="22"/>
          <w:lang w:val="fr-FR"/>
        </w:rPr>
        <w:t>)</w:t>
      </w:r>
      <w:proofErr w:type="gramEnd"/>
      <w:r w:rsidRPr="00D12AE8">
        <w:rPr>
          <w:rFonts w:ascii="Arial" w:eastAsia="Calibri" w:hAnsi="Arial" w:cs="Arial"/>
          <w:szCs w:val="22"/>
          <w:lang w:val="fr-FR"/>
        </w:rPr>
        <w:t>.</w:t>
      </w:r>
      <w:r w:rsidR="001509E4">
        <w:rPr>
          <w:rFonts w:ascii="Arial" w:eastAsia="Calibri" w:hAnsi="Arial" w:cs="Arial"/>
          <w:szCs w:val="22"/>
          <w:lang w:val="fr-FR"/>
        </w:rPr>
        <w:t xml:space="preserve"> </w:t>
      </w:r>
      <w:r w:rsidR="001509E4" w:rsidRPr="001509E4">
        <w:rPr>
          <w:highlight w:val="yellow"/>
        </w:rPr>
        <w:t xml:space="preserve">Recent studies have emphasized the role of underutilized species like </w:t>
      </w:r>
      <w:r w:rsidR="001509E4" w:rsidRPr="001509E4">
        <w:rPr>
          <w:i/>
          <w:iCs/>
          <w:highlight w:val="yellow"/>
        </w:rPr>
        <w:t>C. cajan</w:t>
      </w:r>
      <w:r w:rsidR="001509E4" w:rsidRPr="001509E4">
        <w:rPr>
          <w:highlight w:val="yellow"/>
        </w:rPr>
        <w:t xml:space="preserve"> in ensuring sustainable livelihoods and food security, particularly in West African countries like Togo (Palanga et al., 2025; Abebe, 2022).</w:t>
      </w:r>
      <w:r w:rsidRPr="00D12AE8">
        <w:rPr>
          <w:rFonts w:ascii="Arial" w:eastAsia="Calibri" w:hAnsi="Arial" w:cs="Arial"/>
          <w:szCs w:val="22"/>
          <w:lang w:val="fr-FR"/>
        </w:rPr>
        <w:t xml:space="preserve"> However, while the nutritional value of its grains is well-documented, the vast biomass of its leaves, often treated as agricultural residue, remains a largely unexplored resource in formal scientific literature, despite a strong cultural precedent for the consumption of legume leaves in the region. In Togolese culinary practices, for instance, the leaves of other common legumes, such as cowpea (Vigna unguiculata) and groundnut (Arachis hypogaea), are traditionally harvested and incorporated into nutrient-dense sauces that accompany staple foods </w:t>
      </w:r>
      <w:r w:rsidR="00510C11">
        <w:rPr>
          <w:rFonts w:ascii="Arial" w:eastAsia="Calibri" w:hAnsi="Arial" w:cs="Arial"/>
          <w:szCs w:val="22"/>
          <w:lang w:val="fr-FR"/>
        </w:rPr>
        <w:t>(</w:t>
      </w:r>
      <w:r w:rsidRPr="00D12AE8">
        <w:rPr>
          <w:rFonts w:ascii="Arial" w:eastAsia="Calibri" w:hAnsi="Arial" w:cs="Arial"/>
          <w:szCs w:val="22"/>
          <w:lang w:val="fr-FR"/>
        </w:rPr>
        <w:t xml:space="preserve">Padonou et al., </w:t>
      </w:r>
      <w:r w:rsidR="00D53E8A" w:rsidRPr="00D12AE8">
        <w:rPr>
          <w:rFonts w:ascii="Arial" w:eastAsia="Calibri" w:hAnsi="Arial" w:cs="Arial"/>
          <w:szCs w:val="22"/>
          <w:lang w:val="fr-FR"/>
        </w:rPr>
        <w:t>2021 ;</w:t>
      </w:r>
      <w:r w:rsidRPr="00D12AE8">
        <w:rPr>
          <w:rFonts w:ascii="Arial" w:eastAsia="Calibri" w:hAnsi="Arial" w:cs="Arial"/>
          <w:szCs w:val="22"/>
          <w:lang w:val="fr-FR"/>
        </w:rPr>
        <w:t xml:space="preserve"> Akebim et al., 2016</w:t>
      </w:r>
      <w:r w:rsidR="00510C11">
        <w:rPr>
          <w:rFonts w:ascii="Arial" w:eastAsia="Calibri" w:hAnsi="Arial" w:cs="Arial"/>
          <w:szCs w:val="22"/>
          <w:lang w:val="fr-FR"/>
        </w:rPr>
        <w:t>)</w:t>
      </w:r>
      <w:r w:rsidRPr="00D12AE8">
        <w:rPr>
          <w:rFonts w:ascii="Arial" w:eastAsia="Calibri" w:hAnsi="Arial" w:cs="Arial"/>
          <w:szCs w:val="22"/>
          <w:lang w:val="fr-FR"/>
        </w:rPr>
        <w:t xml:space="preserve">. Given that </w:t>
      </w:r>
      <w:r w:rsidR="009A395D" w:rsidRPr="009A395D">
        <w:rPr>
          <w:rFonts w:ascii="Arial" w:eastAsia="Calibri" w:hAnsi="Arial" w:cs="Arial"/>
          <w:i/>
          <w:szCs w:val="22"/>
          <w:lang w:val="fr-FR"/>
        </w:rPr>
        <w:t>C. cajan</w:t>
      </w:r>
      <w:r w:rsidRPr="00D12AE8">
        <w:rPr>
          <w:rFonts w:ascii="Arial" w:eastAsia="Calibri" w:hAnsi="Arial" w:cs="Arial"/>
          <w:szCs w:val="22"/>
          <w:lang w:val="fr-FR"/>
        </w:rPr>
        <w:t xml:space="preserve"> is a highly productive and drought-resistant legume, its abundant leaves represent a readily available, low-cost, and ecologically sustainable resource. Their valorization as a leafy vegetable aligns perfectly with existing dietary patterns, offering significant nutritional, economic, and ecological advantages. </w:t>
      </w:r>
      <w:r w:rsidR="00510C11">
        <w:rPr>
          <w:rFonts w:ascii="Arial" w:eastAsia="Calibri" w:hAnsi="Arial" w:cs="Arial"/>
          <w:szCs w:val="22"/>
          <w:lang w:val="fr-FR"/>
        </w:rPr>
        <w:t>(</w:t>
      </w:r>
      <w:r w:rsidRPr="00D12AE8">
        <w:rPr>
          <w:rFonts w:ascii="Arial" w:eastAsia="Calibri" w:hAnsi="Arial" w:cs="Arial"/>
          <w:szCs w:val="22"/>
          <w:lang w:val="fr-FR"/>
        </w:rPr>
        <w:t>Adeyeye, 2002 ; Adamu &amp; Oyetunde</w:t>
      </w:r>
      <w:r w:rsidR="009A298D">
        <w:rPr>
          <w:rFonts w:ascii="Arial" w:eastAsia="Calibri" w:hAnsi="Arial" w:cs="Arial"/>
          <w:szCs w:val="22"/>
          <w:lang w:val="fr-FR"/>
        </w:rPr>
        <w:t>, 2013 ; Adepoju et al., 2019 ;</w:t>
      </w:r>
      <w:r w:rsidRPr="00D12AE8">
        <w:rPr>
          <w:rFonts w:ascii="Arial" w:eastAsia="Calibri" w:hAnsi="Arial" w:cs="Arial"/>
          <w:szCs w:val="22"/>
          <w:lang w:val="fr-FR"/>
        </w:rPr>
        <w:t xml:space="preserve"> Anaemene, 2020</w:t>
      </w:r>
    </w:p>
    <w:p w14:paraId="2A69B3F8" w14:textId="77777777" w:rsidR="00D12AE8" w:rsidRDefault="00D12AE8" w:rsidP="00D12AE8">
      <w:pPr>
        <w:pStyle w:val="Body"/>
        <w:rPr>
          <w:rFonts w:ascii="Arial" w:eastAsia="Calibri" w:hAnsi="Arial" w:cs="Arial"/>
          <w:szCs w:val="22"/>
          <w:lang w:val="fr-FR"/>
        </w:rPr>
      </w:pPr>
    </w:p>
    <w:p w14:paraId="342A04DD" w14:textId="77777777" w:rsidR="002B76D7" w:rsidRDefault="002B76D7" w:rsidP="00D12AE8">
      <w:pPr>
        <w:pStyle w:val="Body"/>
        <w:rPr>
          <w:rFonts w:ascii="Arial" w:eastAsia="Calibri" w:hAnsi="Arial" w:cs="Arial"/>
          <w:szCs w:val="22"/>
          <w:lang w:val="fr-FR"/>
        </w:rPr>
      </w:pPr>
    </w:p>
    <w:p w14:paraId="4B096EF9" w14:textId="7E1940A0" w:rsidR="002B76D7" w:rsidRDefault="002B76D7" w:rsidP="00D12AE8">
      <w:pPr>
        <w:pStyle w:val="Body"/>
        <w:rPr>
          <w:rFonts w:ascii="Arial" w:eastAsia="Calibri" w:hAnsi="Arial" w:cs="Arial"/>
          <w:szCs w:val="22"/>
          <w:lang w:val="fr-FR"/>
        </w:rPr>
      </w:pPr>
      <w:r w:rsidRPr="00D12AE8">
        <w:rPr>
          <w:rFonts w:ascii="Arial" w:eastAsia="Calibri" w:hAnsi="Arial" w:cs="Arial"/>
          <w:szCs w:val="22"/>
          <w:lang w:val="fr-FR"/>
        </w:rPr>
        <w:t>This cultural context sharply highlights a critical research gap</w:t>
      </w:r>
      <w:r>
        <w:t xml:space="preserve">. Despite the established consumption of other legume leaves and the vast availability of </w:t>
      </w:r>
      <w:r w:rsidR="009A395D" w:rsidRPr="009A395D">
        <w:rPr>
          <w:i/>
          <w:iCs/>
        </w:rPr>
        <w:t>C. cajan</w:t>
      </w:r>
      <w:r>
        <w:t xml:space="preserve"> biomass in Togo </w:t>
      </w:r>
      <w:r w:rsidR="00510C11">
        <w:rPr>
          <w:rFonts w:ascii="Arial" w:eastAsia="Calibri" w:hAnsi="Arial" w:cs="Arial"/>
          <w:szCs w:val="22"/>
          <w:lang w:val="fr-FR"/>
        </w:rPr>
        <w:t>(</w:t>
      </w:r>
      <w:r w:rsidRPr="00D12AE8">
        <w:rPr>
          <w:rFonts w:ascii="Arial" w:eastAsia="Calibri" w:hAnsi="Arial" w:cs="Arial"/>
          <w:szCs w:val="22"/>
          <w:lang w:val="fr-FR"/>
        </w:rPr>
        <w:t>Metome et al., 2017</w:t>
      </w:r>
      <w:r w:rsidR="00510C11">
        <w:rPr>
          <w:rFonts w:ascii="Arial" w:eastAsia="Calibri" w:hAnsi="Arial" w:cs="Arial"/>
          <w:szCs w:val="22"/>
          <w:lang w:val="fr-FR"/>
        </w:rPr>
        <w:t>)</w:t>
      </w:r>
      <w:r>
        <w:t xml:space="preserve">, this species remains conspicuously absent from mainstream dietary recommendations. This disconnect stems primarily from a paucity of empirical data regarding its specific biochemical composition </w:t>
      </w:r>
      <w:r w:rsidR="00510C11">
        <w:rPr>
          <w:rFonts w:ascii="Arial" w:eastAsia="Calibri" w:hAnsi="Arial" w:cs="Arial"/>
          <w:szCs w:val="22"/>
          <w:lang w:val="fr-FR"/>
        </w:rPr>
        <w:t>(</w:t>
      </w:r>
      <w:r w:rsidRPr="00D12AE8">
        <w:rPr>
          <w:rFonts w:ascii="Arial" w:eastAsia="Calibri" w:hAnsi="Arial" w:cs="Arial"/>
          <w:szCs w:val="22"/>
          <w:lang w:val="fr-FR"/>
        </w:rPr>
        <w:t>Pal et al., 2011</w:t>
      </w:r>
      <w:r w:rsidR="00510C11">
        <w:rPr>
          <w:rFonts w:ascii="Arial" w:eastAsia="Calibri" w:hAnsi="Arial" w:cs="Arial"/>
          <w:szCs w:val="22"/>
          <w:lang w:val="fr-FR"/>
        </w:rPr>
        <w:t>)</w:t>
      </w:r>
      <w:r w:rsidRPr="00D12AE8">
        <w:rPr>
          <w:rFonts w:ascii="Arial" w:eastAsia="Calibri" w:hAnsi="Arial" w:cs="Arial"/>
          <w:szCs w:val="22"/>
          <w:lang w:val="fr-FR"/>
        </w:rPr>
        <w:t>.</w:t>
      </w:r>
      <w:r>
        <w:t xml:space="preserve"> While previous studies have briefly noted its nutritional potential or focused on medicinal applications </w:t>
      </w:r>
      <w:r w:rsidR="00510C11">
        <w:rPr>
          <w:rFonts w:ascii="Arial" w:eastAsia="Calibri" w:hAnsi="Arial" w:cs="Arial"/>
          <w:szCs w:val="22"/>
          <w:lang w:val="fr-FR"/>
        </w:rPr>
        <w:t>(</w:t>
      </w:r>
      <w:r w:rsidRPr="00D12AE8">
        <w:rPr>
          <w:rFonts w:ascii="Arial" w:eastAsia="Calibri" w:hAnsi="Arial" w:cs="Arial"/>
          <w:szCs w:val="22"/>
          <w:lang w:val="fr-FR"/>
        </w:rPr>
        <w:t>Dako et al., 2023</w:t>
      </w:r>
      <w:r w:rsidR="00510C11">
        <w:rPr>
          <w:rFonts w:ascii="Arial" w:eastAsia="Calibri" w:hAnsi="Arial" w:cs="Arial"/>
          <w:szCs w:val="22"/>
          <w:lang w:val="fr-FR"/>
        </w:rPr>
        <w:t>)</w:t>
      </w:r>
      <w:r>
        <w:t xml:space="preserve">, a comprehensive bromatological analysis of </w:t>
      </w:r>
      <w:r w:rsidR="009A395D" w:rsidRPr="009A395D">
        <w:rPr>
          <w:i/>
          <w:iCs/>
        </w:rPr>
        <w:t>C. cajan</w:t>
      </w:r>
      <w:r>
        <w:t xml:space="preserve"> leaves specifically targeted at human nutrition is lacking in the scientific literature. This knowledge gap has hindered the integration of </w:t>
      </w:r>
      <w:r w:rsidR="009A395D" w:rsidRPr="009A395D">
        <w:rPr>
          <w:i/>
          <w:iCs/>
        </w:rPr>
        <w:t>C. cajan</w:t>
      </w:r>
      <w:r>
        <w:t xml:space="preserve"> leaves into food security strategies, representing a missed opportunity to leverage a resilient local resource against hidden hunger </w:t>
      </w:r>
      <w:r w:rsidR="00510C11">
        <w:rPr>
          <w:rFonts w:ascii="Arial" w:eastAsia="Calibri" w:hAnsi="Arial" w:cs="Arial"/>
          <w:szCs w:val="22"/>
          <w:lang w:val="fr-FR"/>
        </w:rPr>
        <w:t>(</w:t>
      </w:r>
      <w:r w:rsidR="00DE60F0">
        <w:rPr>
          <w:rFonts w:ascii="Arial" w:eastAsia="Calibri" w:hAnsi="Arial" w:cs="Arial"/>
          <w:szCs w:val="22"/>
          <w:lang w:val="fr-FR"/>
        </w:rPr>
        <w:t xml:space="preserve">Eltayeb et al., </w:t>
      </w:r>
      <w:proofErr w:type="gramStart"/>
      <w:r w:rsidR="00DE60F0">
        <w:rPr>
          <w:rFonts w:ascii="Arial" w:eastAsia="Calibri" w:hAnsi="Arial" w:cs="Arial"/>
          <w:szCs w:val="22"/>
          <w:lang w:val="fr-FR"/>
        </w:rPr>
        <w:t>2010 </w:t>
      </w:r>
      <w:r w:rsidRPr="00D12AE8">
        <w:rPr>
          <w:rFonts w:ascii="Arial" w:eastAsia="Calibri" w:hAnsi="Arial" w:cs="Arial"/>
          <w:szCs w:val="22"/>
          <w:lang w:val="fr-FR"/>
        </w:rPr>
        <w:t>;</w:t>
      </w:r>
      <w:proofErr w:type="gramEnd"/>
      <w:r w:rsidRPr="00D12AE8">
        <w:rPr>
          <w:rFonts w:ascii="Arial" w:eastAsia="Calibri" w:hAnsi="Arial" w:cs="Arial"/>
          <w:szCs w:val="22"/>
          <w:lang w:val="fr-FR"/>
        </w:rPr>
        <w:t>: Atyqy, 2018 :; Dembele et al., 2019 : Babarinde et al., 2020 </w:t>
      </w:r>
      <w:r w:rsidR="00510C11">
        <w:rPr>
          <w:rFonts w:ascii="Arial" w:eastAsia="Calibri" w:hAnsi="Arial" w:cs="Arial"/>
          <w:szCs w:val="22"/>
          <w:lang w:val="fr-FR"/>
        </w:rPr>
        <w:t>)</w:t>
      </w:r>
      <w:r>
        <w:rPr>
          <w:rFonts w:ascii="Arial" w:eastAsia="Calibri" w:hAnsi="Arial" w:cs="Arial"/>
          <w:szCs w:val="22"/>
          <w:lang w:val="fr-FR"/>
        </w:rPr>
        <w:t>.</w:t>
      </w:r>
    </w:p>
    <w:p w14:paraId="43F31462" w14:textId="14BBB02E" w:rsidR="00D12AE8" w:rsidRPr="00D12AE8" w:rsidRDefault="00D12AE8" w:rsidP="006670CD">
      <w:pPr>
        <w:pStyle w:val="Body"/>
        <w:ind w:firstLine="720"/>
        <w:rPr>
          <w:rFonts w:ascii="Arial" w:eastAsia="Calibri" w:hAnsi="Arial" w:cs="Arial"/>
          <w:szCs w:val="22"/>
          <w:lang w:val="fr-FR"/>
        </w:rPr>
      </w:pPr>
      <w:r w:rsidRPr="00D12AE8">
        <w:rPr>
          <w:rFonts w:ascii="Arial" w:eastAsia="Calibri" w:hAnsi="Arial" w:cs="Arial"/>
          <w:szCs w:val="22"/>
          <w:lang w:val="fr-FR"/>
        </w:rPr>
        <w:t xml:space="preserve">This study was therefore designed to bridge this specific knowledge gap. The primary objective was to conduct a comprehensive bromatological and mineral analysis of </w:t>
      </w:r>
      <w:r w:rsidR="009A395D" w:rsidRPr="009A395D">
        <w:rPr>
          <w:rFonts w:ascii="Arial" w:eastAsia="Calibri" w:hAnsi="Arial" w:cs="Arial"/>
          <w:i/>
          <w:szCs w:val="22"/>
          <w:lang w:val="fr-FR"/>
        </w:rPr>
        <w:t>Cajanus cajan</w:t>
      </w:r>
      <w:r w:rsidRPr="00D12AE8">
        <w:rPr>
          <w:rFonts w:ascii="Arial" w:eastAsia="Calibri" w:hAnsi="Arial" w:cs="Arial"/>
          <w:szCs w:val="22"/>
          <w:lang w:val="fr-FR"/>
        </w:rPr>
        <w:t xml:space="preserve"> leaves harvested in Togo to determine their proximate composition (proteins, lipids, carbohydrates, and dietary fiber) and quantify key macro- and micro-minerals. By evaluating their potential contribution to the Recommended Daily Allowances (RDAs), this research aims to provide the robust empirical basis necessary for promoting these leaves as a locally available, low-cost, and nutrient-dense leafy vegetable, thereby contributing to the enhancement of dietary quality and nutritional security in Togo and similar contexts across West Africa.</w:t>
      </w:r>
    </w:p>
    <w:p w14:paraId="5F61C9D8" w14:textId="77777777" w:rsidR="00790ADA" w:rsidRPr="00FB3A86" w:rsidRDefault="00790ADA" w:rsidP="00441B6F">
      <w:pPr>
        <w:pStyle w:val="Body"/>
        <w:spacing w:after="0"/>
        <w:rPr>
          <w:rFonts w:ascii="Arial" w:hAnsi="Arial" w:cs="Arial"/>
        </w:rPr>
      </w:pPr>
    </w:p>
    <w:p w14:paraId="45893FEE" w14:textId="77777777" w:rsidR="00790ADA" w:rsidRPr="00FB3A86" w:rsidRDefault="00902823" w:rsidP="006670CD">
      <w:pPr>
        <w:pStyle w:val="AbstHead"/>
        <w:spacing w:after="0"/>
        <w:jc w:val="right"/>
        <w:rPr>
          <w:rFonts w:ascii="Arial" w:hAnsi="Arial" w:cs="Arial"/>
        </w:rPr>
      </w:pPr>
      <w:r>
        <w:rPr>
          <w:rFonts w:ascii="Arial" w:hAnsi="Arial" w:cs="Arial"/>
        </w:rPr>
        <w:t>2. material and method</w:t>
      </w:r>
      <w:r w:rsidR="00000F8F">
        <w:rPr>
          <w:rFonts w:ascii="Arial" w:hAnsi="Arial" w:cs="Arial"/>
        </w:rPr>
        <w:t xml:space="preserve">s </w:t>
      </w:r>
    </w:p>
    <w:p w14:paraId="3D666CD8" w14:textId="77777777" w:rsidR="00AF2AD7" w:rsidRPr="006670CD" w:rsidRDefault="00AF2AD7" w:rsidP="006670CD">
      <w:pPr>
        <w:pStyle w:val="Body"/>
        <w:jc w:val="right"/>
        <w:rPr>
          <w:rFonts w:ascii="Arial" w:hAnsi="Arial" w:cs="Arial"/>
          <w:b/>
          <w:bCs/>
          <w:sz w:val="22"/>
          <w:lang w:val="en-IE"/>
        </w:rPr>
      </w:pPr>
      <w:r w:rsidRPr="006670CD">
        <w:rPr>
          <w:rFonts w:ascii="Arial" w:hAnsi="Arial" w:cs="Arial"/>
          <w:b/>
          <w:bCs/>
          <w:sz w:val="22"/>
          <w:lang w:val="en-IE"/>
        </w:rPr>
        <w:t>Type and setting of study</w:t>
      </w:r>
    </w:p>
    <w:p w14:paraId="1D6A7D14" w14:textId="77777777" w:rsidR="00AF2AD7" w:rsidRDefault="00AF2AD7" w:rsidP="00AF2AD7">
      <w:pPr>
        <w:pStyle w:val="Body"/>
        <w:spacing w:after="0"/>
        <w:rPr>
          <w:rFonts w:ascii="Arial" w:hAnsi="Arial" w:cs="Arial"/>
          <w:lang w:val="fr-FR"/>
        </w:rPr>
      </w:pPr>
      <w:r w:rsidRPr="00AF2AD7">
        <w:rPr>
          <w:rFonts w:ascii="Arial" w:hAnsi="Arial" w:cs="Arial"/>
          <w:lang w:val="fr-FR"/>
        </w:rPr>
        <w:t>The present study was analytical in nature. It was carried out at the Institut Togolais de Recherches Agronomiques (ITRA) and at the Biochemistry Department of the Faculty of Science of the University of Lomé for the evaluation of nutritional potential.</w:t>
      </w:r>
    </w:p>
    <w:p w14:paraId="194D1D3E" w14:textId="77777777" w:rsidR="00B82BB7" w:rsidRPr="00AF2AD7" w:rsidRDefault="00B82BB7" w:rsidP="00AF2AD7">
      <w:pPr>
        <w:pStyle w:val="Body"/>
        <w:spacing w:after="0"/>
        <w:rPr>
          <w:rFonts w:ascii="Arial" w:hAnsi="Arial" w:cs="Arial"/>
          <w:lang w:val="fr-FR"/>
        </w:rPr>
      </w:pPr>
    </w:p>
    <w:p w14:paraId="3E67971C" w14:textId="77777777" w:rsidR="00AF2AD7" w:rsidRPr="00B82BB7" w:rsidRDefault="00AF2AD7" w:rsidP="00B82BB7">
      <w:pPr>
        <w:pStyle w:val="Body"/>
        <w:spacing w:after="0"/>
        <w:jc w:val="right"/>
        <w:rPr>
          <w:rFonts w:ascii="Arial" w:hAnsi="Arial" w:cs="Arial"/>
          <w:b/>
          <w:sz w:val="22"/>
          <w:lang w:val="fr-FR"/>
        </w:rPr>
      </w:pPr>
      <w:r w:rsidRPr="00B82BB7">
        <w:rPr>
          <w:rFonts w:ascii="Arial" w:hAnsi="Arial" w:cs="Arial"/>
          <w:b/>
          <w:sz w:val="22"/>
          <w:lang w:val="fr-FR"/>
        </w:rPr>
        <w:t>Plant material collection and preparation</w:t>
      </w:r>
    </w:p>
    <w:p w14:paraId="271CE0DE" w14:textId="0162F2E0" w:rsidR="00AF2AD7" w:rsidRPr="00AF2AD7" w:rsidRDefault="00AF2AD7" w:rsidP="00AF2AD7">
      <w:pPr>
        <w:pStyle w:val="Body"/>
        <w:spacing w:after="0"/>
        <w:rPr>
          <w:rFonts w:ascii="Arial" w:hAnsi="Arial" w:cs="Arial"/>
          <w:lang w:val="fr-FR"/>
        </w:rPr>
      </w:pPr>
      <w:r w:rsidRPr="00AF2AD7">
        <w:rPr>
          <w:rFonts w:ascii="Arial" w:hAnsi="Arial" w:cs="Arial"/>
          <w:lang w:val="fr-FR"/>
        </w:rPr>
        <w:lastRenderedPageBreak/>
        <w:t xml:space="preserve">Fresh leaves of </w:t>
      </w:r>
      <w:r w:rsidR="009A395D" w:rsidRPr="009A395D">
        <w:rPr>
          <w:rFonts w:ascii="Arial" w:hAnsi="Arial" w:cs="Arial"/>
          <w:i/>
          <w:iCs/>
          <w:lang w:val="fr-FR"/>
        </w:rPr>
        <w:t>Cajanus cajan</w:t>
      </w:r>
      <w:r w:rsidRPr="00AF2AD7">
        <w:rPr>
          <w:rFonts w:ascii="Arial" w:hAnsi="Arial" w:cs="Arial"/>
          <w:lang w:val="fr-FR"/>
        </w:rPr>
        <w:t xml:space="preserve"> were harvested in the morning from a field located at the University of Lomé, Togo (Geographical coordinates : 06°10'55.48" N, 01°12'33.59" E). The plant species was authenticated and formally identified at the herbarium of the University of Lomé, where a voucher specimen was deposited under the reference number TOGO15795.</w:t>
      </w:r>
    </w:p>
    <w:p w14:paraId="19EB7A5E"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Following the harvest, the leaves were meticulously washed with tap water to remove any debris and subsequently air-dried under ambient laboratory conditions, shielded from direct sunlight to prevent photodegradation of sensitive compounds. The drying process was continued for one week until the leaves were brittle. The dried leaves were then pulverized into a fine, homogeneous powder using a mechanical grinder and sieved to achieve a particle size of less than 0.5 mm. This powdered sample was stored in an airtight, labeled polypropylene container at room temperature, protected from light and humidity until required for biochemical analysis.</w:t>
      </w:r>
    </w:p>
    <w:p w14:paraId="79C23A31" w14:textId="77777777" w:rsidR="00AF2AD7" w:rsidRPr="00B82BB7" w:rsidRDefault="00AF2AD7" w:rsidP="00B82BB7">
      <w:pPr>
        <w:pStyle w:val="Body"/>
        <w:spacing w:after="0"/>
        <w:jc w:val="right"/>
        <w:rPr>
          <w:rFonts w:ascii="Arial" w:hAnsi="Arial" w:cs="Arial"/>
          <w:b/>
          <w:sz w:val="22"/>
          <w:lang w:val="fr-FR"/>
        </w:rPr>
      </w:pPr>
      <w:r w:rsidRPr="00B82BB7">
        <w:rPr>
          <w:rFonts w:ascii="Arial" w:hAnsi="Arial" w:cs="Arial"/>
          <w:b/>
          <w:sz w:val="22"/>
          <w:lang w:val="fr-FR"/>
        </w:rPr>
        <w:t>Proximate composition analysis</w:t>
      </w:r>
    </w:p>
    <w:p w14:paraId="2B3F6609" w14:textId="77777777" w:rsidR="00AF2AD7" w:rsidRDefault="00AF2AD7" w:rsidP="00AF2AD7">
      <w:pPr>
        <w:pStyle w:val="Body"/>
        <w:spacing w:after="0"/>
        <w:rPr>
          <w:rFonts w:ascii="Arial" w:hAnsi="Arial" w:cs="Arial"/>
          <w:lang w:val="fr-FR"/>
        </w:rPr>
      </w:pPr>
      <w:r w:rsidRPr="00AF2AD7">
        <w:rPr>
          <w:rFonts w:ascii="Arial" w:hAnsi="Arial" w:cs="Arial"/>
          <w:lang w:val="fr-FR"/>
        </w:rPr>
        <w:t>All proximate analyses were conducted in triplicate following the standard procedures of the Association of Official Analytical Chemists (AOAC).</w:t>
      </w:r>
    </w:p>
    <w:p w14:paraId="3A3A210A" w14:textId="77777777" w:rsidR="002B5363" w:rsidRDefault="002B5363" w:rsidP="00AF2AD7">
      <w:pPr>
        <w:pStyle w:val="Body"/>
        <w:spacing w:after="0"/>
        <w:rPr>
          <w:rFonts w:ascii="Arial" w:hAnsi="Arial" w:cs="Arial"/>
          <w:lang w:val="fr-FR"/>
        </w:rPr>
      </w:pPr>
    </w:p>
    <w:p w14:paraId="63125832" w14:textId="77777777" w:rsidR="002B5363" w:rsidRPr="00AF2AD7" w:rsidRDefault="002B5363" w:rsidP="00AF2AD7">
      <w:pPr>
        <w:pStyle w:val="Body"/>
        <w:spacing w:after="0"/>
        <w:rPr>
          <w:rFonts w:ascii="Arial" w:hAnsi="Arial" w:cs="Arial"/>
          <w:lang w:val="fr-FR"/>
        </w:rPr>
      </w:pPr>
    </w:p>
    <w:p w14:paraId="51CE4EA7" w14:textId="77777777" w:rsidR="00AF2AD7" w:rsidRPr="00B82BB7" w:rsidRDefault="00AF2AD7" w:rsidP="00B82BB7">
      <w:pPr>
        <w:pStyle w:val="Body"/>
        <w:spacing w:after="0"/>
        <w:jc w:val="right"/>
        <w:rPr>
          <w:rFonts w:ascii="Arial" w:hAnsi="Arial" w:cs="Arial"/>
          <w:b/>
          <w:i/>
          <w:iCs/>
          <w:lang w:val="fr-FR"/>
        </w:rPr>
      </w:pPr>
      <w:r w:rsidRPr="00B82BB7">
        <w:rPr>
          <w:rFonts w:ascii="Arial" w:hAnsi="Arial" w:cs="Arial"/>
          <w:b/>
          <w:i/>
          <w:iCs/>
          <w:lang w:val="fr-FR"/>
        </w:rPr>
        <w:t>Moisture and dry matter content</w:t>
      </w:r>
    </w:p>
    <w:p w14:paraId="72AC4A5C"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 xml:space="preserve">The moisture content was determined using the gravimetric method. Approximately 5 g of the fresh leaf sample was accurately weighed into a pre-weighed, dry crucible. </w:t>
      </w:r>
      <w:r w:rsidR="002B5363" w:rsidRPr="002B5363">
        <w:rPr>
          <w:rFonts w:ascii="Arial" w:hAnsi="Arial" w:cs="Arial"/>
          <w:lang w:val="fr-FR"/>
        </w:rPr>
        <w:t>Moisture content was determined gravimetrically by drying samples at 103 ± 2°C until a constant weight was</w:t>
      </w:r>
      <w:r w:rsidRPr="002B5363">
        <w:rPr>
          <w:rFonts w:ascii="Arial" w:hAnsi="Arial" w:cs="Arial"/>
          <w:lang w:val="fr-FR"/>
        </w:rPr>
        <w:t>.</w:t>
      </w:r>
      <w:r w:rsidRPr="00AF2AD7">
        <w:rPr>
          <w:rFonts w:ascii="Arial" w:hAnsi="Arial" w:cs="Arial"/>
          <w:lang w:val="fr-FR"/>
        </w:rPr>
        <w:t xml:space="preserve"> After drying, the sample was cooled to room temperature in a desiccator and reweighed. The moisture content was calculated as the percentage loss in weight. The total dry matter (DM) content was subsequently determined by subtracting the percentage moisture content from 100.</w:t>
      </w:r>
    </w:p>
    <w:p w14:paraId="56ADA8A0" w14:textId="47B2AC7F" w:rsidR="00AF2AD7" w:rsidRPr="00B82BB7" w:rsidRDefault="00BE453C" w:rsidP="00B82BB7">
      <w:pPr>
        <w:pStyle w:val="Body"/>
        <w:spacing w:after="0"/>
        <w:jc w:val="right"/>
        <w:rPr>
          <w:rFonts w:ascii="Arial" w:hAnsi="Arial" w:cs="Arial"/>
          <w:b/>
          <w:i/>
          <w:iCs/>
          <w:sz w:val="22"/>
          <w:lang w:val="fr-FR"/>
        </w:rPr>
      </w:pPr>
      <w:r>
        <w:rPr>
          <w:rFonts w:ascii="Arial" w:hAnsi="Arial" w:cs="Arial"/>
          <w:b/>
          <w:i/>
          <w:iCs/>
          <w:sz w:val="22"/>
          <w:lang w:val="fr-FR"/>
        </w:rPr>
        <w:t xml:space="preserve"> </w:t>
      </w:r>
      <w:proofErr w:type="gramStart"/>
      <w:r>
        <w:rPr>
          <w:rFonts w:ascii="Arial" w:hAnsi="Arial" w:cs="Arial"/>
          <w:b/>
          <w:i/>
          <w:iCs/>
          <w:sz w:val="22"/>
          <w:lang w:val="fr-FR"/>
        </w:rPr>
        <w:t>crude</w:t>
      </w:r>
      <w:proofErr w:type="gramEnd"/>
      <w:r w:rsidR="00AF2AD7" w:rsidRPr="00B82BB7">
        <w:rPr>
          <w:rFonts w:ascii="Arial" w:hAnsi="Arial" w:cs="Arial"/>
          <w:b/>
          <w:i/>
          <w:iCs/>
          <w:sz w:val="22"/>
          <w:lang w:val="fr-FR"/>
        </w:rPr>
        <w:t xml:space="preserve"> ash content</w:t>
      </w:r>
    </w:p>
    <w:p w14:paraId="5F2AF00B" w14:textId="3935B435" w:rsidR="00AF2AD7" w:rsidRPr="00AF2AD7" w:rsidRDefault="00AF2AD7" w:rsidP="00AF2AD7">
      <w:pPr>
        <w:pStyle w:val="Body"/>
        <w:spacing w:after="0"/>
        <w:rPr>
          <w:rFonts w:ascii="Arial" w:hAnsi="Arial" w:cs="Arial"/>
          <w:lang w:val="fr-FR"/>
        </w:rPr>
      </w:pPr>
      <w:r w:rsidRPr="00AF2AD7">
        <w:rPr>
          <w:rFonts w:ascii="Arial" w:hAnsi="Arial" w:cs="Arial"/>
          <w:lang w:val="fr-FR"/>
        </w:rPr>
        <w:t>The total mineral content was determined by ashing, following the procedure described by Lee et al. (2005</w:t>
      </w:r>
      <w:proofErr w:type="gramStart"/>
      <w:r w:rsidRPr="00AF2AD7">
        <w:rPr>
          <w:rFonts w:ascii="Arial" w:hAnsi="Arial" w:cs="Arial"/>
          <w:lang w:val="fr-FR"/>
        </w:rPr>
        <w:t>) .</w:t>
      </w:r>
      <w:proofErr w:type="gramEnd"/>
      <w:r w:rsidRPr="00AF2AD7">
        <w:rPr>
          <w:rFonts w:ascii="Arial" w:hAnsi="Arial" w:cs="Arial"/>
          <w:lang w:val="fr-FR"/>
        </w:rPr>
        <w:t xml:space="preserve"> Five grams of the dried leaf powder was weighed into a tared porcelain crucible and incinerated in a muffle furnace at 550 °C for 5 hours, until a white or greyish-white ash was obtained. The crucible was then cooled in a desiccator and weighed. </w:t>
      </w:r>
      <w:proofErr w:type="gramStart"/>
      <w:r w:rsidRPr="00AF2AD7">
        <w:rPr>
          <w:rFonts w:ascii="Arial" w:hAnsi="Arial" w:cs="Arial"/>
          <w:lang w:val="fr-FR"/>
        </w:rPr>
        <w:t xml:space="preserve">The </w:t>
      </w:r>
      <w:r w:rsidR="00BE453C">
        <w:rPr>
          <w:rFonts w:ascii="Arial" w:hAnsi="Arial" w:cs="Arial"/>
          <w:lang w:val="fr-FR"/>
        </w:rPr>
        <w:t xml:space="preserve"> crude</w:t>
      </w:r>
      <w:proofErr w:type="gramEnd"/>
      <w:r w:rsidRPr="00AF2AD7">
        <w:rPr>
          <w:rFonts w:ascii="Arial" w:hAnsi="Arial" w:cs="Arial"/>
          <w:lang w:val="fr-FR"/>
        </w:rPr>
        <w:t xml:space="preserve"> ash content was expressed as a percentage of the dry matter.</w:t>
      </w:r>
    </w:p>
    <w:p w14:paraId="0D47C1BF" w14:textId="6635CD39" w:rsidR="00AF2AD7" w:rsidRPr="009200A1" w:rsidRDefault="00BE453C" w:rsidP="00B82BB7">
      <w:pPr>
        <w:pStyle w:val="Body"/>
        <w:spacing w:after="0"/>
        <w:jc w:val="right"/>
        <w:rPr>
          <w:rFonts w:ascii="Arial" w:hAnsi="Arial" w:cs="Arial"/>
          <w:b/>
          <w:i/>
          <w:iCs/>
          <w:sz w:val="22"/>
          <w:lang w:val="fr-FR"/>
        </w:rPr>
      </w:pPr>
      <w:r>
        <w:rPr>
          <w:rFonts w:ascii="Arial" w:hAnsi="Arial" w:cs="Arial"/>
          <w:b/>
          <w:i/>
          <w:iCs/>
          <w:sz w:val="22"/>
          <w:lang w:val="fr-FR"/>
        </w:rPr>
        <w:t xml:space="preserve"> </w:t>
      </w:r>
      <w:proofErr w:type="gramStart"/>
      <w:r>
        <w:rPr>
          <w:rFonts w:ascii="Arial" w:hAnsi="Arial" w:cs="Arial"/>
          <w:b/>
          <w:i/>
          <w:iCs/>
          <w:sz w:val="22"/>
          <w:lang w:val="fr-FR"/>
        </w:rPr>
        <w:t>crude</w:t>
      </w:r>
      <w:proofErr w:type="gramEnd"/>
      <w:r w:rsidR="00AF2AD7" w:rsidRPr="009200A1">
        <w:rPr>
          <w:rFonts w:ascii="Arial" w:hAnsi="Arial" w:cs="Arial"/>
          <w:b/>
          <w:i/>
          <w:iCs/>
          <w:sz w:val="22"/>
          <w:lang w:val="fr-FR"/>
        </w:rPr>
        <w:t xml:space="preserve"> fat (lipid) content</w:t>
      </w:r>
    </w:p>
    <w:p w14:paraId="14E07782" w14:textId="6D7ED987" w:rsidR="00AF2AD7" w:rsidRPr="00AF2AD7" w:rsidRDefault="00BE453C" w:rsidP="00AF2AD7">
      <w:pPr>
        <w:pStyle w:val="Body"/>
        <w:spacing w:after="0"/>
        <w:rPr>
          <w:rFonts w:ascii="Arial" w:hAnsi="Arial" w:cs="Arial"/>
          <w:lang w:val="fr-FR"/>
        </w:rPr>
      </w:pPr>
      <w:r>
        <w:rPr>
          <w:rFonts w:ascii="Arial" w:hAnsi="Arial" w:cs="Arial"/>
          <w:lang w:val="fr-FR"/>
        </w:rPr>
        <w:t xml:space="preserve"> </w:t>
      </w:r>
      <w:proofErr w:type="gramStart"/>
      <w:r>
        <w:rPr>
          <w:rFonts w:ascii="Arial" w:hAnsi="Arial" w:cs="Arial"/>
          <w:lang w:val="fr-FR"/>
        </w:rPr>
        <w:t>crude</w:t>
      </w:r>
      <w:proofErr w:type="gramEnd"/>
      <w:r w:rsidR="00AF2AD7" w:rsidRPr="00AF2AD7">
        <w:rPr>
          <w:rFonts w:ascii="Arial" w:hAnsi="Arial" w:cs="Arial"/>
          <w:lang w:val="fr-FR"/>
        </w:rPr>
        <w:t xml:space="preserve"> fat was extracted from the sample using the Soxhlet extraction method. Five grams of the leaf powder was placed into a porous extraction thimble, which was plugged at both ends with defatted cotton wool. The thimble was inserted into a Soxhlet extractor, and the lipid fraction was extracted using n-hexane as the solvent at 45 °C for 12 hours. After extraction, the solvent was recovered using a rotary evaporator. The resulting flask containing the lipid extract was dried in an oven at 80 °C to remove residual solvent, cooled in a desiccator, and weighed to determine </w:t>
      </w:r>
      <w:proofErr w:type="gramStart"/>
      <w:r w:rsidR="00AF2AD7" w:rsidRPr="00AF2AD7">
        <w:rPr>
          <w:rFonts w:ascii="Arial" w:hAnsi="Arial" w:cs="Arial"/>
          <w:lang w:val="fr-FR"/>
        </w:rPr>
        <w:t xml:space="preserve">the </w:t>
      </w:r>
      <w:r>
        <w:rPr>
          <w:rFonts w:ascii="Arial" w:hAnsi="Arial" w:cs="Arial"/>
          <w:lang w:val="fr-FR"/>
        </w:rPr>
        <w:t xml:space="preserve"> crude</w:t>
      </w:r>
      <w:proofErr w:type="gramEnd"/>
      <w:r w:rsidR="00AF2AD7" w:rsidRPr="00AF2AD7">
        <w:rPr>
          <w:rFonts w:ascii="Arial" w:hAnsi="Arial" w:cs="Arial"/>
          <w:lang w:val="fr-FR"/>
        </w:rPr>
        <w:t xml:space="preserve"> fat content.</w:t>
      </w:r>
    </w:p>
    <w:p w14:paraId="025575C5" w14:textId="669EE1E9" w:rsidR="00AF2AD7" w:rsidRPr="00B82BB7" w:rsidRDefault="00BE453C" w:rsidP="00B82BB7">
      <w:pPr>
        <w:pStyle w:val="Body"/>
        <w:spacing w:after="0"/>
        <w:jc w:val="right"/>
        <w:rPr>
          <w:rFonts w:ascii="Arial" w:hAnsi="Arial" w:cs="Arial"/>
          <w:b/>
          <w:i/>
          <w:iCs/>
          <w:sz w:val="22"/>
          <w:lang w:val="fr-FR"/>
        </w:rPr>
      </w:pPr>
      <w:r>
        <w:rPr>
          <w:rFonts w:ascii="Arial" w:hAnsi="Arial" w:cs="Arial"/>
          <w:b/>
          <w:i/>
          <w:iCs/>
          <w:sz w:val="22"/>
          <w:lang w:val="fr-FR"/>
        </w:rPr>
        <w:t xml:space="preserve"> </w:t>
      </w:r>
      <w:proofErr w:type="gramStart"/>
      <w:r>
        <w:rPr>
          <w:rFonts w:ascii="Arial" w:hAnsi="Arial" w:cs="Arial"/>
          <w:b/>
          <w:i/>
          <w:iCs/>
          <w:sz w:val="22"/>
          <w:lang w:val="fr-FR"/>
        </w:rPr>
        <w:t>crude</w:t>
      </w:r>
      <w:proofErr w:type="gramEnd"/>
      <w:r w:rsidR="00AF2AD7" w:rsidRPr="00B82BB7">
        <w:rPr>
          <w:rFonts w:ascii="Arial" w:hAnsi="Arial" w:cs="Arial"/>
          <w:b/>
          <w:i/>
          <w:iCs/>
          <w:sz w:val="22"/>
          <w:lang w:val="fr-FR"/>
        </w:rPr>
        <w:t xml:space="preserve"> protein content</w:t>
      </w:r>
    </w:p>
    <w:p w14:paraId="2393BB3E" w14:textId="53A63E9A" w:rsidR="00AF2AD7" w:rsidRPr="00AF2AD7" w:rsidRDefault="00AF2AD7" w:rsidP="00AF2AD7">
      <w:pPr>
        <w:pStyle w:val="Body"/>
        <w:spacing w:after="0"/>
        <w:rPr>
          <w:rFonts w:ascii="Arial" w:hAnsi="Arial" w:cs="Arial"/>
          <w:lang w:val="fr-FR"/>
        </w:rPr>
      </w:pPr>
      <w:proofErr w:type="gramStart"/>
      <w:r w:rsidRPr="00AF2AD7">
        <w:rPr>
          <w:rFonts w:ascii="Arial" w:hAnsi="Arial" w:cs="Arial"/>
          <w:lang w:val="fr-FR"/>
        </w:rPr>
        <w:t xml:space="preserve">The </w:t>
      </w:r>
      <w:r w:rsidR="00BE453C">
        <w:rPr>
          <w:rFonts w:ascii="Arial" w:hAnsi="Arial" w:cs="Arial"/>
          <w:lang w:val="fr-FR"/>
        </w:rPr>
        <w:t xml:space="preserve"> crude</w:t>
      </w:r>
      <w:proofErr w:type="gramEnd"/>
      <w:r w:rsidRPr="00AF2AD7">
        <w:rPr>
          <w:rFonts w:ascii="Arial" w:hAnsi="Arial" w:cs="Arial"/>
          <w:lang w:val="fr-FR"/>
        </w:rPr>
        <w:t xml:space="preserve"> protein content was determined via the Kjeldahl method, which quantifies total organic nitrogen. This procedure involved three distinct </w:t>
      </w:r>
      <w:proofErr w:type="gramStart"/>
      <w:r w:rsidRPr="00AF2AD7">
        <w:rPr>
          <w:rFonts w:ascii="Arial" w:hAnsi="Arial" w:cs="Arial"/>
          <w:lang w:val="fr-FR"/>
        </w:rPr>
        <w:t>stages:</w:t>
      </w:r>
      <w:proofErr w:type="gramEnd"/>
    </w:p>
    <w:p w14:paraId="75830799" w14:textId="77777777" w:rsidR="00AF2AD7" w:rsidRPr="00AF2AD7" w:rsidRDefault="00AF2AD7" w:rsidP="00AF2AD7">
      <w:pPr>
        <w:pStyle w:val="Body"/>
        <w:spacing w:after="0"/>
        <w:rPr>
          <w:rFonts w:ascii="Arial" w:hAnsi="Arial" w:cs="Arial"/>
          <w:lang w:val="fr-FR"/>
        </w:rPr>
      </w:pPr>
      <w:proofErr w:type="gramStart"/>
      <w:r w:rsidRPr="00AF2AD7">
        <w:rPr>
          <w:rFonts w:ascii="Arial" w:hAnsi="Arial" w:cs="Arial"/>
          <w:bCs/>
          <w:lang w:val="fr-FR"/>
        </w:rPr>
        <w:t>Digestion:</w:t>
      </w:r>
      <w:proofErr w:type="gramEnd"/>
      <w:r w:rsidRPr="00AF2AD7">
        <w:rPr>
          <w:rFonts w:ascii="Arial" w:hAnsi="Arial" w:cs="Arial"/>
          <w:lang w:val="fr-FR"/>
        </w:rPr>
        <w:t xml:space="preserve"> The organic nitrogen in a weighed sample was converted to ammonium sulfate by boiling with concentrated sulfuric acid in the presence of a catalyst.</w:t>
      </w:r>
    </w:p>
    <w:p w14:paraId="3EC773C4" w14:textId="77777777" w:rsidR="00AF2AD7" w:rsidRPr="00AF2AD7" w:rsidRDefault="00AF2AD7" w:rsidP="00AF2AD7">
      <w:pPr>
        <w:pStyle w:val="Body"/>
        <w:spacing w:after="0"/>
        <w:rPr>
          <w:rFonts w:ascii="Arial" w:hAnsi="Arial" w:cs="Arial"/>
          <w:lang w:val="fr-FR"/>
        </w:rPr>
      </w:pPr>
      <w:proofErr w:type="gramStart"/>
      <w:r w:rsidRPr="00AF2AD7">
        <w:rPr>
          <w:rFonts w:ascii="Arial" w:hAnsi="Arial" w:cs="Arial"/>
          <w:bCs/>
          <w:lang w:val="fr-FR"/>
        </w:rPr>
        <w:t>Distillation:</w:t>
      </w:r>
      <w:proofErr w:type="gramEnd"/>
      <w:r w:rsidRPr="00AF2AD7">
        <w:rPr>
          <w:rFonts w:ascii="Arial" w:hAnsi="Arial" w:cs="Arial"/>
          <w:lang w:val="fr-FR"/>
        </w:rPr>
        <w:t xml:space="preserve"> The digested sample was made alkaline with sodium hydroxide, and the liberated ammonia was steam-distilled into a boric acid solution.</w:t>
      </w:r>
    </w:p>
    <w:p w14:paraId="04B0F15C" w14:textId="789E6D15" w:rsidR="00AF2AD7" w:rsidRPr="00AF2AD7" w:rsidRDefault="00AF2AD7" w:rsidP="00AF2AD7">
      <w:pPr>
        <w:pStyle w:val="Body"/>
        <w:spacing w:after="0"/>
        <w:rPr>
          <w:rFonts w:ascii="Arial" w:hAnsi="Arial" w:cs="Arial"/>
          <w:lang w:val="fr-FR"/>
        </w:rPr>
      </w:pPr>
      <w:proofErr w:type="gramStart"/>
      <w:r w:rsidRPr="00AF2AD7">
        <w:rPr>
          <w:rFonts w:ascii="Arial" w:hAnsi="Arial" w:cs="Arial"/>
          <w:bCs/>
          <w:lang w:val="fr-FR"/>
        </w:rPr>
        <w:t>Titration:</w:t>
      </w:r>
      <w:proofErr w:type="gramEnd"/>
      <w:r w:rsidRPr="00AF2AD7">
        <w:rPr>
          <w:rFonts w:ascii="Arial" w:hAnsi="Arial" w:cs="Arial"/>
          <w:lang w:val="fr-FR"/>
        </w:rPr>
        <w:t xml:space="preserve"> The ammonium borate formed was titrated with a standardized acid solution. The total nitrogen content was then calculated and converted </w:t>
      </w:r>
      <w:proofErr w:type="gramStart"/>
      <w:r w:rsidRPr="00AF2AD7">
        <w:rPr>
          <w:rFonts w:ascii="Arial" w:hAnsi="Arial" w:cs="Arial"/>
          <w:lang w:val="fr-FR"/>
        </w:rPr>
        <w:t xml:space="preserve">to </w:t>
      </w:r>
      <w:r w:rsidR="00BE453C">
        <w:rPr>
          <w:rFonts w:ascii="Arial" w:hAnsi="Arial" w:cs="Arial"/>
          <w:lang w:val="fr-FR"/>
        </w:rPr>
        <w:t xml:space="preserve"> crude</w:t>
      </w:r>
      <w:proofErr w:type="gramEnd"/>
      <w:r w:rsidRPr="00AF2AD7">
        <w:rPr>
          <w:rFonts w:ascii="Arial" w:hAnsi="Arial" w:cs="Arial"/>
          <w:lang w:val="fr-FR"/>
        </w:rPr>
        <w:t xml:space="preserve"> protein content by multiplying by the standard conversion factor of 6.25.</w:t>
      </w:r>
    </w:p>
    <w:p w14:paraId="13281105" w14:textId="77777777" w:rsidR="00AF2AD7" w:rsidRPr="00210038" w:rsidRDefault="00AF2AD7" w:rsidP="009200A1">
      <w:pPr>
        <w:pStyle w:val="Body"/>
        <w:spacing w:after="0"/>
        <w:jc w:val="right"/>
        <w:rPr>
          <w:rFonts w:ascii="Arial" w:hAnsi="Arial" w:cs="Arial"/>
          <w:b/>
          <w:i/>
          <w:iCs/>
          <w:sz w:val="22"/>
          <w:lang w:val="fr-FR"/>
        </w:rPr>
      </w:pPr>
      <w:r w:rsidRPr="00210038">
        <w:rPr>
          <w:rFonts w:ascii="Arial" w:hAnsi="Arial" w:cs="Arial"/>
          <w:b/>
          <w:i/>
          <w:iCs/>
          <w:sz w:val="22"/>
          <w:lang w:val="fr-FR"/>
        </w:rPr>
        <w:t>Dietary fiber content</w:t>
      </w:r>
    </w:p>
    <w:p w14:paraId="0321A1F2" w14:textId="38971F9D" w:rsidR="00AF2AD7" w:rsidRPr="00AF2AD7" w:rsidRDefault="00AF2AD7" w:rsidP="00AF2AD7">
      <w:pPr>
        <w:pStyle w:val="Body"/>
        <w:spacing w:after="0"/>
        <w:rPr>
          <w:rFonts w:ascii="Arial" w:hAnsi="Arial" w:cs="Arial"/>
          <w:lang w:val="fr-FR"/>
        </w:rPr>
      </w:pPr>
      <w:r w:rsidRPr="00AF2AD7">
        <w:rPr>
          <w:rFonts w:ascii="Arial" w:hAnsi="Arial" w:cs="Arial"/>
          <w:lang w:val="fr-FR"/>
        </w:rPr>
        <w:t xml:space="preserve">The dietary fiber content was determined according to the Weende method, which involves sequential acid and alkaline hydrolysis. Three grams of the defatted sample was boiled in 200 mL of 0.255 N sulfuric acid for 30 minutes. The mixture was filtered, and the residue was then </w:t>
      </w:r>
      <w:r w:rsidRPr="00AF2AD7">
        <w:rPr>
          <w:rFonts w:ascii="Arial" w:hAnsi="Arial" w:cs="Arial"/>
          <w:lang w:val="fr-FR"/>
        </w:rPr>
        <w:lastRenderedPageBreak/>
        <w:t>boiled in 200 mL of 0.313 N sodium hydroxide for another 30 minutes. The final indigestible residue was filtered, dried in an oven, weighed, and subsequently ashed in a muffle furnace. The dietary fiber content was calculated as the difference between the mass of the dried residue and the mass of the ash.</w:t>
      </w:r>
    </w:p>
    <w:p w14:paraId="3C4E6C13"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Determination of total carbohydrate content and energy value</w:t>
      </w:r>
    </w:p>
    <w:p w14:paraId="2794E05C" w14:textId="77777777" w:rsidR="00AF2AD7" w:rsidRPr="00210038" w:rsidRDefault="00AF2AD7" w:rsidP="009200A1">
      <w:pPr>
        <w:pStyle w:val="Body"/>
        <w:spacing w:after="0"/>
        <w:jc w:val="right"/>
        <w:rPr>
          <w:rFonts w:ascii="Arial" w:hAnsi="Arial" w:cs="Arial"/>
          <w:b/>
          <w:i/>
          <w:iCs/>
          <w:sz w:val="22"/>
          <w:lang w:val="fr-FR"/>
        </w:rPr>
      </w:pPr>
      <w:r w:rsidRPr="00210038">
        <w:rPr>
          <w:rFonts w:ascii="Arial" w:hAnsi="Arial" w:cs="Arial"/>
          <w:b/>
          <w:i/>
          <w:iCs/>
          <w:sz w:val="22"/>
          <w:lang w:val="fr-FR"/>
        </w:rPr>
        <w:t>Total carbohydrate content</w:t>
      </w:r>
    </w:p>
    <w:p w14:paraId="156FF088"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The total carbohydrate content was calculated by difference as the Nitrogen-Free Extract (NFE</w:t>
      </w:r>
      <w:proofErr w:type="gramStart"/>
      <w:r w:rsidRPr="00AF2AD7">
        <w:rPr>
          <w:rFonts w:ascii="Arial" w:hAnsi="Arial" w:cs="Arial"/>
          <w:lang w:val="fr-FR"/>
        </w:rPr>
        <w:t>):</w:t>
      </w:r>
      <w:proofErr w:type="gramEnd"/>
    </w:p>
    <w:p w14:paraId="026B5359" w14:textId="4298FEE7" w:rsidR="00AF2AD7" w:rsidRPr="00AF2AD7" w:rsidRDefault="00AF2AD7" w:rsidP="00AF2AD7">
      <w:pPr>
        <w:pStyle w:val="Body"/>
        <w:spacing w:after="0"/>
        <w:rPr>
          <w:rFonts w:ascii="Arial" w:hAnsi="Arial" w:cs="Arial"/>
          <w:lang w:val="fr-FR"/>
        </w:rPr>
      </w:pPr>
      <w:r w:rsidRPr="00AF2AD7">
        <w:rPr>
          <w:rFonts w:ascii="Arial" w:hAnsi="Arial" w:cs="Arial"/>
          <w:lang w:val="fr-FR"/>
        </w:rPr>
        <w:t>Total Carbohydrates (%) = 100 – (</w:t>
      </w:r>
      <w:proofErr w:type="gramStart"/>
      <w:r w:rsidRPr="00AF2AD7">
        <w:rPr>
          <w:rFonts w:ascii="Arial" w:hAnsi="Arial" w:cs="Arial"/>
          <w:lang w:val="fr-FR"/>
        </w:rPr>
        <w:t xml:space="preserve">% </w:t>
      </w:r>
      <w:r w:rsidR="00BE453C">
        <w:rPr>
          <w:rFonts w:ascii="Arial" w:hAnsi="Arial" w:cs="Arial"/>
          <w:lang w:val="fr-FR"/>
        </w:rPr>
        <w:t xml:space="preserve"> crude</w:t>
      </w:r>
      <w:proofErr w:type="gramEnd"/>
      <w:r w:rsidRPr="00AF2AD7">
        <w:rPr>
          <w:rFonts w:ascii="Arial" w:hAnsi="Arial" w:cs="Arial"/>
          <w:lang w:val="fr-FR"/>
        </w:rPr>
        <w:t xml:space="preserve"> protein + % </w:t>
      </w:r>
      <w:r w:rsidR="00BE453C">
        <w:rPr>
          <w:rFonts w:ascii="Arial" w:hAnsi="Arial" w:cs="Arial"/>
          <w:lang w:val="fr-FR"/>
        </w:rPr>
        <w:t xml:space="preserve"> crude</w:t>
      </w:r>
      <w:r w:rsidRPr="00AF2AD7">
        <w:rPr>
          <w:rFonts w:ascii="Arial" w:hAnsi="Arial" w:cs="Arial"/>
          <w:lang w:val="fr-FR"/>
        </w:rPr>
        <w:t xml:space="preserve"> fat + % </w:t>
      </w:r>
      <w:r w:rsidR="00BE453C">
        <w:rPr>
          <w:rFonts w:ascii="Arial" w:hAnsi="Arial" w:cs="Arial"/>
          <w:lang w:val="fr-FR"/>
        </w:rPr>
        <w:t xml:space="preserve"> crude</w:t>
      </w:r>
      <w:r w:rsidRPr="00AF2AD7">
        <w:rPr>
          <w:rFonts w:ascii="Arial" w:hAnsi="Arial" w:cs="Arial"/>
          <w:lang w:val="fr-FR"/>
        </w:rPr>
        <w:t xml:space="preserve"> ash + % dietary fiber)</w:t>
      </w:r>
    </w:p>
    <w:p w14:paraId="6A692AD0"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The digestible carbohydrate content was then estimated by subtracting the dietary fiber content from the total carbohydrate content :</w:t>
      </w:r>
    </w:p>
    <w:p w14:paraId="5F9C5138" w14:textId="77777777" w:rsidR="00AF2AD7" w:rsidRDefault="00AF2AD7" w:rsidP="00AF2AD7">
      <w:pPr>
        <w:pStyle w:val="Body"/>
        <w:spacing w:after="0"/>
        <w:rPr>
          <w:rFonts w:ascii="Arial" w:hAnsi="Arial" w:cs="Arial"/>
          <w:lang w:val="fr-FR"/>
        </w:rPr>
      </w:pPr>
      <w:r w:rsidRPr="00AF2AD7">
        <w:rPr>
          <w:rFonts w:ascii="Arial" w:hAnsi="Arial" w:cs="Arial"/>
          <w:lang w:val="fr-FR"/>
        </w:rPr>
        <w:t>Digestible Carbohydrates (%) = % Total Carbohydrates – % Dietary Fiber.</w:t>
      </w:r>
    </w:p>
    <w:p w14:paraId="0AE4B228" w14:textId="77777777" w:rsidR="00D608AD" w:rsidRPr="00AF2AD7" w:rsidRDefault="00D608AD" w:rsidP="00AF2AD7">
      <w:pPr>
        <w:pStyle w:val="Body"/>
        <w:spacing w:after="0"/>
        <w:rPr>
          <w:rFonts w:ascii="Arial" w:hAnsi="Arial" w:cs="Arial"/>
          <w:lang w:val="fr-FR"/>
        </w:rPr>
      </w:pPr>
    </w:p>
    <w:p w14:paraId="02934FB9" w14:textId="77777777" w:rsidR="00AF2AD7" w:rsidRPr="00D608AD" w:rsidRDefault="00AF2AD7" w:rsidP="009200A1">
      <w:pPr>
        <w:pStyle w:val="Body"/>
        <w:spacing w:after="0"/>
        <w:jc w:val="right"/>
        <w:rPr>
          <w:rFonts w:ascii="Arial" w:hAnsi="Arial" w:cs="Arial"/>
          <w:b/>
          <w:i/>
          <w:iCs/>
          <w:sz w:val="22"/>
          <w:lang w:val="fr-FR"/>
        </w:rPr>
      </w:pPr>
      <w:r w:rsidRPr="00D608AD">
        <w:rPr>
          <w:rFonts w:ascii="Arial" w:hAnsi="Arial" w:cs="Arial"/>
          <w:b/>
          <w:i/>
          <w:iCs/>
          <w:sz w:val="22"/>
          <w:lang w:val="fr-FR"/>
        </w:rPr>
        <w:t>Metabolizable energy value</w:t>
      </w:r>
    </w:p>
    <w:p w14:paraId="68661F9B" w14:textId="5206A5F4" w:rsidR="00AF2AD7" w:rsidRPr="00AF2AD7" w:rsidRDefault="00AF2AD7" w:rsidP="00AF2AD7">
      <w:pPr>
        <w:pStyle w:val="Body"/>
        <w:spacing w:after="0"/>
        <w:rPr>
          <w:rFonts w:ascii="Arial" w:hAnsi="Arial" w:cs="Arial"/>
          <w:lang w:val="fr-FR"/>
        </w:rPr>
      </w:pPr>
      <w:r w:rsidRPr="00AF2AD7">
        <w:rPr>
          <w:rFonts w:ascii="Arial" w:hAnsi="Arial" w:cs="Arial"/>
          <w:lang w:val="fr-FR"/>
        </w:rPr>
        <w:t xml:space="preserve">The metabolizable energy value (kcal/100 g DM) was calculated using the Atwater general factor system, based on the digestible macronutrient content. The energy value was estimated by summing the products </w:t>
      </w:r>
      <w:proofErr w:type="gramStart"/>
      <w:r w:rsidRPr="00AF2AD7">
        <w:rPr>
          <w:rFonts w:ascii="Arial" w:hAnsi="Arial" w:cs="Arial"/>
          <w:lang w:val="fr-FR"/>
        </w:rPr>
        <w:t xml:space="preserve">of </w:t>
      </w:r>
      <w:r w:rsidR="00BE453C">
        <w:rPr>
          <w:rFonts w:ascii="Arial" w:hAnsi="Arial" w:cs="Arial"/>
          <w:lang w:val="fr-FR"/>
        </w:rPr>
        <w:t xml:space="preserve"> crude</w:t>
      </w:r>
      <w:proofErr w:type="gramEnd"/>
      <w:r w:rsidRPr="00AF2AD7">
        <w:rPr>
          <w:rFonts w:ascii="Arial" w:hAnsi="Arial" w:cs="Arial"/>
          <w:lang w:val="fr-FR"/>
        </w:rPr>
        <w:t xml:space="preserve"> protein (g) × 4, </w:t>
      </w:r>
      <w:r w:rsidR="00BE453C">
        <w:rPr>
          <w:rFonts w:ascii="Arial" w:hAnsi="Arial" w:cs="Arial"/>
          <w:lang w:val="fr-FR"/>
        </w:rPr>
        <w:t xml:space="preserve"> crude</w:t>
      </w:r>
      <w:r w:rsidRPr="00AF2AD7">
        <w:rPr>
          <w:rFonts w:ascii="Arial" w:hAnsi="Arial" w:cs="Arial"/>
          <w:lang w:val="fr-FR"/>
        </w:rPr>
        <w:t xml:space="preserve"> fat (g) × 9, and digestible carbohydrates (g) × 4</w:t>
      </w:r>
    </w:p>
    <w:p w14:paraId="30D76E61" w14:textId="77777777" w:rsidR="00AF2AD7" w:rsidRPr="00D608AD" w:rsidRDefault="00AF2AD7" w:rsidP="00D608AD">
      <w:pPr>
        <w:pStyle w:val="Body"/>
        <w:spacing w:after="0"/>
        <w:jc w:val="right"/>
        <w:rPr>
          <w:rFonts w:ascii="Arial" w:hAnsi="Arial" w:cs="Arial"/>
          <w:b/>
          <w:i/>
          <w:sz w:val="22"/>
          <w:lang w:val="fr-FR"/>
        </w:rPr>
      </w:pPr>
      <w:r w:rsidRPr="00D608AD">
        <w:rPr>
          <w:rFonts w:ascii="Arial" w:hAnsi="Arial" w:cs="Arial"/>
          <w:b/>
          <w:i/>
          <w:sz w:val="22"/>
          <w:lang w:val="fr-FR"/>
        </w:rPr>
        <w:t>Mineral element analysis</w:t>
      </w:r>
    </w:p>
    <w:p w14:paraId="53B24D63" w14:textId="3D867BF5" w:rsidR="00AF2AD7" w:rsidRDefault="00AF2AD7" w:rsidP="00AF2AD7">
      <w:pPr>
        <w:pStyle w:val="Body"/>
        <w:spacing w:after="0"/>
        <w:rPr>
          <w:rFonts w:ascii="Arial" w:hAnsi="Arial" w:cs="Arial"/>
          <w:lang w:val="fr-FR"/>
        </w:rPr>
      </w:pPr>
      <w:r w:rsidRPr="00AF2AD7">
        <w:rPr>
          <w:rFonts w:ascii="Arial" w:hAnsi="Arial" w:cs="Arial"/>
          <w:lang w:val="fr-FR"/>
        </w:rPr>
        <w:t xml:space="preserve">To prepare the samples for mineral analysis, </w:t>
      </w:r>
      <w:proofErr w:type="gramStart"/>
      <w:r w:rsidRPr="00AF2AD7">
        <w:rPr>
          <w:rFonts w:ascii="Arial" w:hAnsi="Arial" w:cs="Arial"/>
          <w:lang w:val="fr-FR"/>
        </w:rPr>
        <w:t xml:space="preserve">the </w:t>
      </w:r>
      <w:r w:rsidR="00BE453C">
        <w:rPr>
          <w:rFonts w:ascii="Arial" w:hAnsi="Arial" w:cs="Arial"/>
          <w:lang w:val="fr-FR"/>
        </w:rPr>
        <w:t xml:space="preserve"> crude</w:t>
      </w:r>
      <w:proofErr w:type="gramEnd"/>
      <w:r w:rsidRPr="00AF2AD7">
        <w:rPr>
          <w:rFonts w:ascii="Arial" w:hAnsi="Arial" w:cs="Arial"/>
          <w:lang w:val="fr-FR"/>
        </w:rPr>
        <w:t xml:space="preserve"> ash obtained from the incineration process was dissolved in a solution of hydrochloric and nitric acid. The concentrations of sodium (Na), potassium (K), calcium (Ca), magnesium (Mg), and zinc (Zn) were determined using Flame Atomic Absorption Spectrophotometry (FAAS). Phosphorus (P) concentration was determined colorimetrically using the vanadomolybdate method. Standard solutions of known concentrations for each mineral were used to generate a calibration curve, against which the sample concentrations were quantified.</w:t>
      </w:r>
    </w:p>
    <w:p w14:paraId="7A4FBA1C" w14:textId="77777777" w:rsidR="00056F19" w:rsidRPr="00AF2AD7" w:rsidRDefault="00056F19" w:rsidP="00AF2AD7">
      <w:pPr>
        <w:pStyle w:val="Body"/>
        <w:spacing w:after="0"/>
        <w:rPr>
          <w:rFonts w:ascii="Arial" w:hAnsi="Arial" w:cs="Arial"/>
          <w:lang w:val="fr-FR"/>
        </w:rPr>
      </w:pPr>
    </w:p>
    <w:p w14:paraId="5FA3BAA2" w14:textId="77777777" w:rsidR="00AF2AD7" w:rsidRPr="00D608AD" w:rsidRDefault="00AF2AD7" w:rsidP="00D608AD">
      <w:pPr>
        <w:pStyle w:val="Body"/>
        <w:spacing w:after="0"/>
        <w:jc w:val="right"/>
        <w:rPr>
          <w:rFonts w:ascii="Arial" w:hAnsi="Arial" w:cs="Arial"/>
          <w:b/>
          <w:i/>
          <w:sz w:val="22"/>
          <w:lang w:val="fr-FR"/>
        </w:rPr>
      </w:pPr>
      <w:r w:rsidRPr="00D608AD">
        <w:rPr>
          <w:rFonts w:ascii="Arial" w:hAnsi="Arial" w:cs="Arial"/>
          <w:b/>
          <w:i/>
          <w:sz w:val="22"/>
          <w:lang w:val="fr-FR"/>
        </w:rPr>
        <w:t>Determination of Anti-Nutritional Factors (ANFs)</w:t>
      </w:r>
    </w:p>
    <w:p w14:paraId="273BB970" w14:textId="70076D6C" w:rsidR="00AF2AD7" w:rsidRPr="00AF2AD7" w:rsidRDefault="00AF2AD7" w:rsidP="00056F19">
      <w:pPr>
        <w:pStyle w:val="Body"/>
        <w:spacing w:after="0"/>
        <w:ind w:firstLine="720"/>
        <w:rPr>
          <w:rFonts w:ascii="Arial" w:hAnsi="Arial" w:cs="Arial"/>
          <w:lang w:val="fr-FR"/>
        </w:rPr>
      </w:pPr>
      <w:r w:rsidRPr="00AF2AD7">
        <w:rPr>
          <w:rFonts w:ascii="Arial" w:hAnsi="Arial" w:cs="Arial"/>
          <w:lang w:val="fr-FR"/>
        </w:rPr>
        <w:t xml:space="preserve">To provide a more comprehensive nutritional profile and address the critical issue of nutrient bioavailability (a significant concern for plant-based diets in sub-Saharan Africa) key anti-nutritional factors were quantified. The presence of these compounds can significantly impede the absorption of minerals like calcium and zinc, even when they are abundant in the food source </w:t>
      </w:r>
      <w:r w:rsidR="00510C11">
        <w:rPr>
          <w:rFonts w:ascii="Arial" w:hAnsi="Arial" w:cs="Arial"/>
          <w:lang w:val="fr-FR"/>
        </w:rPr>
        <w:t>(</w:t>
      </w:r>
      <w:r w:rsidRPr="00AF2AD7">
        <w:rPr>
          <w:rFonts w:ascii="Arial" w:hAnsi="Arial" w:cs="Arial"/>
          <w:lang w:val="fr-FR"/>
        </w:rPr>
        <w:t>Noonan &amp; Savage, 1999</w:t>
      </w:r>
      <w:r w:rsidR="00510C11">
        <w:rPr>
          <w:rFonts w:ascii="Arial" w:hAnsi="Arial" w:cs="Arial"/>
          <w:lang w:val="fr-FR"/>
        </w:rPr>
        <w:t>)</w:t>
      </w:r>
      <w:r w:rsidRPr="00AF2AD7">
        <w:rPr>
          <w:rFonts w:ascii="Arial" w:hAnsi="Arial" w:cs="Arial"/>
          <w:lang w:val="fr-FR"/>
        </w:rPr>
        <w:t xml:space="preserve">. The powdered leaf sample was analyzed for total phytates, total oxalates, saponins, and condensed tannins. Total oxalates, total saponins, and condensed tannins were determined using the established titrimetric and spectrophotometric methods outlined by </w:t>
      </w:r>
      <w:r w:rsidRPr="00AF2AD7">
        <w:rPr>
          <w:rFonts w:ascii="Arial" w:hAnsi="Arial" w:cs="Arial"/>
          <w:bCs/>
          <w:lang w:val="fr-FR"/>
        </w:rPr>
        <w:t>Pearson</w:t>
      </w:r>
      <w:r w:rsidRPr="00AF2AD7">
        <w:rPr>
          <w:rFonts w:ascii="Arial" w:hAnsi="Arial" w:cs="Arial"/>
          <w:b/>
          <w:bCs/>
          <w:lang w:val="fr-FR"/>
        </w:rPr>
        <w:t xml:space="preserve"> </w:t>
      </w:r>
      <w:r w:rsidRPr="00AF2AD7">
        <w:rPr>
          <w:rFonts w:ascii="Arial" w:hAnsi="Arial" w:cs="Arial"/>
          <w:bCs/>
          <w:lang w:val="fr-FR"/>
        </w:rPr>
        <w:t>(1976)</w:t>
      </w:r>
      <w:r w:rsidRPr="00AF2AD7">
        <w:rPr>
          <w:rFonts w:ascii="Arial" w:hAnsi="Arial" w:cs="Arial"/>
          <w:lang w:val="fr-FR"/>
        </w:rPr>
        <w:t>.</w:t>
      </w:r>
    </w:p>
    <w:p w14:paraId="3945B656" w14:textId="77777777" w:rsidR="00AF2AD7" w:rsidRPr="00D608AD" w:rsidRDefault="00AF2AD7" w:rsidP="00D608AD">
      <w:pPr>
        <w:pStyle w:val="Body"/>
        <w:spacing w:after="0"/>
        <w:jc w:val="right"/>
        <w:rPr>
          <w:rFonts w:ascii="Arial" w:hAnsi="Arial" w:cs="Arial"/>
          <w:b/>
          <w:i/>
          <w:sz w:val="22"/>
          <w:lang w:val="fr-FR"/>
        </w:rPr>
      </w:pPr>
      <w:r w:rsidRPr="00D608AD">
        <w:rPr>
          <w:rFonts w:ascii="Arial" w:hAnsi="Arial" w:cs="Arial"/>
          <w:b/>
          <w:i/>
          <w:sz w:val="22"/>
          <w:lang w:val="fr-FR"/>
        </w:rPr>
        <w:t>Statistical analysis</w:t>
      </w:r>
    </w:p>
    <w:p w14:paraId="4270C102" w14:textId="77777777" w:rsidR="00AF2AD7" w:rsidRPr="00AF2AD7" w:rsidRDefault="00AF2AD7" w:rsidP="00056F19">
      <w:pPr>
        <w:pStyle w:val="Body"/>
        <w:spacing w:after="0"/>
        <w:ind w:firstLine="720"/>
        <w:rPr>
          <w:rFonts w:ascii="Arial" w:hAnsi="Arial" w:cs="Arial"/>
          <w:lang w:val="en-IE"/>
        </w:rPr>
      </w:pPr>
      <w:r w:rsidRPr="00AF2AD7">
        <w:rPr>
          <w:rFonts w:ascii="Arial" w:hAnsi="Arial" w:cs="Arial"/>
          <w:lang w:val="fr-FR"/>
        </w:rPr>
        <w:t>All analytical determinations were performed in triplicate (n=3). The data were processed to calculate the mean values and the standard error of the mean (SEM). The results are presented as mean ± SEM.</w:t>
      </w:r>
    </w:p>
    <w:p w14:paraId="7AA9334E" w14:textId="77777777" w:rsidR="00790ADA" w:rsidRPr="00FB3A86" w:rsidRDefault="00790ADA" w:rsidP="00441B6F">
      <w:pPr>
        <w:pStyle w:val="Body"/>
        <w:spacing w:after="0"/>
        <w:rPr>
          <w:rFonts w:ascii="Arial" w:hAnsi="Arial" w:cs="Arial"/>
        </w:rPr>
      </w:pPr>
    </w:p>
    <w:p w14:paraId="48221F69" w14:textId="77777777" w:rsidR="00902823" w:rsidRDefault="00000F8F" w:rsidP="00056F19">
      <w:pPr>
        <w:pStyle w:val="Head1"/>
        <w:spacing w:after="0"/>
        <w:jc w:val="right"/>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01BE485" w14:textId="77777777" w:rsidR="00790ADA" w:rsidRPr="00FB3A86" w:rsidRDefault="00790ADA" w:rsidP="00056F19">
      <w:pPr>
        <w:pStyle w:val="Head1"/>
        <w:spacing w:after="0"/>
        <w:jc w:val="right"/>
        <w:rPr>
          <w:rFonts w:ascii="Arial" w:hAnsi="Arial" w:cs="Arial"/>
        </w:rPr>
      </w:pPr>
    </w:p>
    <w:p w14:paraId="291AB94E" w14:textId="77777777" w:rsidR="00AF2AD7" w:rsidRPr="00AF2AD7" w:rsidRDefault="00AF2AD7" w:rsidP="00056F19">
      <w:pPr>
        <w:pStyle w:val="Body"/>
        <w:spacing w:after="0"/>
        <w:jc w:val="right"/>
        <w:rPr>
          <w:rFonts w:ascii="Arial" w:hAnsi="Arial" w:cs="Arial"/>
          <w:b/>
          <w:bCs/>
          <w:lang w:val="en-IE"/>
        </w:rPr>
      </w:pPr>
      <w:r w:rsidRPr="00AF2AD7">
        <w:rPr>
          <w:rFonts w:ascii="Arial" w:hAnsi="Arial" w:cs="Arial"/>
          <w:b/>
          <w:bCs/>
          <w:lang w:val="en-IE"/>
        </w:rPr>
        <w:t xml:space="preserve">RESULTS </w:t>
      </w:r>
    </w:p>
    <w:p w14:paraId="0143A9E6" w14:textId="0732581E" w:rsidR="00AF2AD7" w:rsidRPr="00AF2AD7" w:rsidRDefault="00AF2AD7" w:rsidP="00AF2AD7">
      <w:pPr>
        <w:pStyle w:val="Body"/>
        <w:spacing w:after="0"/>
        <w:rPr>
          <w:rFonts w:ascii="Arial" w:hAnsi="Arial" w:cs="Arial"/>
          <w:lang w:val="fr-FR"/>
        </w:rPr>
      </w:pPr>
      <w:r w:rsidRPr="00AF2AD7">
        <w:rPr>
          <w:rFonts w:ascii="Arial" w:hAnsi="Arial" w:cs="Arial"/>
          <w:lang w:val="fr-FR"/>
        </w:rPr>
        <w:t xml:space="preserve">The nutritional composition of the prepared </w:t>
      </w:r>
      <w:r w:rsidR="009A395D" w:rsidRPr="009A395D">
        <w:rPr>
          <w:rFonts w:ascii="Arial" w:hAnsi="Arial" w:cs="Arial"/>
          <w:i/>
          <w:iCs/>
          <w:lang w:val="fr-FR"/>
        </w:rPr>
        <w:t>Cajanus cajan</w:t>
      </w:r>
      <w:r w:rsidRPr="00AF2AD7">
        <w:rPr>
          <w:rFonts w:ascii="Arial" w:hAnsi="Arial" w:cs="Arial"/>
          <w:lang w:val="fr-FR"/>
        </w:rPr>
        <w:t xml:space="preserve"> leaf powder was quantitatively assessed. The analyses focused on the proximate composition, mineral content, and the resultant calculated energy value. All data are presented as the mean of three independent determinations (n=3) ± the Mean Standard Error (SEM).</w:t>
      </w:r>
    </w:p>
    <w:p w14:paraId="1BD997C0" w14:textId="77777777" w:rsidR="00AF2AD7" w:rsidRPr="00056F19" w:rsidRDefault="00AF2AD7" w:rsidP="00056F19">
      <w:pPr>
        <w:pStyle w:val="Body"/>
        <w:spacing w:after="0"/>
        <w:jc w:val="right"/>
        <w:rPr>
          <w:rFonts w:ascii="Arial" w:hAnsi="Arial" w:cs="Arial"/>
          <w:b/>
          <w:i/>
          <w:lang w:val="fr-FR"/>
        </w:rPr>
      </w:pPr>
      <w:r w:rsidRPr="00056F19">
        <w:rPr>
          <w:rFonts w:ascii="Arial" w:hAnsi="Arial" w:cs="Arial"/>
          <w:b/>
          <w:i/>
          <w:lang w:val="fr-FR"/>
        </w:rPr>
        <w:t>Mineral profile</w:t>
      </w:r>
    </w:p>
    <w:p w14:paraId="059F6743" w14:textId="5C39EB95" w:rsidR="00AF2AD7" w:rsidRPr="00AF2AD7" w:rsidRDefault="00AF2AD7" w:rsidP="00AF2AD7">
      <w:pPr>
        <w:pStyle w:val="Body"/>
        <w:spacing w:after="0"/>
        <w:rPr>
          <w:rFonts w:ascii="Arial" w:hAnsi="Arial" w:cs="Arial"/>
          <w:lang w:val="fr-FR"/>
        </w:rPr>
      </w:pPr>
      <w:r w:rsidRPr="00AF2AD7">
        <w:rPr>
          <w:rFonts w:ascii="Arial" w:hAnsi="Arial" w:cs="Arial"/>
          <w:lang w:val="fr-FR"/>
        </w:rPr>
        <w:t xml:space="preserve">The concentrations of key dietary minerals (sodium (Na), potassium (K), calcium (Ca), magnesium (Mg), and zinc (Zn)) were quantified from the dried leaf powder. The results, expressed in mg per 100 g of dry matter (DM), are detailed in </w:t>
      </w:r>
      <w:r w:rsidRPr="00AF2AD7">
        <w:rPr>
          <w:rFonts w:ascii="Arial" w:hAnsi="Arial" w:cs="Arial"/>
          <w:bCs/>
          <w:lang w:val="fr-FR"/>
        </w:rPr>
        <w:t xml:space="preserve">Table </w:t>
      </w:r>
      <w:r w:rsidR="00D31613">
        <w:rPr>
          <w:rFonts w:ascii="Arial" w:hAnsi="Arial" w:cs="Arial"/>
          <w:bCs/>
          <w:lang w:val="fr-FR"/>
        </w:rPr>
        <w:t>1</w:t>
      </w:r>
      <w:r w:rsidRPr="00AF2AD7">
        <w:rPr>
          <w:rFonts w:ascii="Arial" w:hAnsi="Arial" w:cs="Arial"/>
          <w:lang w:val="fr-FR"/>
        </w:rPr>
        <w:t xml:space="preserve">. The leaves exhibited a </w:t>
      </w:r>
      <w:r w:rsidRPr="00AF2AD7">
        <w:rPr>
          <w:rFonts w:ascii="Arial" w:hAnsi="Arial" w:cs="Arial"/>
          <w:lang w:val="fr-FR"/>
        </w:rPr>
        <w:lastRenderedPageBreak/>
        <w:t>rich mineral profile, particularly dominated by calcium and potassium. The Na/K ratio was calculated to be 0.09 ± 0.01, indicating a significantly lower sodium content relative to potassium.</w:t>
      </w:r>
    </w:p>
    <w:p w14:paraId="4F493165"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Notably, the analysis yielded an exceptionally high calcium concentration of 3537 ± 133.30 mg/100 g DM. Given that this value is significantly higher than levels typically reported for leafy vegetables, it warrants further investigation and analytical validation to rule out potential matrix interference or contamination.</w:t>
      </w:r>
    </w:p>
    <w:p w14:paraId="45F8CCCA" w14:textId="77777777" w:rsidR="00AF2AD7" w:rsidRPr="00056F19" w:rsidRDefault="00AF2AD7" w:rsidP="00056F19">
      <w:pPr>
        <w:pStyle w:val="Body"/>
        <w:spacing w:after="0"/>
        <w:jc w:val="right"/>
        <w:rPr>
          <w:rFonts w:ascii="Arial" w:hAnsi="Arial" w:cs="Arial"/>
          <w:b/>
          <w:i/>
          <w:sz w:val="22"/>
          <w:lang w:val="fr-FR"/>
        </w:rPr>
      </w:pPr>
      <w:r w:rsidRPr="00056F19">
        <w:rPr>
          <w:rFonts w:ascii="Arial" w:hAnsi="Arial" w:cs="Arial"/>
          <w:b/>
          <w:i/>
          <w:sz w:val="22"/>
          <w:lang w:val="fr-FR"/>
        </w:rPr>
        <w:t>Proximate analysis and metabolizable energy value</w:t>
      </w:r>
    </w:p>
    <w:p w14:paraId="74D5427D" w14:textId="5946A6D0" w:rsidR="00425AF5" w:rsidRDefault="00425AF5" w:rsidP="00425AF5">
      <w:pPr>
        <w:pStyle w:val="Body"/>
        <w:spacing w:after="0"/>
        <w:rPr>
          <w:rFonts w:ascii="Arial" w:hAnsi="Arial" w:cs="Arial"/>
          <w:b/>
          <w:sz w:val="22"/>
          <w:lang w:val="fr-FR"/>
        </w:rPr>
      </w:pPr>
      <w:r>
        <w:t xml:space="preserve">The proximate composition and calculated energy values are summarized in Table </w:t>
      </w:r>
      <w:r w:rsidR="00D31613">
        <w:t>2</w:t>
      </w:r>
      <w:r>
        <w:t xml:space="preserve">. The dried leaves demonstrated a high protein content (29.14 ± 1.09 g/100g DM) and substantial dietary fiber (13.45 ± 1.32 g/100g DM). Digestible carbohydrates accounted for 47.77 ± 1.59 g/100g DM, while the lipid content was relatively low (3.06 ± 0.43 g/100g DM). The mineral analysis (Table </w:t>
      </w:r>
      <w:r w:rsidR="00D31613">
        <w:t>1</w:t>
      </w:r>
      <w:r>
        <w:t>) indicated a predominance of calcium (3537 ± 133.30 mg/100g DM) and potassium (625.10 ± 23.57 mg/100g DM). The sodium-to-potassium (Na/K) ratio was found to be 0.09.</w:t>
      </w:r>
      <w:r w:rsidRPr="00056F19">
        <w:rPr>
          <w:rFonts w:ascii="Arial" w:hAnsi="Arial" w:cs="Arial"/>
          <w:b/>
          <w:sz w:val="22"/>
          <w:lang w:val="fr-FR"/>
        </w:rPr>
        <w:t xml:space="preserve"> </w:t>
      </w:r>
    </w:p>
    <w:p w14:paraId="34649ED6" w14:textId="77777777" w:rsidR="00AF2AD7" w:rsidRPr="00056F19" w:rsidRDefault="00AF2AD7" w:rsidP="00425AF5">
      <w:pPr>
        <w:pStyle w:val="Body"/>
        <w:spacing w:after="0"/>
        <w:jc w:val="right"/>
        <w:rPr>
          <w:rFonts w:ascii="Arial" w:hAnsi="Arial" w:cs="Arial"/>
          <w:b/>
          <w:sz w:val="22"/>
          <w:lang w:val="fr-FR"/>
        </w:rPr>
      </w:pPr>
      <w:r w:rsidRPr="00056F19">
        <w:rPr>
          <w:rFonts w:ascii="Arial" w:hAnsi="Arial" w:cs="Arial"/>
          <w:b/>
          <w:sz w:val="22"/>
          <w:lang w:val="fr-FR"/>
        </w:rPr>
        <w:t>Anti-nutritional factor profile</w:t>
      </w:r>
    </w:p>
    <w:p w14:paraId="132E411A" w14:textId="3154BDF1" w:rsidR="00AF2AD7" w:rsidRDefault="00AF2AD7" w:rsidP="00AF2AD7">
      <w:pPr>
        <w:pStyle w:val="Body"/>
        <w:spacing w:after="0"/>
        <w:rPr>
          <w:rFonts w:ascii="Arial" w:hAnsi="Arial" w:cs="Arial"/>
          <w:lang w:val="fr-FR"/>
        </w:rPr>
      </w:pPr>
      <w:r w:rsidRPr="00AF2AD7">
        <w:rPr>
          <w:rFonts w:ascii="Arial" w:hAnsi="Arial" w:cs="Arial"/>
          <w:lang w:val="fr-FR"/>
        </w:rPr>
        <w:t xml:space="preserve">The quantification of key anti-nutritional compounds, analyzed to assess potential impacts on nutrient bioavailability, is presented in </w:t>
      </w:r>
      <w:r w:rsidRPr="00AF2AD7">
        <w:rPr>
          <w:rFonts w:ascii="Arial" w:hAnsi="Arial" w:cs="Arial"/>
          <w:bCs/>
          <w:lang w:val="fr-FR"/>
        </w:rPr>
        <w:t xml:space="preserve">Table </w:t>
      </w:r>
      <w:r w:rsidR="00D31613">
        <w:rPr>
          <w:rFonts w:ascii="Arial" w:hAnsi="Arial" w:cs="Arial"/>
          <w:bCs/>
          <w:lang w:val="fr-FR"/>
        </w:rPr>
        <w:t>3</w:t>
      </w:r>
      <w:r w:rsidRPr="00AF2AD7">
        <w:rPr>
          <w:rFonts w:ascii="Arial" w:hAnsi="Arial" w:cs="Arial"/>
          <w:lang w:val="fr-FR"/>
        </w:rPr>
        <w:t xml:space="preserve">. The </w:t>
      </w:r>
      <w:r w:rsidR="009A395D" w:rsidRPr="009A395D">
        <w:rPr>
          <w:rFonts w:ascii="Arial" w:hAnsi="Arial" w:cs="Arial"/>
          <w:i/>
          <w:iCs/>
          <w:lang w:val="fr-FR"/>
        </w:rPr>
        <w:t>C. cajan</w:t>
      </w:r>
      <w:r w:rsidRPr="00AF2AD7">
        <w:rPr>
          <w:rFonts w:ascii="Arial" w:hAnsi="Arial" w:cs="Arial"/>
          <w:lang w:val="fr-FR"/>
        </w:rPr>
        <w:t xml:space="preserve"> leaf powder was found to contain substantial levels of total phytates, recording a mean concentration of 738.92 ± 59.57 mg/100 g DM. Total oxalates were also significant, measured at 282.49 ± 17.68 mg/100 g DM. Saponins were present at 183.49 ± 17.92 mg/100 g DM, whereas the concentration of condensed tannins was comparatively low (1.32 ± 0.16 mg/100 g DM).</w:t>
      </w:r>
    </w:p>
    <w:p w14:paraId="70842F40" w14:textId="77777777" w:rsidR="00210038" w:rsidRPr="00AF2AD7" w:rsidRDefault="00210038" w:rsidP="00AF2AD7">
      <w:pPr>
        <w:pStyle w:val="Body"/>
        <w:spacing w:after="0"/>
        <w:rPr>
          <w:rFonts w:ascii="Arial" w:hAnsi="Arial" w:cs="Arial"/>
          <w:lang w:val="fr-FR"/>
        </w:rPr>
      </w:pPr>
    </w:p>
    <w:p w14:paraId="1A159BEB" w14:textId="77777777" w:rsidR="00AF2AD7" w:rsidRPr="00056F19" w:rsidRDefault="00AF2AD7" w:rsidP="00056F19">
      <w:pPr>
        <w:pStyle w:val="Body"/>
        <w:spacing w:after="0"/>
        <w:jc w:val="right"/>
        <w:rPr>
          <w:rFonts w:ascii="Arial" w:hAnsi="Arial" w:cs="Arial"/>
          <w:b/>
          <w:i/>
          <w:sz w:val="22"/>
          <w:lang w:val="fr-FR"/>
        </w:rPr>
      </w:pPr>
      <w:r w:rsidRPr="00056F19">
        <w:rPr>
          <w:rFonts w:ascii="Arial" w:hAnsi="Arial" w:cs="Arial"/>
          <w:b/>
          <w:i/>
          <w:sz w:val="22"/>
          <w:lang w:val="fr-FR"/>
        </w:rPr>
        <w:t>Contribution to Recommended Daily Allowances (RDA)</w:t>
      </w:r>
    </w:p>
    <w:p w14:paraId="4A0B4EFA" w14:textId="37C66469" w:rsidR="00790ADA" w:rsidRDefault="00AF2AD7" w:rsidP="00AF2AD7">
      <w:pPr>
        <w:pStyle w:val="Body"/>
        <w:spacing w:after="0"/>
        <w:rPr>
          <w:rFonts w:ascii="Arial" w:hAnsi="Arial" w:cs="Arial"/>
          <w:lang w:val="fr-FR"/>
        </w:rPr>
      </w:pPr>
      <w:r w:rsidRPr="00AF2AD7">
        <w:rPr>
          <w:rFonts w:ascii="Arial" w:hAnsi="Arial" w:cs="Arial"/>
          <w:lang w:val="fr-FR"/>
        </w:rPr>
        <w:t xml:space="preserve">To contextualize the nutritional significance of these findings, the potential contribution of 100 g of dried </w:t>
      </w:r>
      <w:r w:rsidR="009A395D" w:rsidRPr="009A395D">
        <w:rPr>
          <w:rFonts w:ascii="Arial" w:hAnsi="Arial" w:cs="Arial"/>
          <w:i/>
          <w:iCs/>
          <w:lang w:val="fr-FR"/>
        </w:rPr>
        <w:t>C. cajan</w:t>
      </w:r>
      <w:r w:rsidRPr="00AF2AD7">
        <w:rPr>
          <w:rFonts w:ascii="Arial" w:hAnsi="Arial" w:cs="Arial"/>
          <w:lang w:val="fr-FR"/>
        </w:rPr>
        <w:t xml:space="preserve"> leaves to the RDA for an adult was calculated (</w:t>
      </w:r>
      <w:r w:rsidRPr="00AF2AD7">
        <w:rPr>
          <w:rFonts w:ascii="Arial" w:hAnsi="Arial" w:cs="Arial"/>
          <w:bCs/>
          <w:lang w:val="fr-FR"/>
        </w:rPr>
        <w:t xml:space="preserve">Table </w:t>
      </w:r>
      <w:r w:rsidR="00D31613">
        <w:rPr>
          <w:rFonts w:ascii="Arial" w:hAnsi="Arial" w:cs="Arial"/>
          <w:bCs/>
          <w:lang w:val="fr-FR"/>
        </w:rPr>
        <w:t>4</w:t>
      </w:r>
      <w:r w:rsidRPr="00AF2AD7">
        <w:rPr>
          <w:rFonts w:ascii="Arial" w:hAnsi="Arial" w:cs="Arial"/>
          <w:lang w:val="fr-FR"/>
        </w:rPr>
        <w:t xml:space="preserve">). The analysis indicates the leaves are an exceptional source of specific micronutrients. Notably, 100 g of dry matter provides </w:t>
      </w:r>
      <w:r w:rsidRPr="00AF2AD7">
        <w:rPr>
          <w:rFonts w:ascii="Arial" w:hAnsi="Arial" w:cs="Arial"/>
          <w:bCs/>
          <w:lang w:val="fr-FR"/>
        </w:rPr>
        <w:t>393%</w:t>
      </w:r>
      <w:r w:rsidRPr="00AF2AD7">
        <w:rPr>
          <w:rFonts w:ascii="Arial" w:hAnsi="Arial" w:cs="Arial"/>
          <w:lang w:val="fr-FR"/>
        </w:rPr>
        <w:t xml:space="preserve"> of the RDA for </w:t>
      </w:r>
      <w:r w:rsidRPr="00AF2AD7">
        <w:rPr>
          <w:rFonts w:ascii="Arial" w:hAnsi="Arial" w:cs="Arial"/>
          <w:bCs/>
          <w:lang w:val="fr-FR"/>
        </w:rPr>
        <w:t>Calcium (Ca)</w:t>
      </w:r>
      <w:r w:rsidRPr="00AF2AD7">
        <w:rPr>
          <w:rFonts w:ascii="Arial" w:hAnsi="Arial" w:cs="Arial"/>
          <w:lang w:val="fr-FR"/>
        </w:rPr>
        <w:t xml:space="preserve"> and between </w:t>
      </w:r>
      <w:r w:rsidRPr="00AF2AD7">
        <w:rPr>
          <w:rFonts w:ascii="Arial" w:hAnsi="Arial" w:cs="Arial"/>
          <w:bCs/>
          <w:lang w:val="fr-FR"/>
        </w:rPr>
        <w:t>79.5% and 113.6%</w:t>
      </w:r>
      <w:r w:rsidRPr="00AF2AD7">
        <w:rPr>
          <w:rFonts w:ascii="Arial" w:hAnsi="Arial" w:cs="Arial"/>
          <w:lang w:val="fr-FR"/>
        </w:rPr>
        <w:t xml:space="preserve"> of the RDA for </w:t>
      </w:r>
      <w:r w:rsidRPr="00AF2AD7">
        <w:rPr>
          <w:rFonts w:ascii="Arial" w:hAnsi="Arial" w:cs="Arial"/>
          <w:bCs/>
          <w:lang w:val="fr-FR"/>
        </w:rPr>
        <w:t>Zinc (Zn)</w:t>
      </w:r>
      <w:r w:rsidRPr="00AF2AD7">
        <w:rPr>
          <w:rFonts w:ascii="Arial" w:hAnsi="Arial" w:cs="Arial"/>
          <w:lang w:val="fr-FR"/>
        </w:rPr>
        <w:t xml:space="preserve">. The leaves are also a major source of protein, supplying </w:t>
      </w:r>
      <w:r w:rsidRPr="00AF2AD7">
        <w:rPr>
          <w:rFonts w:ascii="Arial" w:hAnsi="Arial" w:cs="Arial"/>
          <w:bCs/>
          <w:lang w:val="fr-FR"/>
        </w:rPr>
        <w:t>52.04%</w:t>
      </w:r>
      <w:r w:rsidRPr="00AF2AD7">
        <w:rPr>
          <w:rFonts w:ascii="Arial" w:hAnsi="Arial" w:cs="Arial"/>
          <w:lang w:val="fr-FR"/>
        </w:rPr>
        <w:t xml:space="preserve"> of the RDA, and a significant source of digestible carbohydrates (36.75% RDA). Contributions for potassium (13.30%) and metabolizable energy (13.41% - 16.76%) were also noted</w:t>
      </w:r>
    </w:p>
    <w:p w14:paraId="2EE1A709" w14:textId="77777777" w:rsidR="00AF2AD7" w:rsidRDefault="00AF2AD7" w:rsidP="00AF2AD7">
      <w:pPr>
        <w:pStyle w:val="Body"/>
        <w:spacing w:after="0"/>
        <w:rPr>
          <w:rFonts w:ascii="Arial" w:hAnsi="Arial" w:cs="Arial"/>
          <w:lang w:val="fr-FR"/>
        </w:rPr>
      </w:pPr>
    </w:p>
    <w:p w14:paraId="21D1D26C" w14:textId="77777777" w:rsidR="00AF2AD7" w:rsidRDefault="00AF2AD7" w:rsidP="00AF2AD7">
      <w:pPr>
        <w:pStyle w:val="Body"/>
        <w:spacing w:after="0"/>
        <w:rPr>
          <w:rFonts w:ascii="Arial" w:hAnsi="Arial" w:cs="Arial"/>
        </w:rPr>
        <w:sectPr w:rsidR="00AF2AD7" w:rsidSect="00266B5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9823E06" w14:textId="0FD86AE8" w:rsidR="00AF2AD7" w:rsidRPr="00AF2AD7" w:rsidRDefault="00AF2AD7" w:rsidP="00AF2AD7">
      <w:pPr>
        <w:jc w:val="both"/>
        <w:rPr>
          <w:rFonts w:ascii="Arial" w:hAnsi="Arial" w:cs="Arial"/>
          <w:lang w:val="en-IE"/>
        </w:rPr>
      </w:pPr>
      <w:r w:rsidRPr="00AF2AD7">
        <w:rPr>
          <w:rFonts w:ascii="Arial" w:hAnsi="Arial" w:cs="Arial"/>
          <w:b/>
          <w:lang w:val="en-IE"/>
        </w:rPr>
        <w:lastRenderedPageBreak/>
        <w:t xml:space="preserve">Table </w:t>
      </w:r>
      <w:r w:rsidR="00D31613">
        <w:rPr>
          <w:rFonts w:ascii="Arial" w:hAnsi="Arial" w:cs="Arial"/>
          <w:b/>
          <w:lang w:val="en-IE"/>
        </w:rPr>
        <w:t>1</w:t>
      </w:r>
      <w:r w:rsidRPr="00AF2AD7">
        <w:rPr>
          <w:rFonts w:ascii="Arial" w:hAnsi="Arial" w:cs="Arial"/>
          <w:b/>
          <w:lang w:val="en-IE"/>
        </w:rPr>
        <w:t>:</w:t>
      </w:r>
      <w:r w:rsidRPr="00AF2AD7">
        <w:rPr>
          <w:rFonts w:ascii="Arial" w:hAnsi="Arial" w:cs="Arial"/>
          <w:lang w:val="en-IE"/>
        </w:rPr>
        <w:t xml:space="preserve"> Mineral Content of </w:t>
      </w:r>
      <w:r w:rsidR="009A395D" w:rsidRPr="009A395D">
        <w:rPr>
          <w:rFonts w:ascii="Arial" w:hAnsi="Arial" w:cs="Arial"/>
          <w:i/>
          <w:lang w:val="en-IE"/>
        </w:rPr>
        <w:t>C. cajan</w:t>
      </w:r>
      <w:r w:rsidRPr="00AF2AD7">
        <w:rPr>
          <w:rFonts w:ascii="Arial" w:hAnsi="Arial" w:cs="Arial"/>
          <w:lang w:val="en-IE"/>
        </w:rPr>
        <w:t xml:space="preserve"> Leaves Analysed (mg/100 g DM)</w:t>
      </w:r>
    </w:p>
    <w:tbl>
      <w:tblPr>
        <w:tblW w:w="1127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739"/>
        <w:gridCol w:w="8534"/>
      </w:tblGrid>
      <w:tr w:rsidR="00AF2AD7" w:rsidRPr="00AF2AD7" w14:paraId="1484A9FF" w14:textId="77777777" w:rsidTr="00AF2AD7">
        <w:trPr>
          <w:trHeight w:val="320"/>
        </w:trPr>
        <w:tc>
          <w:tcPr>
            <w:tcW w:w="2739" w:type="dxa"/>
            <w:tcBorders>
              <w:bottom w:val="single" w:sz="4" w:space="0" w:color="auto"/>
            </w:tcBorders>
            <w:noWrap/>
            <w:vAlign w:val="bottom"/>
            <w:hideMark/>
          </w:tcPr>
          <w:p w14:paraId="649215EA" w14:textId="77777777" w:rsidR="00AF2AD7" w:rsidRPr="00AF2AD7" w:rsidRDefault="00AF2AD7" w:rsidP="008C2BD1">
            <w:pPr>
              <w:rPr>
                <w:rFonts w:ascii="Arial" w:hAnsi="Arial" w:cs="Arial"/>
                <w:b/>
                <w:color w:val="000000"/>
                <w:lang w:val="en-IE" w:eastAsia="fr-FR"/>
              </w:rPr>
            </w:pPr>
            <w:r w:rsidRPr="00AF2AD7">
              <w:rPr>
                <w:rFonts w:ascii="Arial" w:hAnsi="Arial" w:cs="Arial"/>
                <w:b/>
                <w:color w:val="000000"/>
                <w:lang w:val="en-IE" w:eastAsia="fr-FR"/>
              </w:rPr>
              <w:t>Parameters</w:t>
            </w:r>
          </w:p>
        </w:tc>
        <w:tc>
          <w:tcPr>
            <w:tcW w:w="8534" w:type="dxa"/>
            <w:tcBorders>
              <w:bottom w:val="single" w:sz="4" w:space="0" w:color="auto"/>
            </w:tcBorders>
            <w:noWrap/>
            <w:vAlign w:val="bottom"/>
            <w:hideMark/>
          </w:tcPr>
          <w:p w14:paraId="535F9284" w14:textId="77777777" w:rsidR="00AF2AD7" w:rsidRPr="00AF2AD7" w:rsidRDefault="00AF2AD7" w:rsidP="008C2BD1">
            <w:pPr>
              <w:jc w:val="center"/>
              <w:rPr>
                <w:rFonts w:ascii="Arial" w:hAnsi="Arial" w:cs="Arial"/>
                <w:b/>
                <w:color w:val="000000"/>
                <w:lang w:val="en-IE" w:eastAsia="fr-FR"/>
              </w:rPr>
            </w:pPr>
            <w:r w:rsidRPr="00AF2AD7">
              <w:rPr>
                <w:rFonts w:ascii="Arial" w:hAnsi="Arial" w:cs="Arial"/>
                <w:b/>
                <w:color w:val="000000"/>
                <w:lang w:val="en-IE" w:eastAsia="fr-FR"/>
              </w:rPr>
              <w:t xml:space="preserve">Mean ±  SEM (mg/100g DM) </w:t>
            </w:r>
          </w:p>
        </w:tc>
      </w:tr>
      <w:tr w:rsidR="00AF2AD7" w:rsidRPr="00AF2AD7" w14:paraId="3024A9B3" w14:textId="77777777" w:rsidTr="00AF2AD7">
        <w:trPr>
          <w:trHeight w:val="320"/>
        </w:trPr>
        <w:tc>
          <w:tcPr>
            <w:tcW w:w="2739" w:type="dxa"/>
            <w:tcBorders>
              <w:bottom w:val="nil"/>
            </w:tcBorders>
            <w:noWrap/>
            <w:vAlign w:val="bottom"/>
            <w:hideMark/>
          </w:tcPr>
          <w:p w14:paraId="407A5F86" w14:textId="77777777" w:rsidR="00AF2AD7" w:rsidRPr="00AF2AD7" w:rsidRDefault="00AF2AD7" w:rsidP="008C2BD1">
            <w:pPr>
              <w:rPr>
                <w:rFonts w:ascii="Arial" w:hAnsi="Arial" w:cs="Arial"/>
                <w:color w:val="000000"/>
                <w:lang w:val="en-IE" w:eastAsia="fr-FR"/>
              </w:rPr>
            </w:pPr>
            <w:r w:rsidRPr="00AF2AD7">
              <w:rPr>
                <w:rFonts w:ascii="Arial" w:hAnsi="Arial" w:cs="Arial"/>
                <w:color w:val="000000"/>
                <w:lang w:val="en-IE" w:eastAsia="fr-FR"/>
              </w:rPr>
              <w:t>Na</w:t>
            </w:r>
          </w:p>
        </w:tc>
        <w:tc>
          <w:tcPr>
            <w:tcW w:w="8534" w:type="dxa"/>
            <w:tcBorders>
              <w:bottom w:val="nil"/>
            </w:tcBorders>
            <w:noWrap/>
            <w:vAlign w:val="center"/>
            <w:hideMark/>
          </w:tcPr>
          <w:p w14:paraId="31AF60E3" w14:textId="77777777" w:rsidR="00AF2AD7" w:rsidRPr="00AF2AD7" w:rsidRDefault="00AF2AD7" w:rsidP="008C2BD1">
            <w:pPr>
              <w:jc w:val="center"/>
              <w:rPr>
                <w:rFonts w:ascii="Arial" w:hAnsi="Arial" w:cs="Arial"/>
                <w:color w:val="000000"/>
                <w:lang w:val="en-IE" w:eastAsia="fr-FR"/>
              </w:rPr>
            </w:pPr>
            <w:r w:rsidRPr="00AF2AD7">
              <w:rPr>
                <w:rFonts w:ascii="Arial" w:hAnsi="Arial" w:cs="Arial"/>
                <w:color w:val="000000"/>
                <w:lang w:val="en-IE" w:eastAsia="fr-FR"/>
              </w:rPr>
              <w:t>53.83 ± 2.03</w:t>
            </w:r>
          </w:p>
        </w:tc>
      </w:tr>
      <w:tr w:rsidR="00AF2AD7" w:rsidRPr="00AF2AD7" w14:paraId="72E1BB5C" w14:textId="77777777" w:rsidTr="00AF2AD7">
        <w:trPr>
          <w:trHeight w:val="320"/>
        </w:trPr>
        <w:tc>
          <w:tcPr>
            <w:tcW w:w="2739" w:type="dxa"/>
            <w:tcBorders>
              <w:top w:val="nil"/>
              <w:bottom w:val="nil"/>
            </w:tcBorders>
            <w:noWrap/>
            <w:vAlign w:val="bottom"/>
            <w:hideMark/>
          </w:tcPr>
          <w:p w14:paraId="098F0B93" w14:textId="77777777" w:rsidR="00AF2AD7" w:rsidRPr="00AF2AD7" w:rsidRDefault="00AF2AD7" w:rsidP="008C2BD1">
            <w:pPr>
              <w:rPr>
                <w:rFonts w:ascii="Arial" w:hAnsi="Arial" w:cs="Arial"/>
                <w:color w:val="000000"/>
                <w:lang w:val="en-IE" w:eastAsia="fr-FR"/>
              </w:rPr>
            </w:pPr>
            <w:r w:rsidRPr="00AF2AD7">
              <w:rPr>
                <w:rFonts w:ascii="Arial" w:hAnsi="Arial" w:cs="Arial"/>
                <w:color w:val="000000"/>
                <w:lang w:val="en-IE" w:eastAsia="fr-FR"/>
              </w:rPr>
              <w:t>K</w:t>
            </w:r>
          </w:p>
        </w:tc>
        <w:tc>
          <w:tcPr>
            <w:tcW w:w="8534" w:type="dxa"/>
            <w:tcBorders>
              <w:top w:val="nil"/>
              <w:bottom w:val="nil"/>
            </w:tcBorders>
            <w:noWrap/>
            <w:vAlign w:val="center"/>
            <w:hideMark/>
          </w:tcPr>
          <w:p w14:paraId="4FBBCE2F" w14:textId="77777777" w:rsidR="00AF2AD7" w:rsidRPr="00AF2AD7" w:rsidRDefault="00AF2AD7" w:rsidP="008C2BD1">
            <w:pPr>
              <w:jc w:val="center"/>
              <w:rPr>
                <w:rFonts w:ascii="Arial" w:hAnsi="Arial" w:cs="Arial"/>
                <w:color w:val="000000"/>
                <w:lang w:val="en-IE" w:eastAsia="fr-FR"/>
              </w:rPr>
            </w:pPr>
            <w:r w:rsidRPr="00AF2AD7">
              <w:rPr>
                <w:rFonts w:ascii="Arial" w:hAnsi="Arial" w:cs="Arial"/>
                <w:color w:val="000000"/>
                <w:lang w:val="en-IE" w:eastAsia="fr-FR"/>
              </w:rPr>
              <w:t>625.10 ± 23.57</w:t>
            </w:r>
          </w:p>
        </w:tc>
      </w:tr>
      <w:tr w:rsidR="00AF2AD7" w:rsidRPr="00AF2AD7" w14:paraId="09449364" w14:textId="77777777" w:rsidTr="00AF2AD7">
        <w:trPr>
          <w:trHeight w:val="320"/>
        </w:trPr>
        <w:tc>
          <w:tcPr>
            <w:tcW w:w="2739" w:type="dxa"/>
            <w:tcBorders>
              <w:top w:val="nil"/>
              <w:bottom w:val="nil"/>
            </w:tcBorders>
            <w:noWrap/>
            <w:vAlign w:val="bottom"/>
            <w:hideMark/>
          </w:tcPr>
          <w:p w14:paraId="58DDB3E7" w14:textId="77777777" w:rsidR="00AF2AD7" w:rsidRPr="00AF2AD7" w:rsidRDefault="00AF2AD7" w:rsidP="008C2BD1">
            <w:pPr>
              <w:rPr>
                <w:rFonts w:ascii="Arial" w:hAnsi="Arial" w:cs="Arial"/>
                <w:color w:val="000000"/>
                <w:lang w:val="en-IE" w:eastAsia="fr-FR"/>
              </w:rPr>
            </w:pPr>
            <w:r w:rsidRPr="00AF2AD7">
              <w:rPr>
                <w:rFonts w:ascii="Arial" w:hAnsi="Arial" w:cs="Arial"/>
                <w:color w:val="000000"/>
                <w:lang w:val="en-IE" w:eastAsia="fr-FR"/>
              </w:rPr>
              <w:t>Ca</w:t>
            </w:r>
          </w:p>
        </w:tc>
        <w:tc>
          <w:tcPr>
            <w:tcW w:w="8534" w:type="dxa"/>
            <w:tcBorders>
              <w:top w:val="nil"/>
              <w:bottom w:val="nil"/>
            </w:tcBorders>
            <w:noWrap/>
            <w:vAlign w:val="center"/>
            <w:hideMark/>
          </w:tcPr>
          <w:p w14:paraId="4C4B8BF2" w14:textId="77777777" w:rsidR="00AF2AD7" w:rsidRPr="00AF2AD7" w:rsidRDefault="00AF2AD7" w:rsidP="008C2BD1">
            <w:pPr>
              <w:jc w:val="center"/>
              <w:rPr>
                <w:rFonts w:ascii="Arial" w:hAnsi="Arial" w:cs="Arial"/>
                <w:color w:val="000000"/>
                <w:lang w:val="en-IE" w:eastAsia="fr-FR"/>
              </w:rPr>
            </w:pPr>
            <w:r w:rsidRPr="00AF2AD7">
              <w:rPr>
                <w:rFonts w:ascii="Arial" w:hAnsi="Arial" w:cs="Arial"/>
                <w:color w:val="000000"/>
                <w:lang w:val="en-IE" w:eastAsia="fr-FR"/>
              </w:rPr>
              <w:t>3537 ± 133.30</w:t>
            </w:r>
          </w:p>
        </w:tc>
      </w:tr>
      <w:tr w:rsidR="00AF2AD7" w:rsidRPr="00AF2AD7" w14:paraId="41CAEA06" w14:textId="77777777" w:rsidTr="00AF2AD7">
        <w:trPr>
          <w:trHeight w:val="320"/>
        </w:trPr>
        <w:tc>
          <w:tcPr>
            <w:tcW w:w="2739" w:type="dxa"/>
            <w:tcBorders>
              <w:top w:val="nil"/>
              <w:bottom w:val="nil"/>
            </w:tcBorders>
            <w:noWrap/>
            <w:vAlign w:val="bottom"/>
            <w:hideMark/>
          </w:tcPr>
          <w:p w14:paraId="26D719F4" w14:textId="77777777" w:rsidR="00AF2AD7" w:rsidRPr="00AF2AD7" w:rsidRDefault="00AF2AD7" w:rsidP="008C2BD1">
            <w:pPr>
              <w:rPr>
                <w:rFonts w:ascii="Arial" w:hAnsi="Arial" w:cs="Arial"/>
                <w:color w:val="000000"/>
                <w:lang w:val="en-IE" w:eastAsia="fr-FR"/>
              </w:rPr>
            </w:pPr>
            <w:r w:rsidRPr="00AF2AD7">
              <w:rPr>
                <w:rFonts w:ascii="Arial" w:hAnsi="Arial" w:cs="Arial"/>
                <w:color w:val="000000"/>
                <w:lang w:val="en-IE" w:eastAsia="fr-FR"/>
              </w:rPr>
              <w:t>Mg</w:t>
            </w:r>
          </w:p>
        </w:tc>
        <w:tc>
          <w:tcPr>
            <w:tcW w:w="8534" w:type="dxa"/>
            <w:tcBorders>
              <w:top w:val="nil"/>
              <w:bottom w:val="nil"/>
            </w:tcBorders>
            <w:noWrap/>
            <w:vAlign w:val="center"/>
            <w:hideMark/>
          </w:tcPr>
          <w:p w14:paraId="250B6914" w14:textId="77777777" w:rsidR="00AF2AD7" w:rsidRPr="00AF2AD7" w:rsidRDefault="00AF2AD7" w:rsidP="008C2BD1">
            <w:pPr>
              <w:jc w:val="center"/>
              <w:rPr>
                <w:rFonts w:ascii="Arial" w:hAnsi="Arial" w:cs="Arial"/>
                <w:color w:val="000000"/>
                <w:lang w:val="en-IE" w:eastAsia="fr-FR"/>
              </w:rPr>
            </w:pPr>
            <w:r w:rsidRPr="00AF2AD7">
              <w:rPr>
                <w:rFonts w:ascii="Arial" w:hAnsi="Arial" w:cs="Arial"/>
                <w:color w:val="000000"/>
                <w:lang w:val="en-IE" w:eastAsia="fr-FR"/>
              </w:rPr>
              <w:t>18.95 ± 0.713</w:t>
            </w:r>
          </w:p>
        </w:tc>
      </w:tr>
      <w:tr w:rsidR="00AF2AD7" w:rsidRPr="00AF2AD7" w14:paraId="760653C8" w14:textId="77777777" w:rsidTr="00AF2AD7">
        <w:trPr>
          <w:trHeight w:val="320"/>
        </w:trPr>
        <w:tc>
          <w:tcPr>
            <w:tcW w:w="2739" w:type="dxa"/>
            <w:tcBorders>
              <w:top w:val="nil"/>
              <w:bottom w:val="nil"/>
            </w:tcBorders>
            <w:noWrap/>
            <w:vAlign w:val="bottom"/>
            <w:hideMark/>
          </w:tcPr>
          <w:p w14:paraId="2080C624" w14:textId="77777777" w:rsidR="00AF2AD7" w:rsidRPr="00AF2AD7" w:rsidRDefault="00AF2AD7" w:rsidP="008C2BD1">
            <w:pPr>
              <w:rPr>
                <w:rFonts w:ascii="Arial" w:hAnsi="Arial" w:cs="Arial"/>
                <w:color w:val="000000"/>
                <w:lang w:val="en-IE" w:eastAsia="fr-FR"/>
              </w:rPr>
            </w:pPr>
            <w:r w:rsidRPr="00AF2AD7">
              <w:rPr>
                <w:rFonts w:ascii="Arial" w:hAnsi="Arial" w:cs="Arial"/>
                <w:color w:val="000000"/>
                <w:lang w:val="en-IE" w:eastAsia="fr-FR"/>
              </w:rPr>
              <w:t>Zn</w:t>
            </w:r>
          </w:p>
        </w:tc>
        <w:tc>
          <w:tcPr>
            <w:tcW w:w="8534" w:type="dxa"/>
            <w:tcBorders>
              <w:top w:val="nil"/>
              <w:bottom w:val="nil"/>
            </w:tcBorders>
            <w:noWrap/>
            <w:vAlign w:val="center"/>
            <w:hideMark/>
          </w:tcPr>
          <w:p w14:paraId="073E2461" w14:textId="77777777" w:rsidR="00AF2AD7" w:rsidRPr="00AF2AD7" w:rsidRDefault="00AF2AD7" w:rsidP="008C2BD1">
            <w:pPr>
              <w:jc w:val="center"/>
              <w:rPr>
                <w:rFonts w:ascii="Arial" w:hAnsi="Arial" w:cs="Arial"/>
                <w:color w:val="000000"/>
                <w:lang w:val="en-IE" w:eastAsia="fr-FR"/>
              </w:rPr>
            </w:pPr>
            <w:r w:rsidRPr="00AF2AD7">
              <w:rPr>
                <w:rFonts w:ascii="Arial" w:hAnsi="Arial" w:cs="Arial"/>
                <w:color w:val="000000"/>
                <w:lang w:val="en-IE" w:eastAsia="fr-FR"/>
              </w:rPr>
              <w:t>11.13 ± 0.42</w:t>
            </w:r>
          </w:p>
        </w:tc>
      </w:tr>
      <w:tr w:rsidR="00AF2AD7" w:rsidRPr="00AF2AD7" w14:paraId="356C7F6F" w14:textId="77777777" w:rsidTr="00AF2AD7">
        <w:trPr>
          <w:trHeight w:val="320"/>
        </w:trPr>
        <w:tc>
          <w:tcPr>
            <w:tcW w:w="2739" w:type="dxa"/>
            <w:tcBorders>
              <w:top w:val="nil"/>
            </w:tcBorders>
            <w:noWrap/>
            <w:vAlign w:val="bottom"/>
            <w:hideMark/>
          </w:tcPr>
          <w:p w14:paraId="6BC928D9" w14:textId="77777777" w:rsidR="00AF2AD7" w:rsidRPr="00AF2AD7" w:rsidRDefault="00AF2AD7" w:rsidP="008C2BD1">
            <w:pPr>
              <w:rPr>
                <w:rFonts w:ascii="Arial" w:hAnsi="Arial" w:cs="Arial"/>
                <w:color w:val="000000"/>
                <w:lang w:val="en-IE" w:eastAsia="fr-FR"/>
              </w:rPr>
            </w:pPr>
            <w:r w:rsidRPr="00AF2AD7">
              <w:rPr>
                <w:rFonts w:ascii="Arial" w:hAnsi="Arial" w:cs="Arial"/>
                <w:color w:val="000000"/>
                <w:lang w:val="en-IE" w:eastAsia="fr-FR"/>
              </w:rPr>
              <w:t>Na/K</w:t>
            </w:r>
          </w:p>
        </w:tc>
        <w:tc>
          <w:tcPr>
            <w:tcW w:w="8534" w:type="dxa"/>
            <w:tcBorders>
              <w:top w:val="nil"/>
            </w:tcBorders>
            <w:noWrap/>
            <w:vAlign w:val="center"/>
            <w:hideMark/>
          </w:tcPr>
          <w:p w14:paraId="1F30FD27" w14:textId="77777777" w:rsidR="00AF2AD7" w:rsidRPr="00AF2AD7" w:rsidRDefault="00AF2AD7" w:rsidP="008C2BD1">
            <w:pPr>
              <w:jc w:val="center"/>
              <w:rPr>
                <w:rFonts w:ascii="Arial" w:hAnsi="Arial" w:cs="Arial"/>
                <w:color w:val="000000"/>
                <w:lang w:val="en-IE" w:eastAsia="fr-FR"/>
              </w:rPr>
            </w:pPr>
            <w:r w:rsidRPr="00AF2AD7">
              <w:rPr>
                <w:rFonts w:ascii="Arial" w:hAnsi="Arial" w:cs="Arial"/>
                <w:color w:val="000000"/>
                <w:lang w:val="en-IE" w:eastAsia="fr-FR"/>
              </w:rPr>
              <w:t>0.09 ± 0.010</w:t>
            </w:r>
          </w:p>
        </w:tc>
      </w:tr>
    </w:tbl>
    <w:p w14:paraId="1E619CFE" w14:textId="77777777" w:rsidR="00AF2AD7" w:rsidRPr="00AF2AD7" w:rsidRDefault="00AF2AD7" w:rsidP="00AF2AD7">
      <w:pPr>
        <w:jc w:val="center"/>
        <w:rPr>
          <w:rFonts w:ascii="Arial" w:hAnsi="Arial" w:cs="Arial"/>
          <w:lang w:val="en-IE"/>
        </w:rPr>
      </w:pPr>
      <w:r w:rsidRPr="00AF2AD7">
        <w:rPr>
          <w:rFonts w:ascii="Arial" w:hAnsi="Arial" w:cs="Arial"/>
          <w:lang w:val="en-IE"/>
        </w:rPr>
        <w:t xml:space="preserve">Values are expressed as mean ± SEM (n = 3); </w:t>
      </w:r>
      <w:r w:rsidRPr="00AF2AD7">
        <w:rPr>
          <w:rFonts w:ascii="Arial" w:hAnsi="Arial" w:cs="Arial"/>
          <w:bCs/>
          <w:color w:val="000000"/>
          <w:lang w:val="en-IE" w:eastAsia="fr-FR"/>
        </w:rPr>
        <w:t>DM</w:t>
      </w:r>
      <w:r w:rsidRPr="00AF2AD7">
        <w:rPr>
          <w:rFonts w:ascii="Arial" w:eastAsia="Calibri" w:hAnsi="Arial" w:cs="Arial"/>
          <w:lang w:val="en-IE"/>
        </w:rPr>
        <w:t>: dry matter</w:t>
      </w:r>
    </w:p>
    <w:p w14:paraId="21D083AF" w14:textId="7C5A37D1" w:rsidR="00AF2AD7" w:rsidRPr="00AF2AD7" w:rsidRDefault="00AF2AD7" w:rsidP="00AF2AD7">
      <w:pPr>
        <w:keepNext/>
        <w:spacing w:line="276" w:lineRule="auto"/>
        <w:jc w:val="both"/>
        <w:rPr>
          <w:rFonts w:ascii="Arial" w:eastAsia="Calibri" w:hAnsi="Arial" w:cs="Arial"/>
          <w:iCs/>
          <w:lang w:val="en-IE"/>
        </w:rPr>
      </w:pPr>
      <w:r w:rsidRPr="00AF2AD7">
        <w:rPr>
          <w:rFonts w:ascii="Arial" w:eastAsia="Calibri" w:hAnsi="Arial" w:cs="Arial"/>
          <w:b/>
          <w:iCs/>
          <w:lang w:val="en-IE"/>
        </w:rPr>
        <w:t>Table</w:t>
      </w:r>
      <w:r w:rsidR="00D31613">
        <w:rPr>
          <w:rFonts w:ascii="Arial" w:eastAsia="Calibri" w:hAnsi="Arial" w:cs="Arial"/>
          <w:b/>
          <w:iCs/>
          <w:lang w:val="en-IE"/>
        </w:rPr>
        <w:t xml:space="preserve"> 2</w:t>
      </w:r>
      <w:r w:rsidRPr="00AF2AD7">
        <w:rPr>
          <w:rFonts w:ascii="Arial" w:eastAsia="Calibri" w:hAnsi="Arial" w:cs="Arial"/>
          <w:b/>
          <w:iCs/>
          <w:lang w:val="en-IE"/>
        </w:rPr>
        <w:t>:</w:t>
      </w:r>
      <w:r w:rsidRPr="00AF2AD7">
        <w:rPr>
          <w:rFonts w:ascii="Arial" w:eastAsia="Calibri" w:hAnsi="Arial" w:cs="Arial"/>
          <w:iCs/>
          <w:lang w:val="en-IE"/>
        </w:rPr>
        <w:t xml:space="preserve"> Macronutrient Content and Energy Value of </w:t>
      </w:r>
      <w:r w:rsidR="009A395D" w:rsidRPr="009A395D">
        <w:rPr>
          <w:rFonts w:ascii="Arial" w:eastAsia="Calibri" w:hAnsi="Arial" w:cs="Arial"/>
          <w:i/>
          <w:lang w:val="en-IE"/>
        </w:rPr>
        <w:t>C. cajan</w:t>
      </w:r>
      <w:r w:rsidRPr="00AF2AD7">
        <w:rPr>
          <w:rFonts w:ascii="Arial" w:eastAsia="Calibri" w:hAnsi="Arial" w:cs="Arial"/>
          <w:iCs/>
          <w:lang w:val="en-IE"/>
        </w:rPr>
        <w:t xml:space="preserve"> Leaves</w:t>
      </w:r>
    </w:p>
    <w:tbl>
      <w:tblPr>
        <w:tblW w:w="50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809"/>
        <w:gridCol w:w="1836"/>
        <w:gridCol w:w="2097"/>
        <w:gridCol w:w="1429"/>
        <w:gridCol w:w="1283"/>
        <w:gridCol w:w="1167"/>
        <w:gridCol w:w="997"/>
        <w:gridCol w:w="1410"/>
        <w:gridCol w:w="1356"/>
      </w:tblGrid>
      <w:tr w:rsidR="00AF2AD7" w:rsidRPr="00AF2AD7" w14:paraId="1BC29258" w14:textId="77777777" w:rsidTr="008F13DD">
        <w:trPr>
          <w:trHeight w:val="575"/>
          <w:jc w:val="center"/>
        </w:trPr>
        <w:tc>
          <w:tcPr>
            <w:tcW w:w="565" w:type="pct"/>
            <w:tcBorders>
              <w:top w:val="single" w:sz="8" w:space="0" w:color="auto"/>
              <w:left w:val="nil"/>
              <w:bottom w:val="single" w:sz="8" w:space="0" w:color="auto"/>
            </w:tcBorders>
            <w:noWrap/>
            <w:hideMark/>
          </w:tcPr>
          <w:p w14:paraId="57588805" w14:textId="77777777" w:rsidR="00AF2AD7" w:rsidRPr="00AF2AD7" w:rsidRDefault="00AF2AD7" w:rsidP="008C2BD1">
            <w:pPr>
              <w:rPr>
                <w:rFonts w:ascii="Arial" w:hAnsi="Arial" w:cs="Arial"/>
                <w:b/>
                <w:color w:val="000000"/>
                <w:lang w:val="en-IE" w:eastAsia="fr-FR"/>
              </w:rPr>
            </w:pPr>
          </w:p>
          <w:p w14:paraId="7A671189" w14:textId="77777777" w:rsidR="00AF2AD7" w:rsidRPr="00AF2AD7" w:rsidRDefault="00AF2AD7" w:rsidP="008C2BD1">
            <w:pPr>
              <w:rPr>
                <w:rFonts w:ascii="Arial" w:hAnsi="Arial" w:cs="Arial"/>
                <w:b/>
                <w:color w:val="000000"/>
                <w:lang w:val="en-IE" w:eastAsia="fr-FR"/>
              </w:rPr>
            </w:pPr>
            <w:r w:rsidRPr="00AF2AD7">
              <w:rPr>
                <w:rFonts w:ascii="Arial" w:hAnsi="Arial" w:cs="Arial"/>
                <w:b/>
                <w:color w:val="000000"/>
                <w:lang w:val="en-IE" w:eastAsia="fr-FR"/>
              </w:rPr>
              <w:t>Parameters</w:t>
            </w:r>
          </w:p>
        </w:tc>
        <w:tc>
          <w:tcPr>
            <w:tcW w:w="521" w:type="pct"/>
            <w:tcBorders>
              <w:top w:val="single" w:sz="8" w:space="0" w:color="auto"/>
              <w:bottom w:val="single" w:sz="8" w:space="0" w:color="auto"/>
            </w:tcBorders>
            <w:noWrap/>
            <w:hideMark/>
          </w:tcPr>
          <w:p w14:paraId="5F18C049" w14:textId="77777777" w:rsidR="00AF2AD7" w:rsidRPr="00AF2AD7" w:rsidRDefault="00AF2AD7" w:rsidP="008C2BD1">
            <w:pPr>
              <w:jc w:val="center"/>
              <w:rPr>
                <w:rFonts w:ascii="Arial" w:hAnsi="Arial" w:cs="Arial"/>
                <w:b/>
                <w:bCs/>
                <w:color w:val="000000"/>
                <w:lang w:val="en-IE" w:eastAsia="fr-FR"/>
              </w:rPr>
            </w:pPr>
            <w:r w:rsidRPr="00AF2AD7">
              <w:rPr>
                <w:rFonts w:ascii="Arial" w:hAnsi="Arial" w:cs="Arial"/>
                <w:b/>
                <w:bCs/>
                <w:color w:val="000000"/>
                <w:lang w:val="en-IE" w:eastAsia="fr-FR"/>
              </w:rPr>
              <w:t>Total carbohydrates (g/100g DM)</w:t>
            </w:r>
          </w:p>
        </w:tc>
        <w:tc>
          <w:tcPr>
            <w:tcW w:w="613" w:type="pct"/>
            <w:tcBorders>
              <w:top w:val="single" w:sz="8" w:space="0" w:color="auto"/>
              <w:bottom w:val="single" w:sz="8" w:space="0" w:color="auto"/>
            </w:tcBorders>
            <w:noWrap/>
            <w:hideMark/>
          </w:tcPr>
          <w:p w14:paraId="539592C0" w14:textId="77777777" w:rsidR="00AF2AD7" w:rsidRPr="00AF2AD7" w:rsidRDefault="00AF2AD7" w:rsidP="008C2BD1">
            <w:pPr>
              <w:jc w:val="center"/>
              <w:rPr>
                <w:rFonts w:ascii="Arial" w:hAnsi="Arial" w:cs="Arial"/>
                <w:b/>
                <w:bCs/>
                <w:color w:val="000000"/>
                <w:lang w:val="en-IE" w:eastAsia="fr-FR"/>
              </w:rPr>
            </w:pPr>
            <w:r w:rsidRPr="00AF2AD7">
              <w:rPr>
                <w:rFonts w:ascii="Arial" w:hAnsi="Arial" w:cs="Arial"/>
                <w:b/>
                <w:bCs/>
                <w:color w:val="000000"/>
                <w:lang w:val="en-IE" w:eastAsia="fr-FR"/>
              </w:rPr>
              <w:t>Digestible carbohydrates (g/100g DM)</w:t>
            </w:r>
          </w:p>
        </w:tc>
        <w:tc>
          <w:tcPr>
            <w:tcW w:w="611" w:type="pct"/>
            <w:tcBorders>
              <w:top w:val="single" w:sz="8" w:space="0" w:color="auto"/>
              <w:bottom w:val="single" w:sz="8" w:space="0" w:color="auto"/>
            </w:tcBorders>
            <w:noWrap/>
            <w:hideMark/>
          </w:tcPr>
          <w:p w14:paraId="2C2BAE9C" w14:textId="77777777" w:rsidR="00AF2AD7" w:rsidRPr="00AF2AD7" w:rsidRDefault="00AF2AD7" w:rsidP="008C2BD1">
            <w:pPr>
              <w:jc w:val="center"/>
              <w:rPr>
                <w:rFonts w:ascii="Arial" w:hAnsi="Arial" w:cs="Arial"/>
                <w:b/>
                <w:bCs/>
                <w:color w:val="000000"/>
                <w:lang w:val="en-IE" w:eastAsia="fr-FR"/>
              </w:rPr>
            </w:pPr>
            <w:r w:rsidRPr="00AF2AD7">
              <w:rPr>
                <w:rFonts w:ascii="Arial" w:hAnsi="Arial" w:cs="Arial"/>
                <w:b/>
                <w:bCs/>
                <w:color w:val="000000"/>
                <w:lang w:val="en-IE" w:eastAsia="fr-FR"/>
              </w:rPr>
              <w:t>Dietary fibre (g/100g DM)</w:t>
            </w:r>
          </w:p>
        </w:tc>
        <w:tc>
          <w:tcPr>
            <w:tcW w:w="566" w:type="pct"/>
            <w:tcBorders>
              <w:top w:val="single" w:sz="8" w:space="0" w:color="auto"/>
              <w:bottom w:val="single" w:sz="8" w:space="0" w:color="auto"/>
            </w:tcBorders>
            <w:noWrap/>
            <w:hideMark/>
          </w:tcPr>
          <w:p w14:paraId="22D66EDD" w14:textId="333C1B6B" w:rsidR="00AF2AD7" w:rsidRPr="00AF2AD7" w:rsidRDefault="00BE453C" w:rsidP="008C2BD1">
            <w:pPr>
              <w:jc w:val="center"/>
              <w:rPr>
                <w:rFonts w:ascii="Arial" w:hAnsi="Arial" w:cs="Arial"/>
                <w:b/>
                <w:bCs/>
                <w:color w:val="000000"/>
                <w:lang w:val="en-IE" w:eastAsia="fr-FR"/>
              </w:rPr>
            </w:pPr>
            <w:r>
              <w:rPr>
                <w:rFonts w:ascii="Arial" w:hAnsi="Arial" w:cs="Arial"/>
                <w:b/>
                <w:bCs/>
                <w:color w:val="000000"/>
                <w:lang w:val="en-IE" w:eastAsia="fr-FR"/>
              </w:rPr>
              <w:t xml:space="preserve"> crude</w:t>
            </w:r>
            <w:r w:rsidR="007C7A43" w:rsidRPr="007C7A43">
              <w:rPr>
                <w:rFonts w:ascii="Arial" w:hAnsi="Arial" w:cs="Arial"/>
                <w:b/>
                <w:bCs/>
                <w:color w:val="000000"/>
                <w:lang w:val="en-IE" w:eastAsia="fr-FR"/>
              </w:rPr>
              <w:t xml:space="preserve"> fat </w:t>
            </w:r>
            <w:r w:rsidR="00AF2AD7" w:rsidRPr="00AF2AD7">
              <w:rPr>
                <w:rFonts w:ascii="Arial" w:hAnsi="Arial" w:cs="Arial"/>
                <w:b/>
                <w:bCs/>
                <w:color w:val="000000"/>
                <w:lang w:val="en-IE" w:eastAsia="fr-FR"/>
              </w:rPr>
              <w:t>(g/100g DM)</w:t>
            </w:r>
          </w:p>
        </w:tc>
        <w:tc>
          <w:tcPr>
            <w:tcW w:w="519" w:type="pct"/>
            <w:tcBorders>
              <w:top w:val="single" w:sz="8" w:space="0" w:color="auto"/>
              <w:bottom w:val="single" w:sz="8" w:space="0" w:color="auto"/>
            </w:tcBorders>
            <w:noWrap/>
            <w:hideMark/>
          </w:tcPr>
          <w:p w14:paraId="1767E61C" w14:textId="77777777" w:rsidR="00AF2AD7" w:rsidRPr="00AF2AD7" w:rsidRDefault="00AF2AD7" w:rsidP="008C2BD1">
            <w:pPr>
              <w:jc w:val="center"/>
              <w:rPr>
                <w:rFonts w:ascii="Arial" w:hAnsi="Arial" w:cs="Arial"/>
                <w:b/>
                <w:bCs/>
                <w:color w:val="000000"/>
                <w:lang w:val="en-IE" w:eastAsia="fr-FR"/>
              </w:rPr>
            </w:pPr>
            <w:r w:rsidRPr="00AF2AD7">
              <w:rPr>
                <w:rFonts w:ascii="Arial" w:hAnsi="Arial" w:cs="Arial"/>
                <w:b/>
                <w:bCs/>
                <w:color w:val="000000"/>
                <w:lang w:val="en-IE" w:eastAsia="fr-FR"/>
              </w:rPr>
              <w:t>Protein (g/100g DM)</w:t>
            </w:r>
          </w:p>
        </w:tc>
        <w:tc>
          <w:tcPr>
            <w:tcW w:w="566" w:type="pct"/>
            <w:tcBorders>
              <w:top w:val="single" w:sz="8" w:space="0" w:color="auto"/>
              <w:bottom w:val="single" w:sz="8" w:space="0" w:color="auto"/>
            </w:tcBorders>
            <w:noWrap/>
            <w:hideMark/>
          </w:tcPr>
          <w:p w14:paraId="07F38123" w14:textId="77777777" w:rsidR="00AF2AD7" w:rsidRPr="00AF2AD7" w:rsidRDefault="00AF2AD7" w:rsidP="008C2BD1">
            <w:pPr>
              <w:jc w:val="center"/>
              <w:rPr>
                <w:rFonts w:ascii="Arial" w:hAnsi="Arial" w:cs="Arial"/>
                <w:b/>
                <w:bCs/>
                <w:color w:val="000000"/>
                <w:lang w:val="en-IE" w:eastAsia="fr-FR"/>
              </w:rPr>
            </w:pPr>
            <w:r w:rsidRPr="00AF2AD7">
              <w:rPr>
                <w:rFonts w:ascii="Arial" w:hAnsi="Arial" w:cs="Arial"/>
                <w:b/>
                <w:bCs/>
                <w:color w:val="000000"/>
                <w:lang w:val="en-IE" w:eastAsia="fr-FR"/>
              </w:rPr>
              <w:t>Ash (g/100g DM)</w:t>
            </w:r>
          </w:p>
        </w:tc>
        <w:tc>
          <w:tcPr>
            <w:tcW w:w="472" w:type="pct"/>
            <w:tcBorders>
              <w:top w:val="single" w:sz="8" w:space="0" w:color="auto"/>
              <w:bottom w:val="single" w:sz="8" w:space="0" w:color="auto"/>
            </w:tcBorders>
            <w:noWrap/>
            <w:hideMark/>
          </w:tcPr>
          <w:p w14:paraId="23ADE1B3" w14:textId="77777777" w:rsidR="00AF2AD7" w:rsidRPr="00AF2AD7" w:rsidRDefault="00AF2AD7" w:rsidP="008C2BD1">
            <w:pPr>
              <w:jc w:val="center"/>
              <w:rPr>
                <w:rFonts w:ascii="Arial" w:hAnsi="Arial" w:cs="Arial"/>
                <w:b/>
                <w:bCs/>
                <w:color w:val="000000"/>
                <w:lang w:val="en-IE" w:eastAsia="fr-FR"/>
              </w:rPr>
            </w:pPr>
            <w:r w:rsidRPr="00AF2AD7">
              <w:rPr>
                <w:rFonts w:ascii="Arial" w:hAnsi="Arial" w:cs="Arial"/>
                <w:b/>
                <w:bCs/>
                <w:color w:val="000000"/>
                <w:lang w:val="en-IE" w:eastAsia="fr-FR"/>
              </w:rPr>
              <w:t>Moisture content (% FM)</w:t>
            </w:r>
          </w:p>
        </w:tc>
        <w:tc>
          <w:tcPr>
            <w:tcW w:w="566" w:type="pct"/>
            <w:tcBorders>
              <w:top w:val="single" w:sz="8" w:space="0" w:color="auto"/>
              <w:bottom w:val="single" w:sz="8" w:space="0" w:color="auto"/>
              <w:right w:val="nil"/>
            </w:tcBorders>
            <w:noWrap/>
            <w:hideMark/>
          </w:tcPr>
          <w:p w14:paraId="60B85C87" w14:textId="77777777" w:rsidR="00AF2AD7" w:rsidRPr="00AF2AD7" w:rsidRDefault="00AF2AD7" w:rsidP="008C2BD1">
            <w:pPr>
              <w:jc w:val="center"/>
              <w:rPr>
                <w:rFonts w:ascii="Arial" w:hAnsi="Arial" w:cs="Arial"/>
                <w:b/>
                <w:bCs/>
                <w:color w:val="000000"/>
                <w:lang w:val="en-IE" w:eastAsia="fr-FR"/>
              </w:rPr>
            </w:pPr>
            <w:r w:rsidRPr="00AF2AD7">
              <w:rPr>
                <w:rFonts w:ascii="Arial" w:hAnsi="Arial" w:cs="Arial"/>
                <w:b/>
                <w:bCs/>
                <w:color w:val="000000"/>
                <w:lang w:val="en-IE" w:eastAsia="fr-FR"/>
              </w:rPr>
              <w:t>Energy (Kcal/100 g DM)</w:t>
            </w:r>
          </w:p>
        </w:tc>
      </w:tr>
      <w:tr w:rsidR="00AF2AD7" w:rsidRPr="00AF2AD7" w14:paraId="0FF319DB" w14:textId="77777777" w:rsidTr="008F13DD">
        <w:trPr>
          <w:trHeight w:val="300"/>
          <w:jc w:val="center"/>
        </w:trPr>
        <w:tc>
          <w:tcPr>
            <w:tcW w:w="565" w:type="pct"/>
            <w:tcBorders>
              <w:top w:val="nil"/>
              <w:left w:val="nil"/>
              <w:bottom w:val="single" w:sz="8" w:space="0" w:color="auto"/>
            </w:tcBorders>
            <w:noWrap/>
            <w:hideMark/>
          </w:tcPr>
          <w:p w14:paraId="1274F1A5" w14:textId="77777777" w:rsidR="00AF2AD7" w:rsidRPr="00AF2AD7" w:rsidRDefault="00AF2AD7" w:rsidP="008C2BD1">
            <w:pPr>
              <w:rPr>
                <w:rFonts w:ascii="Arial" w:hAnsi="Arial" w:cs="Arial"/>
                <w:b/>
                <w:color w:val="000000"/>
                <w:lang w:val="en-IE" w:eastAsia="fr-FR"/>
              </w:rPr>
            </w:pPr>
            <w:r w:rsidRPr="00AF2AD7">
              <w:rPr>
                <w:rFonts w:ascii="Arial" w:hAnsi="Arial" w:cs="Arial"/>
                <w:b/>
                <w:color w:val="000000"/>
                <w:lang w:val="en-IE" w:eastAsia="fr-FR"/>
              </w:rPr>
              <w:t xml:space="preserve">Mean ±  SEM </w:t>
            </w:r>
          </w:p>
        </w:tc>
        <w:tc>
          <w:tcPr>
            <w:tcW w:w="521" w:type="pct"/>
            <w:tcBorders>
              <w:top w:val="nil"/>
              <w:bottom w:val="single" w:sz="8" w:space="0" w:color="auto"/>
            </w:tcBorders>
            <w:noWrap/>
            <w:hideMark/>
          </w:tcPr>
          <w:p w14:paraId="2B66F8D8" w14:textId="77777777" w:rsidR="00AF2AD7" w:rsidRPr="00AF2AD7" w:rsidRDefault="00AF2AD7" w:rsidP="008C2BD1">
            <w:pPr>
              <w:jc w:val="center"/>
              <w:rPr>
                <w:rFonts w:ascii="Arial" w:hAnsi="Arial" w:cs="Arial"/>
                <w:color w:val="000000"/>
                <w:lang w:val="en-IE" w:eastAsia="fr-FR"/>
              </w:rPr>
            </w:pPr>
            <w:r w:rsidRPr="00AF2AD7">
              <w:rPr>
                <w:rFonts w:ascii="Arial" w:hAnsi="Arial" w:cs="Arial"/>
                <w:lang w:val="en-IE" w:eastAsia="fr-FR"/>
              </w:rPr>
              <w:t xml:space="preserve">61.22 </w:t>
            </w:r>
            <w:r w:rsidRPr="00AF2AD7">
              <w:rPr>
                <w:rFonts w:ascii="Arial" w:hAnsi="Arial" w:cs="Arial"/>
                <w:color w:val="000000"/>
                <w:lang w:val="en-IE" w:eastAsia="fr-FR"/>
              </w:rPr>
              <w:t xml:space="preserve">± </w:t>
            </w:r>
            <w:r w:rsidRPr="00AF2AD7">
              <w:rPr>
                <w:rFonts w:ascii="Arial" w:hAnsi="Arial" w:cs="Arial"/>
                <w:lang w:val="en-IE" w:eastAsia="fr-FR"/>
              </w:rPr>
              <w:t>1.04</w:t>
            </w:r>
          </w:p>
        </w:tc>
        <w:tc>
          <w:tcPr>
            <w:tcW w:w="613" w:type="pct"/>
            <w:tcBorders>
              <w:top w:val="nil"/>
              <w:bottom w:val="single" w:sz="8" w:space="0" w:color="auto"/>
            </w:tcBorders>
            <w:noWrap/>
            <w:hideMark/>
          </w:tcPr>
          <w:p w14:paraId="28654F43" w14:textId="77777777" w:rsidR="00AF2AD7" w:rsidRPr="00AF2AD7" w:rsidRDefault="00AF2AD7" w:rsidP="008C2BD1">
            <w:pPr>
              <w:jc w:val="center"/>
              <w:rPr>
                <w:rFonts w:ascii="Arial" w:hAnsi="Arial" w:cs="Arial"/>
                <w:color w:val="000000"/>
                <w:lang w:val="en-IE" w:eastAsia="fr-FR"/>
              </w:rPr>
            </w:pPr>
            <w:r w:rsidRPr="00AF2AD7">
              <w:rPr>
                <w:rFonts w:ascii="Arial" w:hAnsi="Arial" w:cs="Arial"/>
                <w:lang w:val="en-IE" w:eastAsia="fr-FR"/>
              </w:rPr>
              <w:t xml:space="preserve">47.77 </w:t>
            </w:r>
            <w:r w:rsidRPr="00AF2AD7">
              <w:rPr>
                <w:rFonts w:ascii="Arial" w:hAnsi="Arial" w:cs="Arial"/>
                <w:color w:val="000000"/>
                <w:lang w:val="en-IE" w:eastAsia="fr-FR"/>
              </w:rPr>
              <w:t xml:space="preserve">± </w:t>
            </w:r>
            <w:r w:rsidRPr="00AF2AD7">
              <w:rPr>
                <w:rFonts w:ascii="Arial" w:hAnsi="Arial" w:cs="Arial"/>
                <w:lang w:val="en-IE" w:eastAsia="fr-FR"/>
              </w:rPr>
              <w:t>1.59</w:t>
            </w:r>
          </w:p>
        </w:tc>
        <w:tc>
          <w:tcPr>
            <w:tcW w:w="611" w:type="pct"/>
            <w:tcBorders>
              <w:top w:val="nil"/>
              <w:bottom w:val="single" w:sz="8" w:space="0" w:color="auto"/>
            </w:tcBorders>
            <w:noWrap/>
            <w:hideMark/>
          </w:tcPr>
          <w:p w14:paraId="519E7A2E" w14:textId="77777777" w:rsidR="00AF2AD7" w:rsidRPr="00AF2AD7" w:rsidRDefault="00AF2AD7" w:rsidP="008C2BD1">
            <w:pPr>
              <w:jc w:val="center"/>
              <w:rPr>
                <w:rFonts w:ascii="Arial" w:hAnsi="Arial" w:cs="Arial"/>
                <w:color w:val="000000"/>
                <w:lang w:val="en-IE" w:eastAsia="fr-FR"/>
              </w:rPr>
            </w:pPr>
            <w:r w:rsidRPr="00AF2AD7">
              <w:rPr>
                <w:rFonts w:ascii="Arial" w:hAnsi="Arial" w:cs="Arial"/>
                <w:lang w:val="en-IE" w:eastAsia="fr-FR"/>
              </w:rPr>
              <w:t xml:space="preserve">13.45 </w:t>
            </w:r>
            <w:r w:rsidRPr="00AF2AD7">
              <w:rPr>
                <w:rFonts w:ascii="Arial" w:hAnsi="Arial" w:cs="Arial"/>
                <w:color w:val="000000"/>
                <w:lang w:val="en-IE" w:eastAsia="fr-FR"/>
              </w:rPr>
              <w:t xml:space="preserve">± </w:t>
            </w:r>
            <w:r w:rsidRPr="00AF2AD7">
              <w:rPr>
                <w:rFonts w:ascii="Arial" w:hAnsi="Arial" w:cs="Arial"/>
                <w:lang w:val="en-IE" w:eastAsia="fr-FR"/>
              </w:rPr>
              <w:t>1.32</w:t>
            </w:r>
          </w:p>
        </w:tc>
        <w:tc>
          <w:tcPr>
            <w:tcW w:w="566" w:type="pct"/>
            <w:tcBorders>
              <w:top w:val="nil"/>
              <w:bottom w:val="single" w:sz="8" w:space="0" w:color="auto"/>
            </w:tcBorders>
            <w:noWrap/>
            <w:hideMark/>
          </w:tcPr>
          <w:p w14:paraId="47C2236F" w14:textId="77777777" w:rsidR="00AF2AD7" w:rsidRPr="00AF2AD7" w:rsidRDefault="00AF2AD7" w:rsidP="008C2BD1">
            <w:pPr>
              <w:jc w:val="center"/>
              <w:rPr>
                <w:rFonts w:ascii="Arial" w:hAnsi="Arial" w:cs="Arial"/>
                <w:color w:val="000000"/>
                <w:lang w:val="en-IE" w:eastAsia="fr-FR"/>
              </w:rPr>
            </w:pPr>
            <w:r w:rsidRPr="00AF2AD7">
              <w:rPr>
                <w:rFonts w:ascii="Arial" w:hAnsi="Arial" w:cs="Arial"/>
                <w:lang w:val="en-IE" w:eastAsia="fr-FR"/>
              </w:rPr>
              <w:t xml:space="preserve">3.06 </w:t>
            </w:r>
            <w:r w:rsidRPr="00AF2AD7">
              <w:rPr>
                <w:rFonts w:ascii="Arial" w:hAnsi="Arial" w:cs="Arial"/>
                <w:color w:val="000000"/>
                <w:lang w:val="en-IE" w:eastAsia="fr-FR"/>
              </w:rPr>
              <w:t xml:space="preserve">± </w:t>
            </w:r>
            <w:r w:rsidRPr="00AF2AD7">
              <w:rPr>
                <w:rFonts w:ascii="Arial" w:hAnsi="Arial" w:cs="Arial"/>
                <w:lang w:val="en-IE" w:eastAsia="fr-FR"/>
              </w:rPr>
              <w:t>0.43</w:t>
            </w:r>
          </w:p>
        </w:tc>
        <w:tc>
          <w:tcPr>
            <w:tcW w:w="519" w:type="pct"/>
            <w:tcBorders>
              <w:top w:val="nil"/>
              <w:bottom w:val="single" w:sz="8" w:space="0" w:color="auto"/>
            </w:tcBorders>
            <w:noWrap/>
            <w:hideMark/>
          </w:tcPr>
          <w:p w14:paraId="7DD6224D" w14:textId="77777777" w:rsidR="00AF2AD7" w:rsidRPr="00AF2AD7" w:rsidRDefault="00AF2AD7" w:rsidP="008C2BD1">
            <w:pPr>
              <w:jc w:val="center"/>
              <w:rPr>
                <w:rFonts w:ascii="Arial" w:hAnsi="Arial" w:cs="Arial"/>
                <w:color w:val="000000"/>
                <w:lang w:val="en-IE" w:eastAsia="fr-FR"/>
              </w:rPr>
            </w:pPr>
            <w:r w:rsidRPr="00AF2AD7">
              <w:rPr>
                <w:rFonts w:ascii="Arial" w:hAnsi="Arial" w:cs="Arial"/>
                <w:lang w:val="en-IE" w:eastAsia="fr-FR"/>
              </w:rPr>
              <w:t xml:space="preserve">29.14 </w:t>
            </w:r>
            <w:r w:rsidRPr="00AF2AD7">
              <w:rPr>
                <w:rFonts w:ascii="Arial" w:hAnsi="Arial" w:cs="Arial"/>
                <w:color w:val="000000"/>
                <w:lang w:val="en-IE" w:eastAsia="fr-FR"/>
              </w:rPr>
              <w:t xml:space="preserve">± </w:t>
            </w:r>
            <w:r w:rsidRPr="00AF2AD7">
              <w:rPr>
                <w:rFonts w:ascii="Arial" w:hAnsi="Arial" w:cs="Arial"/>
                <w:lang w:val="en-IE" w:eastAsia="fr-FR"/>
              </w:rPr>
              <w:t>1.09</w:t>
            </w:r>
          </w:p>
        </w:tc>
        <w:tc>
          <w:tcPr>
            <w:tcW w:w="566" w:type="pct"/>
            <w:tcBorders>
              <w:top w:val="nil"/>
              <w:bottom w:val="single" w:sz="8" w:space="0" w:color="auto"/>
            </w:tcBorders>
            <w:noWrap/>
            <w:hideMark/>
          </w:tcPr>
          <w:p w14:paraId="1AEEE108" w14:textId="77777777" w:rsidR="00AF2AD7" w:rsidRPr="00AF2AD7" w:rsidRDefault="00AF2AD7" w:rsidP="008C2BD1">
            <w:pPr>
              <w:jc w:val="center"/>
              <w:rPr>
                <w:rFonts w:ascii="Arial" w:hAnsi="Arial" w:cs="Arial"/>
                <w:color w:val="000000"/>
                <w:lang w:val="en-IE" w:eastAsia="fr-FR"/>
              </w:rPr>
            </w:pPr>
            <w:r w:rsidRPr="00AF2AD7">
              <w:rPr>
                <w:rFonts w:ascii="Arial" w:hAnsi="Arial" w:cs="Arial"/>
                <w:lang w:val="en-IE" w:eastAsia="fr-FR"/>
              </w:rPr>
              <w:t>6.57</w:t>
            </w:r>
            <w:r w:rsidRPr="00AF2AD7">
              <w:rPr>
                <w:rFonts w:ascii="Arial" w:hAnsi="Arial" w:cs="Arial"/>
                <w:color w:val="000000"/>
                <w:lang w:val="en-IE" w:eastAsia="fr-FR"/>
              </w:rPr>
              <w:t xml:space="preserve"> ± </w:t>
            </w:r>
            <w:r w:rsidRPr="00AF2AD7">
              <w:rPr>
                <w:rFonts w:ascii="Arial" w:hAnsi="Arial" w:cs="Arial"/>
                <w:lang w:val="en-IE" w:eastAsia="fr-FR"/>
              </w:rPr>
              <w:t>0.25</w:t>
            </w:r>
          </w:p>
        </w:tc>
        <w:tc>
          <w:tcPr>
            <w:tcW w:w="472" w:type="pct"/>
            <w:tcBorders>
              <w:top w:val="nil"/>
              <w:bottom w:val="single" w:sz="8" w:space="0" w:color="auto"/>
            </w:tcBorders>
            <w:noWrap/>
            <w:hideMark/>
          </w:tcPr>
          <w:p w14:paraId="593BA986" w14:textId="77777777" w:rsidR="00AF2AD7" w:rsidRPr="00AF2AD7" w:rsidRDefault="00AF2AD7" w:rsidP="008C2BD1">
            <w:pPr>
              <w:jc w:val="center"/>
              <w:rPr>
                <w:rFonts w:ascii="Arial" w:hAnsi="Arial" w:cs="Arial"/>
                <w:color w:val="000000"/>
                <w:lang w:val="en-IE" w:eastAsia="fr-FR"/>
              </w:rPr>
            </w:pPr>
            <w:r w:rsidRPr="00AF2AD7">
              <w:rPr>
                <w:rFonts w:ascii="Arial" w:hAnsi="Arial" w:cs="Arial"/>
                <w:lang w:val="en-IE" w:eastAsia="fr-FR"/>
              </w:rPr>
              <w:t xml:space="preserve">89.65 </w:t>
            </w:r>
            <w:r w:rsidRPr="00AF2AD7">
              <w:rPr>
                <w:rFonts w:ascii="Arial" w:hAnsi="Arial" w:cs="Arial"/>
                <w:color w:val="000000"/>
                <w:lang w:val="en-IE" w:eastAsia="fr-FR"/>
              </w:rPr>
              <w:t xml:space="preserve">± </w:t>
            </w:r>
            <w:r w:rsidRPr="00AF2AD7">
              <w:rPr>
                <w:rFonts w:ascii="Arial" w:hAnsi="Arial" w:cs="Arial"/>
                <w:lang w:val="en-IE" w:eastAsia="fr-FR"/>
              </w:rPr>
              <w:t>0.91</w:t>
            </w:r>
          </w:p>
        </w:tc>
        <w:tc>
          <w:tcPr>
            <w:tcW w:w="566" w:type="pct"/>
            <w:tcBorders>
              <w:top w:val="nil"/>
              <w:bottom w:val="single" w:sz="8" w:space="0" w:color="auto"/>
              <w:right w:val="nil"/>
            </w:tcBorders>
            <w:noWrap/>
            <w:hideMark/>
          </w:tcPr>
          <w:p w14:paraId="60E36DAB" w14:textId="77777777" w:rsidR="00AF2AD7" w:rsidRPr="00AF2AD7" w:rsidRDefault="00AF2AD7" w:rsidP="008C2BD1">
            <w:pPr>
              <w:jc w:val="center"/>
              <w:rPr>
                <w:rFonts w:ascii="Arial" w:hAnsi="Arial" w:cs="Arial"/>
                <w:color w:val="000000"/>
                <w:lang w:val="en-IE" w:eastAsia="fr-FR"/>
              </w:rPr>
            </w:pPr>
            <w:r w:rsidRPr="00AF2AD7">
              <w:rPr>
                <w:rFonts w:ascii="Arial" w:hAnsi="Arial" w:cs="Arial"/>
                <w:color w:val="000000"/>
                <w:lang w:val="en-IE" w:eastAsia="fr-FR"/>
              </w:rPr>
              <w:t>335.21 ± 0.05</w:t>
            </w:r>
          </w:p>
        </w:tc>
      </w:tr>
    </w:tbl>
    <w:p w14:paraId="7C33AD23" w14:textId="77777777" w:rsidR="00AF2AD7" w:rsidRPr="00AF2AD7" w:rsidRDefault="00AF2AD7" w:rsidP="00AF2AD7">
      <w:pPr>
        <w:tabs>
          <w:tab w:val="left" w:pos="1530"/>
        </w:tabs>
        <w:spacing w:after="200" w:line="276" w:lineRule="auto"/>
        <w:jc w:val="both"/>
        <w:rPr>
          <w:rFonts w:ascii="Arial" w:eastAsia="Calibri" w:hAnsi="Arial" w:cs="Arial"/>
          <w:lang w:val="en-IE"/>
        </w:rPr>
      </w:pPr>
      <w:r w:rsidRPr="00AF2AD7">
        <w:rPr>
          <w:rFonts w:ascii="Arial" w:eastAsia="Calibri" w:hAnsi="Arial" w:cs="Arial"/>
          <w:lang w:val="en-IE"/>
        </w:rPr>
        <w:t xml:space="preserve">Values are expressed as mean ± SEM SEM (n = 3); </w:t>
      </w:r>
      <w:r w:rsidRPr="00AF2AD7">
        <w:rPr>
          <w:rFonts w:ascii="Arial" w:hAnsi="Arial" w:cs="Arial"/>
          <w:bCs/>
          <w:color w:val="000000"/>
          <w:lang w:val="en-IE" w:eastAsia="fr-FR"/>
        </w:rPr>
        <w:t>DM</w:t>
      </w:r>
      <w:r w:rsidRPr="00AF2AD7">
        <w:rPr>
          <w:rFonts w:ascii="Arial" w:eastAsia="Calibri" w:hAnsi="Arial" w:cs="Arial"/>
          <w:lang w:val="en-IE"/>
        </w:rPr>
        <w:t xml:space="preserve">: dry matter; </w:t>
      </w:r>
      <w:r w:rsidRPr="00AF2AD7">
        <w:rPr>
          <w:rFonts w:ascii="Arial" w:hAnsi="Arial" w:cs="Arial"/>
          <w:bCs/>
          <w:color w:val="000000"/>
          <w:lang w:val="en-IE" w:eastAsia="fr-FR"/>
        </w:rPr>
        <w:t>FM</w:t>
      </w:r>
      <w:r w:rsidRPr="00AF2AD7">
        <w:rPr>
          <w:rFonts w:ascii="Arial" w:eastAsia="Calibri" w:hAnsi="Arial" w:cs="Arial"/>
          <w:lang w:val="en-IE"/>
        </w:rPr>
        <w:t>: fresh matter</w:t>
      </w:r>
    </w:p>
    <w:p w14:paraId="65861BF6" w14:textId="65FB17A6" w:rsidR="00AF2AD7" w:rsidRPr="00AF2AD7" w:rsidRDefault="00AF2AD7" w:rsidP="00AF2AD7">
      <w:pPr>
        <w:pStyle w:val="NormalWeb"/>
        <w:rPr>
          <w:rFonts w:ascii="Arial" w:hAnsi="Arial" w:cs="Arial"/>
          <w:sz w:val="20"/>
          <w:szCs w:val="20"/>
        </w:rPr>
      </w:pPr>
      <w:r w:rsidRPr="00AF2AD7">
        <w:rPr>
          <w:rFonts w:ascii="Arial" w:hAnsi="Arial" w:cs="Arial"/>
          <w:b/>
          <w:bCs/>
          <w:sz w:val="20"/>
          <w:szCs w:val="20"/>
        </w:rPr>
        <w:t xml:space="preserve">Table </w:t>
      </w:r>
      <w:proofErr w:type="gramStart"/>
      <w:r w:rsidR="00D31613">
        <w:rPr>
          <w:rFonts w:ascii="Arial" w:hAnsi="Arial" w:cs="Arial"/>
          <w:b/>
          <w:bCs/>
          <w:sz w:val="20"/>
          <w:szCs w:val="20"/>
        </w:rPr>
        <w:t>3</w:t>
      </w:r>
      <w:r w:rsidRPr="00AF2AD7">
        <w:rPr>
          <w:rFonts w:ascii="Arial" w:hAnsi="Arial" w:cs="Arial"/>
          <w:b/>
          <w:bCs/>
          <w:sz w:val="20"/>
          <w:szCs w:val="20"/>
        </w:rPr>
        <w:t xml:space="preserve"> :</w:t>
      </w:r>
      <w:proofErr w:type="gramEnd"/>
      <w:r w:rsidRPr="00AF2AD7">
        <w:rPr>
          <w:rFonts w:ascii="Arial" w:hAnsi="Arial" w:cs="Arial"/>
          <w:b/>
          <w:bCs/>
          <w:sz w:val="20"/>
          <w:szCs w:val="20"/>
        </w:rPr>
        <w:t xml:space="preserve"> </w:t>
      </w:r>
      <w:r w:rsidRPr="00AF2AD7">
        <w:rPr>
          <w:rFonts w:ascii="Arial" w:hAnsi="Arial" w:cs="Arial"/>
          <w:bCs/>
          <w:sz w:val="20"/>
          <w:szCs w:val="20"/>
        </w:rPr>
        <w:t xml:space="preserve">Anti-Nutritional Factor Content of </w:t>
      </w:r>
      <w:r w:rsidR="009A395D" w:rsidRPr="009A395D">
        <w:rPr>
          <w:rFonts w:ascii="Arial" w:hAnsi="Arial" w:cs="Arial"/>
          <w:bCs/>
          <w:i/>
          <w:iCs/>
          <w:sz w:val="20"/>
          <w:szCs w:val="20"/>
        </w:rPr>
        <w:t>C. cajan</w:t>
      </w:r>
      <w:r w:rsidRPr="00AF2AD7">
        <w:rPr>
          <w:rFonts w:ascii="Arial" w:hAnsi="Arial" w:cs="Arial"/>
          <w:bCs/>
          <w:sz w:val="20"/>
          <w:szCs w:val="20"/>
        </w:rPr>
        <w:t xml:space="preserve"> Leaves (mg/100 g DM)</w:t>
      </w:r>
    </w:p>
    <w:tbl>
      <w:tblPr>
        <w:tblStyle w:val="TableGrid"/>
        <w:tblW w:w="1284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13"/>
        <w:gridCol w:w="7528"/>
      </w:tblGrid>
      <w:tr w:rsidR="00AF2AD7" w:rsidRPr="00AF2AD7" w14:paraId="6F8BA007" w14:textId="77777777" w:rsidTr="008C2BD1">
        <w:trPr>
          <w:trHeight w:val="298"/>
        </w:trPr>
        <w:tc>
          <w:tcPr>
            <w:tcW w:w="0" w:type="auto"/>
            <w:tcBorders>
              <w:top w:val="single" w:sz="4" w:space="0" w:color="auto"/>
              <w:bottom w:val="single" w:sz="4" w:space="0" w:color="auto"/>
            </w:tcBorders>
            <w:hideMark/>
          </w:tcPr>
          <w:p w14:paraId="64EB9D22" w14:textId="77777777" w:rsidR="00AF2AD7" w:rsidRPr="00AF2AD7" w:rsidRDefault="00AF2AD7" w:rsidP="008C2BD1">
            <w:pPr>
              <w:rPr>
                <w:rFonts w:ascii="Arial" w:hAnsi="Arial" w:cs="Arial"/>
                <w:sz w:val="20"/>
                <w:szCs w:val="20"/>
              </w:rPr>
            </w:pPr>
            <w:r w:rsidRPr="00AF2AD7">
              <w:rPr>
                <w:rStyle w:val="Strong"/>
                <w:rFonts w:ascii="Arial" w:hAnsi="Arial" w:cs="Arial"/>
                <w:sz w:val="20"/>
                <w:szCs w:val="20"/>
              </w:rPr>
              <w:t>Parameters</w:t>
            </w:r>
          </w:p>
        </w:tc>
        <w:tc>
          <w:tcPr>
            <w:tcW w:w="0" w:type="auto"/>
            <w:tcBorders>
              <w:top w:val="single" w:sz="4" w:space="0" w:color="auto"/>
              <w:bottom w:val="single" w:sz="4" w:space="0" w:color="auto"/>
            </w:tcBorders>
            <w:hideMark/>
          </w:tcPr>
          <w:p w14:paraId="3DF8095A" w14:textId="77777777" w:rsidR="00AF2AD7" w:rsidRPr="00AF2AD7" w:rsidRDefault="00AF2AD7" w:rsidP="008C2BD1">
            <w:pPr>
              <w:rPr>
                <w:rFonts w:ascii="Arial" w:hAnsi="Arial" w:cs="Arial"/>
                <w:sz w:val="20"/>
                <w:szCs w:val="20"/>
              </w:rPr>
            </w:pPr>
            <w:r w:rsidRPr="00AF2AD7">
              <w:rPr>
                <w:rStyle w:val="Strong"/>
                <w:rFonts w:ascii="Arial" w:hAnsi="Arial" w:cs="Arial"/>
                <w:sz w:val="20"/>
                <w:szCs w:val="20"/>
              </w:rPr>
              <w:t xml:space="preserve">Mean ± SEM (mg/100g </w:t>
            </w:r>
            <w:r w:rsidRPr="00AF2AD7">
              <w:rPr>
                <w:rFonts w:ascii="Arial" w:eastAsia="Times New Roman" w:hAnsi="Arial" w:cs="Arial"/>
                <w:b/>
                <w:bCs/>
                <w:color w:val="000000"/>
                <w:sz w:val="20"/>
                <w:szCs w:val="20"/>
                <w:lang w:val="en-IE" w:eastAsia="fr-FR"/>
              </w:rPr>
              <w:t>DM</w:t>
            </w:r>
            <w:r w:rsidRPr="00AF2AD7">
              <w:rPr>
                <w:rStyle w:val="Strong"/>
                <w:rFonts w:ascii="Arial" w:hAnsi="Arial" w:cs="Arial"/>
                <w:sz w:val="20"/>
                <w:szCs w:val="20"/>
              </w:rPr>
              <w:t>)</w:t>
            </w:r>
          </w:p>
        </w:tc>
      </w:tr>
      <w:tr w:rsidR="00AF2AD7" w:rsidRPr="00AF2AD7" w14:paraId="793DD92E" w14:textId="77777777" w:rsidTr="008C2BD1">
        <w:trPr>
          <w:trHeight w:val="283"/>
        </w:trPr>
        <w:tc>
          <w:tcPr>
            <w:tcW w:w="0" w:type="auto"/>
            <w:tcBorders>
              <w:top w:val="single" w:sz="4" w:space="0" w:color="auto"/>
            </w:tcBorders>
            <w:hideMark/>
          </w:tcPr>
          <w:p w14:paraId="5A8720AE" w14:textId="77777777" w:rsidR="00AF2AD7" w:rsidRPr="00AF2AD7" w:rsidRDefault="00AF2AD7" w:rsidP="008C2BD1">
            <w:pPr>
              <w:rPr>
                <w:rFonts w:ascii="Arial" w:hAnsi="Arial" w:cs="Arial"/>
                <w:sz w:val="20"/>
                <w:szCs w:val="20"/>
              </w:rPr>
            </w:pPr>
            <w:r w:rsidRPr="00AF2AD7">
              <w:rPr>
                <w:rFonts w:ascii="Arial" w:hAnsi="Arial" w:cs="Arial"/>
                <w:sz w:val="20"/>
                <w:szCs w:val="20"/>
              </w:rPr>
              <w:t>Total phytates</w:t>
            </w:r>
          </w:p>
        </w:tc>
        <w:tc>
          <w:tcPr>
            <w:tcW w:w="0" w:type="auto"/>
            <w:tcBorders>
              <w:top w:val="single" w:sz="4" w:space="0" w:color="auto"/>
            </w:tcBorders>
            <w:hideMark/>
          </w:tcPr>
          <w:p w14:paraId="0CFDA209" w14:textId="77777777" w:rsidR="00AF2AD7" w:rsidRPr="00AF2AD7" w:rsidRDefault="00AF2AD7" w:rsidP="008C2BD1">
            <w:pPr>
              <w:rPr>
                <w:rFonts w:ascii="Arial" w:hAnsi="Arial" w:cs="Arial"/>
                <w:sz w:val="20"/>
                <w:szCs w:val="20"/>
              </w:rPr>
            </w:pPr>
            <w:r w:rsidRPr="00AF2AD7">
              <w:rPr>
                <w:rFonts w:ascii="Arial" w:hAnsi="Arial" w:cs="Arial"/>
                <w:sz w:val="20"/>
                <w:szCs w:val="20"/>
              </w:rPr>
              <w:t>738.92 ± 59.57</w:t>
            </w:r>
          </w:p>
        </w:tc>
      </w:tr>
      <w:tr w:rsidR="00AF2AD7" w:rsidRPr="00AF2AD7" w14:paraId="5F232080" w14:textId="77777777" w:rsidTr="008C2BD1">
        <w:trPr>
          <w:trHeight w:val="298"/>
        </w:trPr>
        <w:tc>
          <w:tcPr>
            <w:tcW w:w="0" w:type="auto"/>
            <w:hideMark/>
          </w:tcPr>
          <w:p w14:paraId="54C1B677" w14:textId="77777777" w:rsidR="00AF2AD7" w:rsidRPr="00AF2AD7" w:rsidRDefault="00AF2AD7" w:rsidP="008C2BD1">
            <w:pPr>
              <w:rPr>
                <w:rFonts w:ascii="Arial" w:hAnsi="Arial" w:cs="Arial"/>
                <w:sz w:val="20"/>
                <w:szCs w:val="20"/>
              </w:rPr>
            </w:pPr>
            <w:r w:rsidRPr="00AF2AD7">
              <w:rPr>
                <w:rFonts w:ascii="Arial" w:hAnsi="Arial" w:cs="Arial"/>
                <w:sz w:val="20"/>
                <w:szCs w:val="20"/>
              </w:rPr>
              <w:t>Total oxalates</w:t>
            </w:r>
          </w:p>
        </w:tc>
        <w:tc>
          <w:tcPr>
            <w:tcW w:w="0" w:type="auto"/>
            <w:hideMark/>
          </w:tcPr>
          <w:p w14:paraId="2681DDB5" w14:textId="77777777" w:rsidR="00AF2AD7" w:rsidRPr="00AF2AD7" w:rsidRDefault="00AF2AD7" w:rsidP="008C2BD1">
            <w:pPr>
              <w:rPr>
                <w:rFonts w:ascii="Arial" w:hAnsi="Arial" w:cs="Arial"/>
                <w:sz w:val="20"/>
                <w:szCs w:val="20"/>
              </w:rPr>
            </w:pPr>
            <w:r w:rsidRPr="00AF2AD7">
              <w:rPr>
                <w:rFonts w:ascii="Arial" w:hAnsi="Arial" w:cs="Arial"/>
                <w:sz w:val="20"/>
                <w:szCs w:val="20"/>
              </w:rPr>
              <w:t>282.49 ± 17.68</w:t>
            </w:r>
          </w:p>
        </w:tc>
      </w:tr>
      <w:tr w:rsidR="00AF2AD7" w:rsidRPr="00AF2AD7" w14:paraId="6489BC4F" w14:textId="77777777" w:rsidTr="008C2BD1">
        <w:trPr>
          <w:trHeight w:val="283"/>
        </w:trPr>
        <w:tc>
          <w:tcPr>
            <w:tcW w:w="0" w:type="auto"/>
            <w:hideMark/>
          </w:tcPr>
          <w:p w14:paraId="61A2ADBB" w14:textId="77777777" w:rsidR="00AF2AD7" w:rsidRPr="00AF2AD7" w:rsidRDefault="00AF2AD7" w:rsidP="008C2BD1">
            <w:pPr>
              <w:rPr>
                <w:rFonts w:ascii="Arial" w:hAnsi="Arial" w:cs="Arial"/>
                <w:sz w:val="20"/>
                <w:szCs w:val="20"/>
              </w:rPr>
            </w:pPr>
            <w:r w:rsidRPr="00AF2AD7">
              <w:rPr>
                <w:rFonts w:ascii="Arial" w:hAnsi="Arial" w:cs="Arial"/>
                <w:sz w:val="20"/>
                <w:szCs w:val="20"/>
              </w:rPr>
              <w:t>Saponins</w:t>
            </w:r>
          </w:p>
        </w:tc>
        <w:tc>
          <w:tcPr>
            <w:tcW w:w="0" w:type="auto"/>
            <w:hideMark/>
          </w:tcPr>
          <w:p w14:paraId="38EFD9F7" w14:textId="77777777" w:rsidR="00AF2AD7" w:rsidRPr="00AF2AD7" w:rsidRDefault="00AF2AD7" w:rsidP="008C2BD1">
            <w:pPr>
              <w:rPr>
                <w:rFonts w:ascii="Arial" w:hAnsi="Arial" w:cs="Arial"/>
                <w:sz w:val="20"/>
                <w:szCs w:val="20"/>
              </w:rPr>
            </w:pPr>
            <w:r w:rsidRPr="00AF2AD7">
              <w:rPr>
                <w:rFonts w:ascii="Arial" w:hAnsi="Arial" w:cs="Arial"/>
                <w:sz w:val="20"/>
                <w:szCs w:val="20"/>
              </w:rPr>
              <w:t>183.49 ± 17.92</w:t>
            </w:r>
          </w:p>
        </w:tc>
      </w:tr>
      <w:tr w:rsidR="00AF2AD7" w:rsidRPr="00AF2AD7" w14:paraId="137682D0" w14:textId="77777777" w:rsidTr="008C2BD1">
        <w:trPr>
          <w:trHeight w:val="283"/>
        </w:trPr>
        <w:tc>
          <w:tcPr>
            <w:tcW w:w="0" w:type="auto"/>
            <w:hideMark/>
          </w:tcPr>
          <w:p w14:paraId="130A0BE7" w14:textId="77777777" w:rsidR="00AF2AD7" w:rsidRPr="00AF2AD7" w:rsidRDefault="00AF2AD7" w:rsidP="008C2BD1">
            <w:pPr>
              <w:rPr>
                <w:rFonts w:ascii="Arial" w:hAnsi="Arial" w:cs="Arial"/>
                <w:sz w:val="20"/>
                <w:szCs w:val="20"/>
              </w:rPr>
            </w:pPr>
            <w:r w:rsidRPr="00AF2AD7">
              <w:rPr>
                <w:rFonts w:ascii="Arial" w:hAnsi="Arial" w:cs="Arial"/>
                <w:sz w:val="20"/>
                <w:szCs w:val="20"/>
              </w:rPr>
              <w:t>Condensed tannins</w:t>
            </w:r>
          </w:p>
        </w:tc>
        <w:tc>
          <w:tcPr>
            <w:tcW w:w="0" w:type="auto"/>
            <w:hideMark/>
          </w:tcPr>
          <w:p w14:paraId="0377514C" w14:textId="77777777" w:rsidR="00AF2AD7" w:rsidRPr="00AF2AD7" w:rsidRDefault="00AF2AD7" w:rsidP="008C2BD1">
            <w:pPr>
              <w:rPr>
                <w:rFonts w:ascii="Arial" w:hAnsi="Arial" w:cs="Arial"/>
                <w:sz w:val="20"/>
                <w:szCs w:val="20"/>
              </w:rPr>
            </w:pPr>
            <w:r w:rsidRPr="00AF2AD7">
              <w:rPr>
                <w:rFonts w:ascii="Arial" w:hAnsi="Arial" w:cs="Arial"/>
                <w:sz w:val="20"/>
                <w:szCs w:val="20"/>
              </w:rPr>
              <w:t>1.32 ± 0.16</w:t>
            </w:r>
          </w:p>
        </w:tc>
      </w:tr>
    </w:tbl>
    <w:p w14:paraId="448533DD" w14:textId="77777777" w:rsidR="00AF2AD7" w:rsidRPr="00AF2AD7" w:rsidRDefault="00AF2AD7" w:rsidP="00AF2AD7">
      <w:pPr>
        <w:tabs>
          <w:tab w:val="left" w:pos="1530"/>
        </w:tabs>
        <w:spacing w:after="200" w:line="276" w:lineRule="auto"/>
        <w:jc w:val="both"/>
        <w:rPr>
          <w:rFonts w:ascii="Arial" w:eastAsia="Calibri" w:hAnsi="Arial" w:cs="Arial"/>
          <w:lang w:val="en-IE"/>
        </w:rPr>
      </w:pPr>
      <w:r w:rsidRPr="00AF2AD7">
        <w:rPr>
          <w:rFonts w:ascii="Arial" w:eastAsia="Calibri" w:hAnsi="Arial" w:cs="Arial"/>
          <w:lang w:val="en-IE"/>
        </w:rPr>
        <w:t xml:space="preserve">Values are expressed as mean ± SEM SEM (n = 3); </w:t>
      </w:r>
      <w:r w:rsidRPr="00AF2AD7">
        <w:rPr>
          <w:rFonts w:ascii="Arial" w:hAnsi="Arial" w:cs="Arial"/>
          <w:bCs/>
          <w:color w:val="000000"/>
          <w:lang w:val="en-IE" w:eastAsia="fr-FR"/>
        </w:rPr>
        <w:t>DM</w:t>
      </w:r>
      <w:r w:rsidRPr="00AF2AD7">
        <w:rPr>
          <w:rFonts w:ascii="Arial" w:eastAsia="Calibri" w:hAnsi="Arial" w:cs="Arial"/>
          <w:lang w:val="en-IE"/>
        </w:rPr>
        <w:t>: dry matter</w:t>
      </w:r>
    </w:p>
    <w:p w14:paraId="45237802" w14:textId="513429F0" w:rsidR="00AF2AD7" w:rsidRPr="00AF2AD7" w:rsidRDefault="00AF2AD7" w:rsidP="00AF2AD7">
      <w:pPr>
        <w:keepNext/>
        <w:spacing w:line="276" w:lineRule="auto"/>
        <w:jc w:val="both"/>
        <w:rPr>
          <w:rFonts w:ascii="Arial" w:eastAsia="Calibri" w:hAnsi="Arial" w:cs="Arial"/>
          <w:iCs/>
          <w:lang w:val="en-IE"/>
        </w:rPr>
      </w:pPr>
      <w:bookmarkStart w:id="0" w:name="_Toc148312191"/>
      <w:r w:rsidRPr="00AF2AD7">
        <w:rPr>
          <w:rFonts w:ascii="Arial" w:eastAsia="Calibri" w:hAnsi="Arial" w:cs="Arial"/>
          <w:b/>
          <w:iCs/>
          <w:lang w:val="en-IE"/>
        </w:rPr>
        <w:t xml:space="preserve">Table </w:t>
      </w:r>
      <w:r w:rsidR="00D31613">
        <w:rPr>
          <w:rFonts w:ascii="Arial" w:eastAsia="Calibri" w:hAnsi="Arial" w:cs="Arial"/>
          <w:b/>
          <w:iCs/>
          <w:lang w:val="en-IE"/>
        </w:rPr>
        <w:t>4</w:t>
      </w:r>
      <w:r w:rsidRPr="00AF2AD7">
        <w:rPr>
          <w:rFonts w:ascii="Arial" w:eastAsia="Calibri" w:hAnsi="Arial" w:cs="Arial"/>
          <w:b/>
          <w:iCs/>
          <w:lang w:val="en-IE"/>
        </w:rPr>
        <w:t>:</w:t>
      </w:r>
      <w:r w:rsidRPr="00AF2AD7">
        <w:rPr>
          <w:rFonts w:ascii="Arial" w:eastAsia="Calibri" w:hAnsi="Arial" w:cs="Arial"/>
          <w:iCs/>
          <w:lang w:val="en-IE"/>
        </w:rPr>
        <w:t xml:space="preserve"> </w:t>
      </w:r>
      <w:bookmarkEnd w:id="0"/>
      <w:r w:rsidRPr="00AF2AD7">
        <w:rPr>
          <w:rFonts w:ascii="Arial" w:eastAsia="Calibri" w:hAnsi="Arial" w:cs="Arial"/>
          <w:iCs/>
          <w:lang w:val="en-IE"/>
        </w:rPr>
        <w:t xml:space="preserve">Contribution of Organic and Mineral Substances in 100 g of Dry Matter, from the </w:t>
      </w:r>
      <w:r w:rsidR="009A395D" w:rsidRPr="009A395D">
        <w:rPr>
          <w:rFonts w:ascii="Arial" w:eastAsia="Calibri" w:hAnsi="Arial" w:cs="Arial"/>
          <w:i/>
          <w:lang w:val="en-IE"/>
        </w:rPr>
        <w:t>C. cajan</w:t>
      </w:r>
      <w:r w:rsidRPr="00AF2AD7">
        <w:rPr>
          <w:rFonts w:ascii="Arial" w:eastAsia="Calibri" w:hAnsi="Arial" w:cs="Arial"/>
          <w:iCs/>
          <w:lang w:val="en-IE"/>
        </w:rPr>
        <w:t xml:space="preserve"> Leaves Analysed, to the RDA</w:t>
      </w:r>
    </w:p>
    <w:tbl>
      <w:tblPr>
        <w:tblW w:w="12050"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687"/>
        <w:gridCol w:w="2693"/>
        <w:gridCol w:w="2268"/>
        <w:gridCol w:w="3402"/>
      </w:tblGrid>
      <w:tr w:rsidR="00AF2AD7" w:rsidRPr="00AF2AD7" w14:paraId="76EE2572" w14:textId="77777777" w:rsidTr="008C2BD1">
        <w:trPr>
          <w:jc w:val="center"/>
        </w:trPr>
        <w:tc>
          <w:tcPr>
            <w:tcW w:w="3687" w:type="dxa"/>
            <w:tcBorders>
              <w:top w:val="single" w:sz="8" w:space="0" w:color="auto"/>
              <w:left w:val="nil"/>
              <w:bottom w:val="single" w:sz="8" w:space="0" w:color="auto"/>
            </w:tcBorders>
          </w:tcPr>
          <w:p w14:paraId="7CBFAC94" w14:textId="77777777" w:rsidR="00AF2AD7" w:rsidRPr="00AF2AD7" w:rsidRDefault="00AF2AD7" w:rsidP="008C2BD1">
            <w:pPr>
              <w:rPr>
                <w:rFonts w:ascii="Arial" w:eastAsia="Calibri" w:hAnsi="Arial" w:cs="Arial"/>
                <w:b/>
                <w:lang w:val="en-IE"/>
              </w:rPr>
            </w:pPr>
            <w:r w:rsidRPr="00AF2AD7">
              <w:rPr>
                <w:rFonts w:ascii="Arial" w:eastAsia="Calibri" w:hAnsi="Arial" w:cs="Arial"/>
                <w:b/>
                <w:lang w:val="en-IE"/>
              </w:rPr>
              <w:t>Elements analysed</w:t>
            </w:r>
          </w:p>
        </w:tc>
        <w:tc>
          <w:tcPr>
            <w:tcW w:w="2693" w:type="dxa"/>
            <w:tcBorders>
              <w:top w:val="single" w:sz="8" w:space="0" w:color="auto"/>
              <w:bottom w:val="single" w:sz="8" w:space="0" w:color="auto"/>
            </w:tcBorders>
          </w:tcPr>
          <w:p w14:paraId="604CB162" w14:textId="77777777" w:rsidR="00AF2AD7" w:rsidRPr="00AF2AD7" w:rsidRDefault="00AF2AD7" w:rsidP="008C2BD1">
            <w:pPr>
              <w:rPr>
                <w:rFonts w:ascii="Arial" w:eastAsia="Calibri" w:hAnsi="Arial" w:cs="Arial"/>
                <w:b/>
                <w:lang w:val="en-IE"/>
              </w:rPr>
            </w:pPr>
            <w:r w:rsidRPr="00AF2AD7">
              <w:rPr>
                <w:rFonts w:ascii="Arial" w:eastAsia="Calibri" w:hAnsi="Arial" w:cs="Arial"/>
                <w:b/>
                <w:lang w:val="en-IE"/>
              </w:rPr>
              <w:t>RDA for an adult (Male/Female)</w:t>
            </w:r>
          </w:p>
        </w:tc>
        <w:tc>
          <w:tcPr>
            <w:tcW w:w="2268" w:type="dxa"/>
            <w:tcBorders>
              <w:top w:val="single" w:sz="8" w:space="0" w:color="auto"/>
              <w:bottom w:val="single" w:sz="8" w:space="0" w:color="auto"/>
            </w:tcBorders>
          </w:tcPr>
          <w:p w14:paraId="793DF41C" w14:textId="77777777" w:rsidR="00AF2AD7" w:rsidRPr="00AF2AD7" w:rsidRDefault="00AF2AD7" w:rsidP="008C2BD1">
            <w:pPr>
              <w:jc w:val="both"/>
              <w:rPr>
                <w:rFonts w:ascii="Arial" w:eastAsia="Calibri" w:hAnsi="Arial" w:cs="Arial"/>
                <w:b/>
                <w:lang w:val="en-IE"/>
              </w:rPr>
            </w:pPr>
            <w:r w:rsidRPr="00AF2AD7">
              <w:rPr>
                <w:rFonts w:ascii="Arial" w:eastAsia="Calibri" w:hAnsi="Arial" w:cs="Arial"/>
                <w:b/>
                <w:lang w:val="en-IE"/>
              </w:rPr>
              <w:t>Quantity in 100 g of DM</w:t>
            </w:r>
          </w:p>
        </w:tc>
        <w:tc>
          <w:tcPr>
            <w:tcW w:w="3402" w:type="dxa"/>
            <w:tcBorders>
              <w:top w:val="single" w:sz="8" w:space="0" w:color="auto"/>
              <w:bottom w:val="single" w:sz="8" w:space="0" w:color="auto"/>
            </w:tcBorders>
          </w:tcPr>
          <w:p w14:paraId="58CACB82" w14:textId="77777777" w:rsidR="00AF2AD7" w:rsidRPr="00AF2AD7" w:rsidRDefault="00AF2AD7" w:rsidP="008C2BD1">
            <w:pPr>
              <w:jc w:val="both"/>
              <w:rPr>
                <w:rFonts w:ascii="Arial" w:eastAsia="Calibri" w:hAnsi="Arial" w:cs="Arial"/>
                <w:b/>
                <w:lang w:val="en-IE"/>
              </w:rPr>
            </w:pPr>
            <w:r w:rsidRPr="00AF2AD7">
              <w:rPr>
                <w:rFonts w:ascii="Arial" w:eastAsia="Calibri" w:hAnsi="Arial" w:cs="Arial"/>
                <w:b/>
                <w:lang w:val="en-IE"/>
              </w:rPr>
              <w:t>Contribution of 100 g of dry matter to RDA (%)</w:t>
            </w:r>
          </w:p>
        </w:tc>
      </w:tr>
      <w:tr w:rsidR="00AF2AD7" w:rsidRPr="00AF2AD7" w14:paraId="66544784" w14:textId="77777777" w:rsidTr="008C2BD1">
        <w:trPr>
          <w:jc w:val="center"/>
        </w:trPr>
        <w:tc>
          <w:tcPr>
            <w:tcW w:w="3687" w:type="dxa"/>
            <w:tcBorders>
              <w:top w:val="single" w:sz="8" w:space="0" w:color="auto"/>
              <w:left w:val="nil"/>
              <w:bottom w:val="nil"/>
            </w:tcBorders>
          </w:tcPr>
          <w:p w14:paraId="291F83D9"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Digestible carbohydrates (g)</w:t>
            </w:r>
          </w:p>
        </w:tc>
        <w:tc>
          <w:tcPr>
            <w:tcW w:w="2693" w:type="dxa"/>
            <w:tcBorders>
              <w:top w:val="single" w:sz="8" w:space="0" w:color="auto"/>
              <w:bottom w:val="nil"/>
            </w:tcBorders>
          </w:tcPr>
          <w:p w14:paraId="3911D202"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130</w:t>
            </w:r>
            <w:r w:rsidRPr="00AF2AD7">
              <w:rPr>
                <w:rFonts w:ascii="Arial" w:eastAsia="Calibri" w:hAnsi="Arial" w:cs="Arial"/>
                <w:vertAlign w:val="superscript"/>
                <w:lang w:val="en-IE"/>
              </w:rPr>
              <w:t>a</w:t>
            </w:r>
          </w:p>
        </w:tc>
        <w:tc>
          <w:tcPr>
            <w:tcW w:w="2268" w:type="dxa"/>
            <w:tcBorders>
              <w:top w:val="single" w:sz="8" w:space="0" w:color="auto"/>
              <w:bottom w:val="nil"/>
            </w:tcBorders>
          </w:tcPr>
          <w:p w14:paraId="7BB256B6" w14:textId="77777777" w:rsidR="00AF2AD7" w:rsidRPr="00AF2AD7" w:rsidRDefault="00AF2AD7" w:rsidP="008C2BD1">
            <w:pPr>
              <w:rPr>
                <w:rFonts w:ascii="Arial" w:eastAsia="Calibri" w:hAnsi="Arial" w:cs="Arial"/>
                <w:lang w:val="en-IE"/>
              </w:rPr>
            </w:pPr>
            <w:r w:rsidRPr="00AF2AD7">
              <w:rPr>
                <w:rFonts w:ascii="Arial" w:hAnsi="Arial" w:cs="Arial"/>
                <w:lang w:val="en-IE" w:eastAsia="fr-FR"/>
              </w:rPr>
              <w:t>47.77</w:t>
            </w:r>
          </w:p>
        </w:tc>
        <w:tc>
          <w:tcPr>
            <w:tcW w:w="3402" w:type="dxa"/>
            <w:tcBorders>
              <w:top w:val="single" w:sz="8" w:space="0" w:color="auto"/>
              <w:bottom w:val="nil"/>
            </w:tcBorders>
          </w:tcPr>
          <w:p w14:paraId="03B588F8"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36.75</w:t>
            </w:r>
          </w:p>
        </w:tc>
      </w:tr>
      <w:tr w:rsidR="00AF2AD7" w:rsidRPr="00AF2AD7" w14:paraId="321660BD" w14:textId="77777777" w:rsidTr="008C2BD1">
        <w:trPr>
          <w:jc w:val="center"/>
        </w:trPr>
        <w:tc>
          <w:tcPr>
            <w:tcW w:w="3687" w:type="dxa"/>
            <w:tcBorders>
              <w:top w:val="nil"/>
              <w:left w:val="nil"/>
              <w:bottom w:val="nil"/>
            </w:tcBorders>
          </w:tcPr>
          <w:p w14:paraId="4A488059" w14:textId="7C8EED94" w:rsidR="00AF2AD7" w:rsidRPr="00AF2AD7" w:rsidRDefault="00BE453C" w:rsidP="008C2BD1">
            <w:pPr>
              <w:rPr>
                <w:rFonts w:ascii="Arial" w:eastAsia="Calibri" w:hAnsi="Arial" w:cs="Arial"/>
                <w:bCs/>
                <w:lang w:val="en-IE"/>
              </w:rPr>
            </w:pPr>
            <w:r>
              <w:rPr>
                <w:rFonts w:ascii="Arial" w:eastAsia="Calibri" w:hAnsi="Arial" w:cs="Arial"/>
                <w:bCs/>
                <w:lang w:val="en-IE"/>
              </w:rPr>
              <w:t xml:space="preserve"> crude</w:t>
            </w:r>
            <w:r w:rsidR="007C7A43" w:rsidRPr="007C7A43">
              <w:rPr>
                <w:rFonts w:ascii="Arial" w:eastAsia="Calibri" w:hAnsi="Arial" w:cs="Arial"/>
                <w:bCs/>
                <w:lang w:val="en-IE"/>
              </w:rPr>
              <w:t xml:space="preserve"> fat</w:t>
            </w:r>
            <w:r w:rsidR="00AF2AD7" w:rsidRPr="00AF2AD7">
              <w:rPr>
                <w:rFonts w:ascii="Arial" w:eastAsia="Calibri" w:hAnsi="Arial" w:cs="Arial"/>
                <w:bCs/>
                <w:lang w:val="en-IE"/>
              </w:rPr>
              <w:t xml:space="preserve"> (g)</w:t>
            </w:r>
          </w:p>
        </w:tc>
        <w:tc>
          <w:tcPr>
            <w:tcW w:w="2693" w:type="dxa"/>
            <w:tcBorders>
              <w:top w:val="nil"/>
              <w:bottom w:val="nil"/>
            </w:tcBorders>
          </w:tcPr>
          <w:p w14:paraId="5A70B7AA"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44 – 97</w:t>
            </w:r>
            <w:r w:rsidRPr="00AF2AD7">
              <w:rPr>
                <w:rFonts w:ascii="Arial" w:eastAsia="Calibri" w:hAnsi="Arial" w:cs="Arial"/>
                <w:vertAlign w:val="superscript"/>
                <w:lang w:val="en-IE"/>
              </w:rPr>
              <w:t>a</w:t>
            </w:r>
          </w:p>
        </w:tc>
        <w:tc>
          <w:tcPr>
            <w:tcW w:w="2268" w:type="dxa"/>
            <w:tcBorders>
              <w:top w:val="nil"/>
              <w:bottom w:val="nil"/>
            </w:tcBorders>
          </w:tcPr>
          <w:p w14:paraId="3142CCBA" w14:textId="77777777" w:rsidR="00AF2AD7" w:rsidRPr="00AF2AD7" w:rsidRDefault="00AF2AD7" w:rsidP="008C2BD1">
            <w:pPr>
              <w:rPr>
                <w:rFonts w:ascii="Arial" w:eastAsia="Calibri" w:hAnsi="Arial" w:cs="Arial"/>
                <w:lang w:val="en-IE"/>
              </w:rPr>
            </w:pPr>
            <w:r w:rsidRPr="00AF2AD7">
              <w:rPr>
                <w:rFonts w:ascii="Arial" w:hAnsi="Arial" w:cs="Arial"/>
                <w:lang w:val="en-IE" w:eastAsia="fr-FR"/>
              </w:rPr>
              <w:t>3.063</w:t>
            </w:r>
          </w:p>
        </w:tc>
        <w:tc>
          <w:tcPr>
            <w:tcW w:w="3402" w:type="dxa"/>
            <w:tcBorders>
              <w:top w:val="nil"/>
              <w:bottom w:val="nil"/>
            </w:tcBorders>
          </w:tcPr>
          <w:p w14:paraId="6AB4B87C"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3.16 – 6.96</w:t>
            </w:r>
          </w:p>
        </w:tc>
      </w:tr>
      <w:tr w:rsidR="00AF2AD7" w:rsidRPr="00AF2AD7" w14:paraId="7B2473E0" w14:textId="77777777" w:rsidTr="008C2BD1">
        <w:trPr>
          <w:jc w:val="center"/>
        </w:trPr>
        <w:tc>
          <w:tcPr>
            <w:tcW w:w="3687" w:type="dxa"/>
            <w:tcBorders>
              <w:top w:val="nil"/>
              <w:left w:val="nil"/>
              <w:bottom w:val="nil"/>
            </w:tcBorders>
          </w:tcPr>
          <w:p w14:paraId="1F89F786"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Nitrogenous matter (g)</w:t>
            </w:r>
          </w:p>
        </w:tc>
        <w:tc>
          <w:tcPr>
            <w:tcW w:w="2693" w:type="dxa"/>
            <w:tcBorders>
              <w:top w:val="nil"/>
              <w:bottom w:val="nil"/>
            </w:tcBorders>
          </w:tcPr>
          <w:p w14:paraId="0AE98063"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56</w:t>
            </w:r>
            <w:r w:rsidRPr="00AF2AD7">
              <w:rPr>
                <w:rFonts w:ascii="Arial" w:eastAsia="Calibri" w:hAnsi="Arial" w:cs="Arial"/>
                <w:vertAlign w:val="superscript"/>
                <w:lang w:val="en-IE"/>
              </w:rPr>
              <w:t>a</w:t>
            </w:r>
          </w:p>
        </w:tc>
        <w:tc>
          <w:tcPr>
            <w:tcW w:w="2268" w:type="dxa"/>
            <w:tcBorders>
              <w:top w:val="nil"/>
              <w:bottom w:val="nil"/>
            </w:tcBorders>
          </w:tcPr>
          <w:p w14:paraId="3AEF0BFD" w14:textId="77777777" w:rsidR="00AF2AD7" w:rsidRPr="00AF2AD7" w:rsidRDefault="00AF2AD7" w:rsidP="008C2BD1">
            <w:pPr>
              <w:rPr>
                <w:rFonts w:ascii="Arial" w:eastAsia="Calibri" w:hAnsi="Arial" w:cs="Arial"/>
                <w:lang w:val="en-IE"/>
              </w:rPr>
            </w:pPr>
            <w:r w:rsidRPr="00AF2AD7">
              <w:rPr>
                <w:rFonts w:ascii="Arial" w:hAnsi="Arial" w:cs="Arial"/>
                <w:lang w:val="en-IE" w:eastAsia="fr-FR"/>
              </w:rPr>
              <w:t>29.14</w:t>
            </w:r>
          </w:p>
        </w:tc>
        <w:tc>
          <w:tcPr>
            <w:tcW w:w="3402" w:type="dxa"/>
            <w:tcBorders>
              <w:top w:val="nil"/>
              <w:bottom w:val="nil"/>
            </w:tcBorders>
          </w:tcPr>
          <w:p w14:paraId="7FABC152"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52.04</w:t>
            </w:r>
          </w:p>
        </w:tc>
      </w:tr>
      <w:tr w:rsidR="00AF2AD7" w:rsidRPr="00AF2AD7" w14:paraId="46F7F1A2" w14:textId="77777777" w:rsidTr="008C2BD1">
        <w:trPr>
          <w:trHeight w:val="276"/>
          <w:jc w:val="center"/>
        </w:trPr>
        <w:tc>
          <w:tcPr>
            <w:tcW w:w="3687" w:type="dxa"/>
            <w:tcBorders>
              <w:top w:val="nil"/>
              <w:left w:val="nil"/>
              <w:bottom w:val="nil"/>
            </w:tcBorders>
          </w:tcPr>
          <w:p w14:paraId="407E59C7"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Metabolizable energy (Kcal)</w:t>
            </w:r>
          </w:p>
        </w:tc>
        <w:tc>
          <w:tcPr>
            <w:tcW w:w="2693" w:type="dxa"/>
            <w:tcBorders>
              <w:top w:val="nil"/>
              <w:bottom w:val="nil"/>
            </w:tcBorders>
          </w:tcPr>
          <w:p w14:paraId="4A46F571"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2500/2000</w:t>
            </w:r>
            <w:r w:rsidRPr="00AF2AD7">
              <w:rPr>
                <w:rFonts w:ascii="Arial" w:eastAsia="Calibri" w:hAnsi="Arial" w:cs="Arial"/>
                <w:vertAlign w:val="superscript"/>
                <w:lang w:val="en-IE"/>
              </w:rPr>
              <w:t>a</w:t>
            </w:r>
          </w:p>
        </w:tc>
        <w:tc>
          <w:tcPr>
            <w:tcW w:w="2268" w:type="dxa"/>
            <w:tcBorders>
              <w:top w:val="nil"/>
              <w:bottom w:val="nil"/>
            </w:tcBorders>
          </w:tcPr>
          <w:p w14:paraId="1F42DB33" w14:textId="77777777" w:rsidR="00AF2AD7" w:rsidRPr="00AF2AD7" w:rsidRDefault="00AF2AD7" w:rsidP="008C2BD1">
            <w:pPr>
              <w:rPr>
                <w:rFonts w:ascii="Arial" w:eastAsia="Calibri" w:hAnsi="Arial" w:cs="Arial"/>
                <w:lang w:val="en-IE"/>
              </w:rPr>
            </w:pPr>
            <w:r w:rsidRPr="00AF2AD7">
              <w:rPr>
                <w:rFonts w:ascii="Arial" w:hAnsi="Arial" w:cs="Arial"/>
                <w:color w:val="000000"/>
                <w:lang w:val="en-IE" w:eastAsia="fr-FR"/>
              </w:rPr>
              <w:t>335.207</w:t>
            </w:r>
          </w:p>
        </w:tc>
        <w:tc>
          <w:tcPr>
            <w:tcW w:w="3402" w:type="dxa"/>
            <w:tcBorders>
              <w:top w:val="nil"/>
              <w:bottom w:val="nil"/>
            </w:tcBorders>
          </w:tcPr>
          <w:p w14:paraId="62E003A0"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13.41/16.76</w:t>
            </w:r>
          </w:p>
        </w:tc>
      </w:tr>
      <w:tr w:rsidR="00AF2AD7" w:rsidRPr="00AF2AD7" w14:paraId="37DD2259" w14:textId="77777777" w:rsidTr="008C2BD1">
        <w:trPr>
          <w:jc w:val="center"/>
        </w:trPr>
        <w:tc>
          <w:tcPr>
            <w:tcW w:w="3687" w:type="dxa"/>
            <w:tcBorders>
              <w:top w:val="nil"/>
              <w:left w:val="nil"/>
              <w:bottom w:val="nil"/>
            </w:tcBorders>
          </w:tcPr>
          <w:p w14:paraId="30FDABE5"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Na (mg)</w:t>
            </w:r>
          </w:p>
        </w:tc>
        <w:tc>
          <w:tcPr>
            <w:tcW w:w="2693" w:type="dxa"/>
            <w:tcBorders>
              <w:top w:val="nil"/>
              <w:bottom w:val="nil"/>
            </w:tcBorders>
          </w:tcPr>
          <w:p w14:paraId="0EB83414"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1500</w:t>
            </w:r>
            <w:r w:rsidRPr="00AF2AD7">
              <w:rPr>
                <w:rFonts w:ascii="Arial" w:eastAsia="Calibri" w:hAnsi="Arial" w:cs="Arial"/>
                <w:vertAlign w:val="superscript"/>
                <w:lang w:val="en-IE"/>
              </w:rPr>
              <w:t>b</w:t>
            </w:r>
          </w:p>
        </w:tc>
        <w:tc>
          <w:tcPr>
            <w:tcW w:w="2268" w:type="dxa"/>
            <w:tcBorders>
              <w:top w:val="nil"/>
              <w:bottom w:val="nil"/>
            </w:tcBorders>
          </w:tcPr>
          <w:p w14:paraId="4BB2AC78" w14:textId="77777777" w:rsidR="00AF2AD7" w:rsidRPr="00AF2AD7" w:rsidRDefault="00AF2AD7" w:rsidP="008C2BD1">
            <w:pPr>
              <w:rPr>
                <w:rFonts w:ascii="Arial" w:eastAsia="Calibri" w:hAnsi="Arial" w:cs="Arial"/>
                <w:lang w:val="en-IE"/>
              </w:rPr>
            </w:pPr>
            <w:r w:rsidRPr="00AF2AD7">
              <w:rPr>
                <w:rFonts w:ascii="Arial" w:hAnsi="Arial" w:cs="Arial"/>
                <w:lang w:val="en-IE" w:eastAsia="fr-FR"/>
              </w:rPr>
              <w:t>53.83</w:t>
            </w:r>
          </w:p>
        </w:tc>
        <w:tc>
          <w:tcPr>
            <w:tcW w:w="3402" w:type="dxa"/>
            <w:tcBorders>
              <w:top w:val="nil"/>
              <w:bottom w:val="nil"/>
            </w:tcBorders>
          </w:tcPr>
          <w:p w14:paraId="208F6331"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3.59</w:t>
            </w:r>
          </w:p>
        </w:tc>
      </w:tr>
      <w:tr w:rsidR="00AF2AD7" w:rsidRPr="00AF2AD7" w14:paraId="00DD10B2" w14:textId="77777777" w:rsidTr="008C2BD1">
        <w:trPr>
          <w:jc w:val="center"/>
        </w:trPr>
        <w:tc>
          <w:tcPr>
            <w:tcW w:w="3687" w:type="dxa"/>
            <w:tcBorders>
              <w:top w:val="nil"/>
              <w:left w:val="nil"/>
              <w:bottom w:val="nil"/>
            </w:tcBorders>
          </w:tcPr>
          <w:p w14:paraId="397B781D"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K (mg)</w:t>
            </w:r>
          </w:p>
        </w:tc>
        <w:tc>
          <w:tcPr>
            <w:tcW w:w="2693" w:type="dxa"/>
            <w:tcBorders>
              <w:top w:val="nil"/>
              <w:bottom w:val="nil"/>
            </w:tcBorders>
          </w:tcPr>
          <w:p w14:paraId="50BBCAD3"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4700</w:t>
            </w:r>
            <w:r w:rsidRPr="00AF2AD7">
              <w:rPr>
                <w:rFonts w:ascii="Arial" w:eastAsia="Calibri" w:hAnsi="Arial" w:cs="Arial"/>
                <w:vertAlign w:val="superscript"/>
                <w:lang w:val="en-IE"/>
              </w:rPr>
              <w:t>b</w:t>
            </w:r>
          </w:p>
        </w:tc>
        <w:tc>
          <w:tcPr>
            <w:tcW w:w="2268" w:type="dxa"/>
            <w:tcBorders>
              <w:top w:val="nil"/>
              <w:bottom w:val="nil"/>
            </w:tcBorders>
          </w:tcPr>
          <w:p w14:paraId="4F60D5C5" w14:textId="77777777" w:rsidR="00AF2AD7" w:rsidRPr="00AF2AD7" w:rsidRDefault="00AF2AD7" w:rsidP="008C2BD1">
            <w:pPr>
              <w:rPr>
                <w:rFonts w:ascii="Arial" w:eastAsia="Calibri" w:hAnsi="Arial" w:cs="Arial"/>
                <w:lang w:val="en-IE"/>
              </w:rPr>
            </w:pPr>
            <w:r w:rsidRPr="00AF2AD7">
              <w:rPr>
                <w:rFonts w:ascii="Arial" w:hAnsi="Arial" w:cs="Arial"/>
                <w:lang w:val="en-IE" w:eastAsia="fr-FR"/>
              </w:rPr>
              <w:t>625.1</w:t>
            </w:r>
          </w:p>
        </w:tc>
        <w:tc>
          <w:tcPr>
            <w:tcW w:w="3402" w:type="dxa"/>
            <w:tcBorders>
              <w:top w:val="nil"/>
              <w:bottom w:val="nil"/>
            </w:tcBorders>
          </w:tcPr>
          <w:p w14:paraId="50F5CD98"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13.30</w:t>
            </w:r>
          </w:p>
        </w:tc>
      </w:tr>
      <w:tr w:rsidR="00AF2AD7" w:rsidRPr="00AF2AD7" w14:paraId="1C88B6DC" w14:textId="77777777" w:rsidTr="008C2BD1">
        <w:trPr>
          <w:jc w:val="center"/>
        </w:trPr>
        <w:tc>
          <w:tcPr>
            <w:tcW w:w="3687" w:type="dxa"/>
            <w:tcBorders>
              <w:top w:val="nil"/>
              <w:left w:val="nil"/>
              <w:bottom w:val="nil"/>
            </w:tcBorders>
          </w:tcPr>
          <w:p w14:paraId="3BD6334A"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Ca (mg)</w:t>
            </w:r>
          </w:p>
        </w:tc>
        <w:tc>
          <w:tcPr>
            <w:tcW w:w="2693" w:type="dxa"/>
            <w:tcBorders>
              <w:top w:val="nil"/>
              <w:bottom w:val="nil"/>
            </w:tcBorders>
          </w:tcPr>
          <w:p w14:paraId="237A6152"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900</w:t>
            </w:r>
            <w:r w:rsidRPr="00AF2AD7">
              <w:rPr>
                <w:rFonts w:ascii="Arial" w:eastAsia="Calibri" w:hAnsi="Arial" w:cs="Arial"/>
                <w:vertAlign w:val="superscript"/>
                <w:lang w:val="en-IE"/>
              </w:rPr>
              <w:t>bc</w:t>
            </w:r>
          </w:p>
        </w:tc>
        <w:tc>
          <w:tcPr>
            <w:tcW w:w="2268" w:type="dxa"/>
            <w:tcBorders>
              <w:top w:val="nil"/>
              <w:bottom w:val="nil"/>
            </w:tcBorders>
          </w:tcPr>
          <w:p w14:paraId="28F45803" w14:textId="77777777" w:rsidR="00AF2AD7" w:rsidRPr="00AF2AD7" w:rsidRDefault="00AF2AD7" w:rsidP="008C2BD1">
            <w:pPr>
              <w:rPr>
                <w:rFonts w:ascii="Arial" w:eastAsia="Calibri" w:hAnsi="Arial" w:cs="Arial"/>
                <w:lang w:val="en-IE"/>
              </w:rPr>
            </w:pPr>
            <w:r w:rsidRPr="00AF2AD7">
              <w:rPr>
                <w:rFonts w:ascii="Arial" w:hAnsi="Arial" w:cs="Arial"/>
                <w:lang w:val="en-IE" w:eastAsia="fr-FR"/>
              </w:rPr>
              <w:t>3537</w:t>
            </w:r>
          </w:p>
        </w:tc>
        <w:tc>
          <w:tcPr>
            <w:tcW w:w="3402" w:type="dxa"/>
            <w:tcBorders>
              <w:top w:val="nil"/>
              <w:bottom w:val="nil"/>
            </w:tcBorders>
          </w:tcPr>
          <w:p w14:paraId="40E14108"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393</w:t>
            </w:r>
          </w:p>
        </w:tc>
      </w:tr>
      <w:tr w:rsidR="00AF2AD7" w:rsidRPr="00AF2AD7" w14:paraId="01431B76" w14:textId="77777777" w:rsidTr="008C2BD1">
        <w:trPr>
          <w:jc w:val="center"/>
        </w:trPr>
        <w:tc>
          <w:tcPr>
            <w:tcW w:w="3687" w:type="dxa"/>
            <w:tcBorders>
              <w:top w:val="nil"/>
              <w:left w:val="nil"/>
              <w:bottom w:val="nil"/>
            </w:tcBorders>
          </w:tcPr>
          <w:p w14:paraId="43DBDF6D"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Mg (mg)</w:t>
            </w:r>
          </w:p>
        </w:tc>
        <w:tc>
          <w:tcPr>
            <w:tcW w:w="2693" w:type="dxa"/>
            <w:tcBorders>
              <w:top w:val="nil"/>
              <w:bottom w:val="nil"/>
            </w:tcBorders>
          </w:tcPr>
          <w:p w14:paraId="651739B4"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420</w:t>
            </w:r>
            <w:r w:rsidRPr="00AF2AD7">
              <w:rPr>
                <w:rFonts w:ascii="Arial" w:eastAsia="Calibri" w:hAnsi="Arial" w:cs="Arial"/>
                <w:vertAlign w:val="superscript"/>
                <w:lang w:val="en-IE"/>
              </w:rPr>
              <w:t>a</w:t>
            </w:r>
          </w:p>
        </w:tc>
        <w:tc>
          <w:tcPr>
            <w:tcW w:w="2268" w:type="dxa"/>
            <w:tcBorders>
              <w:top w:val="nil"/>
              <w:bottom w:val="nil"/>
            </w:tcBorders>
          </w:tcPr>
          <w:p w14:paraId="470D97D1" w14:textId="77777777" w:rsidR="00AF2AD7" w:rsidRPr="00AF2AD7" w:rsidRDefault="00AF2AD7" w:rsidP="008C2BD1">
            <w:pPr>
              <w:rPr>
                <w:rFonts w:ascii="Arial" w:eastAsia="Calibri" w:hAnsi="Arial" w:cs="Arial"/>
                <w:lang w:val="en-IE"/>
              </w:rPr>
            </w:pPr>
            <w:r w:rsidRPr="00AF2AD7">
              <w:rPr>
                <w:rFonts w:ascii="Arial" w:hAnsi="Arial" w:cs="Arial"/>
                <w:lang w:val="en-IE" w:eastAsia="fr-FR"/>
              </w:rPr>
              <w:t>18.95</w:t>
            </w:r>
          </w:p>
        </w:tc>
        <w:tc>
          <w:tcPr>
            <w:tcW w:w="3402" w:type="dxa"/>
            <w:tcBorders>
              <w:top w:val="nil"/>
              <w:bottom w:val="nil"/>
            </w:tcBorders>
          </w:tcPr>
          <w:p w14:paraId="6F85F634"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4.51</w:t>
            </w:r>
          </w:p>
        </w:tc>
      </w:tr>
      <w:tr w:rsidR="00AF2AD7" w:rsidRPr="00AF2AD7" w14:paraId="07477436" w14:textId="77777777" w:rsidTr="008C2BD1">
        <w:trPr>
          <w:jc w:val="center"/>
        </w:trPr>
        <w:tc>
          <w:tcPr>
            <w:tcW w:w="3687" w:type="dxa"/>
            <w:tcBorders>
              <w:top w:val="nil"/>
              <w:left w:val="nil"/>
              <w:bottom w:val="single" w:sz="8" w:space="0" w:color="auto"/>
            </w:tcBorders>
          </w:tcPr>
          <w:p w14:paraId="06812702"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Zn (mg)</w:t>
            </w:r>
          </w:p>
        </w:tc>
        <w:tc>
          <w:tcPr>
            <w:tcW w:w="2693" w:type="dxa"/>
            <w:tcBorders>
              <w:top w:val="nil"/>
              <w:bottom w:val="single" w:sz="8" w:space="0" w:color="auto"/>
            </w:tcBorders>
          </w:tcPr>
          <w:p w14:paraId="23C2207E"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9.8 – 14</w:t>
            </w:r>
            <w:r w:rsidRPr="00AF2AD7">
              <w:rPr>
                <w:rFonts w:ascii="Arial" w:eastAsia="Calibri" w:hAnsi="Arial" w:cs="Arial"/>
                <w:vertAlign w:val="superscript"/>
                <w:lang w:val="en-IE"/>
              </w:rPr>
              <w:t>c</w:t>
            </w:r>
          </w:p>
        </w:tc>
        <w:tc>
          <w:tcPr>
            <w:tcW w:w="2268" w:type="dxa"/>
            <w:tcBorders>
              <w:top w:val="nil"/>
              <w:bottom w:val="single" w:sz="8" w:space="0" w:color="auto"/>
            </w:tcBorders>
          </w:tcPr>
          <w:p w14:paraId="6965398D" w14:textId="77777777" w:rsidR="00AF2AD7" w:rsidRPr="00AF2AD7" w:rsidRDefault="00AF2AD7" w:rsidP="008C2BD1">
            <w:pPr>
              <w:rPr>
                <w:rFonts w:ascii="Arial" w:eastAsia="Calibri" w:hAnsi="Arial" w:cs="Arial"/>
                <w:lang w:val="en-IE"/>
              </w:rPr>
            </w:pPr>
            <w:r w:rsidRPr="00AF2AD7">
              <w:rPr>
                <w:rFonts w:ascii="Arial" w:hAnsi="Arial" w:cs="Arial"/>
                <w:lang w:val="en-IE" w:eastAsia="fr-FR"/>
              </w:rPr>
              <w:t>11.13</w:t>
            </w:r>
          </w:p>
        </w:tc>
        <w:tc>
          <w:tcPr>
            <w:tcW w:w="3402" w:type="dxa"/>
            <w:tcBorders>
              <w:top w:val="nil"/>
              <w:bottom w:val="single" w:sz="8" w:space="0" w:color="auto"/>
            </w:tcBorders>
          </w:tcPr>
          <w:p w14:paraId="6B5DC47A"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79.50 – 113.57</w:t>
            </w:r>
          </w:p>
        </w:tc>
      </w:tr>
    </w:tbl>
    <w:p w14:paraId="5B41E0B5" w14:textId="77777777" w:rsidR="00AF2AD7" w:rsidRPr="00AF2AD7" w:rsidRDefault="00AF2AD7" w:rsidP="00AF2AD7">
      <w:pPr>
        <w:jc w:val="both"/>
        <w:rPr>
          <w:rFonts w:ascii="Arial" w:eastAsia="Calibri" w:hAnsi="Arial" w:cs="Arial"/>
          <w:lang w:val="en-IE"/>
        </w:rPr>
      </w:pPr>
      <w:r w:rsidRPr="00AF2AD7">
        <w:rPr>
          <w:rFonts w:ascii="Arial" w:eastAsia="Calibri" w:hAnsi="Arial" w:cs="Arial"/>
          <w:lang w:val="en-IE"/>
        </w:rPr>
        <w:lastRenderedPageBreak/>
        <w:t>Values are expressed as mean ± SEM (n=3); DM: dry matter; FM: fresh matter.</w:t>
      </w:r>
    </w:p>
    <w:p w14:paraId="0956563A" w14:textId="77777777" w:rsidR="00AF2AD7" w:rsidRPr="00AF2AD7" w:rsidRDefault="00AF2AD7" w:rsidP="00AF2AD7">
      <w:pPr>
        <w:jc w:val="both"/>
        <w:rPr>
          <w:rFonts w:ascii="Arial" w:eastAsia="Calibri" w:hAnsi="Arial" w:cs="Arial"/>
          <w:lang w:val="en-IE"/>
        </w:rPr>
      </w:pPr>
      <w:r w:rsidRPr="00AF2AD7">
        <w:rPr>
          <w:rFonts w:ascii="Arial" w:eastAsia="Calibri" w:hAnsi="Arial" w:cs="Arial"/>
          <w:lang w:val="en-IE"/>
        </w:rPr>
        <w:t>RDA: Recommended Daily Allowance.</w:t>
      </w:r>
    </w:p>
    <w:p w14:paraId="503693B6" w14:textId="77777777" w:rsidR="00AF2AD7" w:rsidRPr="00AF2AD7" w:rsidRDefault="00AF2AD7" w:rsidP="00AF2AD7">
      <w:pPr>
        <w:pStyle w:val="Body"/>
        <w:spacing w:after="0"/>
        <w:rPr>
          <w:rFonts w:ascii="Arial" w:eastAsia="Calibri" w:hAnsi="Arial" w:cs="Arial"/>
          <w:lang w:val="en-IE"/>
        </w:rPr>
        <w:sectPr w:rsidR="00AF2AD7" w:rsidRPr="00AF2AD7" w:rsidSect="00266B5A">
          <w:pgSz w:w="15840" w:h="12240" w:orient="landscape"/>
          <w:pgMar w:top="426" w:right="1440" w:bottom="284" w:left="2016" w:header="720" w:footer="1123" w:gutter="0"/>
          <w:cols w:space="720"/>
          <w:docGrid w:linePitch="272"/>
        </w:sectPr>
      </w:pPr>
      <w:r w:rsidRPr="00AF2AD7">
        <w:rPr>
          <w:rFonts w:ascii="Arial" w:eastAsia="Calibri" w:hAnsi="Arial" w:cs="Arial"/>
          <w:lang w:val="en-IE"/>
        </w:rPr>
        <w:t>RDA sources: a (Trumbo et al., 2002); b (Frenot and Vierling, 2002); c (ANSES-AFSSA, 2009</w:t>
      </w:r>
    </w:p>
    <w:p w14:paraId="58CD8023" w14:textId="77777777" w:rsidR="00AF2AD7" w:rsidRPr="006670CD" w:rsidRDefault="006670CD" w:rsidP="00266B5A">
      <w:pPr>
        <w:pStyle w:val="Body"/>
        <w:spacing w:after="0"/>
        <w:jc w:val="left"/>
        <w:rPr>
          <w:rFonts w:ascii="Arial" w:hAnsi="Arial" w:cs="Arial"/>
          <w:b/>
          <w:sz w:val="22"/>
          <w:lang w:val="fr-FR"/>
        </w:rPr>
      </w:pPr>
      <w:r w:rsidRPr="006670CD">
        <w:rPr>
          <w:rFonts w:ascii="Arial" w:hAnsi="Arial" w:cs="Arial"/>
          <w:b/>
          <w:sz w:val="22"/>
          <w:lang w:val="fr-FR"/>
        </w:rPr>
        <w:lastRenderedPageBreak/>
        <w:t>DISCUSSION</w:t>
      </w:r>
    </w:p>
    <w:p w14:paraId="5EB9A271" w14:textId="488343AD" w:rsidR="00AF2AD7" w:rsidRDefault="00AF2AD7" w:rsidP="00210038">
      <w:pPr>
        <w:pStyle w:val="Body"/>
        <w:spacing w:after="0"/>
        <w:ind w:firstLine="720"/>
        <w:rPr>
          <w:rFonts w:ascii="Arial" w:hAnsi="Arial" w:cs="Arial"/>
          <w:lang w:val="fr-FR"/>
        </w:rPr>
      </w:pPr>
      <w:r w:rsidRPr="00AF2AD7">
        <w:rPr>
          <w:rFonts w:ascii="Arial" w:hAnsi="Arial" w:cs="Arial"/>
          <w:lang w:val="fr-FR"/>
        </w:rPr>
        <w:t xml:space="preserve">This study aimed to elucidate the nutritional potential of </w:t>
      </w:r>
      <w:r w:rsidR="009A395D" w:rsidRPr="009A395D">
        <w:rPr>
          <w:rFonts w:ascii="Arial" w:hAnsi="Arial" w:cs="Arial"/>
          <w:i/>
          <w:iCs/>
          <w:lang w:val="fr-FR"/>
        </w:rPr>
        <w:t>Cajanus cajan</w:t>
      </w:r>
      <w:r w:rsidRPr="00AF2AD7">
        <w:rPr>
          <w:rFonts w:ascii="Arial" w:hAnsi="Arial" w:cs="Arial"/>
          <w:lang w:val="fr-FR"/>
        </w:rPr>
        <w:t xml:space="preserve"> leaves, a vastly underutilized plant resource, to assess their viability as a leafy vegetable for enhancing food and nutrition security, particularly within the Togolese context. The findings reveal that these leaves possess a robust nutritional profile, characterized by substantial levels of proteins, dietary fiber, and key minerals. This positions them as a promising, locally accessible, and cost-effective dietary component to mitigate malnutrition.</w:t>
      </w:r>
    </w:p>
    <w:p w14:paraId="1299C031" w14:textId="77777777" w:rsidR="00210038" w:rsidRPr="00AF2AD7" w:rsidRDefault="00210038" w:rsidP="00210038">
      <w:pPr>
        <w:pStyle w:val="Body"/>
        <w:spacing w:after="0"/>
        <w:ind w:firstLine="720"/>
        <w:rPr>
          <w:rFonts w:ascii="Arial" w:hAnsi="Arial" w:cs="Arial"/>
          <w:lang w:val="fr-FR"/>
        </w:rPr>
      </w:pPr>
    </w:p>
    <w:p w14:paraId="2F6EC3EF" w14:textId="3B71A9FE" w:rsidR="00AF2AD7" w:rsidRPr="00AF2AD7" w:rsidRDefault="00AF2AD7" w:rsidP="00210038">
      <w:pPr>
        <w:pStyle w:val="Body"/>
        <w:spacing w:after="0"/>
        <w:ind w:firstLine="720"/>
        <w:rPr>
          <w:rFonts w:ascii="Arial" w:hAnsi="Arial" w:cs="Arial"/>
          <w:lang w:val="fr-FR"/>
        </w:rPr>
      </w:pPr>
      <w:proofErr w:type="gramStart"/>
      <w:r w:rsidRPr="00AF2AD7">
        <w:rPr>
          <w:rFonts w:ascii="Arial" w:hAnsi="Arial" w:cs="Arial"/>
          <w:lang w:val="fr-FR"/>
        </w:rPr>
        <w:t>The</w:t>
      </w:r>
      <w:r w:rsidR="007C7A43" w:rsidRPr="007C7A43">
        <w:t xml:space="preserve"> </w:t>
      </w:r>
      <w:r w:rsidR="00BE453C">
        <w:rPr>
          <w:rFonts w:ascii="Arial" w:hAnsi="Arial" w:cs="Arial"/>
          <w:lang w:val="fr-FR"/>
        </w:rPr>
        <w:t xml:space="preserve"> crude</w:t>
      </w:r>
      <w:proofErr w:type="gramEnd"/>
      <w:r w:rsidR="007C7A43" w:rsidRPr="007C7A43">
        <w:rPr>
          <w:rFonts w:ascii="Arial" w:hAnsi="Arial" w:cs="Arial"/>
          <w:lang w:val="fr-FR"/>
        </w:rPr>
        <w:t xml:space="preserve"> protein </w:t>
      </w:r>
      <w:r w:rsidRPr="00AF2AD7">
        <w:rPr>
          <w:rFonts w:ascii="Arial" w:hAnsi="Arial" w:cs="Arial"/>
          <w:lang w:val="fr-FR"/>
        </w:rPr>
        <w:t xml:space="preserve">content of </w:t>
      </w:r>
      <w:r w:rsidR="009A395D" w:rsidRPr="009A395D">
        <w:rPr>
          <w:rFonts w:ascii="Arial" w:hAnsi="Arial" w:cs="Arial"/>
          <w:i/>
          <w:iCs/>
          <w:lang w:val="fr-FR"/>
        </w:rPr>
        <w:t>C. cajan</w:t>
      </w:r>
      <w:r w:rsidRPr="00AF2AD7">
        <w:rPr>
          <w:rFonts w:ascii="Arial" w:hAnsi="Arial" w:cs="Arial"/>
          <w:lang w:val="fr-FR"/>
        </w:rPr>
        <w:t xml:space="preserve"> leaves (29.14 g/100g DM) is particularly noteworthy. This value is not only significant in absolute terms but also compares favorably with, or even exceeds, other prominent tropical leafy vegetables such as moringa (Moringa oleifera), for which data is more widely available (e.g., Fasuyi, 2008) In regions like Togo, where diets are often dominated by starchy staples like maize, cassava, and yam, which are inherently low in </w:t>
      </w:r>
      <w:r w:rsidR="00BE453C">
        <w:rPr>
          <w:rFonts w:ascii="Arial" w:hAnsi="Arial" w:cs="Arial"/>
          <w:lang w:val="fr-FR"/>
        </w:rPr>
        <w:t xml:space="preserve"> crude</w:t>
      </w:r>
      <w:r w:rsidR="007C7A43" w:rsidRPr="007C7A43">
        <w:rPr>
          <w:rFonts w:ascii="Arial" w:hAnsi="Arial" w:cs="Arial"/>
          <w:lang w:val="fr-FR"/>
        </w:rPr>
        <w:t xml:space="preserve"> protein</w:t>
      </w:r>
      <w:r w:rsidRPr="007C7A43">
        <w:rPr>
          <w:rFonts w:ascii="Arial" w:hAnsi="Arial" w:cs="Arial"/>
          <w:lang w:val="fr-FR"/>
        </w:rPr>
        <w:t>,</w:t>
      </w:r>
      <w:r w:rsidRPr="00AF2AD7">
        <w:rPr>
          <w:rFonts w:ascii="Arial" w:hAnsi="Arial" w:cs="Arial"/>
          <w:lang w:val="fr-FR"/>
        </w:rPr>
        <w:t xml:space="preserve"> the integration of such protein-rich leaves could be a critical strategy in combating protein-energy malnutrition, especially among vulnerable populations such as children and pregnant women.</w:t>
      </w:r>
      <w:r w:rsidR="00BE453C">
        <w:rPr>
          <w:rFonts w:ascii="Arial" w:hAnsi="Arial" w:cs="Arial"/>
          <w:lang w:val="fr-FR"/>
        </w:rPr>
        <w:t xml:space="preserve"> </w:t>
      </w:r>
      <w:r w:rsidR="00BE453C" w:rsidRPr="00BE453C">
        <w:rPr>
          <w:highlight w:val="yellow"/>
        </w:rPr>
        <w:t>The high protein and mineral density observed in this study aligns with recent findings that position pigeon pea as a premier source of plant-based proteins and essential micronu</w:t>
      </w:r>
      <w:r w:rsidR="00BC71CC">
        <w:rPr>
          <w:highlight w:val="yellow"/>
        </w:rPr>
        <w:t>trients (Haji et al., 2024; Locali</w:t>
      </w:r>
      <w:r w:rsidR="00BE453C" w:rsidRPr="00BE453C">
        <w:rPr>
          <w:highlight w:val="yellow"/>
        </w:rPr>
        <w:t xml:space="preserve"> et al., 2023)</w:t>
      </w:r>
      <w:r w:rsidR="00BE453C">
        <w:t>.</w:t>
      </w:r>
      <w:r w:rsidRPr="00AF2AD7">
        <w:rPr>
          <w:rFonts w:ascii="Arial" w:hAnsi="Arial" w:cs="Arial"/>
          <w:lang w:val="fr-FR"/>
        </w:rPr>
        <w:t xml:space="preserve"> Furthermore, the substantial dietary fiber content (13.45 g/100g DM) is of significant physiological importance. Diets rich in fiber are intrinsically linked to improved gastrointestinal health, enhanced satiety which can help in weight management, and a reduced risk of non-communicable diseases (NCDs) such as type-2 diabetes and cardiovascular ailments by modulating glycemic response and cholesterol levels. The </w:t>
      </w:r>
      <w:proofErr w:type="gramStart"/>
      <w:r w:rsidRPr="00AF2AD7">
        <w:rPr>
          <w:rFonts w:ascii="Arial" w:hAnsi="Arial" w:cs="Arial"/>
          <w:lang w:val="fr-FR"/>
        </w:rPr>
        <w:t xml:space="preserve">low </w:t>
      </w:r>
      <w:r w:rsidR="00BE453C">
        <w:rPr>
          <w:rFonts w:ascii="Arial" w:hAnsi="Arial" w:cs="Arial"/>
          <w:lang w:val="fr-FR"/>
        </w:rPr>
        <w:t xml:space="preserve"> crude</w:t>
      </w:r>
      <w:proofErr w:type="gramEnd"/>
      <w:r w:rsidR="007C7A43" w:rsidRPr="007C7A43">
        <w:rPr>
          <w:rFonts w:ascii="Arial" w:hAnsi="Arial" w:cs="Arial"/>
          <w:lang w:val="fr-FR"/>
        </w:rPr>
        <w:t xml:space="preserve"> fat</w:t>
      </w:r>
      <w:r w:rsidRPr="007C7A43">
        <w:rPr>
          <w:rFonts w:ascii="Arial" w:hAnsi="Arial" w:cs="Arial"/>
          <w:lang w:val="fr-FR"/>
        </w:rPr>
        <w:t xml:space="preserve"> </w:t>
      </w:r>
      <w:r w:rsidRPr="00AF2AD7">
        <w:rPr>
          <w:rFonts w:ascii="Arial" w:hAnsi="Arial" w:cs="Arial"/>
          <w:lang w:val="fr-FR"/>
        </w:rPr>
        <w:t xml:space="preserve">content (3.06 g/100g DM) further reinforces the suitability of these leaves for addressing the "double burden of malnutrition," where undernutrition coexists with rising rates of obesity and diet-related NCDs in many urban and peri-urban areas across West </w:t>
      </w:r>
      <w:r w:rsidR="00210038" w:rsidRPr="00AF2AD7">
        <w:rPr>
          <w:rFonts w:ascii="Arial" w:hAnsi="Arial" w:cs="Arial"/>
          <w:lang w:val="fr-FR"/>
        </w:rPr>
        <w:t xml:space="preserve">Africa. </w:t>
      </w:r>
      <w:r w:rsidR="00510C11">
        <w:rPr>
          <w:rFonts w:ascii="Arial" w:hAnsi="Arial" w:cs="Arial"/>
          <w:lang w:val="fr-FR"/>
        </w:rPr>
        <w:t>(</w:t>
      </w:r>
      <w:r w:rsidRPr="00AF2AD7">
        <w:rPr>
          <w:rFonts w:ascii="Arial" w:hAnsi="Arial" w:cs="Arial"/>
          <w:lang w:val="fr-FR"/>
        </w:rPr>
        <w:t>World Health Organizatio</w:t>
      </w:r>
      <w:r w:rsidR="001F5FBC">
        <w:rPr>
          <w:rFonts w:ascii="Arial" w:hAnsi="Arial" w:cs="Arial"/>
          <w:lang w:val="fr-FR"/>
        </w:rPr>
        <w:t>n, 2012 ; Van der Maesen, 2006</w:t>
      </w:r>
      <w:r w:rsidR="00510C11">
        <w:rPr>
          <w:rFonts w:ascii="Arial" w:hAnsi="Arial" w:cs="Arial"/>
          <w:lang w:val="fr-FR"/>
        </w:rPr>
        <w:t>)</w:t>
      </w:r>
    </w:p>
    <w:p w14:paraId="475F8123" w14:textId="77777777" w:rsidR="00AF2AD7" w:rsidRPr="00AF2AD7" w:rsidRDefault="00AF2AD7" w:rsidP="00AF2AD7">
      <w:pPr>
        <w:pStyle w:val="Body"/>
        <w:rPr>
          <w:rFonts w:ascii="Arial" w:hAnsi="Arial" w:cs="Arial"/>
          <w:lang w:val="fr-FR"/>
        </w:rPr>
      </w:pPr>
    </w:p>
    <w:p w14:paraId="35EA0956" w14:textId="26E45841" w:rsidR="00AF2AD7" w:rsidRDefault="00AF2AD7" w:rsidP="00AF2AD7">
      <w:pPr>
        <w:pStyle w:val="Body"/>
        <w:spacing w:after="0"/>
        <w:rPr>
          <w:rFonts w:ascii="Arial" w:hAnsi="Arial" w:cs="Arial"/>
          <w:lang w:val="fr-FR"/>
        </w:rPr>
      </w:pPr>
      <w:r w:rsidRPr="00AF2AD7">
        <w:rPr>
          <w:rFonts w:ascii="Arial" w:hAnsi="Arial" w:cs="Arial"/>
          <w:lang w:val="fr-FR"/>
        </w:rPr>
        <w:t xml:space="preserve">Biologically, the co-occurrence of </w:t>
      </w:r>
      <w:proofErr w:type="gramStart"/>
      <w:r w:rsidRPr="00AF2AD7">
        <w:rPr>
          <w:rFonts w:ascii="Arial" w:hAnsi="Arial" w:cs="Arial"/>
          <w:lang w:val="fr-FR"/>
        </w:rPr>
        <w:t xml:space="preserve">high </w:t>
      </w:r>
      <w:r w:rsidR="00BE453C">
        <w:rPr>
          <w:rFonts w:ascii="Arial" w:hAnsi="Arial" w:cs="Arial"/>
          <w:lang w:val="fr-FR"/>
        </w:rPr>
        <w:t xml:space="preserve"> crude</w:t>
      </w:r>
      <w:proofErr w:type="gramEnd"/>
      <w:r w:rsidR="007C7A43" w:rsidRPr="007C7A43">
        <w:rPr>
          <w:rFonts w:ascii="Arial" w:hAnsi="Arial" w:cs="Arial"/>
          <w:lang w:val="fr-FR"/>
        </w:rPr>
        <w:t xml:space="preserve"> protein</w:t>
      </w:r>
      <w:r w:rsidRPr="007C7A43">
        <w:rPr>
          <w:rFonts w:ascii="Arial" w:hAnsi="Arial" w:cs="Arial"/>
          <w:lang w:val="fr-FR"/>
        </w:rPr>
        <w:t>,</w:t>
      </w:r>
      <w:r w:rsidRPr="00AF2AD7">
        <w:rPr>
          <w:rFonts w:ascii="Arial" w:hAnsi="Arial" w:cs="Arial"/>
          <w:lang w:val="fr-FR"/>
        </w:rPr>
        <w:t xml:space="preserve"> high fiber, and low </w:t>
      </w:r>
      <w:r w:rsidR="00BE453C">
        <w:rPr>
          <w:rFonts w:ascii="Arial" w:hAnsi="Arial" w:cs="Arial"/>
          <w:lang w:val="fr-FR"/>
        </w:rPr>
        <w:t xml:space="preserve"> crude</w:t>
      </w:r>
      <w:r w:rsidR="007C7A43" w:rsidRPr="007C7A43">
        <w:rPr>
          <w:rFonts w:ascii="Arial" w:hAnsi="Arial" w:cs="Arial"/>
          <w:lang w:val="fr-FR"/>
        </w:rPr>
        <w:t xml:space="preserve"> fat</w:t>
      </w:r>
      <w:r w:rsidRPr="007C7A43">
        <w:rPr>
          <w:rFonts w:ascii="Arial" w:hAnsi="Arial" w:cs="Arial"/>
          <w:lang w:val="fr-FR"/>
        </w:rPr>
        <w:t xml:space="preserve"> </w:t>
      </w:r>
      <w:r w:rsidRPr="00AF2AD7">
        <w:rPr>
          <w:rFonts w:ascii="Arial" w:hAnsi="Arial" w:cs="Arial"/>
          <w:lang w:val="fr-FR"/>
        </w:rPr>
        <w:t xml:space="preserve">within a single, low-cost food source is of profound nutritional significance. This specific macronutrient matrix is ideal for addressing the complex "double burden of malnutrition" prevalent in Togo and other transitioning economies </w:t>
      </w:r>
      <w:r w:rsidR="00510C11">
        <w:rPr>
          <w:rFonts w:ascii="Arial" w:hAnsi="Arial" w:cs="Arial"/>
          <w:lang w:val="fr-FR"/>
        </w:rPr>
        <w:t>(</w:t>
      </w:r>
      <w:r w:rsidRPr="00AF2AD7">
        <w:rPr>
          <w:rFonts w:ascii="Arial" w:hAnsi="Arial" w:cs="Arial"/>
          <w:lang w:val="fr-FR"/>
        </w:rPr>
        <w:t>Popkin et al., 2020</w:t>
      </w:r>
      <w:r w:rsidR="00510C11">
        <w:rPr>
          <w:rFonts w:ascii="Arial" w:hAnsi="Arial" w:cs="Arial"/>
          <w:lang w:val="fr-FR"/>
        </w:rPr>
        <w:t>)</w:t>
      </w:r>
      <w:r w:rsidRPr="00AF2AD7">
        <w:rPr>
          <w:rFonts w:ascii="Arial" w:hAnsi="Arial" w:cs="Arial"/>
          <w:lang w:val="fr-FR"/>
        </w:rPr>
        <w:t xml:space="preserve">. For undernourished populations, it provides the essential protein for growth and immune function. Simultaneously, for populations facing overnutrition, its high fiber content can promote satiety and its low energy density can help manage weight, while its complex carbohydrates and fiber modulate glycemic response, a critical factor in preventing type-2 diabetes. This positions </w:t>
      </w:r>
      <w:r w:rsidR="009A395D" w:rsidRPr="009A395D">
        <w:rPr>
          <w:rFonts w:ascii="Arial" w:hAnsi="Arial" w:cs="Arial"/>
          <w:i/>
          <w:iCs/>
          <w:lang w:val="fr-FR"/>
        </w:rPr>
        <w:t>C. cajan</w:t>
      </w:r>
      <w:r w:rsidRPr="00AF2AD7">
        <w:rPr>
          <w:rFonts w:ascii="Arial" w:hAnsi="Arial" w:cs="Arial"/>
          <w:lang w:val="fr-FR"/>
        </w:rPr>
        <w:t xml:space="preserve"> leaves not just as </w:t>
      </w:r>
      <w:proofErr w:type="gramStart"/>
      <w:r w:rsidRPr="00AF2AD7">
        <w:rPr>
          <w:rFonts w:ascii="Arial" w:hAnsi="Arial" w:cs="Arial"/>
          <w:lang w:val="fr-FR"/>
        </w:rPr>
        <w:t>a "</w:t>
      </w:r>
      <w:proofErr w:type="gramEnd"/>
      <w:r w:rsidRPr="00AF2AD7">
        <w:rPr>
          <w:rFonts w:ascii="Arial" w:hAnsi="Arial" w:cs="Arial"/>
          <w:lang w:val="fr-FR"/>
        </w:rPr>
        <w:t>famine food" but as a smart, functional food for contemporary African diets.</w:t>
      </w:r>
    </w:p>
    <w:p w14:paraId="17344E88" w14:textId="536E28E2" w:rsidR="00DB2E66" w:rsidRDefault="00DB2E66" w:rsidP="00AF2AD7">
      <w:pPr>
        <w:pStyle w:val="Body"/>
        <w:spacing w:after="0"/>
        <w:rPr>
          <w:rFonts w:ascii="Arial" w:hAnsi="Arial" w:cs="Arial"/>
          <w:lang w:val="fr-FR"/>
        </w:rPr>
      </w:pPr>
    </w:p>
    <w:p w14:paraId="44233527" w14:textId="012C4503" w:rsidR="00DB2E66" w:rsidRDefault="00DB2E66" w:rsidP="00AF2AD7">
      <w:pPr>
        <w:pStyle w:val="Body"/>
        <w:spacing w:after="0"/>
        <w:rPr>
          <w:rFonts w:ascii="Arial" w:hAnsi="Arial" w:cs="Arial"/>
          <w:lang w:val="fr-FR"/>
        </w:rPr>
      </w:pPr>
      <w:r w:rsidRPr="00DB2E66">
        <w:rPr>
          <w:highlight w:val="yellow"/>
        </w:rPr>
        <w:t xml:space="preserve">The nutritional evaluation revealed a high concentration </w:t>
      </w:r>
      <w:proofErr w:type="gramStart"/>
      <w:r w:rsidRPr="00DB2E66">
        <w:rPr>
          <w:highlight w:val="yellow"/>
        </w:rPr>
        <w:t xml:space="preserve">of </w:t>
      </w:r>
      <w:r w:rsidR="00BE453C">
        <w:rPr>
          <w:bCs/>
          <w:highlight w:val="yellow"/>
        </w:rPr>
        <w:t xml:space="preserve"> crude</w:t>
      </w:r>
      <w:proofErr w:type="gramEnd"/>
      <w:r w:rsidRPr="00DB2E66">
        <w:rPr>
          <w:bCs/>
          <w:highlight w:val="yellow"/>
        </w:rPr>
        <w:t xml:space="preserve"> protein</w:t>
      </w:r>
      <w:r w:rsidRPr="00DB2E66">
        <w:rPr>
          <w:highlight w:val="yellow"/>
        </w:rPr>
        <w:t xml:space="preserve"> (29.14 ± 1.09 g/100g DM) in </w:t>
      </w:r>
      <w:r w:rsidRPr="00DB2E66">
        <w:rPr>
          <w:i/>
          <w:iCs/>
          <w:highlight w:val="yellow"/>
        </w:rPr>
        <w:t>C. cajan</w:t>
      </w:r>
      <w:r w:rsidRPr="00DB2E66">
        <w:rPr>
          <w:highlight w:val="yellow"/>
        </w:rPr>
        <w:t xml:space="preserve"> leaves, which is notably higher than that found in several common leafy vegetables and traditional legumes. However, it is essential to distinguish </w:t>
      </w:r>
      <w:proofErr w:type="gramStart"/>
      <w:r w:rsidRPr="00DB2E66">
        <w:rPr>
          <w:highlight w:val="yellow"/>
        </w:rPr>
        <w:t xml:space="preserve">between </w:t>
      </w:r>
      <w:r w:rsidR="00BE453C">
        <w:rPr>
          <w:highlight w:val="yellow"/>
        </w:rPr>
        <w:t xml:space="preserve"> crude</w:t>
      </w:r>
      <w:proofErr w:type="gramEnd"/>
      <w:r w:rsidRPr="00DB2E66">
        <w:rPr>
          <w:highlight w:val="yellow"/>
        </w:rPr>
        <w:t xml:space="preserve"> protein quantity and overall protein quality. While the nitrogen-to-protein conversion provides an estimate of total protein content, the physiological value, or protein quality, is fundamentally determined by the profile of essential amino acids (EAAs) and their bioavailability. Legume proteins are typically rich in lysine but may be limiting in sulfur-containing amino acids such as methionine and cysteine. Furthermore, the presence of anti-nutritional factors, specifically phytates and tannins identified in this study, can form complexes with proteins, potentially reducing their digestibility. Therefore, while the </w:t>
      </w:r>
      <w:proofErr w:type="gramStart"/>
      <w:r w:rsidRPr="00DB2E66">
        <w:rPr>
          <w:highlight w:val="yellow"/>
        </w:rPr>
        <w:t xml:space="preserve">high </w:t>
      </w:r>
      <w:r w:rsidR="00BE453C">
        <w:rPr>
          <w:highlight w:val="yellow"/>
        </w:rPr>
        <w:t xml:space="preserve"> crude</w:t>
      </w:r>
      <w:proofErr w:type="gramEnd"/>
      <w:r w:rsidRPr="00DB2E66">
        <w:rPr>
          <w:highlight w:val="yellow"/>
        </w:rPr>
        <w:t xml:space="preserve"> protein levels highlight the potential of </w:t>
      </w:r>
      <w:r w:rsidRPr="00DB2E66">
        <w:rPr>
          <w:i/>
          <w:iCs/>
          <w:highlight w:val="yellow"/>
        </w:rPr>
        <w:t>C. cajan</w:t>
      </w:r>
      <w:r w:rsidRPr="00DB2E66">
        <w:rPr>
          <w:highlight w:val="yellow"/>
        </w:rPr>
        <w:t xml:space="preserve"> as a significant nitrogen source, further investigation into its amino acid scoring and Protein Digestibility Corrected Amino Acid Score (PDCAAS) is required to fully assess its biological efficacy in human diets</w:t>
      </w:r>
    </w:p>
    <w:p w14:paraId="6E74F81D" w14:textId="77777777" w:rsidR="00210038" w:rsidRPr="00AF2AD7" w:rsidRDefault="00210038" w:rsidP="00AF2AD7">
      <w:pPr>
        <w:pStyle w:val="Body"/>
        <w:spacing w:after="0"/>
        <w:rPr>
          <w:rFonts w:ascii="Arial" w:hAnsi="Arial" w:cs="Arial"/>
          <w:lang w:val="fr-FR"/>
        </w:rPr>
      </w:pPr>
    </w:p>
    <w:p w14:paraId="185F6281" w14:textId="0253EE08" w:rsidR="00AF2AD7" w:rsidRDefault="00AF2AD7" w:rsidP="00210038">
      <w:pPr>
        <w:pStyle w:val="Body"/>
        <w:spacing w:after="0"/>
        <w:ind w:firstLine="720"/>
        <w:rPr>
          <w:rFonts w:ascii="Arial" w:hAnsi="Arial" w:cs="Arial"/>
          <w:lang w:val="fr-FR"/>
        </w:rPr>
      </w:pPr>
      <w:r w:rsidRPr="00AF2AD7">
        <w:rPr>
          <w:rFonts w:ascii="Arial" w:hAnsi="Arial" w:cs="Arial"/>
          <w:lang w:val="fr-FR"/>
        </w:rPr>
        <w:t xml:space="preserve">The substantial concentrations of total phytates (738.92 mg/100 g) and total oxalates (282.49 mg/100 g) identified in the </w:t>
      </w:r>
      <w:r w:rsidR="009A395D" w:rsidRPr="009A395D">
        <w:rPr>
          <w:rFonts w:ascii="Arial" w:hAnsi="Arial" w:cs="Arial"/>
          <w:i/>
          <w:iCs/>
          <w:lang w:val="fr-FR"/>
        </w:rPr>
        <w:t>C. cajan</w:t>
      </w:r>
      <w:r w:rsidRPr="00AF2AD7">
        <w:rPr>
          <w:rFonts w:ascii="Arial" w:hAnsi="Arial" w:cs="Arial"/>
          <w:lang w:val="fr-FR"/>
        </w:rPr>
        <w:t xml:space="preserve"> leaves warrant careful consideration. These compounds are potent chelators of divalent cations and are known to significantly inhibit the bioavailability of essential minerals, most notably the calcium and zinc that were found in such high abundance in this study </w:t>
      </w:r>
      <w:r w:rsidR="00510C11">
        <w:rPr>
          <w:rFonts w:ascii="Arial" w:hAnsi="Arial" w:cs="Arial"/>
          <w:lang w:val="fr-FR"/>
        </w:rPr>
        <w:t>(</w:t>
      </w:r>
      <w:r w:rsidRPr="00AF2AD7">
        <w:rPr>
          <w:rFonts w:ascii="Arial" w:hAnsi="Arial" w:cs="Arial"/>
          <w:lang w:val="fr-FR"/>
        </w:rPr>
        <w:t>Shankar &amp; Prasad, 1998</w:t>
      </w:r>
      <w:r w:rsidR="00510C11">
        <w:rPr>
          <w:rFonts w:ascii="Arial" w:hAnsi="Arial" w:cs="Arial"/>
          <w:lang w:val="fr-FR"/>
        </w:rPr>
        <w:t>)</w:t>
      </w:r>
      <w:r w:rsidR="00210038">
        <w:rPr>
          <w:rFonts w:ascii="Arial" w:hAnsi="Arial" w:cs="Arial"/>
          <w:lang w:val="fr-FR"/>
        </w:rPr>
        <w:t xml:space="preserve"> </w:t>
      </w:r>
      <w:r w:rsidRPr="00AF2AD7">
        <w:rPr>
          <w:rFonts w:ascii="Arial" w:hAnsi="Arial" w:cs="Arial"/>
          <w:lang w:val="fr-FR"/>
        </w:rPr>
        <w:t xml:space="preserve">Thus, while the gross mineral profile (supplying 393% of the RDA for Ca and up to 113.6% for </w:t>
      </w:r>
      <w:r w:rsidR="00210038" w:rsidRPr="00AF2AD7">
        <w:rPr>
          <w:rFonts w:ascii="Arial" w:hAnsi="Arial" w:cs="Arial"/>
          <w:lang w:val="fr-FR"/>
        </w:rPr>
        <w:t>Zn)</w:t>
      </w:r>
      <w:r w:rsidRPr="00AF2AD7">
        <w:rPr>
          <w:rFonts w:ascii="Arial" w:hAnsi="Arial" w:cs="Arial"/>
          <w:lang w:val="fr-FR"/>
        </w:rPr>
        <w:t xml:space="preserve"> is exceptional, the </w:t>
      </w:r>
      <w:r w:rsidRPr="00AF2AD7">
        <w:rPr>
          <w:rFonts w:ascii="Arial" w:hAnsi="Arial" w:cs="Arial"/>
          <w:i/>
          <w:iCs/>
          <w:lang w:val="fr-FR"/>
        </w:rPr>
        <w:t>bioavailable</w:t>
      </w:r>
      <w:r w:rsidRPr="00AF2AD7">
        <w:rPr>
          <w:rFonts w:ascii="Arial" w:hAnsi="Arial" w:cs="Arial"/>
          <w:lang w:val="fr-FR"/>
        </w:rPr>
        <w:t xml:space="preserve"> fraction of these minerals is likely to be considerably lower. This observation underscores the necessity of traditional processing methods. Culinary techniques common to the region, such as blanching, boiling, or soaking (which are already employed for other legume </w:t>
      </w:r>
      <w:r w:rsidR="00210038" w:rsidRPr="00AF2AD7">
        <w:rPr>
          <w:rFonts w:ascii="Arial" w:hAnsi="Arial" w:cs="Arial"/>
          <w:lang w:val="fr-FR"/>
        </w:rPr>
        <w:t>leaves)</w:t>
      </w:r>
      <w:r w:rsidRPr="00AF2AD7">
        <w:rPr>
          <w:rFonts w:ascii="Arial" w:hAnsi="Arial" w:cs="Arial"/>
          <w:lang w:val="fr-FR"/>
        </w:rPr>
        <w:t xml:space="preserve"> are known to effectively reduce levels of heat-labile and water-soluble ANFs like phytates and oxalates. Given the high concentrations of phytates and oxalates (738.92 mg/100 g and </w:t>
      </w:r>
      <w:r w:rsidR="00210038" w:rsidRPr="00AF2AD7">
        <w:rPr>
          <w:rFonts w:ascii="Arial" w:hAnsi="Arial" w:cs="Arial"/>
          <w:lang w:val="fr-FR"/>
        </w:rPr>
        <w:t>282.49 mg</w:t>
      </w:r>
      <w:r w:rsidRPr="00AF2AD7">
        <w:rPr>
          <w:rFonts w:ascii="Arial" w:hAnsi="Arial" w:cs="Arial"/>
          <w:lang w:val="fr-FR"/>
        </w:rPr>
        <w:t xml:space="preserve">/100 g, respectively), traditional Togolese preparation methods such as prolonged boiling or the addition of potash during sauce preparation (e.g., in </w:t>
      </w:r>
      <w:r w:rsidRPr="00AF2AD7">
        <w:rPr>
          <w:rFonts w:ascii="Arial" w:hAnsi="Arial" w:cs="Arial"/>
          <w:i/>
          <w:iCs/>
          <w:lang w:val="fr-FR"/>
        </w:rPr>
        <w:t>adémè</w:t>
      </w:r>
      <w:r w:rsidRPr="00AF2AD7">
        <w:rPr>
          <w:rFonts w:ascii="Arial" w:hAnsi="Arial" w:cs="Arial"/>
          <w:lang w:val="fr-FR"/>
        </w:rPr>
        <w:t xml:space="preserve">) are vital. These processes likely enhance the bioaccessibility of calcium and zinc by dissociating mineral-phytate complexes. Therefore, further research into the effects of local Togolese processing methods on the ANF content of </w:t>
      </w:r>
      <w:r w:rsidR="009A395D" w:rsidRPr="009A395D">
        <w:rPr>
          <w:rFonts w:ascii="Arial" w:hAnsi="Arial" w:cs="Arial"/>
          <w:i/>
          <w:iCs/>
          <w:lang w:val="fr-FR"/>
        </w:rPr>
        <w:t>C. cajan</w:t>
      </w:r>
      <w:r w:rsidRPr="00AF2AD7">
        <w:rPr>
          <w:rFonts w:ascii="Arial" w:hAnsi="Arial" w:cs="Arial"/>
          <w:lang w:val="fr-FR"/>
        </w:rPr>
        <w:t xml:space="preserve"> leaves is essential before they can be broadly recommended for nutritional interventions</w:t>
      </w:r>
    </w:p>
    <w:p w14:paraId="68DF5EDB" w14:textId="77777777" w:rsidR="00D602E7" w:rsidRPr="00AF2AD7" w:rsidRDefault="00D602E7" w:rsidP="00210038">
      <w:pPr>
        <w:pStyle w:val="Body"/>
        <w:spacing w:after="0"/>
        <w:ind w:firstLine="720"/>
        <w:rPr>
          <w:rFonts w:ascii="Arial" w:hAnsi="Arial" w:cs="Arial"/>
          <w:lang w:val="fr-FR"/>
        </w:rPr>
      </w:pPr>
    </w:p>
    <w:p w14:paraId="1E52ACFB" w14:textId="22097CA2" w:rsidR="00AF2AD7" w:rsidRPr="00AF2AD7" w:rsidRDefault="00AF2AD7" w:rsidP="00AF2AD7">
      <w:pPr>
        <w:pStyle w:val="Body"/>
        <w:spacing w:after="0"/>
        <w:rPr>
          <w:rFonts w:ascii="Arial" w:hAnsi="Arial" w:cs="Arial"/>
          <w:lang w:val="fr-FR"/>
        </w:rPr>
      </w:pPr>
      <w:r w:rsidRPr="00AF2AD7">
        <w:rPr>
          <w:rFonts w:ascii="Arial" w:hAnsi="Arial" w:cs="Arial"/>
          <w:lang w:val="fr-FR"/>
        </w:rPr>
        <w:t xml:space="preserve">Conversely, the potassium content (625.10 mg/100g DM) and the resulting low sodium-to-potassium (Na/K) ratio of 0.09 are unequivocally beneficial from a cardiovascular health perspective. In practical dietary terms, a low Na/K ratio is a cornerstone of diets designed to manage hypertension, such as the DASH (Dietary Approaches to Stop Hypertension) diet </w:t>
      </w:r>
      <w:r w:rsidR="00510C11">
        <w:rPr>
          <w:rFonts w:ascii="Arial" w:hAnsi="Arial" w:cs="Arial"/>
          <w:lang w:val="fr-FR"/>
        </w:rPr>
        <w:t>(</w:t>
      </w:r>
      <w:r w:rsidRPr="00AF2AD7">
        <w:rPr>
          <w:rFonts w:ascii="Arial" w:hAnsi="Arial" w:cs="Arial"/>
          <w:lang w:val="fr-FR"/>
        </w:rPr>
        <w:t>He &amp; MacGregor, 2008 ; World Health Organization. (2012)</w:t>
      </w:r>
      <w:r w:rsidR="00510C11">
        <w:rPr>
          <w:rFonts w:ascii="Arial" w:hAnsi="Arial" w:cs="Arial"/>
          <w:lang w:val="fr-FR"/>
        </w:rPr>
        <w:t>)</w:t>
      </w:r>
      <w:r w:rsidRPr="00AF2AD7">
        <w:rPr>
          <w:rFonts w:ascii="Arial" w:hAnsi="Arial" w:cs="Arial"/>
          <w:lang w:val="fr-FR"/>
        </w:rPr>
        <w:t xml:space="preserve">. Given the rising prevalence of hypertension as </w:t>
      </w:r>
      <w:proofErr w:type="gramStart"/>
      <w:r w:rsidRPr="00AF2AD7">
        <w:rPr>
          <w:rFonts w:ascii="Arial" w:hAnsi="Arial" w:cs="Arial"/>
          <w:lang w:val="fr-FR"/>
        </w:rPr>
        <w:t>a</w:t>
      </w:r>
      <w:proofErr w:type="gramEnd"/>
      <w:r w:rsidRPr="00AF2AD7">
        <w:rPr>
          <w:rFonts w:ascii="Arial" w:hAnsi="Arial" w:cs="Arial"/>
          <w:lang w:val="fr-FR"/>
        </w:rPr>
        <w:t xml:space="preserve"> major public </w:t>
      </w:r>
      <w:r w:rsidRPr="00AF2AD7">
        <w:rPr>
          <w:rFonts w:ascii="Arial" w:hAnsi="Arial" w:cs="Arial"/>
          <w:lang w:val="fr-FR"/>
        </w:rPr>
        <w:lastRenderedPageBreak/>
        <w:t xml:space="preserve">health concern in urban Togo and across West Africa, promoting the consumption of </w:t>
      </w:r>
      <w:r w:rsidR="009A395D" w:rsidRPr="009A395D">
        <w:rPr>
          <w:rFonts w:ascii="Arial" w:hAnsi="Arial" w:cs="Arial"/>
          <w:i/>
          <w:iCs/>
          <w:lang w:val="fr-FR"/>
        </w:rPr>
        <w:t>C. cajan</w:t>
      </w:r>
      <w:r w:rsidRPr="00AF2AD7">
        <w:rPr>
          <w:rFonts w:ascii="Arial" w:hAnsi="Arial" w:cs="Arial"/>
          <w:lang w:val="fr-FR"/>
        </w:rPr>
        <w:t xml:space="preserve"> leaves could be a powerful, food-based public health strategy for blood pressure regulation. Additionally, the zinc content (11.13 mg/100g DM) is substantial, capable of contributing significantly to the Recommended Daily Allowance (RDA) </w:t>
      </w:r>
      <w:r w:rsidR="00510C11">
        <w:rPr>
          <w:rFonts w:ascii="Arial" w:hAnsi="Arial" w:cs="Arial"/>
          <w:lang w:val="fr-FR"/>
        </w:rPr>
        <w:t>(</w:t>
      </w:r>
      <w:r w:rsidRPr="00AF2AD7">
        <w:rPr>
          <w:rFonts w:ascii="Arial" w:hAnsi="Arial" w:cs="Arial"/>
          <w:lang w:val="fr-FR"/>
        </w:rPr>
        <w:t>Field et al., 2022 ; Yang et al., 2020</w:t>
      </w:r>
      <w:r w:rsidR="00510C11">
        <w:rPr>
          <w:rFonts w:ascii="Arial" w:hAnsi="Arial" w:cs="Arial"/>
          <w:lang w:val="fr-FR"/>
        </w:rPr>
        <w:t>)</w:t>
      </w:r>
      <w:r w:rsidRPr="00AF2AD7">
        <w:rPr>
          <w:rFonts w:ascii="Arial" w:hAnsi="Arial" w:cs="Arial"/>
          <w:lang w:val="fr-FR"/>
        </w:rPr>
        <w:t xml:space="preserve"> Zinc is a critical micronutrient for immune function, cellular growth, and repair, and its deficiency is a widespread problem that impairs child development and increases susceptibility to infections.</w:t>
      </w:r>
      <w:r w:rsidR="00510C11">
        <w:rPr>
          <w:rFonts w:ascii="Arial" w:hAnsi="Arial" w:cs="Arial"/>
          <w:lang w:val="fr-FR"/>
        </w:rPr>
        <w:t>(</w:t>
      </w:r>
      <w:r w:rsidR="001F5FBC">
        <w:rPr>
          <w:rFonts w:ascii="Arial" w:hAnsi="Arial" w:cs="Arial"/>
          <w:lang w:val="fr-FR"/>
        </w:rPr>
        <w:t>Noonan &amp; Savage, 1999 </w:t>
      </w:r>
      <w:r w:rsidRPr="00AF2AD7">
        <w:rPr>
          <w:rFonts w:ascii="Arial" w:hAnsi="Arial" w:cs="Arial"/>
          <w:lang w:val="fr-FR"/>
        </w:rPr>
        <w:t>; Anderson et al., 2009 ;; Okoro, 2012 ; Oke et al., 2016 :  Olagunju et al., 2018 </w:t>
      </w:r>
      <w:r w:rsidR="00510C11">
        <w:rPr>
          <w:rFonts w:ascii="Arial" w:hAnsi="Arial" w:cs="Arial"/>
          <w:lang w:val="fr-FR"/>
        </w:rPr>
        <w:t>)</w:t>
      </w:r>
    </w:p>
    <w:p w14:paraId="64C2E2E9" w14:textId="77777777" w:rsidR="00AF2AD7" w:rsidRPr="00AF2AD7" w:rsidRDefault="00AF2AD7" w:rsidP="00AF2AD7">
      <w:pPr>
        <w:pStyle w:val="Body"/>
        <w:spacing w:after="0"/>
        <w:rPr>
          <w:rFonts w:ascii="Arial" w:hAnsi="Arial" w:cs="Arial"/>
          <w:lang w:val="fr-FR"/>
        </w:rPr>
      </w:pPr>
    </w:p>
    <w:p w14:paraId="2387FAA9" w14:textId="286DA4D2" w:rsidR="00AF2AD7" w:rsidRDefault="00AF2AD7" w:rsidP="00210038">
      <w:pPr>
        <w:pStyle w:val="Body"/>
        <w:spacing w:after="0"/>
        <w:ind w:firstLine="720"/>
        <w:rPr>
          <w:rFonts w:ascii="Arial" w:hAnsi="Arial" w:cs="Arial"/>
          <w:lang w:val="fr-FR"/>
        </w:rPr>
      </w:pPr>
      <w:r w:rsidRPr="00AF2AD7">
        <w:rPr>
          <w:rFonts w:ascii="Arial" w:hAnsi="Arial" w:cs="Arial"/>
          <w:lang w:val="fr-FR"/>
        </w:rPr>
        <w:t xml:space="preserve">The nutritional data presented herein provides a strong scientific basis for promoting </w:t>
      </w:r>
      <w:r w:rsidR="009A395D" w:rsidRPr="009A395D">
        <w:rPr>
          <w:rFonts w:ascii="Arial" w:hAnsi="Arial" w:cs="Arial"/>
          <w:i/>
          <w:iCs/>
          <w:lang w:val="fr-FR"/>
        </w:rPr>
        <w:t>C. cajan</w:t>
      </w:r>
      <w:r w:rsidRPr="00AF2AD7">
        <w:rPr>
          <w:rFonts w:ascii="Arial" w:hAnsi="Arial" w:cs="Arial"/>
          <w:lang w:val="fr-FR"/>
        </w:rPr>
        <w:t xml:space="preserve"> leaves as a valuable food resource. In Togo, these leaves could be integrated into traditional culinary practices, for example, as a primary ingredient in the sauces ("adémè," "gboma") that typically accompany staple foods. To enhance their availability year-round, simple preservation techniques such as solar drying could be explored. Drying would not only extend shelf-life but could also concentrate nutrients, creating a nutrient-dense powder that can be used as a fortificant in porridges, soups, and other complementary foods for infants and young children.</w:t>
      </w:r>
    </w:p>
    <w:p w14:paraId="32A7DC18" w14:textId="77777777" w:rsidR="00210038" w:rsidRPr="00AF2AD7" w:rsidRDefault="00210038" w:rsidP="00210038">
      <w:pPr>
        <w:pStyle w:val="Body"/>
        <w:spacing w:after="0"/>
        <w:ind w:firstLine="720"/>
        <w:rPr>
          <w:rFonts w:ascii="Arial" w:hAnsi="Arial" w:cs="Arial"/>
          <w:lang w:val="fr-FR"/>
        </w:rPr>
      </w:pPr>
    </w:p>
    <w:p w14:paraId="6CB34F1F" w14:textId="1A6A52B3" w:rsidR="00AF2AD7" w:rsidRDefault="00AF2AD7" w:rsidP="00210038">
      <w:pPr>
        <w:pStyle w:val="Body"/>
        <w:spacing w:after="0"/>
        <w:ind w:firstLine="720"/>
        <w:rPr>
          <w:rFonts w:ascii="Arial" w:hAnsi="Arial" w:cs="Arial"/>
          <w:lang w:val="fr-FR"/>
        </w:rPr>
      </w:pPr>
      <w:r w:rsidRPr="00AF2AD7">
        <w:rPr>
          <w:rFonts w:ascii="Arial" w:hAnsi="Arial" w:cs="Arial"/>
          <w:lang w:val="fr-FR"/>
        </w:rPr>
        <w:t xml:space="preserve">The implications for policy and food-based interventions are significant. These findings provide empirical support for prioritizing </w:t>
      </w:r>
      <w:r w:rsidR="009A395D" w:rsidRPr="009A395D">
        <w:rPr>
          <w:rFonts w:ascii="Arial" w:hAnsi="Arial" w:cs="Arial"/>
          <w:i/>
          <w:iCs/>
          <w:lang w:val="fr-FR"/>
        </w:rPr>
        <w:t>C. cajan</w:t>
      </w:r>
      <w:r w:rsidRPr="00AF2AD7">
        <w:rPr>
          <w:rFonts w:ascii="Arial" w:hAnsi="Arial" w:cs="Arial"/>
          <w:lang w:val="fr-FR"/>
        </w:rPr>
        <w:t xml:space="preserve"> leaves in public nutrition strategies. For instance, the nutrient-dense powder could be integrated into </w:t>
      </w:r>
      <w:r w:rsidRPr="00AF2AD7">
        <w:rPr>
          <w:rFonts w:ascii="Arial" w:hAnsi="Arial" w:cs="Arial"/>
          <w:bCs/>
          <w:lang w:val="fr-FR"/>
        </w:rPr>
        <w:t>home-grown school feeding programs</w:t>
      </w:r>
      <w:r w:rsidRPr="00AF2AD7">
        <w:rPr>
          <w:rFonts w:ascii="Arial" w:hAnsi="Arial" w:cs="Arial"/>
          <w:lang w:val="fr-FR"/>
        </w:rPr>
        <w:t xml:space="preserve"> in Togo, providing a locally sourced, cost-effective, and culturally acceptable means to boost the protein and micronutrient intake of schoolchildren </w:t>
      </w:r>
      <w:r w:rsidR="00510C11">
        <w:rPr>
          <w:rFonts w:ascii="Arial" w:hAnsi="Arial" w:cs="Arial"/>
          <w:lang w:val="fr-FR"/>
        </w:rPr>
        <w:t>(</w:t>
      </w:r>
      <w:r w:rsidRPr="00AF2AD7">
        <w:rPr>
          <w:rFonts w:ascii="Arial" w:hAnsi="Arial" w:cs="Arial"/>
          <w:lang w:val="fr-FR"/>
        </w:rPr>
        <w:t>Drake et al., 2017</w:t>
      </w:r>
      <w:r w:rsidR="00510C11">
        <w:rPr>
          <w:rFonts w:ascii="Arial" w:hAnsi="Arial" w:cs="Arial"/>
          <w:lang w:val="fr-FR"/>
        </w:rPr>
        <w:t>)</w:t>
      </w:r>
      <w:r w:rsidRPr="00AF2AD7">
        <w:rPr>
          <w:rFonts w:ascii="Arial" w:hAnsi="Arial" w:cs="Arial"/>
          <w:lang w:val="fr-FR"/>
        </w:rPr>
        <w:t xml:space="preserve">. Such an approach achieves the dual benefit of improving child nutrition while simultaneously creating a stable market for local smallholder farmers. Furthermore, these data can inform policy briefs for the Togolese Ministry of Health and Ministry of Agriculture, advocating for the adoption of </w:t>
      </w:r>
      <w:r w:rsidRPr="00AF2AD7">
        <w:rPr>
          <w:rFonts w:ascii="Arial" w:hAnsi="Arial" w:cs="Arial"/>
          <w:bCs/>
          <w:lang w:val="fr-FR"/>
        </w:rPr>
        <w:t>food-based approaches</w:t>
      </w:r>
      <w:r w:rsidRPr="00AF2AD7">
        <w:rPr>
          <w:rFonts w:ascii="Arial" w:hAnsi="Arial" w:cs="Arial"/>
          <w:lang w:val="fr-FR"/>
        </w:rPr>
        <w:t xml:space="preserve"> to combat micronutrient deficiencies, which are often more sustainable and effective than isolated supplementation programs </w:t>
      </w:r>
      <w:r w:rsidR="00510C11">
        <w:rPr>
          <w:rFonts w:ascii="Arial" w:hAnsi="Arial" w:cs="Arial"/>
          <w:lang w:val="fr-FR"/>
        </w:rPr>
        <w:t>(</w:t>
      </w:r>
      <w:r w:rsidRPr="00AF2AD7">
        <w:rPr>
          <w:rFonts w:ascii="Arial" w:hAnsi="Arial" w:cs="Arial"/>
          <w:lang w:val="fr-FR"/>
        </w:rPr>
        <w:t>Joy et al., 2014</w:t>
      </w:r>
      <w:r w:rsidR="00510C11">
        <w:rPr>
          <w:rFonts w:ascii="Arial" w:hAnsi="Arial" w:cs="Arial"/>
          <w:lang w:val="fr-FR"/>
        </w:rPr>
        <w:t>)</w:t>
      </w:r>
      <w:r w:rsidRPr="00AF2AD7">
        <w:rPr>
          <w:rFonts w:ascii="Arial" w:hAnsi="Arial" w:cs="Arial"/>
          <w:lang w:val="fr-FR"/>
        </w:rPr>
        <w:t>.</w:t>
      </w:r>
    </w:p>
    <w:p w14:paraId="35EF4043" w14:textId="77777777" w:rsidR="00210038" w:rsidRPr="00AF2AD7" w:rsidRDefault="00210038" w:rsidP="00210038">
      <w:pPr>
        <w:pStyle w:val="Body"/>
        <w:spacing w:after="0"/>
        <w:ind w:firstLine="720"/>
        <w:rPr>
          <w:rFonts w:ascii="Arial" w:hAnsi="Arial" w:cs="Arial"/>
          <w:lang w:val="fr-FR"/>
        </w:rPr>
      </w:pPr>
    </w:p>
    <w:p w14:paraId="368128AD" w14:textId="3F84009F" w:rsidR="00C75E4E" w:rsidRPr="00C75E4E" w:rsidRDefault="00AF2AD7" w:rsidP="00C75E4E">
      <w:pPr>
        <w:pStyle w:val="Body"/>
        <w:ind w:firstLine="720"/>
        <w:rPr>
          <w:rFonts w:ascii="Arial" w:hAnsi="Arial" w:cs="Arial"/>
          <w:lang w:val="fr-FR"/>
        </w:rPr>
      </w:pPr>
      <w:r w:rsidRPr="00AF2AD7">
        <w:rPr>
          <w:rFonts w:ascii="Arial" w:hAnsi="Arial" w:cs="Arial"/>
          <w:lang w:val="fr-FR"/>
        </w:rPr>
        <w:t xml:space="preserve">From a broader socio-ecological perspective, the valorization of </w:t>
      </w:r>
      <w:r w:rsidR="009A395D" w:rsidRPr="009A395D">
        <w:rPr>
          <w:rFonts w:ascii="Arial" w:hAnsi="Arial" w:cs="Arial"/>
          <w:i/>
          <w:iCs/>
          <w:lang w:val="fr-FR"/>
        </w:rPr>
        <w:t>C. cajan</w:t>
      </w:r>
      <w:r w:rsidRPr="00AF2AD7">
        <w:rPr>
          <w:rFonts w:ascii="Arial" w:hAnsi="Arial" w:cs="Arial"/>
          <w:lang w:val="fr-FR"/>
        </w:rPr>
        <w:t xml:space="preserve"> leaves aligns perfectly with national and regional goals for </w:t>
      </w:r>
      <w:r w:rsidRPr="00AF2AD7">
        <w:rPr>
          <w:rFonts w:ascii="Arial" w:hAnsi="Arial" w:cs="Arial"/>
          <w:bCs/>
          <w:lang w:val="fr-FR"/>
        </w:rPr>
        <w:t>climate-resilient food systems</w:t>
      </w:r>
      <w:r w:rsidRPr="00AF2AD7">
        <w:rPr>
          <w:rFonts w:ascii="Arial" w:hAnsi="Arial" w:cs="Arial"/>
          <w:lang w:val="fr-FR"/>
        </w:rPr>
        <w:t xml:space="preserve">. The pigeon pea is a famously drought-tolerant, deep-rooted legume that improves soil fertility through nitrogen fixation </w:t>
      </w:r>
      <w:r w:rsidR="00510C11">
        <w:rPr>
          <w:rFonts w:ascii="Arial" w:hAnsi="Arial" w:cs="Arial"/>
          <w:lang w:val="fr-FR"/>
        </w:rPr>
        <w:t>(</w:t>
      </w:r>
      <w:r w:rsidRPr="00AF2AD7">
        <w:rPr>
          <w:rFonts w:ascii="Arial" w:hAnsi="Arial" w:cs="Arial"/>
          <w:lang w:val="fr-FR"/>
        </w:rPr>
        <w:t>Mabhaudhi et al., 2019</w:t>
      </w:r>
      <w:r w:rsidR="00510C11">
        <w:rPr>
          <w:rFonts w:ascii="Arial" w:hAnsi="Arial" w:cs="Arial"/>
          <w:lang w:val="fr-FR"/>
        </w:rPr>
        <w:t>)</w:t>
      </w:r>
      <w:r w:rsidRPr="00AF2AD7">
        <w:rPr>
          <w:rFonts w:ascii="Arial" w:hAnsi="Arial" w:cs="Arial"/>
          <w:lang w:val="fr-FR"/>
        </w:rPr>
        <w:t xml:space="preserve">. Promoting the use of its leaves, a product typically treated as residue, adds a new layer of value to a crop already critical for sustainable agriculture in sub-Saharan Africa. </w:t>
      </w:r>
      <w:r w:rsidR="00C75E4E" w:rsidRPr="00C75E4E">
        <w:rPr>
          <w:rFonts w:ascii="Arial" w:hAnsi="Arial" w:cs="Arial"/>
          <w:lang w:val="fr-FR"/>
        </w:rPr>
        <w:t xml:space="preserve">The protein content observed in this study (29.14 g/100g DM) is comparable to, or exceeds, values reported for other popular tropical leafy vegetables, such as </w:t>
      </w:r>
      <w:r w:rsidR="00C75E4E" w:rsidRPr="00C75E4E">
        <w:rPr>
          <w:rFonts w:ascii="Arial" w:hAnsi="Arial" w:cs="Arial"/>
          <w:i/>
          <w:iCs/>
          <w:lang w:val="fr-FR"/>
        </w:rPr>
        <w:t>Moringa oleifera</w:t>
      </w:r>
      <w:r w:rsidR="00C75E4E" w:rsidRPr="00C75E4E">
        <w:rPr>
          <w:rFonts w:ascii="Arial" w:hAnsi="Arial" w:cs="Arial"/>
          <w:lang w:val="fr-FR"/>
        </w:rPr>
        <w:t>. In the Togolese context, where diets rely heavily on starchy staples, incorporating these high-protein leaves could significantly improve nutritional adequacy.</w:t>
      </w:r>
    </w:p>
    <w:p w14:paraId="140242A0" w14:textId="490CBB22" w:rsidR="00C75E4E" w:rsidRDefault="00C75E4E" w:rsidP="00C75E4E">
      <w:pPr>
        <w:pStyle w:val="Body"/>
        <w:spacing w:after="0"/>
        <w:ind w:firstLine="720"/>
        <w:rPr>
          <w:rFonts w:ascii="Arial" w:hAnsi="Arial" w:cs="Arial"/>
          <w:lang w:val="fr-FR"/>
        </w:rPr>
      </w:pPr>
      <w:r w:rsidRPr="00C75E4E">
        <w:rPr>
          <w:rFonts w:ascii="Arial" w:hAnsi="Arial" w:cs="Arial"/>
          <w:lang w:val="fr-FR"/>
        </w:rPr>
        <w:t>However, the potential bioavailability of these nutrients requires careful consideration due to the presence of anti-nutritional factors. The observed levels of phytates and oxalates are significant and known to chelate divalent cations like calcium and zinc, potentially inhibiting their absorption. Consequently, while the gross mineral content suggests a theoretical contribution of 393% to the calcium RDA (Table IV), the bioavailable fraction is likely lower. This underscores the necessity of promoting</w:t>
      </w:r>
      <w:r>
        <w:rPr>
          <w:rFonts w:ascii="Arial" w:hAnsi="Arial" w:cs="Arial"/>
          <w:lang w:val="fr-FR"/>
        </w:rPr>
        <w:t xml:space="preserve"> traditional processing methods, </w:t>
      </w:r>
      <w:r w:rsidRPr="00C75E4E">
        <w:rPr>
          <w:rFonts w:ascii="Arial" w:hAnsi="Arial" w:cs="Arial"/>
          <w:lang w:val="fr-FR"/>
        </w:rPr>
        <w:t>such as blanching, ferme</w:t>
      </w:r>
      <w:r>
        <w:rPr>
          <w:rFonts w:ascii="Arial" w:hAnsi="Arial" w:cs="Arial"/>
          <w:lang w:val="fr-FR"/>
        </w:rPr>
        <w:t xml:space="preserve">ntation, or cooking with potash, </w:t>
      </w:r>
      <w:r w:rsidRPr="00C75E4E">
        <w:rPr>
          <w:rFonts w:ascii="Arial" w:hAnsi="Arial" w:cs="Arial"/>
          <w:lang w:val="fr-FR"/>
        </w:rPr>
        <w:t>which have been shown to effectively reduce ANF levels in similar matrices</w:t>
      </w:r>
    </w:p>
    <w:p w14:paraId="0873D0EF" w14:textId="68339236" w:rsidR="007C7A43" w:rsidRPr="007C7A43" w:rsidRDefault="007C7A43" w:rsidP="00C75E4E">
      <w:pPr>
        <w:pStyle w:val="Body"/>
        <w:spacing w:after="0"/>
        <w:ind w:firstLine="720"/>
        <w:rPr>
          <w:rFonts w:ascii="Arial" w:hAnsi="Arial" w:cs="Arial"/>
          <w:highlight w:val="yellow"/>
          <w:lang w:val="fr-FR"/>
        </w:rPr>
      </w:pPr>
      <w:r w:rsidRPr="007C7A43">
        <w:rPr>
          <w:rFonts w:ascii="Arial" w:hAnsi="Arial" w:cs="Arial"/>
          <w:highlight w:val="yellow"/>
          <w:lang w:val="fr-FR"/>
        </w:rPr>
        <w:t xml:space="preserve">While the current study establishes the high nutritional potential of C. cajan leaves, particularly </w:t>
      </w:r>
      <w:proofErr w:type="gramStart"/>
      <w:r w:rsidRPr="007C7A43">
        <w:rPr>
          <w:rFonts w:ascii="Arial" w:hAnsi="Arial" w:cs="Arial"/>
          <w:highlight w:val="yellow"/>
          <w:lang w:val="fr-FR"/>
        </w:rPr>
        <w:t xml:space="preserve">regarding </w:t>
      </w:r>
      <w:r w:rsidR="00BE453C">
        <w:rPr>
          <w:rFonts w:ascii="Arial" w:hAnsi="Arial" w:cs="Arial"/>
          <w:highlight w:val="yellow"/>
          <w:lang w:val="fr-FR"/>
        </w:rPr>
        <w:t xml:space="preserve"> crude</w:t>
      </w:r>
      <w:proofErr w:type="gramEnd"/>
      <w:r w:rsidRPr="007C7A43">
        <w:rPr>
          <w:rFonts w:ascii="Arial" w:hAnsi="Arial" w:cs="Arial"/>
          <w:highlight w:val="yellow"/>
          <w:lang w:val="fr-FR"/>
        </w:rPr>
        <w:t xml:space="preserve"> protein and minerals, certain limitations must be acknowledged.</w:t>
      </w:r>
      <w:r w:rsidR="000C1775">
        <w:rPr>
          <w:rFonts w:ascii="Arial" w:hAnsi="Arial" w:cs="Arial"/>
          <w:highlight w:val="yellow"/>
          <w:lang w:val="fr-FR"/>
        </w:rPr>
        <w:t xml:space="preserve"> </w:t>
      </w:r>
      <w:r w:rsidR="000C1775" w:rsidRPr="000C1775">
        <w:rPr>
          <w:highlight w:val="yellow"/>
        </w:rPr>
        <w:t>While phytates and oxalates were present, the bioactive profile of the leaves suggests significant antioxidant and nutraceutical potential, similar to extracts characterized in other tropical regions (Monrroy and García, 2025)</w:t>
      </w:r>
      <w:r w:rsidRPr="000C1775">
        <w:rPr>
          <w:rFonts w:ascii="Arial" w:hAnsi="Arial" w:cs="Arial"/>
          <w:highlight w:val="yellow"/>
          <w:lang w:val="fr-FR"/>
        </w:rPr>
        <w:t xml:space="preserve"> </w:t>
      </w:r>
      <w:r w:rsidRPr="007C7A43">
        <w:rPr>
          <w:rFonts w:ascii="Arial" w:hAnsi="Arial" w:cs="Arial"/>
          <w:highlight w:val="yellow"/>
          <w:lang w:val="fr-FR"/>
        </w:rPr>
        <w:t>Firstly, this study focused on proximate composition; further analysis of amino acid profiles is required to definitively assess protein quality. Secondly, the lack of acute and chronic toxicity data, alongside the absence of pesticide residue analysis, means these leaves cannot yet be broadly recommended for human consumption. Future research must prioritize thorough toxicological evaluations to ensure long-term safety</w:t>
      </w:r>
    </w:p>
    <w:p w14:paraId="35C2BC6F" w14:textId="77777777" w:rsidR="00210038" w:rsidRPr="00AF2AD7" w:rsidRDefault="00210038" w:rsidP="00C75E4E">
      <w:pPr>
        <w:pStyle w:val="Body"/>
        <w:spacing w:after="0"/>
        <w:ind w:firstLine="720"/>
        <w:rPr>
          <w:rFonts w:ascii="Arial" w:hAnsi="Arial" w:cs="Arial"/>
          <w:lang w:val="fr-FR"/>
        </w:rPr>
      </w:pPr>
    </w:p>
    <w:p w14:paraId="0AC3ACAB" w14:textId="77777777" w:rsidR="00AF2AD7" w:rsidRPr="00AF2AD7" w:rsidRDefault="00AF2AD7" w:rsidP="00266B5A">
      <w:pPr>
        <w:pStyle w:val="Body"/>
        <w:jc w:val="left"/>
        <w:rPr>
          <w:rFonts w:ascii="Arial" w:hAnsi="Arial" w:cs="Arial"/>
          <w:b/>
          <w:bCs/>
          <w:lang w:val="en-IE"/>
        </w:rPr>
      </w:pPr>
      <w:r w:rsidRPr="00AF2AD7">
        <w:rPr>
          <w:rFonts w:ascii="Arial" w:hAnsi="Arial" w:cs="Arial"/>
          <w:b/>
          <w:bCs/>
          <w:lang w:val="en-IE"/>
        </w:rPr>
        <w:t>CONCLUSION</w:t>
      </w:r>
    </w:p>
    <w:p w14:paraId="0FC3D465" w14:textId="4C74900D" w:rsidR="00AF2AD7" w:rsidRDefault="00AF2AD7" w:rsidP="00AF2AD7">
      <w:pPr>
        <w:pStyle w:val="Body"/>
        <w:spacing w:after="0"/>
        <w:rPr>
          <w:rFonts w:ascii="Arial" w:hAnsi="Arial" w:cs="Arial"/>
          <w:lang w:val="fr-FR"/>
        </w:rPr>
      </w:pPr>
      <w:r w:rsidRPr="00AF2AD7">
        <w:rPr>
          <w:rFonts w:ascii="Arial" w:hAnsi="Arial" w:cs="Arial"/>
          <w:lang w:val="fr-FR"/>
        </w:rPr>
        <w:t xml:space="preserve">This study provides the first comprehensive bromatological analysis of </w:t>
      </w:r>
      <w:r w:rsidR="009A395D" w:rsidRPr="009A395D">
        <w:rPr>
          <w:rFonts w:ascii="Arial" w:hAnsi="Arial" w:cs="Arial"/>
          <w:i/>
          <w:lang w:val="fr-FR"/>
        </w:rPr>
        <w:t>Cajanus cajan</w:t>
      </w:r>
      <w:r w:rsidRPr="00AF2AD7">
        <w:rPr>
          <w:rFonts w:ascii="Arial" w:hAnsi="Arial" w:cs="Arial"/>
          <w:lang w:val="fr-FR"/>
        </w:rPr>
        <w:t xml:space="preserve"> leaves, an underutilized resource in Togo. The findings demonstrate that these leaves possess a high nutritional value, particularly </w:t>
      </w:r>
      <w:proofErr w:type="gramStart"/>
      <w:r w:rsidRPr="00AF2AD7">
        <w:rPr>
          <w:rFonts w:ascii="Arial" w:hAnsi="Arial" w:cs="Arial"/>
          <w:lang w:val="fr-FR"/>
        </w:rPr>
        <w:t xml:space="preserve">in </w:t>
      </w:r>
      <w:r w:rsidR="00BE453C">
        <w:rPr>
          <w:rFonts w:ascii="Arial" w:hAnsi="Arial" w:cs="Arial"/>
          <w:lang w:val="fr-FR"/>
        </w:rPr>
        <w:t xml:space="preserve"> crude</w:t>
      </w:r>
      <w:proofErr w:type="gramEnd"/>
      <w:r w:rsidRPr="00AF2AD7">
        <w:rPr>
          <w:rFonts w:ascii="Arial" w:hAnsi="Arial" w:cs="Arial"/>
          <w:lang w:val="fr-FR"/>
        </w:rPr>
        <w:t xml:space="preserve"> protein, dietary fiber, calcium, and zinc. Pigeon pea is an important legume that possesses phytochemical compounds with diverse properties. The objective of this study was to determine the nutritional potential of </w:t>
      </w:r>
      <w:r w:rsidR="009A395D" w:rsidRPr="009A395D">
        <w:rPr>
          <w:rFonts w:ascii="Arial" w:hAnsi="Arial" w:cs="Arial"/>
          <w:i/>
          <w:lang w:val="fr-FR"/>
        </w:rPr>
        <w:t>C. cajan</w:t>
      </w:r>
      <w:r w:rsidRPr="00AF2AD7">
        <w:rPr>
          <w:rFonts w:ascii="Arial" w:hAnsi="Arial" w:cs="Arial"/>
          <w:lang w:val="fr-FR"/>
        </w:rPr>
        <w:t xml:space="preserve"> leaves. The biochemical composition of the analysed leaves showed that they possess high nutritional value, making a significant contribution to the recommended daily intake. Their integration into local diets as a leafy vegetable could be a significant, food-based strategy to help combat both protein-energy malnutrition and key micronutrient deficiencies. This positions </w:t>
      </w:r>
      <w:r w:rsidR="009A395D" w:rsidRPr="009A395D">
        <w:rPr>
          <w:rFonts w:ascii="Arial" w:hAnsi="Arial" w:cs="Arial"/>
          <w:i/>
          <w:lang w:val="fr-FR"/>
        </w:rPr>
        <w:t>C. cajan</w:t>
      </w:r>
      <w:r w:rsidRPr="00AF2AD7">
        <w:rPr>
          <w:rFonts w:ascii="Arial" w:hAnsi="Arial" w:cs="Arial"/>
          <w:lang w:val="fr-FR"/>
        </w:rPr>
        <w:t xml:space="preserve"> leaves as an endogenous, sustainable, and cost-effective resource for enhancing nutritional and food security in the region.</w:t>
      </w:r>
    </w:p>
    <w:p w14:paraId="40E4F6AF" w14:textId="2AD872C3" w:rsidR="00437A26" w:rsidRDefault="00437A26" w:rsidP="00AF2AD7">
      <w:pPr>
        <w:pStyle w:val="Body"/>
        <w:spacing w:after="0"/>
        <w:rPr>
          <w:rFonts w:ascii="Arial" w:hAnsi="Arial" w:cs="Arial"/>
          <w:lang w:val="fr-FR"/>
        </w:rPr>
      </w:pPr>
    </w:p>
    <w:p w14:paraId="4CB77EDA" w14:textId="368A4D22" w:rsidR="00437A26" w:rsidRDefault="00437A26" w:rsidP="00AF2AD7">
      <w:pPr>
        <w:pStyle w:val="Body"/>
        <w:spacing w:after="0"/>
        <w:rPr>
          <w:rFonts w:ascii="Arial" w:hAnsi="Arial" w:cs="Arial"/>
          <w:lang w:val="fr-FR"/>
        </w:rPr>
      </w:pPr>
    </w:p>
    <w:p w14:paraId="7A39B0E0" w14:textId="77777777" w:rsidR="00437A26" w:rsidRPr="00A64DFF" w:rsidRDefault="00437A26" w:rsidP="00437A26">
      <w:pPr>
        <w:rPr>
          <w:rFonts w:ascii="Calibri" w:eastAsia="Calibri" w:hAnsi="Calibri"/>
          <w:b/>
          <w:kern w:val="2"/>
          <w:highlight w:val="green"/>
        </w:rPr>
      </w:pPr>
      <w:bookmarkStart w:id="1" w:name="_Hlk204003461"/>
      <w:bookmarkStart w:id="2" w:name="_Hlk213070710"/>
      <w:r w:rsidRPr="00A64DFF">
        <w:rPr>
          <w:rFonts w:ascii="Calibri" w:eastAsia="Calibri" w:hAnsi="Calibri"/>
          <w:b/>
          <w:kern w:val="2"/>
          <w:highlight w:val="green"/>
        </w:rPr>
        <w:t>Disclaimer (Artificial intelligence)</w:t>
      </w:r>
    </w:p>
    <w:p w14:paraId="12438088" w14:textId="77777777" w:rsidR="00437A26" w:rsidRPr="00A64DFF" w:rsidRDefault="00437A26" w:rsidP="00437A26">
      <w:pPr>
        <w:rPr>
          <w:rFonts w:ascii="Calibri" w:eastAsia="Calibri" w:hAnsi="Calibri"/>
          <w:b/>
          <w:kern w:val="2"/>
          <w:highlight w:val="green"/>
        </w:rPr>
      </w:pPr>
      <w:r w:rsidRPr="00A64DFF">
        <w:rPr>
          <w:rFonts w:ascii="Calibri" w:eastAsia="Calibri" w:hAnsi="Calibri"/>
          <w:b/>
          <w:kern w:val="2"/>
          <w:highlight w:val="green"/>
        </w:rPr>
        <w:t>Option 1:</w:t>
      </w:r>
    </w:p>
    <w:p w14:paraId="42A69E53" w14:textId="77777777" w:rsidR="00437A26" w:rsidRPr="00A64DFF" w:rsidRDefault="00437A26" w:rsidP="00437A26">
      <w:pPr>
        <w:rPr>
          <w:rFonts w:ascii="Calibri" w:eastAsia="Calibri" w:hAnsi="Calibri"/>
          <w:b/>
          <w:kern w:val="2"/>
          <w:highlight w:val="green"/>
        </w:rPr>
      </w:pPr>
      <w:r w:rsidRPr="00A64DFF">
        <w:rPr>
          <w:rFonts w:ascii="Calibri" w:eastAsia="Calibri" w:hAnsi="Calibri"/>
          <w:b/>
          <w:kern w:val="2"/>
          <w:highlight w:val="green"/>
        </w:rPr>
        <w:lastRenderedPageBreak/>
        <w:t xml:space="preserve">Author(s) hereby declare that NO generative AI technologies such as Large Language Models (ChatGPT, COPILOT, etc.) and text-to-image generators have been used during the writing or editing of this manuscript. </w:t>
      </w:r>
    </w:p>
    <w:bookmarkEnd w:id="1"/>
    <w:bookmarkEnd w:id="2"/>
    <w:p w14:paraId="0444426C" w14:textId="77777777" w:rsidR="00210038" w:rsidRPr="00C75E4E" w:rsidRDefault="00210038" w:rsidP="00441B6F">
      <w:pPr>
        <w:pStyle w:val="ReferHead"/>
        <w:spacing w:after="0"/>
        <w:jc w:val="both"/>
        <w:rPr>
          <w:rFonts w:ascii="Arial" w:hAnsi="Arial" w:cs="Arial"/>
          <w:bCs/>
        </w:rPr>
      </w:pPr>
    </w:p>
    <w:p w14:paraId="42C8CBF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01044C8" w14:textId="77777777" w:rsidR="00D33EF6" w:rsidRPr="00286044" w:rsidRDefault="00D33EF6" w:rsidP="00D33EF6">
      <w:pPr>
        <w:ind w:left="567" w:hanging="567"/>
        <w:jc w:val="both"/>
        <w:rPr>
          <w:rFonts w:ascii="Arial" w:hAnsi="Arial" w:cs="Arial"/>
        </w:rPr>
      </w:pPr>
    </w:p>
    <w:p w14:paraId="6B2B94A8"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Adepoju, O., Dudulewa, B. I., &amp; Bamigboye, A. (2019). Effect of cooking methods on time and nutrient retention of pigeon pea (</w:t>
      </w:r>
      <w:r w:rsidRPr="00286044">
        <w:rPr>
          <w:rFonts w:ascii="Arial" w:eastAsia="inter" w:hAnsi="Arial" w:cs="Arial"/>
          <w:i/>
          <w:color w:val="000000"/>
        </w:rPr>
        <w:t>Cajanus cajan</w:t>
      </w:r>
      <w:r w:rsidRPr="00286044">
        <w:rPr>
          <w:rFonts w:ascii="Arial" w:eastAsia="inter" w:hAnsi="Arial" w:cs="Arial"/>
          <w:color w:val="000000"/>
        </w:rPr>
        <w:t xml:space="preserve">). </w:t>
      </w:r>
      <w:r w:rsidRPr="00286044">
        <w:rPr>
          <w:rFonts w:ascii="Arial" w:eastAsia="inter" w:hAnsi="Arial" w:cs="Arial"/>
          <w:i/>
          <w:color w:val="000000"/>
        </w:rPr>
        <w:t>African Journal of Food, Agriculture, Nutrition and Development</w:t>
      </w:r>
      <w:r w:rsidRPr="00286044">
        <w:rPr>
          <w:rFonts w:ascii="Arial" w:eastAsia="inter" w:hAnsi="Arial" w:cs="Arial"/>
          <w:color w:val="000000"/>
        </w:rPr>
        <w:t xml:space="preserve">. </w:t>
      </w:r>
      <w:hyperlink r:id="rId18">
        <w:r w:rsidRPr="00286044">
          <w:rPr>
            <w:rFonts w:ascii="Arial" w:eastAsia="inter" w:hAnsi="Arial" w:cs="Arial"/>
            <w:u w:val="single"/>
          </w:rPr>
          <w:t>https://doi.org/10.18697/ajfand.86.17665</w:t>
        </w:r>
        <w:r>
          <w:rPr>
            <w:rFonts w:ascii="Arial" w:eastAsia="inter" w:hAnsi="Arial" w:cs="Arial"/>
            <w:u w:val="single"/>
          </w:rPr>
          <w:t xml:space="preserve"> </w:t>
        </w:r>
      </w:hyperlink>
    </w:p>
    <w:p w14:paraId="01F2CF5F"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Adeyeye, E. I. (2002). Determination of the chemical composition of the nutritionally valuable parts of male and female common West African fresh water crab </w:t>
      </w:r>
      <w:r w:rsidRPr="00286044">
        <w:rPr>
          <w:rFonts w:ascii="Arial" w:eastAsia="inter" w:hAnsi="Arial" w:cs="Arial"/>
          <w:i/>
          <w:color w:val="000000"/>
        </w:rPr>
        <w:t>Sudananautes africanus africanus</w:t>
      </w:r>
      <w:r w:rsidRPr="00286044">
        <w:rPr>
          <w:rFonts w:ascii="Arial" w:eastAsia="inter" w:hAnsi="Arial" w:cs="Arial"/>
          <w:color w:val="000000"/>
        </w:rPr>
        <w:t xml:space="preserve">. </w:t>
      </w:r>
      <w:r w:rsidRPr="00286044">
        <w:rPr>
          <w:rFonts w:ascii="Arial" w:eastAsia="inter" w:hAnsi="Arial" w:cs="Arial"/>
          <w:i/>
          <w:color w:val="000000"/>
        </w:rPr>
        <w:t>International Journal of Food Sciences and Nutrition, 53</w:t>
      </w:r>
      <w:r w:rsidRPr="00286044">
        <w:rPr>
          <w:rFonts w:ascii="Arial" w:eastAsia="inter" w:hAnsi="Arial" w:cs="Arial"/>
          <w:color w:val="000000"/>
        </w:rPr>
        <w:t xml:space="preserve">(3), 189–196. </w:t>
      </w:r>
      <w:hyperlink r:id="rId19">
        <w:r w:rsidRPr="00286044">
          <w:rPr>
            <w:rFonts w:ascii="Arial" w:eastAsia="inter" w:hAnsi="Arial" w:cs="Arial"/>
            <w:u w:val="single"/>
          </w:rPr>
          <w:t>https://doi.org/10.1080/09637480220132805</w:t>
        </w:r>
        <w:r>
          <w:rPr>
            <w:rFonts w:ascii="Arial" w:eastAsia="inter" w:hAnsi="Arial" w:cs="Arial"/>
            <w:u w:val="single"/>
          </w:rPr>
          <w:t xml:space="preserve"> </w:t>
        </w:r>
      </w:hyperlink>
    </w:p>
    <w:p w14:paraId="5B0A16FF"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Akebim, M. L., Gbeassor, M., Kpata-Konla, E., Batawila, K., &amp; Akpagana, K. (2016). Food plants used during traditional wrestling in Kabyè land of Togo. </w:t>
      </w:r>
      <w:r w:rsidRPr="00286044">
        <w:rPr>
          <w:rFonts w:ascii="Arial" w:eastAsia="inter" w:hAnsi="Arial" w:cs="Arial"/>
          <w:i/>
          <w:color w:val="000000"/>
        </w:rPr>
        <w:t>Journal of Ethnobiology and Ethnomedicine, 12</w:t>
      </w:r>
      <w:r w:rsidRPr="00286044">
        <w:rPr>
          <w:rFonts w:ascii="Arial" w:eastAsia="inter" w:hAnsi="Arial" w:cs="Arial"/>
          <w:color w:val="000000"/>
        </w:rPr>
        <w:t xml:space="preserve">, 1–10. </w:t>
      </w:r>
      <w:hyperlink r:id="rId20">
        <w:r w:rsidRPr="00286044">
          <w:rPr>
            <w:rFonts w:ascii="Arial" w:eastAsia="inter" w:hAnsi="Arial" w:cs="Arial"/>
            <w:u w:val="single"/>
          </w:rPr>
          <w:t>https://doi.org/10.1186/s13002-016-0074-y</w:t>
        </w:r>
        <w:r>
          <w:rPr>
            <w:rFonts w:ascii="Arial" w:eastAsia="inter" w:hAnsi="Arial" w:cs="Arial"/>
            <w:u w:val="single"/>
          </w:rPr>
          <w:t xml:space="preserve"> </w:t>
        </w:r>
      </w:hyperlink>
    </w:p>
    <w:p w14:paraId="2D212A47" w14:textId="77777777" w:rsidR="00D33EF6" w:rsidRPr="00F72E36" w:rsidRDefault="00D33EF6" w:rsidP="00D33EF6">
      <w:pPr>
        <w:pStyle w:val="Body"/>
        <w:spacing w:before="240"/>
        <w:ind w:left="567" w:hanging="567"/>
        <w:rPr>
          <w:rFonts w:ascii="Arial" w:hAnsi="Arial" w:cs="Arial"/>
          <w:lang w:val="fr-FR"/>
        </w:rPr>
      </w:pPr>
      <w:r w:rsidRPr="00F72E36">
        <w:rPr>
          <w:rFonts w:ascii="Arial" w:hAnsi="Arial" w:cs="Arial"/>
          <w:lang w:val="fr-FR"/>
        </w:rPr>
        <w:t>Akpavi S Chango A Tozo K Amouzou KS Batawila K Wala K Akpagana K (2008). Nutritional/health value of some minor food legume species in Togo. Acta Botanica Gallica 155(3</w:t>
      </w:r>
      <w:proofErr w:type="gramStart"/>
      <w:r w:rsidRPr="00F72E36">
        <w:rPr>
          <w:rFonts w:ascii="Arial" w:hAnsi="Arial" w:cs="Arial"/>
          <w:lang w:val="fr-FR"/>
        </w:rPr>
        <w:t>):</w:t>
      </w:r>
      <w:proofErr w:type="gramEnd"/>
      <w:r w:rsidRPr="00F72E36">
        <w:rPr>
          <w:rFonts w:ascii="Arial" w:hAnsi="Arial" w:cs="Arial"/>
          <w:lang w:val="fr-FR"/>
        </w:rPr>
        <w:t>403–414.</w:t>
      </w:r>
      <w:r w:rsidRPr="00810C05">
        <w:t xml:space="preserve"> </w:t>
      </w:r>
      <w:r w:rsidRPr="00810C05">
        <w:rPr>
          <w:rFonts w:ascii="Arial" w:hAnsi="Arial" w:cs="Arial"/>
          <w:lang w:val="fr-FR"/>
        </w:rPr>
        <w:t>https://doi.org/10.1080/12538078.2008.10516120</w:t>
      </w:r>
    </w:p>
    <w:p w14:paraId="6C5FB703"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Anaemene, D. I. (2020). A comparative evaluation of the nutrient and anti-nutrient compositions of four pigeon pea (</w:t>
      </w:r>
      <w:r w:rsidRPr="00286044">
        <w:rPr>
          <w:rFonts w:ascii="Arial" w:eastAsia="inter" w:hAnsi="Arial" w:cs="Arial"/>
          <w:i/>
          <w:color w:val="000000"/>
        </w:rPr>
        <w:t>Cajanus cajan</w:t>
      </w:r>
      <w:r w:rsidRPr="00286044">
        <w:rPr>
          <w:rFonts w:ascii="Arial" w:eastAsia="inter" w:hAnsi="Arial" w:cs="Arial"/>
          <w:color w:val="000000"/>
        </w:rPr>
        <w:t xml:space="preserve">) varieties. </w:t>
      </w:r>
      <w:r w:rsidRPr="00286044">
        <w:rPr>
          <w:rFonts w:ascii="Arial" w:eastAsia="inter" w:hAnsi="Arial" w:cs="Arial"/>
          <w:i/>
          <w:color w:val="000000"/>
        </w:rPr>
        <w:t>Anchor University Journal of Science and Technology, 1</w:t>
      </w:r>
      <w:r w:rsidRPr="00286044">
        <w:rPr>
          <w:rFonts w:ascii="Arial" w:eastAsia="inter" w:hAnsi="Arial" w:cs="Arial"/>
          <w:color w:val="000000"/>
        </w:rPr>
        <w:t>(1), 102–109.</w:t>
      </w:r>
      <w:r>
        <w:rPr>
          <w:rFonts w:ascii="Arial" w:eastAsia="inter" w:hAnsi="Arial" w:cs="Arial"/>
          <w:color w:val="000000"/>
        </w:rPr>
        <w:t xml:space="preserve"> </w:t>
      </w:r>
    </w:p>
    <w:p w14:paraId="2EFCEA66" w14:textId="77777777" w:rsidR="00D33EF6" w:rsidRDefault="00D33EF6" w:rsidP="00D33EF6">
      <w:pPr>
        <w:spacing w:before="105" w:after="105" w:line="360" w:lineRule="auto"/>
        <w:ind w:left="567" w:hanging="567"/>
        <w:jc w:val="both"/>
        <w:rPr>
          <w:rFonts w:ascii="Arial" w:eastAsia="inter" w:hAnsi="Arial" w:cs="Arial"/>
          <w:u w:val="single"/>
        </w:rPr>
      </w:pPr>
      <w:r w:rsidRPr="00286044">
        <w:rPr>
          <w:rFonts w:ascii="Arial" w:eastAsia="inter" w:hAnsi="Arial" w:cs="Arial"/>
          <w:color w:val="000000"/>
        </w:rPr>
        <w:t xml:space="preserve">Anderson, J. W., Baird, P., Davis, R. H., Jr., Ferreri, S., Knudtson, M., Koraym, A., Waters, V., &amp; Williams, C. L. (2009). Health benefits of dietary fiber. </w:t>
      </w:r>
      <w:r w:rsidRPr="00286044">
        <w:rPr>
          <w:rFonts w:ascii="Arial" w:eastAsia="inter" w:hAnsi="Arial" w:cs="Arial"/>
          <w:i/>
          <w:color w:val="000000"/>
        </w:rPr>
        <w:t>Nutrition Reviews, 67</w:t>
      </w:r>
      <w:r w:rsidRPr="00286044">
        <w:rPr>
          <w:rFonts w:ascii="Arial" w:eastAsia="inter" w:hAnsi="Arial" w:cs="Arial"/>
          <w:color w:val="000000"/>
        </w:rPr>
        <w:t xml:space="preserve">(4), 188–205. </w:t>
      </w:r>
      <w:hyperlink r:id="rId21">
        <w:r w:rsidRPr="00286044">
          <w:rPr>
            <w:rFonts w:ascii="Arial" w:eastAsia="inter" w:hAnsi="Arial" w:cs="Arial"/>
            <w:u w:val="single"/>
          </w:rPr>
          <w:t>https://doi.org/10.1111/j.1753-4887.2009.00189.x</w:t>
        </w:r>
        <w:r>
          <w:rPr>
            <w:rFonts w:ascii="Arial" w:eastAsia="inter" w:hAnsi="Arial" w:cs="Arial"/>
            <w:u w:val="single"/>
          </w:rPr>
          <w:t xml:space="preserve"> </w:t>
        </w:r>
      </w:hyperlink>
    </w:p>
    <w:p w14:paraId="37B90BB8" w14:textId="77777777" w:rsidR="00D33EF6" w:rsidRPr="00F72E36" w:rsidRDefault="00D33EF6" w:rsidP="00D33EF6">
      <w:pPr>
        <w:pStyle w:val="Body"/>
        <w:spacing w:before="240"/>
        <w:ind w:left="567" w:hanging="567"/>
        <w:rPr>
          <w:rFonts w:ascii="Arial" w:hAnsi="Arial" w:cs="Arial"/>
          <w:lang w:val="fr-FR"/>
        </w:rPr>
      </w:pPr>
      <w:r w:rsidRPr="00F72E36">
        <w:rPr>
          <w:rFonts w:ascii="Arial" w:hAnsi="Arial" w:cs="Arial"/>
          <w:lang w:val="fr-FR"/>
        </w:rPr>
        <w:t>ANSES-Afssa (2009). National Individual Food Consumption Survey 2 (INCA 2) (2006–2007).</w:t>
      </w:r>
      <w:r w:rsidRPr="00810C05">
        <w:t xml:space="preserve"> </w:t>
      </w:r>
      <w:r w:rsidRPr="00810C05">
        <w:rPr>
          <w:rFonts w:ascii="Arial" w:hAnsi="Arial" w:cs="Arial"/>
          <w:lang w:val="fr-FR"/>
        </w:rPr>
        <w:t>https://www.anses.fr/fr/system/files/PASER-Ra-INCA2.pdf</w:t>
      </w:r>
    </w:p>
    <w:p w14:paraId="09DF9A6A" w14:textId="77777777" w:rsidR="00D33EF6" w:rsidRPr="00F72E36" w:rsidRDefault="00D33EF6" w:rsidP="00D33EF6">
      <w:pPr>
        <w:pStyle w:val="Body"/>
        <w:spacing w:before="240"/>
        <w:ind w:left="567" w:hanging="567"/>
        <w:rPr>
          <w:rFonts w:ascii="Arial" w:hAnsi="Arial" w:cs="Arial"/>
          <w:lang w:val="fr-FR"/>
        </w:rPr>
      </w:pPr>
      <w:r w:rsidRPr="00F72E36">
        <w:rPr>
          <w:rFonts w:ascii="Arial" w:hAnsi="Arial" w:cs="Arial"/>
          <w:lang w:val="fr-FR"/>
        </w:rPr>
        <w:t>Atyqy M (2018). Water in food. Food Science and Technology.</w:t>
      </w:r>
      <w:r w:rsidRPr="00810C05">
        <w:t xml:space="preserve"> </w:t>
      </w:r>
      <w:r w:rsidRPr="00810C05">
        <w:rPr>
          <w:rFonts w:ascii="Arial" w:hAnsi="Arial" w:cs="Arial"/>
          <w:lang w:val="fr-FR"/>
        </w:rPr>
        <w:t>https://www.scientecal.com/cours/eau-dans-les-aliments</w:t>
      </w:r>
    </w:p>
    <w:p w14:paraId="623397F1"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Babarinde, G. O., Adeyanju, J. A., Ogunleye, K. Y., Adegbola, G. M., Ebun, A. A., &amp; Wadele, D. (2020). Nutritional composition of gluten-free flour from blend of fonio (</w:t>
      </w:r>
      <w:r w:rsidRPr="00286044">
        <w:rPr>
          <w:rFonts w:ascii="Arial" w:eastAsia="inter" w:hAnsi="Arial" w:cs="Arial"/>
          <w:i/>
          <w:color w:val="000000"/>
        </w:rPr>
        <w:t>Digitaria iburua</w:t>
      </w:r>
      <w:r w:rsidRPr="00286044">
        <w:rPr>
          <w:rFonts w:ascii="Arial" w:eastAsia="inter" w:hAnsi="Arial" w:cs="Arial"/>
          <w:color w:val="000000"/>
        </w:rPr>
        <w:t>) and pigeon pea (</w:t>
      </w:r>
      <w:r w:rsidRPr="00286044">
        <w:rPr>
          <w:rFonts w:ascii="Arial" w:eastAsia="inter" w:hAnsi="Arial" w:cs="Arial"/>
          <w:i/>
          <w:color w:val="000000"/>
        </w:rPr>
        <w:t>Cajanus cajan</w:t>
      </w:r>
      <w:r w:rsidRPr="00286044">
        <w:rPr>
          <w:rFonts w:ascii="Arial" w:eastAsia="inter" w:hAnsi="Arial" w:cs="Arial"/>
          <w:color w:val="000000"/>
        </w:rPr>
        <w:t xml:space="preserve">) and its suitability for breakfast food. </w:t>
      </w:r>
      <w:r w:rsidRPr="00286044">
        <w:rPr>
          <w:rFonts w:ascii="Arial" w:eastAsia="inter" w:hAnsi="Arial" w:cs="Arial"/>
          <w:i/>
          <w:color w:val="000000"/>
        </w:rPr>
        <w:t>Journal of Food Science and Technology, 57</w:t>
      </w:r>
      <w:r w:rsidRPr="00286044">
        <w:rPr>
          <w:rFonts w:ascii="Arial" w:eastAsia="inter" w:hAnsi="Arial" w:cs="Arial"/>
          <w:color w:val="000000"/>
        </w:rPr>
        <w:t xml:space="preserve">(10), 3611–3620. </w:t>
      </w:r>
      <w:hyperlink r:id="rId22">
        <w:r w:rsidRPr="00286044">
          <w:rPr>
            <w:rFonts w:ascii="Arial" w:eastAsia="inter" w:hAnsi="Arial" w:cs="Arial"/>
            <w:u w:val="single"/>
          </w:rPr>
          <w:t>https://doi.org/10.1007/s13197-020-04393-7</w:t>
        </w:r>
        <w:r>
          <w:rPr>
            <w:rFonts w:ascii="Arial" w:eastAsia="inter" w:hAnsi="Arial" w:cs="Arial"/>
            <w:u w:val="single"/>
          </w:rPr>
          <w:t xml:space="preserve"> </w:t>
        </w:r>
      </w:hyperlink>
    </w:p>
    <w:p w14:paraId="7058E4AB"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Bolarinwa, I. F., Oke, M. O., Olaniyan, S. A., &amp; Ajala, A. S. (2016). A review of cyanogenic glycosides in edible plants. In P. Tirumalai (Ed.), </w:t>
      </w:r>
      <w:r w:rsidRPr="00286044">
        <w:rPr>
          <w:rFonts w:ascii="Arial" w:eastAsia="inter" w:hAnsi="Arial" w:cs="Arial"/>
          <w:i/>
          <w:color w:val="000000"/>
        </w:rPr>
        <w:t>Toxicology: New aspects to this scientific conundrum</w:t>
      </w:r>
      <w:r w:rsidRPr="00286044">
        <w:rPr>
          <w:rFonts w:ascii="Arial" w:eastAsia="inter" w:hAnsi="Arial" w:cs="Arial"/>
          <w:color w:val="000000"/>
        </w:rPr>
        <w:t xml:space="preserve"> (pp. 179–191). IntechOpen. </w:t>
      </w:r>
      <w:hyperlink r:id="rId23">
        <w:r w:rsidRPr="00286044">
          <w:rPr>
            <w:rFonts w:ascii="Arial" w:eastAsia="inter" w:hAnsi="Arial" w:cs="Arial"/>
            <w:u w:val="single"/>
          </w:rPr>
          <w:t>https://doi.org/10.5772/64886</w:t>
        </w:r>
        <w:r>
          <w:rPr>
            <w:rFonts w:ascii="Arial" w:eastAsia="inter" w:hAnsi="Arial" w:cs="Arial"/>
            <w:u w:val="single"/>
          </w:rPr>
          <w:t xml:space="preserve"> </w:t>
        </w:r>
      </w:hyperlink>
    </w:p>
    <w:p w14:paraId="1D497872"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CAB International &amp; Food and Agriculture Organization of the United Nations. (2011). </w:t>
      </w:r>
      <w:r w:rsidRPr="00286044">
        <w:rPr>
          <w:rFonts w:ascii="Arial" w:eastAsia="inter" w:hAnsi="Arial" w:cs="Arial"/>
          <w:i/>
          <w:color w:val="000000"/>
        </w:rPr>
        <w:t>Combating micronutrient deficiencies: Food-based approaches</w:t>
      </w:r>
      <w:r w:rsidRPr="00286044">
        <w:rPr>
          <w:rFonts w:ascii="Arial" w:eastAsia="inter" w:hAnsi="Arial" w:cs="Arial"/>
          <w:color w:val="000000"/>
        </w:rPr>
        <w:t xml:space="preserve">. CABI/FAO. </w:t>
      </w:r>
      <w:hyperlink r:id="rId24">
        <w:r w:rsidRPr="00286044">
          <w:rPr>
            <w:rFonts w:ascii="Arial" w:eastAsia="inter" w:hAnsi="Arial" w:cs="Arial"/>
            <w:u w:val="single"/>
          </w:rPr>
          <w:t>https://doi.org/10.1079/9781845937412.0000</w:t>
        </w:r>
        <w:r>
          <w:rPr>
            <w:rFonts w:ascii="Arial" w:eastAsia="inter" w:hAnsi="Arial" w:cs="Arial"/>
            <w:u w:val="single"/>
          </w:rPr>
          <w:t xml:space="preserve"> </w:t>
        </w:r>
      </w:hyperlink>
    </w:p>
    <w:p w14:paraId="269E7EDD"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Dagnon, Y. D., Palanga, K. K., Bammite, D., Bodian, A., Akabassi, G. C., Foncéka, D., &amp; Tozo, K. (2021). Genetic diversity and population structure of cowpea [</w:t>
      </w:r>
      <w:r w:rsidRPr="00286044">
        <w:rPr>
          <w:rFonts w:ascii="Arial" w:eastAsia="inter" w:hAnsi="Arial" w:cs="Arial"/>
          <w:i/>
          <w:color w:val="000000"/>
        </w:rPr>
        <w:t>Vigna unguiculata</w:t>
      </w:r>
      <w:r w:rsidRPr="00286044">
        <w:rPr>
          <w:rFonts w:ascii="Arial" w:eastAsia="inter" w:hAnsi="Arial" w:cs="Arial"/>
          <w:color w:val="000000"/>
        </w:rPr>
        <w:t xml:space="preserve"> (L.) Walp.] accessions from Togo using SSR markers. </w:t>
      </w:r>
      <w:r w:rsidRPr="00286044">
        <w:rPr>
          <w:rFonts w:ascii="Arial" w:eastAsia="inter" w:hAnsi="Arial" w:cs="Arial"/>
          <w:i/>
          <w:color w:val="000000"/>
        </w:rPr>
        <w:t>PLOS ONE, 16</w:t>
      </w:r>
      <w:r w:rsidRPr="00286044">
        <w:rPr>
          <w:rFonts w:ascii="Arial" w:eastAsia="inter" w:hAnsi="Arial" w:cs="Arial"/>
          <w:color w:val="000000"/>
        </w:rPr>
        <w:t xml:space="preserve">(10), e0252362. </w:t>
      </w:r>
      <w:hyperlink r:id="rId25">
        <w:r w:rsidRPr="00286044">
          <w:rPr>
            <w:rFonts w:ascii="Arial" w:eastAsia="inter" w:hAnsi="Arial" w:cs="Arial"/>
            <w:u w:val="single"/>
          </w:rPr>
          <w:t>https://doi.org/10.1371/journal.pone.0252362</w:t>
        </w:r>
        <w:r>
          <w:rPr>
            <w:rFonts w:ascii="Arial" w:eastAsia="inter" w:hAnsi="Arial" w:cs="Arial"/>
            <w:u w:val="single"/>
          </w:rPr>
          <w:t xml:space="preserve"> </w:t>
        </w:r>
      </w:hyperlink>
    </w:p>
    <w:p w14:paraId="2975A8C5"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lastRenderedPageBreak/>
        <w:t>Eltayeb, A. R. S. M., Ali, A. O., &amp; Haron, R. (2010). The chemical composition of pigeon pea (</w:t>
      </w:r>
      <w:r w:rsidRPr="00286044">
        <w:rPr>
          <w:rFonts w:ascii="Arial" w:eastAsia="inter" w:hAnsi="Arial" w:cs="Arial"/>
          <w:i/>
          <w:color w:val="000000"/>
        </w:rPr>
        <w:t>Cajanus cajan</w:t>
      </w:r>
      <w:r w:rsidRPr="00286044">
        <w:rPr>
          <w:rFonts w:ascii="Arial" w:eastAsia="inter" w:hAnsi="Arial" w:cs="Arial"/>
          <w:color w:val="000000"/>
        </w:rPr>
        <w:t xml:space="preserve">) seed and functional properties of protein isolate. </w:t>
      </w:r>
      <w:r w:rsidRPr="00286044">
        <w:rPr>
          <w:rFonts w:ascii="Arial" w:eastAsia="inter" w:hAnsi="Arial" w:cs="Arial"/>
          <w:i/>
          <w:color w:val="000000"/>
        </w:rPr>
        <w:t>Pakistan Journal of Nutrition, 9</w:t>
      </w:r>
      <w:r w:rsidRPr="00286044">
        <w:rPr>
          <w:rFonts w:ascii="Arial" w:eastAsia="inter" w:hAnsi="Arial" w:cs="Arial"/>
          <w:color w:val="000000"/>
        </w:rPr>
        <w:t xml:space="preserve">(11), 1069–1073. </w:t>
      </w:r>
      <w:hyperlink r:id="rId26">
        <w:r w:rsidRPr="00286044">
          <w:rPr>
            <w:rFonts w:ascii="Arial" w:eastAsia="inter" w:hAnsi="Arial" w:cs="Arial"/>
            <w:u w:val="single"/>
          </w:rPr>
          <w:t>https://doi.org/10.3923/pjn.2010.1069.1073</w:t>
        </w:r>
        <w:r>
          <w:rPr>
            <w:rFonts w:ascii="Arial" w:eastAsia="inter" w:hAnsi="Arial" w:cs="Arial"/>
            <w:u w:val="single"/>
          </w:rPr>
          <w:t xml:space="preserve"> </w:t>
        </w:r>
      </w:hyperlink>
    </w:p>
    <w:p w14:paraId="21D86828"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Espejo, F., Burbano, C., &amp; Galliano, E. (2010). </w:t>
      </w:r>
      <w:r w:rsidRPr="00286044">
        <w:rPr>
          <w:rFonts w:ascii="Arial" w:eastAsia="inter" w:hAnsi="Arial" w:cs="Arial"/>
          <w:i/>
          <w:color w:val="000000"/>
        </w:rPr>
        <w:t>Home-grown school feeding: A framework to link school feeding with local agricultural production</w:t>
      </w:r>
      <w:r w:rsidRPr="00286044">
        <w:rPr>
          <w:rFonts w:ascii="Arial" w:eastAsia="inter" w:hAnsi="Arial" w:cs="Arial"/>
          <w:color w:val="000000"/>
        </w:rPr>
        <w:t>. World Food Programme.</w:t>
      </w:r>
      <w:r>
        <w:rPr>
          <w:rFonts w:ascii="Arial" w:eastAsia="inter" w:hAnsi="Arial" w:cs="Arial"/>
          <w:color w:val="000000"/>
        </w:rPr>
        <w:t xml:space="preserve"> </w:t>
      </w:r>
    </w:p>
    <w:p w14:paraId="0620912A"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Food and Agriculture Organization of the United Nations. (2013). </w:t>
      </w:r>
      <w:r w:rsidRPr="00286044">
        <w:rPr>
          <w:rFonts w:ascii="Arial" w:eastAsia="inter" w:hAnsi="Arial" w:cs="Arial"/>
          <w:i/>
          <w:color w:val="000000"/>
        </w:rPr>
        <w:t>The State of Food and Agriculture 2013: Food systems for better nutrition</w:t>
      </w:r>
      <w:r w:rsidRPr="00286044">
        <w:rPr>
          <w:rFonts w:ascii="Arial" w:eastAsia="inter" w:hAnsi="Arial" w:cs="Arial"/>
          <w:color w:val="000000"/>
        </w:rPr>
        <w:t>. FAO.</w:t>
      </w:r>
      <w:r>
        <w:rPr>
          <w:rFonts w:ascii="Arial" w:eastAsia="inter" w:hAnsi="Arial" w:cs="Arial"/>
          <w:color w:val="000000"/>
        </w:rPr>
        <w:t xml:space="preserve"> </w:t>
      </w:r>
    </w:p>
    <w:p w14:paraId="2A6DA870"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Food and Agriculture Organization of the United Nations. (2022). Togo: près de 400 mille personnes en insécurité alimentaire aiguë. [Note / communiqué].</w:t>
      </w:r>
      <w:r>
        <w:rPr>
          <w:rFonts w:ascii="Arial" w:eastAsia="inter" w:hAnsi="Arial" w:cs="Arial"/>
          <w:color w:val="000000"/>
        </w:rPr>
        <w:t xml:space="preserve"> </w:t>
      </w:r>
    </w:p>
    <w:p w14:paraId="4BE3A2A9"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Fossou, R. K., Kouassi, N., Kouadjo, G. C. Z., Zako, S., &amp; Zeze, A. (2012). Diversité de rhizobia dans un champ cultivé de pois d’Angole (</w:t>
      </w:r>
      <w:r w:rsidRPr="00286044">
        <w:rPr>
          <w:rFonts w:ascii="Arial" w:eastAsia="inter" w:hAnsi="Arial" w:cs="Arial"/>
          <w:i/>
          <w:color w:val="000000"/>
        </w:rPr>
        <w:t>Cajanus cajan</w:t>
      </w:r>
      <w:r w:rsidRPr="00286044">
        <w:rPr>
          <w:rFonts w:ascii="Arial" w:eastAsia="inter" w:hAnsi="Arial" w:cs="Arial"/>
          <w:color w:val="000000"/>
        </w:rPr>
        <w:t xml:space="preserve"> L.) (légumineuses) à Yamoussoukro (Centre Côte d’Ivoire). </w:t>
      </w:r>
      <w:r w:rsidRPr="00286044">
        <w:rPr>
          <w:rFonts w:ascii="Arial" w:eastAsia="inter" w:hAnsi="Arial" w:cs="Arial"/>
          <w:i/>
          <w:color w:val="000000"/>
        </w:rPr>
        <w:t>Agronomie Africaine, 24</w:t>
      </w:r>
      <w:r w:rsidRPr="00286044">
        <w:rPr>
          <w:rFonts w:ascii="Arial" w:eastAsia="inter" w:hAnsi="Arial" w:cs="Arial"/>
          <w:color w:val="000000"/>
        </w:rPr>
        <w:t>(1), 29–38.</w:t>
      </w:r>
      <w:r>
        <w:rPr>
          <w:rFonts w:ascii="Arial" w:eastAsia="inter" w:hAnsi="Arial" w:cs="Arial"/>
          <w:color w:val="000000"/>
        </w:rPr>
        <w:t xml:space="preserve"> </w:t>
      </w:r>
    </w:p>
    <w:p w14:paraId="76E3FC4A"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Frénot, M., &amp; Vierling, E. (2002). </w:t>
      </w:r>
      <w:r w:rsidRPr="00286044">
        <w:rPr>
          <w:rFonts w:ascii="Arial" w:eastAsia="inter" w:hAnsi="Arial" w:cs="Arial"/>
          <w:i/>
          <w:color w:val="000000"/>
        </w:rPr>
        <w:t xml:space="preserve">Biochimie des </w:t>
      </w:r>
      <w:proofErr w:type="gramStart"/>
      <w:r w:rsidRPr="00286044">
        <w:rPr>
          <w:rFonts w:ascii="Arial" w:eastAsia="inter" w:hAnsi="Arial" w:cs="Arial"/>
          <w:i/>
          <w:color w:val="000000"/>
        </w:rPr>
        <w:t>aliments :</w:t>
      </w:r>
      <w:proofErr w:type="gramEnd"/>
      <w:r w:rsidRPr="00286044">
        <w:rPr>
          <w:rFonts w:ascii="Arial" w:eastAsia="inter" w:hAnsi="Arial" w:cs="Arial"/>
          <w:i/>
          <w:color w:val="000000"/>
        </w:rPr>
        <w:t xml:space="preserve"> Diététique du sujet bien portant</w:t>
      </w:r>
      <w:r w:rsidRPr="00286044">
        <w:rPr>
          <w:rFonts w:ascii="Arial" w:eastAsia="inter" w:hAnsi="Arial" w:cs="Arial"/>
          <w:color w:val="000000"/>
        </w:rPr>
        <w:t xml:space="preserve"> (2e éd.). Doin.</w:t>
      </w:r>
      <w:r>
        <w:rPr>
          <w:rFonts w:ascii="Arial" w:eastAsia="inter" w:hAnsi="Arial" w:cs="Arial"/>
          <w:color w:val="000000"/>
        </w:rPr>
        <w:t xml:space="preserve"> </w:t>
      </w:r>
    </w:p>
    <w:p w14:paraId="2352AD5A"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Gerrano, A. S., Moalafi, A., Seepe, H. A., Amoo, S., &amp; Shimelis, H. (2022). Nutritional and phytochemical compositions and their interrelationship in succulent pods of pigeonpea (</w:t>
      </w:r>
      <w:r w:rsidRPr="00286044">
        <w:rPr>
          <w:rFonts w:ascii="Arial" w:eastAsia="inter" w:hAnsi="Arial" w:cs="Arial"/>
          <w:i/>
          <w:color w:val="000000"/>
        </w:rPr>
        <w:t>Cajanus cajan</w:t>
      </w:r>
      <w:r w:rsidRPr="00286044">
        <w:rPr>
          <w:rFonts w:ascii="Arial" w:eastAsia="inter" w:hAnsi="Arial" w:cs="Arial"/>
          <w:color w:val="000000"/>
        </w:rPr>
        <w:t xml:space="preserve"> [L.] Millsp.). </w:t>
      </w:r>
      <w:r w:rsidRPr="00286044">
        <w:rPr>
          <w:rFonts w:ascii="Arial" w:eastAsia="inter" w:hAnsi="Arial" w:cs="Arial"/>
          <w:i/>
          <w:color w:val="000000"/>
        </w:rPr>
        <w:t>Heliyon, 8</w:t>
      </w:r>
      <w:r w:rsidRPr="00286044">
        <w:rPr>
          <w:rFonts w:ascii="Arial" w:eastAsia="inter" w:hAnsi="Arial" w:cs="Arial"/>
          <w:color w:val="000000"/>
        </w:rPr>
        <w:t xml:space="preserve">(3), e09078. </w:t>
      </w:r>
      <w:hyperlink r:id="rId27">
        <w:r w:rsidRPr="00286044">
          <w:rPr>
            <w:rFonts w:ascii="Arial" w:eastAsia="inter" w:hAnsi="Arial" w:cs="Arial"/>
            <w:u w:val="single"/>
          </w:rPr>
          <w:t>https://doi.org/10.1016/j.heliyon.2022.e09078</w:t>
        </w:r>
        <w:r>
          <w:rPr>
            <w:rFonts w:ascii="Arial" w:eastAsia="inter" w:hAnsi="Arial" w:cs="Arial"/>
            <w:u w:val="single"/>
          </w:rPr>
          <w:t xml:space="preserve"> </w:t>
        </w:r>
      </w:hyperlink>
    </w:p>
    <w:p w14:paraId="35D122F3"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He, F. J., &amp; MacGregor, G. A. (2008). Beneficial effects of potassium on human health. </w:t>
      </w:r>
      <w:r w:rsidRPr="00286044">
        <w:rPr>
          <w:rFonts w:ascii="Arial" w:eastAsia="inter" w:hAnsi="Arial" w:cs="Arial"/>
          <w:i/>
          <w:color w:val="000000"/>
        </w:rPr>
        <w:t>Physiologia Plantarum, 133</w:t>
      </w:r>
      <w:r w:rsidRPr="00286044">
        <w:rPr>
          <w:rFonts w:ascii="Arial" w:eastAsia="inter" w:hAnsi="Arial" w:cs="Arial"/>
          <w:color w:val="000000"/>
        </w:rPr>
        <w:t xml:space="preserve">(4), 725–735. </w:t>
      </w:r>
      <w:hyperlink r:id="rId28">
        <w:r w:rsidRPr="00286044">
          <w:rPr>
            <w:rFonts w:ascii="Arial" w:eastAsia="inter" w:hAnsi="Arial" w:cs="Arial"/>
            <w:u w:val="single"/>
          </w:rPr>
          <w:t>https://doi.org/10.1111/j.1399-3054.2007.01033.x</w:t>
        </w:r>
        <w:r>
          <w:rPr>
            <w:rFonts w:ascii="Arial" w:eastAsia="inter" w:hAnsi="Arial" w:cs="Arial"/>
            <w:u w:val="single"/>
          </w:rPr>
          <w:t xml:space="preserve"> </w:t>
        </w:r>
      </w:hyperlink>
    </w:p>
    <w:p w14:paraId="3336822B"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Kpan Kpan, G. K., Yao, L. B., Diemeleou, C. A., N’Guettia, R. K., Traoré, S. K., &amp; Dembele, A. (2019). Pratiques phytosanitaires en agriculture périurbaine et contamination des denrées par les </w:t>
      </w:r>
      <w:proofErr w:type="gramStart"/>
      <w:r w:rsidRPr="00286044">
        <w:rPr>
          <w:rFonts w:ascii="Arial" w:eastAsia="inter" w:hAnsi="Arial" w:cs="Arial"/>
          <w:color w:val="000000"/>
        </w:rPr>
        <w:t>pesticides :</w:t>
      </w:r>
      <w:proofErr w:type="gramEnd"/>
      <w:r w:rsidRPr="00286044">
        <w:rPr>
          <w:rFonts w:ascii="Arial" w:eastAsia="inter" w:hAnsi="Arial" w:cs="Arial"/>
          <w:color w:val="000000"/>
        </w:rPr>
        <w:t xml:space="preserve"> cas des maraîchers de Port-Bouët (Abidjan). </w:t>
      </w:r>
      <w:r w:rsidRPr="00286044">
        <w:rPr>
          <w:rFonts w:ascii="Arial" w:eastAsia="inter" w:hAnsi="Arial" w:cs="Arial"/>
          <w:i/>
          <w:color w:val="000000"/>
        </w:rPr>
        <w:t>Journal of Animal &amp; Plant Sciences, 41</w:t>
      </w:r>
      <w:r w:rsidRPr="00286044">
        <w:rPr>
          <w:rFonts w:ascii="Arial" w:eastAsia="inter" w:hAnsi="Arial" w:cs="Arial"/>
          <w:color w:val="000000"/>
        </w:rPr>
        <w:t xml:space="preserve">, 6847–6863. </w:t>
      </w:r>
      <w:hyperlink r:id="rId29">
        <w:r w:rsidRPr="00286044">
          <w:rPr>
            <w:rFonts w:ascii="Arial" w:eastAsia="inter" w:hAnsi="Arial" w:cs="Arial"/>
            <w:u w:val="single"/>
          </w:rPr>
          <w:t>https://doi.org/10.35759/JAnmPlSci.v41-1.11</w:t>
        </w:r>
        <w:r>
          <w:rPr>
            <w:rFonts w:ascii="Arial" w:eastAsia="inter" w:hAnsi="Arial" w:cs="Arial"/>
            <w:u w:val="single"/>
          </w:rPr>
          <w:t xml:space="preserve"> </w:t>
        </w:r>
      </w:hyperlink>
    </w:p>
    <w:p w14:paraId="4D2C86CF"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Kunyanga, C. N., Imungi, J. K., &amp; Vellingiri, V. (2013). Nutritional evaluation of indigenous foods with potential food-based solution to alleviate hunger and malnutrition in Kenya. </w:t>
      </w:r>
      <w:r w:rsidRPr="00286044">
        <w:rPr>
          <w:rFonts w:ascii="Arial" w:eastAsia="inter" w:hAnsi="Arial" w:cs="Arial"/>
          <w:i/>
          <w:color w:val="000000"/>
        </w:rPr>
        <w:t>Journal of Applied Biosciences, 67</w:t>
      </w:r>
      <w:r w:rsidRPr="00286044">
        <w:rPr>
          <w:rFonts w:ascii="Arial" w:eastAsia="inter" w:hAnsi="Arial" w:cs="Arial"/>
          <w:color w:val="000000"/>
        </w:rPr>
        <w:t xml:space="preserve">, 5277–5288. </w:t>
      </w:r>
      <w:hyperlink r:id="rId30">
        <w:r w:rsidRPr="00286044">
          <w:rPr>
            <w:rFonts w:ascii="Arial" w:eastAsia="inter" w:hAnsi="Arial" w:cs="Arial"/>
            <w:u w:val="single"/>
          </w:rPr>
          <w:t>https://doi.org/10.4314/jab.v67i0.95049</w:t>
        </w:r>
        <w:r>
          <w:rPr>
            <w:rFonts w:ascii="Arial" w:eastAsia="inter" w:hAnsi="Arial" w:cs="Arial"/>
            <w:u w:val="single"/>
          </w:rPr>
          <w:t xml:space="preserve"> </w:t>
        </w:r>
      </w:hyperlink>
    </w:p>
    <w:p w14:paraId="403C8F36"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Li, S., &amp; Shah, N. P. (2016). Characterization, antioxidative and bifidogenic effects of polysaccharides from </w:t>
      </w:r>
      <w:r w:rsidRPr="00286044">
        <w:rPr>
          <w:rFonts w:ascii="Arial" w:eastAsia="inter" w:hAnsi="Arial" w:cs="Arial"/>
          <w:i/>
          <w:color w:val="000000"/>
        </w:rPr>
        <w:t>Pleurotus eryngii</w:t>
      </w:r>
      <w:r w:rsidRPr="00286044">
        <w:rPr>
          <w:rFonts w:ascii="Arial" w:eastAsia="inter" w:hAnsi="Arial" w:cs="Arial"/>
          <w:color w:val="000000"/>
        </w:rPr>
        <w:t xml:space="preserve"> after heat treatments. </w:t>
      </w:r>
      <w:r w:rsidRPr="00286044">
        <w:rPr>
          <w:rFonts w:ascii="Arial" w:eastAsia="inter" w:hAnsi="Arial" w:cs="Arial"/>
          <w:i/>
          <w:color w:val="000000"/>
        </w:rPr>
        <w:t>Food Chemistry, 197</w:t>
      </w:r>
      <w:r w:rsidRPr="00286044">
        <w:rPr>
          <w:rFonts w:ascii="Arial" w:eastAsia="inter" w:hAnsi="Arial" w:cs="Arial"/>
          <w:color w:val="000000"/>
        </w:rPr>
        <w:t xml:space="preserve">(A), 240–249. </w:t>
      </w:r>
      <w:hyperlink r:id="rId31">
        <w:r w:rsidRPr="00286044">
          <w:rPr>
            <w:rFonts w:ascii="Arial" w:eastAsia="inter" w:hAnsi="Arial" w:cs="Arial"/>
            <w:u w:val="single"/>
          </w:rPr>
          <w:t>https://doi.org/10.1016/j.foodchem.2015.10.113</w:t>
        </w:r>
        <w:r>
          <w:rPr>
            <w:rFonts w:ascii="Arial" w:eastAsia="inter" w:hAnsi="Arial" w:cs="Arial"/>
            <w:u w:val="single"/>
          </w:rPr>
          <w:t xml:space="preserve"> </w:t>
        </w:r>
      </w:hyperlink>
    </w:p>
    <w:p w14:paraId="6E4EE68D"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Longvah, T., Anantan, I., Bhaskarachary, K., &amp; Venkaiah, K. (2017). </w:t>
      </w:r>
      <w:r w:rsidRPr="00286044">
        <w:rPr>
          <w:rFonts w:ascii="Arial" w:eastAsia="inter" w:hAnsi="Arial" w:cs="Arial"/>
          <w:i/>
          <w:color w:val="000000"/>
        </w:rPr>
        <w:t>Indian food composition tables</w:t>
      </w:r>
      <w:r w:rsidRPr="00286044">
        <w:rPr>
          <w:rFonts w:ascii="Arial" w:eastAsia="inter" w:hAnsi="Arial" w:cs="Arial"/>
          <w:color w:val="000000"/>
        </w:rPr>
        <w:t>. National Institute of Nutrition, Indian Council of Medical Research.</w:t>
      </w:r>
      <w:r>
        <w:rPr>
          <w:rFonts w:ascii="Arial" w:eastAsia="inter" w:hAnsi="Arial" w:cs="Arial"/>
          <w:color w:val="000000"/>
        </w:rPr>
        <w:t xml:space="preserve"> </w:t>
      </w:r>
    </w:p>
    <w:p w14:paraId="63EFAA8E"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Noonan, S. C., &amp; Savage, G. P. (1999). Oxalate content of foods and its effect on humans. </w:t>
      </w:r>
      <w:r w:rsidRPr="00286044">
        <w:rPr>
          <w:rFonts w:ascii="Arial" w:eastAsia="inter" w:hAnsi="Arial" w:cs="Arial"/>
          <w:i/>
          <w:color w:val="000000"/>
        </w:rPr>
        <w:t>Asia Pacific Journal of Clinical Nutrition, 8</w:t>
      </w:r>
      <w:r w:rsidRPr="00286044">
        <w:rPr>
          <w:rFonts w:ascii="Arial" w:eastAsia="inter" w:hAnsi="Arial" w:cs="Arial"/>
          <w:color w:val="000000"/>
        </w:rPr>
        <w:t xml:space="preserve">(1), 64–74. </w:t>
      </w:r>
      <w:hyperlink r:id="rId32">
        <w:r w:rsidRPr="00286044">
          <w:rPr>
            <w:rFonts w:ascii="Arial" w:eastAsia="inter" w:hAnsi="Arial" w:cs="Arial"/>
            <w:u w:val="single"/>
          </w:rPr>
          <w:t>https://doi.org/10.1046/j.1440-6047.1999.00038.x</w:t>
        </w:r>
        <w:r>
          <w:rPr>
            <w:rFonts w:ascii="Arial" w:eastAsia="inter" w:hAnsi="Arial" w:cs="Arial"/>
            <w:u w:val="single"/>
          </w:rPr>
          <w:t xml:space="preserve"> </w:t>
        </w:r>
      </w:hyperlink>
    </w:p>
    <w:p w14:paraId="7C6EE2D2"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Okoro, I. O., &amp; Achuba, F. I. (2012). Proximate and mineral analysis of some wild edible mushrooms. </w:t>
      </w:r>
      <w:r w:rsidRPr="00286044">
        <w:rPr>
          <w:rFonts w:ascii="Arial" w:eastAsia="inter" w:hAnsi="Arial" w:cs="Arial"/>
          <w:i/>
          <w:color w:val="000000"/>
        </w:rPr>
        <w:t>African Journal of Biotechnology, 11</w:t>
      </w:r>
      <w:r w:rsidRPr="00286044">
        <w:rPr>
          <w:rFonts w:ascii="Arial" w:eastAsia="inter" w:hAnsi="Arial" w:cs="Arial"/>
          <w:color w:val="000000"/>
        </w:rPr>
        <w:t xml:space="preserve">(30), 7720–7724. </w:t>
      </w:r>
      <w:hyperlink r:id="rId33">
        <w:r w:rsidRPr="00286044">
          <w:rPr>
            <w:rFonts w:ascii="Arial" w:eastAsia="inter" w:hAnsi="Arial" w:cs="Arial"/>
            <w:u w:val="single"/>
          </w:rPr>
          <w:t>https://doi.org/10.5897/AJB11.590</w:t>
        </w:r>
        <w:r>
          <w:rPr>
            <w:rFonts w:ascii="Arial" w:eastAsia="inter" w:hAnsi="Arial" w:cs="Arial"/>
            <w:u w:val="single"/>
          </w:rPr>
          <w:t xml:space="preserve"> </w:t>
        </w:r>
      </w:hyperlink>
    </w:p>
    <w:p w14:paraId="45009F4E"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Olagunju, A. I., Omoba, O. S., Enujiugha, V. N., &amp; Aluko, R. E. (2018). Development of value-added nutritious crackers with high antidiabetic properties from blends of acha (</w:t>
      </w:r>
      <w:r w:rsidRPr="00286044">
        <w:rPr>
          <w:rFonts w:ascii="Arial" w:eastAsia="inter" w:hAnsi="Arial" w:cs="Arial"/>
          <w:i/>
          <w:color w:val="000000"/>
        </w:rPr>
        <w:t>Digitaria exilis</w:t>
      </w:r>
      <w:r w:rsidRPr="00286044">
        <w:rPr>
          <w:rFonts w:ascii="Arial" w:eastAsia="inter" w:hAnsi="Arial" w:cs="Arial"/>
          <w:color w:val="000000"/>
        </w:rPr>
        <w:t>) and blanched pigeon pea (</w:t>
      </w:r>
      <w:r w:rsidRPr="00286044">
        <w:rPr>
          <w:rFonts w:ascii="Arial" w:eastAsia="inter" w:hAnsi="Arial" w:cs="Arial"/>
          <w:i/>
          <w:color w:val="000000"/>
        </w:rPr>
        <w:t>Cajanus cajan</w:t>
      </w:r>
      <w:r w:rsidRPr="00286044">
        <w:rPr>
          <w:rFonts w:ascii="Arial" w:eastAsia="inter" w:hAnsi="Arial" w:cs="Arial"/>
          <w:color w:val="000000"/>
        </w:rPr>
        <w:t xml:space="preserve">). </w:t>
      </w:r>
      <w:r w:rsidRPr="00286044">
        <w:rPr>
          <w:rFonts w:ascii="Arial" w:eastAsia="inter" w:hAnsi="Arial" w:cs="Arial"/>
          <w:i/>
          <w:color w:val="000000"/>
        </w:rPr>
        <w:t>Food Science &amp; Nutrition, 6</w:t>
      </w:r>
      <w:r w:rsidRPr="00286044">
        <w:rPr>
          <w:rFonts w:ascii="Arial" w:eastAsia="inter" w:hAnsi="Arial" w:cs="Arial"/>
          <w:color w:val="000000"/>
        </w:rPr>
        <w:t xml:space="preserve">(7), 1791–1802. </w:t>
      </w:r>
      <w:hyperlink r:id="rId34">
        <w:r w:rsidRPr="00286044">
          <w:rPr>
            <w:rFonts w:ascii="Arial" w:eastAsia="inter" w:hAnsi="Arial" w:cs="Arial"/>
            <w:u w:val="single"/>
          </w:rPr>
          <w:t>https://doi.org/10.1002/fsn3.748</w:t>
        </w:r>
        <w:r>
          <w:rPr>
            <w:rFonts w:ascii="Arial" w:eastAsia="inter" w:hAnsi="Arial" w:cs="Arial"/>
            <w:u w:val="single"/>
          </w:rPr>
          <w:t xml:space="preserve"> </w:t>
        </w:r>
      </w:hyperlink>
    </w:p>
    <w:p w14:paraId="43EC477B"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lastRenderedPageBreak/>
        <w:t>Ossoko, J. P. L., Okandza, Y., Toni (née Ganongo-Po), F., Dellau, H., Dzondo, G. M., &amp; Mvoula Tsieri, M. D. (2023). Biochemical characterization and nutritional value of peanut (</w:t>
      </w:r>
      <w:r w:rsidRPr="00286044">
        <w:rPr>
          <w:rFonts w:ascii="Arial" w:eastAsia="inter" w:hAnsi="Arial" w:cs="Arial"/>
          <w:i/>
          <w:color w:val="000000"/>
        </w:rPr>
        <w:t>Arachis hypogaea</w:t>
      </w:r>
      <w:r w:rsidRPr="00286044">
        <w:rPr>
          <w:rFonts w:ascii="Arial" w:eastAsia="inter" w:hAnsi="Arial" w:cs="Arial"/>
          <w:color w:val="000000"/>
        </w:rPr>
        <w:t xml:space="preserve"> L.) leaves, taro (</w:t>
      </w:r>
      <w:r w:rsidRPr="00286044">
        <w:rPr>
          <w:rFonts w:ascii="Arial" w:eastAsia="inter" w:hAnsi="Arial" w:cs="Arial"/>
          <w:i/>
          <w:color w:val="000000"/>
        </w:rPr>
        <w:t>Colocasia esculenta</w:t>
      </w:r>
      <w:r w:rsidRPr="00286044">
        <w:rPr>
          <w:rFonts w:ascii="Arial" w:eastAsia="inter" w:hAnsi="Arial" w:cs="Arial"/>
          <w:color w:val="000000"/>
        </w:rPr>
        <w:t xml:space="preserve"> L. Schott) and pigeon pea (</w:t>
      </w:r>
      <w:r w:rsidRPr="00286044">
        <w:rPr>
          <w:rFonts w:ascii="Arial" w:eastAsia="inter" w:hAnsi="Arial" w:cs="Arial"/>
          <w:i/>
          <w:color w:val="000000"/>
        </w:rPr>
        <w:t>Cajanus cajan</w:t>
      </w:r>
      <w:r w:rsidRPr="00286044">
        <w:rPr>
          <w:rFonts w:ascii="Arial" w:eastAsia="inter" w:hAnsi="Arial" w:cs="Arial"/>
          <w:color w:val="000000"/>
        </w:rPr>
        <w:t xml:space="preserve"> L. Huth). </w:t>
      </w:r>
      <w:r w:rsidRPr="00286044">
        <w:rPr>
          <w:rFonts w:ascii="Arial" w:eastAsia="inter" w:hAnsi="Arial" w:cs="Arial"/>
          <w:i/>
          <w:color w:val="000000"/>
        </w:rPr>
        <w:t>American Journal of Food and Nutrition, 13</w:t>
      </w:r>
      <w:r w:rsidRPr="00286044">
        <w:rPr>
          <w:rFonts w:ascii="Arial" w:eastAsia="inter" w:hAnsi="Arial" w:cs="Arial"/>
          <w:color w:val="000000"/>
        </w:rPr>
        <w:t xml:space="preserve">(3), 82–87. </w:t>
      </w:r>
      <w:hyperlink r:id="rId35">
        <w:r w:rsidRPr="00286044">
          <w:rPr>
            <w:rFonts w:ascii="Arial" w:eastAsia="inter" w:hAnsi="Arial" w:cs="Arial"/>
            <w:u w:val="single"/>
          </w:rPr>
          <w:t>https://doi.org/10.12691/ajfn-13-3-1</w:t>
        </w:r>
        <w:r>
          <w:rPr>
            <w:rFonts w:ascii="Arial" w:eastAsia="inter" w:hAnsi="Arial" w:cs="Arial"/>
            <w:u w:val="single"/>
          </w:rPr>
          <w:t xml:space="preserve"> </w:t>
        </w:r>
      </w:hyperlink>
    </w:p>
    <w:p w14:paraId="5A7F12D9"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Pal, D., Mishra, P., Sachan, N., &amp; Ghosh, A. K. (2011). Biological activities and medicinal properties of </w:t>
      </w:r>
      <w:r w:rsidRPr="00286044">
        <w:rPr>
          <w:rFonts w:ascii="Arial" w:eastAsia="inter" w:hAnsi="Arial" w:cs="Arial"/>
          <w:i/>
          <w:color w:val="000000"/>
        </w:rPr>
        <w:t>Cajanus cajan</w:t>
      </w:r>
      <w:r w:rsidRPr="00286044">
        <w:rPr>
          <w:rFonts w:ascii="Arial" w:eastAsia="inter" w:hAnsi="Arial" w:cs="Arial"/>
          <w:color w:val="000000"/>
        </w:rPr>
        <w:t xml:space="preserve"> (L.) Millsp. </w:t>
      </w:r>
      <w:r w:rsidRPr="00286044">
        <w:rPr>
          <w:rFonts w:ascii="Arial" w:eastAsia="inter" w:hAnsi="Arial" w:cs="Arial"/>
          <w:i/>
          <w:color w:val="000000"/>
        </w:rPr>
        <w:t>Journal of Advanced Pharmaceutical Technology &amp; Research, 2</w:t>
      </w:r>
      <w:r w:rsidRPr="00286044">
        <w:rPr>
          <w:rFonts w:ascii="Arial" w:eastAsia="inter" w:hAnsi="Arial" w:cs="Arial"/>
          <w:color w:val="000000"/>
        </w:rPr>
        <w:t xml:space="preserve">(4), 207–214. </w:t>
      </w:r>
      <w:hyperlink r:id="rId36">
        <w:r w:rsidRPr="00286044">
          <w:rPr>
            <w:rFonts w:ascii="Arial" w:eastAsia="inter" w:hAnsi="Arial" w:cs="Arial"/>
            <w:u w:val="single"/>
          </w:rPr>
          <w:t>https://doi.org/10.4103/2231-4040.90874</w:t>
        </w:r>
        <w:r>
          <w:rPr>
            <w:rFonts w:ascii="Arial" w:eastAsia="inter" w:hAnsi="Arial" w:cs="Arial"/>
            <w:u w:val="single"/>
          </w:rPr>
          <w:t xml:space="preserve"> </w:t>
        </w:r>
      </w:hyperlink>
    </w:p>
    <w:p w14:paraId="5802EE84"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Pearson, D. (1976). </w:t>
      </w:r>
      <w:r w:rsidRPr="00286044">
        <w:rPr>
          <w:rFonts w:ascii="Arial" w:eastAsia="inter" w:hAnsi="Arial" w:cs="Arial"/>
          <w:i/>
          <w:color w:val="000000"/>
        </w:rPr>
        <w:t>The chemical analysis of foods</w:t>
      </w:r>
      <w:r w:rsidRPr="00286044">
        <w:rPr>
          <w:rFonts w:ascii="Arial" w:eastAsia="inter" w:hAnsi="Arial" w:cs="Arial"/>
          <w:color w:val="000000"/>
        </w:rPr>
        <w:t xml:space="preserve"> (7th ed.). Churchill Livingstone.</w:t>
      </w:r>
      <w:r>
        <w:rPr>
          <w:rFonts w:ascii="Arial" w:eastAsia="inter" w:hAnsi="Arial" w:cs="Arial"/>
          <w:color w:val="000000"/>
        </w:rPr>
        <w:t xml:space="preserve"> </w:t>
      </w:r>
    </w:p>
    <w:p w14:paraId="03851613"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Popkin, B. M., Corvalan, C., &amp; Grummer-Strawn, L. M. (2020). Dynamics of the double burden of malnutrition and the changing nutrition reality. </w:t>
      </w:r>
      <w:r w:rsidRPr="00286044">
        <w:rPr>
          <w:rFonts w:ascii="Arial" w:eastAsia="inter" w:hAnsi="Arial" w:cs="Arial"/>
          <w:i/>
          <w:color w:val="000000"/>
        </w:rPr>
        <w:t>The Lancet, 395</w:t>
      </w:r>
      <w:r w:rsidRPr="00286044">
        <w:rPr>
          <w:rFonts w:ascii="Arial" w:eastAsia="inter" w:hAnsi="Arial" w:cs="Arial"/>
          <w:color w:val="000000"/>
        </w:rPr>
        <w:t xml:space="preserve">(10217), 65–74. </w:t>
      </w:r>
      <w:hyperlink r:id="rId37">
        <w:r w:rsidRPr="00286044">
          <w:rPr>
            <w:rFonts w:ascii="Arial" w:eastAsia="inter" w:hAnsi="Arial" w:cs="Arial"/>
            <w:u w:val="single"/>
          </w:rPr>
          <w:t>https://doi.org/10.1016/S0140-6736(19)32497-3</w:t>
        </w:r>
        <w:r>
          <w:rPr>
            <w:rFonts w:ascii="Arial" w:eastAsia="inter" w:hAnsi="Arial" w:cs="Arial"/>
            <w:u w:val="single"/>
          </w:rPr>
          <w:t xml:space="preserve"> </w:t>
        </w:r>
      </w:hyperlink>
    </w:p>
    <w:p w14:paraId="23AC7B65"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Shankar, A. H., &amp; Prasad, A. S. (1998). Zinc and immune function: The biological basis of altered resistance to infection. </w:t>
      </w:r>
      <w:r w:rsidRPr="00286044">
        <w:rPr>
          <w:rFonts w:ascii="Arial" w:eastAsia="inter" w:hAnsi="Arial" w:cs="Arial"/>
          <w:i/>
          <w:color w:val="000000"/>
        </w:rPr>
        <w:t>American Journal of Clinical Nutrition, 68</w:t>
      </w:r>
      <w:r w:rsidRPr="00286044">
        <w:rPr>
          <w:rFonts w:ascii="Arial" w:eastAsia="inter" w:hAnsi="Arial" w:cs="Arial"/>
          <w:color w:val="000000"/>
        </w:rPr>
        <w:t xml:space="preserve">(2 Suppl.), 447S–463S. </w:t>
      </w:r>
      <w:hyperlink r:id="rId38">
        <w:r w:rsidRPr="00286044">
          <w:rPr>
            <w:rFonts w:ascii="Arial" w:eastAsia="inter" w:hAnsi="Arial" w:cs="Arial"/>
            <w:u w:val="single"/>
          </w:rPr>
          <w:t>https://doi.org/10.1093/ajcn/68.2.447S</w:t>
        </w:r>
        <w:r>
          <w:rPr>
            <w:rFonts w:ascii="Arial" w:eastAsia="inter" w:hAnsi="Arial" w:cs="Arial"/>
            <w:u w:val="single"/>
          </w:rPr>
          <w:t xml:space="preserve"> </w:t>
        </w:r>
      </w:hyperlink>
    </w:p>
    <w:p w14:paraId="2B0696C7"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Singh, J., Gargi, B., Semwal, P., Jameel, S., Singh, P., Painuli, S., Thapliyal, A., &amp; Cruz-Martins, N. (2022). Revisiting the nutritional, chemical and biological potential of </w:t>
      </w:r>
      <w:r w:rsidRPr="00286044">
        <w:rPr>
          <w:rFonts w:ascii="Arial" w:eastAsia="inter" w:hAnsi="Arial" w:cs="Arial"/>
          <w:i/>
          <w:color w:val="000000"/>
        </w:rPr>
        <w:t>Cajanus cajan</w:t>
      </w:r>
      <w:r w:rsidRPr="00286044">
        <w:rPr>
          <w:rFonts w:ascii="Arial" w:eastAsia="inter" w:hAnsi="Arial" w:cs="Arial"/>
          <w:color w:val="000000"/>
        </w:rPr>
        <w:t xml:space="preserve"> (L.) Millsp. </w:t>
      </w:r>
      <w:r w:rsidRPr="00286044">
        <w:rPr>
          <w:rFonts w:ascii="Arial" w:eastAsia="inter" w:hAnsi="Arial" w:cs="Arial"/>
          <w:i/>
          <w:color w:val="000000"/>
        </w:rPr>
        <w:t>Molecules, 27</w:t>
      </w:r>
      <w:r w:rsidRPr="00286044">
        <w:rPr>
          <w:rFonts w:ascii="Arial" w:eastAsia="inter" w:hAnsi="Arial" w:cs="Arial"/>
          <w:color w:val="000000"/>
        </w:rPr>
        <w:t xml:space="preserve">(20), 6877. </w:t>
      </w:r>
      <w:hyperlink r:id="rId39">
        <w:r w:rsidRPr="00286044">
          <w:rPr>
            <w:rFonts w:ascii="Arial" w:eastAsia="inter" w:hAnsi="Arial" w:cs="Arial"/>
            <w:u w:val="single"/>
          </w:rPr>
          <w:t>https://doi.org/10.3390/molecules27206877</w:t>
        </w:r>
        <w:r>
          <w:rPr>
            <w:rFonts w:ascii="Arial" w:eastAsia="inter" w:hAnsi="Arial" w:cs="Arial"/>
            <w:u w:val="single"/>
          </w:rPr>
          <w:t xml:space="preserve"> </w:t>
        </w:r>
      </w:hyperlink>
    </w:p>
    <w:p w14:paraId="36D315E7"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Van der Maesen, L. J. G. (2006). </w:t>
      </w:r>
      <w:r w:rsidRPr="00286044">
        <w:rPr>
          <w:rFonts w:ascii="Arial" w:eastAsia="inter" w:hAnsi="Arial" w:cs="Arial"/>
          <w:i/>
          <w:color w:val="000000"/>
        </w:rPr>
        <w:t>Cajanus cajan</w:t>
      </w:r>
      <w:r w:rsidRPr="00286044">
        <w:rPr>
          <w:rFonts w:ascii="Arial" w:eastAsia="inter" w:hAnsi="Arial" w:cs="Arial"/>
          <w:color w:val="000000"/>
        </w:rPr>
        <w:t xml:space="preserve"> (L.) Millsp. In M. Brink &amp; G. Belay (Eds.), </w:t>
      </w:r>
      <w:r w:rsidRPr="00286044">
        <w:rPr>
          <w:rFonts w:ascii="Arial" w:eastAsia="inter" w:hAnsi="Arial" w:cs="Arial"/>
          <w:i/>
          <w:color w:val="000000"/>
        </w:rPr>
        <w:t>Plant resources of tropical Africa 1: Cereals and pulses</w:t>
      </w:r>
      <w:r w:rsidRPr="00286044">
        <w:rPr>
          <w:rFonts w:ascii="Arial" w:eastAsia="inter" w:hAnsi="Arial" w:cs="Arial"/>
          <w:color w:val="000000"/>
        </w:rPr>
        <w:t xml:space="preserve"> (pp. 102–106). PROTA Foundation.</w:t>
      </w:r>
      <w:r>
        <w:rPr>
          <w:rFonts w:ascii="Arial" w:eastAsia="inter" w:hAnsi="Arial" w:cs="Arial"/>
          <w:color w:val="000000"/>
        </w:rPr>
        <w:t xml:space="preserve"> </w:t>
      </w:r>
    </w:p>
    <w:p w14:paraId="5AFC0EF1"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World Health Organization. (2012). </w:t>
      </w:r>
      <w:r w:rsidRPr="00286044">
        <w:rPr>
          <w:rFonts w:ascii="Arial" w:eastAsia="inter" w:hAnsi="Arial" w:cs="Arial"/>
          <w:i/>
          <w:color w:val="000000"/>
        </w:rPr>
        <w:t>Guideline: Potassium intake for adults and children</w:t>
      </w:r>
      <w:r w:rsidRPr="00286044">
        <w:rPr>
          <w:rFonts w:ascii="Arial" w:eastAsia="inter" w:hAnsi="Arial" w:cs="Arial"/>
          <w:color w:val="000000"/>
        </w:rPr>
        <w:t>. WHO.</w:t>
      </w:r>
      <w:r>
        <w:rPr>
          <w:rFonts w:ascii="Arial" w:eastAsia="inter" w:hAnsi="Arial" w:cs="Arial"/>
          <w:color w:val="000000"/>
        </w:rPr>
        <w:t xml:space="preserve"> </w:t>
      </w:r>
    </w:p>
    <w:p w14:paraId="12D60D18" w14:textId="77777777" w:rsidR="00D33EF6" w:rsidRPr="00286044" w:rsidRDefault="00D33EF6" w:rsidP="00D33EF6">
      <w:pPr>
        <w:spacing w:before="105" w:after="105" w:line="360" w:lineRule="auto"/>
        <w:ind w:left="567" w:hanging="567"/>
        <w:jc w:val="both"/>
        <w:rPr>
          <w:rFonts w:ascii="Arial" w:hAnsi="Arial" w:cs="Arial"/>
        </w:rPr>
      </w:pPr>
      <w:r w:rsidRPr="00286044">
        <w:rPr>
          <w:rFonts w:ascii="Arial" w:eastAsia="inter" w:hAnsi="Arial" w:cs="Arial"/>
          <w:color w:val="000000"/>
        </w:rPr>
        <w:t xml:space="preserve">Yang, G.-H., Yang, L.-T., Jiang, H.-X, Li, Y., Wang, P., &amp; Chen, L.-S. (2012). Physiological impacts of magnesium-deficiency in citrus seedlings: Photosynthesis, antioxidant system and carbohydrates. </w:t>
      </w:r>
      <w:r w:rsidRPr="00286044">
        <w:rPr>
          <w:rFonts w:ascii="Arial" w:eastAsia="inter" w:hAnsi="Arial" w:cs="Arial"/>
          <w:i/>
          <w:color w:val="000000"/>
        </w:rPr>
        <w:t>Trees, 26</w:t>
      </w:r>
      <w:r w:rsidRPr="00286044">
        <w:rPr>
          <w:rFonts w:ascii="Arial" w:eastAsia="inter" w:hAnsi="Arial" w:cs="Arial"/>
          <w:color w:val="000000"/>
        </w:rPr>
        <w:t xml:space="preserve">(4), 1237–1250. </w:t>
      </w:r>
      <w:r w:rsidRPr="00286044">
        <w:rPr>
          <w:rFonts w:ascii="Arial" w:eastAsia="inter" w:hAnsi="Arial" w:cs="Arial"/>
          <w:u w:val="single"/>
        </w:rPr>
        <w:t>https://doi.org/10.1007/s00468-012-0699-2</w:t>
      </w:r>
      <w:r>
        <w:rPr>
          <w:rFonts w:ascii="Arial" w:eastAsia="inter" w:hAnsi="Arial" w:cs="Arial"/>
          <w:u w:val="single"/>
        </w:rPr>
        <w:t xml:space="preserve"> </w:t>
      </w:r>
    </w:p>
    <w:p w14:paraId="38C10785" w14:textId="77777777" w:rsidR="00D33EF6" w:rsidRDefault="00D33EF6" w:rsidP="00D33EF6">
      <w:pPr>
        <w:spacing w:before="105" w:after="105" w:line="360" w:lineRule="auto"/>
        <w:ind w:left="567" w:hanging="567"/>
        <w:jc w:val="both"/>
        <w:rPr>
          <w:rFonts w:ascii="Arial" w:eastAsia="inter" w:hAnsi="Arial" w:cs="Arial"/>
          <w:u w:val="single"/>
        </w:rPr>
      </w:pPr>
      <w:r w:rsidRPr="00286044">
        <w:rPr>
          <w:rFonts w:ascii="Arial" w:eastAsia="inter" w:hAnsi="Arial" w:cs="Arial"/>
          <w:color w:val="000000"/>
        </w:rPr>
        <w:t xml:space="preserve">Yang, S. E., Vo, T. L. T., Chen, C. L., Yang, N. C., Chen, C. I., &amp; Song, T. Y. (2020). Nutritional composition, bioactive compounds and functional evaluation of various parts of </w:t>
      </w:r>
      <w:r w:rsidRPr="00286044">
        <w:rPr>
          <w:rFonts w:ascii="Arial" w:eastAsia="inter" w:hAnsi="Arial" w:cs="Arial"/>
          <w:i/>
          <w:color w:val="000000"/>
        </w:rPr>
        <w:t>Cajanus cajan</w:t>
      </w:r>
      <w:r w:rsidRPr="00286044">
        <w:rPr>
          <w:rFonts w:ascii="Arial" w:eastAsia="inter" w:hAnsi="Arial" w:cs="Arial"/>
          <w:color w:val="000000"/>
        </w:rPr>
        <w:t xml:space="preserve"> (L.) Millsp. </w:t>
      </w:r>
      <w:r w:rsidRPr="00286044">
        <w:rPr>
          <w:rFonts w:ascii="Arial" w:eastAsia="inter" w:hAnsi="Arial" w:cs="Arial"/>
          <w:i/>
          <w:color w:val="000000"/>
        </w:rPr>
        <w:t>Agriculture, 10</w:t>
      </w:r>
      <w:r w:rsidRPr="00286044">
        <w:rPr>
          <w:rFonts w:ascii="Arial" w:eastAsia="inter" w:hAnsi="Arial" w:cs="Arial"/>
          <w:color w:val="000000"/>
        </w:rPr>
        <w:t xml:space="preserve">(11), 558. </w:t>
      </w:r>
      <w:hyperlink r:id="rId40">
        <w:r w:rsidRPr="00286044">
          <w:rPr>
            <w:rFonts w:ascii="Arial" w:eastAsia="inter" w:hAnsi="Arial" w:cs="Arial"/>
            <w:u w:val="single"/>
          </w:rPr>
          <w:t>https://doi.org/10.3390/agriculture10110558</w:t>
        </w:r>
        <w:r>
          <w:rPr>
            <w:rFonts w:ascii="Arial" w:eastAsia="inter" w:hAnsi="Arial" w:cs="Arial"/>
            <w:u w:val="single"/>
          </w:rPr>
          <w:t xml:space="preserve"> </w:t>
        </w:r>
      </w:hyperlink>
    </w:p>
    <w:p w14:paraId="604A3CD3" w14:textId="77777777" w:rsidR="00D33EF6" w:rsidRDefault="00D33EF6" w:rsidP="00D33EF6">
      <w:pPr>
        <w:spacing w:before="105" w:after="105" w:line="360" w:lineRule="auto"/>
        <w:ind w:left="567" w:hanging="567"/>
        <w:jc w:val="both"/>
        <w:rPr>
          <w:rFonts w:ascii="Arial" w:hAnsi="Arial" w:cs="Arial"/>
          <w:color w:val="222222"/>
          <w:shd w:val="clear" w:color="auto" w:fill="FFFFFF"/>
        </w:rPr>
      </w:pPr>
      <w:r>
        <w:rPr>
          <w:rFonts w:ascii="Arial" w:hAnsi="Arial" w:cs="Arial"/>
          <w:color w:val="222222"/>
          <w:shd w:val="clear" w:color="auto" w:fill="FFFFFF"/>
        </w:rPr>
        <w:t>Palanga, K. K., Bawa, A., Modom, B. E., Tchabana, B., Akabassi, G. C., Dicko, A., &amp; Tozo, K. (2025). Utilization and Producers’ Knowledge of Pigeon Pea (Cajanus cajan (L.) Millsp.) in Togo (West Africa) Pigeon Pea (Cajanus cajan) in Togo. </w:t>
      </w:r>
      <w:r>
        <w:rPr>
          <w:rFonts w:ascii="Arial" w:hAnsi="Arial" w:cs="Arial"/>
          <w:i/>
          <w:iCs/>
          <w:color w:val="222222"/>
          <w:shd w:val="clear" w:color="auto" w:fill="FFFFFF"/>
        </w:rPr>
        <w:t>Economic Botany</w:t>
      </w:r>
      <w:r>
        <w:rPr>
          <w:rFonts w:ascii="Arial" w:hAnsi="Arial" w:cs="Arial"/>
          <w:color w:val="222222"/>
          <w:shd w:val="clear" w:color="auto" w:fill="FFFFFF"/>
        </w:rPr>
        <w:t>, </w:t>
      </w:r>
      <w:r>
        <w:rPr>
          <w:rFonts w:ascii="Arial" w:hAnsi="Arial" w:cs="Arial"/>
          <w:i/>
          <w:iCs/>
          <w:color w:val="222222"/>
          <w:shd w:val="clear" w:color="auto" w:fill="FFFFFF"/>
        </w:rPr>
        <w:t>79</w:t>
      </w:r>
      <w:r>
        <w:rPr>
          <w:rFonts w:ascii="Arial" w:hAnsi="Arial" w:cs="Arial"/>
          <w:color w:val="222222"/>
          <w:shd w:val="clear" w:color="auto" w:fill="FFFFFF"/>
        </w:rPr>
        <w:t>(3), 324-341.</w:t>
      </w:r>
    </w:p>
    <w:p w14:paraId="1B0C5DBF" w14:textId="77777777" w:rsidR="00D33EF6" w:rsidRDefault="00D33EF6" w:rsidP="00D33EF6">
      <w:pPr>
        <w:spacing w:before="105" w:after="105" w:line="360" w:lineRule="auto"/>
        <w:ind w:left="567" w:hanging="567"/>
        <w:jc w:val="both"/>
        <w:rPr>
          <w:rFonts w:ascii="Arial" w:hAnsi="Arial" w:cs="Arial"/>
          <w:color w:val="222222"/>
          <w:shd w:val="clear" w:color="auto" w:fill="FFFFFF"/>
        </w:rPr>
      </w:pPr>
    </w:p>
    <w:p w14:paraId="44751BDD" w14:textId="77777777" w:rsidR="00D33EF6" w:rsidRDefault="00D33EF6" w:rsidP="00D33EF6">
      <w:pPr>
        <w:spacing w:before="105" w:after="105" w:line="360" w:lineRule="auto"/>
        <w:ind w:left="567" w:hanging="567"/>
        <w:jc w:val="both"/>
        <w:rPr>
          <w:rFonts w:ascii="Arial" w:hAnsi="Arial" w:cs="Arial"/>
          <w:color w:val="222222"/>
          <w:shd w:val="clear" w:color="auto" w:fill="FFFFFF"/>
        </w:rPr>
      </w:pPr>
      <w:r>
        <w:rPr>
          <w:rFonts w:ascii="Arial" w:hAnsi="Arial" w:cs="Arial"/>
          <w:color w:val="222222"/>
          <w:shd w:val="clear" w:color="auto" w:fill="FFFFFF"/>
        </w:rPr>
        <w:t>Haji, A., Teka, T. A., Yirga Bereka, T., Negasa Andersa, K., Desalegn Nekera, K., Geleta Abdi, G., ... &amp; Makiso Urugo, M. (2024). Nutritional Composition, Bioactive Compounds, Food Applications, and Health Benefits of Pigeon Pea (Cajanus cajan L. Millsp.): A Review. </w:t>
      </w:r>
      <w:r>
        <w:rPr>
          <w:rFonts w:ascii="Arial" w:hAnsi="Arial" w:cs="Arial"/>
          <w:i/>
          <w:iCs/>
          <w:color w:val="222222"/>
          <w:shd w:val="clear" w:color="auto" w:fill="FFFFFF"/>
        </w:rPr>
        <w:t>Legume Science</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(2), e233. </w:t>
      </w:r>
      <w:hyperlink r:id="rId41" w:history="1">
        <w:r w:rsidRPr="00DA275C">
          <w:rPr>
            <w:rStyle w:val="Hyperlink"/>
            <w:rFonts w:ascii="Arial" w:hAnsi="Arial" w:cs="Arial"/>
            <w:shd w:val="clear" w:color="auto" w:fill="FFFFFF"/>
          </w:rPr>
          <w:t>https://doi.org/10.1002/leg3.233</w:t>
        </w:r>
      </w:hyperlink>
      <w:r>
        <w:rPr>
          <w:rFonts w:ascii="Arial" w:hAnsi="Arial" w:cs="Arial"/>
          <w:color w:val="222222"/>
          <w:shd w:val="clear" w:color="auto" w:fill="FFFFFF"/>
        </w:rPr>
        <w:t xml:space="preserve"> </w:t>
      </w:r>
    </w:p>
    <w:p w14:paraId="5BBABEF5" w14:textId="77777777" w:rsidR="00D33EF6" w:rsidRDefault="00D33EF6" w:rsidP="00D33EF6">
      <w:pPr>
        <w:spacing w:before="105" w:after="105" w:line="360" w:lineRule="auto"/>
        <w:ind w:left="567" w:hanging="567"/>
        <w:jc w:val="both"/>
        <w:rPr>
          <w:rFonts w:ascii="Arial" w:hAnsi="Arial" w:cs="Arial"/>
          <w:color w:val="222222"/>
          <w:shd w:val="clear" w:color="auto" w:fill="FFFFFF"/>
        </w:rPr>
      </w:pPr>
      <w:r>
        <w:rPr>
          <w:rFonts w:ascii="Arial" w:hAnsi="Arial" w:cs="Arial"/>
          <w:color w:val="222222"/>
          <w:shd w:val="clear" w:color="auto" w:fill="FFFFFF"/>
        </w:rPr>
        <w:br/>
        <w:t>Monrroy, M., &amp; García, J. R. (2025). Phytochemical Characterization and Antioxidant Activity of Cajanus cajan Leaf Extracts for Nutraceutical Applications. </w:t>
      </w:r>
      <w:r>
        <w:rPr>
          <w:rFonts w:ascii="Arial" w:hAnsi="Arial" w:cs="Arial"/>
          <w:i/>
          <w:iCs/>
          <w:color w:val="222222"/>
          <w:shd w:val="clear" w:color="auto" w:fill="FFFFFF"/>
        </w:rPr>
        <w:t>Molecules</w:t>
      </w:r>
      <w:r>
        <w:rPr>
          <w:rFonts w:ascii="Arial" w:hAnsi="Arial" w:cs="Arial"/>
          <w:color w:val="222222"/>
          <w:shd w:val="clear" w:color="auto" w:fill="FFFFFF"/>
        </w:rPr>
        <w:t>, </w:t>
      </w:r>
      <w:r>
        <w:rPr>
          <w:rFonts w:ascii="Arial" w:hAnsi="Arial" w:cs="Arial"/>
          <w:i/>
          <w:iCs/>
          <w:color w:val="222222"/>
          <w:shd w:val="clear" w:color="auto" w:fill="FFFFFF"/>
        </w:rPr>
        <w:t>30</w:t>
      </w:r>
      <w:r>
        <w:rPr>
          <w:rFonts w:ascii="Arial" w:hAnsi="Arial" w:cs="Arial"/>
          <w:color w:val="222222"/>
          <w:shd w:val="clear" w:color="auto" w:fill="FFFFFF"/>
        </w:rPr>
        <w:t xml:space="preserve">(8), 1773. </w:t>
      </w:r>
      <w:hyperlink r:id="rId42" w:history="1">
        <w:r w:rsidRPr="00DA275C">
          <w:rPr>
            <w:rStyle w:val="Hyperlink"/>
            <w:rFonts w:ascii="Arial" w:hAnsi="Arial" w:cs="Arial"/>
            <w:shd w:val="clear" w:color="auto" w:fill="FFFFFF"/>
          </w:rPr>
          <w:t>https://doi.org/10.3390/molecules30081773</w:t>
        </w:r>
      </w:hyperlink>
      <w:r>
        <w:rPr>
          <w:rFonts w:ascii="Arial" w:hAnsi="Arial" w:cs="Arial"/>
          <w:color w:val="222222"/>
          <w:shd w:val="clear" w:color="auto" w:fill="FFFFFF"/>
        </w:rPr>
        <w:t xml:space="preserve"> </w:t>
      </w:r>
    </w:p>
    <w:p w14:paraId="263C9665" w14:textId="77777777" w:rsidR="00D33EF6" w:rsidRDefault="00D33EF6" w:rsidP="00D33EF6">
      <w:pPr>
        <w:spacing w:before="105" w:after="105" w:line="360" w:lineRule="auto"/>
        <w:ind w:left="567" w:hanging="567"/>
        <w:jc w:val="both"/>
        <w:rPr>
          <w:rFonts w:ascii="Arial" w:hAnsi="Arial" w:cs="Arial"/>
          <w:color w:val="222222"/>
          <w:shd w:val="clear" w:color="auto" w:fill="FFFFFF"/>
        </w:rPr>
      </w:pPr>
    </w:p>
    <w:p w14:paraId="7D626EEA" w14:textId="77777777" w:rsidR="00D33EF6" w:rsidRDefault="00D33EF6" w:rsidP="00D33EF6">
      <w:pPr>
        <w:spacing w:before="105" w:after="105" w:line="360" w:lineRule="auto"/>
        <w:ind w:left="567" w:hanging="567"/>
        <w:jc w:val="both"/>
        <w:rPr>
          <w:rFonts w:ascii="Arial" w:hAnsi="Arial" w:cs="Arial"/>
          <w:color w:val="222222"/>
          <w:shd w:val="clear" w:color="auto" w:fill="FFFFFF"/>
        </w:rPr>
      </w:pPr>
      <w:r>
        <w:rPr>
          <w:rFonts w:ascii="Arial" w:hAnsi="Arial" w:cs="Arial"/>
          <w:color w:val="222222"/>
          <w:shd w:val="clear" w:color="auto" w:fill="FFFFFF"/>
        </w:rPr>
        <w:lastRenderedPageBreak/>
        <w:t>Locali-Pereira, A. R., Boire, A., Berton-Carabin, C., Taboga, S. R., Solé-Jamault, V., &amp; Nicoletti, V. R. (2023). Pigeon Pea, an emerging source of plant-based proteins. </w:t>
      </w:r>
      <w:r>
        <w:rPr>
          <w:rFonts w:ascii="Arial" w:hAnsi="Arial" w:cs="Arial"/>
          <w:i/>
          <w:iCs/>
          <w:color w:val="222222"/>
          <w:shd w:val="clear" w:color="auto" w:fill="FFFFFF"/>
        </w:rPr>
        <w:t>ACS Food Science &amp; Technology</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(11), 1777-1799 </w:t>
      </w:r>
      <w:hyperlink r:id="rId43" w:history="1">
        <w:r w:rsidRPr="00DA275C">
          <w:rPr>
            <w:rStyle w:val="Hyperlink"/>
            <w:rFonts w:ascii="Arial" w:hAnsi="Arial" w:cs="Arial"/>
            <w:shd w:val="clear" w:color="auto" w:fill="FFFFFF"/>
          </w:rPr>
          <w:t>https://doi.org/10.1021/acsfoodscitech.3c00268</w:t>
        </w:r>
      </w:hyperlink>
      <w:r>
        <w:rPr>
          <w:rFonts w:ascii="Arial" w:hAnsi="Arial" w:cs="Arial"/>
          <w:color w:val="222222"/>
          <w:shd w:val="clear" w:color="auto" w:fill="FFFFFF"/>
        </w:rPr>
        <w:t xml:space="preserve"> .</w:t>
      </w:r>
      <w:r>
        <w:rPr>
          <w:rFonts w:ascii="Arial" w:hAnsi="Arial" w:cs="Arial"/>
          <w:color w:val="222222"/>
          <w:shd w:val="clear" w:color="auto" w:fill="FFFFFF"/>
        </w:rPr>
        <w:br/>
      </w:r>
      <w:r>
        <w:rPr>
          <w:rFonts w:ascii="Arial" w:hAnsi="Arial" w:cs="Arial"/>
          <w:color w:val="222222"/>
          <w:shd w:val="clear" w:color="auto" w:fill="FFFFFF"/>
        </w:rPr>
        <w:br/>
        <w:t>Kuraz Abebe, B. (2022). The dietary use of pigeon pea for human and animal diets. </w:t>
      </w:r>
      <w:r>
        <w:rPr>
          <w:rFonts w:ascii="Arial" w:hAnsi="Arial" w:cs="Arial"/>
          <w:i/>
          <w:iCs/>
          <w:color w:val="222222"/>
          <w:shd w:val="clear" w:color="auto" w:fill="FFFFFF"/>
        </w:rPr>
        <w:t>The Scientific World Journal</w:t>
      </w:r>
      <w:r>
        <w:rPr>
          <w:rFonts w:ascii="Arial" w:hAnsi="Arial" w:cs="Arial"/>
          <w:color w:val="222222"/>
          <w:shd w:val="clear" w:color="auto" w:fill="FFFFFF"/>
        </w:rPr>
        <w:t>, </w:t>
      </w:r>
      <w:r>
        <w:rPr>
          <w:rFonts w:ascii="Arial" w:hAnsi="Arial" w:cs="Arial"/>
          <w:i/>
          <w:iCs/>
          <w:color w:val="222222"/>
          <w:shd w:val="clear" w:color="auto" w:fill="FFFFFF"/>
        </w:rPr>
        <w:t>2022</w:t>
      </w:r>
      <w:r>
        <w:rPr>
          <w:rFonts w:ascii="Arial" w:hAnsi="Arial" w:cs="Arial"/>
          <w:color w:val="222222"/>
          <w:shd w:val="clear" w:color="auto" w:fill="FFFFFF"/>
        </w:rPr>
        <w:t xml:space="preserve">(1), 4873008.  </w:t>
      </w:r>
      <w:hyperlink r:id="rId44" w:history="1">
        <w:r w:rsidRPr="00DA275C">
          <w:rPr>
            <w:rStyle w:val="Hyperlink"/>
            <w:rFonts w:ascii="Arial" w:hAnsi="Arial" w:cs="Arial"/>
            <w:shd w:val="clear" w:color="auto" w:fill="FFFFFF"/>
          </w:rPr>
          <w:t>https://doi.org/10.1155/2022/4873008</w:t>
        </w:r>
      </w:hyperlink>
      <w:r>
        <w:rPr>
          <w:rFonts w:ascii="Arial" w:hAnsi="Arial" w:cs="Arial"/>
          <w:color w:val="222222"/>
          <w:shd w:val="clear" w:color="auto" w:fill="FFFFFF"/>
        </w:rPr>
        <w:t xml:space="preserve"> </w:t>
      </w:r>
    </w:p>
    <w:p w14:paraId="4445F920" w14:textId="77777777" w:rsidR="00D33EF6" w:rsidRPr="00286044" w:rsidRDefault="00D33EF6" w:rsidP="00D33EF6">
      <w:pPr>
        <w:spacing w:before="105" w:after="105" w:line="360" w:lineRule="auto"/>
        <w:ind w:left="567" w:hanging="567"/>
        <w:jc w:val="both"/>
        <w:rPr>
          <w:rFonts w:ascii="Arial" w:hAnsi="Arial" w:cs="Arial"/>
        </w:rPr>
      </w:pPr>
    </w:p>
    <w:p w14:paraId="5EC6213B" w14:textId="0F3ADBD5" w:rsidR="00B01FCD" w:rsidRPr="00FB3A86" w:rsidRDefault="00B01FCD" w:rsidP="00D33EF6">
      <w:pPr>
        <w:pStyle w:val="Body"/>
        <w:spacing w:before="240"/>
        <w:rPr>
          <w:rFonts w:ascii="Arial" w:hAnsi="Arial" w:cs="Arial"/>
          <w:b/>
        </w:rPr>
      </w:pPr>
      <w:bookmarkStart w:id="3" w:name="_GoBack"/>
      <w:bookmarkEnd w:id="3"/>
    </w:p>
    <w:sectPr w:rsidR="00B01FCD" w:rsidRPr="00FB3A86" w:rsidSect="00266B5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A3187" w14:textId="77777777" w:rsidR="005E7B44" w:rsidRDefault="005E7B44" w:rsidP="00C37E61">
      <w:r>
        <w:separator/>
      </w:r>
    </w:p>
  </w:endnote>
  <w:endnote w:type="continuationSeparator" w:id="0">
    <w:p w14:paraId="028DC4F2" w14:textId="77777777" w:rsidR="005E7B44" w:rsidRDefault="005E7B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451C9" w14:textId="77777777" w:rsidR="00266B5A" w:rsidRDefault="00266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85EB" w14:textId="77777777" w:rsidR="00266B5A" w:rsidRDefault="00266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48236" w14:textId="77777777" w:rsidR="009E048A" w:rsidRDefault="009E048A">
    <w:pPr>
      <w:pStyle w:val="Footer"/>
      <w:rPr>
        <w:rFonts w:ascii="Arial" w:hAnsi="Arial" w:cs="Arial"/>
        <w:sz w:val="16"/>
      </w:rPr>
    </w:pPr>
  </w:p>
  <w:p w14:paraId="37C4129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09A41C" w14:textId="77777777" w:rsidR="009E048A" w:rsidRDefault="009E048A">
    <w:pPr>
      <w:pStyle w:val="Footer"/>
      <w:rPr>
        <w:rFonts w:ascii="Arial" w:hAnsi="Arial" w:cs="Arial"/>
        <w:sz w:val="16"/>
      </w:rPr>
    </w:pPr>
  </w:p>
  <w:p w14:paraId="24E9B90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6D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B3042" w14:textId="77777777" w:rsidR="005E7B44" w:rsidRDefault="005E7B44" w:rsidP="00C37E61">
      <w:r>
        <w:separator/>
      </w:r>
    </w:p>
  </w:footnote>
  <w:footnote w:type="continuationSeparator" w:id="0">
    <w:p w14:paraId="53E79FC6" w14:textId="77777777" w:rsidR="005E7B44" w:rsidRDefault="005E7B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A10B5" w14:textId="1F0D2CFC" w:rsidR="00266B5A" w:rsidRDefault="005E7B44">
    <w:pPr>
      <w:pStyle w:val="Header"/>
    </w:pPr>
    <w:r>
      <w:rPr>
        <w:noProof/>
      </w:rPr>
      <w:pict w14:anchorId="047BD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9879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67D97" w14:textId="15A14136" w:rsidR="00266B5A" w:rsidRDefault="005E7B44">
    <w:pPr>
      <w:pStyle w:val="Header"/>
    </w:pPr>
    <w:r>
      <w:rPr>
        <w:noProof/>
      </w:rPr>
      <w:pict w14:anchorId="437FB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9879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F01D" w14:textId="1764F19F" w:rsidR="00296529" w:rsidRPr="00296529" w:rsidRDefault="005E7B44" w:rsidP="00296529">
    <w:pPr>
      <w:ind w:left="2160"/>
      <w:jc w:val="center"/>
      <w:rPr>
        <w:rFonts w:ascii="Times New Roman" w:eastAsia="Calibri" w:hAnsi="Times New Roman"/>
        <w:i/>
        <w:sz w:val="18"/>
        <w:szCs w:val="22"/>
      </w:rPr>
    </w:pPr>
    <w:r>
      <w:rPr>
        <w:noProof/>
      </w:rPr>
      <w:pict w14:anchorId="70AF7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9879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0E823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A6779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4675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214DC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B28AA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7D6E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1ACD7" w14:textId="68C080D6" w:rsidR="00266B5A" w:rsidRDefault="005E7B44">
    <w:pPr>
      <w:pStyle w:val="Header"/>
    </w:pPr>
    <w:r>
      <w:rPr>
        <w:noProof/>
      </w:rPr>
      <w:pict w14:anchorId="63F5D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9880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DF97B" w14:textId="3829FEB2" w:rsidR="00266B5A" w:rsidRDefault="005E7B44">
    <w:pPr>
      <w:pStyle w:val="Header"/>
    </w:pPr>
    <w:r>
      <w:rPr>
        <w:noProof/>
      </w:rPr>
      <w:pict w14:anchorId="316CD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9880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A788" w14:textId="5E1FEA38" w:rsidR="00266B5A" w:rsidRDefault="005E7B44">
    <w:pPr>
      <w:pStyle w:val="Header"/>
    </w:pPr>
    <w:r>
      <w:rPr>
        <w:noProof/>
      </w:rPr>
      <w:pict w14:anchorId="5CA5C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9879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BB6723"/>
    <w:multiLevelType w:val="hybridMultilevel"/>
    <w:tmpl w:val="7A6CE248"/>
    <w:lvl w:ilvl="0" w:tplc="88349F4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948A4"/>
    <w:multiLevelType w:val="hybridMultilevel"/>
    <w:tmpl w:val="13920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C82"/>
    <w:rsid w:val="00030174"/>
    <w:rsid w:val="0004579C"/>
    <w:rsid w:val="00056F19"/>
    <w:rsid w:val="00074386"/>
    <w:rsid w:val="000A47FA"/>
    <w:rsid w:val="000A65D3"/>
    <w:rsid w:val="000B1E33"/>
    <w:rsid w:val="000C1775"/>
    <w:rsid w:val="000D689F"/>
    <w:rsid w:val="000E0F1B"/>
    <w:rsid w:val="000E7B7B"/>
    <w:rsid w:val="000E7D62"/>
    <w:rsid w:val="00103357"/>
    <w:rsid w:val="00123C9F"/>
    <w:rsid w:val="00124C42"/>
    <w:rsid w:val="00126190"/>
    <w:rsid w:val="00130F17"/>
    <w:rsid w:val="001320BF"/>
    <w:rsid w:val="001509E4"/>
    <w:rsid w:val="00163BC4"/>
    <w:rsid w:val="0016409B"/>
    <w:rsid w:val="00191062"/>
    <w:rsid w:val="00192B72"/>
    <w:rsid w:val="001A29D8"/>
    <w:rsid w:val="001A3C49"/>
    <w:rsid w:val="001A5CAA"/>
    <w:rsid w:val="001B0427"/>
    <w:rsid w:val="001C3C74"/>
    <w:rsid w:val="001D3A51"/>
    <w:rsid w:val="001E10D2"/>
    <w:rsid w:val="001E25B4"/>
    <w:rsid w:val="001E44FE"/>
    <w:rsid w:val="001F5FBC"/>
    <w:rsid w:val="00200595"/>
    <w:rsid w:val="00204835"/>
    <w:rsid w:val="00210038"/>
    <w:rsid w:val="00231920"/>
    <w:rsid w:val="0023195C"/>
    <w:rsid w:val="0024282C"/>
    <w:rsid w:val="002460DC"/>
    <w:rsid w:val="00250985"/>
    <w:rsid w:val="002556F6"/>
    <w:rsid w:val="00266B5A"/>
    <w:rsid w:val="00277AB2"/>
    <w:rsid w:val="00283105"/>
    <w:rsid w:val="00284C4C"/>
    <w:rsid w:val="00287E68"/>
    <w:rsid w:val="00296529"/>
    <w:rsid w:val="002A4A6F"/>
    <w:rsid w:val="002B27FB"/>
    <w:rsid w:val="002B5363"/>
    <w:rsid w:val="002B685A"/>
    <w:rsid w:val="002B76D7"/>
    <w:rsid w:val="002C57D2"/>
    <w:rsid w:val="002E0D56"/>
    <w:rsid w:val="002F5D15"/>
    <w:rsid w:val="00315186"/>
    <w:rsid w:val="0033343E"/>
    <w:rsid w:val="003512C2"/>
    <w:rsid w:val="00371FB6"/>
    <w:rsid w:val="003763C1"/>
    <w:rsid w:val="00376BBE"/>
    <w:rsid w:val="0039224F"/>
    <w:rsid w:val="003A43A4"/>
    <w:rsid w:val="003A7E18"/>
    <w:rsid w:val="003C4C86"/>
    <w:rsid w:val="003C6258"/>
    <w:rsid w:val="003E2904"/>
    <w:rsid w:val="00401927"/>
    <w:rsid w:val="00401DDC"/>
    <w:rsid w:val="0041027F"/>
    <w:rsid w:val="00412475"/>
    <w:rsid w:val="00423789"/>
    <w:rsid w:val="00425AF5"/>
    <w:rsid w:val="00437A26"/>
    <w:rsid w:val="00440F43"/>
    <w:rsid w:val="00441B6F"/>
    <w:rsid w:val="00446221"/>
    <w:rsid w:val="00450E62"/>
    <w:rsid w:val="004539DB"/>
    <w:rsid w:val="00471A80"/>
    <w:rsid w:val="00476C8B"/>
    <w:rsid w:val="00483CC5"/>
    <w:rsid w:val="004D305E"/>
    <w:rsid w:val="004D4277"/>
    <w:rsid w:val="00502516"/>
    <w:rsid w:val="00505F06"/>
    <w:rsid w:val="00506828"/>
    <w:rsid w:val="00510C11"/>
    <w:rsid w:val="0053056E"/>
    <w:rsid w:val="00554FDA"/>
    <w:rsid w:val="005C784C"/>
    <w:rsid w:val="005D17F6"/>
    <w:rsid w:val="005E2915"/>
    <w:rsid w:val="005E5539"/>
    <w:rsid w:val="005E7B44"/>
    <w:rsid w:val="00602BF5"/>
    <w:rsid w:val="00617FDD"/>
    <w:rsid w:val="0062050B"/>
    <w:rsid w:val="00633614"/>
    <w:rsid w:val="00633F68"/>
    <w:rsid w:val="00636EB2"/>
    <w:rsid w:val="006375B8"/>
    <w:rsid w:val="0064279B"/>
    <w:rsid w:val="0066510A"/>
    <w:rsid w:val="006670CD"/>
    <w:rsid w:val="00673F9F"/>
    <w:rsid w:val="006753E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38C"/>
    <w:rsid w:val="00761D52"/>
    <w:rsid w:val="0077725D"/>
    <w:rsid w:val="0077749E"/>
    <w:rsid w:val="00790ADA"/>
    <w:rsid w:val="007963E1"/>
    <w:rsid w:val="007C7A43"/>
    <w:rsid w:val="007D2288"/>
    <w:rsid w:val="007E088F"/>
    <w:rsid w:val="007F7B32"/>
    <w:rsid w:val="00804BC2"/>
    <w:rsid w:val="00810C05"/>
    <w:rsid w:val="0081431A"/>
    <w:rsid w:val="0083216F"/>
    <w:rsid w:val="00860000"/>
    <w:rsid w:val="00863BD3"/>
    <w:rsid w:val="008641ED"/>
    <w:rsid w:val="00866D66"/>
    <w:rsid w:val="008671C6"/>
    <w:rsid w:val="00875803"/>
    <w:rsid w:val="008B459E"/>
    <w:rsid w:val="008E13AE"/>
    <w:rsid w:val="008E1506"/>
    <w:rsid w:val="008E710C"/>
    <w:rsid w:val="008F13DD"/>
    <w:rsid w:val="008F69D6"/>
    <w:rsid w:val="00902823"/>
    <w:rsid w:val="00915CA6"/>
    <w:rsid w:val="009200A1"/>
    <w:rsid w:val="00927834"/>
    <w:rsid w:val="009500A6"/>
    <w:rsid w:val="00957C18"/>
    <w:rsid w:val="009659BA"/>
    <w:rsid w:val="00983040"/>
    <w:rsid w:val="009A298D"/>
    <w:rsid w:val="009A395D"/>
    <w:rsid w:val="009B287A"/>
    <w:rsid w:val="009B3FB9"/>
    <w:rsid w:val="009C2465"/>
    <w:rsid w:val="009C5053"/>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DFF"/>
    <w:rsid w:val="00A94063"/>
    <w:rsid w:val="00AA6219"/>
    <w:rsid w:val="00AA74E0"/>
    <w:rsid w:val="00AB703F"/>
    <w:rsid w:val="00AC6BB8"/>
    <w:rsid w:val="00AD3276"/>
    <w:rsid w:val="00AE008F"/>
    <w:rsid w:val="00AF2AD7"/>
    <w:rsid w:val="00B01FCD"/>
    <w:rsid w:val="00B15316"/>
    <w:rsid w:val="00B1776C"/>
    <w:rsid w:val="00B32CC3"/>
    <w:rsid w:val="00B52583"/>
    <w:rsid w:val="00B52896"/>
    <w:rsid w:val="00B75915"/>
    <w:rsid w:val="00B768BB"/>
    <w:rsid w:val="00B82BB7"/>
    <w:rsid w:val="00B85E76"/>
    <w:rsid w:val="00B95236"/>
    <w:rsid w:val="00B96BD9"/>
    <w:rsid w:val="00BA1B01"/>
    <w:rsid w:val="00BA2641"/>
    <w:rsid w:val="00BB37AA"/>
    <w:rsid w:val="00BB7B92"/>
    <w:rsid w:val="00BC53A0"/>
    <w:rsid w:val="00BC71CC"/>
    <w:rsid w:val="00BE453C"/>
    <w:rsid w:val="00BE62AD"/>
    <w:rsid w:val="00BF121F"/>
    <w:rsid w:val="00BF1F80"/>
    <w:rsid w:val="00C166EF"/>
    <w:rsid w:val="00C17EB0"/>
    <w:rsid w:val="00C27F5F"/>
    <w:rsid w:val="00C30A0F"/>
    <w:rsid w:val="00C37E61"/>
    <w:rsid w:val="00C70F1B"/>
    <w:rsid w:val="00C71A47"/>
    <w:rsid w:val="00C7464C"/>
    <w:rsid w:val="00C75E4E"/>
    <w:rsid w:val="00C85588"/>
    <w:rsid w:val="00CD4E92"/>
    <w:rsid w:val="00CD6755"/>
    <w:rsid w:val="00CD6856"/>
    <w:rsid w:val="00CE0089"/>
    <w:rsid w:val="00CE793C"/>
    <w:rsid w:val="00CF193C"/>
    <w:rsid w:val="00CF25F8"/>
    <w:rsid w:val="00D12AE8"/>
    <w:rsid w:val="00D173F1"/>
    <w:rsid w:val="00D2391E"/>
    <w:rsid w:val="00D31613"/>
    <w:rsid w:val="00D33EF6"/>
    <w:rsid w:val="00D53E8A"/>
    <w:rsid w:val="00D602E7"/>
    <w:rsid w:val="00D608AD"/>
    <w:rsid w:val="00D65599"/>
    <w:rsid w:val="00D74CB0"/>
    <w:rsid w:val="00D8295D"/>
    <w:rsid w:val="00DA694B"/>
    <w:rsid w:val="00DB2E66"/>
    <w:rsid w:val="00DC2A65"/>
    <w:rsid w:val="00DC68FE"/>
    <w:rsid w:val="00DE15F0"/>
    <w:rsid w:val="00DE5663"/>
    <w:rsid w:val="00DE60F0"/>
    <w:rsid w:val="00DE78AA"/>
    <w:rsid w:val="00E053D0"/>
    <w:rsid w:val="00E15994"/>
    <w:rsid w:val="00E3114E"/>
    <w:rsid w:val="00E31A70"/>
    <w:rsid w:val="00E35B02"/>
    <w:rsid w:val="00E40985"/>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2E36"/>
    <w:rsid w:val="00F755E4"/>
    <w:rsid w:val="00F77D02"/>
    <w:rsid w:val="00F824A1"/>
    <w:rsid w:val="00FB1906"/>
    <w:rsid w:val="00FB3A86"/>
    <w:rsid w:val="00FD36C8"/>
    <w:rsid w:val="00FE5712"/>
    <w:rsid w:val="00F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BAE0F0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12A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AF2AD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D12AE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12AE8"/>
    <w:rPr>
      <w:rFonts w:ascii="Times New Roman" w:hAnsi="Times New Roman"/>
      <w:sz w:val="24"/>
      <w:szCs w:val="24"/>
    </w:rPr>
  </w:style>
  <w:style w:type="character" w:customStyle="1" w:styleId="Heading4Char">
    <w:name w:val="Heading 4 Char"/>
    <w:basedOn w:val="DefaultParagraphFont"/>
    <w:link w:val="Heading4"/>
    <w:semiHidden/>
    <w:rsid w:val="00AF2AD7"/>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AF2AD7"/>
    <w:rPr>
      <w:b/>
      <w:bCs/>
    </w:rPr>
  </w:style>
  <w:style w:type="character" w:customStyle="1" w:styleId="citation-3">
    <w:name w:val="citation-3"/>
    <w:basedOn w:val="DefaultParagraphFont"/>
    <w:rsid w:val="0064279B"/>
  </w:style>
  <w:style w:type="character" w:customStyle="1" w:styleId="math-inline">
    <w:name w:val="math-inline"/>
    <w:basedOn w:val="DefaultParagraphFont"/>
    <w:rsid w:val="002B5363"/>
  </w:style>
  <w:style w:type="paragraph" w:styleId="ListParagraph">
    <w:name w:val="List Paragraph"/>
    <w:basedOn w:val="Normal"/>
    <w:uiPriority w:val="34"/>
    <w:qFormat/>
    <w:rsid w:val="00D53E8A"/>
    <w:pPr>
      <w:ind w:left="720"/>
      <w:contextualSpacing/>
    </w:pPr>
  </w:style>
  <w:style w:type="character" w:customStyle="1" w:styleId="UnresolvedMention2">
    <w:name w:val="Unresolved Mention2"/>
    <w:basedOn w:val="DefaultParagraphFont"/>
    <w:uiPriority w:val="99"/>
    <w:semiHidden/>
    <w:unhideWhenUsed/>
    <w:rsid w:val="00810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106767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103283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4687740">
      <w:bodyDiv w:val="1"/>
      <w:marLeft w:val="0"/>
      <w:marRight w:val="0"/>
      <w:marTop w:val="0"/>
      <w:marBottom w:val="0"/>
      <w:divBdr>
        <w:top w:val="none" w:sz="0" w:space="0" w:color="auto"/>
        <w:left w:val="none" w:sz="0" w:space="0" w:color="auto"/>
        <w:bottom w:val="none" w:sz="0" w:space="0" w:color="auto"/>
        <w:right w:val="none" w:sz="0" w:space="0" w:color="auto"/>
      </w:divBdr>
    </w:div>
    <w:div w:id="91855889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28882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259247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7073661">
      <w:bodyDiv w:val="1"/>
      <w:marLeft w:val="0"/>
      <w:marRight w:val="0"/>
      <w:marTop w:val="0"/>
      <w:marBottom w:val="0"/>
      <w:divBdr>
        <w:top w:val="none" w:sz="0" w:space="0" w:color="auto"/>
        <w:left w:val="none" w:sz="0" w:space="0" w:color="auto"/>
        <w:bottom w:val="none" w:sz="0" w:space="0" w:color="auto"/>
        <w:right w:val="none" w:sz="0" w:space="0" w:color="auto"/>
      </w:divBdr>
      <w:divsChild>
        <w:div w:id="547956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8697/ajfand.86.17665%5B1%5D" TargetMode="External"/><Relationship Id="rId26" Type="http://schemas.openxmlformats.org/officeDocument/2006/relationships/hyperlink" Target="https://doi.org/10.3923/pjn.2010.1069.1073%5B1%5D" TargetMode="External"/><Relationship Id="rId39" Type="http://schemas.openxmlformats.org/officeDocument/2006/relationships/hyperlink" Target="https://doi.org/10.3390/molecules27206877%5B1%5D" TargetMode="External"/><Relationship Id="rId21" Type="http://schemas.openxmlformats.org/officeDocument/2006/relationships/hyperlink" Target="https://doi.org/10.1111/j.1753-4887.2009.00189.x%5B1%5D" TargetMode="External"/><Relationship Id="rId34" Type="http://schemas.openxmlformats.org/officeDocument/2006/relationships/hyperlink" Target="https://doi.org/10.1002/fsn3.748%5B1%5D" TargetMode="External"/><Relationship Id="rId42" Type="http://schemas.openxmlformats.org/officeDocument/2006/relationships/hyperlink" Target="https://doi.org/10.3390/molecules3008177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35759/JAnmPlSci.v41-1.11%5B1%5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79/9781845937412.0000%5B1%5D" TargetMode="External"/><Relationship Id="rId32" Type="http://schemas.openxmlformats.org/officeDocument/2006/relationships/hyperlink" Target="https://doi.org/10.1046/j.1440-6047.1999.00038.x%5B1%5D" TargetMode="External"/><Relationship Id="rId37" Type="http://schemas.openxmlformats.org/officeDocument/2006/relationships/hyperlink" Target="https://doi.org/10.1016/S0140-6736(19)32497-3%5B1%5D" TargetMode="External"/><Relationship Id="rId40" Type="http://schemas.openxmlformats.org/officeDocument/2006/relationships/hyperlink" Target="https://doi.org/10.3390/agriculture10110558%5B1%5D"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5772/64886%5B1%5D" TargetMode="External"/><Relationship Id="rId28" Type="http://schemas.openxmlformats.org/officeDocument/2006/relationships/hyperlink" Target="https://doi.org/10.1111/j.1399-3054.2007.01033.x%5B1%5D" TargetMode="External"/><Relationship Id="rId36" Type="http://schemas.openxmlformats.org/officeDocument/2006/relationships/hyperlink" Target="https://doi.org/10.4103/2231-4040.90874%5B1%5D" TargetMode="External"/><Relationship Id="rId10" Type="http://schemas.openxmlformats.org/officeDocument/2006/relationships/footer" Target="footer1.xml"/><Relationship Id="rId19" Type="http://schemas.openxmlformats.org/officeDocument/2006/relationships/hyperlink" Target="https://doi.org/10.1080/09637480220132805%5B1%5D" TargetMode="External"/><Relationship Id="rId31" Type="http://schemas.openxmlformats.org/officeDocument/2006/relationships/hyperlink" Target="https://doi.org/10.1016/j.foodchem.2015.10.113%5B1%5D" TargetMode="External"/><Relationship Id="rId44" Type="http://schemas.openxmlformats.org/officeDocument/2006/relationships/hyperlink" Target="https://doi.org/10.1155/2022/487300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07/s13197-020-04393-7%5B1%5D" TargetMode="External"/><Relationship Id="rId27" Type="http://schemas.openxmlformats.org/officeDocument/2006/relationships/hyperlink" Target="https://doi.org/10.1016/j.heliyon.2022.e09078%5B1%5D" TargetMode="External"/><Relationship Id="rId30" Type="http://schemas.openxmlformats.org/officeDocument/2006/relationships/hyperlink" Target="https://doi.org/10.4314/jab.v67i0.95049%5B1%5D" TargetMode="External"/><Relationship Id="rId35" Type="http://schemas.openxmlformats.org/officeDocument/2006/relationships/hyperlink" Target="https://doi.org/10.12691/ajfn-13-3-1%5B1%5D" TargetMode="External"/><Relationship Id="rId43" Type="http://schemas.openxmlformats.org/officeDocument/2006/relationships/hyperlink" Target="https://doi.org/10.1021/acsfoodscitech.3c00268"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371/journal.pone.0252362%5B1%5D" TargetMode="External"/><Relationship Id="rId33" Type="http://schemas.openxmlformats.org/officeDocument/2006/relationships/hyperlink" Target="https://doi.org/10.5897/AJB11.590%5B1%5D" TargetMode="External"/><Relationship Id="rId38" Type="http://schemas.openxmlformats.org/officeDocument/2006/relationships/hyperlink" Target="https://doi.org/10.1093/ajcn/68.2.447S%5B1%5D" TargetMode="External"/><Relationship Id="rId46" Type="http://schemas.openxmlformats.org/officeDocument/2006/relationships/theme" Target="theme/theme1.xml"/><Relationship Id="rId20" Type="http://schemas.openxmlformats.org/officeDocument/2006/relationships/hyperlink" Target="https://doi.org/10.1186/s13002-016-0074-y%5B1%5D" TargetMode="External"/><Relationship Id="rId41" Type="http://schemas.openxmlformats.org/officeDocument/2006/relationships/hyperlink" Target="https://doi.org/10.1002/leg3.2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563BE-8A5F-48F1-9378-E8A2B16B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TotalTime>
  <Pages>13</Pages>
  <Words>6187</Words>
  <Characters>35269</Characters>
  <Application>Microsoft Office Word</Application>
  <DocSecurity>0</DocSecurity>
  <Lines>293</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41374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16</cp:revision>
  <cp:lastPrinted>1999-07-06T11:00:00Z</cp:lastPrinted>
  <dcterms:created xsi:type="dcterms:W3CDTF">2025-12-18T14:43:00Z</dcterms:created>
  <dcterms:modified xsi:type="dcterms:W3CDTF">2025-12-19T07:17:00Z</dcterms:modified>
</cp:coreProperties>
</file>