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2C50" w14:textId="77777777" w:rsidR="005C4FF3" w:rsidRPr="005C4FF3" w:rsidRDefault="005C4FF3" w:rsidP="005C4FF3">
      <w:pPr>
        <w:spacing w:after="0" w:line="360" w:lineRule="auto"/>
        <w:jc w:val="center"/>
        <w:rPr>
          <w:rFonts w:ascii="Times New Roman" w:eastAsia="Times New Roman" w:hAnsi="Times New Roman" w:cs="Times New Roman"/>
          <w:b/>
          <w:bCs/>
          <w:i/>
          <w:iCs/>
          <w:kern w:val="0"/>
          <w:sz w:val="28"/>
          <w:szCs w:val="28"/>
          <w:u w:val="single"/>
          <w:lang w:val="en-US" w:eastAsia="fr-FR"/>
          <w14:ligatures w14:val="none"/>
        </w:rPr>
      </w:pPr>
      <w:r w:rsidRPr="005C4FF3">
        <w:rPr>
          <w:rFonts w:ascii="Times New Roman" w:eastAsia="Times New Roman" w:hAnsi="Times New Roman" w:cs="Times New Roman"/>
          <w:b/>
          <w:bCs/>
          <w:i/>
          <w:iCs/>
          <w:kern w:val="0"/>
          <w:sz w:val="28"/>
          <w:szCs w:val="28"/>
          <w:u w:val="single"/>
          <w:lang w:val="en-US" w:eastAsia="fr-FR"/>
          <w14:ligatures w14:val="none"/>
        </w:rPr>
        <w:t>Original Research Article</w:t>
      </w:r>
    </w:p>
    <w:p w14:paraId="2853220F" w14:textId="77777777" w:rsidR="009A7303" w:rsidRDefault="009A7303" w:rsidP="00FB36AA">
      <w:pPr>
        <w:spacing w:after="0" w:line="360" w:lineRule="auto"/>
        <w:jc w:val="center"/>
        <w:rPr>
          <w:rFonts w:ascii="Times New Roman" w:eastAsia="Times New Roman" w:hAnsi="Times New Roman" w:cs="Times New Roman"/>
          <w:b/>
          <w:bCs/>
          <w:kern w:val="0"/>
          <w:sz w:val="28"/>
          <w:szCs w:val="28"/>
          <w:lang w:eastAsia="fr-FR"/>
          <w14:ligatures w14:val="none"/>
        </w:rPr>
      </w:pPr>
      <w:r w:rsidRPr="009A7303">
        <w:rPr>
          <w:rFonts w:ascii="Times New Roman" w:eastAsia="Times New Roman" w:hAnsi="Times New Roman" w:cs="Times New Roman"/>
          <w:b/>
          <w:bCs/>
          <w:kern w:val="0"/>
          <w:sz w:val="28"/>
          <w:szCs w:val="28"/>
          <w:lang w:eastAsia="fr-FR"/>
          <w14:ligatures w14:val="none"/>
        </w:rPr>
        <w:t>Evaluation of the microbiological quality of sheep meat sold in N'Djamena (Chad)</w:t>
      </w:r>
    </w:p>
    <w:p w14:paraId="40A543AE" w14:textId="477B72F2" w:rsidR="0059196C" w:rsidRDefault="0059196C">
      <w:pPr>
        <w:spacing w:after="0" w:line="360" w:lineRule="auto"/>
        <w:rPr>
          <w:rFonts w:ascii="Arial" w:eastAsia="Times New Roman" w:hAnsi="Arial" w:cs="Arial"/>
          <w:b/>
          <w:bCs/>
          <w:kern w:val="0"/>
          <w:lang w:eastAsia="fr-FR"/>
          <w14:ligatures w14:val="none"/>
        </w:rPr>
      </w:pPr>
    </w:p>
    <w:p w14:paraId="65F57E9C" w14:textId="77777777" w:rsidR="008921A1" w:rsidRDefault="008921A1">
      <w:pPr>
        <w:spacing w:after="0" w:line="360" w:lineRule="auto"/>
        <w:rPr>
          <w:rFonts w:ascii="Arial" w:eastAsia="Times New Roman" w:hAnsi="Arial" w:cs="Arial"/>
          <w:b/>
          <w:bCs/>
          <w:kern w:val="0"/>
          <w:lang w:eastAsia="fr-FR"/>
          <w14:ligatures w14:val="none"/>
        </w:rPr>
      </w:pPr>
    </w:p>
    <w:p w14:paraId="79F3FFC2" w14:textId="0B2FB7A7" w:rsidR="00AD776A" w:rsidRPr="00B16247" w:rsidRDefault="009A7303">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 xml:space="preserve">Abstract </w:t>
      </w:r>
    </w:p>
    <w:p w14:paraId="5A1044C7" w14:textId="77777777" w:rsidR="00D87F93" w:rsidRPr="00D87F93" w:rsidRDefault="006869F3" w:rsidP="00D87F93">
      <w:pPr>
        <w:spacing w:after="0" w:line="360" w:lineRule="auto"/>
        <w:jc w:val="both"/>
        <w:rPr>
          <w:rFonts w:ascii="Arial" w:hAnsi="Arial" w:cs="Arial"/>
          <w:sz w:val="20"/>
          <w:szCs w:val="20"/>
        </w:rPr>
      </w:pPr>
      <w:r w:rsidRPr="0024464A">
        <w:rPr>
          <w:rFonts w:ascii="Arial" w:hAnsi="Arial" w:cs="Arial"/>
          <w:sz w:val="20"/>
          <w:szCs w:val="20"/>
        </w:rPr>
        <w:t xml:space="preserve">In Chad, a pastoral country in the Sahel where sheep farming thrives, it is a major socioeconomic and cultural pillar. This prospective and analytical study assesses the microbiological quality of fresh mutton sold in six districts of N'Djamena (Chad). Thirty samples were collected aseptically, transported in coolers, and analyzed at Labo-REDES according to ISO standards and EC Regulation 2073/2005. Analysis of average microbial loads revealed high concentrations, particularly for Total Mesophilic Aerobic Flora (TMAF) (1.98 × 10⁶ CFU/g), Fecal Coliforms (1.91 × 10⁵ CFU/g), and </w:t>
      </w:r>
      <w:r w:rsidRPr="0024464A">
        <w:rPr>
          <w:rFonts w:ascii="Arial" w:hAnsi="Arial" w:cs="Arial"/>
          <w:i/>
          <w:iCs/>
          <w:sz w:val="20"/>
          <w:szCs w:val="20"/>
        </w:rPr>
        <w:t>S. aureus</w:t>
      </w:r>
      <w:r w:rsidRPr="0024464A">
        <w:rPr>
          <w:rFonts w:ascii="Arial" w:hAnsi="Arial" w:cs="Arial"/>
          <w:sz w:val="20"/>
          <w:szCs w:val="20"/>
        </w:rPr>
        <w:t xml:space="preserve"> (2.09 × 10⁴ CFU/g). These findings led to alarming noncompliance rates, with 66.7% of samples exceeding acceptable levels for thermotolerant/fecal coliforms and 50% for </w:t>
      </w:r>
      <w:r w:rsidRPr="0024464A">
        <w:rPr>
          <w:rFonts w:ascii="Arial" w:hAnsi="Arial" w:cs="Arial"/>
          <w:i/>
          <w:iCs/>
          <w:sz w:val="20"/>
          <w:szCs w:val="20"/>
        </w:rPr>
        <w:t>S. aureus</w:t>
      </w:r>
      <w:r w:rsidRPr="0024464A">
        <w:rPr>
          <w:rFonts w:ascii="Arial" w:hAnsi="Arial" w:cs="Arial"/>
          <w:sz w:val="20"/>
          <w:szCs w:val="20"/>
        </w:rPr>
        <w:t xml:space="preserve">. </w:t>
      </w:r>
      <w:r w:rsidR="00D87F93" w:rsidRPr="00D87F93">
        <w:rPr>
          <w:rFonts w:ascii="Arial" w:hAnsi="Arial" w:cs="Arial"/>
          <w:sz w:val="20"/>
          <w:szCs w:val="20"/>
          <w:highlight w:val="yellow"/>
        </w:rPr>
        <w:t xml:space="preserve">These exceedances indicate significant fecal and human contamination, directly attributable to inadequate hygiene practices throughout the production chain. Although </w:t>
      </w:r>
      <w:r w:rsidR="00D87F93" w:rsidRPr="00D87F93">
        <w:rPr>
          <w:rFonts w:ascii="Arial" w:hAnsi="Arial" w:cs="Arial"/>
          <w:i/>
          <w:iCs/>
          <w:sz w:val="20"/>
          <w:szCs w:val="20"/>
          <w:highlight w:val="yellow"/>
        </w:rPr>
        <w:t>Salmonella</w:t>
      </w:r>
      <w:r w:rsidR="00D87F93" w:rsidRPr="00D87F93">
        <w:rPr>
          <w:rFonts w:ascii="Arial" w:hAnsi="Arial" w:cs="Arial"/>
          <w:sz w:val="20"/>
          <w:szCs w:val="20"/>
          <w:highlight w:val="yellow"/>
        </w:rPr>
        <w:t xml:space="preserve"> was absent, elevated microbial counts present grave public health risks, such as diarrheal illnesses and foodborne epidemics. Critical interventions include upgrading slaughter facilities with hygienic layouts, automated sanitation, and effluent control ; reinforcing cold chain refrigeration to inhibit pathogen </w:t>
      </w:r>
      <w:proofErr w:type="gramStart"/>
      <w:r w:rsidR="00D87F93" w:rsidRPr="00D87F93">
        <w:rPr>
          <w:rFonts w:ascii="Arial" w:hAnsi="Arial" w:cs="Arial"/>
          <w:sz w:val="20"/>
          <w:szCs w:val="20"/>
          <w:highlight w:val="yellow"/>
        </w:rPr>
        <w:t>growth;</w:t>
      </w:r>
      <w:proofErr w:type="gramEnd"/>
      <w:r w:rsidR="00D87F93" w:rsidRPr="00D87F93">
        <w:rPr>
          <w:rFonts w:ascii="Arial" w:hAnsi="Arial" w:cs="Arial"/>
          <w:sz w:val="20"/>
          <w:szCs w:val="20"/>
          <w:highlight w:val="yellow"/>
        </w:rPr>
        <w:t xml:space="preserve"> and providing rigorous training in Good Manufacturing Ptratices, handwashing. HACCP systems with routine audits will secure ongoing safety, fostering consumer confidence and economic sustainability.</w:t>
      </w:r>
      <w:r w:rsidR="00D87F93" w:rsidRPr="00D87F93">
        <w:rPr>
          <w:rFonts w:ascii="Arial" w:hAnsi="Arial" w:cs="Arial"/>
          <w:sz w:val="20"/>
          <w:szCs w:val="20"/>
        </w:rPr>
        <w:t> </w:t>
      </w:r>
    </w:p>
    <w:p w14:paraId="19D1A983" w14:textId="3D2B61C8" w:rsidR="009A7303" w:rsidRPr="0024464A" w:rsidRDefault="006869F3" w:rsidP="009A7303">
      <w:pPr>
        <w:spacing w:after="0" w:line="360" w:lineRule="auto"/>
        <w:jc w:val="both"/>
        <w:rPr>
          <w:rFonts w:ascii="Arial" w:eastAsia="Times New Roman" w:hAnsi="Arial" w:cs="Arial"/>
          <w:b/>
          <w:bCs/>
          <w:kern w:val="0"/>
          <w:sz w:val="20"/>
          <w:szCs w:val="20"/>
          <w:lang w:eastAsia="fr-FR"/>
          <w14:ligatures w14:val="none"/>
        </w:rPr>
      </w:pPr>
      <w:r w:rsidRPr="0024464A">
        <w:rPr>
          <w:rFonts w:ascii="Arial" w:hAnsi="Arial" w:cs="Arial"/>
          <w:sz w:val="20"/>
          <w:szCs w:val="20"/>
        </w:rPr>
        <w:t>.</w:t>
      </w:r>
    </w:p>
    <w:p w14:paraId="5C99D7C6" w14:textId="77777777" w:rsidR="009A7303" w:rsidRDefault="009A7303" w:rsidP="009A7303">
      <w:pPr>
        <w:spacing w:after="0" w:line="360" w:lineRule="auto"/>
        <w:jc w:val="both"/>
        <w:rPr>
          <w:rFonts w:ascii="Times New Roman" w:eastAsia="Times New Roman" w:hAnsi="Times New Roman" w:cs="Times New Roman"/>
          <w:b/>
          <w:bCs/>
          <w:kern w:val="0"/>
          <w:sz w:val="36"/>
          <w:szCs w:val="36"/>
          <w:lang w:eastAsia="fr-FR"/>
          <w14:ligatures w14:val="none"/>
        </w:rPr>
      </w:pPr>
    </w:p>
    <w:p w14:paraId="24427F1B" w14:textId="1B7ACED8" w:rsidR="00AD776A" w:rsidRPr="00E75BEA" w:rsidRDefault="009A7303">
      <w:pPr>
        <w:rPr>
          <w:rFonts w:ascii="Arial" w:hAnsi="Arial" w:cs="Arial"/>
          <w:i/>
          <w:iCs/>
          <w:sz w:val="20"/>
          <w:szCs w:val="20"/>
        </w:rPr>
      </w:pPr>
      <w:proofErr w:type="gramStart"/>
      <w:r w:rsidRPr="00E75BEA">
        <w:rPr>
          <w:rFonts w:ascii="Arial" w:hAnsi="Arial" w:cs="Arial"/>
          <w:b/>
          <w:bCs/>
          <w:i/>
          <w:iCs/>
          <w:sz w:val="20"/>
          <w:szCs w:val="20"/>
        </w:rPr>
        <w:t>Keywords</w:t>
      </w:r>
      <w:r w:rsidRPr="00E75BEA">
        <w:rPr>
          <w:rFonts w:ascii="Arial" w:hAnsi="Arial" w:cs="Arial"/>
          <w:i/>
          <w:iCs/>
          <w:sz w:val="20"/>
          <w:szCs w:val="20"/>
        </w:rPr>
        <w:t>:</w:t>
      </w:r>
      <w:proofErr w:type="gramEnd"/>
      <w:r w:rsidRPr="00E75BEA">
        <w:rPr>
          <w:rFonts w:ascii="Arial" w:hAnsi="Arial" w:cs="Arial"/>
          <w:i/>
          <w:iCs/>
          <w:sz w:val="20"/>
          <w:szCs w:val="20"/>
        </w:rPr>
        <w:t xml:space="preserve"> Sheep meat, Microbiological quality, Microbial contamination, N'Djamena.</w:t>
      </w:r>
    </w:p>
    <w:p w14:paraId="2612F7B7" w14:textId="77777777" w:rsidR="00AD776A" w:rsidRDefault="007D37A3">
      <w:pPr>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w:t>
      </w:r>
    </w:p>
    <w:p w14:paraId="40B5F734" w14:textId="77777777" w:rsidR="00AD776A" w:rsidRDefault="007D37A3">
      <w:pPr>
        <w:rPr>
          <w:rFonts w:ascii="Times New Roman" w:eastAsia="Times New Roman" w:hAnsi="Times New Roman" w:cs="Times New Roman"/>
          <w:b/>
          <w:bCs/>
          <w:kern w:val="0"/>
          <w:sz w:val="36"/>
          <w:szCs w:val="36"/>
          <w:lang w:eastAsia="fr-FR"/>
          <w14:ligatures w14:val="none"/>
        </w:rPr>
      </w:pPr>
      <w:r>
        <w:rPr>
          <w:rFonts w:ascii="Times New Roman" w:eastAsia="Times New Roman" w:hAnsi="Times New Roman" w:cs="Times New Roman"/>
          <w:b/>
          <w:bCs/>
          <w:kern w:val="0"/>
          <w:sz w:val="36"/>
          <w:szCs w:val="36"/>
          <w:lang w:eastAsia="fr-FR"/>
          <w14:ligatures w14:val="none"/>
        </w:rPr>
        <w:br w:type="page"/>
      </w:r>
    </w:p>
    <w:p w14:paraId="6BFDD265" w14:textId="77777777" w:rsidR="00A3238C" w:rsidRPr="00B16247" w:rsidRDefault="00A3238C" w:rsidP="00A3238C">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lastRenderedPageBreak/>
        <w:t>1. Introduction</w:t>
      </w:r>
    </w:p>
    <w:p w14:paraId="5190E48A" w14:textId="0CE62912" w:rsidR="00403F8A" w:rsidRPr="00DC59C3" w:rsidRDefault="006869F3" w:rsidP="00A3238C">
      <w:pPr>
        <w:spacing w:after="0" w:line="360" w:lineRule="auto"/>
        <w:jc w:val="both"/>
        <w:rPr>
          <w:rFonts w:ascii="Arial" w:eastAsia="Times New Roman" w:hAnsi="Arial" w:cs="Arial"/>
          <w:kern w:val="0"/>
          <w:sz w:val="20"/>
          <w:szCs w:val="20"/>
          <w:lang w:eastAsia="fr-FR"/>
          <w14:ligatures w14:val="none"/>
        </w:rPr>
      </w:pPr>
      <w:r w:rsidRPr="00DC59C3">
        <w:rPr>
          <w:rFonts w:ascii="Arial" w:eastAsia="Times New Roman" w:hAnsi="Arial" w:cs="Arial"/>
          <w:kern w:val="0"/>
          <w:sz w:val="20"/>
          <w:szCs w:val="20"/>
          <w:lang w:eastAsia="fr-FR"/>
          <w14:ligatures w14:val="none"/>
        </w:rPr>
        <w:t>Red meat is an essential source of nutrition, providing complete proteins and crucial micronutrients, including heme iron, zinc, and vitamin B12 (McNeil, 2021). Its historical role in human development dates back approximately 2.5 million years (Henry, 2020), and its consumption has become widespread since the 19th century (Sabaté et al., 2022). In Chad, a pastoral country in the Sahel where sheep farming thrives, it is a major socioeconomic and cultural pillar, representing approximately 20</w:t>
      </w:r>
      <w:r w:rsidR="00337E32" w:rsidRPr="00DC59C3">
        <w:rPr>
          <w:rFonts w:ascii="Arial" w:eastAsia="Times New Roman" w:hAnsi="Arial" w:cs="Arial"/>
          <w:kern w:val="0"/>
          <w:sz w:val="20"/>
          <w:szCs w:val="20"/>
          <w:lang w:eastAsia="fr-FR"/>
          <w14:ligatures w14:val="none"/>
        </w:rPr>
        <w:t xml:space="preserve"> </w:t>
      </w:r>
      <w:r w:rsidRPr="00DC59C3">
        <w:rPr>
          <w:rFonts w:ascii="Arial" w:eastAsia="Times New Roman" w:hAnsi="Arial" w:cs="Arial"/>
          <w:kern w:val="0"/>
          <w:sz w:val="20"/>
          <w:szCs w:val="20"/>
          <w:lang w:eastAsia="fr-FR"/>
          <w14:ligatures w14:val="none"/>
        </w:rPr>
        <w:t xml:space="preserve">% of GDP and playing a central role in diet and religious practices (Baas, </w:t>
      </w:r>
      <w:proofErr w:type="gramStart"/>
      <w:r w:rsidRPr="00DC59C3">
        <w:rPr>
          <w:rFonts w:ascii="Arial" w:eastAsia="Times New Roman" w:hAnsi="Arial" w:cs="Arial"/>
          <w:kern w:val="0"/>
          <w:sz w:val="20"/>
          <w:szCs w:val="20"/>
          <w:lang w:eastAsia="fr-FR"/>
          <w14:ligatures w14:val="none"/>
        </w:rPr>
        <w:t>2020;</w:t>
      </w:r>
      <w:proofErr w:type="gramEnd"/>
      <w:r w:rsidRPr="00DC59C3">
        <w:rPr>
          <w:rFonts w:ascii="Arial" w:eastAsia="Times New Roman" w:hAnsi="Arial" w:cs="Arial"/>
          <w:kern w:val="0"/>
          <w:sz w:val="20"/>
          <w:szCs w:val="20"/>
          <w:lang w:eastAsia="fr-FR"/>
          <w14:ligatures w14:val="none"/>
        </w:rPr>
        <w:t xml:space="preserve"> Diouf et al., 2020; FAO, 2021; Ardjoune, 2021). However, despite its importance, the sanitary quality of sheep meat sold in N'Djamena is a cause for </w:t>
      </w:r>
      <w:proofErr w:type="gramStart"/>
      <w:r w:rsidRPr="00DC59C3">
        <w:rPr>
          <w:rFonts w:ascii="Arial" w:eastAsia="Times New Roman" w:hAnsi="Arial" w:cs="Arial"/>
          <w:kern w:val="0"/>
          <w:sz w:val="20"/>
          <w:szCs w:val="20"/>
          <w:lang w:eastAsia="fr-FR"/>
          <w14:ligatures w14:val="none"/>
        </w:rPr>
        <w:t>concern:</w:t>
      </w:r>
      <w:proofErr w:type="gramEnd"/>
      <w:r w:rsidRPr="00DC59C3">
        <w:rPr>
          <w:rFonts w:ascii="Arial" w:eastAsia="Times New Roman" w:hAnsi="Arial" w:cs="Arial"/>
          <w:kern w:val="0"/>
          <w:sz w:val="20"/>
          <w:szCs w:val="20"/>
          <w:lang w:eastAsia="fr-FR"/>
          <w14:ligatures w14:val="none"/>
        </w:rPr>
        <w:t xml:space="preserve"> sales channels in urban markets, characterized by informal slaughter, the absence of a cold chain, and inadequate means of transport, expose the product to high risks of microbial contamination. </w:t>
      </w:r>
      <w:r w:rsidR="002848B8" w:rsidRPr="002848B8">
        <w:rPr>
          <w:rFonts w:ascii="Arial" w:eastAsia="Times New Roman" w:hAnsi="Arial" w:cs="Arial"/>
          <w:kern w:val="0"/>
          <w:sz w:val="20"/>
          <w:szCs w:val="20"/>
          <w:highlight w:val="yellow"/>
          <w:lang w:eastAsia="fr-FR"/>
          <w14:ligatures w14:val="none"/>
        </w:rPr>
        <w:t>In N'Djamena, the capital of Chad, rapid urbanization has intensified the pressure on informal meat markets. Sheep, the main livestock species with over 25 million head nationwide (</w:t>
      </w:r>
      <w:r w:rsidR="002848B8" w:rsidRPr="00DA040F">
        <w:rPr>
          <w:rFonts w:ascii="Arial" w:eastAsia="Times New Roman" w:hAnsi="Arial" w:cs="Arial"/>
          <w:color w:val="4472C4" w:themeColor="accent1"/>
          <w:kern w:val="0"/>
          <w:sz w:val="20"/>
          <w:szCs w:val="20"/>
          <w:lang w:eastAsia="fr-FR"/>
          <w14:ligatures w14:val="none"/>
        </w:rPr>
        <w:t>FAO, 2022</w:t>
      </w:r>
      <w:r w:rsidR="002848B8" w:rsidRPr="002848B8">
        <w:rPr>
          <w:rFonts w:ascii="Arial" w:eastAsia="Times New Roman" w:hAnsi="Arial" w:cs="Arial"/>
          <w:kern w:val="0"/>
          <w:sz w:val="20"/>
          <w:szCs w:val="20"/>
          <w:highlight w:val="yellow"/>
          <w:lang w:eastAsia="fr-FR"/>
          <w14:ligatures w14:val="none"/>
        </w:rPr>
        <w:t>), are often slaughtered in informal, backyard-style facilities lacking sanitation, drinking water, and waste disposal systems. Ambient temperatures exceeding 35°C promote bacterial growth, as the meat is transported on open motorcycles or tricycles without refrigeration and arrives at market stalls after prolonged exposure (</w:t>
      </w:r>
      <w:r w:rsidR="002848B8" w:rsidRPr="00DA040F">
        <w:rPr>
          <w:rFonts w:ascii="Arial" w:eastAsia="Times New Roman" w:hAnsi="Arial" w:cs="Arial"/>
          <w:kern w:val="0"/>
          <w:sz w:val="20"/>
          <w:szCs w:val="20"/>
          <w:lang w:eastAsia="fr-FR"/>
          <w14:ligatures w14:val="none"/>
        </w:rPr>
        <w:t>Kerouanton et al., 2019</w:t>
      </w:r>
      <w:r w:rsidR="002848B8" w:rsidRPr="002848B8">
        <w:rPr>
          <w:rFonts w:ascii="Arial" w:eastAsia="Times New Roman" w:hAnsi="Arial" w:cs="Arial"/>
          <w:kern w:val="0"/>
          <w:sz w:val="20"/>
          <w:szCs w:val="20"/>
          <w:highlight w:val="yellow"/>
          <w:lang w:eastAsia="fr-FR"/>
          <w14:ligatures w14:val="none"/>
        </w:rPr>
        <w:t xml:space="preserve">). Pathogens such as </w:t>
      </w:r>
      <w:r w:rsidR="002848B8" w:rsidRPr="006E68A3">
        <w:rPr>
          <w:rFonts w:ascii="Arial" w:eastAsia="Times New Roman" w:hAnsi="Arial" w:cs="Arial"/>
          <w:i/>
          <w:iCs/>
          <w:kern w:val="0"/>
          <w:sz w:val="20"/>
          <w:szCs w:val="20"/>
          <w:highlight w:val="yellow"/>
          <w:lang w:eastAsia="fr-FR"/>
          <w14:ligatures w14:val="none"/>
        </w:rPr>
        <w:t>Escherichia coli</w:t>
      </w:r>
      <w:r w:rsidR="002848B8" w:rsidRPr="002848B8">
        <w:rPr>
          <w:rFonts w:ascii="Arial" w:eastAsia="Times New Roman" w:hAnsi="Arial" w:cs="Arial"/>
          <w:kern w:val="0"/>
          <w:sz w:val="20"/>
          <w:szCs w:val="20"/>
          <w:highlight w:val="yellow"/>
          <w:lang w:eastAsia="fr-FR"/>
          <w14:ligatures w14:val="none"/>
        </w:rPr>
        <w:t xml:space="preserve">, </w:t>
      </w:r>
      <w:r w:rsidR="002848B8" w:rsidRPr="00DA040F">
        <w:rPr>
          <w:rFonts w:ascii="Arial" w:eastAsia="Times New Roman" w:hAnsi="Arial" w:cs="Arial"/>
          <w:i/>
          <w:iCs/>
          <w:kern w:val="0"/>
          <w:sz w:val="20"/>
          <w:szCs w:val="20"/>
          <w:highlight w:val="yellow"/>
          <w:lang w:eastAsia="fr-FR"/>
          <w14:ligatures w14:val="none"/>
        </w:rPr>
        <w:t>Salmonella spp</w:t>
      </w:r>
      <w:r w:rsidR="002848B8" w:rsidRPr="002848B8">
        <w:rPr>
          <w:rFonts w:ascii="Arial" w:eastAsia="Times New Roman" w:hAnsi="Arial" w:cs="Arial"/>
          <w:kern w:val="0"/>
          <w:sz w:val="20"/>
          <w:szCs w:val="20"/>
          <w:highlight w:val="yellow"/>
          <w:lang w:eastAsia="fr-FR"/>
          <w14:ligatures w14:val="none"/>
        </w:rPr>
        <w:t xml:space="preserve">., </w:t>
      </w:r>
      <w:r w:rsidR="002848B8" w:rsidRPr="00DA040F">
        <w:rPr>
          <w:rFonts w:ascii="Arial" w:eastAsia="Times New Roman" w:hAnsi="Arial" w:cs="Arial"/>
          <w:i/>
          <w:iCs/>
          <w:kern w:val="0"/>
          <w:sz w:val="20"/>
          <w:szCs w:val="20"/>
          <w:highlight w:val="yellow"/>
          <w:lang w:eastAsia="fr-FR"/>
          <w14:ligatures w14:val="none"/>
        </w:rPr>
        <w:t>Staphylococcus aureus</w:t>
      </w:r>
      <w:r w:rsidR="002848B8" w:rsidRPr="002848B8">
        <w:rPr>
          <w:rFonts w:ascii="Arial" w:eastAsia="Times New Roman" w:hAnsi="Arial" w:cs="Arial"/>
          <w:kern w:val="0"/>
          <w:sz w:val="20"/>
          <w:szCs w:val="20"/>
          <w:highlight w:val="yellow"/>
          <w:lang w:eastAsia="fr-FR"/>
          <w14:ligatures w14:val="none"/>
        </w:rPr>
        <w:t>, and fecal coliforms thrive under these conditions, leading to risks of foodborne illnesses such as gastroenteritis, hemolytic uremic syndrome, and typhoid fever (</w:t>
      </w:r>
      <w:bookmarkStart w:id="0" w:name="_Hlk216745483"/>
      <w:r w:rsidR="002848B8" w:rsidRPr="006E68A3">
        <w:rPr>
          <w:rFonts w:ascii="Arial" w:eastAsia="Times New Roman" w:hAnsi="Arial" w:cs="Arial"/>
          <w:kern w:val="0"/>
          <w:sz w:val="20"/>
          <w:szCs w:val="20"/>
          <w:lang w:eastAsia="fr-FR"/>
          <w14:ligatures w14:val="none"/>
        </w:rPr>
        <w:t>EFSA</w:t>
      </w:r>
      <w:bookmarkEnd w:id="0"/>
      <w:r w:rsidR="002848B8" w:rsidRPr="006E68A3">
        <w:rPr>
          <w:rFonts w:ascii="Arial" w:eastAsia="Times New Roman" w:hAnsi="Arial" w:cs="Arial"/>
          <w:kern w:val="0"/>
          <w:sz w:val="20"/>
          <w:szCs w:val="20"/>
          <w:lang w:eastAsia="fr-FR"/>
          <w14:ligatures w14:val="none"/>
        </w:rPr>
        <w:t>, 202</w:t>
      </w:r>
      <w:r w:rsidR="004250DB">
        <w:rPr>
          <w:rFonts w:ascii="Arial" w:eastAsia="Times New Roman" w:hAnsi="Arial" w:cs="Arial"/>
          <w:kern w:val="0"/>
          <w:sz w:val="20"/>
          <w:szCs w:val="20"/>
          <w:lang w:eastAsia="fr-FR"/>
          <w14:ligatures w14:val="none"/>
        </w:rPr>
        <w:t>5</w:t>
      </w:r>
      <w:r w:rsidR="002848B8" w:rsidRPr="002848B8">
        <w:rPr>
          <w:rFonts w:ascii="Arial" w:eastAsia="Times New Roman" w:hAnsi="Arial" w:cs="Arial"/>
          <w:kern w:val="0"/>
          <w:sz w:val="20"/>
          <w:szCs w:val="20"/>
          <w:highlight w:val="yellow"/>
          <w:lang w:eastAsia="fr-FR"/>
          <w14:ligatures w14:val="none"/>
        </w:rPr>
        <w:t xml:space="preserve">). Previous studies in sub-Saharan Africa confirm these vulnerabilities. In neighboring Nigeria and Cameroon, analyses of sheep meat revealed </w:t>
      </w:r>
      <w:r w:rsidR="002848B8" w:rsidRPr="006E68A3">
        <w:rPr>
          <w:rFonts w:ascii="Arial" w:eastAsia="Times New Roman" w:hAnsi="Arial" w:cs="Arial"/>
          <w:i/>
          <w:iCs/>
          <w:kern w:val="0"/>
          <w:sz w:val="20"/>
          <w:szCs w:val="20"/>
          <w:highlight w:val="yellow"/>
          <w:lang w:eastAsia="fr-FR"/>
          <w14:ligatures w14:val="none"/>
        </w:rPr>
        <w:t>E. coli</w:t>
      </w:r>
      <w:r w:rsidR="002848B8" w:rsidRPr="002848B8">
        <w:rPr>
          <w:rFonts w:ascii="Arial" w:eastAsia="Times New Roman" w:hAnsi="Arial" w:cs="Arial"/>
          <w:kern w:val="0"/>
          <w:sz w:val="20"/>
          <w:szCs w:val="20"/>
          <w:highlight w:val="yellow"/>
          <w:lang w:eastAsia="fr-FR"/>
          <w14:ligatures w14:val="none"/>
        </w:rPr>
        <w:t xml:space="preserve"> loads exceeding 10⁶ CFU/g in 80</w:t>
      </w:r>
      <w:r w:rsidR="006E68A3">
        <w:rPr>
          <w:rFonts w:ascii="Arial" w:eastAsia="Times New Roman" w:hAnsi="Arial" w:cs="Arial"/>
          <w:kern w:val="0"/>
          <w:sz w:val="20"/>
          <w:szCs w:val="20"/>
          <w:highlight w:val="yellow"/>
          <w:lang w:eastAsia="fr-FR"/>
          <w14:ligatures w14:val="none"/>
        </w:rPr>
        <w:t xml:space="preserve"> </w:t>
      </w:r>
      <w:r w:rsidR="002848B8" w:rsidRPr="002848B8">
        <w:rPr>
          <w:rFonts w:ascii="Arial" w:eastAsia="Times New Roman" w:hAnsi="Arial" w:cs="Arial"/>
          <w:kern w:val="0"/>
          <w:sz w:val="20"/>
          <w:szCs w:val="20"/>
          <w:highlight w:val="yellow"/>
          <w:lang w:eastAsia="fr-FR"/>
          <w14:ligatures w14:val="none"/>
        </w:rPr>
        <w:t>% of urban samples, linked to cross-contamination with animal feces, the use of uncleaned knives, and poor hygiene practices among handlers (</w:t>
      </w:r>
      <w:bookmarkStart w:id="1" w:name="_Hlk216742019"/>
      <w:r w:rsidR="006E68A3" w:rsidRPr="006E68A3">
        <w:rPr>
          <w:rFonts w:ascii="Arial" w:eastAsia="Times New Roman" w:hAnsi="Arial" w:cs="Arial"/>
          <w:kern w:val="0"/>
          <w:sz w:val="20"/>
          <w:szCs w:val="20"/>
          <w:lang w:eastAsia="fr-FR"/>
          <w14:ligatures w14:val="none"/>
        </w:rPr>
        <w:t>Nguefack et al., 2020 ;</w:t>
      </w:r>
      <w:r w:rsidR="006E68A3">
        <w:rPr>
          <w:rFonts w:ascii="Arial" w:eastAsia="Times New Roman" w:hAnsi="Arial" w:cs="Arial"/>
          <w:kern w:val="0"/>
          <w:sz w:val="20"/>
          <w:szCs w:val="20"/>
          <w:lang w:eastAsia="fr-FR"/>
          <w14:ligatures w14:val="none"/>
        </w:rPr>
        <w:t xml:space="preserve"> </w:t>
      </w:r>
      <w:r w:rsidR="002848B8" w:rsidRPr="006E68A3">
        <w:rPr>
          <w:rFonts w:ascii="Arial" w:eastAsia="Times New Roman" w:hAnsi="Arial" w:cs="Arial"/>
          <w:kern w:val="0"/>
          <w:sz w:val="20"/>
          <w:szCs w:val="20"/>
          <w:lang w:eastAsia="fr-FR"/>
          <w14:ligatures w14:val="none"/>
        </w:rPr>
        <w:t>Adzitey et al., 2021</w:t>
      </w:r>
      <w:bookmarkEnd w:id="1"/>
      <w:r w:rsidR="002848B8" w:rsidRPr="006E68A3">
        <w:rPr>
          <w:rFonts w:ascii="Arial" w:eastAsia="Times New Roman" w:hAnsi="Arial" w:cs="Arial"/>
          <w:kern w:val="0"/>
          <w:sz w:val="20"/>
          <w:szCs w:val="20"/>
          <w:lang w:eastAsia="fr-FR"/>
          <w14:ligatures w14:val="none"/>
        </w:rPr>
        <w:t>;</w:t>
      </w:r>
      <w:r w:rsidR="002848B8" w:rsidRPr="002848B8">
        <w:rPr>
          <w:rFonts w:ascii="Arial" w:eastAsia="Times New Roman" w:hAnsi="Arial" w:cs="Arial"/>
          <w:kern w:val="0"/>
          <w:sz w:val="20"/>
          <w:szCs w:val="20"/>
          <w:highlight w:val="yellow"/>
          <w:lang w:eastAsia="fr-FR"/>
          <w14:ligatures w14:val="none"/>
        </w:rPr>
        <w:t>). In Chad, data are limited</w:t>
      </w:r>
      <w:r w:rsidR="00D27A65">
        <w:rPr>
          <w:rFonts w:ascii="Arial" w:eastAsia="Times New Roman" w:hAnsi="Arial" w:cs="Arial"/>
          <w:kern w:val="0"/>
          <w:sz w:val="20"/>
          <w:szCs w:val="20"/>
          <w:highlight w:val="yellow"/>
          <w:lang w:eastAsia="fr-FR"/>
          <w14:ligatures w14:val="none"/>
        </w:rPr>
        <w:t>.</w:t>
      </w:r>
      <w:r w:rsidR="002848B8" w:rsidRPr="002848B8">
        <w:rPr>
          <w:rFonts w:ascii="Arial" w:eastAsia="Times New Roman" w:hAnsi="Arial" w:cs="Arial"/>
          <w:kern w:val="0"/>
          <w:sz w:val="20"/>
          <w:szCs w:val="20"/>
          <w:highlight w:val="yellow"/>
          <w:lang w:eastAsia="fr-FR"/>
          <w14:ligatures w14:val="none"/>
        </w:rPr>
        <w:t xml:space="preserve"> A 20</w:t>
      </w:r>
      <w:r w:rsidR="0046660B">
        <w:rPr>
          <w:rFonts w:ascii="Arial" w:eastAsia="Times New Roman" w:hAnsi="Arial" w:cs="Arial"/>
          <w:kern w:val="0"/>
          <w:sz w:val="20"/>
          <w:szCs w:val="20"/>
          <w:highlight w:val="yellow"/>
          <w:lang w:eastAsia="fr-FR"/>
          <w14:ligatures w14:val="none"/>
        </w:rPr>
        <w:t>21</w:t>
      </w:r>
      <w:r w:rsidR="002848B8" w:rsidRPr="002848B8">
        <w:rPr>
          <w:rFonts w:ascii="Arial" w:eastAsia="Times New Roman" w:hAnsi="Arial" w:cs="Arial"/>
          <w:kern w:val="0"/>
          <w:sz w:val="20"/>
          <w:szCs w:val="20"/>
          <w:highlight w:val="yellow"/>
          <w:lang w:eastAsia="fr-FR"/>
          <w14:ligatures w14:val="none"/>
        </w:rPr>
        <w:t xml:space="preserve"> survey of rural markets detected </w:t>
      </w:r>
      <w:r w:rsidR="002848B8" w:rsidRPr="00F47ED7">
        <w:rPr>
          <w:rFonts w:ascii="Arial" w:eastAsia="Times New Roman" w:hAnsi="Arial" w:cs="Arial"/>
          <w:i/>
          <w:iCs/>
          <w:kern w:val="0"/>
          <w:sz w:val="20"/>
          <w:szCs w:val="20"/>
          <w:highlight w:val="yellow"/>
          <w:lang w:eastAsia="fr-FR"/>
          <w14:ligatures w14:val="none"/>
        </w:rPr>
        <w:t xml:space="preserve">Salmonella </w:t>
      </w:r>
      <w:r w:rsidR="002848B8" w:rsidRPr="002848B8">
        <w:rPr>
          <w:rFonts w:ascii="Arial" w:eastAsia="Times New Roman" w:hAnsi="Arial" w:cs="Arial"/>
          <w:kern w:val="0"/>
          <w:sz w:val="20"/>
          <w:szCs w:val="20"/>
          <w:highlight w:val="yellow"/>
          <w:lang w:eastAsia="fr-FR"/>
          <w14:ligatures w14:val="none"/>
        </w:rPr>
        <w:t>in 15</w:t>
      </w:r>
      <w:r w:rsidR="00F47ED7">
        <w:rPr>
          <w:rFonts w:ascii="Arial" w:eastAsia="Times New Roman" w:hAnsi="Arial" w:cs="Arial"/>
          <w:kern w:val="0"/>
          <w:sz w:val="20"/>
          <w:szCs w:val="20"/>
          <w:highlight w:val="yellow"/>
          <w:lang w:eastAsia="fr-FR"/>
          <w14:ligatures w14:val="none"/>
        </w:rPr>
        <w:t xml:space="preserve"> </w:t>
      </w:r>
      <w:r w:rsidR="002848B8" w:rsidRPr="002848B8">
        <w:rPr>
          <w:rFonts w:ascii="Arial" w:eastAsia="Times New Roman" w:hAnsi="Arial" w:cs="Arial"/>
          <w:kern w:val="0"/>
          <w:sz w:val="20"/>
          <w:szCs w:val="20"/>
          <w:highlight w:val="yellow"/>
          <w:lang w:eastAsia="fr-FR"/>
          <w14:ligatures w14:val="none"/>
        </w:rPr>
        <w:t>% of samples, but assessments in urban areas remain scarce (</w:t>
      </w:r>
      <w:bookmarkStart w:id="2" w:name="_Hlk216742090"/>
      <w:r w:rsidR="00AA70CB" w:rsidRPr="00AA70CB">
        <w:rPr>
          <w:rFonts w:ascii="Arial" w:eastAsia="Times New Roman" w:hAnsi="Arial" w:cs="Arial"/>
          <w:kern w:val="0"/>
          <w:sz w:val="20"/>
          <w:szCs w:val="20"/>
          <w:lang w:eastAsia="fr-FR"/>
          <w14:ligatures w14:val="none"/>
        </w:rPr>
        <w:t>Nikiema</w:t>
      </w:r>
      <w:r w:rsidR="00AA70CB">
        <w:rPr>
          <w:rFonts w:ascii="Arial" w:eastAsia="Times New Roman" w:hAnsi="Arial" w:cs="Arial"/>
          <w:kern w:val="0"/>
          <w:sz w:val="20"/>
          <w:szCs w:val="20"/>
          <w:lang w:eastAsia="fr-FR"/>
          <w14:ligatures w14:val="none"/>
        </w:rPr>
        <w:t xml:space="preserve"> and al., </w:t>
      </w:r>
      <w:r w:rsidR="002848B8" w:rsidRPr="00F47ED7">
        <w:rPr>
          <w:rFonts w:ascii="Arial" w:eastAsia="Times New Roman" w:hAnsi="Arial" w:cs="Arial"/>
          <w:kern w:val="0"/>
          <w:sz w:val="20"/>
          <w:szCs w:val="20"/>
          <w:lang w:eastAsia="fr-FR"/>
          <w14:ligatures w14:val="none"/>
        </w:rPr>
        <w:t>20</w:t>
      </w:r>
      <w:bookmarkEnd w:id="2"/>
      <w:r w:rsidR="00AA70CB">
        <w:rPr>
          <w:rFonts w:ascii="Arial" w:eastAsia="Times New Roman" w:hAnsi="Arial" w:cs="Arial"/>
          <w:kern w:val="0"/>
          <w:sz w:val="20"/>
          <w:szCs w:val="20"/>
          <w:lang w:eastAsia="fr-FR"/>
          <w14:ligatures w14:val="none"/>
        </w:rPr>
        <w:t>21</w:t>
      </w:r>
      <w:r w:rsidR="002848B8" w:rsidRPr="002848B8">
        <w:rPr>
          <w:rFonts w:ascii="Arial" w:eastAsia="Times New Roman" w:hAnsi="Arial" w:cs="Arial"/>
          <w:kern w:val="0"/>
          <w:sz w:val="20"/>
          <w:szCs w:val="20"/>
          <w:highlight w:val="yellow"/>
          <w:lang w:eastAsia="fr-FR"/>
          <w14:ligatures w14:val="none"/>
        </w:rPr>
        <w:t>). This lack of knowledge hinders evidence-based interventions, particularly in the face of growing meat demand which is projected to increase by 4% annually due to population growth (</w:t>
      </w:r>
      <w:r w:rsidR="00233D68" w:rsidRPr="00233D68">
        <w:rPr>
          <w:rFonts w:ascii="Arial" w:eastAsia="Times New Roman" w:hAnsi="Arial" w:cs="Arial"/>
          <w:kern w:val="0"/>
          <w:sz w:val="20"/>
          <w:szCs w:val="20"/>
          <w:lang w:eastAsia="fr-FR"/>
          <w14:ligatures w14:val="none"/>
        </w:rPr>
        <w:t>Ghosh</w:t>
      </w:r>
      <w:r w:rsidR="00233D68">
        <w:rPr>
          <w:rFonts w:ascii="Arial" w:eastAsia="Times New Roman" w:hAnsi="Arial" w:cs="Arial"/>
          <w:kern w:val="0"/>
          <w:sz w:val="20"/>
          <w:szCs w:val="20"/>
          <w:lang w:eastAsia="fr-FR"/>
          <w14:ligatures w14:val="none"/>
        </w:rPr>
        <w:t xml:space="preserve"> and al.</w:t>
      </w:r>
      <w:r w:rsidR="002848B8" w:rsidRPr="00F47ED7">
        <w:rPr>
          <w:rFonts w:ascii="Arial" w:eastAsia="Times New Roman" w:hAnsi="Arial" w:cs="Arial"/>
          <w:kern w:val="0"/>
          <w:sz w:val="20"/>
          <w:szCs w:val="20"/>
          <w:lang w:eastAsia="fr-FR"/>
          <w14:ligatures w14:val="none"/>
        </w:rPr>
        <w:t>, 2024</w:t>
      </w:r>
      <w:r w:rsidR="002848B8" w:rsidRPr="002848B8">
        <w:rPr>
          <w:rFonts w:ascii="Arial" w:eastAsia="Times New Roman" w:hAnsi="Arial" w:cs="Arial"/>
          <w:kern w:val="0"/>
          <w:sz w:val="20"/>
          <w:szCs w:val="20"/>
          <w:highlight w:val="yellow"/>
          <w:lang w:eastAsia="fr-FR"/>
          <w14:ligatures w14:val="none"/>
        </w:rPr>
        <w:t xml:space="preserve">). Microbiological risks stem from multiple </w:t>
      </w:r>
      <w:proofErr w:type="gramStart"/>
      <w:r w:rsidR="002848B8" w:rsidRPr="002848B8">
        <w:rPr>
          <w:rFonts w:ascii="Arial" w:eastAsia="Times New Roman" w:hAnsi="Arial" w:cs="Arial"/>
          <w:kern w:val="0"/>
          <w:sz w:val="20"/>
          <w:szCs w:val="20"/>
          <w:highlight w:val="yellow"/>
          <w:lang w:eastAsia="fr-FR"/>
          <w14:ligatures w14:val="none"/>
        </w:rPr>
        <w:t>failures:</w:t>
      </w:r>
      <w:proofErr w:type="gramEnd"/>
      <w:r w:rsidR="002848B8" w:rsidRPr="002848B8">
        <w:rPr>
          <w:rFonts w:ascii="Arial" w:eastAsia="Times New Roman" w:hAnsi="Arial" w:cs="Arial"/>
          <w:kern w:val="0"/>
          <w:sz w:val="20"/>
          <w:szCs w:val="20"/>
          <w:highlight w:val="yellow"/>
          <w:lang w:eastAsia="fr-FR"/>
          <w14:ligatures w14:val="none"/>
        </w:rPr>
        <w:t xml:space="preserve"> pre-slaughter stress, which increases the shedding of enteric pathogens from the carcass; unhygienic evisceration; and post-slaughter handling without good manufacturing practices (GMP) or hazard and critical control point analysis (HACCP). High concentrations of total embryonic germs (TEG), exceedances of coliform thresholds and the presence of enterobacteria indicate fecal/human contamination, compromising Chad's livestock export potential and public health </w:t>
      </w:r>
      <w:r w:rsidR="002848B8" w:rsidRPr="008C37EC">
        <w:rPr>
          <w:rFonts w:ascii="Arial" w:eastAsia="Times New Roman" w:hAnsi="Arial" w:cs="Arial"/>
          <w:kern w:val="0"/>
          <w:sz w:val="20"/>
          <w:szCs w:val="20"/>
          <w:highlight w:val="yellow"/>
          <w:lang w:eastAsia="fr-FR"/>
          <w14:ligatures w14:val="none"/>
        </w:rPr>
        <w:t>(</w:t>
      </w:r>
      <w:bookmarkStart w:id="3" w:name="_Hlk216742177"/>
      <w:r w:rsidR="008C37EC" w:rsidRPr="008C37EC">
        <w:rPr>
          <w:rFonts w:ascii="Arial" w:eastAsia="Times New Roman" w:hAnsi="Arial" w:cs="Arial"/>
          <w:kern w:val="0"/>
          <w:sz w:val="20"/>
          <w:szCs w:val="20"/>
          <w:highlight w:val="yellow"/>
          <w:lang w:eastAsia="fr-FR"/>
          <w14:ligatures w14:val="none"/>
        </w:rPr>
        <w:t>Taylor and al.</w:t>
      </w:r>
      <w:r w:rsidR="002848B8" w:rsidRPr="008C37EC">
        <w:rPr>
          <w:rFonts w:ascii="Arial" w:eastAsia="Times New Roman" w:hAnsi="Arial" w:cs="Arial"/>
          <w:kern w:val="0"/>
          <w:sz w:val="20"/>
          <w:szCs w:val="20"/>
          <w:highlight w:val="yellow"/>
          <w:lang w:eastAsia="fr-FR"/>
          <w14:ligatures w14:val="none"/>
        </w:rPr>
        <w:t>, 2022</w:t>
      </w:r>
      <w:bookmarkEnd w:id="3"/>
      <w:r w:rsidR="002848B8" w:rsidRPr="008C37EC">
        <w:rPr>
          <w:rFonts w:ascii="Arial" w:eastAsia="Times New Roman" w:hAnsi="Arial" w:cs="Arial"/>
          <w:kern w:val="0"/>
          <w:sz w:val="20"/>
          <w:szCs w:val="20"/>
          <w:highlight w:val="yellow"/>
          <w:lang w:eastAsia="fr-FR"/>
          <w14:ligatures w14:val="none"/>
        </w:rPr>
        <w:t>).</w:t>
      </w:r>
      <w:r w:rsidR="00A1469A">
        <w:rPr>
          <w:rFonts w:ascii="Arial" w:eastAsia="Times New Roman" w:hAnsi="Arial" w:cs="Arial"/>
          <w:kern w:val="0"/>
          <w:sz w:val="20"/>
          <w:szCs w:val="20"/>
          <w:lang w:eastAsia="fr-FR"/>
          <w14:ligatures w14:val="none"/>
        </w:rPr>
        <w:t xml:space="preserve"> </w:t>
      </w:r>
      <w:r w:rsidRPr="00DC59C3">
        <w:rPr>
          <w:rFonts w:ascii="Arial" w:eastAsia="Times New Roman" w:hAnsi="Arial" w:cs="Arial"/>
          <w:kern w:val="0"/>
          <w:sz w:val="20"/>
          <w:szCs w:val="20"/>
          <w:lang w:eastAsia="fr-FR"/>
          <w14:ligatures w14:val="none"/>
        </w:rPr>
        <w:t>Faced with this challenge, the main objective of this study was to assess the microbiological contamination of fresh sheep meat sold in N'Djamena to quantify microbial loads, determine its safety, and propose concrete measures for controlling and ensuring its sanitary quality.</w:t>
      </w:r>
    </w:p>
    <w:p w14:paraId="557EF251" w14:textId="77777777" w:rsidR="006869F3" w:rsidRPr="00A3238C" w:rsidRDefault="006869F3" w:rsidP="00A3238C">
      <w:pPr>
        <w:spacing w:after="0" w:line="360" w:lineRule="auto"/>
        <w:jc w:val="both"/>
        <w:rPr>
          <w:rFonts w:ascii="Times New Roman" w:eastAsia="Times New Roman" w:hAnsi="Times New Roman" w:cs="Times New Roman"/>
          <w:kern w:val="0"/>
          <w:sz w:val="24"/>
          <w:szCs w:val="24"/>
          <w:lang w:eastAsia="fr-FR"/>
          <w14:ligatures w14:val="none"/>
        </w:rPr>
      </w:pPr>
    </w:p>
    <w:p w14:paraId="21F1C785" w14:textId="77777777" w:rsidR="00403F8A" w:rsidRPr="00844ACF" w:rsidRDefault="007D37A3" w:rsidP="00403F8A">
      <w:pPr>
        <w:spacing w:after="0" w:line="360" w:lineRule="auto"/>
        <w:rPr>
          <w:rFonts w:ascii="Arial" w:eastAsia="Times New Roman" w:hAnsi="Arial" w:cs="Arial"/>
          <w:b/>
          <w:bCs/>
          <w:kern w:val="0"/>
          <w:sz w:val="28"/>
          <w:szCs w:val="28"/>
          <w:lang w:eastAsia="fr-FR"/>
          <w14:ligatures w14:val="none"/>
        </w:rPr>
      </w:pPr>
      <w:r>
        <w:rPr>
          <w:rFonts w:ascii="Times New Roman" w:eastAsia="Times New Roman" w:hAnsi="Times New Roman" w:cs="Times New Roman"/>
          <w:kern w:val="0"/>
          <w:sz w:val="24"/>
          <w:szCs w:val="24"/>
          <w:lang w:eastAsia="fr-FR"/>
          <w14:ligatures w14:val="none"/>
        </w:rPr>
        <w:t>​</w:t>
      </w:r>
      <w:r w:rsidR="00403F8A" w:rsidRPr="00B16247">
        <w:rPr>
          <w:rFonts w:ascii="Arial" w:eastAsia="Times New Roman" w:hAnsi="Arial" w:cs="Arial"/>
          <w:b/>
          <w:bCs/>
          <w:kern w:val="0"/>
          <w:lang w:eastAsia="fr-FR"/>
          <w14:ligatures w14:val="none"/>
        </w:rPr>
        <w:t>2. Materials and Methods</w:t>
      </w:r>
    </w:p>
    <w:p w14:paraId="67D2C126" w14:textId="77777777" w:rsidR="00403F8A" w:rsidRPr="00B16247" w:rsidRDefault="00403F8A" w:rsidP="00403F8A">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2.1. Setting and Sampling</w:t>
      </w:r>
    </w:p>
    <w:p w14:paraId="4610C1EF" w14:textId="1D4F63B1" w:rsidR="00AD776A" w:rsidRDefault="006869F3">
      <w:pPr>
        <w:spacing w:after="0" w:line="360" w:lineRule="auto"/>
        <w:jc w:val="both"/>
        <w:rPr>
          <w:rFonts w:ascii="Times New Roman" w:eastAsia="Times New Roman" w:hAnsi="Times New Roman" w:cs="Times New Roman"/>
          <w:kern w:val="0"/>
          <w:sz w:val="24"/>
          <w:szCs w:val="24"/>
          <w:lang w:eastAsia="fr-FR"/>
          <w14:ligatures w14:val="none"/>
        </w:rPr>
      </w:pPr>
      <w:r w:rsidRPr="00DC59C3">
        <w:rPr>
          <w:rFonts w:ascii="Arial" w:eastAsia="Times New Roman" w:hAnsi="Arial" w:cs="Arial"/>
          <w:kern w:val="0"/>
          <w:sz w:val="20"/>
          <w:szCs w:val="20"/>
          <w:lang w:eastAsia="fr-FR"/>
          <w14:ligatures w14:val="none"/>
        </w:rPr>
        <w:t xml:space="preserve">This prospective and analytical study was conducted on fresh sheep meat sold in six districts of N’Djamena, Chad (Figure 1). A total of 30 samples of fresh sheep meat (5 per district) were collected aseptically. For convenience, nonprobability sampling was used. The samples were transported rapidly </w:t>
      </w:r>
      <w:r w:rsidRPr="00DC59C3">
        <w:rPr>
          <w:rFonts w:ascii="Arial" w:eastAsia="Times New Roman" w:hAnsi="Arial" w:cs="Arial"/>
          <w:kern w:val="0"/>
          <w:sz w:val="20"/>
          <w:szCs w:val="20"/>
          <w:lang w:eastAsia="fr-FR"/>
          <w14:ligatures w14:val="none"/>
        </w:rPr>
        <w:lastRenderedPageBreak/>
        <w:t>to the REDES Laboratory at the University of N’Djamena and kept in a cooler with dry ice to maintain the cold chain</w:t>
      </w:r>
      <w:r w:rsidRPr="006869F3">
        <w:rPr>
          <w:rFonts w:ascii="Times New Roman" w:eastAsia="Times New Roman" w:hAnsi="Times New Roman" w:cs="Times New Roman"/>
          <w:kern w:val="0"/>
          <w:sz w:val="24"/>
          <w:szCs w:val="24"/>
          <w:lang w:eastAsia="fr-FR"/>
          <w14:ligatures w14:val="none"/>
        </w:rPr>
        <w:t>. </w:t>
      </w:r>
    </w:p>
    <w:p w14:paraId="0BECCFC2" w14:textId="6179AC7B" w:rsidR="00AD776A" w:rsidRDefault="00EF7FC1">
      <w:pPr>
        <w:spacing w:after="0" w:line="360" w:lineRule="auto"/>
        <w:jc w:val="both"/>
        <w:rPr>
          <w:rFonts w:ascii="Times New Roman" w:eastAsia="Times New Roman" w:hAnsi="Times New Roman" w:cs="Times New Roman"/>
          <w:kern w:val="0"/>
          <w:sz w:val="24"/>
          <w:szCs w:val="24"/>
          <w:lang w:eastAsia="fr-FR"/>
          <w14:ligatures w14:val="none"/>
        </w:rPr>
      </w:pPr>
      <w:r w:rsidRPr="00DC59C3">
        <w:rPr>
          <w:rFonts w:ascii="Arial" w:eastAsia="Calibri" w:hAnsi="Arial" w:cs="Arial"/>
          <w:bCs/>
          <w:noProof/>
          <w:sz w:val="20"/>
          <w:szCs w:val="20"/>
          <w:lang w:val="en-US"/>
        </w:rPr>
        <w:drawing>
          <wp:anchor distT="0" distB="0" distL="114300" distR="114300" simplePos="0" relativeHeight="251661312" behindDoc="0" locked="0" layoutInCell="1" allowOverlap="1" wp14:anchorId="2AEDB780" wp14:editId="2C33F2A2">
            <wp:simplePos x="0" y="0"/>
            <wp:positionH relativeFrom="margin">
              <wp:posOffset>1155700</wp:posOffset>
            </wp:positionH>
            <wp:positionV relativeFrom="paragraph">
              <wp:posOffset>87160</wp:posOffset>
            </wp:positionV>
            <wp:extent cx="3440400" cy="1908502"/>
            <wp:effectExtent l="0" t="0" r="825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0400" cy="1908502"/>
                    </a:xfrm>
                    <a:prstGeom prst="rect">
                      <a:avLst/>
                    </a:prstGeom>
                  </pic:spPr>
                </pic:pic>
              </a:graphicData>
            </a:graphic>
            <wp14:sizeRelH relativeFrom="margin">
              <wp14:pctWidth>0</wp14:pctWidth>
            </wp14:sizeRelH>
            <wp14:sizeRelV relativeFrom="margin">
              <wp14:pctHeight>0</wp14:pctHeight>
            </wp14:sizeRelV>
          </wp:anchor>
        </w:drawing>
      </w:r>
    </w:p>
    <w:p w14:paraId="16EB0877" w14:textId="750C48F9"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51B07F8B" w14:textId="4C011B1B"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7B19C7D1" w14:textId="06609298"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27139257" w14:textId="4B737FEA"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4605382A" w14:textId="5630E7F9" w:rsidR="002145E9" w:rsidRDefault="002145E9">
      <w:pPr>
        <w:spacing w:after="0" w:line="360" w:lineRule="auto"/>
        <w:jc w:val="center"/>
        <w:rPr>
          <w:rFonts w:ascii="Times New Roman" w:eastAsia="Times New Roman" w:hAnsi="Times New Roman" w:cs="Times New Roman"/>
          <w:b/>
          <w:bCs/>
          <w:kern w:val="0"/>
          <w:sz w:val="24"/>
          <w:szCs w:val="24"/>
          <w:lang w:eastAsia="fr-FR"/>
          <w14:ligatures w14:val="none"/>
        </w:rPr>
      </w:pPr>
    </w:p>
    <w:p w14:paraId="31D18838" w14:textId="53D3A079" w:rsidR="00860F37" w:rsidRDefault="00860F37" w:rsidP="002145E9">
      <w:pPr>
        <w:spacing w:after="0" w:line="360" w:lineRule="auto"/>
        <w:jc w:val="center"/>
        <w:rPr>
          <w:rFonts w:ascii="Times New Roman" w:eastAsia="Times New Roman" w:hAnsi="Times New Roman" w:cs="Times New Roman"/>
          <w:b/>
          <w:bCs/>
          <w:kern w:val="0"/>
          <w:sz w:val="24"/>
          <w:szCs w:val="24"/>
          <w:lang w:eastAsia="fr-FR"/>
          <w14:ligatures w14:val="none"/>
        </w:rPr>
      </w:pPr>
    </w:p>
    <w:p w14:paraId="62F55787" w14:textId="77777777" w:rsidR="00AC6038" w:rsidRDefault="00AC6038" w:rsidP="00EF7FC1">
      <w:pPr>
        <w:spacing w:after="0" w:line="360" w:lineRule="auto"/>
        <w:rPr>
          <w:rFonts w:ascii="Times New Roman" w:eastAsia="Times New Roman" w:hAnsi="Times New Roman" w:cs="Times New Roman"/>
          <w:b/>
          <w:bCs/>
          <w:kern w:val="0"/>
          <w:sz w:val="24"/>
          <w:szCs w:val="24"/>
          <w:lang w:eastAsia="fr-FR"/>
          <w14:ligatures w14:val="none"/>
        </w:rPr>
      </w:pPr>
    </w:p>
    <w:p w14:paraId="2A5086CB" w14:textId="05487A17" w:rsidR="006869F3" w:rsidRPr="002145E9" w:rsidRDefault="002145E9" w:rsidP="00517D65">
      <w:pPr>
        <w:spacing w:after="0" w:line="360" w:lineRule="auto"/>
        <w:jc w:val="center"/>
        <w:rPr>
          <w:rFonts w:ascii="Times New Roman" w:eastAsia="Times New Roman" w:hAnsi="Times New Roman" w:cs="Times New Roman"/>
          <w:kern w:val="0"/>
          <w:sz w:val="24"/>
          <w:szCs w:val="24"/>
          <w:lang w:eastAsia="fr-FR"/>
          <w14:ligatures w14:val="none"/>
        </w:rPr>
      </w:pPr>
      <w:r w:rsidRPr="00803955">
        <w:rPr>
          <w:rFonts w:ascii="Times New Roman" w:eastAsia="Times New Roman" w:hAnsi="Times New Roman" w:cs="Times New Roman"/>
          <w:b/>
          <w:bCs/>
          <w:kern w:val="0"/>
          <w:sz w:val="24"/>
          <w:szCs w:val="24"/>
          <w:lang w:eastAsia="fr-FR"/>
          <w14:ligatures w14:val="none"/>
        </w:rPr>
        <w:t xml:space="preserve">Figure </w:t>
      </w:r>
      <w:proofErr w:type="gramStart"/>
      <w:r w:rsidRPr="00803955">
        <w:rPr>
          <w:rFonts w:ascii="Times New Roman" w:eastAsia="Times New Roman" w:hAnsi="Times New Roman" w:cs="Times New Roman"/>
          <w:b/>
          <w:bCs/>
          <w:kern w:val="0"/>
          <w:sz w:val="24"/>
          <w:szCs w:val="24"/>
          <w:lang w:eastAsia="fr-FR"/>
          <w14:ligatures w14:val="none"/>
        </w:rPr>
        <w:t>1:</w:t>
      </w:r>
      <w:proofErr w:type="gramEnd"/>
      <w:r w:rsidRPr="00803955">
        <w:rPr>
          <w:rFonts w:ascii="Times New Roman" w:eastAsia="Times New Roman" w:hAnsi="Times New Roman" w:cs="Times New Roman"/>
          <w:b/>
          <w:bCs/>
          <w:kern w:val="0"/>
          <w:sz w:val="24"/>
          <w:szCs w:val="24"/>
          <w:lang w:eastAsia="fr-FR"/>
          <w14:ligatures w14:val="none"/>
        </w:rPr>
        <w:t xml:space="preserve"> </w:t>
      </w:r>
      <w:r w:rsidRPr="00803955">
        <w:rPr>
          <w:rFonts w:ascii="Times New Roman" w:eastAsia="Times New Roman" w:hAnsi="Times New Roman" w:cs="Times New Roman"/>
          <w:kern w:val="0"/>
          <w:sz w:val="24"/>
          <w:szCs w:val="24"/>
          <w:lang w:eastAsia="fr-FR"/>
          <w14:ligatures w14:val="none"/>
        </w:rPr>
        <w:t>Administrative map of the city of N'Djamena.</w:t>
      </w:r>
    </w:p>
    <w:p w14:paraId="58429866" w14:textId="5E9BD58C" w:rsidR="00AD776A" w:rsidRPr="00844ACF" w:rsidRDefault="007D37A3" w:rsidP="00844ACF">
      <w:pPr>
        <w:spacing w:after="0" w:line="360" w:lineRule="auto"/>
        <w:rPr>
          <w:rFonts w:ascii="Arial" w:eastAsia="Times New Roman" w:hAnsi="Arial" w:cs="Arial"/>
          <w:b/>
          <w:bCs/>
          <w:kern w:val="0"/>
          <w:sz w:val="28"/>
          <w:szCs w:val="28"/>
          <w:lang w:eastAsia="fr-FR"/>
          <w14:ligatures w14:val="none"/>
        </w:rPr>
      </w:pPr>
      <w:r w:rsidRPr="00B16247">
        <w:rPr>
          <w:rFonts w:ascii="Arial" w:eastAsia="Times New Roman" w:hAnsi="Arial" w:cs="Arial"/>
          <w:b/>
          <w:bCs/>
          <w:kern w:val="0"/>
          <w:lang w:eastAsia="fr-FR"/>
          <w14:ligatures w14:val="none"/>
        </w:rPr>
        <w:t xml:space="preserve">2.2. </w:t>
      </w:r>
      <w:r w:rsidR="00860F37" w:rsidRPr="00B16247">
        <w:rPr>
          <w:rFonts w:ascii="Arial" w:eastAsia="Times New Roman" w:hAnsi="Arial" w:cs="Arial"/>
          <w:b/>
          <w:bCs/>
          <w:kern w:val="0"/>
          <w:lang w:eastAsia="fr-FR"/>
          <w14:ligatures w14:val="none"/>
        </w:rPr>
        <w:t>Survey</w:t>
      </w:r>
    </w:p>
    <w:p w14:paraId="010308B6" w14:textId="0E5F3B5C" w:rsidR="00AD776A" w:rsidRPr="00634F70" w:rsidRDefault="006869F3" w:rsidP="00860F37">
      <w:pPr>
        <w:spacing w:after="0" w:line="360" w:lineRule="auto"/>
        <w:jc w:val="both"/>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 xml:space="preserve">To contextualize hygiene practices and identify risk factors, a cross-sectional study was conducted with a sample of 30 butchers involved in meat marketing. This survey was based on a questionnaire structured in two main </w:t>
      </w:r>
      <w:proofErr w:type="gramStart"/>
      <w:r w:rsidRPr="00634F70">
        <w:rPr>
          <w:rFonts w:ascii="Arial" w:eastAsia="Times New Roman" w:hAnsi="Arial" w:cs="Arial"/>
          <w:kern w:val="0"/>
          <w:sz w:val="20"/>
          <w:szCs w:val="20"/>
          <w:lang w:eastAsia="fr-FR"/>
          <w14:ligatures w14:val="none"/>
        </w:rPr>
        <w:t>parts:</w:t>
      </w:r>
      <w:proofErr w:type="gramEnd"/>
      <w:r w:rsidRPr="00634F70">
        <w:rPr>
          <w:rFonts w:ascii="Arial" w:eastAsia="Times New Roman" w:hAnsi="Arial" w:cs="Arial"/>
          <w:kern w:val="0"/>
          <w:sz w:val="20"/>
          <w:szCs w:val="20"/>
          <w:lang w:eastAsia="fr-FR"/>
          <w14:ligatures w14:val="none"/>
        </w:rPr>
        <w:t xml:space="preserve"> the first aimed to establish the sociodemographic profile of the participants (distribution by sex, average age, and education level), while the second was designed to assess specific hygiene practices. This second part covered the evaluation of education level, the state of the work environment and the personal hygiene of the meat handlers, the quality of the equipment used, and the methods of transporting the meat, all supplemented by direct observation of critical stages in the production chain.</w:t>
      </w:r>
    </w:p>
    <w:p w14:paraId="63E19540" w14:textId="77777777" w:rsidR="00860F37" w:rsidRDefault="00860F37" w:rsidP="00860F37">
      <w:pPr>
        <w:spacing w:after="0" w:line="360" w:lineRule="auto"/>
        <w:jc w:val="both"/>
        <w:rPr>
          <w:rFonts w:ascii="Times New Roman" w:eastAsia="Times New Roman" w:hAnsi="Times New Roman" w:cs="Times New Roman"/>
          <w:kern w:val="0"/>
          <w:sz w:val="24"/>
          <w:szCs w:val="24"/>
          <w:lang w:eastAsia="fr-FR"/>
          <w14:ligatures w14:val="none"/>
        </w:rPr>
      </w:pPr>
    </w:p>
    <w:p w14:paraId="6165136D" w14:textId="77777777" w:rsidR="00F07FF6" w:rsidRPr="00B16247" w:rsidRDefault="00F07FF6" w:rsidP="00844ACF">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2.3. Identification and enumeration of microorganisms</w:t>
      </w:r>
    </w:p>
    <w:p w14:paraId="37CCC6E1" w14:textId="1F7489CC" w:rsidR="00AD776A" w:rsidRDefault="00DD1A83" w:rsidP="00F07FF6">
      <w:pPr>
        <w:spacing w:after="0" w:line="360" w:lineRule="auto"/>
        <w:jc w:val="both"/>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The analysis started with sample preparation and serial dilutions following standard microbiological methods. A 25 g portion of the sample was homogenized in a Stomacher bag with 225 mL of sterile buffered peptone water</w:t>
      </w:r>
      <w:r w:rsidR="004801EF" w:rsidRPr="00634F70">
        <w:rPr>
          <w:rFonts w:ascii="Arial" w:eastAsia="Times New Roman" w:hAnsi="Arial" w:cs="Arial"/>
          <w:kern w:val="0"/>
          <w:sz w:val="20"/>
          <w:szCs w:val="20"/>
          <w:lang w:eastAsia="fr-FR"/>
          <w14:ligatures w14:val="none"/>
        </w:rPr>
        <w:t xml:space="preserve"> (BPW)</w:t>
      </w:r>
      <w:r w:rsidRPr="00634F70">
        <w:rPr>
          <w:rFonts w:ascii="Arial" w:eastAsia="Times New Roman" w:hAnsi="Arial" w:cs="Arial"/>
          <w:kern w:val="0"/>
          <w:sz w:val="20"/>
          <w:szCs w:val="20"/>
          <w:lang w:eastAsia="fr-FR"/>
          <w14:ligatures w14:val="none"/>
        </w:rPr>
        <w:t xml:space="preserve"> to achieve the initial </w:t>
      </w:r>
      <w:proofErr w:type="gramStart"/>
      <w:r w:rsidR="008C2A11" w:rsidRPr="00634F70">
        <w:rPr>
          <w:rFonts w:ascii="Arial" w:eastAsia="Times New Roman" w:hAnsi="Arial" w:cs="Arial"/>
          <w:kern w:val="0"/>
          <w:sz w:val="20"/>
          <w:szCs w:val="20"/>
          <w:lang w:eastAsia="fr-FR"/>
          <w14:ligatures w14:val="none"/>
        </w:rPr>
        <w:t>1:</w:t>
      </w:r>
      <w:proofErr w:type="gramEnd"/>
      <w:r w:rsidR="008C2A11" w:rsidRPr="00634F70">
        <w:rPr>
          <w:rFonts w:ascii="Arial" w:eastAsia="Times New Roman" w:hAnsi="Arial" w:cs="Arial"/>
          <w:kern w:val="0"/>
          <w:sz w:val="20"/>
          <w:szCs w:val="20"/>
          <w:lang w:eastAsia="fr-FR"/>
          <w14:ligatures w14:val="none"/>
        </w:rPr>
        <w:t xml:space="preserve">10 </w:t>
      </w:r>
      <w:r w:rsidRPr="00634F70">
        <w:rPr>
          <w:rFonts w:ascii="Arial" w:eastAsia="Times New Roman" w:hAnsi="Arial" w:cs="Arial"/>
          <w:kern w:val="0"/>
          <w:sz w:val="20"/>
          <w:szCs w:val="20"/>
          <w:lang w:eastAsia="fr-FR"/>
          <w14:ligatures w14:val="none"/>
        </w:rPr>
        <w:t>stock suspension. Subsequent serial dilutions were prepared from this stock.</w:t>
      </w:r>
      <w:r w:rsidR="00EA5FA3" w:rsidRPr="00634F70">
        <w:rPr>
          <w:rFonts w:ascii="Arial" w:eastAsia="Times New Roman" w:hAnsi="Arial" w:cs="Arial"/>
          <w:kern w:val="0"/>
          <w:sz w:val="20"/>
          <w:szCs w:val="20"/>
          <w:lang w:eastAsia="fr-FR"/>
          <w14:ligatures w14:val="none"/>
        </w:rPr>
        <w:t xml:space="preserve"> Enumeration of target microorganisms was performed by surface plating (0.1 mL) on specific selective media. </w:t>
      </w:r>
      <w:r w:rsidR="00263497" w:rsidRPr="00634F70">
        <w:rPr>
          <w:rFonts w:ascii="Arial" w:eastAsia="Times New Roman" w:hAnsi="Arial" w:cs="Arial"/>
          <w:kern w:val="0"/>
          <w:sz w:val="20"/>
          <w:szCs w:val="20"/>
          <w:lang w:eastAsia="fr-FR"/>
          <w14:ligatures w14:val="none"/>
        </w:rPr>
        <w:t>Total Mesophilic Aerobic Flora (</w:t>
      </w:r>
      <w:r w:rsidR="0069400A" w:rsidRPr="00634F70">
        <w:rPr>
          <w:rFonts w:ascii="Arial" w:eastAsia="Times New Roman" w:hAnsi="Arial" w:cs="Arial"/>
          <w:kern w:val="0"/>
          <w:sz w:val="20"/>
          <w:szCs w:val="20"/>
          <w:lang w:eastAsia="fr-FR"/>
          <w14:ligatures w14:val="none"/>
        </w:rPr>
        <w:t>TMAF</w:t>
      </w:r>
      <w:r w:rsidR="00263497" w:rsidRPr="00634F70">
        <w:rPr>
          <w:rFonts w:ascii="Arial" w:eastAsia="Times New Roman" w:hAnsi="Arial" w:cs="Arial"/>
          <w:kern w:val="0"/>
          <w:sz w:val="20"/>
          <w:szCs w:val="20"/>
          <w:lang w:eastAsia="fr-FR"/>
          <w14:ligatures w14:val="none"/>
        </w:rPr>
        <w:t>)</w:t>
      </w:r>
      <w:r w:rsidR="00EA5FA3" w:rsidRPr="00634F70">
        <w:rPr>
          <w:rFonts w:ascii="Arial" w:eastAsia="Times New Roman" w:hAnsi="Arial" w:cs="Arial"/>
          <w:kern w:val="0"/>
          <w:sz w:val="20"/>
          <w:szCs w:val="20"/>
          <w:lang w:eastAsia="fr-FR"/>
          <w14:ligatures w14:val="none"/>
        </w:rPr>
        <w:t xml:space="preserve"> was enumerated on PCA agar (30±1 °C/24-48 h), </w:t>
      </w:r>
      <w:r w:rsidR="00EA5FA3" w:rsidRPr="00634F70">
        <w:rPr>
          <w:rFonts w:ascii="Arial" w:eastAsia="Times New Roman" w:hAnsi="Arial" w:cs="Arial"/>
          <w:i/>
          <w:iCs/>
          <w:kern w:val="0"/>
          <w:sz w:val="20"/>
          <w:szCs w:val="20"/>
          <w:lang w:eastAsia="fr-FR"/>
          <w14:ligatures w14:val="none"/>
        </w:rPr>
        <w:t>S. aureus</w:t>
      </w:r>
      <w:r w:rsidR="00EA5FA3" w:rsidRPr="00634F70">
        <w:rPr>
          <w:rFonts w:ascii="Arial" w:eastAsia="Times New Roman" w:hAnsi="Arial" w:cs="Arial"/>
          <w:kern w:val="0"/>
          <w:sz w:val="20"/>
          <w:szCs w:val="20"/>
          <w:lang w:eastAsia="fr-FR"/>
          <w14:ligatures w14:val="none"/>
        </w:rPr>
        <w:t xml:space="preserve"> on Chapman agar (37±1 °C/24-48 h), thermotolerant coliforms on EMB agar (44±1 °C/24 h), and yeasts and molds on Sabouraud chloramphenicol agar (25±1 °C/5 days). The detection of thermotolerant coliforms required an isolation and confirmation step by subculturing on selective broth </w:t>
      </w:r>
      <w:r w:rsidR="00393F0B" w:rsidRPr="00634F70">
        <w:rPr>
          <w:rFonts w:ascii="Arial" w:eastAsia="Times New Roman" w:hAnsi="Arial" w:cs="Arial"/>
          <w:kern w:val="0"/>
          <w:sz w:val="20"/>
          <w:szCs w:val="20"/>
          <w:lang w:eastAsia="fr-FR"/>
          <w14:ligatures w14:val="none"/>
        </w:rPr>
        <w:t>and incubating at 37±1</w:t>
      </w:r>
      <w:r w:rsidR="00393F0B" w:rsidRPr="00634F70">
        <w:rPr>
          <w:rFonts w:ascii="Cambria Math" w:eastAsia="Times New Roman" w:hAnsi="Cambria Math" w:cs="Cambria Math"/>
          <w:kern w:val="0"/>
          <w:sz w:val="20"/>
          <w:szCs w:val="20"/>
          <w:lang w:eastAsia="fr-FR"/>
          <w14:ligatures w14:val="none"/>
        </w:rPr>
        <w:t>∘</w:t>
      </w:r>
      <w:r w:rsidR="00393F0B" w:rsidRPr="00634F70">
        <w:rPr>
          <w:rFonts w:ascii="Arial" w:eastAsia="Times New Roman" w:hAnsi="Arial" w:cs="Arial"/>
          <w:kern w:val="0"/>
          <w:sz w:val="20"/>
          <w:szCs w:val="20"/>
          <w:lang w:eastAsia="fr-FR"/>
          <w14:ligatures w14:val="none"/>
        </w:rPr>
        <w:t>C for 24 h</w:t>
      </w:r>
      <w:r w:rsidR="00EA5FA3" w:rsidRPr="00634F70">
        <w:rPr>
          <w:rFonts w:ascii="Arial" w:eastAsia="Times New Roman" w:hAnsi="Arial" w:cs="Arial"/>
          <w:kern w:val="0"/>
          <w:sz w:val="20"/>
          <w:szCs w:val="20"/>
          <w:lang w:eastAsia="fr-FR"/>
          <w14:ligatures w14:val="none"/>
        </w:rPr>
        <w:t xml:space="preserve">. Finally, the detection of </w:t>
      </w:r>
      <w:r w:rsidR="00EA5FA3" w:rsidRPr="00634F70">
        <w:rPr>
          <w:rFonts w:ascii="Arial" w:eastAsia="Times New Roman" w:hAnsi="Arial" w:cs="Arial"/>
          <w:i/>
          <w:iCs/>
          <w:kern w:val="0"/>
          <w:sz w:val="20"/>
          <w:szCs w:val="20"/>
          <w:lang w:eastAsia="fr-FR"/>
          <w14:ligatures w14:val="none"/>
        </w:rPr>
        <w:t>Salmonella</w:t>
      </w:r>
      <w:r w:rsidR="00EA5FA3" w:rsidRPr="00634F70">
        <w:rPr>
          <w:rFonts w:ascii="Arial" w:eastAsia="Times New Roman" w:hAnsi="Arial" w:cs="Arial"/>
          <w:kern w:val="0"/>
          <w:sz w:val="20"/>
          <w:szCs w:val="20"/>
          <w:lang w:eastAsia="fr-FR"/>
          <w14:ligatures w14:val="none"/>
        </w:rPr>
        <w:t xml:space="preserve"> spp. The analysis was conducted in accordance with ISO </w:t>
      </w:r>
      <w:proofErr w:type="gramStart"/>
      <w:r w:rsidR="00EA5FA3" w:rsidRPr="00634F70">
        <w:rPr>
          <w:rFonts w:ascii="Arial" w:eastAsia="Times New Roman" w:hAnsi="Arial" w:cs="Arial"/>
          <w:kern w:val="0"/>
          <w:sz w:val="20"/>
          <w:szCs w:val="20"/>
          <w:lang w:eastAsia="fr-FR"/>
          <w14:ligatures w14:val="none"/>
        </w:rPr>
        <w:t>6579:</w:t>
      </w:r>
      <w:proofErr w:type="gramEnd"/>
      <w:r w:rsidR="00EA5FA3" w:rsidRPr="00634F70">
        <w:rPr>
          <w:rFonts w:ascii="Arial" w:eastAsia="Times New Roman" w:hAnsi="Arial" w:cs="Arial"/>
          <w:kern w:val="0"/>
          <w:sz w:val="20"/>
          <w:szCs w:val="20"/>
          <w:lang w:eastAsia="fr-FR"/>
          <w14:ligatures w14:val="none"/>
        </w:rPr>
        <w:t xml:space="preserve">2002, including pre-enrichment, selective enrichment in </w:t>
      </w:r>
      <w:r w:rsidR="00731B97" w:rsidRPr="00634F70">
        <w:rPr>
          <w:rFonts w:ascii="Arial" w:eastAsia="Times New Roman" w:hAnsi="Arial" w:cs="Arial"/>
          <w:kern w:val="0"/>
          <w:sz w:val="20"/>
          <w:szCs w:val="20"/>
          <w:lang w:eastAsia="fr-FR"/>
          <w14:ligatures w14:val="none"/>
        </w:rPr>
        <w:t>Rappaport Vassiliadis Soya (</w:t>
      </w:r>
      <w:r w:rsidR="00EA5FA3" w:rsidRPr="00634F70">
        <w:rPr>
          <w:rFonts w:ascii="Arial" w:eastAsia="Times New Roman" w:hAnsi="Arial" w:cs="Arial"/>
          <w:kern w:val="0"/>
          <w:sz w:val="20"/>
          <w:szCs w:val="20"/>
          <w:lang w:eastAsia="fr-FR"/>
          <w14:ligatures w14:val="none"/>
        </w:rPr>
        <w:t>RVS</w:t>
      </w:r>
      <w:r w:rsidR="00731B97" w:rsidRPr="00634F70">
        <w:rPr>
          <w:rFonts w:ascii="Arial" w:eastAsia="Times New Roman" w:hAnsi="Arial" w:cs="Arial"/>
          <w:kern w:val="0"/>
          <w:sz w:val="20"/>
          <w:szCs w:val="20"/>
          <w:lang w:eastAsia="fr-FR"/>
          <w14:ligatures w14:val="none"/>
        </w:rPr>
        <w:t>)</w:t>
      </w:r>
      <w:r w:rsidR="00EA5FA3" w:rsidRPr="00634F70">
        <w:rPr>
          <w:rFonts w:ascii="Arial" w:eastAsia="Times New Roman" w:hAnsi="Arial" w:cs="Arial"/>
          <w:kern w:val="0"/>
          <w:sz w:val="20"/>
          <w:szCs w:val="20"/>
          <w:lang w:eastAsia="fr-FR"/>
          <w14:ligatures w14:val="none"/>
        </w:rPr>
        <w:t xml:space="preserve"> broth (42±1 °C/18–24 h), and isolation on selective media. </w:t>
      </w:r>
      <w:r w:rsidR="00905634" w:rsidRPr="00634F70">
        <w:rPr>
          <w:rFonts w:ascii="Arial" w:eastAsia="Times New Roman" w:hAnsi="Arial" w:cs="Arial"/>
          <w:kern w:val="0"/>
          <w:sz w:val="20"/>
          <w:szCs w:val="20"/>
          <w:lang w:eastAsia="fr-FR"/>
          <w14:ligatures w14:val="none"/>
        </w:rPr>
        <w:t>The quantitative results were reported as Colony Forming Units per gram (CFU/g) of the sample. The final interpretation of the results was guided by the assessment criteria established in Regulation (EC) No 2073/2005 on microbiological criteria for foodstuffs.</w:t>
      </w:r>
    </w:p>
    <w:p w14:paraId="02B47AAB" w14:textId="77777777" w:rsidR="00D27A65" w:rsidRPr="00634F70" w:rsidRDefault="00D27A65" w:rsidP="00F07FF6">
      <w:pPr>
        <w:spacing w:after="0" w:line="360" w:lineRule="auto"/>
        <w:jc w:val="both"/>
        <w:rPr>
          <w:rFonts w:ascii="Arial" w:eastAsia="Times New Roman" w:hAnsi="Arial" w:cs="Arial"/>
          <w:kern w:val="0"/>
          <w:sz w:val="20"/>
          <w:szCs w:val="20"/>
          <w:lang w:eastAsia="fr-FR"/>
          <w14:ligatures w14:val="none"/>
        </w:rPr>
      </w:pPr>
    </w:p>
    <w:p w14:paraId="7EB87447" w14:textId="77777777" w:rsidR="00F07FF6" w:rsidRDefault="00F07FF6">
      <w:pPr>
        <w:spacing w:after="0" w:line="240" w:lineRule="auto"/>
        <w:rPr>
          <w:rFonts w:ascii="Times New Roman" w:eastAsia="Times New Roman" w:hAnsi="Times New Roman" w:cs="Times New Roman"/>
          <w:kern w:val="0"/>
          <w:sz w:val="24"/>
          <w:szCs w:val="24"/>
          <w:lang w:eastAsia="fr-FR"/>
          <w14:ligatures w14:val="none"/>
        </w:rPr>
      </w:pPr>
    </w:p>
    <w:p w14:paraId="6D97F779" w14:textId="77777777" w:rsidR="002B1624" w:rsidRPr="00B16247" w:rsidRDefault="002B1624" w:rsidP="00844ACF">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lastRenderedPageBreak/>
        <w:t>3. Results</w:t>
      </w:r>
    </w:p>
    <w:p w14:paraId="0A866E52" w14:textId="77777777" w:rsidR="002B1624" w:rsidRPr="00844ACF" w:rsidRDefault="002B1624" w:rsidP="00844ACF">
      <w:pPr>
        <w:spacing w:after="0" w:line="360" w:lineRule="auto"/>
        <w:rPr>
          <w:rFonts w:ascii="Arial" w:eastAsia="Times New Roman" w:hAnsi="Arial" w:cs="Arial"/>
          <w:b/>
          <w:bCs/>
          <w:kern w:val="0"/>
          <w:sz w:val="28"/>
          <w:szCs w:val="28"/>
          <w:lang w:eastAsia="fr-FR"/>
          <w14:ligatures w14:val="none"/>
        </w:rPr>
      </w:pPr>
      <w:r w:rsidRPr="00B16247">
        <w:rPr>
          <w:rFonts w:ascii="Arial" w:eastAsia="Times New Roman" w:hAnsi="Arial" w:cs="Arial"/>
          <w:b/>
          <w:bCs/>
          <w:kern w:val="0"/>
          <w:lang w:eastAsia="fr-FR"/>
          <w14:ligatures w14:val="none"/>
        </w:rPr>
        <w:t>3.1. Socio-demographic surveys</w:t>
      </w:r>
    </w:p>
    <w:p w14:paraId="2E6D1644" w14:textId="6F88C53D" w:rsidR="00AD776A" w:rsidRPr="00634F70" w:rsidRDefault="00122A87">
      <w:pPr>
        <w:spacing w:after="0" w:line="360" w:lineRule="auto"/>
        <w:jc w:val="both"/>
        <w:rPr>
          <w:rStyle w:val="citation-93"/>
          <w:rFonts w:ascii="Arial" w:hAnsi="Arial" w:cs="Arial"/>
          <w:sz w:val="20"/>
          <w:szCs w:val="20"/>
        </w:rPr>
      </w:pPr>
      <w:r w:rsidRPr="00634F70">
        <w:rPr>
          <w:rFonts w:ascii="Arial" w:hAnsi="Arial" w:cs="Arial"/>
          <w:sz w:val="20"/>
          <w:szCs w:val="20"/>
        </w:rPr>
        <w:t>R</w:t>
      </w:r>
      <w:r w:rsidR="006C0B27" w:rsidRPr="00634F70">
        <w:rPr>
          <w:rFonts w:ascii="Arial" w:hAnsi="Arial" w:cs="Arial"/>
          <w:sz w:val="20"/>
          <w:szCs w:val="20"/>
        </w:rPr>
        <w:t>esults revealed that most respondents (87</w:t>
      </w:r>
      <w:r w:rsidR="007140C4" w:rsidRPr="00634F70">
        <w:rPr>
          <w:rFonts w:ascii="Arial" w:hAnsi="Arial" w:cs="Arial"/>
          <w:sz w:val="20"/>
          <w:szCs w:val="20"/>
        </w:rPr>
        <w:t xml:space="preserve"> </w:t>
      </w:r>
      <w:r w:rsidR="006C0B27" w:rsidRPr="00634F70">
        <w:rPr>
          <w:rFonts w:ascii="Arial" w:hAnsi="Arial" w:cs="Arial"/>
          <w:sz w:val="20"/>
          <w:szCs w:val="20"/>
        </w:rPr>
        <w:t>%) were male, compared to 13</w:t>
      </w:r>
      <w:r w:rsidR="007140C4" w:rsidRPr="00634F70">
        <w:rPr>
          <w:rFonts w:ascii="Arial" w:hAnsi="Arial" w:cs="Arial"/>
          <w:sz w:val="20"/>
          <w:szCs w:val="20"/>
        </w:rPr>
        <w:t xml:space="preserve"> </w:t>
      </w:r>
      <w:r w:rsidR="006C0B27" w:rsidRPr="00634F70">
        <w:rPr>
          <w:rFonts w:ascii="Arial" w:hAnsi="Arial" w:cs="Arial"/>
          <w:sz w:val="20"/>
          <w:szCs w:val="20"/>
        </w:rPr>
        <w:t>% female (Figure 2). The predominant age group was 31</w:t>
      </w:r>
      <w:r w:rsidR="00A14812" w:rsidRPr="00634F70">
        <w:rPr>
          <w:rFonts w:ascii="Arial" w:hAnsi="Arial" w:cs="Arial"/>
          <w:sz w:val="20"/>
          <w:szCs w:val="20"/>
        </w:rPr>
        <w:t>-</w:t>
      </w:r>
      <w:r w:rsidR="006C0B27" w:rsidRPr="00634F70">
        <w:rPr>
          <w:rFonts w:ascii="Arial" w:hAnsi="Arial" w:cs="Arial"/>
          <w:sz w:val="20"/>
          <w:szCs w:val="20"/>
        </w:rPr>
        <w:t>40 years old, comprising 56.66</w:t>
      </w:r>
      <w:r w:rsidR="007140C4" w:rsidRPr="00634F70">
        <w:rPr>
          <w:rFonts w:ascii="Arial" w:hAnsi="Arial" w:cs="Arial"/>
          <w:sz w:val="20"/>
          <w:szCs w:val="20"/>
        </w:rPr>
        <w:t xml:space="preserve"> </w:t>
      </w:r>
      <w:r w:rsidR="006C0B27" w:rsidRPr="00634F70">
        <w:rPr>
          <w:rFonts w:ascii="Arial" w:hAnsi="Arial" w:cs="Arial"/>
          <w:sz w:val="20"/>
          <w:szCs w:val="20"/>
        </w:rPr>
        <w:t>% of vendors, followed by 20</w:t>
      </w:r>
      <w:r w:rsidR="00A14812" w:rsidRPr="00634F70">
        <w:rPr>
          <w:rFonts w:ascii="Arial" w:hAnsi="Arial" w:cs="Arial"/>
          <w:sz w:val="20"/>
          <w:szCs w:val="20"/>
        </w:rPr>
        <w:t>-</w:t>
      </w:r>
      <w:r w:rsidR="006C0B27" w:rsidRPr="00634F70">
        <w:rPr>
          <w:rFonts w:ascii="Arial" w:hAnsi="Arial" w:cs="Arial"/>
          <w:sz w:val="20"/>
          <w:szCs w:val="20"/>
        </w:rPr>
        <w:t>30 years old (36.66</w:t>
      </w:r>
      <w:r w:rsidR="007140C4" w:rsidRPr="00634F70">
        <w:rPr>
          <w:rFonts w:ascii="Arial" w:hAnsi="Arial" w:cs="Arial"/>
          <w:sz w:val="20"/>
          <w:szCs w:val="20"/>
        </w:rPr>
        <w:t xml:space="preserve"> </w:t>
      </w:r>
      <w:r w:rsidR="006C0B27" w:rsidRPr="00634F70">
        <w:rPr>
          <w:rFonts w:ascii="Arial" w:hAnsi="Arial" w:cs="Arial"/>
          <w:sz w:val="20"/>
          <w:szCs w:val="20"/>
        </w:rPr>
        <w:t>%) (Table 1). Regarding education level, more than half of the vendors (56.66</w:t>
      </w:r>
      <w:r w:rsidR="007140C4" w:rsidRPr="00634F70">
        <w:rPr>
          <w:rFonts w:ascii="Arial" w:hAnsi="Arial" w:cs="Arial"/>
          <w:sz w:val="20"/>
          <w:szCs w:val="20"/>
        </w:rPr>
        <w:t xml:space="preserve"> </w:t>
      </w:r>
      <w:r w:rsidR="006C0B27" w:rsidRPr="00634F70">
        <w:rPr>
          <w:rFonts w:ascii="Arial" w:hAnsi="Arial" w:cs="Arial"/>
          <w:sz w:val="20"/>
          <w:szCs w:val="20"/>
        </w:rPr>
        <w:t>%) had only basic education, including Quranic studies, and a significant proportion (16.66</w:t>
      </w:r>
      <w:r w:rsidR="00A14812" w:rsidRPr="00634F70">
        <w:rPr>
          <w:rFonts w:ascii="Arial" w:hAnsi="Arial" w:cs="Arial"/>
          <w:sz w:val="20"/>
          <w:szCs w:val="20"/>
        </w:rPr>
        <w:t xml:space="preserve"> </w:t>
      </w:r>
      <w:r w:rsidR="006C0B27" w:rsidRPr="00634F70">
        <w:rPr>
          <w:rFonts w:ascii="Arial" w:hAnsi="Arial" w:cs="Arial"/>
          <w:sz w:val="20"/>
          <w:szCs w:val="20"/>
        </w:rPr>
        <w:t>%) had no formal schooling at all. Only 10</w:t>
      </w:r>
      <w:r w:rsidR="00A14812" w:rsidRPr="00634F70">
        <w:rPr>
          <w:rFonts w:ascii="Arial" w:hAnsi="Arial" w:cs="Arial"/>
          <w:sz w:val="20"/>
          <w:szCs w:val="20"/>
        </w:rPr>
        <w:t xml:space="preserve"> </w:t>
      </w:r>
      <w:r w:rsidR="006C0B27" w:rsidRPr="00634F70">
        <w:rPr>
          <w:rFonts w:ascii="Arial" w:hAnsi="Arial" w:cs="Arial"/>
          <w:sz w:val="20"/>
          <w:szCs w:val="20"/>
        </w:rPr>
        <w:t>% had completed primary school, 13.33</w:t>
      </w:r>
      <w:r w:rsidR="00A14812" w:rsidRPr="00634F70">
        <w:rPr>
          <w:rFonts w:ascii="Arial" w:hAnsi="Arial" w:cs="Arial"/>
          <w:sz w:val="20"/>
          <w:szCs w:val="20"/>
        </w:rPr>
        <w:t xml:space="preserve"> </w:t>
      </w:r>
      <w:r w:rsidR="006C0B27" w:rsidRPr="00634F70">
        <w:rPr>
          <w:rFonts w:ascii="Arial" w:hAnsi="Arial" w:cs="Arial"/>
          <w:sz w:val="20"/>
          <w:szCs w:val="20"/>
        </w:rPr>
        <w:t>% had completed secondary school, and 3.33</w:t>
      </w:r>
      <w:r w:rsidR="00A14812" w:rsidRPr="00634F70">
        <w:rPr>
          <w:rFonts w:ascii="Arial" w:hAnsi="Arial" w:cs="Arial"/>
          <w:sz w:val="20"/>
          <w:szCs w:val="20"/>
        </w:rPr>
        <w:t xml:space="preserve"> </w:t>
      </w:r>
      <w:r w:rsidR="006C0B27" w:rsidRPr="00634F70">
        <w:rPr>
          <w:rFonts w:ascii="Arial" w:hAnsi="Arial" w:cs="Arial"/>
          <w:sz w:val="20"/>
          <w:szCs w:val="20"/>
        </w:rPr>
        <w:t>% had completed higher education (Figure 3). This sociodemographic information is crucial for determining the risk of contamination by correlating it with observed hygiene practices.</w:t>
      </w:r>
    </w:p>
    <w:p w14:paraId="29FC02D9" w14:textId="77777777" w:rsidR="00AD776A" w:rsidRDefault="00AD776A">
      <w:pPr>
        <w:spacing w:after="0" w:line="360" w:lineRule="auto"/>
        <w:jc w:val="both"/>
        <w:rPr>
          <w:lang w:eastAsia="fr-FR"/>
        </w:rPr>
      </w:pPr>
    </w:p>
    <w:p w14:paraId="440617FF" w14:textId="77777777" w:rsidR="00AD776A" w:rsidRDefault="007D37A3">
      <w:pPr>
        <w:spacing w:after="0" w:line="360" w:lineRule="auto"/>
        <w:jc w:val="both"/>
        <w:rPr>
          <w:lang w:eastAsia="fr-FR"/>
        </w:rPr>
      </w:pPr>
      <w:r>
        <w:rPr>
          <w:noProof/>
          <w:lang w:val="en-US"/>
        </w:rPr>
        <w:drawing>
          <wp:anchor distT="0" distB="0" distL="114300" distR="114300" simplePos="0" relativeHeight="251659264" behindDoc="0" locked="0" layoutInCell="1" allowOverlap="1" wp14:anchorId="365536B4" wp14:editId="343275CD">
            <wp:simplePos x="0" y="0"/>
            <wp:positionH relativeFrom="margin">
              <wp:posOffset>935355</wp:posOffset>
            </wp:positionH>
            <wp:positionV relativeFrom="paragraph">
              <wp:posOffset>1270</wp:posOffset>
            </wp:positionV>
            <wp:extent cx="3000375" cy="1847850"/>
            <wp:effectExtent l="0" t="0" r="9525" b="0"/>
            <wp:wrapSquare wrapText="bothSides"/>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8D37152" w14:textId="77777777" w:rsidR="00AD776A" w:rsidRDefault="00AD776A">
      <w:pPr>
        <w:spacing w:after="0" w:line="360" w:lineRule="auto"/>
        <w:jc w:val="both"/>
        <w:rPr>
          <w:lang w:eastAsia="fr-FR"/>
        </w:rPr>
      </w:pPr>
    </w:p>
    <w:p w14:paraId="22AF2EE8" w14:textId="77777777" w:rsidR="00AD776A" w:rsidRDefault="00AD776A">
      <w:pPr>
        <w:spacing w:after="0" w:line="360" w:lineRule="auto"/>
        <w:jc w:val="both"/>
        <w:rPr>
          <w:lang w:eastAsia="fr-FR"/>
        </w:rPr>
      </w:pPr>
    </w:p>
    <w:p w14:paraId="35A74523" w14:textId="77777777" w:rsidR="00AD776A" w:rsidRDefault="00AD776A">
      <w:pPr>
        <w:spacing w:after="0" w:line="360" w:lineRule="auto"/>
        <w:jc w:val="both"/>
        <w:rPr>
          <w:lang w:eastAsia="fr-FR"/>
        </w:rPr>
      </w:pPr>
    </w:p>
    <w:p w14:paraId="6D1414CC" w14:textId="77777777"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366EC215" w14:textId="77777777"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52186FBA" w14:textId="77777777"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0E831315" w14:textId="77777777"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20B4A096" w14:textId="51204F20" w:rsidR="00AD776A" w:rsidRPr="002B1624" w:rsidRDefault="002B1624" w:rsidP="002B1624">
      <w:pPr>
        <w:spacing w:after="0" w:line="360" w:lineRule="auto"/>
        <w:jc w:val="center"/>
        <w:rPr>
          <w:rFonts w:ascii="Times New Roman" w:eastAsia="Times New Roman" w:hAnsi="Times New Roman" w:cs="Times New Roman"/>
          <w:kern w:val="0"/>
          <w:sz w:val="24"/>
          <w:szCs w:val="24"/>
          <w:lang w:eastAsia="fr-FR"/>
          <w14:ligatures w14:val="none"/>
        </w:rPr>
      </w:pPr>
      <w:r w:rsidRPr="006131B4">
        <w:rPr>
          <w:rFonts w:ascii="Times New Roman" w:eastAsia="Times New Roman" w:hAnsi="Times New Roman" w:cs="Times New Roman"/>
          <w:b/>
          <w:bCs/>
          <w:kern w:val="0"/>
          <w:sz w:val="24"/>
          <w:szCs w:val="24"/>
          <w:lang w:eastAsia="fr-FR"/>
          <w14:ligatures w14:val="none"/>
        </w:rPr>
        <w:t xml:space="preserve">Figure </w:t>
      </w:r>
      <w:proofErr w:type="gramStart"/>
      <w:r w:rsidRPr="006131B4">
        <w:rPr>
          <w:rFonts w:ascii="Times New Roman" w:eastAsia="Times New Roman" w:hAnsi="Times New Roman" w:cs="Times New Roman"/>
          <w:b/>
          <w:bCs/>
          <w:kern w:val="0"/>
          <w:sz w:val="24"/>
          <w:szCs w:val="24"/>
          <w:lang w:eastAsia="fr-FR"/>
          <w14:ligatures w14:val="none"/>
        </w:rPr>
        <w:t>2:</w:t>
      </w:r>
      <w:proofErr w:type="gramEnd"/>
      <w:r w:rsidRPr="006131B4">
        <w:rPr>
          <w:rFonts w:ascii="Times New Roman" w:eastAsia="Times New Roman" w:hAnsi="Times New Roman" w:cs="Times New Roman"/>
          <w:b/>
          <w:bCs/>
          <w:kern w:val="0"/>
          <w:sz w:val="24"/>
          <w:szCs w:val="24"/>
          <w:lang w:eastAsia="fr-FR"/>
          <w14:ligatures w14:val="none"/>
        </w:rPr>
        <w:t xml:space="preserve"> </w:t>
      </w:r>
      <w:r w:rsidRPr="006131B4">
        <w:rPr>
          <w:rFonts w:ascii="Times New Roman" w:eastAsia="Times New Roman" w:hAnsi="Times New Roman" w:cs="Times New Roman"/>
          <w:kern w:val="0"/>
          <w:sz w:val="24"/>
          <w:szCs w:val="24"/>
          <w:lang w:eastAsia="fr-FR"/>
          <w14:ligatures w14:val="none"/>
        </w:rPr>
        <w:t>Gender distribution of respondents.</w:t>
      </w:r>
    </w:p>
    <w:p w14:paraId="0E040FE7" w14:textId="77777777" w:rsidR="002B1624" w:rsidRDefault="002B1624">
      <w:pPr>
        <w:spacing w:after="0" w:line="360" w:lineRule="auto"/>
        <w:jc w:val="both"/>
        <w:rPr>
          <w:rFonts w:ascii="Times New Roman" w:eastAsia="Times New Roman" w:hAnsi="Times New Roman" w:cs="Times New Roman"/>
          <w:b/>
          <w:bCs/>
          <w:kern w:val="0"/>
          <w:sz w:val="24"/>
          <w:szCs w:val="24"/>
          <w:lang w:val="en-US" w:eastAsia="fr-FR"/>
          <w14:ligatures w14:val="none"/>
        </w:rPr>
      </w:pPr>
    </w:p>
    <w:p w14:paraId="4C8163B2" w14:textId="19037D21" w:rsidR="00AD776A" w:rsidRPr="00634F70" w:rsidRDefault="002B1624">
      <w:pPr>
        <w:spacing w:after="0" w:line="360" w:lineRule="auto"/>
        <w:jc w:val="both"/>
        <w:rPr>
          <w:rFonts w:ascii="Arial" w:eastAsia="Times New Roman" w:hAnsi="Arial" w:cs="Arial"/>
          <w:kern w:val="0"/>
          <w:sz w:val="20"/>
          <w:szCs w:val="20"/>
          <w:lang w:val="en-US" w:eastAsia="fr-FR"/>
          <w14:ligatures w14:val="none"/>
        </w:rPr>
      </w:pPr>
      <w:r w:rsidRPr="00634F70">
        <w:rPr>
          <w:rFonts w:ascii="Arial" w:eastAsia="Times New Roman" w:hAnsi="Arial" w:cs="Arial"/>
          <w:b/>
          <w:bCs/>
          <w:kern w:val="0"/>
          <w:sz w:val="20"/>
          <w:szCs w:val="20"/>
          <w:lang w:val="en-US" w:eastAsia="fr-FR"/>
          <w14:ligatures w14:val="none"/>
        </w:rPr>
        <w:t xml:space="preserve">Table </w:t>
      </w:r>
      <w:r w:rsidR="00AD4DC5">
        <w:rPr>
          <w:rFonts w:ascii="Arial" w:eastAsia="Times New Roman" w:hAnsi="Arial" w:cs="Arial"/>
          <w:b/>
          <w:bCs/>
          <w:kern w:val="0"/>
          <w:sz w:val="20"/>
          <w:szCs w:val="20"/>
          <w:lang w:val="en-US" w:eastAsia="fr-FR"/>
          <w14:ligatures w14:val="none"/>
        </w:rPr>
        <w:t>1</w:t>
      </w:r>
      <w:r w:rsidRPr="00634F70">
        <w:rPr>
          <w:rFonts w:ascii="Arial" w:eastAsia="Times New Roman" w:hAnsi="Arial" w:cs="Arial"/>
          <w:b/>
          <w:bCs/>
          <w:kern w:val="0"/>
          <w:sz w:val="20"/>
          <w:szCs w:val="20"/>
          <w:lang w:val="en-US" w:eastAsia="fr-FR"/>
          <w14:ligatures w14:val="none"/>
        </w:rPr>
        <w:t xml:space="preserve">: </w:t>
      </w:r>
      <w:r w:rsidRPr="00634F70">
        <w:rPr>
          <w:rFonts w:ascii="Arial" w:eastAsia="Times New Roman" w:hAnsi="Arial" w:cs="Arial"/>
          <w:kern w:val="0"/>
          <w:sz w:val="20"/>
          <w:szCs w:val="20"/>
          <w:lang w:val="en-US" w:eastAsia="fr-FR"/>
          <w14:ligatures w14:val="none"/>
        </w:rPr>
        <w:t>Distribution of the age group of the surveyed populations.</w:t>
      </w:r>
    </w:p>
    <w:tbl>
      <w:tblPr>
        <w:tblStyle w:val="TableGrid"/>
        <w:tblW w:w="62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3"/>
        <w:gridCol w:w="1852"/>
        <w:gridCol w:w="2500"/>
      </w:tblGrid>
      <w:tr w:rsidR="00AD776A" w:rsidRPr="00634F70" w14:paraId="1977B72E" w14:textId="77777777" w:rsidTr="001C3D0C">
        <w:trPr>
          <w:trHeight w:val="355"/>
          <w:jc w:val="center"/>
        </w:trPr>
        <w:tc>
          <w:tcPr>
            <w:tcW w:w="1943" w:type="dxa"/>
            <w:tcBorders>
              <w:bottom w:val="single" w:sz="4" w:space="0" w:color="auto"/>
            </w:tcBorders>
          </w:tcPr>
          <w:p w14:paraId="1ADA8F44" w14:textId="1248F010" w:rsidR="00AD776A" w:rsidRPr="00634F70" w:rsidRDefault="007D37A3">
            <w:pPr>
              <w:spacing w:after="0" w:line="360" w:lineRule="auto"/>
              <w:jc w:val="both"/>
              <w:rPr>
                <w:rFonts w:ascii="Arial" w:eastAsia="Times New Roman" w:hAnsi="Arial" w:cs="Arial"/>
                <w:b/>
                <w:bCs/>
                <w:kern w:val="0"/>
                <w:sz w:val="20"/>
                <w:szCs w:val="20"/>
                <w:lang w:val="en-US" w:eastAsia="fr-FR"/>
                <w14:ligatures w14:val="none"/>
              </w:rPr>
            </w:pPr>
            <w:r w:rsidRPr="00634F70">
              <w:rPr>
                <w:rFonts w:ascii="Arial" w:eastAsia="Times New Roman" w:hAnsi="Arial" w:cs="Arial"/>
                <w:b/>
                <w:bCs/>
                <w:kern w:val="0"/>
                <w:sz w:val="20"/>
                <w:szCs w:val="20"/>
                <w:lang w:eastAsia="fr-FR"/>
                <w14:ligatures w14:val="none"/>
              </w:rPr>
              <w:t xml:space="preserve"> </w:t>
            </w:r>
            <w:r w:rsidR="002B1624" w:rsidRPr="00634F70">
              <w:rPr>
                <w:rFonts w:ascii="Arial" w:eastAsia="Times New Roman" w:hAnsi="Arial" w:cs="Arial"/>
                <w:b/>
                <w:bCs/>
                <w:kern w:val="0"/>
                <w:sz w:val="20"/>
                <w:szCs w:val="20"/>
                <w:lang w:eastAsia="fr-FR"/>
                <w14:ligatures w14:val="none"/>
              </w:rPr>
              <w:t>Age (years)</w:t>
            </w:r>
          </w:p>
        </w:tc>
        <w:tc>
          <w:tcPr>
            <w:tcW w:w="1852" w:type="dxa"/>
            <w:tcBorders>
              <w:bottom w:val="single" w:sz="4" w:space="0" w:color="auto"/>
            </w:tcBorders>
          </w:tcPr>
          <w:p w14:paraId="4DB6D0E2" w14:textId="139C7DA3" w:rsidR="00AD776A" w:rsidRPr="00634F70" w:rsidRDefault="002B1624" w:rsidP="003803E1">
            <w:pPr>
              <w:spacing w:after="0" w:line="360" w:lineRule="auto"/>
              <w:jc w:val="center"/>
              <w:rPr>
                <w:rFonts w:ascii="Arial" w:eastAsia="Times New Roman" w:hAnsi="Arial" w:cs="Arial"/>
                <w:b/>
                <w:bCs/>
                <w:kern w:val="0"/>
                <w:sz w:val="20"/>
                <w:szCs w:val="20"/>
                <w:lang w:eastAsia="fr-FR"/>
                <w14:ligatures w14:val="none"/>
              </w:rPr>
            </w:pPr>
            <w:r w:rsidRPr="00634F70">
              <w:rPr>
                <w:rFonts w:ascii="Arial" w:eastAsia="Times New Roman" w:hAnsi="Arial" w:cs="Arial"/>
                <w:b/>
                <w:bCs/>
                <w:kern w:val="0"/>
                <w:sz w:val="20"/>
                <w:szCs w:val="20"/>
                <w:lang w:eastAsia="fr-FR"/>
                <w14:ligatures w14:val="none"/>
              </w:rPr>
              <w:t xml:space="preserve">Number </w:t>
            </w:r>
          </w:p>
        </w:tc>
        <w:tc>
          <w:tcPr>
            <w:tcW w:w="2500" w:type="dxa"/>
            <w:tcBorders>
              <w:bottom w:val="single" w:sz="4" w:space="0" w:color="auto"/>
            </w:tcBorders>
          </w:tcPr>
          <w:p w14:paraId="79785C3E" w14:textId="6FA008D3" w:rsidR="00AD776A" w:rsidRPr="00634F70" w:rsidRDefault="002B1624" w:rsidP="003803E1">
            <w:pPr>
              <w:spacing w:after="0" w:line="360" w:lineRule="auto"/>
              <w:jc w:val="center"/>
              <w:rPr>
                <w:rFonts w:ascii="Arial" w:eastAsia="Times New Roman" w:hAnsi="Arial" w:cs="Arial"/>
                <w:b/>
                <w:bCs/>
                <w:kern w:val="0"/>
                <w:sz w:val="20"/>
                <w:szCs w:val="20"/>
                <w:lang w:val="en-US" w:eastAsia="fr-FR"/>
                <w14:ligatures w14:val="none"/>
              </w:rPr>
            </w:pPr>
            <w:r w:rsidRPr="00634F70">
              <w:rPr>
                <w:rFonts w:ascii="Arial" w:eastAsia="Times New Roman" w:hAnsi="Arial" w:cs="Arial"/>
                <w:b/>
                <w:bCs/>
                <w:kern w:val="0"/>
                <w:sz w:val="20"/>
                <w:szCs w:val="20"/>
                <w:lang w:eastAsia="fr-FR"/>
                <w14:ligatures w14:val="none"/>
              </w:rPr>
              <w:t>Percentage (%)</w:t>
            </w:r>
          </w:p>
        </w:tc>
      </w:tr>
      <w:tr w:rsidR="00AD776A" w:rsidRPr="00634F70" w14:paraId="64E6AEF7" w14:textId="77777777" w:rsidTr="001C3D0C">
        <w:trPr>
          <w:trHeight w:val="422"/>
          <w:jc w:val="center"/>
        </w:trPr>
        <w:tc>
          <w:tcPr>
            <w:tcW w:w="1943" w:type="dxa"/>
          </w:tcPr>
          <w:p w14:paraId="20BB0E8B" w14:textId="01D0F02C" w:rsidR="00AD776A" w:rsidRPr="00634F70" w:rsidRDefault="007D37A3">
            <w:pPr>
              <w:spacing w:after="0" w:line="360" w:lineRule="auto"/>
              <w:jc w:val="both"/>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 xml:space="preserve">20 </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 xml:space="preserve"> 30 </w:t>
            </w:r>
          </w:p>
        </w:tc>
        <w:tc>
          <w:tcPr>
            <w:tcW w:w="1852" w:type="dxa"/>
          </w:tcPr>
          <w:p w14:paraId="4329B221" w14:textId="77777777"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11</w:t>
            </w:r>
          </w:p>
        </w:tc>
        <w:tc>
          <w:tcPr>
            <w:tcW w:w="2500" w:type="dxa"/>
          </w:tcPr>
          <w:p w14:paraId="31A36857" w14:textId="3D03E45B" w:rsidR="00AD776A" w:rsidRPr="00634F70" w:rsidRDefault="007D37A3" w:rsidP="003803E1">
            <w:pPr>
              <w:spacing w:after="0" w:line="360" w:lineRule="auto"/>
              <w:jc w:val="center"/>
              <w:rPr>
                <w:rFonts w:ascii="Arial" w:eastAsia="Times New Roman" w:hAnsi="Arial" w:cs="Arial"/>
                <w:kern w:val="0"/>
                <w:sz w:val="20"/>
                <w:szCs w:val="20"/>
                <w:lang w:val="en-US" w:eastAsia="fr-FR"/>
                <w14:ligatures w14:val="none"/>
              </w:rPr>
            </w:pPr>
            <w:r w:rsidRPr="00634F70">
              <w:rPr>
                <w:rFonts w:ascii="Arial" w:eastAsia="Times New Roman" w:hAnsi="Arial" w:cs="Arial"/>
                <w:kern w:val="0"/>
                <w:sz w:val="20"/>
                <w:szCs w:val="20"/>
                <w:lang w:eastAsia="fr-FR"/>
                <w14:ligatures w14:val="none"/>
              </w:rPr>
              <w:t>36</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66</w:t>
            </w:r>
          </w:p>
        </w:tc>
      </w:tr>
      <w:tr w:rsidR="00AD776A" w:rsidRPr="00634F70" w14:paraId="5E68BA93" w14:textId="77777777" w:rsidTr="001C3D0C">
        <w:trPr>
          <w:trHeight w:val="434"/>
          <w:jc w:val="center"/>
        </w:trPr>
        <w:tc>
          <w:tcPr>
            <w:tcW w:w="1943" w:type="dxa"/>
          </w:tcPr>
          <w:p w14:paraId="00D32003" w14:textId="09DE8DCF" w:rsidR="00AD776A" w:rsidRPr="00634F70" w:rsidRDefault="007D37A3">
            <w:pPr>
              <w:spacing w:after="0" w:line="360" w:lineRule="auto"/>
              <w:jc w:val="both"/>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 xml:space="preserve">31 </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 xml:space="preserve"> 40</w:t>
            </w:r>
          </w:p>
        </w:tc>
        <w:tc>
          <w:tcPr>
            <w:tcW w:w="1852" w:type="dxa"/>
          </w:tcPr>
          <w:p w14:paraId="3E7FC43E" w14:textId="77777777"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17</w:t>
            </w:r>
          </w:p>
        </w:tc>
        <w:tc>
          <w:tcPr>
            <w:tcW w:w="2500" w:type="dxa"/>
          </w:tcPr>
          <w:p w14:paraId="46985E5C" w14:textId="4149EF64"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56</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66</w:t>
            </w:r>
          </w:p>
        </w:tc>
      </w:tr>
      <w:tr w:rsidR="00AD776A" w:rsidRPr="00634F70" w14:paraId="5B988EF1" w14:textId="77777777" w:rsidTr="001C3D0C">
        <w:trPr>
          <w:trHeight w:val="422"/>
          <w:jc w:val="center"/>
        </w:trPr>
        <w:tc>
          <w:tcPr>
            <w:tcW w:w="1943" w:type="dxa"/>
          </w:tcPr>
          <w:p w14:paraId="72CA7A5B" w14:textId="3698FDC1" w:rsidR="00AD776A" w:rsidRPr="00634F70" w:rsidRDefault="007D37A3">
            <w:pPr>
              <w:spacing w:after="0" w:line="360" w:lineRule="auto"/>
              <w:jc w:val="both"/>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 xml:space="preserve">41 </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 xml:space="preserve"> 50 </w:t>
            </w:r>
          </w:p>
        </w:tc>
        <w:tc>
          <w:tcPr>
            <w:tcW w:w="1852" w:type="dxa"/>
          </w:tcPr>
          <w:p w14:paraId="5CC4F6E8" w14:textId="77777777"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02</w:t>
            </w:r>
          </w:p>
        </w:tc>
        <w:tc>
          <w:tcPr>
            <w:tcW w:w="2500" w:type="dxa"/>
          </w:tcPr>
          <w:p w14:paraId="0B411A3F" w14:textId="47502571"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6</w:t>
            </w:r>
            <w:r w:rsidR="003251B8" w:rsidRPr="00634F70">
              <w:rPr>
                <w:rFonts w:ascii="Arial" w:eastAsia="Times New Roman" w:hAnsi="Arial" w:cs="Arial"/>
                <w:kern w:val="0"/>
                <w:sz w:val="20"/>
                <w:szCs w:val="20"/>
                <w:lang w:eastAsia="fr-FR"/>
                <w14:ligatures w14:val="none"/>
              </w:rPr>
              <w:t>.</w:t>
            </w:r>
            <w:r w:rsidRPr="00634F70">
              <w:rPr>
                <w:rFonts w:ascii="Arial" w:eastAsia="Times New Roman" w:hAnsi="Arial" w:cs="Arial"/>
                <w:kern w:val="0"/>
                <w:sz w:val="20"/>
                <w:szCs w:val="20"/>
                <w:lang w:eastAsia="fr-FR"/>
                <w14:ligatures w14:val="none"/>
              </w:rPr>
              <w:t>66</w:t>
            </w:r>
          </w:p>
        </w:tc>
      </w:tr>
      <w:tr w:rsidR="00AD776A" w:rsidRPr="00634F70" w14:paraId="6E533217" w14:textId="77777777" w:rsidTr="001C3D0C">
        <w:trPr>
          <w:trHeight w:val="422"/>
          <w:jc w:val="center"/>
        </w:trPr>
        <w:tc>
          <w:tcPr>
            <w:tcW w:w="1943" w:type="dxa"/>
          </w:tcPr>
          <w:p w14:paraId="06B0AC44" w14:textId="77777777" w:rsidR="00AD776A" w:rsidRPr="00634F70" w:rsidRDefault="007D37A3">
            <w:pPr>
              <w:spacing w:after="0" w:line="360" w:lineRule="auto"/>
              <w:jc w:val="both"/>
              <w:rPr>
                <w:rFonts w:ascii="Arial" w:eastAsia="Times New Roman" w:hAnsi="Arial" w:cs="Arial"/>
                <w:b/>
                <w:bCs/>
                <w:kern w:val="0"/>
                <w:sz w:val="20"/>
                <w:szCs w:val="20"/>
                <w:lang w:eastAsia="fr-FR"/>
                <w14:ligatures w14:val="none"/>
              </w:rPr>
            </w:pPr>
            <w:r w:rsidRPr="00634F70">
              <w:rPr>
                <w:rFonts w:ascii="Arial" w:eastAsia="Times New Roman" w:hAnsi="Arial" w:cs="Arial"/>
                <w:b/>
                <w:bCs/>
                <w:kern w:val="0"/>
                <w:sz w:val="20"/>
                <w:szCs w:val="20"/>
                <w:lang w:eastAsia="fr-FR"/>
                <w14:ligatures w14:val="none"/>
              </w:rPr>
              <w:t>Total</w:t>
            </w:r>
          </w:p>
        </w:tc>
        <w:tc>
          <w:tcPr>
            <w:tcW w:w="1852" w:type="dxa"/>
          </w:tcPr>
          <w:p w14:paraId="42CD51B8" w14:textId="77777777"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30</w:t>
            </w:r>
          </w:p>
        </w:tc>
        <w:tc>
          <w:tcPr>
            <w:tcW w:w="2500" w:type="dxa"/>
          </w:tcPr>
          <w:p w14:paraId="59C4CF57" w14:textId="18F78D2C" w:rsidR="00AD776A" w:rsidRPr="00634F70" w:rsidRDefault="007D37A3" w:rsidP="003803E1">
            <w:pPr>
              <w:spacing w:after="0" w:line="360" w:lineRule="auto"/>
              <w:jc w:val="center"/>
              <w:rPr>
                <w:rFonts w:ascii="Arial" w:eastAsia="Times New Roman" w:hAnsi="Arial" w:cs="Arial"/>
                <w:kern w:val="0"/>
                <w:sz w:val="20"/>
                <w:szCs w:val="20"/>
                <w:lang w:eastAsia="fr-FR"/>
                <w14:ligatures w14:val="none"/>
              </w:rPr>
            </w:pPr>
            <w:r w:rsidRPr="00634F70">
              <w:rPr>
                <w:rFonts w:ascii="Arial" w:eastAsia="Times New Roman" w:hAnsi="Arial" w:cs="Arial"/>
                <w:kern w:val="0"/>
                <w:sz w:val="20"/>
                <w:szCs w:val="20"/>
                <w:lang w:eastAsia="fr-FR"/>
                <w14:ligatures w14:val="none"/>
              </w:rPr>
              <w:t>100</w:t>
            </w:r>
          </w:p>
        </w:tc>
      </w:tr>
    </w:tbl>
    <w:p w14:paraId="08B5955E" w14:textId="77777777" w:rsidR="00AD776A" w:rsidRDefault="00AD776A">
      <w:pPr>
        <w:spacing w:after="0" w:line="360" w:lineRule="auto"/>
        <w:jc w:val="both"/>
        <w:rPr>
          <w:rFonts w:ascii="Times New Roman" w:eastAsia="Times New Roman" w:hAnsi="Times New Roman" w:cs="Times New Roman"/>
          <w:b/>
          <w:bCs/>
          <w:kern w:val="0"/>
          <w:sz w:val="24"/>
          <w:szCs w:val="24"/>
          <w:lang w:eastAsia="fr-FR"/>
          <w14:ligatures w14:val="none"/>
        </w:rPr>
      </w:pPr>
    </w:p>
    <w:p w14:paraId="392FF81D" w14:textId="77777777" w:rsidR="00AD776A" w:rsidRDefault="00AD776A">
      <w:pPr>
        <w:spacing w:after="0" w:line="360" w:lineRule="auto"/>
        <w:jc w:val="both"/>
        <w:rPr>
          <w:rFonts w:ascii="Times New Roman" w:eastAsia="Times New Roman" w:hAnsi="Times New Roman" w:cs="Times New Roman"/>
          <w:b/>
          <w:bCs/>
          <w:kern w:val="0"/>
          <w:sz w:val="24"/>
          <w:szCs w:val="24"/>
          <w:lang w:eastAsia="fr-FR"/>
          <w14:ligatures w14:val="none"/>
        </w:rPr>
      </w:pPr>
    </w:p>
    <w:p w14:paraId="004E3686" w14:textId="57DDFF7F" w:rsidR="00AD776A" w:rsidRDefault="00DD63C9" w:rsidP="00DD63C9">
      <w:pPr>
        <w:spacing w:after="0" w:line="360" w:lineRule="auto"/>
        <w:jc w:val="center"/>
        <w:rPr>
          <w:rFonts w:ascii="Times New Roman" w:eastAsia="Times New Roman" w:hAnsi="Times New Roman" w:cs="Times New Roman"/>
          <w:b/>
          <w:bCs/>
          <w:kern w:val="0"/>
          <w:sz w:val="24"/>
          <w:szCs w:val="24"/>
          <w:lang w:eastAsia="fr-FR"/>
          <w14:ligatures w14:val="none"/>
        </w:rPr>
      </w:pPr>
      <w:r>
        <w:rPr>
          <w:noProof/>
          <w:lang w:val="en-US"/>
          <w14:ligatures w14:val="none"/>
        </w:rPr>
        <w:lastRenderedPageBreak/>
        <w:drawing>
          <wp:inline distT="0" distB="0" distL="0" distR="0" wp14:anchorId="7A9F8AE4" wp14:editId="55A05246">
            <wp:extent cx="4572000" cy="2743200"/>
            <wp:effectExtent l="0" t="0" r="0" b="0"/>
            <wp:docPr id="441521284" name="Graphique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F2353A" w14:textId="65809F56" w:rsidR="00AD776A" w:rsidRDefault="009F450B" w:rsidP="00DD63C9">
      <w:pPr>
        <w:jc w:val="center"/>
        <w:rPr>
          <w:rFonts w:ascii="Times New Roman" w:eastAsia="Times New Roman" w:hAnsi="Times New Roman" w:cs="Times New Roman"/>
          <w:kern w:val="0"/>
          <w:sz w:val="24"/>
          <w:szCs w:val="24"/>
          <w:lang w:eastAsia="fr-FR"/>
          <w14:ligatures w14:val="none"/>
        </w:rPr>
      </w:pPr>
      <w:r w:rsidRPr="00DD63C9">
        <w:rPr>
          <w:rFonts w:ascii="Times New Roman" w:eastAsia="Times New Roman" w:hAnsi="Times New Roman" w:cs="Times New Roman"/>
          <w:b/>
          <w:bCs/>
          <w:kern w:val="0"/>
          <w:sz w:val="24"/>
          <w:szCs w:val="24"/>
          <w:lang w:eastAsia="fr-FR"/>
          <w14:ligatures w14:val="none"/>
        </w:rPr>
        <w:t xml:space="preserve">Figure </w:t>
      </w:r>
      <w:proofErr w:type="gramStart"/>
      <w:r w:rsidRPr="00DD63C9">
        <w:rPr>
          <w:rFonts w:ascii="Times New Roman" w:eastAsia="Times New Roman" w:hAnsi="Times New Roman" w:cs="Times New Roman"/>
          <w:b/>
          <w:bCs/>
          <w:kern w:val="0"/>
          <w:sz w:val="24"/>
          <w:szCs w:val="24"/>
          <w:lang w:eastAsia="fr-FR"/>
          <w14:ligatures w14:val="none"/>
        </w:rPr>
        <w:t>3:</w:t>
      </w:r>
      <w:proofErr w:type="gramEnd"/>
      <w:r w:rsidRPr="00DD63C9">
        <w:rPr>
          <w:rFonts w:ascii="Times New Roman" w:eastAsia="Times New Roman" w:hAnsi="Times New Roman" w:cs="Times New Roman"/>
          <w:b/>
          <w:bCs/>
          <w:kern w:val="0"/>
          <w:sz w:val="24"/>
          <w:szCs w:val="24"/>
          <w:lang w:eastAsia="fr-FR"/>
          <w14:ligatures w14:val="none"/>
        </w:rPr>
        <w:t xml:space="preserve"> </w:t>
      </w:r>
      <w:r w:rsidRPr="00DD63C9">
        <w:rPr>
          <w:rFonts w:ascii="Times New Roman" w:eastAsia="Times New Roman" w:hAnsi="Times New Roman" w:cs="Times New Roman"/>
          <w:kern w:val="0"/>
          <w:sz w:val="24"/>
          <w:szCs w:val="24"/>
          <w:lang w:eastAsia="fr-FR"/>
          <w14:ligatures w14:val="none"/>
        </w:rPr>
        <w:t>Distribution of educational levels of the surveyed population</w:t>
      </w:r>
    </w:p>
    <w:p w14:paraId="308529C4" w14:textId="77777777" w:rsidR="009F450B" w:rsidRPr="00844ACF" w:rsidRDefault="009F450B" w:rsidP="00844ACF">
      <w:pPr>
        <w:spacing w:after="0" w:line="360" w:lineRule="auto"/>
        <w:rPr>
          <w:rFonts w:ascii="Arial" w:eastAsia="Times New Roman" w:hAnsi="Arial" w:cs="Arial"/>
          <w:b/>
          <w:bCs/>
          <w:kern w:val="0"/>
          <w:sz w:val="24"/>
          <w:szCs w:val="24"/>
          <w:lang w:eastAsia="fr-FR"/>
          <w14:ligatures w14:val="none"/>
        </w:rPr>
      </w:pPr>
      <w:r w:rsidRPr="00844ACF">
        <w:rPr>
          <w:rFonts w:ascii="Arial" w:eastAsia="Times New Roman" w:hAnsi="Arial" w:cs="Arial"/>
          <w:b/>
          <w:bCs/>
          <w:kern w:val="0"/>
          <w:sz w:val="24"/>
          <w:szCs w:val="24"/>
          <w:lang w:eastAsia="fr-FR"/>
          <w14:ligatures w14:val="none"/>
        </w:rPr>
        <w:t>3.2. Microbiological parameters of beef</w:t>
      </w:r>
    </w:p>
    <w:p w14:paraId="32D65801" w14:textId="3DB5EAD8" w:rsidR="0003771F" w:rsidRPr="0003771F" w:rsidRDefault="0003771F" w:rsidP="0003771F">
      <w:pPr>
        <w:spacing w:after="0" w:line="360" w:lineRule="auto"/>
        <w:jc w:val="both"/>
        <w:rPr>
          <w:rFonts w:ascii="Times New Roman" w:eastAsia="Times New Roman" w:hAnsi="Times New Roman" w:cs="Times New Roman"/>
          <w:kern w:val="0"/>
          <w:sz w:val="24"/>
          <w:szCs w:val="24"/>
          <w:lang w:eastAsia="fr-FR"/>
          <w14:ligatures w14:val="none"/>
        </w:rPr>
      </w:pPr>
      <w:r w:rsidRPr="00634F70">
        <w:rPr>
          <w:rFonts w:ascii="Arial" w:eastAsia="Times New Roman" w:hAnsi="Arial" w:cs="Arial"/>
          <w:kern w:val="0"/>
          <w:sz w:val="20"/>
          <w:szCs w:val="20"/>
          <w:lang w:eastAsia="fr-FR"/>
          <w14:ligatures w14:val="none"/>
        </w:rPr>
        <w:t xml:space="preserve">The microbiological analysis results, presented in Table </w:t>
      </w:r>
      <w:r w:rsidR="00AD4DC5">
        <w:rPr>
          <w:rFonts w:ascii="Arial" w:eastAsia="Times New Roman" w:hAnsi="Arial" w:cs="Arial"/>
          <w:kern w:val="0"/>
          <w:sz w:val="20"/>
          <w:szCs w:val="20"/>
          <w:lang w:eastAsia="fr-FR"/>
          <w14:ligatures w14:val="none"/>
        </w:rPr>
        <w:t>2</w:t>
      </w:r>
      <w:r w:rsidRPr="00634F70">
        <w:rPr>
          <w:rFonts w:ascii="Arial" w:eastAsia="Times New Roman" w:hAnsi="Arial" w:cs="Arial"/>
          <w:kern w:val="0"/>
          <w:sz w:val="20"/>
          <w:szCs w:val="20"/>
          <w:lang w:eastAsia="fr-FR"/>
          <w14:ligatures w14:val="none"/>
        </w:rPr>
        <w:t xml:space="preserve">, revealed significant variation in sample quality, with mean counts suggesting potential hygiene issues in several categories. The overall mean counts were highest for Total Mesophilic Aerobic Flora (TMAF) at 1.98×106 CFU/g (deemed acceptable) but showed high levels of contamination for other </w:t>
      </w:r>
      <w:proofErr w:type="gramStart"/>
      <w:r w:rsidRPr="00634F70">
        <w:rPr>
          <w:rFonts w:ascii="Arial" w:eastAsia="Times New Roman" w:hAnsi="Arial" w:cs="Arial"/>
          <w:kern w:val="0"/>
          <w:sz w:val="20"/>
          <w:szCs w:val="20"/>
          <w:lang w:eastAsia="fr-FR"/>
          <w14:ligatures w14:val="none"/>
        </w:rPr>
        <w:t>indicators:</w:t>
      </w:r>
      <w:proofErr w:type="gramEnd"/>
      <w:r w:rsidRPr="00634F70">
        <w:rPr>
          <w:rFonts w:ascii="Arial" w:eastAsia="Times New Roman" w:hAnsi="Arial" w:cs="Arial"/>
          <w:kern w:val="0"/>
          <w:sz w:val="20"/>
          <w:szCs w:val="20"/>
          <w:lang w:eastAsia="fr-FR"/>
          <w14:ligatures w14:val="none"/>
        </w:rPr>
        <w:t xml:space="preserve"> Total Coliforms (TC) at 1.79×104 CFU/g, Fecal Coliforms (FC) at 1.91×105 CFU/g, and </w:t>
      </w:r>
      <w:r w:rsidRPr="00634F70">
        <w:rPr>
          <w:rFonts w:ascii="Arial" w:eastAsia="Times New Roman" w:hAnsi="Arial" w:cs="Arial"/>
          <w:i/>
          <w:iCs/>
          <w:kern w:val="0"/>
          <w:sz w:val="20"/>
          <w:szCs w:val="20"/>
          <w:lang w:eastAsia="fr-FR"/>
          <w14:ligatures w14:val="none"/>
        </w:rPr>
        <w:t>Staphylococcus aureus</w:t>
      </w:r>
      <w:r w:rsidRPr="00634F70">
        <w:rPr>
          <w:rFonts w:ascii="Arial" w:eastAsia="Times New Roman" w:hAnsi="Arial" w:cs="Arial"/>
          <w:kern w:val="0"/>
          <w:sz w:val="20"/>
          <w:szCs w:val="20"/>
          <w:lang w:eastAsia="fr-FR"/>
          <w14:ligatures w14:val="none"/>
        </w:rPr>
        <w:t xml:space="preserve"> at 2.09×104 CFU/g, all of which were assessed as unsatisfactory against relevant criteria. Conversely, Yeasts and Molds were low at 1.50×102 CFU/g (satisfactory), and </w:t>
      </w:r>
      <w:r w:rsidRPr="00634F70">
        <w:rPr>
          <w:rFonts w:ascii="Arial" w:eastAsia="Times New Roman" w:hAnsi="Arial" w:cs="Arial"/>
          <w:i/>
          <w:iCs/>
          <w:kern w:val="0"/>
          <w:sz w:val="20"/>
          <w:szCs w:val="20"/>
          <w:lang w:eastAsia="fr-FR"/>
          <w14:ligatures w14:val="none"/>
        </w:rPr>
        <w:t>Salmonella</w:t>
      </w:r>
      <w:r w:rsidRPr="00634F70">
        <w:rPr>
          <w:rFonts w:ascii="Arial" w:eastAsia="Times New Roman" w:hAnsi="Arial" w:cs="Arial"/>
          <w:kern w:val="0"/>
          <w:sz w:val="20"/>
          <w:szCs w:val="20"/>
          <w:lang w:eastAsia="fr-FR"/>
          <w14:ligatures w14:val="none"/>
        </w:rPr>
        <w:t xml:space="preserve"> spp. </w:t>
      </w:r>
      <w:proofErr w:type="gramStart"/>
      <w:r w:rsidRPr="00634F70">
        <w:rPr>
          <w:rFonts w:ascii="Arial" w:eastAsia="Times New Roman" w:hAnsi="Arial" w:cs="Arial"/>
          <w:kern w:val="0"/>
          <w:sz w:val="20"/>
          <w:szCs w:val="20"/>
          <w:lang w:eastAsia="fr-FR"/>
          <w14:ligatures w14:val="none"/>
        </w:rPr>
        <w:t>was</w:t>
      </w:r>
      <w:proofErr w:type="gramEnd"/>
      <w:r w:rsidRPr="00634F70">
        <w:rPr>
          <w:rFonts w:ascii="Arial" w:eastAsia="Times New Roman" w:hAnsi="Arial" w:cs="Arial"/>
          <w:kern w:val="0"/>
          <w:sz w:val="20"/>
          <w:szCs w:val="20"/>
          <w:lang w:eastAsia="fr-FR"/>
          <w14:ligatures w14:val="none"/>
        </w:rPr>
        <w:t xml:space="preserve"> confirmed absent in all samples. The overall quality assessment further highlighted these failures, showing high rates of unsatisfactory samples for Thermotolerant Coliforms (83.3%), Coliforms (66.7%), and </w:t>
      </w:r>
      <w:r w:rsidRPr="00634F70">
        <w:rPr>
          <w:rFonts w:ascii="Arial" w:eastAsia="Times New Roman" w:hAnsi="Arial" w:cs="Arial"/>
          <w:i/>
          <w:iCs/>
          <w:kern w:val="0"/>
          <w:sz w:val="20"/>
          <w:szCs w:val="20"/>
          <w:lang w:eastAsia="fr-FR"/>
          <w14:ligatures w14:val="none"/>
        </w:rPr>
        <w:t>S. aureus</w:t>
      </w:r>
      <w:r w:rsidRPr="00634F70">
        <w:rPr>
          <w:rFonts w:ascii="Arial" w:eastAsia="Times New Roman" w:hAnsi="Arial" w:cs="Arial"/>
          <w:kern w:val="0"/>
          <w:sz w:val="20"/>
          <w:szCs w:val="20"/>
          <w:lang w:eastAsia="fr-FR"/>
          <w14:ligatures w14:val="none"/>
        </w:rPr>
        <w:t xml:space="preserve"> (50%), while only 33.3% of samples were acceptable for TMAF, indicating widespread contamination among the tested units</w:t>
      </w:r>
      <w:r w:rsidRPr="0003771F">
        <w:rPr>
          <w:rFonts w:ascii="Times New Roman" w:eastAsia="Times New Roman" w:hAnsi="Times New Roman" w:cs="Times New Roman"/>
          <w:kern w:val="0"/>
          <w:sz w:val="24"/>
          <w:szCs w:val="24"/>
          <w:lang w:eastAsia="fr-FR"/>
          <w14:ligatures w14:val="none"/>
        </w:rPr>
        <w:t>.</w:t>
      </w:r>
    </w:p>
    <w:p w14:paraId="430C5DBB" w14:textId="6DC8622C" w:rsidR="005D0941" w:rsidRDefault="005D0941">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br w:type="page"/>
      </w:r>
    </w:p>
    <w:p w14:paraId="54A978AE" w14:textId="05888883" w:rsidR="00AD776A" w:rsidRPr="008D7C84" w:rsidRDefault="009F450B">
      <w:pPr>
        <w:spacing w:after="0" w:line="360" w:lineRule="auto"/>
        <w:jc w:val="both"/>
        <w:rPr>
          <w:rFonts w:ascii="Arial" w:eastAsia="Times New Roman" w:hAnsi="Arial" w:cs="Arial"/>
          <w:kern w:val="0"/>
          <w:sz w:val="20"/>
          <w:szCs w:val="20"/>
          <w:lang w:val="en-US" w:eastAsia="fr-FR"/>
          <w14:ligatures w14:val="none"/>
        </w:rPr>
      </w:pPr>
      <w:r w:rsidRPr="008D7C84">
        <w:rPr>
          <w:rFonts w:ascii="Arial" w:eastAsia="Times New Roman" w:hAnsi="Arial" w:cs="Arial"/>
          <w:b/>
          <w:bCs/>
          <w:kern w:val="0"/>
          <w:sz w:val="20"/>
          <w:szCs w:val="20"/>
          <w:lang w:eastAsia="fr-FR"/>
          <w14:ligatures w14:val="none"/>
        </w:rPr>
        <w:lastRenderedPageBreak/>
        <w:t xml:space="preserve">Table </w:t>
      </w:r>
      <w:proofErr w:type="gramStart"/>
      <w:r w:rsidR="00AD4DC5">
        <w:rPr>
          <w:rFonts w:ascii="Arial" w:eastAsia="Times New Roman" w:hAnsi="Arial" w:cs="Arial"/>
          <w:b/>
          <w:bCs/>
          <w:kern w:val="0"/>
          <w:sz w:val="20"/>
          <w:szCs w:val="20"/>
          <w:lang w:eastAsia="fr-FR"/>
          <w14:ligatures w14:val="none"/>
        </w:rPr>
        <w:t>2</w:t>
      </w:r>
      <w:bookmarkStart w:id="4" w:name="_GoBack"/>
      <w:bookmarkEnd w:id="4"/>
      <w:r w:rsidRPr="008D7C84">
        <w:rPr>
          <w:rFonts w:ascii="Arial" w:eastAsia="Times New Roman" w:hAnsi="Arial" w:cs="Arial"/>
          <w:b/>
          <w:bCs/>
          <w:kern w:val="0"/>
          <w:sz w:val="20"/>
          <w:szCs w:val="20"/>
          <w:lang w:eastAsia="fr-FR"/>
          <w14:ligatures w14:val="none"/>
        </w:rPr>
        <w:t>:</w:t>
      </w:r>
      <w:proofErr w:type="gramEnd"/>
      <w:r w:rsidRPr="008D7C84">
        <w:rPr>
          <w:rFonts w:ascii="Arial" w:eastAsia="Times New Roman" w:hAnsi="Arial" w:cs="Arial"/>
          <w:b/>
          <w:bCs/>
          <w:kern w:val="0"/>
          <w:sz w:val="20"/>
          <w:szCs w:val="20"/>
          <w:lang w:eastAsia="fr-FR"/>
          <w14:ligatures w14:val="none"/>
        </w:rPr>
        <w:t xml:space="preserve"> </w:t>
      </w:r>
      <w:r w:rsidRPr="008D7C84">
        <w:rPr>
          <w:rFonts w:ascii="Arial" w:eastAsia="Times New Roman" w:hAnsi="Arial" w:cs="Arial"/>
          <w:kern w:val="0"/>
          <w:sz w:val="20"/>
          <w:szCs w:val="20"/>
          <w:lang w:eastAsia="fr-FR"/>
          <w14:ligatures w14:val="none"/>
        </w:rPr>
        <w:t>Average loads of the microorganisms counted</w:t>
      </w:r>
    </w:p>
    <w:tbl>
      <w:tblPr>
        <w:tblW w:w="89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1026"/>
        <w:gridCol w:w="1701"/>
        <w:gridCol w:w="1221"/>
        <w:gridCol w:w="981"/>
        <w:gridCol w:w="1672"/>
        <w:gridCol w:w="1131"/>
      </w:tblGrid>
      <w:tr w:rsidR="00AD776A" w:rsidRPr="008D7C84" w14:paraId="233BBE34" w14:textId="77777777" w:rsidTr="00EC4110">
        <w:trPr>
          <w:trHeight w:val="282"/>
          <w:tblHeader/>
          <w:tblCellSpacing w:w="15" w:type="dxa"/>
        </w:trPr>
        <w:tc>
          <w:tcPr>
            <w:tcW w:w="1197" w:type="dxa"/>
            <w:tcBorders>
              <w:bottom w:val="single" w:sz="4" w:space="0" w:color="auto"/>
            </w:tcBorders>
            <w:vAlign w:val="center"/>
          </w:tcPr>
          <w:p w14:paraId="048789A0" w14:textId="77777777" w:rsidR="00AD776A" w:rsidRPr="008D7C84" w:rsidRDefault="007D37A3">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kern w:val="0"/>
                <w:sz w:val="20"/>
                <w:szCs w:val="20"/>
                <w:lang w:eastAsia="fr-FR"/>
                <w14:ligatures w14:val="none"/>
              </w:rPr>
              <w:t xml:space="preserve"> </w:t>
            </w:r>
          </w:p>
        </w:tc>
        <w:tc>
          <w:tcPr>
            <w:tcW w:w="996" w:type="dxa"/>
            <w:tcBorders>
              <w:bottom w:val="single" w:sz="4" w:space="0" w:color="auto"/>
            </w:tcBorders>
            <w:vAlign w:val="center"/>
          </w:tcPr>
          <w:p w14:paraId="5EB78482" w14:textId="390C0B8D" w:rsidR="00AD776A" w:rsidRPr="008D7C84" w:rsidRDefault="00A00956">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kern w:val="0"/>
                <w:sz w:val="20"/>
                <w:szCs w:val="20"/>
                <w:lang w:eastAsia="fr-FR"/>
                <w14:ligatures w14:val="none"/>
              </w:rPr>
              <w:t>TMAF (</w:t>
            </w:r>
            <w:r w:rsidR="00E23342" w:rsidRPr="008D7C84">
              <w:rPr>
                <w:rFonts w:ascii="Arial" w:eastAsia="Times New Roman" w:hAnsi="Arial" w:cs="Arial"/>
                <w:b/>
                <w:bCs/>
                <w:kern w:val="0"/>
                <w:sz w:val="20"/>
                <w:szCs w:val="20"/>
                <w:lang w:eastAsia="fr-FR"/>
                <w14:ligatures w14:val="none"/>
              </w:rPr>
              <w:t>average, CFU/g</w:t>
            </w:r>
            <w:r w:rsidRPr="008D7C84">
              <w:rPr>
                <w:rFonts w:ascii="Arial" w:eastAsia="Times New Roman" w:hAnsi="Arial" w:cs="Arial"/>
                <w:b/>
                <w:bCs/>
                <w:kern w:val="0"/>
                <w:sz w:val="20"/>
                <w:szCs w:val="20"/>
                <w:lang w:eastAsia="fr-FR"/>
                <w14:ligatures w14:val="none"/>
              </w:rPr>
              <w:t>)</w:t>
            </w:r>
          </w:p>
        </w:tc>
        <w:tc>
          <w:tcPr>
            <w:tcW w:w="1671" w:type="dxa"/>
            <w:tcBorders>
              <w:bottom w:val="single" w:sz="4" w:space="0" w:color="auto"/>
            </w:tcBorders>
            <w:vAlign w:val="center"/>
          </w:tcPr>
          <w:p w14:paraId="416350B5" w14:textId="2CE7B5EF" w:rsidR="00AD776A" w:rsidRPr="008D7C84" w:rsidRDefault="007D37A3">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kern w:val="0"/>
                <w:sz w:val="20"/>
                <w:szCs w:val="20"/>
                <w:lang w:eastAsia="fr-FR"/>
                <w14:ligatures w14:val="none"/>
              </w:rPr>
              <w:t>T</w:t>
            </w:r>
            <w:r w:rsidR="00E23342" w:rsidRPr="008D7C84">
              <w:rPr>
                <w:rFonts w:ascii="Arial" w:eastAsia="Times New Roman" w:hAnsi="Arial" w:cs="Arial"/>
                <w:b/>
                <w:bCs/>
                <w:kern w:val="0"/>
                <w:sz w:val="20"/>
                <w:szCs w:val="20"/>
                <w:lang w:eastAsia="fr-FR"/>
                <w14:ligatures w14:val="none"/>
              </w:rPr>
              <w:t>h. C</w:t>
            </w:r>
          </w:p>
        </w:tc>
        <w:tc>
          <w:tcPr>
            <w:tcW w:w="1191" w:type="dxa"/>
            <w:tcBorders>
              <w:bottom w:val="single" w:sz="4" w:space="0" w:color="auto"/>
            </w:tcBorders>
            <w:vAlign w:val="center"/>
          </w:tcPr>
          <w:p w14:paraId="1A1C15A9" w14:textId="3CEB75EC" w:rsidR="00AD776A" w:rsidRPr="008D7C84" w:rsidRDefault="007D37A3">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kern w:val="0"/>
                <w:sz w:val="20"/>
                <w:szCs w:val="20"/>
                <w:lang w:eastAsia="fr-FR"/>
                <w14:ligatures w14:val="none"/>
              </w:rPr>
              <w:t>F</w:t>
            </w:r>
            <w:r w:rsidR="00E23342" w:rsidRPr="008D7C84">
              <w:rPr>
                <w:rFonts w:ascii="Arial" w:eastAsia="Times New Roman" w:hAnsi="Arial" w:cs="Arial"/>
                <w:b/>
                <w:bCs/>
                <w:kern w:val="0"/>
                <w:sz w:val="20"/>
                <w:szCs w:val="20"/>
                <w:lang w:eastAsia="fr-FR"/>
                <w14:ligatures w14:val="none"/>
              </w:rPr>
              <w:t>C</w:t>
            </w:r>
          </w:p>
        </w:tc>
        <w:tc>
          <w:tcPr>
            <w:tcW w:w="951" w:type="dxa"/>
            <w:tcBorders>
              <w:bottom w:val="single" w:sz="4" w:space="0" w:color="auto"/>
            </w:tcBorders>
            <w:vAlign w:val="center"/>
          </w:tcPr>
          <w:p w14:paraId="4277A912" w14:textId="77777777" w:rsidR="00AD776A" w:rsidRPr="008D7C84" w:rsidRDefault="007D37A3">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i/>
                <w:iCs/>
                <w:kern w:val="0"/>
                <w:sz w:val="20"/>
                <w:szCs w:val="20"/>
                <w:lang w:eastAsia="fr-FR"/>
                <w14:ligatures w14:val="none"/>
              </w:rPr>
              <w:t>S. aureus</w:t>
            </w:r>
          </w:p>
        </w:tc>
        <w:tc>
          <w:tcPr>
            <w:tcW w:w="0" w:type="auto"/>
            <w:tcBorders>
              <w:bottom w:val="single" w:sz="4" w:space="0" w:color="auto"/>
            </w:tcBorders>
            <w:vAlign w:val="center"/>
          </w:tcPr>
          <w:p w14:paraId="039DE59E" w14:textId="5EC678DB" w:rsidR="00AD776A" w:rsidRPr="008D7C84" w:rsidRDefault="00E23342">
            <w:pPr>
              <w:spacing w:after="0" w:line="240" w:lineRule="auto"/>
              <w:jc w:val="center"/>
              <w:rPr>
                <w:rFonts w:ascii="Arial" w:eastAsia="Times New Roman" w:hAnsi="Arial" w:cs="Arial"/>
                <w:b/>
                <w:bCs/>
                <w:kern w:val="0"/>
                <w:sz w:val="20"/>
                <w:szCs w:val="20"/>
                <w:lang w:eastAsia="fr-FR"/>
                <w14:ligatures w14:val="none"/>
              </w:rPr>
            </w:pPr>
            <w:proofErr w:type="gramStart"/>
            <w:r w:rsidRPr="008D7C84">
              <w:rPr>
                <w:rFonts w:ascii="Arial" w:eastAsia="Times New Roman" w:hAnsi="Arial" w:cs="Arial"/>
                <w:b/>
                <w:bCs/>
                <w:kern w:val="0"/>
                <w:sz w:val="20"/>
                <w:szCs w:val="20"/>
                <w:lang w:eastAsia="fr-FR"/>
                <w14:ligatures w14:val="none"/>
              </w:rPr>
              <w:t>yeasts</w:t>
            </w:r>
            <w:proofErr w:type="gramEnd"/>
            <w:r w:rsidRPr="008D7C84">
              <w:rPr>
                <w:rFonts w:ascii="Arial" w:eastAsia="Times New Roman" w:hAnsi="Arial" w:cs="Arial"/>
                <w:b/>
                <w:bCs/>
                <w:kern w:val="0"/>
                <w:sz w:val="20"/>
                <w:szCs w:val="20"/>
                <w:lang w:eastAsia="fr-FR"/>
                <w14:ligatures w14:val="none"/>
              </w:rPr>
              <w:t xml:space="preserve"> and molds</w:t>
            </w:r>
          </w:p>
        </w:tc>
        <w:tc>
          <w:tcPr>
            <w:tcW w:w="0" w:type="auto"/>
            <w:tcBorders>
              <w:bottom w:val="single" w:sz="4" w:space="0" w:color="auto"/>
            </w:tcBorders>
            <w:vAlign w:val="center"/>
          </w:tcPr>
          <w:p w14:paraId="5B7E9C37" w14:textId="77777777" w:rsidR="00AD776A" w:rsidRPr="008D7C84" w:rsidRDefault="007D37A3">
            <w:pPr>
              <w:spacing w:after="0" w:line="240" w:lineRule="auto"/>
              <w:jc w:val="center"/>
              <w:rPr>
                <w:rFonts w:ascii="Arial" w:eastAsia="Times New Roman" w:hAnsi="Arial" w:cs="Arial"/>
                <w:b/>
                <w:bCs/>
                <w:kern w:val="0"/>
                <w:sz w:val="20"/>
                <w:szCs w:val="20"/>
                <w:lang w:eastAsia="fr-FR"/>
                <w14:ligatures w14:val="none"/>
              </w:rPr>
            </w:pPr>
            <w:r w:rsidRPr="008D7C84">
              <w:rPr>
                <w:rFonts w:ascii="Arial" w:eastAsia="Times New Roman" w:hAnsi="Arial" w:cs="Arial"/>
                <w:b/>
                <w:bCs/>
                <w:i/>
                <w:iCs/>
                <w:kern w:val="0"/>
                <w:sz w:val="20"/>
                <w:szCs w:val="20"/>
                <w:lang w:eastAsia="fr-FR"/>
                <w14:ligatures w14:val="none"/>
              </w:rPr>
              <w:t>Salmonella</w:t>
            </w:r>
          </w:p>
        </w:tc>
      </w:tr>
      <w:tr w:rsidR="00FA7ECB" w:rsidRPr="008D7C84" w14:paraId="62A4C8A8" w14:textId="77777777" w:rsidTr="00EC4110">
        <w:trPr>
          <w:trHeight w:val="272"/>
          <w:tblCellSpacing w:w="15" w:type="dxa"/>
        </w:trPr>
        <w:tc>
          <w:tcPr>
            <w:tcW w:w="1197" w:type="dxa"/>
          </w:tcPr>
          <w:p w14:paraId="45FC8AA9" w14:textId="795B7A4C"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1st</w:t>
            </w:r>
          </w:p>
        </w:tc>
        <w:tc>
          <w:tcPr>
            <w:tcW w:w="996" w:type="dxa"/>
            <w:vAlign w:val="center"/>
          </w:tcPr>
          <w:p w14:paraId="046050F6" w14:textId="7844A1C0"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3.65×10⁶</w:t>
            </w:r>
          </w:p>
        </w:tc>
        <w:tc>
          <w:tcPr>
            <w:tcW w:w="1671" w:type="dxa"/>
            <w:vAlign w:val="center"/>
          </w:tcPr>
          <w:p w14:paraId="7E0E9F7E" w14:textId="10EDA48C"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4.27×10⁵</w:t>
            </w:r>
          </w:p>
        </w:tc>
        <w:tc>
          <w:tcPr>
            <w:tcW w:w="1191" w:type="dxa"/>
            <w:vAlign w:val="center"/>
          </w:tcPr>
          <w:p w14:paraId="12099279" w14:textId="0F8E8683"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4.90×10⁵</w:t>
            </w:r>
          </w:p>
        </w:tc>
        <w:tc>
          <w:tcPr>
            <w:tcW w:w="951" w:type="dxa"/>
            <w:vAlign w:val="center"/>
          </w:tcPr>
          <w:p w14:paraId="1444DC70" w14:textId="29462BC3"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2.99×10⁵</w:t>
            </w:r>
          </w:p>
        </w:tc>
        <w:tc>
          <w:tcPr>
            <w:tcW w:w="0" w:type="auto"/>
            <w:vAlign w:val="center"/>
          </w:tcPr>
          <w:p w14:paraId="30C97C2C" w14:textId="777777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10</w:t>
            </w:r>
          </w:p>
        </w:tc>
        <w:tc>
          <w:tcPr>
            <w:tcW w:w="0" w:type="auto"/>
            <w:vAlign w:val="center"/>
          </w:tcPr>
          <w:p w14:paraId="3CAD6266" w14:textId="77777777"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 ​</w:t>
            </w:r>
          </w:p>
        </w:tc>
      </w:tr>
      <w:tr w:rsidR="00FA7ECB" w:rsidRPr="008D7C84" w14:paraId="553D8E12" w14:textId="77777777" w:rsidTr="00EC4110">
        <w:trPr>
          <w:trHeight w:val="272"/>
          <w:tblCellSpacing w:w="15" w:type="dxa"/>
        </w:trPr>
        <w:tc>
          <w:tcPr>
            <w:tcW w:w="1197" w:type="dxa"/>
          </w:tcPr>
          <w:p w14:paraId="66B2BA8F" w14:textId="65D8E9C3"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3rd</w:t>
            </w:r>
          </w:p>
        </w:tc>
        <w:tc>
          <w:tcPr>
            <w:tcW w:w="996" w:type="dxa"/>
            <w:vAlign w:val="center"/>
          </w:tcPr>
          <w:p w14:paraId="71ABDE82" w14:textId="60E8E404"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2.45×10⁵</w:t>
            </w:r>
          </w:p>
        </w:tc>
        <w:tc>
          <w:tcPr>
            <w:tcW w:w="1671" w:type="dxa"/>
            <w:vAlign w:val="center"/>
          </w:tcPr>
          <w:p w14:paraId="698403E8" w14:textId="5A99656E"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4.94×10⁴</w:t>
            </w:r>
          </w:p>
        </w:tc>
        <w:tc>
          <w:tcPr>
            <w:tcW w:w="1191" w:type="dxa"/>
            <w:vAlign w:val="center"/>
          </w:tcPr>
          <w:p w14:paraId="0896BDAA" w14:textId="2C4A1476"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4.48×10⁴</w:t>
            </w:r>
          </w:p>
        </w:tc>
        <w:tc>
          <w:tcPr>
            <w:tcW w:w="951" w:type="dxa"/>
            <w:vAlign w:val="center"/>
          </w:tcPr>
          <w:p w14:paraId="19F6E931" w14:textId="0325EF8F"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4.55×10⁴</w:t>
            </w:r>
          </w:p>
        </w:tc>
        <w:tc>
          <w:tcPr>
            <w:tcW w:w="0" w:type="auto"/>
            <w:vAlign w:val="center"/>
          </w:tcPr>
          <w:p w14:paraId="305CCCC0" w14:textId="777777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10</w:t>
            </w:r>
          </w:p>
        </w:tc>
        <w:tc>
          <w:tcPr>
            <w:tcW w:w="0" w:type="auto"/>
            <w:vAlign w:val="center"/>
          </w:tcPr>
          <w:p w14:paraId="7327B451" w14:textId="77777777"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 ​</w:t>
            </w:r>
          </w:p>
        </w:tc>
      </w:tr>
      <w:tr w:rsidR="00FA7ECB" w:rsidRPr="008D7C84" w14:paraId="1B03689F" w14:textId="77777777" w:rsidTr="00EC4110">
        <w:trPr>
          <w:trHeight w:val="272"/>
          <w:tblCellSpacing w:w="15" w:type="dxa"/>
        </w:trPr>
        <w:tc>
          <w:tcPr>
            <w:tcW w:w="1197" w:type="dxa"/>
          </w:tcPr>
          <w:p w14:paraId="3580321D" w14:textId="2BF36E6D"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4th</w:t>
            </w:r>
          </w:p>
        </w:tc>
        <w:tc>
          <w:tcPr>
            <w:tcW w:w="996" w:type="dxa"/>
            <w:vAlign w:val="center"/>
          </w:tcPr>
          <w:p w14:paraId="120F59C1" w14:textId="110DDBFE"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7.15×10⁶</w:t>
            </w:r>
          </w:p>
        </w:tc>
        <w:tc>
          <w:tcPr>
            <w:tcW w:w="1671" w:type="dxa"/>
            <w:vAlign w:val="center"/>
          </w:tcPr>
          <w:p w14:paraId="71F30512" w14:textId="608964FC"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4.86×10⁵</w:t>
            </w:r>
          </w:p>
        </w:tc>
        <w:tc>
          <w:tcPr>
            <w:tcW w:w="1191" w:type="dxa"/>
            <w:vAlign w:val="center"/>
          </w:tcPr>
          <w:p w14:paraId="13167A14" w14:textId="5E71838A"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2.71×10⁵</w:t>
            </w:r>
          </w:p>
        </w:tc>
        <w:tc>
          <w:tcPr>
            <w:tcW w:w="951" w:type="dxa"/>
            <w:vAlign w:val="center"/>
          </w:tcPr>
          <w:p w14:paraId="60561287" w14:textId="52F547A6"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5.43×10⁵</w:t>
            </w:r>
          </w:p>
        </w:tc>
        <w:tc>
          <w:tcPr>
            <w:tcW w:w="0" w:type="auto"/>
            <w:vAlign w:val="center"/>
          </w:tcPr>
          <w:p w14:paraId="6111A6E6" w14:textId="1C53229B"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9.1×10²</w:t>
            </w:r>
          </w:p>
        </w:tc>
        <w:tc>
          <w:tcPr>
            <w:tcW w:w="0" w:type="auto"/>
            <w:vAlign w:val="center"/>
          </w:tcPr>
          <w:p w14:paraId="7D3CA7EF" w14:textId="3C6352B9"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w:t>
            </w:r>
          </w:p>
        </w:tc>
      </w:tr>
      <w:tr w:rsidR="00FA7ECB" w:rsidRPr="008D7C84" w14:paraId="3E20B501" w14:textId="77777777" w:rsidTr="00EC4110">
        <w:trPr>
          <w:trHeight w:val="272"/>
          <w:tblCellSpacing w:w="15" w:type="dxa"/>
        </w:trPr>
        <w:tc>
          <w:tcPr>
            <w:tcW w:w="1197" w:type="dxa"/>
          </w:tcPr>
          <w:p w14:paraId="6CD16BB5" w14:textId="13150D60"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8th</w:t>
            </w:r>
          </w:p>
        </w:tc>
        <w:tc>
          <w:tcPr>
            <w:tcW w:w="996" w:type="dxa"/>
            <w:vAlign w:val="center"/>
          </w:tcPr>
          <w:p w14:paraId="391DF7B0" w14:textId="076D34D3"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5.13×10⁵</w:t>
            </w:r>
          </w:p>
        </w:tc>
        <w:tc>
          <w:tcPr>
            <w:tcW w:w="1671" w:type="dxa"/>
            <w:vAlign w:val="center"/>
          </w:tcPr>
          <w:p w14:paraId="4DB3FB5F" w14:textId="07C34D68"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1.29×10⁵</w:t>
            </w:r>
          </w:p>
        </w:tc>
        <w:tc>
          <w:tcPr>
            <w:tcW w:w="1191" w:type="dxa"/>
            <w:vAlign w:val="center"/>
          </w:tcPr>
          <w:p w14:paraId="0CBF3C96" w14:textId="244F10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1.32×10⁵</w:t>
            </w:r>
          </w:p>
        </w:tc>
        <w:tc>
          <w:tcPr>
            <w:tcW w:w="951" w:type="dxa"/>
            <w:vAlign w:val="center"/>
          </w:tcPr>
          <w:p w14:paraId="1F840E80" w14:textId="45B867B4"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2.04×10⁴</w:t>
            </w:r>
          </w:p>
        </w:tc>
        <w:tc>
          <w:tcPr>
            <w:tcW w:w="0" w:type="auto"/>
            <w:vAlign w:val="center"/>
          </w:tcPr>
          <w:p w14:paraId="282D0D55" w14:textId="777777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10</w:t>
            </w:r>
          </w:p>
        </w:tc>
        <w:tc>
          <w:tcPr>
            <w:tcW w:w="0" w:type="auto"/>
            <w:vAlign w:val="center"/>
          </w:tcPr>
          <w:p w14:paraId="63653EA2" w14:textId="77777777"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 ​</w:t>
            </w:r>
          </w:p>
        </w:tc>
      </w:tr>
      <w:tr w:rsidR="00FA7ECB" w:rsidRPr="008D7C84" w14:paraId="1D116521" w14:textId="77777777" w:rsidTr="00EC4110">
        <w:trPr>
          <w:trHeight w:val="272"/>
          <w:tblCellSpacing w:w="15" w:type="dxa"/>
        </w:trPr>
        <w:tc>
          <w:tcPr>
            <w:tcW w:w="1197" w:type="dxa"/>
          </w:tcPr>
          <w:p w14:paraId="07CCAD46" w14:textId="33B71176"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9th</w:t>
            </w:r>
          </w:p>
        </w:tc>
        <w:tc>
          <w:tcPr>
            <w:tcW w:w="996" w:type="dxa"/>
            <w:vAlign w:val="center"/>
          </w:tcPr>
          <w:p w14:paraId="52201BF6" w14:textId="4F0EDAEF"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5.41×10⁵</w:t>
            </w:r>
          </w:p>
        </w:tc>
        <w:tc>
          <w:tcPr>
            <w:tcW w:w="1671" w:type="dxa"/>
            <w:vAlign w:val="center"/>
          </w:tcPr>
          <w:p w14:paraId="34DD9BC9" w14:textId="3E27ED31"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1.68×10⁵</w:t>
            </w:r>
          </w:p>
        </w:tc>
        <w:tc>
          <w:tcPr>
            <w:tcW w:w="1191" w:type="dxa"/>
            <w:vAlign w:val="center"/>
          </w:tcPr>
          <w:p w14:paraId="34AE4BAE" w14:textId="5038B392"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8.93×10⁴</w:t>
            </w:r>
          </w:p>
        </w:tc>
        <w:tc>
          <w:tcPr>
            <w:tcW w:w="951" w:type="dxa"/>
            <w:vAlign w:val="center"/>
          </w:tcPr>
          <w:p w14:paraId="1D9A2E00" w14:textId="1D2EC98C"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1.74×10⁵</w:t>
            </w:r>
          </w:p>
        </w:tc>
        <w:tc>
          <w:tcPr>
            <w:tcW w:w="0" w:type="auto"/>
            <w:vAlign w:val="center"/>
          </w:tcPr>
          <w:p w14:paraId="3EE37D08" w14:textId="777777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10</w:t>
            </w:r>
          </w:p>
        </w:tc>
        <w:tc>
          <w:tcPr>
            <w:tcW w:w="0" w:type="auto"/>
            <w:vAlign w:val="center"/>
          </w:tcPr>
          <w:p w14:paraId="38407D3D" w14:textId="77777777"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 ​</w:t>
            </w:r>
          </w:p>
        </w:tc>
      </w:tr>
      <w:tr w:rsidR="00FA7ECB" w:rsidRPr="008D7C84" w14:paraId="52D21A7A" w14:textId="77777777" w:rsidTr="00EC4110">
        <w:trPr>
          <w:trHeight w:val="282"/>
          <w:tblCellSpacing w:w="15" w:type="dxa"/>
        </w:trPr>
        <w:tc>
          <w:tcPr>
            <w:tcW w:w="1197" w:type="dxa"/>
          </w:tcPr>
          <w:p w14:paraId="3F615FE8" w14:textId="6D6E214C"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hAnsi="Arial" w:cs="Arial"/>
                <w:sz w:val="20"/>
                <w:szCs w:val="20"/>
              </w:rPr>
              <w:t>10th</w:t>
            </w:r>
          </w:p>
        </w:tc>
        <w:tc>
          <w:tcPr>
            <w:tcW w:w="996" w:type="dxa"/>
            <w:vAlign w:val="center"/>
          </w:tcPr>
          <w:p w14:paraId="15A9149C" w14:textId="66FB5CC9" w:rsidR="00FA7ECB" w:rsidRPr="008D7C84" w:rsidRDefault="00FA7ECB" w:rsidP="00FA7ECB">
            <w:pPr>
              <w:spacing w:after="0" w:line="240" w:lineRule="auto"/>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5.51×10⁵</w:t>
            </w:r>
          </w:p>
        </w:tc>
        <w:tc>
          <w:tcPr>
            <w:tcW w:w="1671" w:type="dxa"/>
            <w:vAlign w:val="center"/>
          </w:tcPr>
          <w:p w14:paraId="12886989" w14:textId="71D1E4B0"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2.38×10⁵</w:t>
            </w:r>
          </w:p>
        </w:tc>
        <w:tc>
          <w:tcPr>
            <w:tcW w:w="1191" w:type="dxa"/>
            <w:vAlign w:val="center"/>
          </w:tcPr>
          <w:p w14:paraId="16455D7A" w14:textId="031F5168"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6.04×10⁴</w:t>
            </w:r>
          </w:p>
        </w:tc>
        <w:tc>
          <w:tcPr>
            <w:tcW w:w="951" w:type="dxa"/>
            <w:vAlign w:val="center"/>
          </w:tcPr>
          <w:p w14:paraId="7E1FC757" w14:textId="636A0378"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1.68×10⁴</w:t>
            </w:r>
          </w:p>
        </w:tc>
        <w:tc>
          <w:tcPr>
            <w:tcW w:w="0" w:type="auto"/>
            <w:vAlign w:val="center"/>
          </w:tcPr>
          <w:p w14:paraId="242F5363" w14:textId="77777777" w:rsidR="00FA7ECB" w:rsidRPr="008D7C84" w:rsidRDefault="00FA7ECB" w:rsidP="00EC4110">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10</w:t>
            </w:r>
          </w:p>
        </w:tc>
        <w:tc>
          <w:tcPr>
            <w:tcW w:w="0" w:type="auto"/>
            <w:vAlign w:val="center"/>
          </w:tcPr>
          <w:p w14:paraId="469EBD54" w14:textId="77777777" w:rsidR="00FA7ECB" w:rsidRPr="008D7C84" w:rsidRDefault="00FA7ECB" w:rsidP="00FA7ECB">
            <w:pPr>
              <w:spacing w:after="0" w:line="240" w:lineRule="auto"/>
              <w:jc w:val="center"/>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Absence ​</w:t>
            </w:r>
          </w:p>
        </w:tc>
      </w:tr>
    </w:tbl>
    <w:p w14:paraId="614EA7CA" w14:textId="77777777" w:rsidR="00AD776A" w:rsidRDefault="00AD776A">
      <w:pPr>
        <w:rPr>
          <w:rFonts w:ascii="Times New Roman" w:eastAsia="Times New Roman" w:hAnsi="Times New Roman" w:cs="Times New Roman"/>
          <w:b/>
          <w:bCs/>
          <w:kern w:val="0"/>
          <w:sz w:val="36"/>
          <w:szCs w:val="36"/>
          <w:lang w:eastAsia="fr-FR"/>
          <w14:ligatures w14:val="none"/>
        </w:rPr>
      </w:pPr>
    </w:p>
    <w:p w14:paraId="2187D8AF" w14:textId="77777777" w:rsidR="00AD776A" w:rsidRPr="00B16247" w:rsidRDefault="007D37A3">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4. Discussion</w:t>
      </w:r>
    </w:p>
    <w:p w14:paraId="628DD619" w14:textId="2F4F2A3F" w:rsidR="00EB06B1" w:rsidRPr="00EB06B1" w:rsidRDefault="00882697" w:rsidP="00EB06B1">
      <w:pPr>
        <w:spacing w:after="0" w:line="360" w:lineRule="auto"/>
        <w:jc w:val="both"/>
        <w:rPr>
          <w:rFonts w:ascii="Arial" w:eastAsia="Times New Roman" w:hAnsi="Arial" w:cs="Arial"/>
          <w:kern w:val="0"/>
          <w:sz w:val="20"/>
          <w:szCs w:val="20"/>
          <w:lang w:eastAsia="fr-FR"/>
          <w14:ligatures w14:val="none"/>
        </w:rPr>
      </w:pPr>
      <w:r w:rsidRPr="008D7C84">
        <w:rPr>
          <w:rFonts w:ascii="Arial" w:eastAsia="Times New Roman" w:hAnsi="Arial" w:cs="Arial"/>
          <w:kern w:val="0"/>
          <w:sz w:val="20"/>
          <w:szCs w:val="20"/>
          <w:lang w:eastAsia="fr-FR"/>
          <w14:ligatures w14:val="none"/>
        </w:rPr>
        <w:t xml:space="preserve">The high levels of total coliforms, thermotolerant coliforms, and </w:t>
      </w:r>
      <w:r w:rsidRPr="008D7C84">
        <w:rPr>
          <w:rFonts w:ascii="Arial" w:eastAsia="Times New Roman" w:hAnsi="Arial" w:cs="Arial"/>
          <w:i/>
          <w:iCs/>
          <w:kern w:val="0"/>
          <w:sz w:val="20"/>
          <w:szCs w:val="20"/>
          <w:lang w:eastAsia="fr-FR"/>
          <w14:ligatures w14:val="none"/>
        </w:rPr>
        <w:t>Staphylococcus aureus</w:t>
      </w:r>
      <w:r w:rsidRPr="008D7C84">
        <w:rPr>
          <w:rFonts w:ascii="Arial" w:eastAsia="Times New Roman" w:hAnsi="Arial" w:cs="Arial"/>
          <w:kern w:val="0"/>
          <w:sz w:val="20"/>
          <w:szCs w:val="20"/>
          <w:lang w:eastAsia="fr-FR"/>
          <w14:ligatures w14:val="none"/>
        </w:rPr>
        <w:t xml:space="preserve"> observed in sheep meat sold in N'Djamena indicate significant fecal and human contamination</w:t>
      </w:r>
      <w:r w:rsidR="00071E1B">
        <w:rPr>
          <w:rFonts w:ascii="Arial" w:eastAsia="Times New Roman" w:hAnsi="Arial" w:cs="Arial"/>
          <w:kern w:val="0"/>
          <w:sz w:val="20"/>
          <w:szCs w:val="20"/>
          <w:lang w:eastAsia="fr-FR"/>
          <w14:ligatures w14:val="none"/>
        </w:rPr>
        <w:t xml:space="preserve"> (</w:t>
      </w:r>
      <w:r w:rsidR="00071E1B" w:rsidRPr="00071E1B">
        <w:rPr>
          <w:rFonts w:ascii="Arial" w:eastAsia="Times New Roman" w:hAnsi="Arial" w:cs="Arial"/>
          <w:kern w:val="0"/>
          <w:sz w:val="20"/>
          <w:szCs w:val="20"/>
          <w:highlight w:val="yellow"/>
          <w:lang w:val="en-GB" w:eastAsia="fr-FR"/>
          <w14:ligatures w14:val="none"/>
        </w:rPr>
        <w:t>Yadav and al., 2006</w:t>
      </w:r>
      <w:r w:rsidR="00071E1B">
        <w:rPr>
          <w:rFonts w:ascii="Arial" w:eastAsia="Times New Roman" w:hAnsi="Arial" w:cs="Arial"/>
          <w:kern w:val="0"/>
          <w:sz w:val="20"/>
          <w:szCs w:val="20"/>
          <w:lang w:val="en-GB" w:eastAsia="fr-FR"/>
          <w14:ligatures w14:val="none"/>
        </w:rPr>
        <w:t>)</w:t>
      </w:r>
      <w:r w:rsidRPr="008D7C84">
        <w:rPr>
          <w:rFonts w:ascii="Arial" w:eastAsia="Times New Roman" w:hAnsi="Arial" w:cs="Arial"/>
          <w:kern w:val="0"/>
          <w:sz w:val="20"/>
          <w:szCs w:val="20"/>
          <w:lang w:eastAsia="fr-FR"/>
          <w14:ligatures w14:val="none"/>
        </w:rPr>
        <w:t xml:space="preserve">. These microorganisms are classic indicators of fecal contamination linked to impure water used during slaughtering operations, as well as to substandard slaughtering conditions where carcasses come into contact with contaminated surfaces or equipment. The significant presence of </w:t>
      </w:r>
      <w:r w:rsidRPr="008D7C84">
        <w:rPr>
          <w:rFonts w:ascii="Arial" w:eastAsia="Times New Roman" w:hAnsi="Arial" w:cs="Arial"/>
          <w:i/>
          <w:iCs/>
          <w:kern w:val="0"/>
          <w:sz w:val="20"/>
          <w:szCs w:val="20"/>
          <w:lang w:eastAsia="fr-FR"/>
          <w14:ligatures w14:val="none"/>
        </w:rPr>
        <w:t>S. aureus</w:t>
      </w:r>
      <w:r w:rsidRPr="008D7C84">
        <w:rPr>
          <w:rFonts w:ascii="Arial" w:eastAsia="Times New Roman" w:hAnsi="Arial" w:cs="Arial"/>
          <w:kern w:val="0"/>
          <w:sz w:val="20"/>
          <w:szCs w:val="20"/>
          <w:lang w:eastAsia="fr-FR"/>
          <w14:ligatures w14:val="none"/>
        </w:rPr>
        <w:t xml:space="preserve"> also signals contamination related to human handling, particularly handling without gloves or failure to comply with hygiene rules during sale and transport. These findings are consistent with several studies conducted in Africa, particularly in Ghana and Burkina Faso (Johansen et al., </w:t>
      </w:r>
      <w:proofErr w:type="gramStart"/>
      <w:r w:rsidRPr="008D7C84">
        <w:rPr>
          <w:rFonts w:ascii="Arial" w:eastAsia="Times New Roman" w:hAnsi="Arial" w:cs="Arial"/>
          <w:kern w:val="0"/>
          <w:sz w:val="20"/>
          <w:szCs w:val="20"/>
          <w:lang w:eastAsia="fr-FR"/>
          <w14:ligatures w14:val="none"/>
        </w:rPr>
        <w:t>2019;</w:t>
      </w:r>
      <w:proofErr w:type="gramEnd"/>
      <w:r w:rsidRPr="008D7C84">
        <w:rPr>
          <w:rFonts w:ascii="Arial" w:eastAsia="Times New Roman" w:hAnsi="Arial" w:cs="Arial"/>
          <w:kern w:val="0"/>
          <w:sz w:val="20"/>
          <w:szCs w:val="20"/>
          <w:lang w:eastAsia="fr-FR"/>
          <w14:ligatures w14:val="none"/>
        </w:rPr>
        <w:t xml:space="preserve"> Diéni et al., 2019) and Morocco (Mokhtar et al., 2021), which also reported high levels of coliforms and </w:t>
      </w:r>
      <w:r w:rsidRPr="008D7C84">
        <w:rPr>
          <w:rFonts w:ascii="Arial" w:eastAsia="Times New Roman" w:hAnsi="Arial" w:cs="Arial"/>
          <w:i/>
          <w:iCs/>
          <w:kern w:val="0"/>
          <w:sz w:val="20"/>
          <w:szCs w:val="20"/>
          <w:lang w:eastAsia="fr-FR"/>
          <w14:ligatures w14:val="none"/>
        </w:rPr>
        <w:t>S. aureus</w:t>
      </w:r>
      <w:r w:rsidRPr="008D7C84">
        <w:rPr>
          <w:rFonts w:ascii="Arial" w:eastAsia="Times New Roman" w:hAnsi="Arial" w:cs="Arial"/>
          <w:kern w:val="0"/>
          <w:sz w:val="20"/>
          <w:szCs w:val="20"/>
          <w:lang w:eastAsia="fr-FR"/>
          <w14:ligatures w14:val="none"/>
        </w:rPr>
        <w:t xml:space="preserve"> in sheep and beef sold in traditional markets, attributable to inadequate hygiene practices. The total aerobic mesophilic flora (TAMF), which serves as an overall indicator of hygiene quality, showed a generally acceptable load in this study.</w:t>
      </w:r>
      <w:r w:rsidR="002824F7" w:rsidRPr="008D7C84">
        <w:rPr>
          <w:rFonts w:ascii="Arial" w:eastAsia="Times New Roman" w:hAnsi="Arial" w:cs="Arial"/>
          <w:kern w:val="0"/>
          <w:sz w:val="20"/>
          <w:szCs w:val="20"/>
          <w:lang w:eastAsia="fr-FR"/>
          <w14:ligatures w14:val="none"/>
        </w:rPr>
        <w:t xml:space="preserve"> </w:t>
      </w:r>
      <w:r w:rsidRPr="008D7C84">
        <w:rPr>
          <w:rFonts w:ascii="Arial" w:eastAsia="Times New Roman" w:hAnsi="Arial" w:cs="Arial"/>
          <w:kern w:val="0"/>
          <w:sz w:val="20"/>
          <w:szCs w:val="20"/>
          <w:lang w:eastAsia="fr-FR"/>
          <w14:ligatures w14:val="none"/>
        </w:rPr>
        <w:t xml:space="preserve">This suggests average hygiene, likely aided by N'Djamena's dry climate, which limits the proliferation of molds and yeasts, which are traditionally more abundant in more humid conditions. The controlled presence of yeasts and molds, also observed here, is consistent with this type of climatic environment. However, this natural limitation of molds does not compensate for the risks associated with fecal or human bacterial contamination. The absence of </w:t>
      </w:r>
      <w:r w:rsidRPr="008D7C84">
        <w:rPr>
          <w:rFonts w:ascii="Arial" w:eastAsia="Times New Roman" w:hAnsi="Arial" w:cs="Arial"/>
          <w:i/>
          <w:iCs/>
          <w:kern w:val="0"/>
          <w:sz w:val="20"/>
          <w:szCs w:val="20"/>
          <w:lang w:eastAsia="fr-FR"/>
          <w14:ligatures w14:val="none"/>
        </w:rPr>
        <w:t>Salmonella</w:t>
      </w:r>
      <w:r w:rsidRPr="008D7C84">
        <w:rPr>
          <w:rFonts w:ascii="Arial" w:eastAsia="Times New Roman" w:hAnsi="Arial" w:cs="Arial"/>
          <w:kern w:val="0"/>
          <w:sz w:val="20"/>
          <w:szCs w:val="20"/>
          <w:lang w:eastAsia="fr-FR"/>
          <w14:ligatures w14:val="none"/>
        </w:rPr>
        <w:t xml:space="preserve"> spp. </w:t>
      </w:r>
      <w:proofErr w:type="gramStart"/>
      <w:r w:rsidRPr="008D7C84">
        <w:rPr>
          <w:rFonts w:ascii="Arial" w:eastAsia="Times New Roman" w:hAnsi="Arial" w:cs="Arial"/>
          <w:kern w:val="0"/>
          <w:sz w:val="20"/>
          <w:szCs w:val="20"/>
          <w:lang w:eastAsia="fr-FR"/>
          <w14:ligatures w14:val="none"/>
        </w:rPr>
        <w:t>in</w:t>
      </w:r>
      <w:proofErr w:type="gramEnd"/>
      <w:r w:rsidRPr="008D7C84">
        <w:rPr>
          <w:rFonts w:ascii="Arial" w:eastAsia="Times New Roman" w:hAnsi="Arial" w:cs="Arial"/>
          <w:kern w:val="0"/>
          <w:sz w:val="20"/>
          <w:szCs w:val="20"/>
          <w:lang w:eastAsia="fr-FR"/>
          <w14:ligatures w14:val="none"/>
        </w:rPr>
        <w:t xml:space="preserve"> all the samples analyzed is an encouraging result, as these pathogenic bacteria can cause serious foodborne illnesses (Nikiema, 2022). Their absence suggests that, despite deficiencies observed elsewhere, certain production or handling steps limit the proliferation of these specific pathogens. However, the absence of these bacteria is insufficient to guarantee the safety of sheep meat (Boye, 2016).</w:t>
      </w:r>
      <w:r w:rsidR="00A36648" w:rsidRPr="00A36648">
        <w:t xml:space="preserve"> </w:t>
      </w:r>
      <w:r w:rsidR="00A36648" w:rsidRPr="00A36648">
        <w:rPr>
          <w:rFonts w:ascii="Arial" w:eastAsia="Times New Roman" w:hAnsi="Arial" w:cs="Arial"/>
          <w:kern w:val="0"/>
          <w:sz w:val="20"/>
          <w:szCs w:val="20"/>
          <w:highlight w:val="yellow"/>
          <w:lang w:eastAsia="fr-FR"/>
          <w14:ligatures w14:val="none"/>
        </w:rPr>
        <w:t xml:space="preserve">The results of this study contradict those of the Australian study conducted by Philips et al. </w:t>
      </w:r>
      <w:proofErr w:type="gramStart"/>
      <w:r w:rsidR="00A36648" w:rsidRPr="00A36648">
        <w:rPr>
          <w:rFonts w:ascii="Arial" w:eastAsia="Times New Roman" w:hAnsi="Arial" w:cs="Arial"/>
          <w:kern w:val="0"/>
          <w:sz w:val="20"/>
          <w:szCs w:val="20"/>
          <w:highlight w:val="yellow"/>
          <w:lang w:eastAsia="fr-FR"/>
          <w14:ligatures w14:val="none"/>
        </w:rPr>
        <w:t>in</w:t>
      </w:r>
      <w:proofErr w:type="gramEnd"/>
      <w:r w:rsidR="00A36648" w:rsidRPr="00A36648">
        <w:rPr>
          <w:rFonts w:ascii="Arial" w:eastAsia="Times New Roman" w:hAnsi="Arial" w:cs="Arial"/>
          <w:kern w:val="0"/>
          <w:sz w:val="20"/>
          <w:szCs w:val="20"/>
          <w:highlight w:val="yellow"/>
          <w:lang w:eastAsia="fr-FR"/>
          <w14:ligatures w14:val="none"/>
        </w:rPr>
        <w:t xml:space="preserve"> 2011, which found salmonella in samples of mutton</w:t>
      </w:r>
      <w:r w:rsidR="00A36648" w:rsidRPr="00A36648">
        <w:rPr>
          <w:rFonts w:ascii="Arial" w:eastAsia="Times New Roman" w:hAnsi="Arial" w:cs="Arial"/>
          <w:kern w:val="0"/>
          <w:sz w:val="20"/>
          <w:szCs w:val="20"/>
          <w:lang w:eastAsia="fr-FR"/>
          <w14:ligatures w14:val="none"/>
        </w:rPr>
        <w:t>.</w:t>
      </w:r>
      <w:r w:rsidRPr="008D7C84">
        <w:rPr>
          <w:rFonts w:ascii="Arial" w:eastAsia="Times New Roman" w:hAnsi="Arial" w:cs="Arial"/>
          <w:kern w:val="0"/>
          <w:sz w:val="20"/>
          <w:szCs w:val="20"/>
          <w:lang w:eastAsia="fr-FR"/>
          <w14:ligatures w14:val="none"/>
        </w:rPr>
        <w:t xml:space="preserve"> Indeed, inadequate storage, particularly the lack of a sustained cold chain, contributes to the proliferation of other pathogenic or spoilage microorganisms. This observation underscores the importance of continuous refrigeration of meat from slaughter to sale, which is often lacking in the urban markets of N'Djamena (Mayoré, 2019). Furthermore, the insufficient training of stakeholders in food hygiene exacerbates the situation, necessitating awareness campaigns and rigorous training (Sawadogo et al., 2023).</w:t>
      </w:r>
      <w:r w:rsidR="002824F7" w:rsidRPr="008D7C84">
        <w:rPr>
          <w:rFonts w:ascii="Arial" w:eastAsia="Times New Roman" w:hAnsi="Arial" w:cs="Arial"/>
          <w:kern w:val="0"/>
          <w:sz w:val="20"/>
          <w:szCs w:val="20"/>
          <w:lang w:eastAsia="fr-FR"/>
          <w14:ligatures w14:val="none"/>
        </w:rPr>
        <w:t xml:space="preserve"> </w:t>
      </w:r>
      <w:r w:rsidRPr="008D7C84">
        <w:rPr>
          <w:rFonts w:ascii="Arial" w:eastAsia="Times New Roman" w:hAnsi="Arial" w:cs="Arial"/>
          <w:kern w:val="0"/>
          <w:sz w:val="20"/>
          <w:szCs w:val="20"/>
          <w:lang w:eastAsia="fr-FR"/>
          <w14:ligatures w14:val="none"/>
        </w:rPr>
        <w:t xml:space="preserve">This study highlighted the urgent need to improve hygiene conditions throughout the sheep meat production and marketing chain in N’Djamena. Priority actions include </w:t>
      </w:r>
      <w:r w:rsidRPr="008D7C84">
        <w:rPr>
          <w:rFonts w:ascii="Arial" w:eastAsia="Times New Roman" w:hAnsi="Arial" w:cs="Arial"/>
          <w:kern w:val="0"/>
          <w:sz w:val="20"/>
          <w:szCs w:val="20"/>
          <w:lang w:eastAsia="fr-FR"/>
          <w14:ligatures w14:val="none"/>
        </w:rPr>
        <w:lastRenderedPageBreak/>
        <w:t>modernizing slaughterhouse infrastructure, establishing a dynamic cold chain, and mandatory training for all personnel involved, in accordance with international food safety recommendations (FAO, 2021</w:t>
      </w:r>
      <w:r w:rsidR="00CB5E54" w:rsidRPr="008D7C84">
        <w:rPr>
          <w:rFonts w:ascii="Arial" w:eastAsia="Times New Roman" w:hAnsi="Arial" w:cs="Arial"/>
          <w:kern w:val="0"/>
          <w:sz w:val="20"/>
          <w:szCs w:val="20"/>
          <w:lang w:eastAsia="fr-FR"/>
          <w14:ligatures w14:val="none"/>
        </w:rPr>
        <w:t xml:space="preserve"> </w:t>
      </w:r>
      <w:r w:rsidRPr="008D7C84">
        <w:rPr>
          <w:rFonts w:ascii="Arial" w:eastAsia="Times New Roman" w:hAnsi="Arial" w:cs="Arial"/>
          <w:kern w:val="0"/>
          <w:sz w:val="20"/>
          <w:szCs w:val="20"/>
          <w:lang w:eastAsia="fr-FR"/>
          <w14:ligatures w14:val="none"/>
        </w:rPr>
        <w:t xml:space="preserve">; Mokhtar et al., 2021). These measures are essential to limit the risk of foodborne illnesses and ensure safe products for the Chadian </w:t>
      </w:r>
      <w:proofErr w:type="gramStart"/>
      <w:r w:rsidRPr="008D7C84">
        <w:rPr>
          <w:rFonts w:ascii="Arial" w:eastAsia="Times New Roman" w:hAnsi="Arial" w:cs="Arial"/>
          <w:kern w:val="0"/>
          <w:sz w:val="20"/>
          <w:szCs w:val="20"/>
          <w:lang w:eastAsia="fr-FR"/>
          <w14:ligatures w14:val="none"/>
        </w:rPr>
        <w:t>ppopulation.</w:t>
      </w:r>
      <w:bookmarkStart w:id="5" w:name="_Hlk216747753"/>
      <w:r w:rsidR="00EB06B1" w:rsidRPr="00EB06B1">
        <w:rPr>
          <w:rFonts w:ascii="Arial" w:eastAsia="Times New Roman" w:hAnsi="Arial" w:cs="Arial"/>
          <w:kern w:val="0"/>
          <w:sz w:val="20"/>
          <w:szCs w:val="20"/>
          <w:highlight w:val="yellow"/>
          <w:lang w:eastAsia="fr-FR"/>
          <w14:ligatures w14:val="none"/>
        </w:rPr>
        <w:t>The</w:t>
      </w:r>
      <w:proofErr w:type="gramEnd"/>
      <w:r w:rsidR="00EB06B1" w:rsidRPr="00EB06B1">
        <w:rPr>
          <w:rFonts w:ascii="Arial" w:eastAsia="Times New Roman" w:hAnsi="Arial" w:cs="Arial"/>
          <w:kern w:val="0"/>
          <w:sz w:val="20"/>
          <w:szCs w:val="20"/>
          <w:highlight w:val="yellow"/>
          <w:lang w:eastAsia="fr-FR"/>
          <w14:ligatures w14:val="none"/>
        </w:rPr>
        <w:t xml:space="preserve"> modernization of slaughterhouses involves the construction of sanitary facilities with concrete floors, automated washing systems, a drinking water supply, and a wastewater treatment system to prevent cross-contamination from fecal matter</w:t>
      </w:r>
      <w:r w:rsidR="00EB06B1">
        <w:rPr>
          <w:rFonts w:ascii="Arial" w:eastAsia="Times New Roman" w:hAnsi="Arial" w:cs="Arial"/>
          <w:kern w:val="0"/>
          <w:sz w:val="20"/>
          <w:szCs w:val="20"/>
          <w:highlight w:val="yellow"/>
          <w:lang w:eastAsia="fr-FR"/>
          <w14:ligatures w14:val="none"/>
        </w:rPr>
        <w:t xml:space="preserve"> (</w:t>
      </w:r>
      <w:r w:rsidR="00EB06B1" w:rsidRPr="00EB06B1">
        <w:rPr>
          <w:rFonts w:ascii="Arial" w:eastAsia="Times New Roman" w:hAnsi="Arial" w:cs="Arial"/>
          <w:kern w:val="0"/>
          <w:sz w:val="20"/>
          <w:szCs w:val="20"/>
          <w:highlight w:val="yellow"/>
          <w:lang w:eastAsia="fr-FR"/>
          <w14:ligatures w14:val="none"/>
        </w:rPr>
        <w:t>Nikiema, 2022</w:t>
      </w:r>
      <w:r w:rsidR="00EB06B1">
        <w:rPr>
          <w:rFonts w:ascii="Arial" w:eastAsia="Times New Roman" w:hAnsi="Arial" w:cs="Arial"/>
          <w:b/>
          <w:bCs/>
          <w:kern w:val="0"/>
          <w:sz w:val="20"/>
          <w:szCs w:val="20"/>
          <w:highlight w:val="yellow"/>
          <w:lang w:eastAsia="fr-FR"/>
          <w14:ligatures w14:val="none"/>
        </w:rPr>
        <w:t>)</w:t>
      </w:r>
      <w:r w:rsidR="00EB06B1">
        <w:rPr>
          <w:rFonts w:ascii="Arial" w:eastAsia="Times New Roman" w:hAnsi="Arial" w:cs="Arial"/>
          <w:kern w:val="0"/>
          <w:sz w:val="20"/>
          <w:szCs w:val="20"/>
          <w:highlight w:val="yellow"/>
          <w:lang w:eastAsia="fr-FR"/>
          <w14:ligatures w14:val="none"/>
        </w:rPr>
        <w:t xml:space="preserve"> </w:t>
      </w:r>
      <w:r w:rsidR="00EB06B1" w:rsidRPr="00EB06B1">
        <w:rPr>
          <w:rFonts w:ascii="Arial" w:eastAsia="Times New Roman" w:hAnsi="Arial" w:cs="Arial"/>
          <w:kern w:val="0"/>
          <w:sz w:val="20"/>
          <w:szCs w:val="20"/>
          <w:highlight w:val="yellow"/>
          <w:lang w:eastAsia="fr-FR"/>
          <w14:ligatures w14:val="none"/>
        </w:rPr>
        <w:t xml:space="preserve">. A dynamic cold chain, starting at 4°C after slaughter using solar refrigeration units adapted to the heat of the Sahel, would limit the proliferation of </w:t>
      </w:r>
      <w:r w:rsidR="00EB06B1" w:rsidRPr="00EB06B1">
        <w:rPr>
          <w:rFonts w:ascii="Arial" w:eastAsia="Times New Roman" w:hAnsi="Arial" w:cs="Arial"/>
          <w:i/>
          <w:iCs/>
          <w:kern w:val="0"/>
          <w:sz w:val="20"/>
          <w:szCs w:val="20"/>
          <w:highlight w:val="yellow"/>
          <w:lang w:eastAsia="fr-FR"/>
          <w14:ligatures w14:val="none"/>
        </w:rPr>
        <w:t xml:space="preserve">E. coli </w:t>
      </w:r>
      <w:r w:rsidR="00EB06B1" w:rsidRPr="00EB06B1">
        <w:rPr>
          <w:rFonts w:ascii="Arial" w:eastAsia="Times New Roman" w:hAnsi="Arial" w:cs="Arial"/>
          <w:kern w:val="0"/>
          <w:sz w:val="20"/>
          <w:szCs w:val="20"/>
          <w:highlight w:val="yellow"/>
          <w:lang w:eastAsia="fr-FR"/>
          <w14:ligatures w14:val="none"/>
        </w:rPr>
        <w:t xml:space="preserve">and </w:t>
      </w:r>
      <w:r w:rsidR="00EB06B1" w:rsidRPr="00EB06B1">
        <w:rPr>
          <w:rFonts w:ascii="Arial" w:eastAsia="Times New Roman" w:hAnsi="Arial" w:cs="Arial"/>
          <w:i/>
          <w:iCs/>
          <w:kern w:val="0"/>
          <w:sz w:val="20"/>
          <w:szCs w:val="20"/>
          <w:highlight w:val="yellow"/>
          <w:lang w:eastAsia="fr-FR"/>
          <w14:ligatures w14:val="none"/>
        </w:rPr>
        <w:t>S. aureus</w:t>
      </w:r>
      <w:r w:rsidR="00EB06B1" w:rsidRPr="00EB06B1">
        <w:rPr>
          <w:rFonts w:ascii="Arial" w:eastAsia="Times New Roman" w:hAnsi="Arial" w:cs="Arial"/>
          <w:kern w:val="0"/>
          <w:sz w:val="20"/>
          <w:szCs w:val="20"/>
          <w:highlight w:val="yellow"/>
          <w:lang w:eastAsia="fr-FR"/>
          <w14:ligatures w14:val="none"/>
        </w:rPr>
        <w:t xml:space="preserve"> during transport by motorcycle to markets</w:t>
      </w:r>
      <w:r w:rsidR="00AC512C">
        <w:rPr>
          <w:rFonts w:ascii="Arial" w:eastAsia="Times New Roman" w:hAnsi="Arial" w:cs="Arial"/>
          <w:kern w:val="0"/>
          <w:sz w:val="20"/>
          <w:szCs w:val="20"/>
          <w:highlight w:val="yellow"/>
          <w:lang w:eastAsia="fr-FR"/>
          <w14:ligatures w14:val="none"/>
        </w:rPr>
        <w:t xml:space="preserve"> (Mayoré, 2019)</w:t>
      </w:r>
      <w:r w:rsidR="00EB06B1" w:rsidRPr="00EB06B1">
        <w:rPr>
          <w:rFonts w:ascii="Arial" w:eastAsia="Times New Roman" w:hAnsi="Arial" w:cs="Arial"/>
          <w:kern w:val="0"/>
          <w:sz w:val="20"/>
          <w:szCs w:val="20"/>
          <w:highlight w:val="yellow"/>
          <w:lang w:eastAsia="fr-FR"/>
          <w14:ligatures w14:val="none"/>
        </w:rPr>
        <w:t xml:space="preserve">. Training programs, delivered quarterly by veterinary services, should cover good manufacturing practices, HACCP principles, hand hygiene, and the use of personal protective equipment, targeting illiterate butchers with visual aids and </w:t>
      </w:r>
      <w:proofErr w:type="gramStart"/>
      <w:r w:rsidR="00EB06B1" w:rsidRPr="00EB06B1">
        <w:rPr>
          <w:rFonts w:ascii="Arial" w:eastAsia="Times New Roman" w:hAnsi="Arial" w:cs="Arial"/>
          <w:kern w:val="0"/>
          <w:sz w:val="20"/>
          <w:szCs w:val="20"/>
          <w:highlight w:val="yellow"/>
          <w:lang w:eastAsia="fr-FR"/>
          <w14:ligatures w14:val="none"/>
        </w:rPr>
        <w:t>demonstrations.Enforcement</w:t>
      </w:r>
      <w:proofErr w:type="gramEnd"/>
      <w:r w:rsidR="00EB06B1" w:rsidRPr="00EB06B1">
        <w:rPr>
          <w:rFonts w:ascii="Arial" w:eastAsia="Times New Roman" w:hAnsi="Arial" w:cs="Arial"/>
          <w:kern w:val="0"/>
          <w:sz w:val="20"/>
          <w:szCs w:val="20"/>
          <w:highlight w:val="yellow"/>
          <w:lang w:eastAsia="fr-FR"/>
          <w14:ligatures w14:val="none"/>
        </w:rPr>
        <w:t xml:space="preserve"> of the regulations, via the Chadian standard NF V08-051, aligned with Regulation (EC) No. 2073/2005, requires regular microbiological audits and penalties for non-compliance. Public awareness campaigns on the safe handling of meat will complement these efforts. Economically, safer sheep meat improves farmers' incomes and export potential to neighboring countries. In the long term, the integration of One Health surveillance for </w:t>
      </w:r>
      <w:r w:rsidR="00C81D18" w:rsidRPr="00C81D18">
        <w:rPr>
          <w:rFonts w:ascii="Arial" w:eastAsia="Times New Roman" w:hAnsi="Arial" w:cs="Arial"/>
          <w:kern w:val="0"/>
          <w:sz w:val="20"/>
          <w:szCs w:val="20"/>
          <w:highlight w:val="yellow"/>
          <w:lang w:eastAsia="fr-FR"/>
          <w14:ligatures w14:val="none"/>
        </w:rPr>
        <w:t>or antibiotic-resistant strains will ensure the sustainability of these gains, protecting vulnerable groups such as children from outbreaks of gastroenteritis</w:t>
      </w:r>
      <w:r w:rsidR="00C81D18" w:rsidRPr="00C81D18">
        <w:rPr>
          <w:rFonts w:ascii="Arial" w:eastAsia="Times New Roman" w:hAnsi="Arial" w:cs="Arial"/>
          <w:kern w:val="0"/>
          <w:sz w:val="20"/>
          <w:szCs w:val="20"/>
          <w:lang w:eastAsia="fr-FR"/>
          <w14:ligatures w14:val="none"/>
        </w:rPr>
        <w:t>.</w:t>
      </w:r>
      <w:bookmarkEnd w:id="5"/>
    </w:p>
    <w:p w14:paraId="0135FDCB" w14:textId="77777777" w:rsidR="00EB06B1" w:rsidRPr="008D7C84" w:rsidRDefault="00EB06B1">
      <w:pPr>
        <w:spacing w:after="0" w:line="360" w:lineRule="auto"/>
        <w:jc w:val="both"/>
        <w:rPr>
          <w:rFonts w:ascii="Arial" w:eastAsia="Times New Roman" w:hAnsi="Arial" w:cs="Arial"/>
          <w:kern w:val="0"/>
          <w:sz w:val="20"/>
          <w:szCs w:val="20"/>
          <w:lang w:eastAsia="fr-FR"/>
          <w14:ligatures w14:val="none"/>
        </w:rPr>
      </w:pPr>
    </w:p>
    <w:p w14:paraId="69542DFF" w14:textId="77777777" w:rsidR="00AD776A" w:rsidRPr="008D7C84" w:rsidRDefault="00AD776A">
      <w:pPr>
        <w:spacing w:after="0" w:line="360" w:lineRule="auto"/>
        <w:jc w:val="both"/>
        <w:rPr>
          <w:rFonts w:ascii="Arial" w:eastAsia="Times New Roman" w:hAnsi="Arial" w:cs="Arial"/>
          <w:kern w:val="0"/>
          <w:sz w:val="20"/>
          <w:szCs w:val="20"/>
          <w:lang w:eastAsia="fr-FR"/>
          <w14:ligatures w14:val="none"/>
        </w:rPr>
      </w:pPr>
    </w:p>
    <w:p w14:paraId="133E9608" w14:textId="77777777" w:rsidR="00AD776A" w:rsidRDefault="00AD776A">
      <w:pPr>
        <w:spacing w:after="0" w:line="360" w:lineRule="auto"/>
        <w:jc w:val="both"/>
        <w:rPr>
          <w:rFonts w:ascii="Times New Roman" w:eastAsia="Times New Roman" w:hAnsi="Times New Roman" w:cs="Times New Roman"/>
          <w:kern w:val="0"/>
          <w:sz w:val="24"/>
          <w:szCs w:val="24"/>
          <w:lang w:eastAsia="fr-FR"/>
          <w14:ligatures w14:val="none"/>
        </w:rPr>
      </w:pPr>
    </w:p>
    <w:p w14:paraId="630E67FA" w14:textId="77777777" w:rsidR="00AD776A" w:rsidRPr="00B16247" w:rsidRDefault="007D37A3" w:rsidP="00B16247">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5. Conclusion</w:t>
      </w:r>
    </w:p>
    <w:p w14:paraId="388F9292" w14:textId="472EBE70" w:rsidR="00AD776A" w:rsidRPr="00F502AE" w:rsidRDefault="0055211E">
      <w:pPr>
        <w:spacing w:after="0" w:line="360" w:lineRule="auto"/>
        <w:jc w:val="both"/>
        <w:rPr>
          <w:rFonts w:ascii="Arial" w:eastAsia="Times New Roman" w:hAnsi="Arial" w:cs="Arial"/>
          <w:kern w:val="0"/>
          <w:sz w:val="20"/>
          <w:szCs w:val="20"/>
          <w:lang w:eastAsia="fr-FR"/>
          <w14:ligatures w14:val="none"/>
        </w:rPr>
      </w:pPr>
      <w:r w:rsidRPr="00F502AE">
        <w:rPr>
          <w:rFonts w:ascii="Arial" w:eastAsia="Times New Roman" w:hAnsi="Arial" w:cs="Arial"/>
          <w:kern w:val="0"/>
          <w:sz w:val="20"/>
          <w:szCs w:val="20"/>
          <w:lang w:eastAsia="fr-FR"/>
          <w14:ligatures w14:val="none"/>
        </w:rPr>
        <w:t xml:space="preserve">This study revealed an overall unsatisfactory microbiological quality of fresh mutton sold in the six districts of N’Djamena. The measured microbial loads, particularly for coliforms and </w:t>
      </w:r>
      <w:r w:rsidRPr="00F502AE">
        <w:rPr>
          <w:rFonts w:ascii="Arial" w:eastAsia="Times New Roman" w:hAnsi="Arial" w:cs="Arial"/>
          <w:i/>
          <w:iCs/>
          <w:kern w:val="0"/>
          <w:sz w:val="20"/>
          <w:szCs w:val="20"/>
          <w:lang w:eastAsia="fr-FR"/>
          <w14:ligatures w14:val="none"/>
        </w:rPr>
        <w:t>Staphylococcus aureus</w:t>
      </w:r>
      <w:r w:rsidRPr="00F502AE">
        <w:rPr>
          <w:rFonts w:ascii="Arial" w:eastAsia="Times New Roman" w:hAnsi="Arial" w:cs="Arial"/>
          <w:kern w:val="0"/>
          <w:sz w:val="20"/>
          <w:szCs w:val="20"/>
          <w:lang w:eastAsia="fr-FR"/>
          <w14:ligatures w14:val="none"/>
        </w:rPr>
        <w:t>, were found to be noncompliant with the criteria established by Regulation (EC) No. 2073/2005. This contamination, primarily of fecal and human origin, results from a combination of deficient practices identified through sociodemographic and observational surveys. These factors include informal slaughter, the absence of a dynamic cold chain, and poor hygiene among meat handlers. The profile of the butchers highlighted a critical lack of knowledge regarding hygiene standards.</w:t>
      </w:r>
      <w:r w:rsidR="0066197C" w:rsidRPr="00F502AE">
        <w:rPr>
          <w:sz w:val="20"/>
          <w:szCs w:val="20"/>
        </w:rPr>
        <w:t xml:space="preserve"> </w:t>
      </w:r>
      <w:r w:rsidR="0066197C" w:rsidRPr="00F502AE">
        <w:rPr>
          <w:rFonts w:ascii="Arial" w:eastAsia="Times New Roman" w:hAnsi="Arial" w:cs="Arial"/>
          <w:kern w:val="0"/>
          <w:sz w:val="20"/>
          <w:szCs w:val="20"/>
          <w:highlight w:val="yellow"/>
          <w:lang w:eastAsia="fr-FR"/>
          <w14:ligatures w14:val="none"/>
        </w:rPr>
        <w:t xml:space="preserve">These results underscore the urgent need for targeted interventions to secure the sheep meat sector. Modernizing informal slaughterhouses into sanitary facilities equipped with automated washing systems, effluent management, and access to potable water is imperative. Establishing a reliable cold chain, from slaughter to points of sale, using solar-powered refrigerators adapted to the Sahelian climate, would limit bacterial growth. Mandatory training in good hygiene practices, risk analysis, critical control points, and the use of personal protective equipment must be provided to all stakeholders in the sector. From a regulatory standpoint, adopting Chadian microbiological thresholds aligned with Codex Alimentarius standards, combined with random inspections and deterrent penalties, would strengthen compliance. These measures would help reduce the health risks associated with gastroenteritis and staphylococcal food poisoning, which particularly affect vulnerable populations in N'Djamena. Economically, healthy meat would boost Chadian sheep exports and strengthen the contribution of pastoral livestock farming. </w:t>
      </w:r>
      <w:r w:rsidR="0066197C" w:rsidRPr="00F502AE">
        <w:rPr>
          <w:rFonts w:ascii="Arial" w:eastAsia="Times New Roman" w:hAnsi="Arial" w:cs="Arial"/>
          <w:kern w:val="0"/>
          <w:sz w:val="20"/>
          <w:szCs w:val="20"/>
          <w:highlight w:val="yellow"/>
          <w:lang w:eastAsia="fr-FR"/>
          <w14:ligatures w14:val="none"/>
        </w:rPr>
        <w:lastRenderedPageBreak/>
        <w:t xml:space="preserve">Finally, this study paves the way for future research on mycotoxins and antibiotic-resistant strains, integrating an </w:t>
      </w:r>
      <w:r w:rsidR="0066197C" w:rsidRPr="00F502AE">
        <w:rPr>
          <w:rFonts w:ascii="Arial" w:eastAsia="Times New Roman" w:hAnsi="Arial" w:cs="Arial"/>
          <w:i/>
          <w:iCs/>
          <w:kern w:val="0"/>
          <w:sz w:val="20"/>
          <w:szCs w:val="20"/>
          <w:highlight w:val="yellow"/>
          <w:lang w:eastAsia="fr-FR"/>
          <w14:ligatures w14:val="none"/>
        </w:rPr>
        <w:t>One Health</w:t>
      </w:r>
      <w:r w:rsidR="0066197C" w:rsidRPr="00F502AE">
        <w:rPr>
          <w:rFonts w:ascii="Arial" w:eastAsia="Times New Roman" w:hAnsi="Arial" w:cs="Arial"/>
          <w:kern w:val="0"/>
          <w:sz w:val="20"/>
          <w:szCs w:val="20"/>
          <w:highlight w:val="yellow"/>
          <w:lang w:eastAsia="fr-FR"/>
          <w14:ligatures w14:val="none"/>
        </w:rPr>
        <w:t xml:space="preserve"> approach for sustainable food systems in Chad.</w:t>
      </w:r>
    </w:p>
    <w:p w14:paraId="02DDD85E" w14:textId="77777777" w:rsidR="00F1519E" w:rsidRDefault="00F1519E" w:rsidP="002824F7">
      <w:pPr>
        <w:rPr>
          <w:rFonts w:ascii="Times New Roman" w:eastAsia="Times New Roman" w:hAnsi="Times New Roman" w:cs="Times New Roman"/>
          <w:kern w:val="0"/>
          <w:sz w:val="24"/>
          <w:szCs w:val="24"/>
          <w:lang w:eastAsia="fr-FR"/>
          <w14:ligatures w14:val="none"/>
        </w:rPr>
      </w:pPr>
    </w:p>
    <w:p w14:paraId="77CC3B0E" w14:textId="77777777" w:rsidR="007A7371" w:rsidRDefault="002824F7" w:rsidP="007A7371">
      <w:pPr>
        <w:rPr>
          <w:rFonts w:ascii="Calibri" w:eastAsia="Calibri" w:hAnsi="Calibri" w:cs="Times New Roman"/>
          <w:lang w:val="en-US"/>
        </w:rPr>
      </w:pPr>
      <w:r>
        <w:rPr>
          <w:rFonts w:ascii="Times New Roman" w:eastAsia="Times New Roman" w:hAnsi="Times New Roman" w:cs="Times New Roman"/>
          <w:b/>
          <w:bCs/>
          <w:kern w:val="0"/>
          <w:sz w:val="24"/>
          <w:szCs w:val="24"/>
          <w:lang w:eastAsia="fr-FR"/>
          <w14:ligatures w14:val="none"/>
        </w:rPr>
        <w:br w:type="page"/>
      </w:r>
      <w:bookmarkStart w:id="6" w:name="_Hlk192511329"/>
      <w:bookmarkStart w:id="7" w:name="_Hlk187485061"/>
      <w:bookmarkStart w:id="8" w:name="_Hlk194655630"/>
      <w:bookmarkStart w:id="9" w:name="_Hlk209008097"/>
      <w:bookmarkStart w:id="10" w:name="_Hlk213163655"/>
    </w:p>
    <w:p w14:paraId="71028331" w14:textId="77777777" w:rsidR="007A7371" w:rsidRDefault="007A7371" w:rsidP="007A7371">
      <w:pPr>
        <w:rPr>
          <w:rFonts w:ascii="Calibri" w:eastAsia="Calibri" w:hAnsi="Calibri" w:cs="Times New Roman"/>
          <w:highlight w:val="yellow"/>
          <w:lang w:val="en-US"/>
        </w:rPr>
      </w:pPr>
      <w:bookmarkStart w:id="11" w:name="_Hlk204003461"/>
      <w:bookmarkStart w:id="12" w:name="_Hlk213070710"/>
      <w:bookmarkEnd w:id="6"/>
      <w:bookmarkEnd w:id="7"/>
      <w:bookmarkEnd w:id="8"/>
      <w:bookmarkEnd w:id="9"/>
      <w:r>
        <w:rPr>
          <w:rFonts w:ascii="Calibri" w:eastAsia="Calibri" w:hAnsi="Calibri" w:cs="Times New Roman"/>
          <w:highlight w:val="yellow"/>
          <w:lang w:val="en-US"/>
        </w:rPr>
        <w:lastRenderedPageBreak/>
        <w:t>Disclaimer (Artificial intelligence)</w:t>
      </w:r>
    </w:p>
    <w:bookmarkEnd w:id="10"/>
    <w:bookmarkEnd w:id="11"/>
    <w:bookmarkEnd w:id="12"/>
    <w:p w14:paraId="38A26126" w14:textId="77777777" w:rsidR="001E5F8B" w:rsidRDefault="001E5F8B" w:rsidP="001E5F8B">
      <w:r>
        <w:t xml:space="preserve">Author(s) hereby declare that NO generative AI technologies such as Large Language Models (ChatGPT, COPILOT, etc.) and text-to-image generators have been used during the writing or editing of this manuscript. </w:t>
      </w:r>
    </w:p>
    <w:p w14:paraId="23FF240B" w14:textId="77777777" w:rsidR="002824F7" w:rsidRDefault="002824F7">
      <w:pPr>
        <w:spacing w:after="0" w:line="240" w:lineRule="auto"/>
        <w:rPr>
          <w:rFonts w:ascii="Times New Roman" w:eastAsia="Times New Roman" w:hAnsi="Times New Roman" w:cs="Times New Roman"/>
          <w:b/>
          <w:bCs/>
          <w:kern w:val="0"/>
          <w:sz w:val="24"/>
          <w:szCs w:val="24"/>
          <w:lang w:eastAsia="fr-FR"/>
          <w14:ligatures w14:val="none"/>
        </w:rPr>
      </w:pPr>
    </w:p>
    <w:p w14:paraId="77AB4799" w14:textId="05863A94" w:rsidR="00AD776A" w:rsidRPr="00B16247" w:rsidRDefault="00B37E92" w:rsidP="00B16247">
      <w:pPr>
        <w:spacing w:after="0" w:line="360" w:lineRule="auto"/>
        <w:rPr>
          <w:rFonts w:ascii="Arial" w:eastAsia="Times New Roman" w:hAnsi="Arial" w:cs="Arial"/>
          <w:b/>
          <w:bCs/>
          <w:kern w:val="0"/>
          <w:lang w:eastAsia="fr-FR"/>
          <w14:ligatures w14:val="none"/>
        </w:rPr>
      </w:pPr>
      <w:r w:rsidRPr="00B16247">
        <w:rPr>
          <w:rFonts w:ascii="Arial" w:eastAsia="Times New Roman" w:hAnsi="Arial" w:cs="Arial"/>
          <w:b/>
          <w:bCs/>
          <w:kern w:val="0"/>
          <w:lang w:eastAsia="fr-FR"/>
          <w14:ligatures w14:val="none"/>
        </w:rPr>
        <w:t>REFERENCES</w:t>
      </w:r>
    </w:p>
    <w:p w14:paraId="65185CF5" w14:textId="58F4ADCF" w:rsidR="002A5357" w:rsidRPr="008D53E7" w:rsidRDefault="008D53E7" w:rsidP="008D53E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 xml:space="preserve">McNeill, S. H. (2014). Inclusion of red meat in healthful dietary patterns. Meat Science, 98(3), 452–460. </w:t>
      </w:r>
      <w:hyperlink r:id="rId11" w:history="1">
        <w:r w:rsidRPr="00166024">
          <w:rPr>
            <w:rStyle w:val="Hyperlink"/>
            <w:rFonts w:ascii="Arial" w:eastAsia="Calibri" w:hAnsi="Arial" w:cs="Arial"/>
            <w:b/>
            <w:bCs/>
            <w:kern w:val="0"/>
            <w:sz w:val="20"/>
            <w:szCs w:val="20"/>
            <w14:ligatures w14:val="none"/>
          </w:rPr>
          <w:t>https://doi.org/10.1016/j.meatsci.2014.06.028</w:t>
        </w:r>
      </w:hyperlink>
      <w:r>
        <w:rPr>
          <w:rFonts w:ascii="Arial" w:eastAsia="Calibri" w:hAnsi="Arial" w:cs="Arial"/>
          <w:b/>
          <w:bCs/>
          <w:kern w:val="0"/>
          <w:sz w:val="20"/>
          <w:szCs w:val="20"/>
          <w14:ligatures w14:val="none"/>
        </w:rPr>
        <w:t xml:space="preserve"> </w:t>
      </w:r>
    </w:p>
    <w:p w14:paraId="5991C582" w14:textId="0A85F330" w:rsidR="002A5357" w:rsidRPr="008D53E7" w:rsidRDefault="002A5357" w:rsidP="002A535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Henry, A. G., &amp; Piperno, D. R (2020).</w:t>
      </w:r>
      <w:r w:rsidRPr="008D53E7">
        <w:rPr>
          <w:rFonts w:ascii="Arial" w:eastAsia="Calibri" w:hAnsi="Arial" w:cs="Arial"/>
          <w:kern w:val="0"/>
          <w:sz w:val="20"/>
          <w:szCs w:val="20"/>
          <w14:ligatures w14:val="none"/>
        </w:rPr>
        <w:t xml:space="preserve"> Using plant microfossils and starch grains to investigate early homini diets. </w:t>
      </w:r>
      <w:r w:rsidRPr="008D53E7">
        <w:rPr>
          <w:rFonts w:ascii="Arial" w:eastAsia="Calibri" w:hAnsi="Arial" w:cs="Arial"/>
          <w:b/>
          <w:bCs/>
          <w:kern w:val="0"/>
          <w:sz w:val="20"/>
          <w:szCs w:val="20"/>
          <w14:ligatures w14:val="none"/>
        </w:rPr>
        <w:t>Current Anthropology</w:t>
      </w:r>
      <w:r w:rsidRPr="008D53E7">
        <w:rPr>
          <w:rFonts w:ascii="Arial" w:eastAsia="Calibri" w:hAnsi="Arial" w:cs="Arial"/>
          <w:kern w:val="0"/>
          <w:sz w:val="20"/>
          <w:szCs w:val="20"/>
          <w14:ligatures w14:val="none"/>
        </w:rPr>
        <w:t>, 61(S22), S287- S301.</w:t>
      </w:r>
    </w:p>
    <w:p w14:paraId="306A9F2D" w14:textId="31F17772" w:rsidR="002A5357" w:rsidRPr="008D53E7" w:rsidRDefault="002A5357" w:rsidP="002A535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 xml:space="preserve">Sabaté, J., Soret, S., &amp; Harwatt, H. (2022). </w:t>
      </w:r>
      <w:r w:rsidRPr="008D53E7">
        <w:rPr>
          <w:rFonts w:ascii="Arial" w:eastAsia="Calibri" w:hAnsi="Arial" w:cs="Arial"/>
          <w:kern w:val="0"/>
          <w:sz w:val="20"/>
          <w:szCs w:val="20"/>
          <w14:ligatures w14:val="none"/>
        </w:rPr>
        <w:t xml:space="preserve">Meat consumption and cultural perceptions trough </w:t>
      </w:r>
      <w:proofErr w:type="gramStart"/>
      <w:r w:rsidRPr="008D53E7">
        <w:rPr>
          <w:rFonts w:ascii="Arial" w:eastAsia="Calibri" w:hAnsi="Arial" w:cs="Arial"/>
          <w:kern w:val="0"/>
          <w:sz w:val="20"/>
          <w:szCs w:val="20"/>
          <w14:ligatures w14:val="none"/>
        </w:rPr>
        <w:t>history:</w:t>
      </w:r>
      <w:proofErr w:type="gramEnd"/>
      <w:r w:rsidRPr="008D53E7">
        <w:rPr>
          <w:rFonts w:ascii="Arial" w:eastAsia="Calibri" w:hAnsi="Arial" w:cs="Arial"/>
          <w:kern w:val="0"/>
          <w:sz w:val="20"/>
          <w:szCs w:val="20"/>
          <w14:ligatures w14:val="none"/>
        </w:rPr>
        <w:t xml:space="preserve"> From luxury to necessity and sustainability challenge. Journal of Food History and Culture, 18(3), 145-160.</w:t>
      </w:r>
    </w:p>
    <w:p w14:paraId="32C2B5CE" w14:textId="640F063B" w:rsidR="002A5357" w:rsidRPr="008D53E7" w:rsidRDefault="002A5357" w:rsidP="002A535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 xml:space="preserve">Baas, S., Koffi, A., &amp; Mensah, P. (2020). </w:t>
      </w:r>
      <w:r w:rsidRPr="008D53E7">
        <w:rPr>
          <w:rFonts w:ascii="Arial" w:eastAsia="Calibri" w:hAnsi="Arial" w:cs="Arial"/>
          <w:kern w:val="0"/>
          <w:sz w:val="20"/>
          <w:szCs w:val="20"/>
          <w14:ligatures w14:val="none"/>
        </w:rPr>
        <w:t>Cultural significance and consumption patterns of sheep meat in African pastoral societies. Journal of Ethnobiology and Food Studies, 15(1), 45-60.</w:t>
      </w:r>
    </w:p>
    <w:p w14:paraId="1AC30B94" w14:textId="7281B907" w:rsidR="002A5357" w:rsidRPr="008D53E7" w:rsidRDefault="002A5357" w:rsidP="002A535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Diouf, M., Traoré, A., &amp; Kouyaté, I. (2020).</w:t>
      </w:r>
      <w:r w:rsidRPr="008D53E7">
        <w:rPr>
          <w:rFonts w:ascii="Arial" w:eastAsia="Calibri" w:hAnsi="Arial" w:cs="Arial"/>
          <w:kern w:val="0"/>
          <w:sz w:val="20"/>
          <w:szCs w:val="20"/>
          <w14:ligatures w14:val="none"/>
        </w:rPr>
        <w:t xml:space="preserve"> Patterns and determinants of sheep meat consumption in </w:t>
      </w:r>
      <w:proofErr w:type="gramStart"/>
      <w:r w:rsidRPr="008D53E7">
        <w:rPr>
          <w:rFonts w:ascii="Arial" w:eastAsia="Calibri" w:hAnsi="Arial" w:cs="Arial"/>
          <w:kern w:val="0"/>
          <w:sz w:val="20"/>
          <w:szCs w:val="20"/>
          <w14:ligatures w14:val="none"/>
        </w:rPr>
        <w:t>Africa:</w:t>
      </w:r>
      <w:proofErr w:type="gramEnd"/>
      <w:r w:rsidRPr="008D53E7">
        <w:rPr>
          <w:rFonts w:ascii="Arial" w:eastAsia="Calibri" w:hAnsi="Arial" w:cs="Arial"/>
          <w:kern w:val="0"/>
          <w:sz w:val="20"/>
          <w:szCs w:val="20"/>
          <w14:ligatures w14:val="none"/>
        </w:rPr>
        <w:t xml:space="preserve"> Cultural, economic, and social perspectives. African Journal Pf Food Studies, 12(2), 85-98.</w:t>
      </w:r>
    </w:p>
    <w:p w14:paraId="5B3C7E43" w14:textId="00578AC4" w:rsidR="002A5357" w:rsidRPr="008D53E7" w:rsidRDefault="002A5357" w:rsidP="008D53E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FAO. (2021).</w:t>
      </w:r>
      <w:r w:rsidRPr="008D53E7">
        <w:rPr>
          <w:rFonts w:ascii="Arial" w:eastAsia="Calibri" w:hAnsi="Arial" w:cs="Arial"/>
          <w:kern w:val="0"/>
          <w:sz w:val="20"/>
          <w:szCs w:val="20"/>
          <w14:ligatures w14:val="none"/>
        </w:rPr>
        <w:t xml:space="preserve"> Sheep production and consumption in </w:t>
      </w:r>
      <w:proofErr w:type="gramStart"/>
      <w:r w:rsidRPr="008D53E7">
        <w:rPr>
          <w:rFonts w:ascii="Arial" w:eastAsia="Calibri" w:hAnsi="Arial" w:cs="Arial"/>
          <w:kern w:val="0"/>
          <w:sz w:val="20"/>
          <w:szCs w:val="20"/>
          <w14:ligatures w14:val="none"/>
        </w:rPr>
        <w:t>Chad:</w:t>
      </w:r>
      <w:proofErr w:type="gramEnd"/>
      <w:r w:rsidRPr="008D53E7">
        <w:rPr>
          <w:rFonts w:ascii="Arial" w:eastAsia="Calibri" w:hAnsi="Arial" w:cs="Arial"/>
          <w:kern w:val="0"/>
          <w:sz w:val="20"/>
          <w:szCs w:val="20"/>
          <w14:ligatures w14:val="none"/>
        </w:rPr>
        <w:t xml:space="preserve"> Economic and nutritional perspectives.Rome: Food and culture Organization of the United Nations. </w:t>
      </w:r>
      <w:hyperlink r:id="rId12" w:history="1">
        <w:r w:rsidRPr="008D53E7">
          <w:rPr>
            <w:rFonts w:ascii="Arial" w:eastAsia="Calibri" w:hAnsi="Arial" w:cs="Arial"/>
            <w:color w:val="0563C1"/>
            <w:kern w:val="0"/>
            <w:sz w:val="20"/>
            <w:szCs w:val="20"/>
            <w:u w:val="single"/>
            <w14:ligatures w14:val="none"/>
          </w:rPr>
          <w:t>https://www.fao.org/publications</w:t>
        </w:r>
      </w:hyperlink>
    </w:p>
    <w:p w14:paraId="79C5DD68" w14:textId="588C9225" w:rsidR="002A5357" w:rsidRDefault="002A5357"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Ardjoune, T. (2021).</w:t>
      </w:r>
      <w:r w:rsidRPr="008D53E7">
        <w:rPr>
          <w:rFonts w:ascii="Arial" w:eastAsia="Calibri" w:hAnsi="Arial" w:cs="Arial"/>
          <w:kern w:val="0"/>
          <w:sz w:val="20"/>
          <w:szCs w:val="20"/>
          <w14:ligatures w14:val="none"/>
        </w:rPr>
        <w:t xml:space="preserve"> La Consommation de la viande ovine et ses dimensions culturelles au Tchad.</w:t>
      </w:r>
    </w:p>
    <w:p w14:paraId="0C1D8018" w14:textId="0405E34A" w:rsidR="00DA040F" w:rsidRPr="000C45A2" w:rsidRDefault="00DA040F"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0C45A2">
        <w:rPr>
          <w:rFonts w:ascii="Arial" w:eastAsia="Calibri" w:hAnsi="Arial" w:cs="Arial"/>
          <w:b/>
          <w:bCs/>
          <w:kern w:val="0"/>
          <w:sz w:val="20"/>
          <w:szCs w:val="20"/>
          <w:highlight w:val="yellow"/>
          <w14:ligatures w14:val="none"/>
        </w:rPr>
        <w:t>FAO</w:t>
      </w:r>
      <w:r w:rsidR="000C45A2" w:rsidRPr="000C45A2">
        <w:rPr>
          <w:rFonts w:ascii="Arial" w:eastAsia="Calibri" w:hAnsi="Arial" w:cs="Arial"/>
          <w:b/>
          <w:bCs/>
          <w:kern w:val="0"/>
          <w:sz w:val="20"/>
          <w:szCs w:val="20"/>
          <w:highlight w:val="yellow"/>
          <w14:ligatures w14:val="none"/>
        </w:rPr>
        <w:t xml:space="preserve">. (2022). </w:t>
      </w:r>
      <w:r w:rsidR="000C45A2" w:rsidRPr="000C45A2">
        <w:rPr>
          <w:rFonts w:ascii="Arial" w:eastAsia="Calibri" w:hAnsi="Arial" w:cs="Arial"/>
          <w:kern w:val="0"/>
          <w:sz w:val="20"/>
          <w:szCs w:val="20"/>
          <w:highlight w:val="yellow"/>
          <w14:ligatures w14:val="none"/>
        </w:rPr>
        <w:t>Animal Production and Health Newsletter, No. 77, December 2022 (No. INIS-XA--23M0033). Joint FAO/IAEA Centre of Nuclear Techniques in Food and Agriculture, Animal Production and Health Section, Vienna (Austria).</w:t>
      </w:r>
    </w:p>
    <w:p w14:paraId="5B4AF40E" w14:textId="00117537" w:rsidR="00517B7A" w:rsidRPr="00517B7A" w:rsidRDefault="00517B7A" w:rsidP="00517B7A">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517B7A">
        <w:rPr>
          <w:rFonts w:ascii="Arial" w:eastAsia="Calibri" w:hAnsi="Arial" w:cs="Arial"/>
          <w:kern w:val="0"/>
          <w:sz w:val="20"/>
          <w:szCs w:val="20"/>
          <w:highlight w:val="yellow"/>
          <w14:ligatures w14:val="none"/>
        </w:rPr>
        <w:t>Kerouanton, A., Cevallos-Almeida, M., Gómez, C., Cajas, B., Almachi, A., Denis, M., &amp; Rose, V.</w:t>
      </w:r>
      <w:r w:rsidRPr="00517B7A">
        <w:t xml:space="preserve"> </w:t>
      </w:r>
      <w:r>
        <w:t>(</w:t>
      </w:r>
      <w:r w:rsidRPr="00517B7A">
        <w:rPr>
          <w:rFonts w:ascii="Arial" w:eastAsia="Calibri" w:hAnsi="Arial" w:cs="Arial"/>
          <w:kern w:val="0"/>
          <w:sz w:val="20"/>
          <w:szCs w:val="20"/>
          <w14:ligatures w14:val="none"/>
        </w:rPr>
        <w:t>2019</w:t>
      </w:r>
      <w:r>
        <w:rPr>
          <w:rFonts w:ascii="Arial" w:eastAsia="Calibri" w:hAnsi="Arial" w:cs="Arial"/>
          <w:kern w:val="0"/>
          <w:sz w:val="20"/>
          <w:szCs w:val="20"/>
          <w14:ligatures w14:val="none"/>
        </w:rPr>
        <w:t>)</w:t>
      </w:r>
      <w:r w:rsidRPr="00517B7A">
        <w:rPr>
          <w:rFonts w:ascii="Arial" w:eastAsia="Calibri" w:hAnsi="Arial" w:cs="Arial"/>
          <w:kern w:val="0"/>
          <w:sz w:val="20"/>
          <w:szCs w:val="20"/>
          <w14:ligatures w14:val="none"/>
        </w:rPr>
        <w:t xml:space="preserve">. </w:t>
      </w:r>
      <w:r w:rsidRPr="00517B7A">
        <w:rPr>
          <w:rFonts w:ascii="Arial" w:eastAsia="Calibri" w:hAnsi="Arial" w:cs="Arial"/>
          <w:kern w:val="0"/>
          <w:sz w:val="20"/>
          <w:szCs w:val="20"/>
          <w:highlight w:val="yellow"/>
          <w14:ligatures w14:val="none"/>
        </w:rPr>
        <w:t xml:space="preserve"> Salmonella in Pigs Slaughtered in </w:t>
      </w:r>
      <w:proofErr w:type="gramStart"/>
      <w:r w:rsidRPr="00517B7A">
        <w:rPr>
          <w:rFonts w:ascii="Arial" w:eastAsia="Calibri" w:hAnsi="Arial" w:cs="Arial"/>
          <w:kern w:val="0"/>
          <w:sz w:val="20"/>
          <w:szCs w:val="20"/>
          <w:highlight w:val="yellow"/>
          <w14:ligatures w14:val="none"/>
        </w:rPr>
        <w:t>Ecuador:</w:t>
      </w:r>
      <w:proofErr w:type="gramEnd"/>
      <w:r w:rsidRPr="00517B7A">
        <w:rPr>
          <w:rFonts w:ascii="Arial" w:eastAsia="Calibri" w:hAnsi="Arial" w:cs="Arial"/>
          <w:kern w:val="0"/>
          <w:sz w:val="20"/>
          <w:szCs w:val="20"/>
          <w:highlight w:val="yellow"/>
          <w14:ligatures w14:val="none"/>
        </w:rPr>
        <w:t xml:space="preserve"> Occurrence, Serotypes, Genotypes and Antibiotic Resistance. </w:t>
      </w:r>
      <w:r w:rsidRPr="00517B7A">
        <w:rPr>
          <w:rFonts w:ascii="Arial" w:eastAsia="Calibri" w:hAnsi="Arial" w:cs="Arial"/>
          <w:i/>
          <w:iCs/>
          <w:kern w:val="0"/>
          <w:sz w:val="20"/>
          <w:szCs w:val="20"/>
          <w:highlight w:val="yellow"/>
          <w14:ligatures w14:val="none"/>
        </w:rPr>
        <w:t>Serotypes, Genotypes and Antibiotic Resistance</w:t>
      </w:r>
      <w:r w:rsidRPr="00517B7A">
        <w:rPr>
          <w:rFonts w:ascii="Arial" w:eastAsia="Calibri" w:hAnsi="Arial" w:cs="Arial"/>
          <w:kern w:val="0"/>
          <w:sz w:val="20"/>
          <w:szCs w:val="20"/>
          <w:highlight w:val="yellow"/>
          <w14:ligatures w14:val="none"/>
        </w:rPr>
        <w:t>.</w:t>
      </w:r>
    </w:p>
    <w:p w14:paraId="1EE95729" w14:textId="25DF7A71" w:rsidR="006E68A3" w:rsidRDefault="004250DB"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4250DB">
        <w:rPr>
          <w:rFonts w:ascii="Arial" w:eastAsia="Calibri" w:hAnsi="Arial" w:cs="Arial"/>
          <w:kern w:val="0"/>
          <w:sz w:val="20"/>
          <w:szCs w:val="20"/>
          <w:highlight w:val="yellow"/>
          <w14:ligatures w14:val="none"/>
        </w:rPr>
        <w:t>European Food Safety Authority</w:t>
      </w:r>
      <w:r w:rsidR="00C07D44">
        <w:rPr>
          <w:rFonts w:ascii="Arial" w:eastAsia="Calibri" w:hAnsi="Arial" w:cs="Arial"/>
          <w:kern w:val="0"/>
          <w:sz w:val="20"/>
          <w:szCs w:val="20"/>
          <w:highlight w:val="yellow"/>
          <w14:ligatures w14:val="none"/>
        </w:rPr>
        <w:t xml:space="preserve"> (</w:t>
      </w:r>
      <w:r w:rsidR="00C07D44" w:rsidRPr="006E68A3">
        <w:rPr>
          <w:rFonts w:ascii="Arial" w:eastAsia="Times New Roman" w:hAnsi="Arial" w:cs="Arial"/>
          <w:kern w:val="0"/>
          <w:sz w:val="20"/>
          <w:szCs w:val="20"/>
          <w:lang w:eastAsia="fr-FR"/>
          <w14:ligatures w14:val="none"/>
        </w:rPr>
        <w:t>EFSA</w:t>
      </w:r>
      <w:r w:rsidR="00C07D44">
        <w:rPr>
          <w:rFonts w:ascii="Arial" w:eastAsia="Times New Roman" w:hAnsi="Arial" w:cs="Arial"/>
          <w:kern w:val="0"/>
          <w:sz w:val="20"/>
          <w:szCs w:val="20"/>
          <w:lang w:eastAsia="fr-FR"/>
          <w14:ligatures w14:val="none"/>
        </w:rPr>
        <w:t>)</w:t>
      </w:r>
      <w:r w:rsidRPr="004250DB">
        <w:rPr>
          <w:rFonts w:ascii="Arial" w:eastAsia="Calibri" w:hAnsi="Arial" w:cs="Arial"/>
          <w:kern w:val="0"/>
          <w:sz w:val="20"/>
          <w:szCs w:val="20"/>
          <w:highlight w:val="yellow"/>
          <w14:ligatures w14:val="none"/>
        </w:rPr>
        <w:t xml:space="preserve">, &amp; European Centre for Disease Prevention and Control. (2025). The European Union summary report on antimicrobial resistance in zoonotic and indicator bacteria from humans, animals and food in 2022–2023. </w:t>
      </w:r>
      <w:r w:rsidRPr="004250DB">
        <w:rPr>
          <w:rFonts w:ascii="Arial" w:eastAsia="Calibri" w:hAnsi="Arial" w:cs="Arial"/>
          <w:i/>
          <w:iCs/>
          <w:kern w:val="0"/>
          <w:sz w:val="20"/>
          <w:szCs w:val="20"/>
          <w:highlight w:val="yellow"/>
          <w14:ligatures w14:val="none"/>
        </w:rPr>
        <w:t>EFSA Journal</w:t>
      </w:r>
      <w:r w:rsidRPr="004250DB">
        <w:rPr>
          <w:rFonts w:ascii="Arial" w:eastAsia="Calibri" w:hAnsi="Arial" w:cs="Arial"/>
          <w:kern w:val="0"/>
          <w:sz w:val="20"/>
          <w:szCs w:val="20"/>
          <w:highlight w:val="yellow"/>
          <w14:ligatures w14:val="none"/>
        </w:rPr>
        <w:t xml:space="preserve">, </w:t>
      </w:r>
      <w:r w:rsidRPr="004250DB">
        <w:rPr>
          <w:rFonts w:ascii="Arial" w:eastAsia="Calibri" w:hAnsi="Arial" w:cs="Arial"/>
          <w:i/>
          <w:iCs/>
          <w:kern w:val="0"/>
          <w:sz w:val="20"/>
          <w:szCs w:val="20"/>
          <w:highlight w:val="yellow"/>
          <w14:ligatures w14:val="none"/>
        </w:rPr>
        <w:t>23</w:t>
      </w:r>
      <w:r w:rsidRPr="004250DB">
        <w:rPr>
          <w:rFonts w:ascii="Arial" w:eastAsia="Calibri" w:hAnsi="Arial" w:cs="Arial"/>
          <w:kern w:val="0"/>
          <w:sz w:val="20"/>
          <w:szCs w:val="20"/>
          <w:highlight w:val="yellow"/>
          <w14:ligatures w14:val="none"/>
        </w:rPr>
        <w:t>(3), e9237.</w:t>
      </w:r>
    </w:p>
    <w:p w14:paraId="5B66FBBE" w14:textId="3F9364EF" w:rsidR="00F47ED7" w:rsidRDefault="00422C6F"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422C6F">
        <w:rPr>
          <w:rFonts w:ascii="Arial" w:eastAsia="Calibri" w:hAnsi="Arial" w:cs="Arial"/>
          <w:kern w:val="0"/>
          <w:sz w:val="20"/>
          <w:szCs w:val="20"/>
          <w:highlight w:val="yellow"/>
          <w14:ligatures w14:val="none"/>
        </w:rPr>
        <w:t xml:space="preserve">Nguena Nguefack, H. L., Pagé, M. G., Katz, J., Choinière, M., Vanasse, A., Dorais, M., ... &amp; Lacasse, A. (2020). Trajectory modelling techniques useful to epidemiological </w:t>
      </w:r>
      <w:proofErr w:type="gramStart"/>
      <w:r w:rsidRPr="00422C6F">
        <w:rPr>
          <w:rFonts w:ascii="Arial" w:eastAsia="Calibri" w:hAnsi="Arial" w:cs="Arial"/>
          <w:kern w:val="0"/>
          <w:sz w:val="20"/>
          <w:szCs w:val="20"/>
          <w:highlight w:val="yellow"/>
          <w14:ligatures w14:val="none"/>
        </w:rPr>
        <w:t>research:</w:t>
      </w:r>
      <w:proofErr w:type="gramEnd"/>
      <w:r w:rsidRPr="00422C6F">
        <w:rPr>
          <w:rFonts w:ascii="Arial" w:eastAsia="Calibri" w:hAnsi="Arial" w:cs="Arial"/>
          <w:kern w:val="0"/>
          <w:sz w:val="20"/>
          <w:szCs w:val="20"/>
          <w:highlight w:val="yellow"/>
          <w14:ligatures w14:val="none"/>
        </w:rPr>
        <w:t xml:space="preserve"> a comparative narrative review of approaches. </w:t>
      </w:r>
      <w:r w:rsidRPr="00422C6F">
        <w:rPr>
          <w:rFonts w:ascii="Arial" w:eastAsia="Calibri" w:hAnsi="Arial" w:cs="Arial"/>
          <w:i/>
          <w:iCs/>
          <w:kern w:val="0"/>
          <w:sz w:val="20"/>
          <w:szCs w:val="20"/>
          <w:highlight w:val="yellow"/>
          <w14:ligatures w14:val="none"/>
        </w:rPr>
        <w:t>Clinical epidemiology</w:t>
      </w:r>
      <w:r w:rsidRPr="00422C6F">
        <w:rPr>
          <w:rFonts w:ascii="Arial" w:eastAsia="Calibri" w:hAnsi="Arial" w:cs="Arial"/>
          <w:kern w:val="0"/>
          <w:sz w:val="20"/>
          <w:szCs w:val="20"/>
          <w:highlight w:val="yellow"/>
          <w14:ligatures w14:val="none"/>
        </w:rPr>
        <w:t>, 1205-1222.</w:t>
      </w:r>
    </w:p>
    <w:p w14:paraId="797C231B" w14:textId="4392677E" w:rsidR="00422C6F" w:rsidRPr="00422C6F" w:rsidRDefault="00422C6F" w:rsidP="00422C6F">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422C6F">
        <w:rPr>
          <w:rFonts w:ascii="Arial" w:eastAsia="Calibri" w:hAnsi="Arial" w:cs="Arial"/>
          <w:kern w:val="0"/>
          <w:sz w:val="20"/>
          <w:szCs w:val="20"/>
          <w:highlight w:val="yellow"/>
          <w14:ligatures w14:val="none"/>
        </w:rPr>
        <w:t xml:space="preserve">Adzitey, F., Monten, S. K., &amp; Frimpong, E. B. (2021). Impact of COVID-19 on Butchers and Meat Processors in </w:t>
      </w:r>
      <w:proofErr w:type="gramStart"/>
      <w:r w:rsidRPr="00422C6F">
        <w:rPr>
          <w:rFonts w:ascii="Arial" w:eastAsia="Calibri" w:hAnsi="Arial" w:cs="Arial"/>
          <w:kern w:val="0"/>
          <w:sz w:val="20"/>
          <w:szCs w:val="20"/>
          <w:highlight w:val="yellow"/>
          <w14:ligatures w14:val="none"/>
        </w:rPr>
        <w:t>Ghana:</w:t>
      </w:r>
      <w:proofErr w:type="gramEnd"/>
      <w:r w:rsidRPr="00422C6F">
        <w:rPr>
          <w:rFonts w:ascii="Arial" w:eastAsia="Calibri" w:hAnsi="Arial" w:cs="Arial"/>
          <w:kern w:val="0"/>
          <w:sz w:val="20"/>
          <w:szCs w:val="20"/>
          <w:highlight w:val="yellow"/>
          <w14:ligatures w14:val="none"/>
        </w:rPr>
        <w:t xml:space="preserve"> Implication on Food (Meat) Biosecurity. </w:t>
      </w:r>
      <w:r w:rsidRPr="00422C6F">
        <w:rPr>
          <w:rFonts w:ascii="Arial" w:eastAsia="Calibri" w:hAnsi="Arial" w:cs="Arial"/>
          <w:i/>
          <w:iCs/>
          <w:kern w:val="0"/>
          <w:sz w:val="20"/>
          <w:szCs w:val="20"/>
          <w:highlight w:val="yellow"/>
          <w14:ligatures w14:val="none"/>
        </w:rPr>
        <w:t>Asian Journal of Research in Animal and Veterinary Sciences</w:t>
      </w:r>
      <w:r w:rsidRPr="00422C6F">
        <w:rPr>
          <w:rFonts w:ascii="Arial" w:eastAsia="Calibri" w:hAnsi="Arial" w:cs="Arial"/>
          <w:kern w:val="0"/>
          <w:sz w:val="20"/>
          <w:szCs w:val="20"/>
          <w:highlight w:val="yellow"/>
          <w14:ligatures w14:val="none"/>
        </w:rPr>
        <w:t xml:space="preserve">, </w:t>
      </w:r>
      <w:r w:rsidRPr="00422C6F">
        <w:rPr>
          <w:rFonts w:ascii="Arial" w:eastAsia="Calibri" w:hAnsi="Arial" w:cs="Arial"/>
          <w:i/>
          <w:iCs/>
          <w:kern w:val="0"/>
          <w:sz w:val="20"/>
          <w:szCs w:val="20"/>
          <w:highlight w:val="yellow"/>
          <w14:ligatures w14:val="none"/>
        </w:rPr>
        <w:t>8</w:t>
      </w:r>
      <w:r w:rsidRPr="00422C6F">
        <w:rPr>
          <w:rFonts w:ascii="Arial" w:eastAsia="Calibri" w:hAnsi="Arial" w:cs="Arial"/>
          <w:kern w:val="0"/>
          <w:sz w:val="20"/>
          <w:szCs w:val="20"/>
          <w:highlight w:val="yellow"/>
          <w14:ligatures w14:val="none"/>
        </w:rPr>
        <w:t>(4), 39-54.</w:t>
      </w:r>
    </w:p>
    <w:p w14:paraId="6DF64335" w14:textId="2A5BC64F" w:rsidR="006E68A3" w:rsidRPr="00422C6F" w:rsidRDefault="006E68A3" w:rsidP="00422C6F">
      <w:pPr>
        <w:tabs>
          <w:tab w:val="left" w:pos="425"/>
        </w:tabs>
        <w:spacing w:after="200" w:line="360" w:lineRule="auto"/>
        <w:ind w:left="360" w:right="1"/>
        <w:jc w:val="both"/>
        <w:rPr>
          <w:rFonts w:ascii="Arial" w:eastAsia="Calibri" w:hAnsi="Arial" w:cs="Arial"/>
          <w:kern w:val="0"/>
          <w:sz w:val="20"/>
          <w:szCs w:val="20"/>
          <w:highlight w:val="yellow"/>
          <w14:ligatures w14:val="none"/>
        </w:rPr>
      </w:pPr>
    </w:p>
    <w:p w14:paraId="365FBD28" w14:textId="004B2510" w:rsidR="00F47ED7" w:rsidRDefault="00AA70CB"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AA70CB">
        <w:rPr>
          <w:rFonts w:ascii="Arial" w:eastAsia="Calibri" w:hAnsi="Arial" w:cs="Arial"/>
          <w:kern w:val="0"/>
          <w:sz w:val="20"/>
          <w:szCs w:val="20"/>
          <w:highlight w:val="yellow"/>
          <w14:ligatures w14:val="none"/>
        </w:rPr>
        <w:t xml:space="preserve">Nikiema, M. E., Kakou-Ngazoa, S., Ky/Ba, A., Sylla, A., Bako, E., Addablah, A. Y. A., ... &amp; Sangaré, L. (2021). Characterization of virulence factors of Salmonella isolated from human stools and street food in urban areas of Burkina Faso. </w:t>
      </w:r>
      <w:r w:rsidRPr="00AA70CB">
        <w:rPr>
          <w:rFonts w:ascii="Arial" w:eastAsia="Calibri" w:hAnsi="Arial" w:cs="Arial"/>
          <w:i/>
          <w:iCs/>
          <w:kern w:val="0"/>
          <w:sz w:val="20"/>
          <w:szCs w:val="20"/>
          <w:highlight w:val="yellow"/>
          <w14:ligatures w14:val="none"/>
        </w:rPr>
        <w:t>BMC microbiology</w:t>
      </w:r>
      <w:r w:rsidRPr="00AA70CB">
        <w:rPr>
          <w:rFonts w:ascii="Arial" w:eastAsia="Calibri" w:hAnsi="Arial" w:cs="Arial"/>
          <w:kern w:val="0"/>
          <w:sz w:val="20"/>
          <w:szCs w:val="20"/>
          <w:highlight w:val="yellow"/>
          <w14:ligatures w14:val="none"/>
        </w:rPr>
        <w:t xml:space="preserve">, </w:t>
      </w:r>
      <w:r w:rsidRPr="00AA70CB">
        <w:rPr>
          <w:rFonts w:ascii="Arial" w:eastAsia="Calibri" w:hAnsi="Arial" w:cs="Arial"/>
          <w:i/>
          <w:iCs/>
          <w:kern w:val="0"/>
          <w:sz w:val="20"/>
          <w:szCs w:val="20"/>
          <w:highlight w:val="yellow"/>
          <w14:ligatures w14:val="none"/>
        </w:rPr>
        <w:t>21</w:t>
      </w:r>
      <w:r w:rsidRPr="00AA70CB">
        <w:rPr>
          <w:rFonts w:ascii="Arial" w:eastAsia="Calibri" w:hAnsi="Arial" w:cs="Arial"/>
          <w:kern w:val="0"/>
          <w:sz w:val="20"/>
          <w:szCs w:val="20"/>
          <w:highlight w:val="yellow"/>
          <w14:ligatures w14:val="none"/>
        </w:rPr>
        <w:t>(1), 338.</w:t>
      </w:r>
    </w:p>
    <w:p w14:paraId="6C5D0BCC" w14:textId="09C6661E" w:rsidR="00F47ED7" w:rsidRDefault="00233D68"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bookmarkStart w:id="13" w:name="_Hlk216746740"/>
      <w:r w:rsidRPr="00233D68">
        <w:rPr>
          <w:rFonts w:ascii="Arial" w:eastAsia="Calibri" w:hAnsi="Arial" w:cs="Arial"/>
          <w:kern w:val="0"/>
          <w:sz w:val="20"/>
          <w:szCs w:val="20"/>
          <w:highlight w:val="yellow"/>
          <w14:ligatures w14:val="none"/>
        </w:rPr>
        <w:t>Ghosh,</w:t>
      </w:r>
      <w:bookmarkEnd w:id="13"/>
      <w:r w:rsidRPr="00233D68">
        <w:rPr>
          <w:rFonts w:ascii="Arial" w:eastAsia="Calibri" w:hAnsi="Arial" w:cs="Arial"/>
          <w:kern w:val="0"/>
          <w:sz w:val="20"/>
          <w:szCs w:val="20"/>
          <w:highlight w:val="yellow"/>
          <w14:ligatures w14:val="none"/>
        </w:rPr>
        <w:t xml:space="preserve"> A., Kumar, A., &amp; Biswas, G. (2024). Exponential population growth and global food </w:t>
      </w:r>
      <w:proofErr w:type="gramStart"/>
      <w:r w:rsidRPr="00233D68">
        <w:rPr>
          <w:rFonts w:ascii="Arial" w:eastAsia="Calibri" w:hAnsi="Arial" w:cs="Arial"/>
          <w:kern w:val="0"/>
          <w:sz w:val="20"/>
          <w:szCs w:val="20"/>
          <w:highlight w:val="yellow"/>
          <w14:ligatures w14:val="none"/>
        </w:rPr>
        <w:t>security:</w:t>
      </w:r>
      <w:proofErr w:type="gramEnd"/>
      <w:r w:rsidRPr="00233D68">
        <w:rPr>
          <w:rFonts w:ascii="Arial" w:eastAsia="Calibri" w:hAnsi="Arial" w:cs="Arial"/>
          <w:kern w:val="0"/>
          <w:sz w:val="20"/>
          <w:szCs w:val="20"/>
          <w:highlight w:val="yellow"/>
          <w14:ligatures w14:val="none"/>
        </w:rPr>
        <w:t xml:space="preserve"> challenges and alternatives. In </w:t>
      </w:r>
      <w:r w:rsidRPr="00233D68">
        <w:rPr>
          <w:rFonts w:ascii="Arial" w:eastAsia="Calibri" w:hAnsi="Arial" w:cs="Arial"/>
          <w:i/>
          <w:iCs/>
          <w:kern w:val="0"/>
          <w:sz w:val="20"/>
          <w:szCs w:val="20"/>
          <w:highlight w:val="yellow"/>
          <w14:ligatures w14:val="none"/>
        </w:rPr>
        <w:t>Bioremediation of emerging contaminants from soils</w:t>
      </w:r>
      <w:r w:rsidRPr="00233D68">
        <w:rPr>
          <w:rFonts w:ascii="Arial" w:eastAsia="Calibri" w:hAnsi="Arial" w:cs="Arial"/>
          <w:kern w:val="0"/>
          <w:sz w:val="20"/>
          <w:szCs w:val="20"/>
          <w:highlight w:val="yellow"/>
          <w14:ligatures w14:val="none"/>
        </w:rPr>
        <w:t xml:space="preserve"> (pp. 1-20). Elsevier.</w:t>
      </w:r>
    </w:p>
    <w:p w14:paraId="2E0A0F84" w14:textId="170A5BD8" w:rsidR="006B2E89" w:rsidRDefault="00111E6B"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111E6B">
        <w:rPr>
          <w:rFonts w:ascii="Arial" w:eastAsia="Calibri" w:hAnsi="Arial" w:cs="Arial"/>
          <w:kern w:val="0"/>
          <w:sz w:val="20"/>
          <w:szCs w:val="20"/>
          <w:highlight w:val="yellow"/>
          <w14:ligatures w14:val="none"/>
        </w:rPr>
        <w:t xml:space="preserve">Taylor, D. D., Fenske, G. J., Pouzou, J. G., Costard, S., &amp; Zagmutt, F. J. (2022). Codex alimentarius guidelines for risk analysis of foodborne antimicrobial resistance are incompatible with available surveillance data. </w:t>
      </w:r>
      <w:r w:rsidRPr="00111E6B">
        <w:rPr>
          <w:rFonts w:ascii="Arial" w:eastAsia="Calibri" w:hAnsi="Arial" w:cs="Arial"/>
          <w:i/>
          <w:iCs/>
          <w:kern w:val="0"/>
          <w:sz w:val="20"/>
          <w:szCs w:val="20"/>
          <w:highlight w:val="yellow"/>
          <w14:ligatures w14:val="none"/>
        </w:rPr>
        <w:t>Journal of Food Protection</w:t>
      </w:r>
      <w:r w:rsidRPr="00111E6B">
        <w:rPr>
          <w:rFonts w:ascii="Arial" w:eastAsia="Calibri" w:hAnsi="Arial" w:cs="Arial"/>
          <w:kern w:val="0"/>
          <w:sz w:val="20"/>
          <w:szCs w:val="20"/>
          <w:highlight w:val="yellow"/>
          <w14:ligatures w14:val="none"/>
        </w:rPr>
        <w:t xml:space="preserve">, </w:t>
      </w:r>
      <w:r w:rsidRPr="00111E6B">
        <w:rPr>
          <w:rFonts w:ascii="Arial" w:eastAsia="Calibri" w:hAnsi="Arial" w:cs="Arial"/>
          <w:i/>
          <w:iCs/>
          <w:kern w:val="0"/>
          <w:sz w:val="20"/>
          <w:szCs w:val="20"/>
          <w:highlight w:val="yellow"/>
          <w14:ligatures w14:val="none"/>
        </w:rPr>
        <w:t>85</w:t>
      </w:r>
      <w:r w:rsidRPr="00111E6B">
        <w:rPr>
          <w:rFonts w:ascii="Arial" w:eastAsia="Calibri" w:hAnsi="Arial" w:cs="Arial"/>
          <w:kern w:val="0"/>
          <w:sz w:val="20"/>
          <w:szCs w:val="20"/>
          <w:highlight w:val="yellow"/>
          <w14:ligatures w14:val="none"/>
        </w:rPr>
        <w:t>(11), 1496-1505.</w:t>
      </w:r>
    </w:p>
    <w:p w14:paraId="3FCFECDD" w14:textId="5DF42CA8" w:rsidR="00071E1B" w:rsidRDefault="00071E1B" w:rsidP="002A5357">
      <w:pPr>
        <w:pStyle w:val="ListParagraph"/>
        <w:numPr>
          <w:ilvl w:val="0"/>
          <w:numId w:val="2"/>
        </w:numPr>
        <w:tabs>
          <w:tab w:val="left" w:pos="425"/>
        </w:tabs>
        <w:spacing w:after="200" w:line="360" w:lineRule="auto"/>
        <w:ind w:right="1"/>
        <w:jc w:val="both"/>
        <w:rPr>
          <w:rFonts w:ascii="Arial" w:eastAsia="Calibri" w:hAnsi="Arial" w:cs="Arial"/>
          <w:kern w:val="0"/>
          <w:sz w:val="20"/>
          <w:szCs w:val="20"/>
          <w:highlight w:val="yellow"/>
          <w14:ligatures w14:val="none"/>
        </w:rPr>
      </w:pPr>
      <w:r w:rsidRPr="00071E1B">
        <w:rPr>
          <w:rFonts w:ascii="Arial" w:eastAsia="Calibri" w:hAnsi="Arial" w:cs="Arial"/>
          <w:kern w:val="0"/>
          <w:sz w:val="20"/>
          <w:szCs w:val="20"/>
          <w:highlight w:val="yellow"/>
          <w14:ligatures w14:val="none"/>
        </w:rPr>
        <w:t>Yadav, M. M., Tale, S., Sharda, R., Sharma, V., Tiwari, S., &amp; Garg, U. K. (2006). Bacteriological quality of sheep meat in Mhow town of India. International journal of food science &amp; technology, 41(10),</w:t>
      </w:r>
      <w:r w:rsidRPr="00071E1B">
        <w:rPr>
          <w:rFonts w:ascii="Arial" w:eastAsia="Calibri" w:hAnsi="Arial" w:cs="Arial"/>
          <w:kern w:val="0"/>
          <w:sz w:val="20"/>
          <w:szCs w:val="20"/>
          <w14:ligatures w14:val="none"/>
        </w:rPr>
        <w:t>1234-1238.</w:t>
      </w:r>
      <w:r>
        <w:rPr>
          <w:rFonts w:ascii="Arial" w:eastAsia="Calibri" w:hAnsi="Arial" w:cs="Arial"/>
          <w:kern w:val="0"/>
          <w:sz w:val="20"/>
          <w:szCs w:val="20"/>
          <w14:ligatures w14:val="none"/>
        </w:rPr>
        <w:t xml:space="preserve"> </w:t>
      </w:r>
      <w:hyperlink r:id="rId13" w:history="1">
        <w:r w:rsidRPr="0034596E">
          <w:rPr>
            <w:rStyle w:val="Hyperlink"/>
            <w:rFonts w:ascii="Arial" w:eastAsia="Calibri" w:hAnsi="Arial" w:cs="Arial"/>
            <w:kern w:val="0"/>
            <w:sz w:val="20"/>
            <w:szCs w:val="20"/>
            <w14:ligatures w14:val="none"/>
          </w:rPr>
          <w:t>https://ifst.onlinelibrary.wiley.com/doi/abs/10.1111/j.1365-2621.2006.01196.x</w:t>
        </w:r>
      </w:hyperlink>
      <w:r>
        <w:rPr>
          <w:rFonts w:ascii="Arial" w:eastAsia="Calibri" w:hAnsi="Arial" w:cs="Arial"/>
          <w:kern w:val="0"/>
          <w:sz w:val="20"/>
          <w:szCs w:val="20"/>
          <w14:ligatures w14:val="none"/>
        </w:rPr>
        <w:t xml:space="preserve"> </w:t>
      </w:r>
    </w:p>
    <w:p w14:paraId="478C4BFB" w14:textId="7750B83F" w:rsidR="002A5357" w:rsidRPr="008D53E7" w:rsidRDefault="009D0E3A" w:rsidP="009D0E3A">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9D0E3A">
        <w:rPr>
          <w:rFonts w:ascii="Arial" w:eastAsia="Calibri" w:hAnsi="Arial" w:cs="Arial"/>
          <w:b/>
          <w:bCs/>
          <w:kern w:val="0"/>
          <w:sz w:val="20"/>
          <w:szCs w:val="20"/>
          <w14:ligatures w14:val="none"/>
        </w:rPr>
        <w:t xml:space="preserve">Dieni, I., Bagré, T. S., Traoré, K. A., Zongo, O., Tapsoba, F., Bazie, B. S. R., Nikiema, M. E. M., Sawadogo, A., &amp; Barro, N. (2022). </w:t>
      </w:r>
      <w:r w:rsidRPr="00357436">
        <w:rPr>
          <w:rFonts w:ascii="Arial" w:eastAsia="Calibri" w:hAnsi="Arial" w:cs="Arial"/>
          <w:kern w:val="0"/>
          <w:sz w:val="20"/>
          <w:szCs w:val="20"/>
          <w14:ligatures w14:val="none"/>
        </w:rPr>
        <w:t>Heavy metals and pathogenic bacteria detected in fermented cassava dough and attiéké sold in Ouagadougou, Burkina Faso. International Journal of Biological and Chemical Sciences,</w:t>
      </w:r>
      <w:r w:rsidRPr="009D0E3A">
        <w:rPr>
          <w:rFonts w:ascii="Arial" w:eastAsia="Calibri" w:hAnsi="Arial" w:cs="Arial"/>
          <w:b/>
          <w:bCs/>
          <w:kern w:val="0"/>
          <w:sz w:val="20"/>
          <w:szCs w:val="20"/>
          <w14:ligatures w14:val="none"/>
        </w:rPr>
        <w:t xml:space="preserve"> 16(5), 2212-2218. </w:t>
      </w:r>
      <w:hyperlink r:id="rId14" w:history="1">
        <w:r w:rsidRPr="00166024">
          <w:rPr>
            <w:rStyle w:val="Hyperlink"/>
            <w:rFonts w:ascii="Arial" w:eastAsia="Calibri" w:hAnsi="Arial" w:cs="Arial"/>
            <w:b/>
            <w:bCs/>
            <w:kern w:val="0"/>
            <w:sz w:val="20"/>
            <w:szCs w:val="20"/>
            <w14:ligatures w14:val="none"/>
          </w:rPr>
          <w:t>https://doi.org/10.4314/ijbcs.v16i5.30</w:t>
        </w:r>
      </w:hyperlink>
      <w:r>
        <w:rPr>
          <w:rFonts w:ascii="Arial" w:eastAsia="Calibri" w:hAnsi="Arial" w:cs="Arial"/>
          <w:b/>
          <w:bCs/>
          <w:kern w:val="0"/>
          <w:sz w:val="20"/>
          <w:szCs w:val="20"/>
          <w14:ligatures w14:val="none"/>
        </w:rPr>
        <w:t xml:space="preserve"> </w:t>
      </w:r>
    </w:p>
    <w:p w14:paraId="2D17926F" w14:textId="394352D0" w:rsidR="002A5357" w:rsidRPr="008D53E7" w:rsidRDefault="00B01076" w:rsidP="00B01076">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B01076">
        <w:rPr>
          <w:rFonts w:ascii="Arial" w:eastAsia="Calibri" w:hAnsi="Arial" w:cs="Arial"/>
          <w:b/>
          <w:bCs/>
          <w:kern w:val="0"/>
          <w:sz w:val="20"/>
          <w:szCs w:val="20"/>
          <w14:ligatures w14:val="none"/>
        </w:rPr>
        <w:t xml:space="preserve">Johansen, P. G., Owusu-Kwarteng, J., Parkouda, C., Padonou, S. W., &amp; Jespersen, L. (2019). </w:t>
      </w:r>
      <w:r w:rsidRPr="00357436">
        <w:rPr>
          <w:rFonts w:ascii="Arial" w:eastAsia="Calibri" w:hAnsi="Arial" w:cs="Arial"/>
          <w:kern w:val="0"/>
          <w:sz w:val="20"/>
          <w:szCs w:val="20"/>
          <w14:ligatures w14:val="none"/>
        </w:rPr>
        <w:t>Occurrence and importance of yeasts in indigenous fermented food and beverages produced in sub-Saharan Africa. Frontiers in microbiology,</w:t>
      </w:r>
      <w:r w:rsidRPr="00B01076">
        <w:rPr>
          <w:rFonts w:ascii="Arial" w:eastAsia="Calibri" w:hAnsi="Arial" w:cs="Arial"/>
          <w:b/>
          <w:bCs/>
          <w:kern w:val="0"/>
          <w:sz w:val="20"/>
          <w:szCs w:val="20"/>
          <w14:ligatures w14:val="none"/>
        </w:rPr>
        <w:t xml:space="preserve"> 10, 1789. </w:t>
      </w:r>
      <w:hyperlink r:id="rId15" w:history="1">
        <w:r w:rsidRPr="00166024">
          <w:rPr>
            <w:rStyle w:val="Hyperlink"/>
            <w:rFonts w:ascii="Arial" w:eastAsia="Calibri" w:hAnsi="Arial" w:cs="Arial"/>
            <w:b/>
            <w:bCs/>
            <w:kern w:val="0"/>
            <w:sz w:val="20"/>
            <w:szCs w:val="20"/>
            <w14:ligatures w14:val="none"/>
          </w:rPr>
          <w:t>https://doi.org/10.3389/fmicb.2019.01789</w:t>
        </w:r>
      </w:hyperlink>
      <w:r>
        <w:rPr>
          <w:rFonts w:ascii="Arial" w:eastAsia="Calibri" w:hAnsi="Arial" w:cs="Arial"/>
          <w:b/>
          <w:bCs/>
          <w:kern w:val="0"/>
          <w:sz w:val="20"/>
          <w:szCs w:val="20"/>
          <w14:ligatures w14:val="none"/>
        </w:rPr>
        <w:t xml:space="preserve"> </w:t>
      </w:r>
    </w:p>
    <w:p w14:paraId="0FF01CC8" w14:textId="163FFF5C" w:rsidR="002A5357" w:rsidRPr="008D53E7" w:rsidRDefault="002A5357" w:rsidP="002A5357">
      <w:pPr>
        <w:pStyle w:val="ListParagraph"/>
        <w:numPr>
          <w:ilvl w:val="0"/>
          <w:numId w:val="2"/>
        </w:numPr>
        <w:spacing w:after="200" w:line="360" w:lineRule="auto"/>
        <w:ind w:right="1"/>
        <w:jc w:val="both"/>
        <w:rPr>
          <w:rFonts w:ascii="Arial" w:eastAsia="Calibri" w:hAnsi="Arial" w:cs="Arial"/>
          <w:kern w:val="0"/>
          <w:sz w:val="20"/>
          <w:szCs w:val="20"/>
          <w14:ligatures w14:val="none"/>
        </w:rPr>
      </w:pPr>
      <w:proofErr w:type="gramStart"/>
      <w:r w:rsidRPr="008D53E7">
        <w:rPr>
          <w:rFonts w:ascii="Arial" w:eastAsia="Calibri" w:hAnsi="Arial" w:cs="Arial"/>
          <w:b/>
          <w:bCs/>
          <w:kern w:val="0"/>
          <w:sz w:val="20"/>
          <w:szCs w:val="20"/>
          <w14:ligatures w14:val="none"/>
        </w:rPr>
        <w:t>Mokhtari,W.</w:t>
      </w:r>
      <w:proofErr w:type="gramEnd"/>
      <w:r w:rsidRPr="008D53E7">
        <w:rPr>
          <w:rFonts w:ascii="Arial" w:eastAsia="Calibri" w:hAnsi="Arial" w:cs="Arial"/>
          <w:b/>
          <w:bCs/>
          <w:kern w:val="0"/>
          <w:sz w:val="20"/>
          <w:szCs w:val="20"/>
          <w14:ligatures w14:val="none"/>
        </w:rPr>
        <w:t>, Ezzouhouri, L., &amp; El Ouali Lalami, A. (2021).</w:t>
      </w:r>
      <w:r w:rsidRPr="008D53E7">
        <w:rPr>
          <w:rFonts w:ascii="Arial" w:eastAsia="Calibri" w:hAnsi="Arial" w:cs="Arial"/>
          <w:kern w:val="0"/>
          <w:sz w:val="20"/>
          <w:szCs w:val="20"/>
          <w14:ligatures w14:val="none"/>
        </w:rPr>
        <w:t xml:space="preserve"> Microbiological quality of red meat sold in traditional markets in Morocco. Journal of Food Quality, 2021, 1-7.</w:t>
      </w:r>
    </w:p>
    <w:p w14:paraId="0480F1EE" w14:textId="60D20F73" w:rsidR="007C4974" w:rsidRDefault="002A5357" w:rsidP="008D53E7">
      <w:pPr>
        <w:pStyle w:val="ListParagraph"/>
        <w:numPr>
          <w:ilvl w:val="0"/>
          <w:numId w:val="2"/>
        </w:numPr>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Nikiema, M.E.M. 2022</w:t>
      </w:r>
      <w:r w:rsidRPr="008D53E7">
        <w:rPr>
          <w:rFonts w:ascii="Arial" w:eastAsia="Calibri" w:hAnsi="Arial" w:cs="Arial"/>
          <w:kern w:val="0"/>
          <w:sz w:val="20"/>
          <w:szCs w:val="20"/>
          <w14:ligatures w14:val="none"/>
        </w:rPr>
        <w:t>.  Caractérisations phénotypique et génotypique des souches de salmonella non typhi et non paratyphi d’origines alimentaire et humaine au Burkina Faso. Thèse de Doctorat Unique, Université Joseph KI-ZERBO, 195p.</w:t>
      </w:r>
    </w:p>
    <w:p w14:paraId="5D213705" w14:textId="700623A1" w:rsidR="00361AA7" w:rsidRPr="00361AA7" w:rsidRDefault="00361AA7" w:rsidP="00361AA7">
      <w:pPr>
        <w:pStyle w:val="ListParagraph"/>
        <w:numPr>
          <w:ilvl w:val="0"/>
          <w:numId w:val="2"/>
        </w:numPr>
        <w:spacing w:after="200" w:line="360" w:lineRule="auto"/>
        <w:ind w:right="1"/>
        <w:jc w:val="both"/>
        <w:rPr>
          <w:rFonts w:ascii="Arial" w:eastAsia="Calibri" w:hAnsi="Arial" w:cs="Arial"/>
          <w:kern w:val="0"/>
          <w:sz w:val="20"/>
          <w:szCs w:val="20"/>
          <w:highlight w:val="yellow"/>
          <w14:ligatures w14:val="none"/>
        </w:rPr>
      </w:pPr>
      <w:r w:rsidRPr="00361AA7">
        <w:rPr>
          <w:rFonts w:ascii="Arial" w:eastAsia="Calibri" w:hAnsi="Arial" w:cs="Arial"/>
          <w:kern w:val="0"/>
          <w:sz w:val="20"/>
          <w:szCs w:val="20"/>
          <w:highlight w:val="yellow"/>
          <w14:ligatures w14:val="none"/>
        </w:rPr>
        <w:t xml:space="preserve">Phillips, D., Tholath, S., Jenson, I., &amp; Sumner, J. (2013). Microbiological quality of Australian sheep meat in 2011. Food Control, 31(2), 291-294. </w:t>
      </w:r>
      <w:hyperlink r:id="rId16" w:history="1">
        <w:r w:rsidRPr="00361AA7">
          <w:rPr>
            <w:rStyle w:val="Hyperlink"/>
            <w:rFonts w:ascii="Arial" w:eastAsia="Calibri" w:hAnsi="Arial" w:cs="Arial"/>
            <w:kern w:val="0"/>
            <w:sz w:val="20"/>
            <w:szCs w:val="20"/>
            <w:highlight w:val="yellow"/>
            <w14:ligatures w14:val="none"/>
          </w:rPr>
          <w:t>https://www.sciencedirect.com/science/article/pii/S0956713512005774</w:t>
        </w:r>
      </w:hyperlink>
      <w:r w:rsidRPr="00361AA7">
        <w:rPr>
          <w:rFonts w:ascii="Arial" w:eastAsia="Calibri" w:hAnsi="Arial" w:cs="Arial"/>
          <w:kern w:val="0"/>
          <w:sz w:val="20"/>
          <w:szCs w:val="20"/>
          <w:highlight w:val="yellow"/>
          <w14:ligatures w14:val="none"/>
        </w:rPr>
        <w:t xml:space="preserve"> </w:t>
      </w:r>
    </w:p>
    <w:p w14:paraId="61F1A410" w14:textId="2F35B067" w:rsidR="002A5357" w:rsidRPr="008D53E7" w:rsidRDefault="005520D9" w:rsidP="005520D9">
      <w:pPr>
        <w:pStyle w:val="ListParagraph"/>
        <w:numPr>
          <w:ilvl w:val="0"/>
          <w:numId w:val="2"/>
        </w:numPr>
        <w:tabs>
          <w:tab w:val="left" w:pos="425"/>
        </w:tabs>
        <w:spacing w:after="200" w:line="360" w:lineRule="auto"/>
        <w:ind w:right="1"/>
        <w:jc w:val="both"/>
        <w:rPr>
          <w:rFonts w:ascii="Arial" w:eastAsia="Calibri" w:hAnsi="Arial" w:cs="Arial"/>
          <w:kern w:val="0"/>
          <w:sz w:val="20"/>
          <w:szCs w:val="20"/>
          <w14:ligatures w14:val="none"/>
        </w:rPr>
      </w:pPr>
      <w:r w:rsidRPr="005520D9">
        <w:rPr>
          <w:rFonts w:ascii="Arial" w:eastAsia="Calibri" w:hAnsi="Arial" w:cs="Arial"/>
          <w:b/>
          <w:bCs/>
          <w:kern w:val="0"/>
          <w:sz w:val="20"/>
          <w:szCs w:val="20"/>
          <w14:ligatures w14:val="none"/>
        </w:rPr>
        <w:t xml:space="preserve">Diawara, A. (2016). *Evaluation de la qualité bactériologique des viandes bovine et ovine produites aux abattoirs de Dakar (Sénégal)* (Doctoral dissertation, UNIVERSITE CHEIKH ANTA DIOP DE DAKAR). </w:t>
      </w:r>
      <w:hyperlink r:id="rId17" w:history="1">
        <w:r w:rsidRPr="00166024">
          <w:rPr>
            <w:rStyle w:val="Hyperlink"/>
            <w:rFonts w:ascii="Arial" w:eastAsia="Calibri" w:hAnsi="Arial" w:cs="Arial"/>
            <w:b/>
            <w:bCs/>
            <w:kern w:val="0"/>
            <w:sz w:val="20"/>
            <w:szCs w:val="20"/>
            <w14:ligatures w14:val="none"/>
          </w:rPr>
          <w:t>https://www.sid-eismv.org/index.php?lvl=notice_display&amp;id=1960</w:t>
        </w:r>
      </w:hyperlink>
      <w:r>
        <w:rPr>
          <w:rFonts w:ascii="Arial" w:eastAsia="Calibri" w:hAnsi="Arial" w:cs="Arial"/>
          <w:b/>
          <w:bCs/>
          <w:kern w:val="0"/>
          <w:sz w:val="20"/>
          <w:szCs w:val="20"/>
          <w14:ligatures w14:val="none"/>
        </w:rPr>
        <w:t xml:space="preserve"> </w:t>
      </w:r>
    </w:p>
    <w:p w14:paraId="60388CE7" w14:textId="6D798D1E" w:rsidR="002A5357" w:rsidRPr="008D53E7" w:rsidRDefault="002A5357" w:rsidP="008D53E7">
      <w:pPr>
        <w:pStyle w:val="ListParagraph"/>
        <w:numPr>
          <w:ilvl w:val="0"/>
          <w:numId w:val="2"/>
        </w:numPr>
        <w:tabs>
          <w:tab w:val="left" w:pos="425"/>
        </w:tabs>
        <w:spacing w:after="200" w:line="360" w:lineRule="auto"/>
        <w:ind w:right="1"/>
        <w:jc w:val="both"/>
        <w:rPr>
          <w:rFonts w:ascii="Arial" w:eastAsia="Calibri" w:hAnsi="Arial" w:cs="Arial"/>
          <w:kern w:val="0"/>
          <w:sz w:val="20"/>
          <w:szCs w:val="20"/>
          <w14:ligatures w14:val="none"/>
        </w:rPr>
      </w:pPr>
      <w:r w:rsidRPr="008D53E7">
        <w:rPr>
          <w:rFonts w:ascii="Arial" w:eastAsia="Calibri" w:hAnsi="Arial" w:cs="Arial"/>
          <w:b/>
          <w:bCs/>
          <w:kern w:val="0"/>
          <w:sz w:val="20"/>
          <w:szCs w:val="20"/>
          <w14:ligatures w14:val="none"/>
        </w:rPr>
        <w:t>Mayoré, A.D., 2019</w:t>
      </w:r>
      <w:r w:rsidRPr="008D53E7">
        <w:rPr>
          <w:rFonts w:ascii="Arial" w:eastAsia="Calibri" w:hAnsi="Arial" w:cs="Arial"/>
          <w:kern w:val="0"/>
          <w:sz w:val="20"/>
          <w:szCs w:val="20"/>
          <w14:ligatures w14:val="none"/>
        </w:rPr>
        <w:t>. Caractéristiques sanitaires et antibiorésistance des souches pathogènes isolées des aliments de rue dans la ville de N’Djaména (TCHAD). Thèse de Doctorat unique, Université Josepk KI-ZERBO, Burkina Faso, 191p.</w:t>
      </w:r>
    </w:p>
    <w:p w14:paraId="7482575A" w14:textId="2FD8C391" w:rsidR="002A5357" w:rsidRPr="00A74FC7" w:rsidRDefault="009A6271" w:rsidP="009A6271">
      <w:pPr>
        <w:pStyle w:val="ListParagraph"/>
        <w:numPr>
          <w:ilvl w:val="0"/>
          <w:numId w:val="2"/>
        </w:numPr>
        <w:tabs>
          <w:tab w:val="left" w:pos="425"/>
        </w:tabs>
        <w:spacing w:after="200" w:line="360" w:lineRule="auto"/>
        <w:ind w:right="1"/>
        <w:jc w:val="both"/>
        <w:rPr>
          <w:rStyle w:val="Hyperlink"/>
          <w:rFonts w:ascii="Arial" w:eastAsia="Calibri" w:hAnsi="Arial" w:cs="Arial"/>
          <w:color w:val="auto"/>
          <w:kern w:val="0"/>
          <w:sz w:val="20"/>
          <w:szCs w:val="20"/>
          <w:u w:val="none"/>
          <w14:ligatures w14:val="none"/>
        </w:rPr>
      </w:pPr>
      <w:r w:rsidRPr="009A6271">
        <w:rPr>
          <w:rFonts w:ascii="Arial" w:eastAsia="Calibri" w:hAnsi="Arial" w:cs="Arial"/>
          <w:b/>
          <w:bCs/>
          <w:kern w:val="0"/>
          <w:sz w:val="20"/>
          <w:szCs w:val="20"/>
          <w14:ligatures w14:val="none"/>
        </w:rPr>
        <w:t xml:space="preserve">Sawadogo, A., Kagambèga, A., Soro, D., Bognini, H., Dione, M., Cissé, H., Dieni, I., &amp; Barro, N. (2023). Prevalence, antibiotic resistance of Staphylococcus aureus isolated </w:t>
      </w:r>
      <w:r w:rsidRPr="009A6271">
        <w:rPr>
          <w:rFonts w:ascii="Arial" w:eastAsia="Calibri" w:hAnsi="Arial" w:cs="Arial"/>
          <w:b/>
          <w:bCs/>
          <w:kern w:val="0"/>
          <w:sz w:val="20"/>
          <w:szCs w:val="20"/>
          <w14:ligatures w14:val="none"/>
        </w:rPr>
        <w:lastRenderedPageBreak/>
        <w:t xml:space="preserve">from layer farms (eggs, droppings/litter) in the outskirts of the city of Ouagadougou, Burkina Faso. African Journal of Microbiology Research. </w:t>
      </w:r>
      <w:hyperlink r:id="rId18" w:history="1">
        <w:r w:rsidRPr="00166024">
          <w:rPr>
            <w:rStyle w:val="Hyperlink"/>
            <w:rFonts w:ascii="Arial" w:eastAsia="Calibri" w:hAnsi="Arial" w:cs="Arial"/>
            <w:b/>
            <w:bCs/>
            <w:kern w:val="0"/>
            <w:sz w:val="20"/>
            <w:szCs w:val="20"/>
            <w14:ligatures w14:val="none"/>
          </w:rPr>
          <w:t>https://doi.org/10.5897/AJMR2023.9728</w:t>
        </w:r>
      </w:hyperlink>
      <w:r>
        <w:rPr>
          <w:rFonts w:ascii="Arial" w:eastAsia="Calibri" w:hAnsi="Arial" w:cs="Arial"/>
          <w:b/>
          <w:bCs/>
          <w:kern w:val="0"/>
          <w:sz w:val="20"/>
          <w:szCs w:val="20"/>
          <w14:ligatures w14:val="none"/>
        </w:rPr>
        <w:t xml:space="preserve"> </w:t>
      </w:r>
      <w:r w:rsidR="002A5357" w:rsidRPr="008D53E7">
        <w:rPr>
          <w:rFonts w:ascii="Arial" w:eastAsia="Calibri" w:hAnsi="Arial" w:cs="Arial"/>
          <w:kern w:val="0"/>
          <w:sz w:val="20"/>
          <w:szCs w:val="20"/>
          <w14:ligatures w14:val="none"/>
        </w:rPr>
        <w:t xml:space="preserve">  </w:t>
      </w:r>
    </w:p>
    <w:p w14:paraId="6E05F09B" w14:textId="77777777" w:rsidR="00A74FC7" w:rsidRPr="00A74FC7" w:rsidRDefault="00A74FC7" w:rsidP="00A74FC7"/>
    <w:p w14:paraId="29C257BD" w14:textId="77777777" w:rsidR="00A74FC7" w:rsidRPr="00A74FC7" w:rsidRDefault="00A74FC7" w:rsidP="00A74FC7"/>
    <w:p w14:paraId="40F89BFC" w14:textId="77777777" w:rsidR="00A74FC7" w:rsidRDefault="00A74FC7" w:rsidP="00A74FC7">
      <w:pPr>
        <w:rPr>
          <w:rStyle w:val="Hyperlink"/>
          <w:rFonts w:ascii="Arial" w:eastAsia="Calibri" w:hAnsi="Arial" w:cs="Arial"/>
          <w:b/>
          <w:bCs/>
          <w:kern w:val="0"/>
          <w:sz w:val="20"/>
          <w:szCs w:val="20"/>
          <w14:ligatures w14:val="none"/>
        </w:rPr>
      </w:pPr>
    </w:p>
    <w:p w14:paraId="2E81E04C" w14:textId="31BBC9AD" w:rsidR="00A74FC7" w:rsidRPr="00A74FC7" w:rsidRDefault="00A74FC7" w:rsidP="00A74FC7">
      <w:pPr>
        <w:tabs>
          <w:tab w:val="left" w:pos="1333"/>
        </w:tabs>
        <w:rPr>
          <w:lang w:val="en-GB"/>
        </w:rPr>
      </w:pPr>
      <w:r w:rsidRPr="00A74FC7">
        <w:rPr>
          <w:lang w:val="en-GB"/>
        </w:rPr>
        <w:t xml:space="preserve"> </w:t>
      </w:r>
    </w:p>
    <w:p w14:paraId="4786870B" w14:textId="77777777" w:rsidR="00A74FC7" w:rsidRPr="00A74FC7" w:rsidRDefault="00A74FC7" w:rsidP="00A74FC7">
      <w:pPr>
        <w:tabs>
          <w:tab w:val="left" w:pos="1333"/>
        </w:tabs>
        <w:rPr>
          <w:lang w:val="en-GB"/>
        </w:rPr>
      </w:pPr>
    </w:p>
    <w:p w14:paraId="36777A38" w14:textId="77777777" w:rsidR="00A74FC7" w:rsidRPr="00A74FC7" w:rsidRDefault="00A74FC7" w:rsidP="00A74FC7">
      <w:pPr>
        <w:tabs>
          <w:tab w:val="left" w:pos="1333"/>
        </w:tabs>
        <w:rPr>
          <w:lang w:val="en-GB"/>
        </w:rPr>
      </w:pPr>
    </w:p>
    <w:p w14:paraId="322866BE" w14:textId="20989342" w:rsidR="00A74FC7" w:rsidRPr="00A74FC7" w:rsidRDefault="00A74FC7" w:rsidP="00A74FC7">
      <w:pPr>
        <w:tabs>
          <w:tab w:val="left" w:pos="1333"/>
        </w:tabs>
      </w:pPr>
    </w:p>
    <w:sectPr w:rsidR="00A74FC7" w:rsidRPr="00A74FC7">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7906" w14:textId="77777777" w:rsidR="006D4904" w:rsidRDefault="006D4904">
      <w:pPr>
        <w:spacing w:line="240" w:lineRule="auto"/>
      </w:pPr>
      <w:r>
        <w:separator/>
      </w:r>
    </w:p>
  </w:endnote>
  <w:endnote w:type="continuationSeparator" w:id="0">
    <w:p w14:paraId="4731B915" w14:textId="77777777" w:rsidR="006D4904" w:rsidRDefault="006D4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8740" w14:textId="77777777" w:rsidR="008921A1" w:rsidRDefault="00892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7978" w14:textId="77777777" w:rsidR="008921A1" w:rsidRDefault="00892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C203" w14:textId="77777777" w:rsidR="008921A1" w:rsidRDefault="00892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3B22" w14:textId="77777777" w:rsidR="006D4904" w:rsidRDefault="006D4904">
      <w:pPr>
        <w:spacing w:after="0"/>
      </w:pPr>
      <w:r>
        <w:separator/>
      </w:r>
    </w:p>
  </w:footnote>
  <w:footnote w:type="continuationSeparator" w:id="0">
    <w:p w14:paraId="55071DFE" w14:textId="77777777" w:rsidR="006D4904" w:rsidRDefault="006D49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29C0" w14:textId="3C2CECC7" w:rsidR="008921A1" w:rsidRDefault="006D4904">
    <w:pPr>
      <w:pStyle w:val="Header"/>
    </w:pPr>
    <w:r>
      <w:rPr>
        <w:noProof/>
      </w:rPr>
      <w:pict w14:anchorId="0E966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26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273F" w14:textId="140B4C64" w:rsidR="008921A1" w:rsidRDefault="006D4904">
    <w:pPr>
      <w:pStyle w:val="Header"/>
    </w:pPr>
    <w:r>
      <w:rPr>
        <w:noProof/>
      </w:rPr>
      <w:pict w14:anchorId="63A38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26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CF09" w14:textId="3423F913" w:rsidR="008921A1" w:rsidRDefault="006D4904">
    <w:pPr>
      <w:pStyle w:val="Header"/>
    </w:pPr>
    <w:r>
      <w:rPr>
        <w:noProof/>
      </w:rPr>
      <w:pict w14:anchorId="5E4C6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26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1F0FCA"/>
    <w:multiLevelType w:val="singleLevel"/>
    <w:tmpl w:val="BD1F0FCA"/>
    <w:lvl w:ilvl="0">
      <w:start w:val="1"/>
      <w:numFmt w:val="decimal"/>
      <w:lvlText w:val="%1."/>
      <w:lvlJc w:val="left"/>
      <w:pPr>
        <w:tabs>
          <w:tab w:val="left" w:pos="425"/>
        </w:tabs>
        <w:ind w:left="425" w:hanging="425"/>
      </w:pPr>
      <w:rPr>
        <w:rFonts w:hint="default"/>
      </w:rPr>
    </w:lvl>
  </w:abstractNum>
  <w:abstractNum w:abstractNumId="1" w15:restartNumberingAfterBreak="0">
    <w:nsid w:val="5A523CB1"/>
    <w:multiLevelType w:val="hybridMultilevel"/>
    <w:tmpl w:val="23D4C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DE"/>
    <w:rsid w:val="00010547"/>
    <w:rsid w:val="0003771F"/>
    <w:rsid w:val="0004580F"/>
    <w:rsid w:val="0006706E"/>
    <w:rsid w:val="00071E1B"/>
    <w:rsid w:val="0009699D"/>
    <w:rsid w:val="000C45A2"/>
    <w:rsid w:val="001037AD"/>
    <w:rsid w:val="00111E6B"/>
    <w:rsid w:val="00111FE1"/>
    <w:rsid w:val="00122A87"/>
    <w:rsid w:val="00174D6E"/>
    <w:rsid w:val="00193EE6"/>
    <w:rsid w:val="001C3D0C"/>
    <w:rsid w:val="001E5F8B"/>
    <w:rsid w:val="002145E9"/>
    <w:rsid w:val="0022357D"/>
    <w:rsid w:val="0023344B"/>
    <w:rsid w:val="00233D68"/>
    <w:rsid w:val="002368C3"/>
    <w:rsid w:val="0024464A"/>
    <w:rsid w:val="0025118C"/>
    <w:rsid w:val="00263497"/>
    <w:rsid w:val="002720B3"/>
    <w:rsid w:val="002824F7"/>
    <w:rsid w:val="002835F8"/>
    <w:rsid w:val="002848B8"/>
    <w:rsid w:val="002A26D1"/>
    <w:rsid w:val="002A5357"/>
    <w:rsid w:val="002B1624"/>
    <w:rsid w:val="002D2C4C"/>
    <w:rsid w:val="002D2F3E"/>
    <w:rsid w:val="002D6E9A"/>
    <w:rsid w:val="003251B8"/>
    <w:rsid w:val="003253C3"/>
    <w:rsid w:val="00337E32"/>
    <w:rsid w:val="00357436"/>
    <w:rsid w:val="00361AA7"/>
    <w:rsid w:val="00371649"/>
    <w:rsid w:val="003803E1"/>
    <w:rsid w:val="00384089"/>
    <w:rsid w:val="0039113F"/>
    <w:rsid w:val="00393F0B"/>
    <w:rsid w:val="003A28A1"/>
    <w:rsid w:val="003D0674"/>
    <w:rsid w:val="003D1FC0"/>
    <w:rsid w:val="00400CD3"/>
    <w:rsid w:val="00403F8A"/>
    <w:rsid w:val="00412757"/>
    <w:rsid w:val="00422C6F"/>
    <w:rsid w:val="004250DB"/>
    <w:rsid w:val="00431EAF"/>
    <w:rsid w:val="004529B7"/>
    <w:rsid w:val="0046660B"/>
    <w:rsid w:val="00467214"/>
    <w:rsid w:val="00471304"/>
    <w:rsid w:val="004801EF"/>
    <w:rsid w:val="004818C2"/>
    <w:rsid w:val="004863CA"/>
    <w:rsid w:val="004A6A42"/>
    <w:rsid w:val="004B11A2"/>
    <w:rsid w:val="004B1966"/>
    <w:rsid w:val="004E610D"/>
    <w:rsid w:val="004E6B78"/>
    <w:rsid w:val="00507ED6"/>
    <w:rsid w:val="00513302"/>
    <w:rsid w:val="00517B7A"/>
    <w:rsid w:val="00517D65"/>
    <w:rsid w:val="005274D3"/>
    <w:rsid w:val="0053051E"/>
    <w:rsid w:val="005520D9"/>
    <w:rsid w:val="0055211E"/>
    <w:rsid w:val="0056618E"/>
    <w:rsid w:val="00577600"/>
    <w:rsid w:val="005855B4"/>
    <w:rsid w:val="005858ED"/>
    <w:rsid w:val="0059196C"/>
    <w:rsid w:val="00591EE2"/>
    <w:rsid w:val="0059675E"/>
    <w:rsid w:val="005B2699"/>
    <w:rsid w:val="005C28CB"/>
    <w:rsid w:val="005C4FF3"/>
    <w:rsid w:val="005C5338"/>
    <w:rsid w:val="005C5E60"/>
    <w:rsid w:val="005D0941"/>
    <w:rsid w:val="005E1F83"/>
    <w:rsid w:val="005E3F1A"/>
    <w:rsid w:val="006131B4"/>
    <w:rsid w:val="00622281"/>
    <w:rsid w:val="00625528"/>
    <w:rsid w:val="00627194"/>
    <w:rsid w:val="0063424A"/>
    <w:rsid w:val="00634F70"/>
    <w:rsid w:val="00640591"/>
    <w:rsid w:val="0066197C"/>
    <w:rsid w:val="00667612"/>
    <w:rsid w:val="006763D7"/>
    <w:rsid w:val="0067780A"/>
    <w:rsid w:val="00686605"/>
    <w:rsid w:val="006869F3"/>
    <w:rsid w:val="00691729"/>
    <w:rsid w:val="0069400A"/>
    <w:rsid w:val="006963BD"/>
    <w:rsid w:val="006A64A1"/>
    <w:rsid w:val="006B097F"/>
    <w:rsid w:val="006B2E89"/>
    <w:rsid w:val="006B7AB5"/>
    <w:rsid w:val="006C0B27"/>
    <w:rsid w:val="006D33F6"/>
    <w:rsid w:val="006D4904"/>
    <w:rsid w:val="006E2264"/>
    <w:rsid w:val="006E68A3"/>
    <w:rsid w:val="006E6F14"/>
    <w:rsid w:val="0070131C"/>
    <w:rsid w:val="0070781B"/>
    <w:rsid w:val="007140C4"/>
    <w:rsid w:val="007222A8"/>
    <w:rsid w:val="00731B97"/>
    <w:rsid w:val="00733428"/>
    <w:rsid w:val="007337B1"/>
    <w:rsid w:val="00744C86"/>
    <w:rsid w:val="00761283"/>
    <w:rsid w:val="00773C84"/>
    <w:rsid w:val="00781323"/>
    <w:rsid w:val="00785867"/>
    <w:rsid w:val="0078779B"/>
    <w:rsid w:val="007A3BC6"/>
    <w:rsid w:val="007A6BA7"/>
    <w:rsid w:val="007A7371"/>
    <w:rsid w:val="007C1ECD"/>
    <w:rsid w:val="007C4974"/>
    <w:rsid w:val="007D1A3F"/>
    <w:rsid w:val="007D2051"/>
    <w:rsid w:val="007D2F79"/>
    <w:rsid w:val="007D37A3"/>
    <w:rsid w:val="00803955"/>
    <w:rsid w:val="00804EAF"/>
    <w:rsid w:val="008076FD"/>
    <w:rsid w:val="00823BFE"/>
    <w:rsid w:val="00835634"/>
    <w:rsid w:val="00843FED"/>
    <w:rsid w:val="00844ACF"/>
    <w:rsid w:val="00860B42"/>
    <w:rsid w:val="00860F37"/>
    <w:rsid w:val="00882697"/>
    <w:rsid w:val="0089118D"/>
    <w:rsid w:val="008921A1"/>
    <w:rsid w:val="00897035"/>
    <w:rsid w:val="008A3649"/>
    <w:rsid w:val="008C2A11"/>
    <w:rsid w:val="008C37EC"/>
    <w:rsid w:val="008D53E7"/>
    <w:rsid w:val="008D7C84"/>
    <w:rsid w:val="008E3CDE"/>
    <w:rsid w:val="008E66FD"/>
    <w:rsid w:val="00900168"/>
    <w:rsid w:val="00901FAB"/>
    <w:rsid w:val="00902A83"/>
    <w:rsid w:val="00905577"/>
    <w:rsid w:val="00905634"/>
    <w:rsid w:val="009332FA"/>
    <w:rsid w:val="00977FCE"/>
    <w:rsid w:val="00993C1E"/>
    <w:rsid w:val="009A6271"/>
    <w:rsid w:val="009A66F7"/>
    <w:rsid w:val="009A7303"/>
    <w:rsid w:val="009C0D4D"/>
    <w:rsid w:val="009C7278"/>
    <w:rsid w:val="009D0E3A"/>
    <w:rsid w:val="009D4A83"/>
    <w:rsid w:val="009E0665"/>
    <w:rsid w:val="009F450B"/>
    <w:rsid w:val="00A00956"/>
    <w:rsid w:val="00A01441"/>
    <w:rsid w:val="00A01514"/>
    <w:rsid w:val="00A1469A"/>
    <w:rsid w:val="00A14812"/>
    <w:rsid w:val="00A3238C"/>
    <w:rsid w:val="00A333DB"/>
    <w:rsid w:val="00A36648"/>
    <w:rsid w:val="00A374B4"/>
    <w:rsid w:val="00A42256"/>
    <w:rsid w:val="00A720B0"/>
    <w:rsid w:val="00A74FC7"/>
    <w:rsid w:val="00A8343D"/>
    <w:rsid w:val="00A97845"/>
    <w:rsid w:val="00AA70CB"/>
    <w:rsid w:val="00AB2669"/>
    <w:rsid w:val="00AC21BD"/>
    <w:rsid w:val="00AC512C"/>
    <w:rsid w:val="00AC6038"/>
    <w:rsid w:val="00AC6B1B"/>
    <w:rsid w:val="00AD07F2"/>
    <w:rsid w:val="00AD4DC5"/>
    <w:rsid w:val="00AD776A"/>
    <w:rsid w:val="00AE4FFB"/>
    <w:rsid w:val="00B01076"/>
    <w:rsid w:val="00B051C7"/>
    <w:rsid w:val="00B11977"/>
    <w:rsid w:val="00B16247"/>
    <w:rsid w:val="00B21ABA"/>
    <w:rsid w:val="00B301F2"/>
    <w:rsid w:val="00B37E92"/>
    <w:rsid w:val="00B613D0"/>
    <w:rsid w:val="00B779DC"/>
    <w:rsid w:val="00B95559"/>
    <w:rsid w:val="00B96A31"/>
    <w:rsid w:val="00B971AA"/>
    <w:rsid w:val="00BB2DDC"/>
    <w:rsid w:val="00BC6C03"/>
    <w:rsid w:val="00BD1212"/>
    <w:rsid w:val="00BF4664"/>
    <w:rsid w:val="00C06BDF"/>
    <w:rsid w:val="00C07D44"/>
    <w:rsid w:val="00C23AFC"/>
    <w:rsid w:val="00C54D54"/>
    <w:rsid w:val="00C574EC"/>
    <w:rsid w:val="00C619DB"/>
    <w:rsid w:val="00C64FA8"/>
    <w:rsid w:val="00C64FD1"/>
    <w:rsid w:val="00C81D18"/>
    <w:rsid w:val="00CB5E54"/>
    <w:rsid w:val="00CF1FB3"/>
    <w:rsid w:val="00D14471"/>
    <w:rsid w:val="00D27A65"/>
    <w:rsid w:val="00D57811"/>
    <w:rsid w:val="00D61262"/>
    <w:rsid w:val="00D74F59"/>
    <w:rsid w:val="00D76AD9"/>
    <w:rsid w:val="00D87F93"/>
    <w:rsid w:val="00DA040F"/>
    <w:rsid w:val="00DC59C3"/>
    <w:rsid w:val="00DC6A48"/>
    <w:rsid w:val="00DC6AC4"/>
    <w:rsid w:val="00DD09AE"/>
    <w:rsid w:val="00DD1A83"/>
    <w:rsid w:val="00DD63C9"/>
    <w:rsid w:val="00DE4885"/>
    <w:rsid w:val="00DF7AB1"/>
    <w:rsid w:val="00DF7CA7"/>
    <w:rsid w:val="00E23342"/>
    <w:rsid w:val="00E3646F"/>
    <w:rsid w:val="00E4742C"/>
    <w:rsid w:val="00E75BEA"/>
    <w:rsid w:val="00E803A9"/>
    <w:rsid w:val="00E85459"/>
    <w:rsid w:val="00EA0FEC"/>
    <w:rsid w:val="00EA5FA3"/>
    <w:rsid w:val="00EB06B1"/>
    <w:rsid w:val="00EB1CED"/>
    <w:rsid w:val="00EB765D"/>
    <w:rsid w:val="00EC4110"/>
    <w:rsid w:val="00EF7FC1"/>
    <w:rsid w:val="00F03FAD"/>
    <w:rsid w:val="00F066A9"/>
    <w:rsid w:val="00F07FF6"/>
    <w:rsid w:val="00F110AA"/>
    <w:rsid w:val="00F150BA"/>
    <w:rsid w:val="00F1519E"/>
    <w:rsid w:val="00F17EDF"/>
    <w:rsid w:val="00F30CB5"/>
    <w:rsid w:val="00F47ED7"/>
    <w:rsid w:val="00F502AE"/>
    <w:rsid w:val="00F53FD1"/>
    <w:rsid w:val="00F642E2"/>
    <w:rsid w:val="00F87BE0"/>
    <w:rsid w:val="00FA7ECB"/>
    <w:rsid w:val="00FB36AA"/>
    <w:rsid w:val="00FB51E3"/>
    <w:rsid w:val="00FB554A"/>
    <w:rsid w:val="00FD3331"/>
    <w:rsid w:val="5C6E4FF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E84B94"/>
  <w15:docId w15:val="{E0450209-DD02-4754-81AD-6B489CB0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00">
    <w:name w:val="citation-100"/>
    <w:basedOn w:val="DefaultParagraphFont"/>
  </w:style>
  <w:style w:type="character" w:customStyle="1" w:styleId="citation-99">
    <w:name w:val="citation-99"/>
    <w:basedOn w:val="DefaultParagraphFont"/>
  </w:style>
  <w:style w:type="character" w:customStyle="1" w:styleId="citation-98">
    <w:name w:val="citation-98"/>
    <w:basedOn w:val="DefaultParagraphFont"/>
  </w:style>
  <w:style w:type="character" w:customStyle="1" w:styleId="citation-97">
    <w:name w:val="citation-97"/>
    <w:basedOn w:val="DefaultParagraphFont"/>
  </w:style>
  <w:style w:type="character" w:customStyle="1" w:styleId="citation-96">
    <w:name w:val="citation-96"/>
    <w:basedOn w:val="DefaultParagraphFont"/>
  </w:style>
  <w:style w:type="character" w:customStyle="1" w:styleId="citation-95">
    <w:name w:val="citation-95"/>
    <w:basedOn w:val="DefaultParagraphFont"/>
  </w:style>
  <w:style w:type="character" w:customStyle="1" w:styleId="citation-94">
    <w:name w:val="citation-94"/>
    <w:basedOn w:val="DefaultParagraphFont"/>
  </w:style>
  <w:style w:type="character" w:customStyle="1" w:styleId="citation-93">
    <w:name w:val="citation-93"/>
    <w:basedOn w:val="DefaultParagraphFont"/>
  </w:style>
  <w:style w:type="paragraph" w:styleId="Revision">
    <w:name w:val="Revision"/>
    <w:hidden/>
    <w:uiPriority w:val="99"/>
    <w:semiHidden/>
    <w:rsid w:val="00C06BDF"/>
    <w:rPr>
      <w:kern w:val="2"/>
      <w:sz w:val="22"/>
      <w:szCs w:val="22"/>
      <w:lang w:eastAsia="en-US"/>
      <w14:ligatures w14:val="standardContextual"/>
    </w:rPr>
  </w:style>
  <w:style w:type="paragraph" w:styleId="Header">
    <w:name w:val="header"/>
    <w:basedOn w:val="Normal"/>
    <w:link w:val="HeaderChar"/>
    <w:uiPriority w:val="99"/>
    <w:unhideWhenUsed/>
    <w:rsid w:val="003803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03E1"/>
    <w:rPr>
      <w:kern w:val="2"/>
      <w:sz w:val="22"/>
      <w:szCs w:val="22"/>
      <w:lang w:eastAsia="en-US"/>
      <w14:ligatures w14:val="standardContextual"/>
    </w:rPr>
  </w:style>
  <w:style w:type="paragraph" w:styleId="Footer">
    <w:name w:val="footer"/>
    <w:basedOn w:val="Normal"/>
    <w:link w:val="FooterChar"/>
    <w:uiPriority w:val="99"/>
    <w:unhideWhenUsed/>
    <w:rsid w:val="003803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03E1"/>
    <w:rPr>
      <w:kern w:val="2"/>
      <w:sz w:val="22"/>
      <w:szCs w:val="22"/>
      <w:lang w:eastAsia="en-US"/>
      <w14:ligatures w14:val="standardContextual"/>
    </w:rPr>
  </w:style>
  <w:style w:type="character" w:styleId="Hyperlink">
    <w:name w:val="Hyperlink"/>
    <w:basedOn w:val="DefaultParagraphFont"/>
    <w:uiPriority w:val="99"/>
    <w:unhideWhenUsed/>
    <w:rsid w:val="00174D6E"/>
    <w:rPr>
      <w:color w:val="0563C1" w:themeColor="hyperlink"/>
      <w:u w:val="single"/>
    </w:rPr>
  </w:style>
  <w:style w:type="character" w:customStyle="1" w:styleId="UnresolvedMention1">
    <w:name w:val="Unresolved Mention1"/>
    <w:basedOn w:val="DefaultParagraphFont"/>
    <w:uiPriority w:val="99"/>
    <w:semiHidden/>
    <w:unhideWhenUsed/>
    <w:rsid w:val="00174D6E"/>
    <w:rPr>
      <w:color w:val="605E5C"/>
      <w:shd w:val="clear" w:color="auto" w:fill="E1DFDD"/>
    </w:rPr>
  </w:style>
  <w:style w:type="character" w:customStyle="1" w:styleId="fontstyle01">
    <w:name w:val="fontstyle01"/>
    <w:basedOn w:val="DefaultParagraphFont"/>
    <w:rsid w:val="005C4FF3"/>
    <w:rPr>
      <w:rFonts w:ascii="TimesNewRomanPS-ItalicMT" w:hAnsi="TimesNewRomanPS-ItalicMT" w:hint="default"/>
      <w:b w:val="0"/>
      <w:bCs w:val="0"/>
      <w:i/>
      <w:iCs/>
      <w:color w:val="000000"/>
      <w:sz w:val="18"/>
      <w:szCs w:val="18"/>
    </w:rPr>
  </w:style>
  <w:style w:type="paragraph" w:styleId="ListParagraph">
    <w:name w:val="List Paragraph"/>
    <w:basedOn w:val="Normal"/>
    <w:uiPriority w:val="99"/>
    <w:rsid w:val="008D53E7"/>
    <w:pPr>
      <w:ind w:left="720"/>
      <w:contextualSpacing/>
    </w:pPr>
  </w:style>
  <w:style w:type="character" w:styleId="UnresolvedMention">
    <w:name w:val="Unresolved Mention"/>
    <w:basedOn w:val="DefaultParagraphFont"/>
    <w:uiPriority w:val="99"/>
    <w:semiHidden/>
    <w:unhideWhenUsed/>
    <w:rsid w:val="00A7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3131">
      <w:bodyDiv w:val="1"/>
      <w:marLeft w:val="0"/>
      <w:marRight w:val="0"/>
      <w:marTop w:val="0"/>
      <w:marBottom w:val="0"/>
      <w:divBdr>
        <w:top w:val="none" w:sz="0" w:space="0" w:color="auto"/>
        <w:left w:val="none" w:sz="0" w:space="0" w:color="auto"/>
        <w:bottom w:val="none" w:sz="0" w:space="0" w:color="auto"/>
        <w:right w:val="none" w:sz="0" w:space="0" w:color="auto"/>
      </w:divBdr>
    </w:div>
    <w:div w:id="158039190">
      <w:bodyDiv w:val="1"/>
      <w:marLeft w:val="0"/>
      <w:marRight w:val="0"/>
      <w:marTop w:val="0"/>
      <w:marBottom w:val="0"/>
      <w:divBdr>
        <w:top w:val="none" w:sz="0" w:space="0" w:color="auto"/>
        <w:left w:val="none" w:sz="0" w:space="0" w:color="auto"/>
        <w:bottom w:val="none" w:sz="0" w:space="0" w:color="auto"/>
        <w:right w:val="none" w:sz="0" w:space="0" w:color="auto"/>
      </w:divBdr>
      <w:divsChild>
        <w:div w:id="1683818837">
          <w:marLeft w:val="0"/>
          <w:marRight w:val="0"/>
          <w:marTop w:val="0"/>
          <w:marBottom w:val="0"/>
          <w:divBdr>
            <w:top w:val="none" w:sz="0" w:space="0" w:color="auto"/>
            <w:left w:val="none" w:sz="0" w:space="0" w:color="auto"/>
            <w:bottom w:val="none" w:sz="0" w:space="0" w:color="auto"/>
            <w:right w:val="none" w:sz="0" w:space="0" w:color="auto"/>
          </w:divBdr>
        </w:div>
      </w:divsChild>
    </w:div>
    <w:div w:id="958343527">
      <w:bodyDiv w:val="1"/>
      <w:marLeft w:val="0"/>
      <w:marRight w:val="0"/>
      <w:marTop w:val="0"/>
      <w:marBottom w:val="0"/>
      <w:divBdr>
        <w:top w:val="none" w:sz="0" w:space="0" w:color="auto"/>
        <w:left w:val="none" w:sz="0" w:space="0" w:color="auto"/>
        <w:bottom w:val="none" w:sz="0" w:space="0" w:color="auto"/>
        <w:right w:val="none" w:sz="0" w:space="0" w:color="auto"/>
      </w:divBdr>
      <w:divsChild>
        <w:div w:id="1276327304">
          <w:marLeft w:val="0"/>
          <w:marRight w:val="0"/>
          <w:marTop w:val="0"/>
          <w:marBottom w:val="0"/>
          <w:divBdr>
            <w:top w:val="none" w:sz="0" w:space="0" w:color="auto"/>
            <w:left w:val="none" w:sz="0" w:space="0" w:color="auto"/>
            <w:bottom w:val="none" w:sz="0" w:space="0" w:color="auto"/>
            <w:right w:val="none" w:sz="0" w:space="0" w:color="auto"/>
          </w:divBdr>
          <w:divsChild>
            <w:div w:id="2031951125">
              <w:marLeft w:val="0"/>
              <w:marRight w:val="0"/>
              <w:marTop w:val="0"/>
              <w:marBottom w:val="0"/>
              <w:divBdr>
                <w:top w:val="none" w:sz="0" w:space="0" w:color="auto"/>
                <w:left w:val="none" w:sz="0" w:space="0" w:color="auto"/>
                <w:bottom w:val="none" w:sz="0" w:space="0" w:color="auto"/>
                <w:right w:val="none" w:sz="0" w:space="0" w:color="auto"/>
              </w:divBdr>
              <w:divsChild>
                <w:div w:id="5331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66794">
      <w:bodyDiv w:val="1"/>
      <w:marLeft w:val="0"/>
      <w:marRight w:val="0"/>
      <w:marTop w:val="0"/>
      <w:marBottom w:val="0"/>
      <w:divBdr>
        <w:top w:val="none" w:sz="0" w:space="0" w:color="auto"/>
        <w:left w:val="none" w:sz="0" w:space="0" w:color="auto"/>
        <w:bottom w:val="none" w:sz="0" w:space="0" w:color="auto"/>
        <w:right w:val="none" w:sz="0" w:space="0" w:color="auto"/>
      </w:divBdr>
      <w:divsChild>
        <w:div w:id="397362947">
          <w:marLeft w:val="0"/>
          <w:marRight w:val="0"/>
          <w:marTop w:val="0"/>
          <w:marBottom w:val="0"/>
          <w:divBdr>
            <w:top w:val="none" w:sz="0" w:space="0" w:color="auto"/>
            <w:left w:val="none" w:sz="0" w:space="0" w:color="auto"/>
            <w:bottom w:val="none" w:sz="0" w:space="0" w:color="auto"/>
            <w:right w:val="none" w:sz="0" w:space="0" w:color="auto"/>
          </w:divBdr>
        </w:div>
      </w:divsChild>
    </w:div>
    <w:div w:id="1458525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fst.onlinelibrary.wiley.com/doi/abs/10.1111/j.1365-2621.2006.01196.x" TargetMode="External"/><Relationship Id="rId18" Type="http://schemas.openxmlformats.org/officeDocument/2006/relationships/hyperlink" Target="https://doi.org/10.5897/AJMR2023.97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o.org/publications" TargetMode="External"/><Relationship Id="rId17" Type="http://schemas.openxmlformats.org/officeDocument/2006/relationships/hyperlink" Target="https://www.sid-eismv.org/index.php?lvl=notice_display&amp;id=19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09567135120057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eatsci.2014.06.02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89/fmicb.2019.01789"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4314/ijbcs.v16i5.30"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2EB9-446A-96B6-99E383C9C02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2EB9-446A-96B6-99E383C9C023}"/>
              </c:ext>
            </c:extLst>
          </c:dPt>
          <c:dLbls>
            <c:dLbl>
              <c:idx val="0"/>
              <c:tx>
                <c:rich>
                  <a:bodyPr/>
                  <a:lstStyle/>
                  <a:p>
                    <a:r>
                      <a:rPr lang="en-US" baseline="0"/>
                      <a:t>Male
</a:t>
                    </a:r>
                    <a:fld id="{78946FDB-4D27-43D5-B5EB-CEB8255B861D}"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EB9-446A-96B6-99E383C9C023}"/>
                </c:ext>
              </c:extLst>
            </c:dLbl>
            <c:dLbl>
              <c:idx val="1"/>
              <c:tx>
                <c:rich>
                  <a:bodyPr/>
                  <a:lstStyle/>
                  <a:p>
                    <a:r>
                      <a:rPr lang="en-US"/>
                      <a:t>Female</a:t>
                    </a:r>
                  </a:p>
                </c:rich>
              </c:tx>
              <c:dLblPos val="in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EB9-446A-96B6-99E383C9C023}"/>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Feuil1!$N$10:$N$11</c:f>
              <c:strCache>
                <c:ptCount val="2"/>
                <c:pt idx="0">
                  <c:v>Masculin</c:v>
                </c:pt>
                <c:pt idx="1">
                  <c:v>Feminin</c:v>
                </c:pt>
              </c:strCache>
            </c:strRef>
          </c:cat>
          <c:val>
            <c:numRef>
              <c:f>Feuil1!$O$10:$O$11</c:f>
              <c:numCache>
                <c:formatCode>0.00%</c:formatCode>
                <c:ptCount val="2"/>
                <c:pt idx="0">
                  <c:v>0.86660000000000004</c:v>
                </c:pt>
                <c:pt idx="1">
                  <c:v>0.1333</c:v>
                </c:pt>
              </c:numCache>
            </c:numRef>
          </c:val>
          <c:extLst>
            <c:ext xmlns:c16="http://schemas.microsoft.com/office/drawing/2014/chart" uri="{C3380CC4-5D6E-409C-BE32-E72D297353CC}">
              <c16:uniqueId val="{00000004-2EB9-446A-96B6-99E383C9C023}"/>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1010375e-6f85-41a1-9c21-9e42c1f28de7}"/>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1.1111111111111086E-2"/>
                  <c:y val="-0.14814814814814822"/>
                </c:manualLayout>
              </c:layout>
              <c:tx>
                <c:rich>
                  <a:bodyPr/>
                  <a:lstStyle/>
                  <a:p>
                    <a:fld id="{33B2A81A-E8F3-43E6-B5FB-9DE4D0743D0E}" type="VALUE">
                      <a:rPr lang="en-US" sz="1050" b="1"/>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45-4C2F-A14D-B2A199E3BD55}"/>
                </c:ext>
              </c:extLst>
            </c:dLbl>
            <c:dLbl>
              <c:idx val="1"/>
              <c:layout>
                <c:manualLayout>
                  <c:x val="1.3888888888888838E-2"/>
                  <c:y val="-0.11574074074074082"/>
                </c:manualLayout>
              </c:layout>
              <c:tx>
                <c:rich>
                  <a:bodyPr/>
                  <a:lstStyle/>
                  <a:p>
                    <a:fld id="{CC01D9B8-9C82-4FE5-8DE9-AC6C7181F6F9}" type="VALUE">
                      <a:rPr lang="en-US" sz="1050" b="1"/>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45-4C2F-A14D-B2A199E3BD55}"/>
                </c:ext>
              </c:extLst>
            </c:dLbl>
            <c:dLbl>
              <c:idx val="2"/>
              <c:layout>
                <c:manualLayout>
                  <c:x val="1.6666666666666666E-2"/>
                  <c:y val="-0.12962962962962962"/>
                </c:manualLayout>
              </c:layout>
              <c:tx>
                <c:rich>
                  <a:bodyPr/>
                  <a:lstStyle/>
                  <a:p>
                    <a:fld id="{A5710448-D16C-4DBB-9F05-4E8C05447413}" type="VALUE">
                      <a:rPr lang="en-US" sz="1050" b="1"/>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45-4C2F-A14D-B2A199E3BD55}"/>
                </c:ext>
              </c:extLst>
            </c:dLbl>
            <c:dLbl>
              <c:idx val="3"/>
              <c:layout>
                <c:manualLayout>
                  <c:x val="1.6666666666666666E-2"/>
                  <c:y val="-8.3333333333333329E-2"/>
                </c:manualLayout>
              </c:layout>
              <c:tx>
                <c:rich>
                  <a:bodyPr/>
                  <a:lstStyle/>
                  <a:p>
                    <a:fld id="{8B239367-8D8A-474D-B499-49349149ABB3}" type="VALUE">
                      <a:rPr lang="en-US" sz="1050" b="1"/>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45-4C2F-A14D-B2A199E3BD55}"/>
                </c:ext>
              </c:extLst>
            </c:dLbl>
            <c:dLbl>
              <c:idx val="4"/>
              <c:layout>
                <c:manualLayout>
                  <c:x val="1.6666666666666666E-2"/>
                  <c:y val="-0.3611111111111111"/>
                </c:manualLayout>
              </c:layout>
              <c:tx>
                <c:rich>
                  <a:bodyPr/>
                  <a:lstStyle/>
                  <a:p>
                    <a:fld id="{3D246FFB-C231-4735-97BC-F4032FF1EB23}" type="VALUE">
                      <a:rPr lang="en-US" sz="1050" b="1"/>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45-4C2F-A14D-B2A199E3BD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Feuil1!$F$9:$F$13</c:f>
              <c:strCache>
                <c:ptCount val="5"/>
                <c:pt idx="0">
                  <c:v>None</c:v>
                </c:pt>
                <c:pt idx="1">
                  <c:v>Primary</c:v>
                </c:pt>
                <c:pt idx="2">
                  <c:v>Secondary</c:v>
                </c:pt>
                <c:pt idx="3">
                  <c:v>superior</c:v>
                </c:pt>
                <c:pt idx="4">
                  <c:v>Koranic</c:v>
                </c:pt>
              </c:strCache>
            </c:strRef>
          </c:cat>
          <c:val>
            <c:numRef>
              <c:f>Feuil1!$G$9:$G$13</c:f>
              <c:numCache>
                <c:formatCode>0%</c:formatCode>
                <c:ptCount val="5"/>
                <c:pt idx="0" formatCode="0.00%">
                  <c:v>0.1666</c:v>
                </c:pt>
                <c:pt idx="1">
                  <c:v>0.1</c:v>
                </c:pt>
                <c:pt idx="2" formatCode="0.00%">
                  <c:v>0.1333</c:v>
                </c:pt>
                <c:pt idx="3" formatCode="0.00%">
                  <c:v>3.3300000000000003E-2</c:v>
                </c:pt>
                <c:pt idx="4" formatCode="0.00%">
                  <c:v>0.56659999999999999</c:v>
                </c:pt>
              </c:numCache>
            </c:numRef>
          </c:val>
          <c:extLst>
            <c:ext xmlns:c16="http://schemas.microsoft.com/office/drawing/2014/chart" uri="{C3380CC4-5D6E-409C-BE32-E72D297353CC}">
              <c16:uniqueId val="{00000005-6145-4C2F-A14D-B2A199E3BD55}"/>
            </c:ext>
          </c:extLst>
        </c:ser>
        <c:dLbls>
          <c:showLegendKey val="0"/>
          <c:showVal val="1"/>
          <c:showCatName val="0"/>
          <c:showSerName val="0"/>
          <c:showPercent val="0"/>
          <c:showBubbleSize val="0"/>
        </c:dLbls>
        <c:gapWidth val="150"/>
        <c:shape val="box"/>
        <c:axId val="1055633344"/>
        <c:axId val="1055634176"/>
        <c:axId val="0"/>
      </c:bar3DChart>
      <c:catAx>
        <c:axId val="105563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34176"/>
        <c:crosses val="autoZero"/>
        <c:auto val="1"/>
        <c:lblAlgn val="ctr"/>
        <c:lblOffset val="100"/>
        <c:noMultiLvlLbl val="0"/>
      </c:catAx>
      <c:valAx>
        <c:axId val="1055634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3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881E8D0-C828-450F-96F4-122F6F83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3454</Words>
  <Characters>19694</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45</cp:revision>
  <dcterms:created xsi:type="dcterms:W3CDTF">2025-12-15T12:43:00Z</dcterms:created>
  <dcterms:modified xsi:type="dcterms:W3CDTF">2025-12-16T08:11:00Z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ABA1E55F0C2B75863C3833697D459C3D_42</vt:lpwstr>
  </property>
</Properties>
</file>