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46096" w14:textId="77777777" w:rsidR="00BE5DD7" w:rsidRPr="00041E69" w:rsidRDefault="00BE5DD7" w:rsidP="00E2217E">
      <w:pPr>
        <w:pStyle w:val="Heading1"/>
        <w:spacing w:line="360" w:lineRule="auto"/>
        <w:jc w:val="both"/>
        <w:rPr>
          <w:rFonts w:ascii="Times New Roman" w:hAnsi="Times New Roman"/>
          <w:color w:val="000000"/>
          <w:szCs w:val="20"/>
        </w:rPr>
      </w:pPr>
      <w:r w:rsidRPr="00041E69">
        <w:rPr>
          <w:rFonts w:ascii="Times New Roman" w:hAnsi="Times New Roman"/>
          <w:color w:val="000000"/>
          <w:szCs w:val="20"/>
          <w:highlight w:val="yellow"/>
        </w:rPr>
        <w:t>Evaluation of heritability and genetic advance for yield and yield attributes using line × tester derived generations in wheat (</w:t>
      </w:r>
      <w:r w:rsidRPr="00041E69">
        <w:rPr>
          <w:rFonts w:ascii="Times New Roman" w:hAnsi="Times New Roman"/>
          <w:i/>
          <w:iCs/>
          <w:color w:val="000000"/>
          <w:szCs w:val="20"/>
          <w:highlight w:val="yellow"/>
        </w:rPr>
        <w:t xml:space="preserve">Triticum </w:t>
      </w:r>
      <w:proofErr w:type="spellStart"/>
      <w:r w:rsidRPr="00041E69">
        <w:rPr>
          <w:rFonts w:ascii="Times New Roman" w:hAnsi="Times New Roman"/>
          <w:i/>
          <w:iCs/>
          <w:color w:val="000000"/>
          <w:szCs w:val="20"/>
          <w:highlight w:val="yellow"/>
        </w:rPr>
        <w:t>aestivum</w:t>
      </w:r>
      <w:proofErr w:type="spellEnd"/>
      <w:r w:rsidRPr="00041E69">
        <w:rPr>
          <w:rFonts w:ascii="Times New Roman" w:hAnsi="Times New Roman"/>
          <w:color w:val="000000"/>
          <w:szCs w:val="20"/>
          <w:highlight w:val="yellow"/>
        </w:rPr>
        <w:t xml:space="preserve"> L.)</w:t>
      </w:r>
    </w:p>
    <w:p w14:paraId="04C38C66" w14:textId="0D8B711E" w:rsidR="005D280F" w:rsidRPr="0032290F" w:rsidRDefault="00273DE4" w:rsidP="00041E69">
      <w:pPr>
        <w:pStyle w:val="Heading1"/>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ABSTRACT</w:t>
      </w:r>
    </w:p>
    <w:p w14:paraId="5CEDCFB0" w14:textId="2A484906" w:rsidR="005D280F" w:rsidRPr="0032290F" w:rsidRDefault="00202481" w:rsidP="00E2217E">
      <w:pPr>
        <w:spacing w:after="0" w:line="360" w:lineRule="auto"/>
        <w:ind w:right="-2" w:firstLine="709"/>
        <w:jc w:val="both"/>
        <w:rPr>
          <w:rFonts w:ascii="Times New Roman" w:hAnsi="Times New Roman" w:cs="Times New Roman"/>
          <w:color w:val="000000" w:themeColor="text1"/>
          <w:sz w:val="24"/>
          <w:szCs w:val="24"/>
        </w:rPr>
      </w:pPr>
      <w:r w:rsidRPr="00041E69">
        <w:rPr>
          <w:rFonts w:ascii="Times New Roman" w:hAnsi="Times New Roman" w:cs="Times New Roman"/>
          <w:color w:val="000000" w:themeColor="text1"/>
          <w:sz w:val="24"/>
          <w:szCs w:val="24"/>
          <w:highlight w:val="yellow"/>
          <w:lang w:val="en-IN"/>
        </w:rPr>
        <w:t>Heritability is a key metric in quantitative genetics that reflects the proportion of total phenotypic variability that is determined by genetic components. Traits exhibiting high heritability are more amenable to successful selection, whereas those with low heritability are largely influenced by environmental factors.</w:t>
      </w:r>
      <w:r>
        <w:rPr>
          <w:rFonts w:ascii="Times New Roman" w:hAnsi="Times New Roman" w:cs="Times New Roman"/>
          <w:color w:val="000000" w:themeColor="text1"/>
          <w:sz w:val="24"/>
          <w:szCs w:val="24"/>
          <w:lang w:val="en-IN"/>
        </w:rPr>
        <w:t xml:space="preserve"> </w:t>
      </w:r>
      <w:r w:rsidRPr="00041E69">
        <w:rPr>
          <w:rFonts w:ascii="Times New Roman" w:hAnsi="Times New Roman" w:cs="Times New Roman"/>
          <w:color w:val="000000" w:themeColor="text1"/>
          <w:sz w:val="24"/>
          <w:szCs w:val="24"/>
          <w:highlight w:val="yellow"/>
          <w:lang w:val="en-IN"/>
        </w:rPr>
        <w:t>The objective was to determine heritability levels, estimate genetic advance, and pinpoint traits amenable to improvement through early or delayed selection, thereby facilitating the development of high-yielding and genetically diverse wheat cultivars.</w:t>
      </w:r>
      <w:r>
        <w:rPr>
          <w:rFonts w:ascii="Times New Roman" w:hAnsi="Times New Roman" w:cs="Times New Roman"/>
          <w:color w:val="000000" w:themeColor="text1"/>
          <w:sz w:val="24"/>
          <w:szCs w:val="24"/>
          <w:highlight w:val="yellow"/>
          <w:lang w:val="en-IN"/>
        </w:rPr>
        <w:t xml:space="preserve"> </w:t>
      </w:r>
      <w:r w:rsidR="00273DE4" w:rsidRPr="0032290F">
        <w:rPr>
          <w:rFonts w:ascii="Times New Roman" w:hAnsi="Times New Roman" w:cs="Times New Roman"/>
          <w:color w:val="000000" w:themeColor="text1"/>
          <w:sz w:val="24"/>
          <w:szCs w:val="24"/>
        </w:rPr>
        <w:t>The study</w:t>
      </w:r>
      <w:r>
        <w:rPr>
          <w:rFonts w:ascii="Times New Roman" w:hAnsi="Times New Roman" w:cs="Times New Roman"/>
          <w:color w:val="000000" w:themeColor="text1"/>
          <w:sz w:val="24"/>
          <w:szCs w:val="24"/>
        </w:rPr>
        <w:t xml:space="preserve"> </w:t>
      </w:r>
      <w:r w:rsidR="00273DE4" w:rsidRPr="0032290F">
        <w:rPr>
          <w:rFonts w:ascii="Times New Roman" w:hAnsi="Times New Roman" w:cs="Times New Roman"/>
          <w:color w:val="000000" w:themeColor="text1"/>
          <w:sz w:val="24"/>
          <w:szCs w:val="24"/>
        </w:rPr>
        <w:t xml:space="preserve">was conducted at the </w:t>
      </w:r>
      <w:r w:rsidR="00F2298A">
        <w:rPr>
          <w:rFonts w:ascii="Times New Roman" w:hAnsi="Times New Roman" w:cs="Times New Roman"/>
          <w:color w:val="000000" w:themeColor="text1"/>
          <w:sz w:val="24"/>
          <w:szCs w:val="24"/>
        </w:rPr>
        <w:t>SIF Farm</w:t>
      </w:r>
      <w:r w:rsidR="00273DE4" w:rsidRPr="0032290F">
        <w:rPr>
          <w:rFonts w:ascii="Times New Roman" w:hAnsi="Times New Roman" w:cs="Times New Roman"/>
          <w:color w:val="000000" w:themeColor="text1"/>
          <w:sz w:val="24"/>
          <w:szCs w:val="24"/>
        </w:rPr>
        <w:t xml:space="preserve">, Chandra Shekhar Azad University of Agriculture and Technology, Kanpur, during </w:t>
      </w:r>
      <w:proofErr w:type="spellStart"/>
      <w:r w:rsidR="00273DE4" w:rsidRPr="00202481">
        <w:rPr>
          <w:rFonts w:ascii="Times New Roman" w:hAnsi="Times New Roman" w:cs="Times New Roman"/>
          <w:i/>
          <w:color w:val="000000" w:themeColor="text1"/>
          <w:sz w:val="24"/>
          <w:szCs w:val="24"/>
        </w:rPr>
        <w:t>rabi</w:t>
      </w:r>
      <w:proofErr w:type="spellEnd"/>
      <w:r w:rsidR="00273DE4" w:rsidRPr="0032290F">
        <w:rPr>
          <w:rFonts w:ascii="Times New Roman" w:hAnsi="Times New Roman" w:cs="Times New Roman"/>
          <w:color w:val="000000" w:themeColor="text1"/>
          <w:sz w:val="24"/>
          <w:szCs w:val="24"/>
        </w:rPr>
        <w:t xml:space="preserve"> season</w:t>
      </w:r>
      <w:r>
        <w:rPr>
          <w:rFonts w:ascii="Times New Roman" w:hAnsi="Times New Roman" w:cs="Times New Roman"/>
          <w:color w:val="000000" w:themeColor="text1"/>
          <w:sz w:val="24"/>
          <w:szCs w:val="24"/>
        </w:rPr>
        <w:t xml:space="preserve"> </w:t>
      </w:r>
      <w:r w:rsidR="00F2298A">
        <w:rPr>
          <w:rFonts w:ascii="Times New Roman" w:hAnsi="Times New Roman" w:cs="Times New Roman"/>
          <w:color w:val="000000" w:themeColor="text1"/>
          <w:sz w:val="24"/>
          <w:szCs w:val="24"/>
        </w:rPr>
        <w:t>of</w:t>
      </w:r>
      <w:r w:rsidR="00273DE4" w:rsidRPr="0032290F">
        <w:rPr>
          <w:rFonts w:ascii="Times New Roman" w:hAnsi="Times New Roman" w:cs="Times New Roman"/>
          <w:color w:val="000000" w:themeColor="text1"/>
          <w:sz w:val="24"/>
          <w:szCs w:val="24"/>
        </w:rPr>
        <w:t xml:space="preserve"> 202</w:t>
      </w:r>
      <w:r w:rsidR="004C676D">
        <w:rPr>
          <w:rFonts w:ascii="Times New Roman" w:hAnsi="Times New Roman" w:cs="Times New Roman"/>
          <w:color w:val="000000" w:themeColor="text1"/>
          <w:sz w:val="24"/>
          <w:szCs w:val="24"/>
        </w:rPr>
        <w:t>3</w:t>
      </w:r>
      <w:r w:rsidR="006E2226">
        <w:rPr>
          <w:rFonts w:ascii="Times New Roman" w:hAnsi="Times New Roman" w:cs="Times New Roman"/>
          <w:color w:val="000000" w:themeColor="text1"/>
          <w:sz w:val="24"/>
          <w:szCs w:val="24"/>
        </w:rPr>
        <w:t>-</w:t>
      </w:r>
      <w:r w:rsidR="00273DE4" w:rsidRPr="0032290F">
        <w:rPr>
          <w:rFonts w:ascii="Times New Roman" w:hAnsi="Times New Roman" w:cs="Times New Roman"/>
          <w:color w:val="000000" w:themeColor="text1"/>
          <w:sz w:val="24"/>
          <w:szCs w:val="24"/>
        </w:rPr>
        <w:t>2</w:t>
      </w:r>
      <w:r w:rsidR="004C676D">
        <w:rPr>
          <w:rFonts w:ascii="Times New Roman" w:hAnsi="Times New Roman" w:cs="Times New Roman"/>
          <w:color w:val="000000" w:themeColor="text1"/>
          <w:sz w:val="24"/>
          <w:szCs w:val="24"/>
        </w:rPr>
        <w:t>4</w:t>
      </w:r>
      <w:r w:rsidR="00273DE4" w:rsidRPr="0032290F">
        <w:rPr>
          <w:rFonts w:ascii="Times New Roman" w:hAnsi="Times New Roman" w:cs="Times New Roman"/>
          <w:color w:val="000000" w:themeColor="text1"/>
          <w:sz w:val="24"/>
          <w:szCs w:val="24"/>
        </w:rPr>
        <w:t xml:space="preserve">. </w:t>
      </w:r>
      <w:r w:rsidR="00F2298A">
        <w:rPr>
          <w:rFonts w:ascii="Times New Roman" w:hAnsi="Times New Roman" w:cs="Times New Roman"/>
          <w:color w:val="000000" w:themeColor="text1"/>
          <w:sz w:val="24"/>
          <w:szCs w:val="24"/>
        </w:rPr>
        <w:t>Ten</w:t>
      </w:r>
      <w:r w:rsidR="00273DE4" w:rsidRPr="0032290F">
        <w:rPr>
          <w:rFonts w:ascii="Times New Roman" w:hAnsi="Times New Roman" w:cs="Times New Roman"/>
          <w:color w:val="000000" w:themeColor="text1"/>
          <w:sz w:val="24"/>
          <w:szCs w:val="24"/>
        </w:rPr>
        <w:t xml:space="preserve"> lines and </w:t>
      </w:r>
      <w:r w:rsidR="00F2298A">
        <w:rPr>
          <w:rFonts w:ascii="Times New Roman" w:hAnsi="Times New Roman" w:cs="Times New Roman"/>
          <w:color w:val="000000" w:themeColor="text1"/>
          <w:sz w:val="24"/>
          <w:szCs w:val="24"/>
        </w:rPr>
        <w:t>five</w:t>
      </w:r>
      <w:r w:rsidR="00273DE4" w:rsidRPr="0032290F">
        <w:rPr>
          <w:rFonts w:ascii="Times New Roman" w:hAnsi="Times New Roman" w:cs="Times New Roman"/>
          <w:color w:val="000000" w:themeColor="text1"/>
          <w:sz w:val="24"/>
          <w:szCs w:val="24"/>
        </w:rPr>
        <w:t xml:space="preserve"> </w:t>
      </w:r>
      <w:r w:rsidR="00273DE4" w:rsidRPr="00E2217E">
        <w:rPr>
          <w:rFonts w:ascii="Times New Roman" w:hAnsi="Times New Roman" w:cs="Times New Roman"/>
          <w:color w:val="000000" w:themeColor="text1"/>
          <w:sz w:val="24"/>
          <w:szCs w:val="24"/>
          <w:highlight w:val="yellow"/>
        </w:rPr>
        <w:t>testers were crossed using a line × t</w:t>
      </w:r>
      <w:r w:rsidR="00060CFB" w:rsidRPr="00E2217E">
        <w:rPr>
          <w:rFonts w:ascii="Times New Roman" w:hAnsi="Times New Roman" w:cs="Times New Roman"/>
          <w:color w:val="000000" w:themeColor="text1"/>
          <w:sz w:val="24"/>
          <w:szCs w:val="24"/>
          <w:highlight w:val="yellow"/>
        </w:rPr>
        <w:t>e</w:t>
      </w:r>
      <w:r w:rsidR="00273DE4" w:rsidRPr="00E2217E">
        <w:rPr>
          <w:rFonts w:ascii="Times New Roman" w:hAnsi="Times New Roman" w:cs="Times New Roman"/>
          <w:color w:val="000000" w:themeColor="text1"/>
          <w:sz w:val="24"/>
          <w:szCs w:val="24"/>
          <w:highlight w:val="yellow"/>
        </w:rPr>
        <w:t xml:space="preserve">ster mating design to evaluate </w:t>
      </w:r>
      <w:r w:rsidR="00F2298A" w:rsidRPr="00E2217E">
        <w:rPr>
          <w:rFonts w:ascii="Times New Roman" w:hAnsi="Times New Roman" w:cs="Times New Roman"/>
          <w:color w:val="000000" w:themeColor="text1"/>
          <w:sz w:val="24"/>
          <w:szCs w:val="24"/>
          <w:highlight w:val="yellow"/>
        </w:rPr>
        <w:t>selection parameters</w:t>
      </w:r>
      <w:r w:rsidR="00060CFB" w:rsidRPr="00E2217E">
        <w:rPr>
          <w:rFonts w:ascii="Times New Roman" w:hAnsi="Times New Roman" w:cs="Times New Roman"/>
          <w:color w:val="000000" w:themeColor="text1"/>
          <w:sz w:val="24"/>
          <w:szCs w:val="24"/>
          <w:highlight w:val="yellow"/>
        </w:rPr>
        <w:t xml:space="preserve"> </w:t>
      </w:r>
      <w:r w:rsidR="00BE2DCF" w:rsidRPr="00E2217E">
        <w:rPr>
          <w:rFonts w:ascii="Times New Roman" w:hAnsi="Times New Roman" w:cs="Times New Roman"/>
          <w:color w:val="000000" w:themeColor="text1"/>
          <w:sz w:val="24"/>
          <w:szCs w:val="24"/>
          <w:highlight w:val="yellow"/>
        </w:rPr>
        <w:t>i.e.</w:t>
      </w:r>
      <w:r w:rsidR="00060CFB" w:rsidRPr="00E2217E">
        <w:rPr>
          <w:rFonts w:ascii="Times New Roman" w:hAnsi="Times New Roman" w:cs="Times New Roman"/>
          <w:color w:val="000000" w:themeColor="text1"/>
          <w:sz w:val="24"/>
          <w:szCs w:val="24"/>
          <w:highlight w:val="yellow"/>
        </w:rPr>
        <w:t xml:space="preserve"> heritability </w:t>
      </w:r>
      <w:r w:rsidR="00060CFB">
        <w:rPr>
          <w:rFonts w:ascii="Times New Roman" w:hAnsi="Times New Roman" w:cs="Times New Roman"/>
          <w:color w:val="000000" w:themeColor="text1"/>
          <w:sz w:val="24"/>
          <w:szCs w:val="24"/>
        </w:rPr>
        <w:t xml:space="preserve">and genetic advance </w:t>
      </w:r>
      <w:r w:rsidR="00273DE4" w:rsidRPr="0032290F">
        <w:rPr>
          <w:rFonts w:ascii="Times New Roman" w:hAnsi="Times New Roman" w:cs="Times New Roman"/>
          <w:color w:val="000000" w:themeColor="text1"/>
          <w:sz w:val="24"/>
          <w:szCs w:val="24"/>
        </w:rPr>
        <w:t>in F₁ and F₂ generations. Heritability estimates varied widely, with high heritability in</w:t>
      </w:r>
      <w:r w:rsidR="00060CFB">
        <w:rPr>
          <w:rFonts w:ascii="Times New Roman" w:hAnsi="Times New Roman" w:cs="Times New Roman"/>
          <w:color w:val="000000" w:themeColor="text1"/>
          <w:sz w:val="24"/>
          <w:szCs w:val="24"/>
        </w:rPr>
        <w:t xml:space="preserve"> both generation F</w:t>
      </w:r>
      <w:r w:rsidR="00060CFB">
        <w:rPr>
          <w:rFonts w:ascii="Times New Roman" w:hAnsi="Times New Roman" w:cs="Times New Roman"/>
          <w:color w:val="000000" w:themeColor="text1"/>
          <w:sz w:val="24"/>
          <w:szCs w:val="24"/>
          <w:vertAlign w:val="subscript"/>
        </w:rPr>
        <w:t xml:space="preserve">1 </w:t>
      </w:r>
      <w:r w:rsidR="00060CFB">
        <w:rPr>
          <w:rFonts w:ascii="Times New Roman" w:hAnsi="Times New Roman" w:cs="Times New Roman"/>
          <w:color w:val="000000" w:themeColor="text1"/>
          <w:sz w:val="24"/>
          <w:szCs w:val="24"/>
        </w:rPr>
        <w:t>and F</w:t>
      </w:r>
      <w:r w:rsidR="00060CFB">
        <w:rPr>
          <w:rFonts w:ascii="Times New Roman" w:hAnsi="Times New Roman" w:cs="Times New Roman"/>
          <w:color w:val="000000" w:themeColor="text1"/>
          <w:sz w:val="24"/>
          <w:szCs w:val="24"/>
          <w:vertAlign w:val="subscript"/>
        </w:rPr>
        <w:t>2</w:t>
      </w:r>
      <w:r w:rsidR="00273DE4" w:rsidRPr="0032290F">
        <w:rPr>
          <w:rFonts w:ascii="Times New Roman" w:hAnsi="Times New Roman" w:cs="Times New Roman"/>
          <w:color w:val="000000" w:themeColor="text1"/>
          <w:sz w:val="24"/>
          <w:szCs w:val="24"/>
        </w:rPr>
        <w:t xml:space="preserve"> observed for</w:t>
      </w:r>
      <w:r w:rsidR="00060CFB">
        <w:rPr>
          <w:rFonts w:ascii="Times New Roman" w:hAnsi="Times New Roman" w:cs="Times New Roman"/>
          <w:color w:val="000000" w:themeColor="text1"/>
          <w:sz w:val="24"/>
          <w:szCs w:val="24"/>
        </w:rPr>
        <w:t xml:space="preserve"> biological</w:t>
      </w:r>
      <w:r w:rsidR="00273DE4" w:rsidRPr="0032290F">
        <w:rPr>
          <w:rFonts w:ascii="Times New Roman" w:hAnsi="Times New Roman" w:cs="Times New Roman"/>
          <w:color w:val="000000" w:themeColor="text1"/>
          <w:sz w:val="24"/>
          <w:szCs w:val="24"/>
        </w:rPr>
        <w:t xml:space="preserve"> yield per plant, while the remaining traits showed moderate to low heritability</w:t>
      </w:r>
      <w:r w:rsidR="00041E69">
        <w:rPr>
          <w:rFonts w:ascii="Times New Roman" w:hAnsi="Times New Roman" w:cs="Times New Roman"/>
          <w:color w:val="000000" w:themeColor="text1"/>
          <w:sz w:val="24"/>
          <w:szCs w:val="24"/>
        </w:rPr>
        <w:t>,</w:t>
      </w:r>
      <w:r w:rsidR="00060CFB">
        <w:rPr>
          <w:rFonts w:ascii="Times New Roman" w:hAnsi="Times New Roman" w:cs="Times New Roman"/>
          <w:color w:val="000000" w:themeColor="text1"/>
          <w:sz w:val="24"/>
          <w:szCs w:val="24"/>
        </w:rPr>
        <w:t xml:space="preserve"> </w:t>
      </w:r>
      <w:r w:rsidR="00273DE4" w:rsidRPr="0032290F">
        <w:rPr>
          <w:rFonts w:ascii="Times New Roman" w:hAnsi="Times New Roman" w:cs="Times New Roman"/>
          <w:color w:val="000000" w:themeColor="text1"/>
          <w:sz w:val="24"/>
          <w:szCs w:val="24"/>
        </w:rPr>
        <w:t xml:space="preserve">indicating strong environmental influence. Genetic advance as percent of mean (GA%) revealed high values </w:t>
      </w:r>
      <w:r w:rsidR="00273DE4" w:rsidRPr="00E2217E">
        <w:rPr>
          <w:rFonts w:ascii="Times New Roman" w:hAnsi="Times New Roman" w:cs="Times New Roman"/>
          <w:color w:val="000000" w:themeColor="text1"/>
          <w:sz w:val="24"/>
          <w:szCs w:val="24"/>
          <w:highlight w:val="yellow"/>
        </w:rPr>
        <w:t>for</w:t>
      </w:r>
      <w:r w:rsidR="00060CFB" w:rsidRPr="00E2217E">
        <w:rPr>
          <w:rFonts w:ascii="Times New Roman" w:hAnsi="Times New Roman" w:cs="Times New Roman"/>
          <w:color w:val="000000" w:themeColor="text1"/>
          <w:sz w:val="24"/>
          <w:szCs w:val="24"/>
          <w:highlight w:val="yellow"/>
        </w:rPr>
        <w:t xml:space="preserve"> </w:t>
      </w:r>
      <w:r w:rsidR="00041E69" w:rsidRPr="00E2217E">
        <w:rPr>
          <w:rFonts w:ascii="Times New Roman" w:hAnsi="Times New Roman" w:cs="Times New Roman"/>
          <w:color w:val="000000" w:themeColor="text1"/>
          <w:sz w:val="24"/>
          <w:szCs w:val="24"/>
          <w:highlight w:val="yellow"/>
        </w:rPr>
        <w:t xml:space="preserve">the </w:t>
      </w:r>
      <w:r w:rsidR="00060CFB" w:rsidRPr="00E2217E">
        <w:rPr>
          <w:rFonts w:ascii="Times New Roman" w:hAnsi="Times New Roman" w:cs="Times New Roman"/>
          <w:color w:val="000000" w:themeColor="text1"/>
          <w:sz w:val="24"/>
          <w:szCs w:val="24"/>
          <w:highlight w:val="yellow"/>
        </w:rPr>
        <w:t>num</w:t>
      </w:r>
      <w:r w:rsidR="00060CFB">
        <w:rPr>
          <w:rFonts w:ascii="Times New Roman" w:hAnsi="Times New Roman" w:cs="Times New Roman"/>
          <w:color w:val="000000" w:themeColor="text1"/>
          <w:sz w:val="24"/>
          <w:szCs w:val="24"/>
        </w:rPr>
        <w:t>ber of productive tillers per plant,</w:t>
      </w:r>
      <w:r w:rsidR="00273DE4" w:rsidRPr="0032290F">
        <w:rPr>
          <w:rFonts w:ascii="Times New Roman" w:hAnsi="Times New Roman" w:cs="Times New Roman"/>
          <w:color w:val="000000" w:themeColor="text1"/>
          <w:sz w:val="24"/>
          <w:szCs w:val="24"/>
        </w:rPr>
        <w:t xml:space="preserve"> biological yield</w:t>
      </w:r>
      <w:r w:rsidR="00882412">
        <w:rPr>
          <w:rFonts w:ascii="Times New Roman" w:hAnsi="Times New Roman" w:cs="Times New Roman"/>
          <w:color w:val="000000" w:themeColor="text1"/>
          <w:sz w:val="24"/>
          <w:szCs w:val="24"/>
        </w:rPr>
        <w:t xml:space="preserve"> per plant</w:t>
      </w:r>
      <w:r w:rsidR="00060CFB">
        <w:rPr>
          <w:rFonts w:ascii="Times New Roman" w:hAnsi="Times New Roman" w:cs="Times New Roman"/>
          <w:color w:val="000000" w:themeColor="text1"/>
          <w:sz w:val="24"/>
          <w:szCs w:val="24"/>
        </w:rPr>
        <w:t>,</w:t>
      </w:r>
      <w:r w:rsidR="00273DE4" w:rsidRPr="0032290F">
        <w:rPr>
          <w:rFonts w:ascii="Times New Roman" w:hAnsi="Times New Roman" w:cs="Times New Roman"/>
          <w:color w:val="000000" w:themeColor="text1"/>
          <w:sz w:val="24"/>
          <w:szCs w:val="24"/>
        </w:rPr>
        <w:t xml:space="preserve"> and seed yield per plant </w:t>
      </w:r>
      <w:r w:rsidR="00060CFB">
        <w:rPr>
          <w:rFonts w:ascii="Times New Roman" w:hAnsi="Times New Roman" w:cs="Times New Roman"/>
          <w:color w:val="000000" w:themeColor="text1"/>
          <w:sz w:val="24"/>
          <w:szCs w:val="24"/>
        </w:rPr>
        <w:t xml:space="preserve">in </w:t>
      </w:r>
      <w:r w:rsidR="00273DE4" w:rsidRPr="0032290F">
        <w:rPr>
          <w:rFonts w:ascii="Times New Roman" w:hAnsi="Times New Roman" w:cs="Times New Roman"/>
          <w:color w:val="000000" w:themeColor="text1"/>
          <w:sz w:val="24"/>
          <w:szCs w:val="24"/>
        </w:rPr>
        <w:t>both generations, indicating additive gene action. Low heritability with low GA% for</w:t>
      </w:r>
      <w:r w:rsidR="00BE2DCF">
        <w:rPr>
          <w:rFonts w:ascii="Times New Roman" w:hAnsi="Times New Roman" w:cs="Times New Roman"/>
          <w:color w:val="000000" w:themeColor="text1"/>
          <w:sz w:val="24"/>
          <w:szCs w:val="24"/>
        </w:rPr>
        <w:t xml:space="preserve"> number of productive tillers per plant, number of spikelets per spike, number of grains per spike, 1000 grain weight, protein content and seed hardness</w:t>
      </w:r>
      <w:r w:rsidR="00273DE4" w:rsidRPr="0032290F">
        <w:rPr>
          <w:rFonts w:ascii="Times New Roman" w:hAnsi="Times New Roman" w:cs="Times New Roman"/>
          <w:color w:val="000000" w:themeColor="text1"/>
          <w:sz w:val="24"/>
          <w:szCs w:val="24"/>
        </w:rPr>
        <w:t xml:space="preserve"> indicated minimal response to direct selection. The findings emphasize that yield and major yield components can be effectively improved by selection in later generations, while traits strongly influenced by the environment require alternative breeding strategies.</w:t>
      </w:r>
    </w:p>
    <w:p w14:paraId="3A488C66" w14:textId="0AC2505F" w:rsidR="00307991" w:rsidRDefault="00273DE4" w:rsidP="00E2217E">
      <w:pPr>
        <w:spacing w:line="360" w:lineRule="auto"/>
        <w:jc w:val="both"/>
        <w:rPr>
          <w:rFonts w:ascii="Times New Roman" w:hAnsi="Times New Roman" w:cs="Times New Roman"/>
          <w:color w:val="000000" w:themeColor="text1"/>
          <w:sz w:val="24"/>
          <w:szCs w:val="24"/>
        </w:rPr>
      </w:pPr>
      <w:r w:rsidRPr="00E2217E">
        <w:rPr>
          <w:rFonts w:ascii="Times New Roman" w:hAnsi="Times New Roman" w:cs="Times New Roman"/>
          <w:b/>
          <w:color w:val="000000" w:themeColor="text1"/>
          <w:sz w:val="24"/>
          <w:szCs w:val="24"/>
        </w:rPr>
        <w:t>Keywords:</w:t>
      </w:r>
      <w:r w:rsidRPr="0032290F">
        <w:rPr>
          <w:rFonts w:ascii="Times New Roman" w:hAnsi="Times New Roman" w:cs="Times New Roman"/>
          <w:color w:val="000000" w:themeColor="text1"/>
          <w:sz w:val="24"/>
          <w:szCs w:val="24"/>
        </w:rPr>
        <w:t xml:space="preserve"> </w:t>
      </w:r>
      <w:r w:rsidR="00882412">
        <w:rPr>
          <w:rFonts w:ascii="Times New Roman" w:hAnsi="Times New Roman" w:cs="Times New Roman"/>
          <w:color w:val="000000" w:themeColor="text1"/>
          <w:sz w:val="24"/>
          <w:szCs w:val="24"/>
        </w:rPr>
        <w:t>H</w:t>
      </w:r>
      <w:r w:rsidRPr="0032290F">
        <w:rPr>
          <w:rFonts w:ascii="Times New Roman" w:hAnsi="Times New Roman" w:cs="Times New Roman"/>
          <w:color w:val="000000" w:themeColor="text1"/>
          <w:sz w:val="24"/>
          <w:szCs w:val="24"/>
        </w:rPr>
        <w:t xml:space="preserve">eritability, genetic advance, line × tester, additive gene action, </w:t>
      </w:r>
      <w:r w:rsidR="00BE2DCF">
        <w:rPr>
          <w:rFonts w:ascii="Times New Roman" w:hAnsi="Times New Roman" w:cs="Times New Roman"/>
          <w:color w:val="000000" w:themeColor="text1"/>
          <w:sz w:val="24"/>
          <w:szCs w:val="24"/>
        </w:rPr>
        <w:t>grain yield</w:t>
      </w:r>
      <w:r w:rsidRPr="0032290F">
        <w:rPr>
          <w:rFonts w:ascii="Times New Roman" w:hAnsi="Times New Roman" w:cs="Times New Roman"/>
          <w:color w:val="000000" w:themeColor="text1"/>
          <w:sz w:val="24"/>
          <w:szCs w:val="24"/>
        </w:rPr>
        <w:t>.</w:t>
      </w:r>
    </w:p>
    <w:p w14:paraId="542F1089" w14:textId="77777777" w:rsidR="00307991" w:rsidRDefault="00307991" w:rsidP="00E2217E">
      <w:pPr>
        <w:spacing w:line="360" w:lineRule="auto"/>
        <w:jc w:val="both"/>
        <w:rPr>
          <w:rFonts w:ascii="Times New Roman" w:hAnsi="Times New Roman" w:cs="Times New Roman"/>
          <w:b/>
          <w:bCs/>
          <w:color w:val="000000" w:themeColor="text1"/>
          <w:sz w:val="24"/>
          <w:szCs w:val="24"/>
        </w:rPr>
      </w:pPr>
      <w:r w:rsidRPr="00307991">
        <w:rPr>
          <w:rFonts w:ascii="Times New Roman" w:hAnsi="Times New Roman" w:cs="Times New Roman"/>
          <w:b/>
          <w:bCs/>
          <w:color w:val="000000" w:themeColor="text1"/>
          <w:sz w:val="24"/>
          <w:szCs w:val="24"/>
        </w:rPr>
        <w:t>INTRODUCTION</w:t>
      </w:r>
    </w:p>
    <w:p w14:paraId="210DF507" w14:textId="3987B907" w:rsidR="007528DA" w:rsidRPr="007528DA" w:rsidRDefault="007675CC" w:rsidP="00E2217E">
      <w:pPr>
        <w:spacing w:line="360" w:lineRule="auto"/>
        <w:ind w:firstLine="720"/>
        <w:jc w:val="both"/>
        <w:rPr>
          <w:rFonts w:ascii="Times New Roman" w:hAnsi="Times New Roman" w:cs="Times New Roman"/>
          <w:color w:val="000000" w:themeColor="text1"/>
          <w:sz w:val="24"/>
          <w:szCs w:val="24"/>
        </w:rPr>
      </w:pPr>
      <w:r w:rsidRPr="00041E69">
        <w:rPr>
          <w:highlight w:val="yellow"/>
        </w:rPr>
        <w:lastRenderedPageBreak/>
        <w:t>A thorough understanding of heritability and genetic advance in various yield-related parameters is crucial in crop breeding. The assessment of heritability informs about the inheritance of specific traits across generations. Understanding the heritability of a trait assists plant breeders in predicting the behavior of future generations and anticipating the response to selection. Moreover, heritability and genetic advances empower breeders to select superior genetic stocks for crop improvement. When high genetic advance aligns with high heritability estimates, it creates an optimal scenario for effective selection</w:t>
      </w:r>
      <w:r w:rsidR="005E5B74" w:rsidRPr="000146E6">
        <w:rPr>
          <w:highlight w:val="yellow"/>
        </w:rPr>
        <w:t xml:space="preserve"> (</w:t>
      </w:r>
      <w:r w:rsidR="000146E6" w:rsidRPr="00041E69">
        <w:rPr>
          <w:highlight w:val="yellow"/>
        </w:rPr>
        <w:t>Singh</w:t>
      </w:r>
      <w:r w:rsidR="000146E6" w:rsidRPr="000146E6">
        <w:rPr>
          <w:highlight w:val="yellow"/>
        </w:rPr>
        <w:t xml:space="preserve"> </w:t>
      </w:r>
      <w:r w:rsidR="000146E6" w:rsidRPr="00420CB0">
        <w:rPr>
          <w:highlight w:val="yellow"/>
        </w:rPr>
        <w:t xml:space="preserve">et al., 2024; </w:t>
      </w:r>
      <w:r w:rsidR="005E5B74" w:rsidRPr="00420CB0">
        <w:rPr>
          <w:rFonts w:ascii="Arial" w:hAnsi="Arial" w:cs="Arial"/>
          <w:color w:val="212529"/>
          <w:sz w:val="20"/>
          <w:szCs w:val="20"/>
          <w:highlight w:val="yellow"/>
        </w:rPr>
        <w:t xml:space="preserve">Nikhil et </w:t>
      </w:r>
      <w:r w:rsidR="005E5B74">
        <w:rPr>
          <w:rFonts w:ascii="Arial" w:hAnsi="Arial" w:cs="Arial"/>
          <w:color w:val="212529"/>
          <w:sz w:val="20"/>
          <w:szCs w:val="20"/>
          <w:highlight w:val="yellow"/>
        </w:rPr>
        <w:t>al., 2025</w:t>
      </w:r>
      <w:r w:rsidR="005E5B74">
        <w:rPr>
          <w:highlight w:val="yellow"/>
        </w:rPr>
        <w:t>)</w:t>
      </w:r>
      <w:r w:rsidRPr="00041E69">
        <w:rPr>
          <w:rFonts w:ascii="Times New Roman" w:hAnsi="Times New Roman" w:cs="Times New Roman"/>
          <w:color w:val="000000" w:themeColor="text1"/>
          <w:sz w:val="24"/>
          <w:szCs w:val="24"/>
          <w:highlight w:val="yellow"/>
        </w:rPr>
        <w:t>.</w:t>
      </w:r>
      <w:r>
        <w:rPr>
          <w:rFonts w:ascii="Times New Roman" w:hAnsi="Times New Roman" w:cs="Times New Roman"/>
          <w:color w:val="000000" w:themeColor="text1"/>
          <w:sz w:val="24"/>
          <w:szCs w:val="24"/>
        </w:rPr>
        <w:t xml:space="preserve"> </w:t>
      </w:r>
      <w:r w:rsidR="007528DA" w:rsidRPr="007528DA">
        <w:rPr>
          <w:rFonts w:ascii="Times New Roman" w:hAnsi="Times New Roman" w:cs="Times New Roman"/>
          <w:color w:val="000000" w:themeColor="text1"/>
          <w:sz w:val="24"/>
          <w:szCs w:val="24"/>
        </w:rPr>
        <w:t>Wheat (</w:t>
      </w:r>
      <w:r w:rsidR="007528DA" w:rsidRPr="007528DA">
        <w:rPr>
          <w:rFonts w:ascii="Times New Roman" w:hAnsi="Times New Roman" w:cs="Times New Roman"/>
          <w:i/>
          <w:iCs/>
          <w:color w:val="000000" w:themeColor="text1"/>
          <w:sz w:val="24"/>
          <w:szCs w:val="24"/>
        </w:rPr>
        <w:t xml:space="preserve">Triticum </w:t>
      </w:r>
      <w:proofErr w:type="spellStart"/>
      <w:r w:rsidR="007528DA" w:rsidRPr="007528DA">
        <w:rPr>
          <w:rFonts w:ascii="Times New Roman" w:hAnsi="Times New Roman" w:cs="Times New Roman"/>
          <w:i/>
          <w:iCs/>
          <w:color w:val="000000" w:themeColor="text1"/>
          <w:sz w:val="24"/>
          <w:szCs w:val="24"/>
        </w:rPr>
        <w:t>aestivum</w:t>
      </w:r>
      <w:proofErr w:type="spellEnd"/>
      <w:r w:rsidR="007528DA" w:rsidRPr="007528DA">
        <w:rPr>
          <w:rFonts w:ascii="Times New Roman" w:hAnsi="Times New Roman" w:cs="Times New Roman"/>
          <w:color w:val="000000" w:themeColor="text1"/>
          <w:sz w:val="24"/>
          <w:szCs w:val="24"/>
        </w:rPr>
        <w:t xml:space="preserve"> L. </w:t>
      </w:r>
      <w:proofErr w:type="spellStart"/>
      <w:r w:rsidR="007528DA" w:rsidRPr="007528DA">
        <w:rPr>
          <w:rFonts w:ascii="Times New Roman" w:hAnsi="Times New Roman" w:cs="Times New Roman"/>
          <w:color w:val="000000" w:themeColor="text1"/>
          <w:sz w:val="24"/>
          <w:szCs w:val="24"/>
        </w:rPr>
        <w:t>Thell</w:t>
      </w:r>
      <w:proofErr w:type="spellEnd"/>
      <w:r w:rsidR="007528DA" w:rsidRPr="007528DA">
        <w:rPr>
          <w:rFonts w:ascii="Times New Roman" w:hAnsi="Times New Roman" w:cs="Times New Roman"/>
          <w:color w:val="000000" w:themeColor="text1"/>
          <w:sz w:val="24"/>
          <w:szCs w:val="24"/>
        </w:rPr>
        <w:t xml:space="preserve">), an allohexaploid (2n=6x=42), represents the prominent cereal crop within the </w:t>
      </w:r>
      <w:proofErr w:type="spellStart"/>
      <w:r w:rsidR="007528DA" w:rsidRPr="007528DA">
        <w:rPr>
          <w:rFonts w:ascii="Times New Roman" w:hAnsi="Times New Roman" w:cs="Times New Roman"/>
          <w:i/>
          <w:iCs/>
          <w:color w:val="000000" w:themeColor="text1"/>
          <w:sz w:val="24"/>
          <w:szCs w:val="24"/>
        </w:rPr>
        <w:t>Poaceae</w:t>
      </w:r>
      <w:proofErr w:type="spellEnd"/>
      <w:r w:rsidR="007528DA" w:rsidRPr="007528DA">
        <w:rPr>
          <w:rFonts w:ascii="Times New Roman" w:hAnsi="Times New Roman" w:cs="Times New Roman"/>
          <w:i/>
          <w:iCs/>
          <w:color w:val="000000" w:themeColor="text1"/>
          <w:sz w:val="24"/>
          <w:szCs w:val="24"/>
        </w:rPr>
        <w:t xml:space="preserve"> </w:t>
      </w:r>
      <w:r w:rsidR="007528DA" w:rsidRPr="007528DA">
        <w:rPr>
          <w:rFonts w:ascii="Times New Roman" w:hAnsi="Times New Roman" w:cs="Times New Roman"/>
          <w:color w:val="000000" w:themeColor="text1"/>
          <w:sz w:val="24"/>
          <w:szCs w:val="24"/>
        </w:rPr>
        <w:t xml:space="preserve">family (order </w:t>
      </w:r>
      <w:proofErr w:type="spellStart"/>
      <w:r w:rsidR="007528DA" w:rsidRPr="007528DA">
        <w:rPr>
          <w:rFonts w:ascii="Times New Roman" w:hAnsi="Times New Roman" w:cs="Times New Roman"/>
          <w:color w:val="000000" w:themeColor="text1"/>
          <w:sz w:val="24"/>
          <w:szCs w:val="24"/>
        </w:rPr>
        <w:t>Poales</w:t>
      </w:r>
      <w:proofErr w:type="spellEnd"/>
      <w:r w:rsidR="007528DA" w:rsidRPr="007528DA">
        <w:rPr>
          <w:rFonts w:ascii="Times New Roman" w:hAnsi="Times New Roman" w:cs="Times New Roman"/>
          <w:color w:val="000000" w:themeColor="text1"/>
          <w:sz w:val="24"/>
          <w:szCs w:val="24"/>
        </w:rPr>
        <w:t>) with its origins traced back to Southwest Asia (Turkey). It functions as a vital reservoir of essential nutrients for around 40% of the worldwide population. Since ancient times, wheat has been a primary cereal crop to undergo domestication, playing a significant role in the overall diet for over 8000 years</w:t>
      </w:r>
      <w:r w:rsidR="00B07B10">
        <w:rPr>
          <w:rFonts w:ascii="Times New Roman" w:hAnsi="Times New Roman" w:cs="Times New Roman"/>
          <w:color w:val="000000" w:themeColor="text1"/>
          <w:sz w:val="24"/>
          <w:szCs w:val="24"/>
        </w:rPr>
        <w:t xml:space="preserve"> (</w:t>
      </w:r>
      <w:r w:rsidR="00B07B10" w:rsidRPr="00B07B10">
        <w:rPr>
          <w:rFonts w:ascii="Arial" w:eastAsia="Times New Roman" w:hAnsi="Arial" w:cs="Arial"/>
          <w:color w:val="333333"/>
          <w:sz w:val="27"/>
          <w:szCs w:val="27"/>
        </w:rPr>
        <w:t>Chaudhary</w:t>
      </w:r>
      <w:r w:rsidR="00B07B10">
        <w:rPr>
          <w:rFonts w:ascii="Arial" w:eastAsia="Times New Roman" w:hAnsi="Arial" w:cs="Arial"/>
          <w:color w:val="333333"/>
          <w:sz w:val="27"/>
          <w:szCs w:val="27"/>
        </w:rPr>
        <w:t xml:space="preserve"> et al., 2022</w:t>
      </w:r>
      <w:bookmarkStart w:id="0" w:name="_GoBack"/>
      <w:bookmarkEnd w:id="0"/>
      <w:r w:rsidR="00B07B10">
        <w:rPr>
          <w:rFonts w:ascii="Times New Roman" w:hAnsi="Times New Roman" w:cs="Times New Roman"/>
          <w:color w:val="000000" w:themeColor="text1"/>
          <w:sz w:val="24"/>
          <w:szCs w:val="24"/>
        </w:rPr>
        <w:t>)</w:t>
      </w:r>
      <w:r w:rsidR="007528DA" w:rsidRPr="007528DA">
        <w:rPr>
          <w:rFonts w:ascii="Times New Roman" w:hAnsi="Times New Roman" w:cs="Times New Roman"/>
          <w:color w:val="000000" w:themeColor="text1"/>
          <w:sz w:val="24"/>
          <w:szCs w:val="24"/>
        </w:rPr>
        <w:t>.</w:t>
      </w:r>
    </w:p>
    <w:p w14:paraId="2F7DE1FD" w14:textId="77777777" w:rsidR="007528DA" w:rsidRPr="007528DA" w:rsidRDefault="007528DA" w:rsidP="00E2217E">
      <w:pPr>
        <w:spacing w:line="360" w:lineRule="auto"/>
        <w:ind w:firstLine="709"/>
        <w:jc w:val="both"/>
        <w:rPr>
          <w:rFonts w:ascii="Times New Roman" w:hAnsi="Times New Roman" w:cs="Times New Roman"/>
          <w:color w:val="000000" w:themeColor="text1"/>
          <w:sz w:val="24"/>
          <w:szCs w:val="24"/>
        </w:rPr>
      </w:pPr>
      <w:r w:rsidRPr="007528DA">
        <w:rPr>
          <w:rFonts w:ascii="Times New Roman" w:hAnsi="Times New Roman" w:cs="Times New Roman"/>
          <w:color w:val="000000" w:themeColor="text1"/>
          <w:sz w:val="24"/>
          <w:szCs w:val="24"/>
        </w:rPr>
        <w:t>Wheat is one of the most important cereal crops globally, second only to rice in terms of consumption and cultivated area. As a staple food, it plays a pivotal role in ensuring global food and nutritional security, serving as a primary source of energy and nutrients for nearly one-third of the world’s population. Its agronomic versatility, broad adaptability, ease of cultivation and storage, and wide utility in processed food industries have earned it the title of the “King of Cereals” (</w:t>
      </w:r>
      <w:r w:rsidRPr="007528DA">
        <w:rPr>
          <w:rFonts w:ascii="Times New Roman" w:hAnsi="Times New Roman" w:cs="Times New Roman"/>
          <w:b/>
          <w:color w:val="000000" w:themeColor="text1"/>
          <w:sz w:val="24"/>
          <w:szCs w:val="24"/>
        </w:rPr>
        <w:t xml:space="preserve">Iqbal </w:t>
      </w:r>
      <w:r w:rsidRPr="007528DA">
        <w:rPr>
          <w:rFonts w:ascii="Times New Roman" w:hAnsi="Times New Roman" w:cs="Times New Roman"/>
          <w:b/>
          <w:i/>
          <w:color w:val="000000" w:themeColor="text1"/>
          <w:sz w:val="24"/>
          <w:szCs w:val="24"/>
        </w:rPr>
        <w:t>et al</w:t>
      </w:r>
      <w:r w:rsidRPr="007528DA">
        <w:rPr>
          <w:rFonts w:ascii="Times New Roman" w:hAnsi="Times New Roman" w:cs="Times New Roman"/>
          <w:b/>
          <w:color w:val="000000" w:themeColor="text1"/>
          <w:sz w:val="24"/>
          <w:szCs w:val="24"/>
        </w:rPr>
        <w:t>., 2017</w:t>
      </w:r>
      <w:r w:rsidRPr="007528DA">
        <w:rPr>
          <w:rFonts w:ascii="Times New Roman" w:hAnsi="Times New Roman" w:cs="Times New Roman"/>
          <w:color w:val="000000" w:themeColor="text1"/>
          <w:sz w:val="24"/>
          <w:szCs w:val="24"/>
        </w:rPr>
        <w:t>).</w:t>
      </w:r>
    </w:p>
    <w:p w14:paraId="0B537597" w14:textId="014C2FC7" w:rsidR="007528DA" w:rsidRDefault="007528DA" w:rsidP="00E2217E">
      <w:pPr>
        <w:spacing w:line="360" w:lineRule="auto"/>
        <w:ind w:firstLine="709"/>
        <w:jc w:val="both"/>
        <w:rPr>
          <w:rFonts w:ascii="Times New Roman" w:hAnsi="Times New Roman" w:cs="Times New Roman"/>
          <w:color w:val="000000" w:themeColor="text1"/>
          <w:sz w:val="24"/>
          <w:szCs w:val="24"/>
        </w:rPr>
      </w:pPr>
      <w:r w:rsidRPr="007528DA">
        <w:rPr>
          <w:rFonts w:ascii="Times New Roman" w:hAnsi="Times New Roman" w:cs="Times New Roman"/>
          <w:color w:val="000000" w:themeColor="text1"/>
          <w:sz w:val="24"/>
          <w:szCs w:val="24"/>
        </w:rPr>
        <w:t xml:space="preserve">Wheat is cultivated on an estimated 222.7 million hectares worldwide, with a total production of about 786.7 million </w:t>
      </w:r>
      <w:proofErr w:type="spellStart"/>
      <w:r w:rsidRPr="007528DA">
        <w:rPr>
          <w:rFonts w:ascii="Times New Roman" w:hAnsi="Times New Roman" w:cs="Times New Roman"/>
          <w:color w:val="000000" w:themeColor="text1"/>
          <w:sz w:val="24"/>
          <w:szCs w:val="24"/>
        </w:rPr>
        <w:t>tonnes</w:t>
      </w:r>
      <w:proofErr w:type="spellEnd"/>
      <w:r w:rsidRPr="007528DA">
        <w:rPr>
          <w:rFonts w:ascii="Times New Roman" w:hAnsi="Times New Roman" w:cs="Times New Roman"/>
          <w:color w:val="000000" w:themeColor="text1"/>
          <w:sz w:val="24"/>
          <w:szCs w:val="24"/>
        </w:rPr>
        <w:t xml:space="preserve"> </w:t>
      </w:r>
      <w:r w:rsidRPr="00041E69">
        <w:rPr>
          <w:rFonts w:ascii="Times New Roman" w:hAnsi="Times New Roman" w:cs="Times New Roman"/>
          <w:color w:val="000000" w:themeColor="text1"/>
          <w:sz w:val="24"/>
          <w:szCs w:val="24"/>
          <w:highlight w:val="yellow"/>
        </w:rPr>
        <w:t xml:space="preserve">and an average productivity of 3,530 kg/ha </w:t>
      </w:r>
      <w:r w:rsidRPr="00041E69">
        <w:rPr>
          <w:rFonts w:ascii="Times New Roman" w:hAnsi="Times New Roman" w:cs="Times New Roman"/>
          <w:b/>
          <w:color w:val="000000" w:themeColor="text1"/>
          <w:sz w:val="24"/>
          <w:szCs w:val="24"/>
          <w:highlight w:val="yellow"/>
        </w:rPr>
        <w:t>(USDA, 2023)</w:t>
      </w:r>
      <w:r w:rsidRPr="00041E69">
        <w:rPr>
          <w:rFonts w:ascii="Times New Roman" w:hAnsi="Times New Roman" w:cs="Times New Roman"/>
          <w:color w:val="000000" w:themeColor="text1"/>
          <w:sz w:val="24"/>
          <w:szCs w:val="24"/>
          <w:highlight w:val="yellow"/>
        </w:rPr>
        <w:t xml:space="preserve">. In India, wheat is a major </w:t>
      </w:r>
      <w:proofErr w:type="spellStart"/>
      <w:r w:rsidRPr="00041E69">
        <w:rPr>
          <w:rFonts w:ascii="Times New Roman" w:hAnsi="Times New Roman" w:cs="Times New Roman"/>
          <w:color w:val="000000" w:themeColor="text1"/>
          <w:sz w:val="24"/>
          <w:szCs w:val="24"/>
          <w:highlight w:val="yellow"/>
        </w:rPr>
        <w:t>rabi</w:t>
      </w:r>
      <w:proofErr w:type="spellEnd"/>
      <w:r w:rsidRPr="00041E69">
        <w:rPr>
          <w:rFonts w:ascii="Times New Roman" w:hAnsi="Times New Roman" w:cs="Times New Roman"/>
          <w:color w:val="000000" w:themeColor="text1"/>
          <w:sz w:val="24"/>
          <w:szCs w:val="24"/>
          <w:highlight w:val="yellow"/>
        </w:rPr>
        <w:t xml:space="preserve"> crop</w:t>
      </w:r>
      <w:r w:rsidRPr="007528DA">
        <w:rPr>
          <w:rFonts w:ascii="Times New Roman" w:hAnsi="Times New Roman" w:cs="Times New Roman"/>
          <w:color w:val="000000" w:themeColor="text1"/>
          <w:sz w:val="24"/>
          <w:szCs w:val="24"/>
        </w:rPr>
        <w:t xml:space="preserve">, occupying a central place in the agricultural economy. Production increased from 6.5 million </w:t>
      </w:r>
      <w:proofErr w:type="spellStart"/>
      <w:r w:rsidRPr="007528DA">
        <w:rPr>
          <w:rFonts w:ascii="Times New Roman" w:hAnsi="Times New Roman" w:cs="Times New Roman"/>
          <w:color w:val="000000" w:themeColor="text1"/>
          <w:sz w:val="24"/>
          <w:szCs w:val="24"/>
        </w:rPr>
        <w:t>tonnes</w:t>
      </w:r>
      <w:proofErr w:type="spellEnd"/>
      <w:r w:rsidRPr="007528DA">
        <w:rPr>
          <w:rFonts w:ascii="Times New Roman" w:hAnsi="Times New Roman" w:cs="Times New Roman"/>
          <w:color w:val="000000" w:themeColor="text1"/>
          <w:sz w:val="24"/>
          <w:szCs w:val="24"/>
        </w:rPr>
        <w:t xml:space="preserve"> in 1950–51 to a record 117.50 million </w:t>
      </w:r>
      <w:proofErr w:type="spellStart"/>
      <w:r w:rsidRPr="007528DA">
        <w:rPr>
          <w:rFonts w:ascii="Times New Roman" w:hAnsi="Times New Roman" w:cs="Times New Roman"/>
          <w:color w:val="000000" w:themeColor="text1"/>
          <w:sz w:val="24"/>
          <w:szCs w:val="24"/>
        </w:rPr>
        <w:t>tonnes</w:t>
      </w:r>
      <w:proofErr w:type="spellEnd"/>
      <w:r w:rsidRPr="007528DA">
        <w:rPr>
          <w:rFonts w:ascii="Times New Roman" w:hAnsi="Times New Roman" w:cs="Times New Roman"/>
          <w:color w:val="000000" w:themeColor="text1"/>
          <w:sz w:val="24"/>
          <w:szCs w:val="24"/>
        </w:rPr>
        <w:t xml:space="preserve"> in 2024–25, cultivated over an area of 32.76</w:t>
      </w:r>
      <w:r w:rsidR="00FC227E">
        <w:rPr>
          <w:rFonts w:ascii="Times New Roman" w:hAnsi="Times New Roman" w:cs="Times New Roman"/>
          <w:color w:val="000000" w:themeColor="text1"/>
          <w:sz w:val="24"/>
          <w:szCs w:val="24"/>
        </w:rPr>
        <w:t xml:space="preserve"> </w:t>
      </w:r>
      <w:r w:rsidRPr="007528DA">
        <w:rPr>
          <w:rFonts w:ascii="Times New Roman" w:hAnsi="Times New Roman" w:cs="Times New Roman"/>
          <w:color w:val="000000" w:themeColor="text1"/>
          <w:sz w:val="24"/>
          <w:szCs w:val="24"/>
        </w:rPr>
        <w:t xml:space="preserve">million hectares and achieving a productivity of 3587 kg/ha </w:t>
      </w:r>
      <w:r w:rsidRPr="007528DA">
        <w:rPr>
          <w:rFonts w:ascii="Times New Roman" w:hAnsi="Times New Roman" w:cs="Times New Roman"/>
          <w:b/>
          <w:bCs/>
          <w:color w:val="000000" w:themeColor="text1"/>
          <w:sz w:val="24"/>
          <w:szCs w:val="24"/>
        </w:rPr>
        <w:t>(Anonymous, 2024–25)</w:t>
      </w:r>
      <w:r w:rsidRPr="007528DA">
        <w:rPr>
          <w:rFonts w:ascii="Times New Roman" w:hAnsi="Times New Roman" w:cs="Times New Roman"/>
          <w:color w:val="000000" w:themeColor="text1"/>
          <w:sz w:val="24"/>
          <w:szCs w:val="24"/>
        </w:rPr>
        <w:t xml:space="preserve">. However, with the country’s population continuously expanding, an annual increase of at least 1.6% in wheat grain yield is required to meet future food demands </w:t>
      </w:r>
      <w:r w:rsidRPr="007528DA">
        <w:rPr>
          <w:rFonts w:ascii="Times New Roman" w:hAnsi="Times New Roman" w:cs="Times New Roman"/>
          <w:b/>
          <w:color w:val="000000" w:themeColor="text1"/>
          <w:sz w:val="24"/>
          <w:szCs w:val="24"/>
        </w:rPr>
        <w:t>(Vision 2050, IIWBR, Karnal)</w:t>
      </w:r>
      <w:r w:rsidRPr="007528DA">
        <w:rPr>
          <w:rFonts w:ascii="Times New Roman" w:hAnsi="Times New Roman" w:cs="Times New Roman"/>
          <w:color w:val="000000" w:themeColor="text1"/>
          <w:sz w:val="24"/>
          <w:szCs w:val="24"/>
        </w:rPr>
        <w:t xml:space="preserve">. Among all states with an estimated production of 36.24 million </w:t>
      </w:r>
      <w:proofErr w:type="spellStart"/>
      <w:r w:rsidRPr="007528DA">
        <w:rPr>
          <w:rFonts w:ascii="Times New Roman" w:hAnsi="Times New Roman" w:cs="Times New Roman"/>
          <w:color w:val="000000" w:themeColor="text1"/>
          <w:sz w:val="24"/>
          <w:szCs w:val="24"/>
        </w:rPr>
        <w:t>tonnes</w:t>
      </w:r>
      <w:proofErr w:type="spellEnd"/>
      <w:r w:rsidRPr="007528DA">
        <w:rPr>
          <w:rFonts w:ascii="Times New Roman" w:hAnsi="Times New Roman" w:cs="Times New Roman"/>
          <w:color w:val="000000" w:themeColor="text1"/>
          <w:sz w:val="24"/>
          <w:szCs w:val="24"/>
        </w:rPr>
        <w:t xml:space="preserve"> (31%), followed by Madhya Pradesh with 23.37 million </w:t>
      </w:r>
      <w:proofErr w:type="spellStart"/>
      <w:r w:rsidRPr="007528DA">
        <w:rPr>
          <w:rFonts w:ascii="Times New Roman" w:hAnsi="Times New Roman" w:cs="Times New Roman"/>
          <w:color w:val="000000" w:themeColor="text1"/>
          <w:sz w:val="24"/>
          <w:szCs w:val="24"/>
        </w:rPr>
        <w:t>tonnes</w:t>
      </w:r>
      <w:proofErr w:type="spellEnd"/>
      <w:r w:rsidRPr="007528DA">
        <w:rPr>
          <w:rFonts w:ascii="Times New Roman" w:hAnsi="Times New Roman" w:cs="Times New Roman"/>
          <w:color w:val="000000" w:themeColor="text1"/>
          <w:sz w:val="24"/>
          <w:szCs w:val="24"/>
        </w:rPr>
        <w:t xml:space="preserve"> (20%), and Punjab with 17.90 million </w:t>
      </w:r>
      <w:proofErr w:type="spellStart"/>
      <w:r w:rsidRPr="007528DA">
        <w:rPr>
          <w:rFonts w:ascii="Times New Roman" w:hAnsi="Times New Roman" w:cs="Times New Roman"/>
          <w:color w:val="000000" w:themeColor="text1"/>
          <w:sz w:val="24"/>
          <w:szCs w:val="24"/>
        </w:rPr>
        <w:t>tonnes</w:t>
      </w:r>
      <w:proofErr w:type="spellEnd"/>
      <w:r w:rsidRPr="007528DA">
        <w:rPr>
          <w:rFonts w:ascii="Times New Roman" w:hAnsi="Times New Roman" w:cs="Times New Roman"/>
          <w:color w:val="000000" w:themeColor="text1"/>
          <w:sz w:val="24"/>
          <w:szCs w:val="24"/>
        </w:rPr>
        <w:t xml:space="preserve"> (15%). Haryana and Rajasthan also contributed significantly, producing 11.47 million </w:t>
      </w:r>
      <w:proofErr w:type="spellStart"/>
      <w:r w:rsidRPr="007528DA">
        <w:rPr>
          <w:rFonts w:ascii="Times New Roman" w:hAnsi="Times New Roman" w:cs="Times New Roman"/>
          <w:color w:val="000000" w:themeColor="text1"/>
          <w:sz w:val="24"/>
          <w:szCs w:val="24"/>
        </w:rPr>
        <w:t>tonnes</w:t>
      </w:r>
      <w:proofErr w:type="spellEnd"/>
      <w:r w:rsidRPr="007528DA">
        <w:rPr>
          <w:rFonts w:ascii="Times New Roman" w:hAnsi="Times New Roman" w:cs="Times New Roman"/>
          <w:color w:val="000000" w:themeColor="text1"/>
          <w:sz w:val="24"/>
          <w:szCs w:val="24"/>
        </w:rPr>
        <w:t xml:space="preserve"> (10%) and 11.38 million </w:t>
      </w:r>
      <w:proofErr w:type="spellStart"/>
      <w:r w:rsidRPr="007528DA">
        <w:rPr>
          <w:rFonts w:ascii="Times New Roman" w:hAnsi="Times New Roman" w:cs="Times New Roman"/>
          <w:color w:val="000000" w:themeColor="text1"/>
          <w:sz w:val="24"/>
          <w:szCs w:val="24"/>
        </w:rPr>
        <w:t>tonnes</w:t>
      </w:r>
      <w:proofErr w:type="spellEnd"/>
      <w:r w:rsidRPr="007528DA">
        <w:rPr>
          <w:rFonts w:ascii="Times New Roman" w:hAnsi="Times New Roman" w:cs="Times New Roman"/>
          <w:color w:val="000000" w:themeColor="text1"/>
          <w:sz w:val="24"/>
          <w:szCs w:val="24"/>
        </w:rPr>
        <w:t xml:space="preserve"> (10%), respectively. </w:t>
      </w:r>
      <w:r w:rsidRPr="007528DA">
        <w:rPr>
          <w:rFonts w:ascii="Times New Roman" w:hAnsi="Times New Roman" w:cs="Times New Roman"/>
          <w:b/>
          <w:bCs/>
          <w:color w:val="000000" w:themeColor="text1"/>
          <w:sz w:val="24"/>
          <w:szCs w:val="24"/>
        </w:rPr>
        <w:t xml:space="preserve">(DA&amp;FW, </w:t>
      </w:r>
      <w:r w:rsidRPr="007528DA">
        <w:rPr>
          <w:rFonts w:ascii="Times New Roman" w:hAnsi="Times New Roman" w:cs="Times New Roman"/>
          <w:b/>
          <w:bCs/>
          <w:color w:val="000000" w:themeColor="text1"/>
          <w:sz w:val="24"/>
          <w:szCs w:val="24"/>
        </w:rPr>
        <w:lastRenderedPageBreak/>
        <w:t>India 2024-25)</w:t>
      </w:r>
      <w:r w:rsidRPr="007528DA">
        <w:rPr>
          <w:rFonts w:ascii="Times New Roman" w:hAnsi="Times New Roman" w:cs="Times New Roman"/>
          <w:color w:val="000000" w:themeColor="text1"/>
          <w:sz w:val="24"/>
          <w:szCs w:val="24"/>
        </w:rPr>
        <w:t xml:space="preserve">. It is prominent as the most widely cultivated crop on a global scale, outdoing the total trade volume of all other crops combined. The global wheat production for the 2024-25 period was around 800.86 metric </w:t>
      </w:r>
      <w:proofErr w:type="spellStart"/>
      <w:r w:rsidRPr="007528DA">
        <w:rPr>
          <w:rFonts w:ascii="Times New Roman" w:hAnsi="Times New Roman" w:cs="Times New Roman"/>
          <w:color w:val="000000" w:themeColor="text1"/>
          <w:sz w:val="24"/>
          <w:szCs w:val="24"/>
        </w:rPr>
        <w:t>tonnes</w:t>
      </w:r>
      <w:proofErr w:type="spellEnd"/>
      <w:r w:rsidRPr="007528DA">
        <w:rPr>
          <w:rFonts w:ascii="Times New Roman" w:hAnsi="Times New Roman" w:cs="Times New Roman"/>
          <w:color w:val="000000" w:themeColor="text1"/>
          <w:sz w:val="24"/>
          <w:szCs w:val="24"/>
        </w:rPr>
        <w:t xml:space="preserve">, with China leading the production at 140.1 million </w:t>
      </w:r>
      <w:proofErr w:type="spellStart"/>
      <w:r w:rsidRPr="007528DA">
        <w:rPr>
          <w:rFonts w:ascii="Times New Roman" w:hAnsi="Times New Roman" w:cs="Times New Roman"/>
          <w:color w:val="000000" w:themeColor="text1"/>
          <w:sz w:val="24"/>
          <w:szCs w:val="24"/>
        </w:rPr>
        <w:t>tonnes</w:t>
      </w:r>
      <w:proofErr w:type="spellEnd"/>
      <w:r w:rsidRPr="007528DA">
        <w:rPr>
          <w:rFonts w:ascii="Times New Roman" w:hAnsi="Times New Roman" w:cs="Times New Roman"/>
          <w:color w:val="000000" w:themeColor="text1"/>
          <w:sz w:val="24"/>
          <w:szCs w:val="24"/>
        </w:rPr>
        <w:t xml:space="preserve">, and the European Union following at 122.12 million </w:t>
      </w:r>
      <w:proofErr w:type="spellStart"/>
      <w:r w:rsidRPr="007528DA">
        <w:rPr>
          <w:rFonts w:ascii="Times New Roman" w:hAnsi="Times New Roman" w:cs="Times New Roman"/>
          <w:color w:val="000000" w:themeColor="text1"/>
          <w:sz w:val="24"/>
          <w:szCs w:val="24"/>
        </w:rPr>
        <w:t>tonnes</w:t>
      </w:r>
      <w:proofErr w:type="spellEnd"/>
      <w:r w:rsidRPr="007528DA">
        <w:rPr>
          <w:rFonts w:ascii="Times New Roman" w:hAnsi="Times New Roman" w:cs="Times New Roman"/>
          <w:color w:val="000000" w:themeColor="text1"/>
          <w:sz w:val="24"/>
          <w:szCs w:val="24"/>
        </w:rPr>
        <w:t xml:space="preserve">. India, on the other hand, secures the third position with an estimated production of 113.29 million </w:t>
      </w:r>
      <w:proofErr w:type="spellStart"/>
      <w:r w:rsidRPr="007528DA">
        <w:rPr>
          <w:rFonts w:ascii="Times New Roman" w:hAnsi="Times New Roman" w:cs="Times New Roman"/>
          <w:color w:val="000000" w:themeColor="text1"/>
          <w:sz w:val="24"/>
          <w:szCs w:val="24"/>
        </w:rPr>
        <w:t>tonnes</w:t>
      </w:r>
      <w:proofErr w:type="spellEnd"/>
      <w:r w:rsidRPr="007528DA">
        <w:rPr>
          <w:rFonts w:ascii="Times New Roman" w:hAnsi="Times New Roman" w:cs="Times New Roman"/>
          <w:color w:val="000000" w:themeColor="text1"/>
          <w:sz w:val="24"/>
          <w:szCs w:val="24"/>
        </w:rPr>
        <w:t xml:space="preserve"> </w:t>
      </w:r>
      <w:r w:rsidRPr="007528DA">
        <w:rPr>
          <w:rFonts w:ascii="Times New Roman" w:hAnsi="Times New Roman" w:cs="Times New Roman"/>
          <w:b/>
          <w:bCs/>
          <w:color w:val="000000" w:themeColor="text1"/>
          <w:sz w:val="24"/>
          <w:szCs w:val="24"/>
        </w:rPr>
        <w:t>(USDA report, 2025)</w:t>
      </w:r>
      <w:r w:rsidRPr="007528DA">
        <w:rPr>
          <w:rFonts w:ascii="Times New Roman" w:hAnsi="Times New Roman" w:cs="Times New Roman"/>
          <w:color w:val="000000" w:themeColor="text1"/>
          <w:sz w:val="24"/>
          <w:szCs w:val="24"/>
        </w:rPr>
        <w:t xml:space="preserve">. Apart from the impressive productivity statistics, the nutritional composition of wheat is noteworthy, boasting a rich array of essential elements. </w:t>
      </w:r>
    </w:p>
    <w:p w14:paraId="10BC3CFE" w14:textId="0E55F360" w:rsidR="003925DE" w:rsidRPr="00E826D4" w:rsidRDefault="00723484" w:rsidP="00E2217E">
      <w:pPr>
        <w:spacing w:after="0" w:line="360" w:lineRule="auto"/>
        <w:ind w:right="-2" w:firstLine="709"/>
        <w:jc w:val="both"/>
        <w:rPr>
          <w:rFonts w:ascii="Times New Roman" w:hAnsi="Times New Roman" w:cs="Times New Roman"/>
          <w:sz w:val="24"/>
          <w:szCs w:val="24"/>
        </w:rPr>
      </w:pPr>
      <w:r>
        <w:rPr>
          <w:rFonts w:ascii="Times New Roman" w:hAnsi="Times New Roman" w:cs="Times New Roman"/>
          <w:sz w:val="24"/>
          <w:szCs w:val="24"/>
        </w:rPr>
        <w:t>“</w:t>
      </w:r>
      <w:r w:rsidR="003925DE" w:rsidRPr="00E826D4">
        <w:rPr>
          <w:rFonts w:ascii="Times New Roman" w:hAnsi="Times New Roman" w:cs="Times New Roman"/>
          <w:sz w:val="24"/>
          <w:szCs w:val="24"/>
        </w:rPr>
        <w:t>Nutritionally, wheat provides significant caloric and protein intake. On average, it contains about 12% protein, 1.8% lipids, 1.8% ash, 2% reducing sugars, 59.2% starch, and 70% total carbohydrates, contributing approximately 314 kcal per 100 grams</w:t>
      </w:r>
      <w:r>
        <w:rPr>
          <w:rFonts w:ascii="Times New Roman" w:hAnsi="Times New Roman" w:cs="Times New Roman"/>
          <w:sz w:val="24"/>
          <w:szCs w:val="24"/>
        </w:rPr>
        <w:t>”</w:t>
      </w:r>
      <w:r w:rsidR="003925DE" w:rsidRPr="00E826D4">
        <w:rPr>
          <w:rFonts w:ascii="Times New Roman" w:hAnsi="Times New Roman" w:cs="Times New Roman"/>
          <w:sz w:val="24"/>
          <w:szCs w:val="24"/>
        </w:rPr>
        <w:t xml:space="preserve"> (</w:t>
      </w:r>
      <w:r w:rsidR="003925DE" w:rsidRPr="006349F7">
        <w:rPr>
          <w:rFonts w:ascii="Times New Roman" w:hAnsi="Times New Roman" w:cs="Times New Roman"/>
          <w:b/>
          <w:sz w:val="24"/>
          <w:szCs w:val="24"/>
        </w:rPr>
        <w:t xml:space="preserve">Iqbal </w:t>
      </w:r>
      <w:r w:rsidR="003925DE" w:rsidRPr="006349F7">
        <w:rPr>
          <w:rFonts w:ascii="Times New Roman" w:hAnsi="Times New Roman" w:cs="Times New Roman"/>
          <w:b/>
          <w:i/>
          <w:sz w:val="24"/>
          <w:szCs w:val="24"/>
        </w:rPr>
        <w:t>et al</w:t>
      </w:r>
      <w:r w:rsidR="003925DE" w:rsidRPr="006349F7">
        <w:rPr>
          <w:rFonts w:ascii="Times New Roman" w:hAnsi="Times New Roman" w:cs="Times New Roman"/>
          <w:b/>
          <w:sz w:val="24"/>
          <w:szCs w:val="24"/>
        </w:rPr>
        <w:t>., 2017)</w:t>
      </w:r>
      <w:r w:rsidR="003925DE" w:rsidRPr="00E826D4">
        <w:rPr>
          <w:rFonts w:ascii="Times New Roman" w:hAnsi="Times New Roman" w:cs="Times New Roman"/>
          <w:sz w:val="24"/>
          <w:szCs w:val="24"/>
        </w:rPr>
        <w:t>. This makes it a critical component of daily diets across many cultures and economies. Its extensive use in the preparation of diverse foods such as bread, chapattis, pasta, porridge, and bakery items further highlights its global culinary importance.</w:t>
      </w:r>
    </w:p>
    <w:p w14:paraId="4194382B" w14:textId="22DB62DE" w:rsidR="003925DE" w:rsidRDefault="00723484" w:rsidP="00E2217E">
      <w:pPr>
        <w:spacing w:after="0" w:line="360" w:lineRule="auto"/>
        <w:ind w:right="-2" w:firstLine="709"/>
        <w:jc w:val="both"/>
        <w:rPr>
          <w:rFonts w:ascii="Times New Roman" w:hAnsi="Times New Roman" w:cs="Times New Roman"/>
          <w:sz w:val="24"/>
          <w:szCs w:val="24"/>
        </w:rPr>
      </w:pPr>
      <w:r>
        <w:rPr>
          <w:rFonts w:ascii="Times New Roman" w:hAnsi="Times New Roman" w:cs="Times New Roman"/>
          <w:sz w:val="24"/>
          <w:szCs w:val="24"/>
        </w:rPr>
        <w:t>“</w:t>
      </w:r>
      <w:r w:rsidR="003925DE" w:rsidRPr="00430F36">
        <w:rPr>
          <w:rFonts w:ascii="Times New Roman" w:hAnsi="Times New Roman" w:cs="Times New Roman"/>
          <w:sz w:val="24"/>
          <w:szCs w:val="24"/>
        </w:rPr>
        <w:t>At the core of this profile is a notable protein content of 12.1%, in conjunction with 1.8% lipids, 1.8% ash, 2.0% reducing sugars, 6.7% pentosans, 59.2% starch, a total carbohydrate content of 70%, and 314 kilocalories per 100 grams of food, rendering it a substantial source of energy</w:t>
      </w:r>
      <w:r>
        <w:rPr>
          <w:rFonts w:ascii="Times New Roman" w:hAnsi="Times New Roman" w:cs="Times New Roman"/>
          <w:sz w:val="24"/>
          <w:szCs w:val="24"/>
        </w:rPr>
        <w:t>”</w:t>
      </w:r>
      <w:r w:rsidR="003925DE" w:rsidRPr="00430F36">
        <w:rPr>
          <w:rFonts w:ascii="Times New Roman" w:hAnsi="Times New Roman" w:cs="Times New Roman"/>
          <w:sz w:val="24"/>
          <w:szCs w:val="24"/>
        </w:rPr>
        <w:t xml:space="preserve"> (</w:t>
      </w:r>
      <w:proofErr w:type="spellStart"/>
      <w:r w:rsidR="003925DE" w:rsidRPr="003A38D5">
        <w:rPr>
          <w:rFonts w:ascii="Times New Roman" w:hAnsi="Times New Roman" w:cs="Times New Roman"/>
          <w:b/>
          <w:bCs/>
          <w:sz w:val="24"/>
          <w:szCs w:val="24"/>
        </w:rPr>
        <w:t>Lavkush</w:t>
      </w:r>
      <w:proofErr w:type="spellEnd"/>
      <w:r w:rsidR="003925DE">
        <w:rPr>
          <w:rFonts w:ascii="Times New Roman" w:hAnsi="Times New Roman" w:cs="Times New Roman"/>
          <w:b/>
          <w:bCs/>
          <w:sz w:val="24"/>
          <w:szCs w:val="24"/>
        </w:rPr>
        <w:t xml:space="preserve"> </w:t>
      </w:r>
      <w:r w:rsidR="003925DE" w:rsidRPr="006349F7">
        <w:rPr>
          <w:rFonts w:ascii="Times New Roman" w:hAnsi="Times New Roman" w:cs="Times New Roman"/>
          <w:b/>
          <w:bCs/>
          <w:i/>
          <w:iCs/>
          <w:sz w:val="24"/>
          <w:szCs w:val="24"/>
        </w:rPr>
        <w:t>et al</w:t>
      </w:r>
      <w:r w:rsidR="003925DE" w:rsidRPr="003A38D5">
        <w:rPr>
          <w:rFonts w:ascii="Times New Roman" w:hAnsi="Times New Roman" w:cs="Times New Roman"/>
          <w:b/>
          <w:bCs/>
          <w:i/>
          <w:iCs/>
          <w:sz w:val="24"/>
          <w:szCs w:val="24"/>
        </w:rPr>
        <w:t xml:space="preserve">., </w:t>
      </w:r>
      <w:r w:rsidR="003925DE" w:rsidRPr="003A38D5">
        <w:rPr>
          <w:rFonts w:ascii="Times New Roman" w:hAnsi="Times New Roman" w:cs="Times New Roman"/>
          <w:b/>
          <w:bCs/>
          <w:sz w:val="24"/>
          <w:szCs w:val="24"/>
        </w:rPr>
        <w:t>2022</w:t>
      </w:r>
      <w:r w:rsidR="003925DE" w:rsidRPr="00430F36">
        <w:rPr>
          <w:rFonts w:ascii="Times New Roman" w:hAnsi="Times New Roman" w:cs="Times New Roman"/>
          <w:sz w:val="24"/>
          <w:szCs w:val="24"/>
        </w:rPr>
        <w:t>).</w:t>
      </w:r>
      <w:r w:rsidR="003925DE" w:rsidRPr="00430F36">
        <w:rPr>
          <w:rFonts w:ascii="Times New Roman" w:hAnsi="Times New Roman" w:cs="Times New Roman"/>
          <w:sz w:val="24"/>
          <w:szCs w:val="24"/>
        </w:rPr>
        <w:tab/>
      </w:r>
    </w:p>
    <w:p w14:paraId="7F376BD7" w14:textId="7075D707" w:rsidR="003925DE" w:rsidRDefault="003925DE" w:rsidP="00E2217E">
      <w:pPr>
        <w:spacing w:after="0" w:line="360" w:lineRule="auto"/>
        <w:ind w:right="-2" w:firstLine="709"/>
        <w:jc w:val="both"/>
        <w:rPr>
          <w:rFonts w:ascii="Times New Roman" w:hAnsi="Times New Roman" w:cs="Times New Roman"/>
          <w:color w:val="000000" w:themeColor="text1"/>
          <w:sz w:val="24"/>
          <w:szCs w:val="24"/>
          <w:lang w:val="en-IN"/>
        </w:rPr>
      </w:pPr>
      <w:r w:rsidRPr="003925DE">
        <w:rPr>
          <w:rFonts w:ascii="Times New Roman" w:hAnsi="Times New Roman" w:cs="Times New Roman"/>
          <w:color w:val="000000" w:themeColor="text1"/>
          <w:sz w:val="24"/>
          <w:szCs w:val="24"/>
          <w:lang w:val="en-IN"/>
        </w:rPr>
        <w:t>Heritability is a key metric in quantitative genetics that reflects the proportion of total phenotypic variability that is determined by genetic components. Traits exhibiting high heritability are more amenable to successful selection, whereas those with low heritability are largely influenced by environmental factors (</w:t>
      </w:r>
      <w:r w:rsidRPr="003925DE">
        <w:rPr>
          <w:rFonts w:ascii="Times New Roman" w:hAnsi="Times New Roman" w:cs="Times New Roman"/>
          <w:b/>
          <w:bCs/>
          <w:color w:val="000000" w:themeColor="text1"/>
          <w:sz w:val="24"/>
          <w:szCs w:val="24"/>
          <w:lang w:val="en-IN"/>
        </w:rPr>
        <w:t>Burton and De Vane, 1953).</w:t>
      </w:r>
      <w:r w:rsidRPr="003925DE">
        <w:rPr>
          <w:rFonts w:ascii="Times New Roman" w:hAnsi="Times New Roman" w:cs="Times New Roman"/>
          <w:color w:val="000000" w:themeColor="text1"/>
          <w:sz w:val="24"/>
          <w:szCs w:val="24"/>
          <w:lang w:val="en-IN"/>
        </w:rPr>
        <w:t xml:space="preserve"> Since heritability on its own does not accurately forecast genetic gain, it is commonly interpreted in combination with genetic advance (GA), which predicts the possible improvement achievable through selection (</w:t>
      </w:r>
      <w:r w:rsidRPr="003925DE">
        <w:rPr>
          <w:rFonts w:ascii="Times New Roman" w:hAnsi="Times New Roman" w:cs="Times New Roman"/>
          <w:b/>
          <w:bCs/>
          <w:color w:val="000000" w:themeColor="text1"/>
          <w:sz w:val="24"/>
          <w:szCs w:val="24"/>
          <w:lang w:val="en-IN"/>
        </w:rPr>
        <w:t xml:space="preserve">Johnson </w:t>
      </w:r>
      <w:r w:rsidRPr="003925DE">
        <w:rPr>
          <w:rFonts w:ascii="Times New Roman" w:hAnsi="Times New Roman" w:cs="Times New Roman"/>
          <w:b/>
          <w:bCs/>
          <w:i/>
          <w:iCs/>
          <w:color w:val="000000" w:themeColor="text1"/>
          <w:sz w:val="24"/>
          <w:szCs w:val="24"/>
          <w:lang w:val="en-IN"/>
        </w:rPr>
        <w:t>et al</w:t>
      </w:r>
      <w:r w:rsidRPr="003925DE">
        <w:rPr>
          <w:rFonts w:ascii="Times New Roman" w:hAnsi="Times New Roman" w:cs="Times New Roman"/>
          <w:b/>
          <w:bCs/>
          <w:color w:val="000000" w:themeColor="text1"/>
          <w:sz w:val="24"/>
          <w:szCs w:val="24"/>
          <w:lang w:val="en-IN"/>
        </w:rPr>
        <w:t>., 1955).</w:t>
      </w:r>
      <w:r w:rsidRPr="003925DE">
        <w:rPr>
          <w:rFonts w:ascii="Times New Roman" w:hAnsi="Times New Roman" w:cs="Times New Roman"/>
          <w:color w:val="000000" w:themeColor="text1"/>
          <w:sz w:val="24"/>
          <w:szCs w:val="24"/>
          <w:lang w:val="en-IN"/>
        </w:rPr>
        <w:t xml:space="preserve"> A high estimate of heritability accompanied by high GA generally signifies dominant additive gene effects, while low heritability with low GA implies non-additive gene action such as dominance or epistasis as well as a strong environmental role (</w:t>
      </w:r>
      <w:r w:rsidRPr="003925DE">
        <w:rPr>
          <w:rFonts w:ascii="Times New Roman" w:hAnsi="Times New Roman" w:cs="Times New Roman"/>
          <w:b/>
          <w:bCs/>
          <w:color w:val="000000" w:themeColor="text1"/>
          <w:sz w:val="24"/>
          <w:szCs w:val="24"/>
          <w:lang w:val="en-IN"/>
        </w:rPr>
        <w:t>Panse, 1957; Singh and Chaudhary, 1985</w:t>
      </w:r>
      <w:r w:rsidR="00041E69" w:rsidRPr="00041E69">
        <w:rPr>
          <w:rFonts w:ascii="Times New Roman" w:hAnsi="Times New Roman" w:cs="Times New Roman"/>
          <w:b/>
          <w:bCs/>
          <w:color w:val="000000" w:themeColor="text1"/>
          <w:sz w:val="24"/>
          <w:szCs w:val="24"/>
          <w:highlight w:val="yellow"/>
          <w:lang w:val="en-IN"/>
        </w:rPr>
        <w:t>; Tiwari et al., 2025</w:t>
      </w:r>
      <w:r w:rsidRPr="00041E69">
        <w:rPr>
          <w:rFonts w:ascii="Times New Roman" w:hAnsi="Times New Roman" w:cs="Times New Roman"/>
          <w:b/>
          <w:bCs/>
          <w:color w:val="000000" w:themeColor="text1"/>
          <w:sz w:val="24"/>
          <w:szCs w:val="24"/>
          <w:highlight w:val="yellow"/>
          <w:lang w:val="en-IN"/>
        </w:rPr>
        <w:t>).</w:t>
      </w:r>
      <w:r w:rsidRPr="009B2E3F">
        <w:rPr>
          <w:rFonts w:ascii="Times New Roman" w:hAnsi="Times New Roman" w:cs="Times New Roman"/>
          <w:b/>
          <w:bCs/>
          <w:color w:val="000000" w:themeColor="text1"/>
          <w:sz w:val="24"/>
          <w:szCs w:val="24"/>
          <w:lang w:val="en-IN"/>
        </w:rPr>
        <w:tab/>
      </w:r>
      <w:r>
        <w:rPr>
          <w:rFonts w:ascii="Times New Roman" w:hAnsi="Times New Roman" w:cs="Times New Roman"/>
          <w:color w:val="000000" w:themeColor="text1"/>
          <w:sz w:val="24"/>
          <w:szCs w:val="24"/>
          <w:lang w:val="en-IN"/>
        </w:rPr>
        <w:tab/>
      </w:r>
      <w:r>
        <w:rPr>
          <w:rFonts w:ascii="Times New Roman" w:hAnsi="Times New Roman" w:cs="Times New Roman"/>
          <w:color w:val="000000" w:themeColor="text1"/>
          <w:sz w:val="24"/>
          <w:szCs w:val="24"/>
          <w:lang w:val="en-IN"/>
        </w:rPr>
        <w:tab/>
      </w:r>
    </w:p>
    <w:p w14:paraId="0CFB7BDF" w14:textId="6E3B97B2" w:rsidR="003925DE" w:rsidRPr="003925DE" w:rsidRDefault="003925DE" w:rsidP="00E2217E">
      <w:pPr>
        <w:spacing w:after="0" w:line="360" w:lineRule="auto"/>
        <w:ind w:right="-2" w:firstLine="709"/>
        <w:jc w:val="both"/>
        <w:rPr>
          <w:rFonts w:ascii="Times New Roman" w:hAnsi="Times New Roman" w:cs="Times New Roman"/>
          <w:sz w:val="24"/>
          <w:szCs w:val="24"/>
        </w:rPr>
      </w:pPr>
      <w:r>
        <w:rPr>
          <w:rFonts w:ascii="Times New Roman" w:hAnsi="Times New Roman" w:cs="Times New Roman"/>
          <w:color w:val="000000" w:themeColor="text1"/>
          <w:sz w:val="24"/>
          <w:szCs w:val="24"/>
          <w:lang w:val="en-IN"/>
        </w:rPr>
        <w:tab/>
      </w:r>
      <w:r w:rsidRPr="003925DE">
        <w:rPr>
          <w:rFonts w:ascii="Times New Roman" w:hAnsi="Times New Roman" w:cs="Times New Roman"/>
          <w:color w:val="000000" w:themeColor="text1"/>
          <w:sz w:val="24"/>
          <w:szCs w:val="24"/>
          <w:lang w:val="en-IN"/>
        </w:rPr>
        <w:t xml:space="preserve">In view of the pressing challenges to boost wheat production under fluctuating environmental conditions, the present study was undertaken to evaluate heritability and </w:t>
      </w:r>
      <w:r w:rsidRPr="003925DE">
        <w:rPr>
          <w:rFonts w:ascii="Times New Roman" w:hAnsi="Times New Roman" w:cs="Times New Roman"/>
          <w:color w:val="000000" w:themeColor="text1"/>
          <w:sz w:val="24"/>
          <w:szCs w:val="24"/>
          <w:lang w:val="en-IN"/>
        </w:rPr>
        <w:lastRenderedPageBreak/>
        <w:t>genetic advance percent over mean in F₁ and F₂ populations derived from line × tester crosses. The objective was to determine heritability levels, estimate genetic advance, and pinpoint traits amenable to improvement through early or delayed selection, thereby facilitating the development of high-yielding and genetically diverse wheat cultivars.</w:t>
      </w:r>
    </w:p>
    <w:p w14:paraId="22131B4E" w14:textId="563636B8" w:rsidR="005D280F" w:rsidRPr="0032290F" w:rsidRDefault="00273DE4" w:rsidP="00E2217E">
      <w:pPr>
        <w:pStyle w:val="Heading1"/>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MATERIALS AND METHODS</w:t>
      </w:r>
    </w:p>
    <w:p w14:paraId="12C8C5D1" w14:textId="0EB614B3" w:rsidR="005D280F" w:rsidRPr="0032290F" w:rsidRDefault="00273DE4" w:rsidP="00E2217E">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 xml:space="preserve">The study was conducted at the </w:t>
      </w:r>
      <w:r w:rsidR="004C676D">
        <w:rPr>
          <w:rFonts w:ascii="Times New Roman" w:hAnsi="Times New Roman" w:cs="Times New Roman"/>
          <w:color w:val="000000" w:themeColor="text1"/>
          <w:sz w:val="24"/>
          <w:szCs w:val="24"/>
        </w:rPr>
        <w:t>SIF</w:t>
      </w:r>
      <w:r w:rsidRPr="0032290F">
        <w:rPr>
          <w:rFonts w:ascii="Times New Roman" w:hAnsi="Times New Roman" w:cs="Times New Roman"/>
          <w:color w:val="000000" w:themeColor="text1"/>
          <w:sz w:val="24"/>
          <w:szCs w:val="24"/>
        </w:rPr>
        <w:t xml:space="preserve"> Farm of CSAUAT, Kanpur, during the </w:t>
      </w:r>
      <w:proofErr w:type="spellStart"/>
      <w:r w:rsidRPr="004572D9">
        <w:rPr>
          <w:rFonts w:ascii="Times New Roman" w:hAnsi="Times New Roman" w:cs="Times New Roman"/>
          <w:i/>
          <w:iCs/>
          <w:color w:val="000000" w:themeColor="text1"/>
          <w:sz w:val="24"/>
          <w:szCs w:val="24"/>
        </w:rPr>
        <w:t>rabi</w:t>
      </w:r>
      <w:proofErr w:type="spellEnd"/>
      <w:r w:rsidRPr="0032290F">
        <w:rPr>
          <w:rFonts w:ascii="Times New Roman" w:hAnsi="Times New Roman" w:cs="Times New Roman"/>
          <w:color w:val="000000" w:themeColor="text1"/>
          <w:sz w:val="24"/>
          <w:szCs w:val="24"/>
        </w:rPr>
        <w:t xml:space="preserve"> </w:t>
      </w:r>
      <w:proofErr w:type="spellStart"/>
      <w:r w:rsidRPr="0032290F">
        <w:rPr>
          <w:rFonts w:ascii="Times New Roman" w:hAnsi="Times New Roman" w:cs="Times New Roman"/>
          <w:color w:val="000000" w:themeColor="text1"/>
          <w:sz w:val="24"/>
          <w:szCs w:val="24"/>
        </w:rPr>
        <w:t>season</w:t>
      </w:r>
      <w:r w:rsidR="004C676D" w:rsidRPr="0032290F">
        <w:rPr>
          <w:rFonts w:ascii="Times New Roman" w:hAnsi="Times New Roman" w:cs="Times New Roman"/>
          <w:color w:val="000000" w:themeColor="text1"/>
          <w:sz w:val="24"/>
          <w:szCs w:val="24"/>
        </w:rPr>
        <w:t>of</w:t>
      </w:r>
      <w:proofErr w:type="spellEnd"/>
      <w:r w:rsidR="004C676D" w:rsidRPr="0032290F">
        <w:rPr>
          <w:rFonts w:ascii="Times New Roman" w:hAnsi="Times New Roman" w:cs="Times New Roman"/>
          <w:color w:val="000000" w:themeColor="text1"/>
          <w:sz w:val="24"/>
          <w:szCs w:val="24"/>
        </w:rPr>
        <w:t xml:space="preserve"> </w:t>
      </w:r>
      <w:r w:rsidR="004C676D">
        <w:rPr>
          <w:rFonts w:ascii="Times New Roman" w:hAnsi="Times New Roman" w:cs="Times New Roman"/>
          <w:color w:val="000000" w:themeColor="text1"/>
          <w:sz w:val="24"/>
          <w:szCs w:val="24"/>
        </w:rPr>
        <w:t>2023</w:t>
      </w:r>
      <w:r w:rsidR="004572D9">
        <w:rPr>
          <w:rFonts w:ascii="Times New Roman" w:hAnsi="Times New Roman" w:cs="Times New Roman"/>
          <w:color w:val="000000" w:themeColor="text1"/>
          <w:sz w:val="24"/>
          <w:szCs w:val="24"/>
        </w:rPr>
        <w:t>-</w:t>
      </w:r>
      <w:r w:rsidRPr="0032290F">
        <w:rPr>
          <w:rFonts w:ascii="Times New Roman" w:hAnsi="Times New Roman" w:cs="Times New Roman"/>
          <w:color w:val="000000" w:themeColor="text1"/>
          <w:sz w:val="24"/>
          <w:szCs w:val="24"/>
        </w:rPr>
        <w:t>2</w:t>
      </w:r>
      <w:r w:rsidR="004C676D">
        <w:rPr>
          <w:rFonts w:ascii="Times New Roman" w:hAnsi="Times New Roman" w:cs="Times New Roman"/>
          <w:color w:val="000000" w:themeColor="text1"/>
          <w:sz w:val="24"/>
          <w:szCs w:val="24"/>
        </w:rPr>
        <w:t>4</w:t>
      </w:r>
      <w:r w:rsidRPr="0032290F">
        <w:rPr>
          <w:rFonts w:ascii="Times New Roman" w:hAnsi="Times New Roman" w:cs="Times New Roman"/>
          <w:color w:val="000000" w:themeColor="text1"/>
          <w:sz w:val="24"/>
          <w:szCs w:val="24"/>
        </w:rPr>
        <w:t xml:space="preserve">. </w:t>
      </w:r>
      <w:r w:rsidR="004C676D" w:rsidRPr="00560D0D">
        <w:rPr>
          <w:rFonts w:ascii="Times New Roman" w:hAnsi="Times New Roman" w:cs="Times New Roman"/>
          <w:color w:val="000000" w:themeColor="text1"/>
          <w:sz w:val="24"/>
          <w:szCs w:val="24"/>
        </w:rPr>
        <w:t>T</w:t>
      </w:r>
      <w:r w:rsidRPr="00560D0D">
        <w:rPr>
          <w:rFonts w:ascii="Times New Roman" w:hAnsi="Times New Roman" w:cs="Times New Roman"/>
          <w:color w:val="000000" w:themeColor="text1"/>
          <w:sz w:val="24"/>
          <w:szCs w:val="24"/>
        </w:rPr>
        <w:t xml:space="preserve">en genetically diverse lines </w:t>
      </w:r>
      <w:r w:rsidR="000755ED" w:rsidRPr="00560D0D">
        <w:rPr>
          <w:rFonts w:ascii="Times New Roman" w:hAnsi="Times New Roman" w:cs="Times New Roman"/>
          <w:color w:val="000000" w:themeColor="text1"/>
          <w:sz w:val="24"/>
          <w:szCs w:val="24"/>
        </w:rPr>
        <w:t xml:space="preserve">namely, </w:t>
      </w:r>
      <w:r w:rsidR="004C676D" w:rsidRPr="00560D0D">
        <w:rPr>
          <w:rFonts w:ascii="Times New Roman" w:hAnsi="Times New Roman" w:cs="Times New Roman"/>
          <w:sz w:val="24"/>
          <w:szCs w:val="24"/>
        </w:rPr>
        <w:t xml:space="preserve">K 9533, HD 3392, HD 3086, DBW 316, DBW 173, HD 2967, PBW 826, HI 1612, DBW 222, and PBW 644 </w:t>
      </w:r>
      <w:r w:rsidRPr="00560D0D">
        <w:rPr>
          <w:rFonts w:ascii="Times New Roman" w:hAnsi="Times New Roman" w:cs="Times New Roman"/>
          <w:color w:val="000000" w:themeColor="text1"/>
          <w:sz w:val="24"/>
          <w:szCs w:val="24"/>
        </w:rPr>
        <w:t>and f</w:t>
      </w:r>
      <w:r w:rsidR="004C676D" w:rsidRPr="00560D0D">
        <w:rPr>
          <w:rFonts w:ascii="Times New Roman" w:hAnsi="Times New Roman" w:cs="Times New Roman"/>
          <w:color w:val="000000" w:themeColor="text1"/>
          <w:sz w:val="24"/>
          <w:szCs w:val="24"/>
        </w:rPr>
        <w:t>ive</w:t>
      </w:r>
      <w:r w:rsidRPr="00560D0D">
        <w:rPr>
          <w:rFonts w:ascii="Times New Roman" w:hAnsi="Times New Roman" w:cs="Times New Roman"/>
          <w:color w:val="000000" w:themeColor="text1"/>
          <w:sz w:val="24"/>
          <w:szCs w:val="24"/>
        </w:rPr>
        <w:t xml:space="preserve"> testers</w:t>
      </w:r>
      <w:r w:rsidR="000755ED" w:rsidRPr="00560D0D">
        <w:rPr>
          <w:rFonts w:ascii="Times New Roman" w:hAnsi="Times New Roman" w:cs="Times New Roman"/>
          <w:sz w:val="24"/>
          <w:szCs w:val="24"/>
        </w:rPr>
        <w:t xml:space="preserve"> K</w:t>
      </w:r>
      <w:r w:rsidR="004C676D" w:rsidRPr="00560D0D">
        <w:rPr>
          <w:rFonts w:ascii="Times New Roman" w:hAnsi="Times New Roman" w:cs="Times New Roman"/>
          <w:sz w:val="24"/>
          <w:szCs w:val="24"/>
        </w:rPr>
        <w:t xml:space="preserve"> 9107, K 0607, KRL 370, PBW 833 and PBW 835</w:t>
      </w:r>
      <w:r w:rsidRPr="0032290F">
        <w:rPr>
          <w:rFonts w:ascii="Times New Roman" w:hAnsi="Times New Roman" w:cs="Times New Roman"/>
          <w:color w:val="000000" w:themeColor="text1"/>
          <w:sz w:val="24"/>
          <w:szCs w:val="24"/>
        </w:rPr>
        <w:t xml:space="preserve"> were crossed using a line × tester mating design to produce F₁ seeds. These F₁s were </w:t>
      </w:r>
      <w:proofErr w:type="spellStart"/>
      <w:r w:rsidRPr="0032290F">
        <w:rPr>
          <w:rFonts w:ascii="Times New Roman" w:hAnsi="Times New Roman" w:cs="Times New Roman"/>
          <w:color w:val="000000" w:themeColor="text1"/>
          <w:sz w:val="24"/>
          <w:szCs w:val="24"/>
        </w:rPr>
        <w:t>selfed</w:t>
      </w:r>
      <w:proofErr w:type="spellEnd"/>
      <w:r w:rsidRPr="0032290F">
        <w:rPr>
          <w:rFonts w:ascii="Times New Roman" w:hAnsi="Times New Roman" w:cs="Times New Roman"/>
          <w:color w:val="000000" w:themeColor="text1"/>
          <w:sz w:val="24"/>
          <w:szCs w:val="24"/>
        </w:rPr>
        <w:t xml:space="preserve"> to generate F₂ populations. Both F₁ and F₂ generations were evaluated in a Randomized Block Design (RBD) with recommended agronomic practices. Observations were recorded on </w:t>
      </w:r>
      <w:r w:rsidR="004C676D">
        <w:rPr>
          <w:rFonts w:ascii="Times New Roman" w:hAnsi="Times New Roman" w:cs="Times New Roman"/>
          <w:color w:val="000000" w:themeColor="text1"/>
          <w:sz w:val="24"/>
          <w:szCs w:val="24"/>
        </w:rPr>
        <w:t>thirteen</w:t>
      </w:r>
      <w:r w:rsidRPr="0032290F">
        <w:rPr>
          <w:rFonts w:ascii="Times New Roman" w:hAnsi="Times New Roman" w:cs="Times New Roman"/>
          <w:color w:val="000000" w:themeColor="text1"/>
          <w:sz w:val="24"/>
          <w:szCs w:val="24"/>
        </w:rPr>
        <w:t xml:space="preserve"> important traits, including days to </w:t>
      </w:r>
      <w:r w:rsidR="004C676D">
        <w:rPr>
          <w:rFonts w:ascii="Times New Roman" w:hAnsi="Times New Roman" w:cs="Times New Roman"/>
          <w:color w:val="000000" w:themeColor="text1"/>
          <w:sz w:val="24"/>
          <w:szCs w:val="24"/>
        </w:rPr>
        <w:t>75% heading</w:t>
      </w:r>
      <w:r w:rsidRPr="0032290F">
        <w:rPr>
          <w:rFonts w:ascii="Times New Roman" w:hAnsi="Times New Roman" w:cs="Times New Roman"/>
          <w:color w:val="000000" w:themeColor="text1"/>
          <w:sz w:val="24"/>
          <w:szCs w:val="24"/>
        </w:rPr>
        <w:t>, days to maturity, plant height</w:t>
      </w:r>
      <w:r w:rsidR="004C676D">
        <w:rPr>
          <w:rFonts w:ascii="Times New Roman" w:hAnsi="Times New Roman" w:cs="Times New Roman"/>
          <w:color w:val="000000" w:themeColor="text1"/>
          <w:sz w:val="24"/>
          <w:szCs w:val="24"/>
        </w:rPr>
        <w:t xml:space="preserve"> (cm)</w:t>
      </w:r>
      <w:r w:rsidRPr="0032290F">
        <w:rPr>
          <w:rFonts w:ascii="Times New Roman" w:hAnsi="Times New Roman" w:cs="Times New Roman"/>
          <w:color w:val="000000" w:themeColor="text1"/>
          <w:sz w:val="24"/>
          <w:szCs w:val="24"/>
        </w:rPr>
        <w:t xml:space="preserve">, </w:t>
      </w:r>
      <w:r w:rsidR="004B44CA">
        <w:rPr>
          <w:rFonts w:ascii="Times New Roman" w:hAnsi="Times New Roman" w:cs="Times New Roman"/>
          <w:color w:val="000000" w:themeColor="text1"/>
          <w:sz w:val="24"/>
          <w:szCs w:val="24"/>
        </w:rPr>
        <w:t xml:space="preserve">number of </w:t>
      </w:r>
      <w:r w:rsidRPr="0032290F">
        <w:rPr>
          <w:rFonts w:ascii="Times New Roman" w:hAnsi="Times New Roman" w:cs="Times New Roman"/>
          <w:color w:val="000000" w:themeColor="text1"/>
          <w:sz w:val="24"/>
          <w:szCs w:val="24"/>
        </w:rPr>
        <w:t>pr</w:t>
      </w:r>
      <w:r w:rsidR="004C676D">
        <w:rPr>
          <w:rFonts w:ascii="Times New Roman" w:hAnsi="Times New Roman" w:cs="Times New Roman"/>
          <w:color w:val="000000" w:themeColor="text1"/>
          <w:sz w:val="24"/>
          <w:szCs w:val="24"/>
        </w:rPr>
        <w:t>oductive tillers</w:t>
      </w:r>
      <w:r w:rsidR="004B44CA">
        <w:rPr>
          <w:rFonts w:ascii="Times New Roman" w:hAnsi="Times New Roman" w:cs="Times New Roman"/>
          <w:color w:val="000000" w:themeColor="text1"/>
          <w:sz w:val="24"/>
          <w:szCs w:val="24"/>
        </w:rPr>
        <w:t xml:space="preserve"> per plant</w:t>
      </w:r>
      <w:r w:rsidRPr="0032290F">
        <w:rPr>
          <w:rFonts w:ascii="Times New Roman" w:hAnsi="Times New Roman" w:cs="Times New Roman"/>
          <w:color w:val="000000" w:themeColor="text1"/>
          <w:sz w:val="24"/>
          <w:szCs w:val="24"/>
        </w:rPr>
        <w:t xml:space="preserve">, </w:t>
      </w:r>
      <w:r w:rsidR="004C676D">
        <w:rPr>
          <w:rFonts w:ascii="Times New Roman" w:hAnsi="Times New Roman" w:cs="Times New Roman"/>
          <w:color w:val="000000" w:themeColor="text1"/>
          <w:sz w:val="24"/>
          <w:szCs w:val="24"/>
        </w:rPr>
        <w:t xml:space="preserve">spike length (cm), </w:t>
      </w:r>
      <w:r w:rsidR="004B44CA">
        <w:rPr>
          <w:rFonts w:ascii="Times New Roman" w:hAnsi="Times New Roman" w:cs="Times New Roman"/>
          <w:color w:val="000000" w:themeColor="text1"/>
          <w:sz w:val="24"/>
          <w:szCs w:val="24"/>
        </w:rPr>
        <w:t xml:space="preserve">number of </w:t>
      </w:r>
      <w:r w:rsidR="004C676D">
        <w:rPr>
          <w:rFonts w:ascii="Times New Roman" w:hAnsi="Times New Roman" w:cs="Times New Roman"/>
          <w:color w:val="000000" w:themeColor="text1"/>
          <w:sz w:val="24"/>
          <w:szCs w:val="24"/>
        </w:rPr>
        <w:t>spikelets per spike</w:t>
      </w:r>
      <w:r w:rsidR="004B44CA">
        <w:rPr>
          <w:rFonts w:ascii="Times New Roman" w:hAnsi="Times New Roman" w:cs="Times New Roman"/>
          <w:color w:val="000000" w:themeColor="text1"/>
          <w:sz w:val="24"/>
          <w:szCs w:val="24"/>
        </w:rPr>
        <w:t xml:space="preserve"> plant</w:t>
      </w:r>
      <w:r w:rsidRPr="0032290F">
        <w:rPr>
          <w:rFonts w:ascii="Times New Roman" w:hAnsi="Times New Roman" w:cs="Times New Roman"/>
          <w:color w:val="000000" w:themeColor="text1"/>
          <w:sz w:val="24"/>
          <w:szCs w:val="24"/>
        </w:rPr>
        <w:t xml:space="preserve">, </w:t>
      </w:r>
      <w:r w:rsidR="004B44CA">
        <w:rPr>
          <w:rFonts w:ascii="Times New Roman" w:hAnsi="Times New Roman" w:cs="Times New Roman"/>
          <w:color w:val="000000" w:themeColor="text1"/>
          <w:sz w:val="24"/>
          <w:szCs w:val="24"/>
        </w:rPr>
        <w:t>number o</w:t>
      </w:r>
      <w:r w:rsidR="004C676D">
        <w:rPr>
          <w:rFonts w:ascii="Times New Roman" w:hAnsi="Times New Roman" w:cs="Times New Roman"/>
          <w:color w:val="000000" w:themeColor="text1"/>
          <w:sz w:val="24"/>
          <w:szCs w:val="24"/>
        </w:rPr>
        <w:t>f grains per spike</w:t>
      </w:r>
      <w:r w:rsidRPr="0032290F">
        <w:rPr>
          <w:rFonts w:ascii="Times New Roman" w:hAnsi="Times New Roman" w:cs="Times New Roman"/>
          <w:color w:val="000000" w:themeColor="text1"/>
          <w:sz w:val="24"/>
          <w:szCs w:val="24"/>
        </w:rPr>
        <w:t xml:space="preserve">, </w:t>
      </w:r>
      <w:r w:rsidR="004C676D">
        <w:rPr>
          <w:rFonts w:ascii="Times New Roman" w:hAnsi="Times New Roman" w:cs="Times New Roman"/>
          <w:color w:val="000000" w:themeColor="text1"/>
          <w:sz w:val="24"/>
          <w:szCs w:val="24"/>
        </w:rPr>
        <w:t xml:space="preserve">seed </w:t>
      </w:r>
      <w:proofErr w:type="spellStart"/>
      <w:r w:rsidR="004C676D">
        <w:rPr>
          <w:rFonts w:ascii="Times New Roman" w:hAnsi="Times New Roman" w:cs="Times New Roman"/>
          <w:color w:val="000000" w:themeColor="text1"/>
          <w:sz w:val="24"/>
          <w:szCs w:val="24"/>
        </w:rPr>
        <w:t>harden</w:t>
      </w:r>
      <w:r w:rsidR="00683839">
        <w:rPr>
          <w:rFonts w:ascii="Times New Roman" w:hAnsi="Times New Roman" w:cs="Times New Roman"/>
          <w:color w:val="000000" w:themeColor="text1"/>
          <w:sz w:val="24"/>
          <w:szCs w:val="24"/>
        </w:rPr>
        <w:t>ess</w:t>
      </w:r>
      <w:proofErr w:type="spellEnd"/>
      <w:r w:rsidR="00683839">
        <w:rPr>
          <w:rFonts w:ascii="Times New Roman" w:hAnsi="Times New Roman" w:cs="Times New Roman"/>
          <w:color w:val="000000" w:themeColor="text1"/>
          <w:sz w:val="24"/>
          <w:szCs w:val="24"/>
        </w:rPr>
        <w:t xml:space="preserve"> (kg/seed)</w:t>
      </w:r>
      <w:r w:rsidRPr="0032290F">
        <w:rPr>
          <w:rFonts w:ascii="Times New Roman" w:hAnsi="Times New Roman" w:cs="Times New Roman"/>
          <w:color w:val="000000" w:themeColor="text1"/>
          <w:sz w:val="24"/>
          <w:szCs w:val="24"/>
        </w:rPr>
        <w:t xml:space="preserve">, </w:t>
      </w:r>
      <w:r w:rsidR="00683839">
        <w:rPr>
          <w:rFonts w:ascii="Times New Roman" w:hAnsi="Times New Roman" w:cs="Times New Roman"/>
          <w:color w:val="000000" w:themeColor="text1"/>
          <w:sz w:val="24"/>
          <w:szCs w:val="24"/>
        </w:rPr>
        <w:t>protein content (%)</w:t>
      </w:r>
      <w:r w:rsidRPr="0032290F">
        <w:rPr>
          <w:rFonts w:ascii="Times New Roman" w:hAnsi="Times New Roman" w:cs="Times New Roman"/>
          <w:color w:val="000000" w:themeColor="text1"/>
          <w:sz w:val="24"/>
          <w:szCs w:val="24"/>
        </w:rPr>
        <w:t xml:space="preserve">, </w:t>
      </w:r>
      <w:r w:rsidR="00683839">
        <w:rPr>
          <w:rFonts w:ascii="Times New Roman" w:hAnsi="Times New Roman" w:cs="Times New Roman"/>
          <w:color w:val="000000" w:themeColor="text1"/>
          <w:sz w:val="24"/>
          <w:szCs w:val="24"/>
        </w:rPr>
        <w:t>1000 grain weight (g),</w:t>
      </w:r>
      <w:r w:rsidR="004B44CA" w:rsidRPr="004B44CA">
        <w:rPr>
          <w:rFonts w:ascii="Times New Roman" w:hAnsi="Times New Roman" w:cs="Times New Roman"/>
          <w:color w:val="000000" w:themeColor="text1"/>
          <w:sz w:val="24"/>
          <w:szCs w:val="24"/>
        </w:rPr>
        <w:t xml:space="preserve"> </w:t>
      </w:r>
      <w:r w:rsidR="004B44CA" w:rsidRPr="0032290F">
        <w:rPr>
          <w:rFonts w:ascii="Times New Roman" w:hAnsi="Times New Roman" w:cs="Times New Roman"/>
          <w:color w:val="000000" w:themeColor="text1"/>
          <w:sz w:val="24"/>
          <w:szCs w:val="24"/>
        </w:rPr>
        <w:t>biological yield</w:t>
      </w:r>
      <w:r w:rsidR="00683839">
        <w:rPr>
          <w:rFonts w:ascii="Times New Roman" w:hAnsi="Times New Roman" w:cs="Times New Roman"/>
          <w:color w:val="000000" w:themeColor="text1"/>
          <w:sz w:val="24"/>
          <w:szCs w:val="24"/>
        </w:rPr>
        <w:t>(g)</w:t>
      </w:r>
      <w:r w:rsidR="004B44CA" w:rsidRPr="0032290F">
        <w:rPr>
          <w:rFonts w:ascii="Times New Roman" w:hAnsi="Times New Roman" w:cs="Times New Roman"/>
          <w:color w:val="000000" w:themeColor="text1"/>
          <w:sz w:val="24"/>
          <w:szCs w:val="24"/>
        </w:rPr>
        <w:t>,</w:t>
      </w:r>
      <w:r w:rsidRPr="0032290F">
        <w:rPr>
          <w:rFonts w:ascii="Times New Roman" w:hAnsi="Times New Roman" w:cs="Times New Roman"/>
          <w:color w:val="000000" w:themeColor="text1"/>
          <w:sz w:val="24"/>
          <w:szCs w:val="24"/>
        </w:rPr>
        <w:t xml:space="preserve"> </w:t>
      </w:r>
      <w:r w:rsidR="004B44CA" w:rsidRPr="0032290F">
        <w:rPr>
          <w:rFonts w:ascii="Times New Roman" w:hAnsi="Times New Roman" w:cs="Times New Roman"/>
          <w:color w:val="000000" w:themeColor="text1"/>
          <w:sz w:val="24"/>
          <w:szCs w:val="24"/>
        </w:rPr>
        <w:t>harvest index</w:t>
      </w:r>
      <w:r w:rsidR="004B44CA">
        <w:rPr>
          <w:rFonts w:ascii="Times New Roman" w:hAnsi="Times New Roman" w:cs="Times New Roman"/>
          <w:color w:val="000000" w:themeColor="text1"/>
          <w:sz w:val="24"/>
          <w:szCs w:val="24"/>
        </w:rPr>
        <w:t xml:space="preserve"> </w:t>
      </w:r>
      <w:r w:rsidR="00683839">
        <w:rPr>
          <w:rFonts w:ascii="Times New Roman" w:hAnsi="Times New Roman" w:cs="Times New Roman"/>
          <w:color w:val="000000" w:themeColor="text1"/>
          <w:sz w:val="24"/>
          <w:szCs w:val="24"/>
        </w:rPr>
        <w:t xml:space="preserve">(%) </w:t>
      </w:r>
      <w:r w:rsidRPr="0032290F">
        <w:rPr>
          <w:rFonts w:ascii="Times New Roman" w:hAnsi="Times New Roman" w:cs="Times New Roman"/>
          <w:color w:val="000000" w:themeColor="text1"/>
          <w:sz w:val="24"/>
          <w:szCs w:val="24"/>
        </w:rPr>
        <w:t xml:space="preserve">and </w:t>
      </w:r>
      <w:r w:rsidR="00683839" w:rsidRPr="0032290F">
        <w:rPr>
          <w:rFonts w:ascii="Times New Roman" w:hAnsi="Times New Roman" w:cs="Times New Roman"/>
          <w:color w:val="000000" w:themeColor="text1"/>
          <w:sz w:val="24"/>
          <w:szCs w:val="24"/>
        </w:rPr>
        <w:t>seed yield per plant</w:t>
      </w:r>
      <w:r w:rsidR="00683839">
        <w:rPr>
          <w:rFonts w:ascii="Times New Roman" w:hAnsi="Times New Roman" w:cs="Times New Roman"/>
          <w:color w:val="000000" w:themeColor="text1"/>
          <w:sz w:val="24"/>
          <w:szCs w:val="24"/>
        </w:rPr>
        <w:t xml:space="preserve"> (g)</w:t>
      </w:r>
      <w:r w:rsidR="004B44CA">
        <w:rPr>
          <w:rFonts w:ascii="Times New Roman" w:hAnsi="Times New Roman" w:cs="Times New Roman"/>
          <w:color w:val="000000" w:themeColor="text1"/>
          <w:sz w:val="24"/>
          <w:szCs w:val="24"/>
        </w:rPr>
        <w:t>.</w:t>
      </w:r>
    </w:p>
    <w:p w14:paraId="3B598EFC" w14:textId="77777777" w:rsidR="005D280F" w:rsidRPr="00307991" w:rsidRDefault="00273DE4" w:rsidP="00E2217E">
      <w:pPr>
        <w:spacing w:line="360" w:lineRule="auto"/>
        <w:jc w:val="both"/>
        <w:rPr>
          <w:rFonts w:ascii="Times New Roman" w:hAnsi="Times New Roman" w:cs="Times New Roman"/>
          <w:b/>
          <w:bCs/>
          <w:color w:val="000000" w:themeColor="text1"/>
          <w:sz w:val="24"/>
          <w:szCs w:val="24"/>
        </w:rPr>
      </w:pPr>
      <w:r w:rsidRPr="00307991">
        <w:rPr>
          <w:rFonts w:ascii="Times New Roman" w:hAnsi="Times New Roman" w:cs="Times New Roman"/>
          <w:b/>
          <w:bCs/>
          <w:color w:val="000000" w:themeColor="text1"/>
          <w:sz w:val="24"/>
          <w:szCs w:val="24"/>
        </w:rPr>
        <w:t>Heritability Estimation:</w:t>
      </w:r>
    </w:p>
    <w:p w14:paraId="75CF2BE4" w14:textId="00A16051" w:rsidR="005D280F" w:rsidRPr="004B44CA" w:rsidRDefault="00273DE4" w:rsidP="00E2217E">
      <w:pPr>
        <w:spacing w:line="360" w:lineRule="auto"/>
        <w:jc w:val="both"/>
        <w:rPr>
          <w:rFonts w:ascii="Times New Roman" w:hAnsi="Times New Roman" w:cs="Times New Roman"/>
          <w:b/>
          <w:bCs/>
          <w:color w:val="000000" w:themeColor="text1"/>
          <w:sz w:val="24"/>
          <w:szCs w:val="24"/>
        </w:rPr>
      </w:pPr>
      <w:r w:rsidRPr="0032290F">
        <w:rPr>
          <w:rFonts w:ascii="Times New Roman" w:hAnsi="Times New Roman" w:cs="Times New Roman"/>
          <w:color w:val="000000" w:themeColor="text1"/>
          <w:sz w:val="24"/>
          <w:szCs w:val="24"/>
        </w:rPr>
        <w:t xml:space="preserve">1. Narrow-sense heritability </w:t>
      </w:r>
      <w:r w:rsidR="00AC074E" w:rsidRPr="0032290F">
        <w:rPr>
          <w:rFonts w:ascii="Times New Roman" w:hAnsi="Times New Roman" w:cs="Times New Roman"/>
          <w:color w:val="000000" w:themeColor="text1"/>
          <w:sz w:val="24"/>
          <w:szCs w:val="24"/>
        </w:rPr>
        <w:t xml:space="preserve">(h²ₙ) </w:t>
      </w:r>
      <w:r w:rsidRPr="0032290F">
        <w:rPr>
          <w:rFonts w:ascii="Times New Roman" w:hAnsi="Times New Roman" w:cs="Times New Roman"/>
          <w:color w:val="000000" w:themeColor="text1"/>
          <w:sz w:val="24"/>
          <w:szCs w:val="24"/>
        </w:rPr>
        <w:t>in F₁</w:t>
      </w:r>
      <w:r w:rsidR="00AC074E">
        <w:rPr>
          <w:rFonts w:ascii="Times New Roman" w:hAnsi="Times New Roman" w:cs="Times New Roman"/>
          <w:color w:val="000000" w:themeColor="text1"/>
          <w:sz w:val="24"/>
          <w:szCs w:val="24"/>
        </w:rPr>
        <w:t xml:space="preserve"> and F</w:t>
      </w:r>
      <w:r w:rsidR="00AC074E">
        <w:rPr>
          <w:rFonts w:ascii="Times New Roman" w:hAnsi="Times New Roman" w:cs="Times New Roman"/>
          <w:color w:val="000000" w:themeColor="text1"/>
          <w:sz w:val="24"/>
          <w:szCs w:val="24"/>
          <w:vertAlign w:val="subscript"/>
        </w:rPr>
        <w:t>2</w:t>
      </w:r>
      <w:r w:rsidRPr="0032290F">
        <w:rPr>
          <w:rFonts w:ascii="Times New Roman" w:hAnsi="Times New Roman" w:cs="Times New Roman"/>
          <w:color w:val="000000" w:themeColor="text1"/>
          <w:sz w:val="24"/>
          <w:szCs w:val="24"/>
        </w:rPr>
        <w:t xml:space="preserve"> was calculated according to </w:t>
      </w:r>
      <w:r w:rsidRPr="004B44CA">
        <w:rPr>
          <w:rFonts w:ascii="Times New Roman" w:hAnsi="Times New Roman" w:cs="Times New Roman"/>
          <w:b/>
          <w:bCs/>
          <w:color w:val="000000" w:themeColor="text1"/>
          <w:sz w:val="24"/>
          <w:szCs w:val="24"/>
        </w:rPr>
        <w:t>Kempthorne &amp; Curnow (1961):</w:t>
      </w:r>
    </w:p>
    <w:p w14:paraId="00CF9FB1" w14:textId="0C6AC6CF" w:rsidR="005D280F" w:rsidRPr="0032290F" w:rsidRDefault="00273DE4" w:rsidP="00E2217E">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h²ₙ = [2σ²g / (2σ²g + 2σ²s + 2σ²e)] × 100</w:t>
      </w:r>
    </w:p>
    <w:p w14:paraId="181CE86C" w14:textId="683BECCD" w:rsidR="005D280F" w:rsidRPr="00307991" w:rsidRDefault="00273DE4" w:rsidP="00E2217E">
      <w:pPr>
        <w:spacing w:line="360" w:lineRule="auto"/>
        <w:jc w:val="both"/>
        <w:rPr>
          <w:rFonts w:ascii="Times New Roman" w:hAnsi="Times New Roman" w:cs="Times New Roman"/>
          <w:b/>
          <w:bCs/>
          <w:color w:val="000000" w:themeColor="text1"/>
          <w:sz w:val="24"/>
          <w:szCs w:val="24"/>
        </w:rPr>
      </w:pPr>
      <w:r w:rsidRPr="00307991">
        <w:rPr>
          <w:rFonts w:ascii="Times New Roman" w:hAnsi="Times New Roman" w:cs="Times New Roman"/>
          <w:b/>
          <w:bCs/>
          <w:color w:val="000000" w:themeColor="text1"/>
          <w:sz w:val="24"/>
          <w:szCs w:val="24"/>
        </w:rPr>
        <w:t xml:space="preserve">Classification of heritability (Robinson </w:t>
      </w:r>
      <w:r w:rsidR="006870FC" w:rsidRPr="006870FC">
        <w:rPr>
          <w:rFonts w:ascii="Times New Roman" w:hAnsi="Times New Roman" w:cs="Times New Roman"/>
          <w:b/>
          <w:bCs/>
          <w:i/>
          <w:iCs/>
          <w:color w:val="000000" w:themeColor="text1"/>
          <w:sz w:val="24"/>
          <w:szCs w:val="24"/>
        </w:rPr>
        <w:t>et al</w:t>
      </w:r>
      <w:r w:rsidRPr="00307991">
        <w:rPr>
          <w:rFonts w:ascii="Times New Roman" w:hAnsi="Times New Roman" w:cs="Times New Roman"/>
          <w:b/>
          <w:bCs/>
          <w:color w:val="000000" w:themeColor="text1"/>
          <w:sz w:val="24"/>
          <w:szCs w:val="24"/>
        </w:rPr>
        <w:t>., 1966):</w:t>
      </w:r>
    </w:p>
    <w:p w14:paraId="1D9C493D" w14:textId="065DBCAE" w:rsidR="005D280F" w:rsidRPr="0032290F" w:rsidRDefault="00273DE4" w:rsidP="00E2217E">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High: &gt;30</w:t>
      </w:r>
      <w:proofErr w:type="gramStart"/>
      <w:r w:rsidRPr="0032290F">
        <w:rPr>
          <w:rFonts w:ascii="Times New Roman" w:hAnsi="Times New Roman" w:cs="Times New Roman"/>
          <w:color w:val="000000" w:themeColor="text1"/>
          <w:sz w:val="24"/>
          <w:szCs w:val="24"/>
        </w:rPr>
        <w:t>% ;</w:t>
      </w:r>
      <w:proofErr w:type="gramEnd"/>
      <w:r w:rsidRPr="0032290F">
        <w:rPr>
          <w:rFonts w:ascii="Times New Roman" w:hAnsi="Times New Roman" w:cs="Times New Roman"/>
          <w:color w:val="000000" w:themeColor="text1"/>
          <w:sz w:val="24"/>
          <w:szCs w:val="24"/>
        </w:rPr>
        <w:t xml:space="preserve"> Moderate: 10–30% ; Low: &lt;10%</w:t>
      </w:r>
    </w:p>
    <w:p w14:paraId="0FB265C8" w14:textId="77777777" w:rsidR="005D280F" w:rsidRPr="00307991" w:rsidRDefault="00273DE4" w:rsidP="00E2217E">
      <w:pPr>
        <w:spacing w:line="360" w:lineRule="auto"/>
        <w:jc w:val="both"/>
        <w:rPr>
          <w:rFonts w:ascii="Times New Roman" w:hAnsi="Times New Roman" w:cs="Times New Roman"/>
          <w:b/>
          <w:bCs/>
          <w:color w:val="000000" w:themeColor="text1"/>
          <w:sz w:val="24"/>
          <w:szCs w:val="24"/>
        </w:rPr>
      </w:pPr>
      <w:r w:rsidRPr="00307991">
        <w:rPr>
          <w:rFonts w:ascii="Times New Roman" w:hAnsi="Times New Roman" w:cs="Times New Roman"/>
          <w:b/>
          <w:bCs/>
          <w:color w:val="000000" w:themeColor="text1"/>
          <w:sz w:val="24"/>
          <w:szCs w:val="24"/>
        </w:rPr>
        <w:t>Genetic Advance:</w:t>
      </w:r>
    </w:p>
    <w:p w14:paraId="49F75B1C" w14:textId="1F4AA667" w:rsidR="005D280F" w:rsidRPr="004B44CA" w:rsidRDefault="00273DE4" w:rsidP="00E2217E">
      <w:pPr>
        <w:spacing w:line="360" w:lineRule="auto"/>
        <w:jc w:val="both"/>
        <w:rPr>
          <w:rFonts w:ascii="Times New Roman" w:hAnsi="Times New Roman" w:cs="Times New Roman"/>
          <w:b/>
          <w:bCs/>
          <w:color w:val="000000" w:themeColor="text1"/>
          <w:sz w:val="24"/>
          <w:szCs w:val="24"/>
        </w:rPr>
      </w:pPr>
      <w:r w:rsidRPr="0032290F">
        <w:rPr>
          <w:rFonts w:ascii="Times New Roman" w:hAnsi="Times New Roman" w:cs="Times New Roman"/>
          <w:color w:val="000000" w:themeColor="text1"/>
          <w:sz w:val="24"/>
          <w:szCs w:val="24"/>
        </w:rPr>
        <w:t xml:space="preserve">Calculated using </w:t>
      </w:r>
      <w:r w:rsidRPr="004B44CA">
        <w:rPr>
          <w:rFonts w:ascii="Times New Roman" w:hAnsi="Times New Roman" w:cs="Times New Roman"/>
          <w:b/>
          <w:bCs/>
          <w:color w:val="000000" w:themeColor="text1"/>
          <w:sz w:val="24"/>
          <w:szCs w:val="24"/>
        </w:rPr>
        <w:t xml:space="preserve">Robinson </w:t>
      </w:r>
      <w:r w:rsidR="006870FC" w:rsidRPr="006870FC">
        <w:rPr>
          <w:rFonts w:ascii="Times New Roman" w:hAnsi="Times New Roman" w:cs="Times New Roman"/>
          <w:b/>
          <w:bCs/>
          <w:i/>
          <w:iCs/>
          <w:color w:val="000000" w:themeColor="text1"/>
          <w:sz w:val="24"/>
          <w:szCs w:val="24"/>
        </w:rPr>
        <w:t>et al</w:t>
      </w:r>
      <w:r w:rsidRPr="004B44CA">
        <w:rPr>
          <w:rFonts w:ascii="Times New Roman" w:hAnsi="Times New Roman" w:cs="Times New Roman"/>
          <w:b/>
          <w:bCs/>
          <w:i/>
          <w:iCs/>
          <w:color w:val="000000" w:themeColor="text1"/>
          <w:sz w:val="24"/>
          <w:szCs w:val="24"/>
        </w:rPr>
        <w:t>.</w:t>
      </w:r>
      <w:r w:rsidRPr="004B44CA">
        <w:rPr>
          <w:rFonts w:ascii="Times New Roman" w:hAnsi="Times New Roman" w:cs="Times New Roman"/>
          <w:b/>
          <w:bCs/>
          <w:color w:val="000000" w:themeColor="text1"/>
          <w:sz w:val="24"/>
          <w:szCs w:val="24"/>
        </w:rPr>
        <w:t xml:space="preserve"> (1949):</w:t>
      </w:r>
    </w:p>
    <w:p w14:paraId="316F1684" w14:textId="77777777" w:rsidR="005D280F" w:rsidRPr="0032290F" w:rsidRDefault="00273DE4" w:rsidP="00E2217E">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 xml:space="preserve">GA = k × h² × </w:t>
      </w:r>
      <w:proofErr w:type="spellStart"/>
      <w:r w:rsidRPr="0032290F">
        <w:rPr>
          <w:rFonts w:ascii="Times New Roman" w:hAnsi="Times New Roman" w:cs="Times New Roman"/>
          <w:color w:val="000000" w:themeColor="text1"/>
          <w:sz w:val="24"/>
          <w:szCs w:val="24"/>
        </w:rPr>
        <w:t>σph</w:t>
      </w:r>
      <w:proofErr w:type="spellEnd"/>
    </w:p>
    <w:p w14:paraId="0DBF9B86" w14:textId="77777777" w:rsidR="005D280F" w:rsidRPr="0032290F" w:rsidRDefault="00273DE4" w:rsidP="00E2217E">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GA(%) = (GA / x̄) × 100</w:t>
      </w:r>
    </w:p>
    <w:p w14:paraId="3C094E7E" w14:textId="4BFA52DC" w:rsidR="005D280F" w:rsidRPr="0032290F" w:rsidRDefault="00273DE4" w:rsidP="00E2217E">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lastRenderedPageBreak/>
        <w:t>Where k = 2.06 at 5% selection intensity.</w:t>
      </w:r>
    </w:p>
    <w:p w14:paraId="4C151702" w14:textId="77777777" w:rsidR="005D280F" w:rsidRPr="00307991" w:rsidRDefault="00273DE4" w:rsidP="00E2217E">
      <w:pPr>
        <w:spacing w:line="360" w:lineRule="auto"/>
        <w:jc w:val="both"/>
        <w:rPr>
          <w:rFonts w:ascii="Times New Roman" w:hAnsi="Times New Roman" w:cs="Times New Roman"/>
          <w:b/>
          <w:bCs/>
          <w:color w:val="000000" w:themeColor="text1"/>
          <w:sz w:val="24"/>
          <w:szCs w:val="24"/>
        </w:rPr>
      </w:pPr>
      <w:r w:rsidRPr="00307991">
        <w:rPr>
          <w:rFonts w:ascii="Times New Roman" w:hAnsi="Times New Roman" w:cs="Times New Roman"/>
          <w:b/>
          <w:bCs/>
          <w:color w:val="000000" w:themeColor="text1"/>
          <w:sz w:val="24"/>
          <w:szCs w:val="24"/>
        </w:rPr>
        <w:t>Classification:</w:t>
      </w:r>
    </w:p>
    <w:p w14:paraId="60207C65" w14:textId="77777777" w:rsidR="005D280F" w:rsidRDefault="00273DE4" w:rsidP="00E2217E">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High: &gt;20% ; Moderate: 10–20% ; Low: &lt;10%</w:t>
      </w:r>
    </w:p>
    <w:p w14:paraId="3FE36C3B" w14:textId="77777777" w:rsidR="00BE22BF" w:rsidRDefault="00BE22BF" w:rsidP="00E2217E">
      <w:pPr>
        <w:pStyle w:val="Heading1"/>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lastRenderedPageBreak/>
        <w:t>RESULTS AND DISCUSSION</w:t>
      </w:r>
    </w:p>
    <w:p w14:paraId="06415D30" w14:textId="4A82BFAB" w:rsidR="00DE713F" w:rsidRPr="00DE713F" w:rsidRDefault="00DE713F" w:rsidP="00E2217E">
      <w:pPr>
        <w:pStyle w:val="Heading1"/>
        <w:spacing w:line="360" w:lineRule="auto"/>
        <w:jc w:val="both"/>
        <w:rPr>
          <w:rFonts w:ascii="Times New Roman" w:eastAsiaTheme="minorEastAsia" w:hAnsi="Times New Roman" w:cs="Times New Roman"/>
          <w:b w:val="0"/>
          <w:bCs w:val="0"/>
          <w:color w:val="auto"/>
          <w:sz w:val="24"/>
          <w:szCs w:val="24"/>
        </w:rPr>
      </w:pPr>
      <w:r w:rsidRPr="00DE713F">
        <w:rPr>
          <w:rFonts w:ascii="Times New Roman" w:eastAsiaTheme="minorEastAsia" w:hAnsi="Times New Roman" w:cs="Times New Roman"/>
          <w:b w:val="0"/>
          <w:bCs w:val="0"/>
          <w:color w:val="auto"/>
          <w:sz w:val="24"/>
          <w:szCs w:val="24"/>
        </w:rPr>
        <w:t xml:space="preserve">The heritability estimates obtained in this study varied considerably across the thirteen evaluated traits in both the F₁ and F₂ generations, highlighting differences in the relative contributions of genetic and environmental factors to phenotypic performance. In the F₁ generation, high heritability (&gt;30%) was recorded only for biological yield per plant (32.50%), indicating strong additive genetic control and suggesting that substantial improvement can be achieved through selection. These observations are in line with earlier reports in wheat by </w:t>
      </w:r>
      <w:r w:rsidRPr="00DE713F">
        <w:rPr>
          <w:rFonts w:ascii="Times New Roman" w:eastAsiaTheme="minorEastAsia" w:hAnsi="Times New Roman" w:cs="Times New Roman"/>
          <w:color w:val="auto"/>
          <w:sz w:val="24"/>
          <w:szCs w:val="24"/>
        </w:rPr>
        <w:t xml:space="preserve">Saini </w:t>
      </w:r>
      <w:r w:rsidRPr="00DE713F">
        <w:rPr>
          <w:rFonts w:ascii="Times New Roman" w:eastAsiaTheme="minorEastAsia" w:hAnsi="Times New Roman" w:cs="Times New Roman"/>
          <w:i/>
          <w:iCs/>
          <w:color w:val="auto"/>
          <w:sz w:val="24"/>
          <w:szCs w:val="24"/>
        </w:rPr>
        <w:t>et al.</w:t>
      </w:r>
      <w:r w:rsidRPr="00DE713F">
        <w:rPr>
          <w:rFonts w:ascii="Times New Roman" w:eastAsiaTheme="minorEastAsia" w:hAnsi="Times New Roman" w:cs="Times New Roman"/>
          <w:color w:val="auto"/>
          <w:sz w:val="24"/>
          <w:szCs w:val="24"/>
        </w:rPr>
        <w:t xml:space="preserve"> (2025) and Ubale </w:t>
      </w:r>
      <w:r w:rsidRPr="00DE713F">
        <w:rPr>
          <w:rFonts w:ascii="Times New Roman" w:eastAsiaTheme="minorEastAsia" w:hAnsi="Times New Roman" w:cs="Times New Roman"/>
          <w:i/>
          <w:iCs/>
          <w:color w:val="auto"/>
          <w:sz w:val="24"/>
          <w:szCs w:val="24"/>
        </w:rPr>
        <w:t>et al</w:t>
      </w:r>
      <w:r w:rsidRPr="00DE713F">
        <w:rPr>
          <w:rFonts w:ascii="Times New Roman" w:eastAsiaTheme="minorEastAsia" w:hAnsi="Times New Roman" w:cs="Times New Roman"/>
          <w:color w:val="auto"/>
          <w:sz w:val="24"/>
          <w:szCs w:val="24"/>
        </w:rPr>
        <w:t>. (2025).</w:t>
      </w:r>
      <w:r w:rsidRPr="00DE713F">
        <w:rPr>
          <w:rFonts w:ascii="Times New Roman" w:eastAsiaTheme="minorEastAsia" w:hAnsi="Times New Roman" w:cs="Times New Roman"/>
          <w:b w:val="0"/>
          <w:bCs w:val="0"/>
          <w:color w:val="auto"/>
          <w:sz w:val="24"/>
          <w:szCs w:val="24"/>
        </w:rPr>
        <w:t xml:space="preserve"> Most other traits in F₁ exhibited moderate heritability (10–30%), including days to 75% heading, days to maturity, plant height, harvest index, and grain yield per plant. Such intermediate levels of heritability point to the involvement of both additive and non-additive gene effects, consistent with the findings of </w:t>
      </w:r>
      <w:r w:rsidRPr="00DE713F">
        <w:rPr>
          <w:rFonts w:ascii="Times New Roman" w:eastAsiaTheme="minorEastAsia" w:hAnsi="Times New Roman" w:cs="Times New Roman"/>
          <w:color w:val="auto"/>
          <w:sz w:val="24"/>
          <w:szCs w:val="24"/>
        </w:rPr>
        <w:t xml:space="preserve">Singh </w:t>
      </w:r>
      <w:r w:rsidRPr="00DE713F">
        <w:rPr>
          <w:rFonts w:ascii="Times New Roman" w:eastAsiaTheme="minorEastAsia" w:hAnsi="Times New Roman" w:cs="Times New Roman"/>
          <w:i/>
          <w:iCs/>
          <w:color w:val="auto"/>
          <w:sz w:val="24"/>
          <w:szCs w:val="24"/>
        </w:rPr>
        <w:t>et al.</w:t>
      </w:r>
      <w:r w:rsidRPr="00DE713F">
        <w:rPr>
          <w:rFonts w:ascii="Times New Roman" w:eastAsiaTheme="minorEastAsia" w:hAnsi="Times New Roman" w:cs="Times New Roman"/>
          <w:color w:val="auto"/>
          <w:sz w:val="24"/>
          <w:szCs w:val="24"/>
        </w:rPr>
        <w:t xml:space="preserve"> (2025).</w:t>
      </w:r>
      <w:r w:rsidRPr="00DE713F">
        <w:rPr>
          <w:rFonts w:ascii="Times New Roman" w:eastAsiaTheme="minorEastAsia" w:hAnsi="Times New Roman" w:cs="Times New Roman"/>
          <w:b w:val="0"/>
          <w:bCs w:val="0"/>
          <w:color w:val="auto"/>
          <w:sz w:val="24"/>
          <w:szCs w:val="24"/>
        </w:rPr>
        <w:t xml:space="preserve"> </w:t>
      </w:r>
      <w:r w:rsidR="00723484">
        <w:rPr>
          <w:rFonts w:ascii="Times New Roman" w:eastAsiaTheme="minorEastAsia" w:hAnsi="Times New Roman" w:cs="Times New Roman"/>
          <w:b w:val="0"/>
          <w:bCs w:val="0"/>
          <w:color w:val="auto"/>
          <w:sz w:val="24"/>
          <w:szCs w:val="24"/>
        </w:rPr>
        <w:t>“</w:t>
      </w:r>
      <w:r w:rsidRPr="00DE713F">
        <w:rPr>
          <w:rFonts w:ascii="Times New Roman" w:eastAsiaTheme="minorEastAsia" w:hAnsi="Times New Roman" w:cs="Times New Roman"/>
          <w:b w:val="0"/>
          <w:bCs w:val="0"/>
          <w:color w:val="auto"/>
          <w:sz w:val="24"/>
          <w:szCs w:val="24"/>
        </w:rPr>
        <w:t xml:space="preserve">Traits such as number of productive tillers per plant, spike length, number of spikelets per spike, number of grains per spike, 1000-grain weight, protein content, and seed hardness displayed low heritability (&lt;10%), suggesting strong environmental influence and limited prospects for early-generation selection. These outcomes support the observations of </w:t>
      </w:r>
      <w:r w:rsidRPr="00DE713F">
        <w:rPr>
          <w:rFonts w:ascii="Times New Roman" w:eastAsiaTheme="minorEastAsia" w:hAnsi="Times New Roman" w:cs="Times New Roman"/>
          <w:color w:val="auto"/>
          <w:sz w:val="24"/>
          <w:szCs w:val="24"/>
        </w:rPr>
        <w:t xml:space="preserve">Bishwas </w:t>
      </w:r>
      <w:r w:rsidRPr="00DE713F">
        <w:rPr>
          <w:rFonts w:ascii="Times New Roman" w:eastAsiaTheme="minorEastAsia" w:hAnsi="Times New Roman" w:cs="Times New Roman"/>
          <w:i/>
          <w:iCs/>
          <w:color w:val="auto"/>
          <w:sz w:val="24"/>
          <w:szCs w:val="24"/>
        </w:rPr>
        <w:t>et al</w:t>
      </w:r>
      <w:r w:rsidRPr="00DE713F">
        <w:rPr>
          <w:rFonts w:ascii="Times New Roman" w:eastAsiaTheme="minorEastAsia" w:hAnsi="Times New Roman" w:cs="Times New Roman"/>
          <w:color w:val="auto"/>
          <w:sz w:val="24"/>
          <w:szCs w:val="24"/>
        </w:rPr>
        <w:t>. (2024),</w:t>
      </w:r>
      <w:r w:rsidRPr="00DE713F">
        <w:rPr>
          <w:rFonts w:ascii="Times New Roman" w:eastAsiaTheme="minorEastAsia" w:hAnsi="Times New Roman" w:cs="Times New Roman"/>
          <w:b w:val="0"/>
          <w:bCs w:val="0"/>
          <w:color w:val="auto"/>
          <w:sz w:val="24"/>
          <w:szCs w:val="24"/>
        </w:rPr>
        <w:t xml:space="preserve"> who emphasized the substantial impact of environmental variability on reproductive and physiological traits in wheat</w:t>
      </w:r>
      <w:r w:rsidR="00723484">
        <w:rPr>
          <w:rFonts w:ascii="Times New Roman" w:eastAsiaTheme="minorEastAsia" w:hAnsi="Times New Roman" w:cs="Times New Roman"/>
          <w:b w:val="0"/>
          <w:bCs w:val="0"/>
          <w:color w:val="auto"/>
          <w:sz w:val="24"/>
          <w:szCs w:val="24"/>
        </w:rPr>
        <w:t>”</w:t>
      </w:r>
      <w:r w:rsidRPr="00DE713F">
        <w:rPr>
          <w:rFonts w:ascii="Times New Roman" w:eastAsiaTheme="minorEastAsia" w:hAnsi="Times New Roman" w:cs="Times New Roman"/>
          <w:b w:val="0"/>
          <w:bCs w:val="0"/>
          <w:color w:val="auto"/>
          <w:sz w:val="24"/>
          <w:szCs w:val="24"/>
        </w:rPr>
        <w:t>.</w:t>
      </w:r>
    </w:p>
    <w:p w14:paraId="7581618E" w14:textId="5C901D1A" w:rsidR="00DE713F" w:rsidRPr="00DE713F" w:rsidRDefault="00DE713F" w:rsidP="00E2217E">
      <w:pPr>
        <w:pStyle w:val="Heading1"/>
        <w:spacing w:line="360" w:lineRule="auto"/>
        <w:jc w:val="both"/>
        <w:rPr>
          <w:rFonts w:ascii="Times New Roman" w:eastAsiaTheme="minorEastAsia" w:hAnsi="Times New Roman" w:cs="Times New Roman"/>
          <w:b w:val="0"/>
          <w:bCs w:val="0"/>
          <w:color w:val="auto"/>
          <w:sz w:val="24"/>
          <w:szCs w:val="24"/>
        </w:rPr>
      </w:pPr>
      <w:r w:rsidRPr="00DE713F">
        <w:rPr>
          <w:rFonts w:ascii="Times New Roman" w:eastAsiaTheme="minorEastAsia" w:hAnsi="Times New Roman" w:cs="Times New Roman"/>
          <w:b w:val="0"/>
          <w:bCs w:val="0"/>
          <w:color w:val="auto"/>
          <w:sz w:val="24"/>
          <w:szCs w:val="24"/>
        </w:rPr>
        <w:t>In the F₂ generation, biological yield per plant again showed high heritability (36.53%), reflecting even stronger genetic control under segregating conditions. Traits including days to maturity, plant height, spike length, and grain yield per plant exhibited moderate heritability, whereas the remaining traits showed low values. The overall reduction in heritability estimates in F₂ may be attributed to greater segregation, recombination, and environmental sensitivity</w:t>
      </w:r>
      <w:r w:rsidR="004C30B9">
        <w:rPr>
          <w:rFonts w:ascii="Times New Roman" w:eastAsiaTheme="minorEastAsia" w:hAnsi="Times New Roman" w:cs="Times New Roman"/>
          <w:b w:val="0"/>
          <w:bCs w:val="0"/>
          <w:color w:val="auto"/>
          <w:sz w:val="24"/>
          <w:szCs w:val="24"/>
        </w:rPr>
        <w:t xml:space="preserve"> - </w:t>
      </w:r>
      <w:r w:rsidRPr="00DE713F">
        <w:rPr>
          <w:rFonts w:ascii="Times New Roman" w:eastAsiaTheme="minorEastAsia" w:hAnsi="Times New Roman" w:cs="Times New Roman"/>
          <w:b w:val="0"/>
          <w:bCs w:val="0"/>
          <w:color w:val="auto"/>
          <w:sz w:val="24"/>
          <w:szCs w:val="24"/>
        </w:rPr>
        <w:t xml:space="preserve">patterns also described by </w:t>
      </w:r>
      <w:r w:rsidRPr="00DE713F">
        <w:rPr>
          <w:rFonts w:ascii="Times New Roman" w:eastAsiaTheme="minorEastAsia" w:hAnsi="Times New Roman" w:cs="Times New Roman"/>
          <w:color w:val="auto"/>
          <w:sz w:val="24"/>
          <w:szCs w:val="24"/>
        </w:rPr>
        <w:t xml:space="preserve">Kumar </w:t>
      </w:r>
      <w:r w:rsidRPr="00DE713F">
        <w:rPr>
          <w:rFonts w:ascii="Times New Roman" w:eastAsiaTheme="minorEastAsia" w:hAnsi="Times New Roman" w:cs="Times New Roman"/>
          <w:i/>
          <w:iCs/>
          <w:color w:val="auto"/>
          <w:sz w:val="24"/>
          <w:szCs w:val="24"/>
        </w:rPr>
        <w:t>et al</w:t>
      </w:r>
      <w:r w:rsidRPr="00DE713F">
        <w:rPr>
          <w:rFonts w:ascii="Times New Roman" w:eastAsiaTheme="minorEastAsia" w:hAnsi="Times New Roman" w:cs="Times New Roman"/>
          <w:color w:val="auto"/>
          <w:sz w:val="24"/>
          <w:szCs w:val="24"/>
        </w:rPr>
        <w:t>. (2024).</w:t>
      </w:r>
      <w:r w:rsidRPr="00DE713F">
        <w:rPr>
          <w:rFonts w:ascii="Times New Roman" w:eastAsiaTheme="minorEastAsia" w:hAnsi="Times New Roman" w:cs="Times New Roman"/>
          <w:b w:val="0"/>
          <w:bCs w:val="0"/>
          <w:color w:val="auto"/>
          <w:sz w:val="24"/>
          <w:szCs w:val="24"/>
        </w:rPr>
        <w:t xml:space="preserve"> These findings suggest that early segregating generations are more environmentally driven, and thus selection becomes more effective in later generations. The patterns of genetic advance as a </w:t>
      </w:r>
      <w:r w:rsidRPr="00E2217E">
        <w:rPr>
          <w:rFonts w:ascii="Times New Roman" w:eastAsiaTheme="minorEastAsia" w:hAnsi="Times New Roman" w:cs="Times New Roman"/>
          <w:b w:val="0"/>
          <w:bCs w:val="0"/>
          <w:color w:val="auto"/>
          <w:sz w:val="24"/>
          <w:szCs w:val="24"/>
          <w:highlight w:val="yellow"/>
        </w:rPr>
        <w:t xml:space="preserve">percentage of </w:t>
      </w:r>
      <w:r w:rsidR="00041E69" w:rsidRPr="00E2217E">
        <w:rPr>
          <w:rFonts w:ascii="Times New Roman" w:eastAsiaTheme="minorEastAsia" w:hAnsi="Times New Roman" w:cs="Times New Roman"/>
          <w:b w:val="0"/>
          <w:bCs w:val="0"/>
          <w:color w:val="auto"/>
          <w:sz w:val="24"/>
          <w:szCs w:val="24"/>
          <w:highlight w:val="yellow"/>
        </w:rPr>
        <w:t xml:space="preserve">the </w:t>
      </w:r>
      <w:r w:rsidRPr="00E2217E">
        <w:rPr>
          <w:rFonts w:ascii="Times New Roman" w:eastAsiaTheme="minorEastAsia" w:hAnsi="Times New Roman" w:cs="Times New Roman"/>
          <w:b w:val="0"/>
          <w:bCs w:val="0"/>
          <w:color w:val="auto"/>
          <w:sz w:val="24"/>
          <w:szCs w:val="24"/>
          <w:highlight w:val="yellow"/>
        </w:rPr>
        <w:t>mean further</w:t>
      </w:r>
      <w:r w:rsidRPr="00DE713F">
        <w:rPr>
          <w:rFonts w:ascii="Times New Roman" w:eastAsiaTheme="minorEastAsia" w:hAnsi="Times New Roman" w:cs="Times New Roman"/>
          <w:b w:val="0"/>
          <w:bCs w:val="0"/>
          <w:color w:val="auto"/>
          <w:sz w:val="24"/>
          <w:szCs w:val="24"/>
        </w:rPr>
        <w:t xml:space="preserve"> corroborated the heritability trends.</w:t>
      </w:r>
    </w:p>
    <w:p w14:paraId="5357FEBF" w14:textId="2BC6E461" w:rsidR="00DE713F" w:rsidRDefault="00DE713F" w:rsidP="00E2217E">
      <w:pPr>
        <w:pStyle w:val="Heading1"/>
        <w:spacing w:line="360" w:lineRule="auto"/>
        <w:jc w:val="both"/>
        <w:rPr>
          <w:rFonts w:ascii="Times New Roman" w:eastAsiaTheme="minorEastAsia" w:hAnsi="Times New Roman" w:cs="Times New Roman"/>
          <w:b w:val="0"/>
          <w:bCs w:val="0"/>
          <w:color w:val="auto"/>
          <w:sz w:val="24"/>
          <w:szCs w:val="24"/>
        </w:rPr>
      </w:pPr>
      <w:r w:rsidRPr="00DE713F">
        <w:rPr>
          <w:rFonts w:ascii="Times New Roman" w:eastAsiaTheme="minorEastAsia" w:hAnsi="Times New Roman" w:cs="Times New Roman"/>
          <w:b w:val="0"/>
          <w:bCs w:val="0"/>
          <w:color w:val="auto"/>
          <w:sz w:val="24"/>
          <w:szCs w:val="24"/>
        </w:rPr>
        <w:lastRenderedPageBreak/>
        <w:t xml:space="preserve">In the F₁ generation, GA% ranged from 5.11% to 35.69%. High GA% values were </w:t>
      </w:r>
      <w:r w:rsidRPr="00E2217E">
        <w:rPr>
          <w:rFonts w:ascii="Times New Roman" w:eastAsiaTheme="minorEastAsia" w:hAnsi="Times New Roman" w:cs="Times New Roman"/>
          <w:b w:val="0"/>
          <w:bCs w:val="0"/>
          <w:color w:val="auto"/>
          <w:sz w:val="24"/>
          <w:szCs w:val="24"/>
          <w:highlight w:val="yellow"/>
        </w:rPr>
        <w:t xml:space="preserve">recorded for </w:t>
      </w:r>
      <w:r w:rsidR="00041E69" w:rsidRPr="00E2217E">
        <w:rPr>
          <w:rFonts w:ascii="Times New Roman" w:eastAsiaTheme="minorEastAsia" w:hAnsi="Times New Roman" w:cs="Times New Roman"/>
          <w:b w:val="0"/>
          <w:bCs w:val="0"/>
          <w:color w:val="auto"/>
          <w:sz w:val="24"/>
          <w:szCs w:val="24"/>
          <w:highlight w:val="yellow"/>
        </w:rPr>
        <w:t xml:space="preserve">the </w:t>
      </w:r>
      <w:r w:rsidRPr="00E2217E">
        <w:rPr>
          <w:rFonts w:ascii="Times New Roman" w:eastAsiaTheme="minorEastAsia" w:hAnsi="Times New Roman" w:cs="Times New Roman"/>
          <w:b w:val="0"/>
          <w:bCs w:val="0"/>
          <w:color w:val="auto"/>
          <w:sz w:val="24"/>
          <w:szCs w:val="24"/>
          <w:highlight w:val="yellow"/>
        </w:rPr>
        <w:t>number</w:t>
      </w:r>
      <w:r w:rsidRPr="00DE713F">
        <w:rPr>
          <w:rFonts w:ascii="Times New Roman" w:eastAsiaTheme="minorEastAsia" w:hAnsi="Times New Roman" w:cs="Times New Roman"/>
          <w:b w:val="0"/>
          <w:bCs w:val="0"/>
          <w:color w:val="auto"/>
          <w:sz w:val="24"/>
          <w:szCs w:val="24"/>
        </w:rPr>
        <w:t xml:space="preserve"> of productive tillers per plant, biological yield per plant, and seed yield per plant, indicating predominance of additive genetic effects—consistent with conclusions by </w:t>
      </w:r>
      <w:proofErr w:type="spellStart"/>
      <w:r w:rsidRPr="00DE713F">
        <w:rPr>
          <w:rFonts w:ascii="Times New Roman" w:eastAsiaTheme="minorEastAsia" w:hAnsi="Times New Roman" w:cs="Times New Roman"/>
          <w:color w:val="auto"/>
          <w:sz w:val="24"/>
          <w:szCs w:val="24"/>
        </w:rPr>
        <w:t>Gautamc</w:t>
      </w:r>
      <w:proofErr w:type="spellEnd"/>
      <w:r w:rsidRPr="00DE713F">
        <w:rPr>
          <w:rFonts w:ascii="Times New Roman" w:eastAsiaTheme="minorEastAsia" w:hAnsi="Times New Roman" w:cs="Times New Roman"/>
          <w:color w:val="auto"/>
          <w:sz w:val="24"/>
          <w:szCs w:val="24"/>
        </w:rPr>
        <w:t xml:space="preserve"> </w:t>
      </w:r>
      <w:r w:rsidRPr="00DE713F">
        <w:rPr>
          <w:rFonts w:ascii="Times New Roman" w:eastAsiaTheme="minorEastAsia" w:hAnsi="Times New Roman" w:cs="Times New Roman"/>
          <w:i/>
          <w:iCs/>
          <w:color w:val="auto"/>
          <w:sz w:val="24"/>
          <w:szCs w:val="24"/>
        </w:rPr>
        <w:t>et al.</w:t>
      </w:r>
      <w:r w:rsidRPr="00DE713F">
        <w:rPr>
          <w:rFonts w:ascii="Times New Roman" w:eastAsiaTheme="minorEastAsia" w:hAnsi="Times New Roman" w:cs="Times New Roman"/>
          <w:color w:val="auto"/>
          <w:sz w:val="24"/>
          <w:szCs w:val="24"/>
        </w:rPr>
        <w:t xml:space="preserve"> (2024).</w:t>
      </w:r>
      <w:r w:rsidRPr="00DE713F">
        <w:rPr>
          <w:rFonts w:ascii="Times New Roman" w:eastAsiaTheme="minorEastAsia" w:hAnsi="Times New Roman" w:cs="Times New Roman"/>
          <w:b w:val="0"/>
          <w:bCs w:val="0"/>
          <w:color w:val="auto"/>
          <w:sz w:val="24"/>
          <w:szCs w:val="24"/>
        </w:rPr>
        <w:t xml:space="preserve"> Moderate genetic advance was observed for spike length, number of spikelets per spike, number of grains per spike, and 1000-grain weight, suggesting combined additive and non-additive gene action. Low GA% values for days to 75% heading, days to maturity, plant height, protein content, seed hardness, and harvest index are similar to the findings of </w:t>
      </w:r>
      <w:r w:rsidRPr="00DE713F">
        <w:rPr>
          <w:rFonts w:ascii="Times New Roman" w:eastAsiaTheme="minorEastAsia" w:hAnsi="Times New Roman" w:cs="Times New Roman"/>
          <w:color w:val="auto"/>
          <w:sz w:val="24"/>
          <w:szCs w:val="24"/>
        </w:rPr>
        <w:t xml:space="preserve">Thapa </w:t>
      </w:r>
      <w:r w:rsidRPr="00DE713F">
        <w:rPr>
          <w:rFonts w:ascii="Times New Roman" w:eastAsiaTheme="minorEastAsia" w:hAnsi="Times New Roman" w:cs="Times New Roman"/>
          <w:i/>
          <w:iCs/>
          <w:color w:val="auto"/>
          <w:sz w:val="24"/>
          <w:szCs w:val="24"/>
        </w:rPr>
        <w:t>et al.</w:t>
      </w:r>
      <w:r w:rsidRPr="00DE713F">
        <w:rPr>
          <w:rFonts w:ascii="Times New Roman" w:eastAsiaTheme="minorEastAsia" w:hAnsi="Times New Roman" w:cs="Times New Roman"/>
          <w:color w:val="auto"/>
          <w:sz w:val="24"/>
          <w:szCs w:val="24"/>
        </w:rPr>
        <w:t xml:space="preserve"> (2024).</w:t>
      </w:r>
      <w:r w:rsidRPr="00DE713F">
        <w:rPr>
          <w:rFonts w:ascii="Times New Roman" w:eastAsiaTheme="minorEastAsia" w:hAnsi="Times New Roman" w:cs="Times New Roman"/>
          <w:b w:val="0"/>
          <w:bCs w:val="0"/>
          <w:color w:val="auto"/>
          <w:sz w:val="24"/>
          <w:szCs w:val="24"/>
        </w:rPr>
        <w:t xml:space="preserve"> </w:t>
      </w:r>
      <w:r w:rsidR="00723484">
        <w:rPr>
          <w:rFonts w:ascii="Times New Roman" w:eastAsiaTheme="minorEastAsia" w:hAnsi="Times New Roman" w:cs="Times New Roman"/>
          <w:b w:val="0"/>
          <w:bCs w:val="0"/>
          <w:color w:val="auto"/>
          <w:sz w:val="24"/>
          <w:szCs w:val="24"/>
        </w:rPr>
        <w:t>“</w:t>
      </w:r>
      <w:r w:rsidRPr="00DE713F">
        <w:rPr>
          <w:rFonts w:ascii="Times New Roman" w:eastAsiaTheme="minorEastAsia" w:hAnsi="Times New Roman" w:cs="Times New Roman"/>
          <w:b w:val="0"/>
          <w:bCs w:val="0"/>
          <w:color w:val="auto"/>
          <w:sz w:val="24"/>
          <w:szCs w:val="24"/>
        </w:rPr>
        <w:t xml:space="preserve">In the F₂ generation, GA% ranged from 4.02% to 29.51%, again with high values </w:t>
      </w:r>
      <w:r w:rsidRPr="00E2217E">
        <w:rPr>
          <w:rFonts w:ascii="Times New Roman" w:eastAsiaTheme="minorEastAsia" w:hAnsi="Times New Roman" w:cs="Times New Roman"/>
          <w:b w:val="0"/>
          <w:bCs w:val="0"/>
          <w:color w:val="auto"/>
          <w:sz w:val="24"/>
          <w:szCs w:val="24"/>
          <w:highlight w:val="yellow"/>
        </w:rPr>
        <w:t xml:space="preserve">for </w:t>
      </w:r>
      <w:r w:rsidR="00041E69" w:rsidRPr="00E2217E">
        <w:rPr>
          <w:rFonts w:ascii="Times New Roman" w:eastAsiaTheme="minorEastAsia" w:hAnsi="Times New Roman" w:cs="Times New Roman"/>
          <w:b w:val="0"/>
          <w:bCs w:val="0"/>
          <w:color w:val="auto"/>
          <w:sz w:val="24"/>
          <w:szCs w:val="24"/>
          <w:highlight w:val="yellow"/>
        </w:rPr>
        <w:t xml:space="preserve">the </w:t>
      </w:r>
      <w:r w:rsidRPr="00E2217E">
        <w:rPr>
          <w:rFonts w:ascii="Times New Roman" w:eastAsiaTheme="minorEastAsia" w:hAnsi="Times New Roman" w:cs="Times New Roman"/>
          <w:b w:val="0"/>
          <w:bCs w:val="0"/>
          <w:color w:val="auto"/>
          <w:sz w:val="24"/>
          <w:szCs w:val="24"/>
          <w:highlight w:val="yellow"/>
        </w:rPr>
        <w:t>number of</w:t>
      </w:r>
      <w:r w:rsidRPr="00DE713F">
        <w:rPr>
          <w:rFonts w:ascii="Times New Roman" w:eastAsiaTheme="minorEastAsia" w:hAnsi="Times New Roman" w:cs="Times New Roman"/>
          <w:b w:val="0"/>
          <w:bCs w:val="0"/>
          <w:color w:val="auto"/>
          <w:sz w:val="24"/>
          <w:szCs w:val="24"/>
        </w:rPr>
        <w:t xml:space="preserve"> productive tillers per plant, biological yield per plant, and seed yield per plant—further supporting the predominance of additive gene action and the suitability of these traits for phenotypic selection in advanced generations</w:t>
      </w:r>
      <w:r w:rsidR="00723484">
        <w:rPr>
          <w:rFonts w:ascii="Times New Roman" w:eastAsiaTheme="minorEastAsia" w:hAnsi="Times New Roman" w:cs="Times New Roman"/>
          <w:b w:val="0"/>
          <w:bCs w:val="0"/>
          <w:color w:val="auto"/>
          <w:sz w:val="24"/>
          <w:szCs w:val="24"/>
        </w:rPr>
        <w:t>”</w:t>
      </w:r>
      <w:r w:rsidRPr="00DE713F">
        <w:rPr>
          <w:rFonts w:ascii="Times New Roman" w:eastAsiaTheme="minorEastAsia" w:hAnsi="Times New Roman" w:cs="Times New Roman"/>
          <w:b w:val="0"/>
          <w:bCs w:val="0"/>
          <w:color w:val="auto"/>
          <w:sz w:val="24"/>
          <w:szCs w:val="24"/>
        </w:rPr>
        <w:t xml:space="preserve">, as also noted by </w:t>
      </w:r>
      <w:r w:rsidRPr="00DE713F">
        <w:rPr>
          <w:rFonts w:ascii="Times New Roman" w:eastAsiaTheme="minorEastAsia" w:hAnsi="Times New Roman" w:cs="Times New Roman"/>
          <w:color w:val="auto"/>
          <w:sz w:val="24"/>
          <w:szCs w:val="24"/>
        </w:rPr>
        <w:t xml:space="preserve">Iqbal </w:t>
      </w:r>
      <w:r w:rsidRPr="00DE713F">
        <w:rPr>
          <w:rFonts w:ascii="Times New Roman" w:eastAsiaTheme="minorEastAsia" w:hAnsi="Times New Roman" w:cs="Times New Roman"/>
          <w:i/>
          <w:iCs/>
          <w:color w:val="auto"/>
          <w:sz w:val="24"/>
          <w:szCs w:val="24"/>
        </w:rPr>
        <w:t>et al.</w:t>
      </w:r>
      <w:r w:rsidRPr="00DE713F">
        <w:rPr>
          <w:rFonts w:ascii="Times New Roman" w:eastAsiaTheme="minorEastAsia" w:hAnsi="Times New Roman" w:cs="Times New Roman"/>
          <w:color w:val="auto"/>
          <w:sz w:val="24"/>
          <w:szCs w:val="24"/>
        </w:rPr>
        <w:t xml:space="preserve"> (2017).</w:t>
      </w:r>
      <w:r w:rsidRPr="00DE713F">
        <w:rPr>
          <w:rFonts w:ascii="Times New Roman" w:eastAsiaTheme="minorEastAsia" w:hAnsi="Times New Roman" w:cs="Times New Roman"/>
          <w:b w:val="0"/>
          <w:bCs w:val="0"/>
          <w:color w:val="auto"/>
          <w:sz w:val="24"/>
          <w:szCs w:val="24"/>
        </w:rPr>
        <w:t xml:space="preserve"> Traits such as spike length, number of spikelets per spike, and number of grains per spike showed moderate GA%, while low GA% for days to 75% heading, days to maturity, plant height, 1000-grain weight, protein content, seed hardness, and harvest index—combined with their low heritability</w:t>
      </w:r>
      <w:r w:rsidR="003815A3">
        <w:rPr>
          <w:rFonts w:ascii="Times New Roman" w:eastAsiaTheme="minorEastAsia" w:hAnsi="Times New Roman" w:cs="Times New Roman"/>
          <w:b w:val="0"/>
          <w:bCs w:val="0"/>
          <w:color w:val="auto"/>
          <w:sz w:val="24"/>
          <w:szCs w:val="24"/>
        </w:rPr>
        <w:t>-</w:t>
      </w:r>
      <w:r w:rsidR="00041E69" w:rsidRPr="00E2217E">
        <w:rPr>
          <w:rFonts w:ascii="Times New Roman" w:eastAsiaTheme="minorEastAsia" w:hAnsi="Times New Roman" w:cs="Times New Roman"/>
          <w:b w:val="0"/>
          <w:bCs w:val="0"/>
          <w:color w:val="auto"/>
          <w:sz w:val="24"/>
          <w:szCs w:val="24"/>
          <w:highlight w:val="yellow"/>
        </w:rPr>
        <w:t xml:space="preserve"> indicate </w:t>
      </w:r>
      <w:r w:rsidRPr="00E2217E">
        <w:rPr>
          <w:rFonts w:ascii="Times New Roman" w:eastAsiaTheme="minorEastAsia" w:hAnsi="Times New Roman" w:cs="Times New Roman"/>
          <w:b w:val="0"/>
          <w:bCs w:val="0"/>
          <w:color w:val="auto"/>
          <w:sz w:val="24"/>
          <w:szCs w:val="24"/>
          <w:highlight w:val="yellow"/>
        </w:rPr>
        <w:t>strong environmental influence and limited potential for direct selection. Similar conclusions</w:t>
      </w:r>
      <w:r w:rsidRPr="00DE713F">
        <w:rPr>
          <w:rFonts w:ascii="Times New Roman" w:eastAsiaTheme="minorEastAsia" w:hAnsi="Times New Roman" w:cs="Times New Roman"/>
          <w:b w:val="0"/>
          <w:bCs w:val="0"/>
          <w:color w:val="auto"/>
          <w:sz w:val="24"/>
          <w:szCs w:val="24"/>
        </w:rPr>
        <w:t xml:space="preserve"> were reported by </w:t>
      </w:r>
      <w:r w:rsidRPr="00DE713F">
        <w:rPr>
          <w:rFonts w:ascii="Times New Roman" w:eastAsiaTheme="minorEastAsia" w:hAnsi="Times New Roman" w:cs="Times New Roman"/>
          <w:color w:val="auto"/>
          <w:sz w:val="24"/>
          <w:szCs w:val="24"/>
        </w:rPr>
        <w:t xml:space="preserve">Kant </w:t>
      </w:r>
      <w:r w:rsidRPr="00DE713F">
        <w:rPr>
          <w:rFonts w:ascii="Times New Roman" w:eastAsiaTheme="minorEastAsia" w:hAnsi="Times New Roman" w:cs="Times New Roman"/>
          <w:i/>
          <w:iCs/>
          <w:color w:val="auto"/>
          <w:sz w:val="24"/>
          <w:szCs w:val="24"/>
        </w:rPr>
        <w:t>et al.</w:t>
      </w:r>
      <w:r w:rsidRPr="00DE713F">
        <w:rPr>
          <w:rFonts w:ascii="Times New Roman" w:eastAsiaTheme="minorEastAsia" w:hAnsi="Times New Roman" w:cs="Times New Roman"/>
          <w:color w:val="auto"/>
          <w:sz w:val="24"/>
          <w:szCs w:val="24"/>
        </w:rPr>
        <w:t xml:space="preserve"> (2024)</w:t>
      </w:r>
      <w:r w:rsidRPr="00DE713F">
        <w:rPr>
          <w:rFonts w:ascii="Times New Roman" w:eastAsiaTheme="minorEastAsia" w:hAnsi="Times New Roman" w:cs="Times New Roman"/>
          <w:b w:val="0"/>
          <w:bCs w:val="0"/>
          <w:color w:val="auto"/>
          <w:sz w:val="24"/>
          <w:szCs w:val="24"/>
        </w:rPr>
        <w:t>. Collectively, these results indicate that yield and its major components possess considerable additive genetic variance and are therefore well suited for selection, whereas traits heavily influenced by the environment may require alternative breeding strategies such as heterosis breeding or recurrent selection</w:t>
      </w:r>
      <w:r>
        <w:rPr>
          <w:rFonts w:ascii="Times New Roman" w:eastAsiaTheme="minorEastAsia" w:hAnsi="Times New Roman" w:cs="Times New Roman"/>
          <w:b w:val="0"/>
          <w:bCs w:val="0"/>
          <w:color w:val="auto"/>
          <w:sz w:val="24"/>
          <w:szCs w:val="24"/>
        </w:rPr>
        <w:t>.</w:t>
      </w:r>
    </w:p>
    <w:p w14:paraId="63325852" w14:textId="246BB6FE" w:rsidR="005D280F" w:rsidRPr="00DE713F" w:rsidRDefault="00273DE4" w:rsidP="00E2217E">
      <w:pPr>
        <w:pStyle w:val="Heading1"/>
        <w:spacing w:line="360" w:lineRule="auto"/>
        <w:jc w:val="both"/>
        <w:rPr>
          <w:rFonts w:ascii="Times New Roman" w:eastAsiaTheme="minorEastAsia" w:hAnsi="Times New Roman" w:cs="Times New Roman"/>
          <w:b w:val="0"/>
          <w:bCs w:val="0"/>
          <w:color w:val="auto"/>
          <w:sz w:val="24"/>
          <w:szCs w:val="24"/>
        </w:rPr>
      </w:pPr>
      <w:r w:rsidRPr="0032290F">
        <w:rPr>
          <w:rFonts w:ascii="Times New Roman" w:hAnsi="Times New Roman" w:cs="Times New Roman"/>
          <w:color w:val="000000" w:themeColor="text1"/>
          <w:sz w:val="24"/>
          <w:szCs w:val="24"/>
        </w:rPr>
        <w:t>CONCLUSION</w:t>
      </w:r>
    </w:p>
    <w:p w14:paraId="5C436AB9" w14:textId="5C624BAD" w:rsidR="007C77D9" w:rsidRDefault="00273DE4" w:rsidP="00E2217E">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 xml:space="preserve">Traits </w:t>
      </w:r>
      <w:r w:rsidRPr="00E2217E">
        <w:rPr>
          <w:rFonts w:ascii="Times New Roman" w:hAnsi="Times New Roman" w:cs="Times New Roman"/>
          <w:color w:val="000000" w:themeColor="text1"/>
          <w:sz w:val="24"/>
          <w:szCs w:val="24"/>
          <w:highlight w:val="yellow"/>
        </w:rPr>
        <w:t xml:space="preserve">such </w:t>
      </w:r>
      <w:r w:rsidR="00041E69" w:rsidRPr="00E2217E">
        <w:rPr>
          <w:rFonts w:ascii="Times New Roman" w:hAnsi="Times New Roman" w:cs="Times New Roman"/>
          <w:color w:val="000000" w:themeColor="text1"/>
          <w:sz w:val="24"/>
          <w:szCs w:val="24"/>
          <w:highlight w:val="yellow"/>
        </w:rPr>
        <w:t xml:space="preserve">as </w:t>
      </w:r>
      <w:r w:rsidR="006F4AAA" w:rsidRPr="00E2217E">
        <w:rPr>
          <w:rFonts w:ascii="Times New Roman" w:hAnsi="Times New Roman" w:cs="Times New Roman"/>
          <w:color w:val="000000" w:themeColor="text1"/>
          <w:sz w:val="24"/>
          <w:szCs w:val="24"/>
          <w:highlight w:val="yellow"/>
        </w:rPr>
        <w:t xml:space="preserve">biological yield </w:t>
      </w:r>
      <w:r w:rsidR="006F4AAA">
        <w:rPr>
          <w:rFonts w:ascii="Times New Roman" w:hAnsi="Times New Roman" w:cs="Times New Roman"/>
          <w:color w:val="000000" w:themeColor="text1"/>
          <w:sz w:val="24"/>
          <w:szCs w:val="24"/>
        </w:rPr>
        <w:t>per plant</w:t>
      </w:r>
      <w:r w:rsidRPr="0032290F">
        <w:rPr>
          <w:rFonts w:ascii="Times New Roman" w:hAnsi="Times New Roman" w:cs="Times New Roman"/>
          <w:color w:val="000000" w:themeColor="text1"/>
          <w:sz w:val="24"/>
          <w:szCs w:val="24"/>
        </w:rPr>
        <w:t xml:space="preserve"> </w:t>
      </w:r>
      <w:r w:rsidR="006F4AAA">
        <w:rPr>
          <w:rFonts w:ascii="Times New Roman" w:hAnsi="Times New Roman" w:cs="Times New Roman"/>
          <w:color w:val="000000" w:themeColor="text1"/>
          <w:sz w:val="24"/>
          <w:szCs w:val="24"/>
        </w:rPr>
        <w:t>exhibited</w:t>
      </w:r>
      <w:r w:rsidRPr="0032290F">
        <w:rPr>
          <w:rFonts w:ascii="Times New Roman" w:hAnsi="Times New Roman" w:cs="Times New Roman"/>
          <w:color w:val="000000" w:themeColor="text1"/>
          <w:sz w:val="24"/>
          <w:szCs w:val="24"/>
        </w:rPr>
        <w:t xml:space="preserve"> high heritability</w:t>
      </w:r>
      <w:r w:rsidR="00041E69">
        <w:rPr>
          <w:rFonts w:ascii="Times New Roman" w:hAnsi="Times New Roman" w:cs="Times New Roman"/>
          <w:color w:val="000000" w:themeColor="text1"/>
          <w:sz w:val="24"/>
          <w:szCs w:val="24"/>
        </w:rPr>
        <w:t>,</w:t>
      </w:r>
      <w:r w:rsidRPr="0032290F">
        <w:rPr>
          <w:rFonts w:ascii="Times New Roman" w:hAnsi="Times New Roman" w:cs="Times New Roman"/>
          <w:color w:val="000000" w:themeColor="text1"/>
          <w:sz w:val="24"/>
          <w:szCs w:val="24"/>
        </w:rPr>
        <w:t xml:space="preserve"> </w:t>
      </w:r>
      <w:r w:rsidR="006F4AAA">
        <w:rPr>
          <w:rFonts w:ascii="Times New Roman" w:hAnsi="Times New Roman" w:cs="Times New Roman"/>
          <w:color w:val="000000" w:themeColor="text1"/>
          <w:sz w:val="24"/>
          <w:szCs w:val="24"/>
        </w:rPr>
        <w:t>while traits such as</w:t>
      </w:r>
      <w:r w:rsidRPr="0032290F">
        <w:rPr>
          <w:rFonts w:ascii="Times New Roman" w:hAnsi="Times New Roman" w:cs="Times New Roman"/>
          <w:color w:val="000000" w:themeColor="text1"/>
          <w:sz w:val="24"/>
          <w:szCs w:val="24"/>
        </w:rPr>
        <w:t xml:space="preserve"> </w:t>
      </w:r>
      <w:r w:rsidR="006F4AAA">
        <w:rPr>
          <w:rFonts w:ascii="Times New Roman" w:hAnsi="Times New Roman" w:cs="Times New Roman"/>
          <w:sz w:val="24"/>
          <w:szCs w:val="24"/>
        </w:rPr>
        <w:t xml:space="preserve">number of productive tillers per plant, </w:t>
      </w:r>
      <w:r w:rsidR="006F4AAA" w:rsidRPr="00BE22BF">
        <w:rPr>
          <w:rFonts w:ascii="Times New Roman" w:hAnsi="Times New Roman" w:cs="Times New Roman"/>
          <w:sz w:val="24"/>
          <w:szCs w:val="24"/>
        </w:rPr>
        <w:t>biological yield</w:t>
      </w:r>
      <w:r w:rsidR="006F4AAA">
        <w:rPr>
          <w:rFonts w:ascii="Times New Roman" w:hAnsi="Times New Roman" w:cs="Times New Roman"/>
          <w:sz w:val="24"/>
          <w:szCs w:val="24"/>
        </w:rPr>
        <w:t xml:space="preserve"> per plant</w:t>
      </w:r>
      <w:r w:rsidR="006F4AAA" w:rsidRPr="00BE22BF">
        <w:rPr>
          <w:rFonts w:ascii="Times New Roman" w:hAnsi="Times New Roman" w:cs="Times New Roman"/>
          <w:sz w:val="24"/>
          <w:szCs w:val="24"/>
        </w:rPr>
        <w:t>, and seed yield per plant</w:t>
      </w:r>
      <w:r w:rsidR="006F4AAA" w:rsidRPr="0032290F">
        <w:rPr>
          <w:rFonts w:ascii="Times New Roman" w:hAnsi="Times New Roman" w:cs="Times New Roman"/>
          <w:color w:val="000000" w:themeColor="text1"/>
          <w:sz w:val="24"/>
          <w:szCs w:val="24"/>
        </w:rPr>
        <w:t xml:space="preserve"> </w:t>
      </w:r>
      <w:r w:rsidR="006F4AAA">
        <w:rPr>
          <w:rFonts w:ascii="Times New Roman" w:hAnsi="Times New Roman" w:cs="Times New Roman"/>
          <w:color w:val="000000" w:themeColor="text1"/>
          <w:sz w:val="24"/>
          <w:szCs w:val="24"/>
        </w:rPr>
        <w:t xml:space="preserve">reported high </w:t>
      </w:r>
      <w:r w:rsidRPr="0032290F">
        <w:rPr>
          <w:rFonts w:ascii="Times New Roman" w:hAnsi="Times New Roman" w:cs="Times New Roman"/>
          <w:color w:val="000000" w:themeColor="text1"/>
          <w:sz w:val="24"/>
          <w:szCs w:val="24"/>
        </w:rPr>
        <w:t xml:space="preserve">genetic advance, indicating strong additive gene </w:t>
      </w:r>
      <w:r w:rsidRPr="00E2217E">
        <w:rPr>
          <w:rFonts w:ascii="Times New Roman" w:hAnsi="Times New Roman" w:cs="Times New Roman"/>
          <w:color w:val="000000" w:themeColor="text1"/>
          <w:sz w:val="24"/>
          <w:szCs w:val="24"/>
          <w:highlight w:val="yellow"/>
        </w:rPr>
        <w:t xml:space="preserve">action. These traits are ideal targets for selection in advanced generations. Traits </w:t>
      </w:r>
      <w:r w:rsidR="00041E69" w:rsidRPr="00E2217E">
        <w:rPr>
          <w:rFonts w:ascii="Times New Roman" w:hAnsi="Times New Roman" w:cs="Times New Roman"/>
          <w:color w:val="000000" w:themeColor="text1"/>
          <w:sz w:val="24"/>
          <w:szCs w:val="24"/>
          <w:highlight w:val="yellow"/>
        </w:rPr>
        <w:t xml:space="preserve">that </w:t>
      </w:r>
      <w:r w:rsidR="006F4AAA" w:rsidRPr="00E2217E">
        <w:rPr>
          <w:rFonts w:ascii="Times New Roman" w:hAnsi="Times New Roman" w:cs="Times New Roman"/>
          <w:color w:val="000000" w:themeColor="text1"/>
          <w:sz w:val="24"/>
          <w:szCs w:val="24"/>
          <w:highlight w:val="yellow"/>
        </w:rPr>
        <w:t xml:space="preserve">reported </w:t>
      </w:r>
      <w:r w:rsidRPr="0032290F">
        <w:rPr>
          <w:rFonts w:ascii="Times New Roman" w:hAnsi="Times New Roman" w:cs="Times New Roman"/>
          <w:color w:val="000000" w:themeColor="text1"/>
          <w:sz w:val="24"/>
          <w:szCs w:val="24"/>
        </w:rPr>
        <w:t>low heritability and low genetic advance, reflecting strong environmental influence and limited genetic control. Thus, selection for these traits should be avoided in early generations, and alternative breeding strategies may be needed.</w:t>
      </w:r>
    </w:p>
    <w:p w14:paraId="5417B599" w14:textId="782E49ED" w:rsidR="00BC0F1C" w:rsidRPr="00560D0D" w:rsidRDefault="00BC0F1C" w:rsidP="00E2217E">
      <w:pPr>
        <w:jc w:val="both"/>
        <w:rPr>
          <w:rFonts w:ascii="Times New Roman" w:eastAsia="Calibri" w:hAnsi="Times New Roman" w:cs="Times New Roman"/>
          <w:kern w:val="2"/>
          <w:sz w:val="24"/>
          <w:szCs w:val="24"/>
        </w:rPr>
      </w:pPr>
      <w:r w:rsidRPr="00560D0D">
        <w:rPr>
          <w:rFonts w:ascii="Times New Roman" w:eastAsia="Calibri" w:hAnsi="Times New Roman" w:cs="Times New Roman"/>
          <w:kern w:val="2"/>
          <w:sz w:val="24"/>
          <w:szCs w:val="24"/>
        </w:rPr>
        <w:lastRenderedPageBreak/>
        <w:t>Disclaimer (Artificial intelligence)</w:t>
      </w:r>
    </w:p>
    <w:p w14:paraId="5A209AAE" w14:textId="77777777" w:rsidR="00BC0F1C" w:rsidRPr="00560D0D" w:rsidRDefault="00BC0F1C" w:rsidP="00E2217E">
      <w:pPr>
        <w:jc w:val="both"/>
        <w:rPr>
          <w:rFonts w:ascii="Times New Roman" w:eastAsia="Calibri" w:hAnsi="Times New Roman" w:cs="Times New Roman"/>
          <w:kern w:val="2"/>
          <w:sz w:val="24"/>
          <w:szCs w:val="24"/>
        </w:rPr>
      </w:pPr>
      <w:r w:rsidRPr="00560D0D">
        <w:rPr>
          <w:rFonts w:ascii="Times New Roman" w:eastAsia="Calibri" w:hAnsi="Times New Roman" w:cs="Times New Roman"/>
          <w:kern w:val="2"/>
          <w:sz w:val="24"/>
          <w:szCs w:val="24"/>
        </w:rPr>
        <w:t xml:space="preserve">Author(s) hereby declare that NO generative AI technologies such as Large Language Models (ChatGPT, COPILOT, etc.) and text-to-image generators have been used during the writing or editing of this manuscript. </w:t>
      </w:r>
    </w:p>
    <w:p w14:paraId="2F13E394" w14:textId="0C3111C4" w:rsidR="00AC074E" w:rsidRDefault="006B42C8" w:rsidP="00041E69">
      <w:pPr>
        <w:pStyle w:val="Heading1"/>
        <w:spacing w:line="360" w:lineRule="auto"/>
        <w:jc w:val="both"/>
        <w:rPr>
          <w:rFonts w:ascii="Times New Roman" w:hAnsi="Times New Roman" w:cs="Times New Roman"/>
          <w:color w:val="000000" w:themeColor="text1"/>
          <w:sz w:val="24"/>
          <w:szCs w:val="24"/>
        </w:rPr>
      </w:pPr>
      <w:r w:rsidRPr="00560D0D">
        <w:rPr>
          <w:rFonts w:ascii="Times New Roman" w:hAnsi="Times New Roman" w:cs="Times New Roman"/>
          <w:color w:val="000000" w:themeColor="text1"/>
          <w:sz w:val="24"/>
          <w:szCs w:val="24"/>
        </w:rPr>
        <w:t>R</w:t>
      </w:r>
      <w:r w:rsidR="00273DE4" w:rsidRPr="00560D0D">
        <w:rPr>
          <w:rFonts w:ascii="Times New Roman" w:hAnsi="Times New Roman" w:cs="Times New Roman"/>
          <w:color w:val="000000" w:themeColor="text1"/>
          <w:sz w:val="24"/>
          <w:szCs w:val="24"/>
        </w:rPr>
        <w:t>EFERENCES</w:t>
      </w:r>
    </w:p>
    <w:p w14:paraId="78270708" w14:textId="7E4405F0" w:rsidR="0060670E" w:rsidRDefault="00241373" w:rsidP="00E2217E">
      <w:pPr>
        <w:pStyle w:val="ListParagraph"/>
        <w:numPr>
          <w:ilvl w:val="0"/>
          <w:numId w:val="10"/>
        </w:numPr>
        <w:jc w:val="both"/>
      </w:pPr>
      <w:r w:rsidRPr="00241373">
        <w:t xml:space="preserve">Bishwas, S., &amp; Singh, B. (2024). Assessment of Heritability, Genetic Advance and Correlation Coefficient in Wheat (Triticum aestivum L.). International Journal of Plant &amp; Soil Science, 36(1), 82-88. </w:t>
      </w:r>
      <w:hyperlink r:id="rId8" w:history="1">
        <w:r w:rsidRPr="001F6163">
          <w:rPr>
            <w:rStyle w:val="Hyperlink"/>
          </w:rPr>
          <w:t>https://doi.org/10.9734/ijpss/2024/v36i14332</w:t>
        </w:r>
      </w:hyperlink>
      <w:r>
        <w:t xml:space="preserve"> </w:t>
      </w:r>
    </w:p>
    <w:p w14:paraId="0C45C0E2" w14:textId="6EA00747" w:rsidR="0060670E" w:rsidRPr="00241373" w:rsidRDefault="00A922D0" w:rsidP="00E2217E">
      <w:pPr>
        <w:pStyle w:val="ListParagraph"/>
        <w:numPr>
          <w:ilvl w:val="0"/>
          <w:numId w:val="10"/>
        </w:numPr>
        <w:jc w:val="both"/>
        <w:rPr>
          <w:lang w:val="en-IN"/>
        </w:rPr>
      </w:pPr>
      <w:r w:rsidRPr="00A922D0">
        <w:t xml:space="preserve">Burton, G. W., &amp; DeVane, E. H. (1953). Estimating heritability in tall fescue (Festuca arundinacea) from replicated clonal material. Agronomy Journal, 45, 478-481. </w:t>
      </w:r>
      <w:hyperlink r:id="rId9" w:history="1">
        <w:r w:rsidRPr="001F6163">
          <w:rPr>
            <w:rStyle w:val="Hyperlink"/>
          </w:rPr>
          <w:t>https://doi.org/10.2134/agronj1953.00021962004500100005x</w:t>
        </w:r>
      </w:hyperlink>
      <w:r>
        <w:t xml:space="preserve"> </w:t>
      </w:r>
    </w:p>
    <w:p w14:paraId="6B05650E" w14:textId="77777777" w:rsidR="0060670E" w:rsidRPr="00241373" w:rsidRDefault="0060670E" w:rsidP="00E2217E">
      <w:pPr>
        <w:pStyle w:val="ListParagraph"/>
        <w:numPr>
          <w:ilvl w:val="0"/>
          <w:numId w:val="10"/>
        </w:numPr>
        <w:jc w:val="both"/>
        <w:rPr>
          <w:lang w:val="en-IN"/>
        </w:rPr>
      </w:pPr>
      <w:r w:rsidRPr="00241373">
        <w:rPr>
          <w:lang w:val="en-IN"/>
        </w:rPr>
        <w:t xml:space="preserve">Department of Agriculture and Farmers Welfare. (2024–2025). </w:t>
      </w:r>
      <w:r w:rsidRPr="00241373">
        <w:rPr>
          <w:i/>
          <w:iCs/>
          <w:lang w:val="en-IN"/>
        </w:rPr>
        <w:t>Wheat production statistics of India: Annual report</w:t>
      </w:r>
      <w:r w:rsidRPr="00241373">
        <w:rPr>
          <w:lang w:val="en-IN"/>
        </w:rPr>
        <w:t xml:space="preserve">. Government of India. </w:t>
      </w:r>
      <w:hyperlink r:id="rId10" w:history="1">
        <w:r w:rsidRPr="00241373">
          <w:rPr>
            <w:rStyle w:val="Hyperlink"/>
            <w:lang w:val="en-IN"/>
          </w:rPr>
          <w:t>https://agricoop.nic.in</w:t>
        </w:r>
      </w:hyperlink>
    </w:p>
    <w:p w14:paraId="4902CAD0" w14:textId="77777777" w:rsidR="0060670E" w:rsidRDefault="0060670E" w:rsidP="00E2217E">
      <w:pPr>
        <w:pStyle w:val="ListParagraph"/>
        <w:numPr>
          <w:ilvl w:val="0"/>
          <w:numId w:val="10"/>
        </w:numPr>
        <w:jc w:val="both"/>
      </w:pPr>
      <w:proofErr w:type="spellStart"/>
      <w:r w:rsidRPr="009B2E3F">
        <w:t>Gautamc</w:t>
      </w:r>
      <w:proofErr w:type="spellEnd"/>
      <w:r w:rsidRPr="009B2E3F">
        <w:t xml:space="preserve">, P. S., &amp; </w:t>
      </w:r>
      <w:proofErr w:type="spellStart"/>
      <w:r w:rsidRPr="009B2E3F">
        <w:t>Guptac</w:t>
      </w:r>
      <w:proofErr w:type="spellEnd"/>
      <w:r w:rsidRPr="009B2E3F">
        <w:t>, A. K. (2024). Studies on heritability and genetic advance estimates in timely sown bread Wheat (</w:t>
      </w:r>
      <w:r w:rsidRPr="00241373">
        <w:rPr>
          <w:i/>
          <w:iCs/>
        </w:rPr>
        <w:t>Triticum aestivum</w:t>
      </w:r>
      <w:r w:rsidRPr="009B2E3F">
        <w:t xml:space="preserve"> L.).</w:t>
      </w:r>
    </w:p>
    <w:p w14:paraId="0B2B69CE" w14:textId="2D60D74A" w:rsidR="0060670E" w:rsidRDefault="007A1F3F" w:rsidP="00E2217E">
      <w:pPr>
        <w:pStyle w:val="ListParagraph"/>
        <w:numPr>
          <w:ilvl w:val="0"/>
          <w:numId w:val="10"/>
        </w:numPr>
        <w:jc w:val="both"/>
      </w:pPr>
      <w:r w:rsidRPr="007A1F3F">
        <w:t xml:space="preserve">Indian Institute of Wheat and Barley Research. (2015). Vision 2050. ICAR–IIWBR, Karnal, India. </w:t>
      </w:r>
      <w:hyperlink r:id="rId11" w:history="1">
        <w:r w:rsidRPr="001F6163">
          <w:rPr>
            <w:rStyle w:val="Hyperlink"/>
          </w:rPr>
          <w:t>https://iiwbr.icar.gov.in/wp-content/uploads/2019/01/IIWBR-Vision-2050.pdf</w:t>
        </w:r>
      </w:hyperlink>
      <w:r>
        <w:t xml:space="preserve"> </w:t>
      </w:r>
    </w:p>
    <w:p w14:paraId="1B86A7F4" w14:textId="77777777" w:rsidR="0060670E" w:rsidRDefault="0060670E" w:rsidP="00E2217E">
      <w:pPr>
        <w:pStyle w:val="ListParagraph"/>
        <w:numPr>
          <w:ilvl w:val="0"/>
          <w:numId w:val="10"/>
        </w:numPr>
        <w:jc w:val="both"/>
      </w:pPr>
      <w:r w:rsidRPr="000910D4">
        <w:t xml:space="preserve">Iqbal, M., Shahzad, A., Ahmad, F., Ahmad, Z., &amp; Ali, A. (2017). Nutritional significance and processing quality of wheat. </w:t>
      </w:r>
      <w:r w:rsidRPr="00241373">
        <w:rPr>
          <w:i/>
          <w:iCs/>
        </w:rPr>
        <w:t>International Journal of Food Science and Nutrition</w:t>
      </w:r>
      <w:r w:rsidRPr="000910D4">
        <w:t>, 2(5), 15–20.</w:t>
      </w:r>
    </w:p>
    <w:p w14:paraId="17E60440" w14:textId="74E7CCD9" w:rsidR="0060670E" w:rsidRPr="00241373" w:rsidRDefault="00063981" w:rsidP="00E2217E">
      <w:pPr>
        <w:pStyle w:val="ListParagraph"/>
        <w:numPr>
          <w:ilvl w:val="0"/>
          <w:numId w:val="10"/>
        </w:numPr>
        <w:jc w:val="both"/>
        <w:rPr>
          <w:lang w:val="en-IN"/>
        </w:rPr>
      </w:pPr>
      <w:r w:rsidRPr="00063981">
        <w:rPr>
          <w:lang w:val="en-IN"/>
        </w:rPr>
        <w:t xml:space="preserve">Johnson, H. W., Robinson, H. F., &amp; Comstock, R. E. (1955). Estimates of genetic and environmental variability in soybeans. Agronomy Journal, 47(7), 314–318. </w:t>
      </w:r>
      <w:hyperlink r:id="rId12" w:history="1">
        <w:r w:rsidRPr="001F6163">
          <w:rPr>
            <w:rStyle w:val="Hyperlink"/>
            <w:lang w:val="en-IN"/>
          </w:rPr>
          <w:t>https://doi.org/10.2134/agronj1955.00021962004700070009x</w:t>
        </w:r>
      </w:hyperlink>
      <w:r>
        <w:rPr>
          <w:lang w:val="en-IN"/>
        </w:rPr>
        <w:t xml:space="preserve"> </w:t>
      </w:r>
    </w:p>
    <w:p w14:paraId="6E3DBF19" w14:textId="0AC03FD6" w:rsidR="0060670E" w:rsidRDefault="007553FA" w:rsidP="00E2217E">
      <w:pPr>
        <w:pStyle w:val="ListParagraph"/>
        <w:numPr>
          <w:ilvl w:val="0"/>
          <w:numId w:val="10"/>
        </w:numPr>
        <w:jc w:val="both"/>
      </w:pPr>
      <w:r w:rsidRPr="007553FA">
        <w:t xml:space="preserve">Kant, R., Prakash, S., Prasad, Y., Pande, A., Chakraborty, M., Kumar, K., Kumari, N., &amp; Agarwal, A. (2024). Estimation of variability, heritability and genetic advance for yield and quality characters in bread wheat (Triticum aestivum L.). *International Journal of Advanced Biochemistry Research*, *8*(6), 447-449. </w:t>
      </w:r>
      <w:hyperlink r:id="rId13" w:history="1">
        <w:r w:rsidRPr="001F6163">
          <w:rPr>
            <w:rStyle w:val="Hyperlink"/>
          </w:rPr>
          <w:t>https://doi.org/10.33545/26174693.2024.v8.i6f.1347</w:t>
        </w:r>
      </w:hyperlink>
      <w:r>
        <w:t xml:space="preserve"> </w:t>
      </w:r>
    </w:p>
    <w:p w14:paraId="51D91698" w14:textId="77777777" w:rsidR="0060670E" w:rsidRPr="00241373" w:rsidRDefault="0060670E" w:rsidP="00E2217E">
      <w:pPr>
        <w:pStyle w:val="ListParagraph"/>
        <w:numPr>
          <w:ilvl w:val="0"/>
          <w:numId w:val="10"/>
        </w:numPr>
        <w:jc w:val="both"/>
        <w:rPr>
          <w:lang w:val="en-IN"/>
        </w:rPr>
      </w:pPr>
      <w:r w:rsidRPr="00241373">
        <w:rPr>
          <w:lang w:val="en-IN"/>
        </w:rPr>
        <w:t xml:space="preserve">Kempthorne, O., &amp; Curnow, R. N. (1961). The estimation of heritability in a population of related individuals. </w:t>
      </w:r>
      <w:r w:rsidRPr="00241373">
        <w:rPr>
          <w:i/>
          <w:iCs/>
          <w:lang w:val="en-IN"/>
        </w:rPr>
        <w:t>Biometrics</w:t>
      </w:r>
      <w:r w:rsidRPr="00241373">
        <w:rPr>
          <w:lang w:val="en-IN"/>
        </w:rPr>
        <w:t>, 17(1), 1–17.</w:t>
      </w:r>
    </w:p>
    <w:p w14:paraId="1044B072" w14:textId="71DEC42B" w:rsidR="0060670E" w:rsidRDefault="00722C07" w:rsidP="00E2217E">
      <w:pPr>
        <w:pStyle w:val="ListParagraph"/>
        <w:numPr>
          <w:ilvl w:val="0"/>
          <w:numId w:val="10"/>
        </w:numPr>
        <w:jc w:val="both"/>
      </w:pPr>
      <w:r w:rsidRPr="00722C07">
        <w:t xml:space="preserve">Kumar, A., Yadav, V. K., Maurya, C. L., Singh, S. V., Shweta, J., Kumar, J., &amp; Naik, B. S. D. (2024). Estimate of Genotypic and Phenotypic Correlation and Path Coefficients in Bread Wheat (Triticum Aestivum L.). Journal of Advances in Biology &amp; Biotechnology, 27(3), 149-170. </w:t>
      </w:r>
      <w:hyperlink r:id="rId14" w:history="1">
        <w:r w:rsidRPr="001F6163">
          <w:rPr>
            <w:rStyle w:val="Hyperlink"/>
          </w:rPr>
          <w:t>https://doi.org/10.9734/jabb/2024/v27i3730</w:t>
        </w:r>
      </w:hyperlink>
      <w:r>
        <w:t xml:space="preserve"> </w:t>
      </w:r>
    </w:p>
    <w:p w14:paraId="3631B61E" w14:textId="77777777" w:rsidR="0060670E" w:rsidRDefault="0060670E" w:rsidP="00E2217E">
      <w:pPr>
        <w:pStyle w:val="ListParagraph"/>
        <w:numPr>
          <w:ilvl w:val="0"/>
          <w:numId w:val="10"/>
        </w:numPr>
        <w:jc w:val="both"/>
      </w:pPr>
      <w:proofErr w:type="spellStart"/>
      <w:r w:rsidRPr="009B2E3F">
        <w:t>Lavkush</w:t>
      </w:r>
      <w:proofErr w:type="spellEnd"/>
      <w:r w:rsidRPr="009B2E3F">
        <w:t xml:space="preserve">, K., Kumar, S., &amp; Singh, A. (2022). Nutritional composition and quality attributes of wheat (Triticum aestivum L.). </w:t>
      </w:r>
      <w:r w:rsidRPr="00241373">
        <w:rPr>
          <w:i/>
          <w:iCs/>
        </w:rPr>
        <w:t>Journal of Food and Nutrition Sciences</w:t>
      </w:r>
      <w:r w:rsidRPr="009B2E3F">
        <w:t>, 10(3), 115–122.</w:t>
      </w:r>
    </w:p>
    <w:p w14:paraId="2C247949" w14:textId="5B506121" w:rsidR="0060670E" w:rsidRPr="00241373" w:rsidRDefault="00702157" w:rsidP="00E2217E">
      <w:pPr>
        <w:pStyle w:val="ListParagraph"/>
        <w:numPr>
          <w:ilvl w:val="0"/>
          <w:numId w:val="10"/>
        </w:numPr>
        <w:jc w:val="both"/>
        <w:rPr>
          <w:lang w:val="en-IN"/>
        </w:rPr>
      </w:pPr>
      <w:r w:rsidRPr="00702157">
        <w:rPr>
          <w:lang w:val="en-IN"/>
        </w:rPr>
        <w:lastRenderedPageBreak/>
        <w:t xml:space="preserve">Panse, V. G. (1957). Genetics of quantitative characters in relation to plant breeding. Indian Journal of Genetics and Plant Breeding, 17(2), 318–328. </w:t>
      </w:r>
      <w:hyperlink r:id="rId15" w:history="1">
        <w:r w:rsidRPr="001F6163">
          <w:rPr>
            <w:rStyle w:val="Hyperlink"/>
            <w:lang w:val="en-IN"/>
          </w:rPr>
          <w:t>https://www.cabidigitallibrary.org/doi/10.1079/cabicompendium.19581603920</w:t>
        </w:r>
      </w:hyperlink>
      <w:r>
        <w:rPr>
          <w:lang w:val="en-IN"/>
        </w:rPr>
        <w:t xml:space="preserve"> </w:t>
      </w:r>
    </w:p>
    <w:p w14:paraId="0E4DBDF0" w14:textId="532573E5" w:rsidR="0060670E" w:rsidRPr="00241373" w:rsidRDefault="00C91455" w:rsidP="00E2217E">
      <w:pPr>
        <w:pStyle w:val="ListParagraph"/>
        <w:numPr>
          <w:ilvl w:val="0"/>
          <w:numId w:val="10"/>
        </w:numPr>
        <w:jc w:val="both"/>
        <w:rPr>
          <w:lang w:val="en-IN"/>
        </w:rPr>
      </w:pPr>
      <w:r w:rsidRPr="00C91455">
        <w:rPr>
          <w:lang w:val="en-IN"/>
        </w:rPr>
        <w:t xml:space="preserve">Robinson, H. F., Comstock, R. E., &amp; Harvey, P. H. (1949). Estimates of heritability and the degree of dominance in corn. Agronomy Journal, 41(8), 353–359. </w:t>
      </w:r>
      <w:hyperlink r:id="rId16" w:history="1">
        <w:r w:rsidRPr="001F6163">
          <w:rPr>
            <w:rStyle w:val="Hyperlink"/>
            <w:lang w:val="en-IN"/>
          </w:rPr>
          <w:t>https://doi.org/10.2134/agronj1949.00021962004100080005x</w:t>
        </w:r>
      </w:hyperlink>
      <w:r>
        <w:rPr>
          <w:lang w:val="en-IN"/>
        </w:rPr>
        <w:t xml:space="preserve"> </w:t>
      </w:r>
    </w:p>
    <w:p w14:paraId="577C608D" w14:textId="77777777" w:rsidR="0060670E" w:rsidRPr="00241373" w:rsidRDefault="0060670E" w:rsidP="00E2217E">
      <w:pPr>
        <w:pStyle w:val="ListParagraph"/>
        <w:numPr>
          <w:ilvl w:val="0"/>
          <w:numId w:val="10"/>
        </w:numPr>
        <w:jc w:val="both"/>
        <w:rPr>
          <w:lang w:val="en-IN"/>
        </w:rPr>
      </w:pPr>
      <w:r w:rsidRPr="00241373">
        <w:rPr>
          <w:lang w:val="en-IN"/>
        </w:rPr>
        <w:t xml:space="preserve">Robinson, H. F., Comstock, R. E., &amp; Harvey, P. H. (1966). Heritability estimates and the degree of dominance in cucumbers. </w:t>
      </w:r>
      <w:r w:rsidRPr="00241373">
        <w:rPr>
          <w:i/>
          <w:iCs/>
          <w:lang w:val="en-IN"/>
        </w:rPr>
        <w:t>Genetics</w:t>
      </w:r>
      <w:r w:rsidRPr="00241373">
        <w:rPr>
          <w:lang w:val="en-IN"/>
        </w:rPr>
        <w:t>, 53(3), 679–688.</w:t>
      </w:r>
    </w:p>
    <w:p w14:paraId="5990DC2F" w14:textId="526CF2DF" w:rsidR="0060670E" w:rsidRDefault="00EA0652" w:rsidP="00E2217E">
      <w:pPr>
        <w:pStyle w:val="ListParagraph"/>
        <w:numPr>
          <w:ilvl w:val="0"/>
          <w:numId w:val="10"/>
        </w:numPr>
        <w:jc w:val="both"/>
      </w:pPr>
      <w:r w:rsidRPr="00EA0652">
        <w:t xml:space="preserve">Saini, A., &amp; Syed, M. (2025). Genetic Variability, Heritability and Genetic Advance in Analysis of Seed Quality Parameters in Wheat (Triticum aestivum L.) Germplasm. Asian Journal of Research in Crop Science, 10(3), 53-59. </w:t>
      </w:r>
      <w:hyperlink r:id="rId17" w:history="1">
        <w:r w:rsidRPr="001F6163">
          <w:rPr>
            <w:rStyle w:val="Hyperlink"/>
          </w:rPr>
          <w:t>https://doi.org/10.9734/ajrcs/2025/v10i3373</w:t>
        </w:r>
      </w:hyperlink>
      <w:r>
        <w:t xml:space="preserve"> </w:t>
      </w:r>
    </w:p>
    <w:p w14:paraId="255BE48C" w14:textId="31CE1258" w:rsidR="0060670E" w:rsidRPr="00241373" w:rsidRDefault="00283A66" w:rsidP="00E2217E">
      <w:pPr>
        <w:pStyle w:val="ListParagraph"/>
        <w:numPr>
          <w:ilvl w:val="0"/>
          <w:numId w:val="10"/>
        </w:numPr>
        <w:jc w:val="both"/>
        <w:rPr>
          <w:lang w:val="en-IN"/>
        </w:rPr>
      </w:pPr>
      <w:r w:rsidRPr="00283A66">
        <w:rPr>
          <w:lang w:val="en-IN"/>
        </w:rPr>
        <w:t xml:space="preserve">Singh, R. K., &amp; Chaudhary, B. D. (1985). Biometrical methods in quantitative genetic analysis (Revised ed.). Kalyani Publishers. </w:t>
      </w:r>
      <w:hyperlink r:id="rId18" w:history="1">
        <w:r w:rsidRPr="001F6163">
          <w:rPr>
            <w:rStyle w:val="Hyperlink"/>
            <w:lang w:val="en-IN"/>
          </w:rPr>
          <w:t>https://www.cabidigitallibrary.org/doi/10.1079/CABICOMPENDIUM_19801689021</w:t>
        </w:r>
      </w:hyperlink>
      <w:r>
        <w:rPr>
          <w:lang w:val="en-IN"/>
        </w:rPr>
        <w:t xml:space="preserve"> </w:t>
      </w:r>
    </w:p>
    <w:p w14:paraId="515B90CC" w14:textId="213007EE" w:rsidR="0060670E" w:rsidRDefault="006D40ED" w:rsidP="00E2217E">
      <w:pPr>
        <w:pStyle w:val="ListParagraph"/>
        <w:numPr>
          <w:ilvl w:val="0"/>
          <w:numId w:val="10"/>
        </w:numPr>
        <w:jc w:val="both"/>
      </w:pPr>
      <w:r w:rsidRPr="006D40ED">
        <w:t xml:space="preserve">Gaur, A. K., Singh, P. N., Gaur, S. C., </w:t>
      </w:r>
      <w:proofErr w:type="spellStart"/>
      <w:r w:rsidRPr="006D40ED">
        <w:t>Tarkeshwar</w:t>
      </w:r>
      <w:proofErr w:type="spellEnd"/>
      <w:r w:rsidRPr="006D40ED">
        <w:t xml:space="preserve">, Singh, K., Singh, S. K., </w:t>
      </w:r>
      <w:proofErr w:type="spellStart"/>
      <w:r w:rsidRPr="006D40ED">
        <w:t>Quatadah</w:t>
      </w:r>
      <w:proofErr w:type="spellEnd"/>
      <w:r w:rsidRPr="006D40ED">
        <w:t xml:space="preserve">, S. M., &amp; Yadav, M. (2025). Estimation of genetic variability parameters and heritability in bread wheat (Triticum aestivum L.) over generations. International Journal of Advanced Biochemistry Research. </w:t>
      </w:r>
      <w:hyperlink r:id="rId19" w:history="1">
        <w:r w:rsidRPr="001F6163">
          <w:rPr>
            <w:rStyle w:val="Hyperlink"/>
          </w:rPr>
          <w:t>https://doi.org/10.33545/26174693.2025.v9.i2g.3851</w:t>
        </w:r>
      </w:hyperlink>
      <w:r>
        <w:t xml:space="preserve"> </w:t>
      </w:r>
    </w:p>
    <w:p w14:paraId="40CEB5F4" w14:textId="73427AA6" w:rsidR="0060670E" w:rsidRPr="00241373" w:rsidRDefault="00DE27D5" w:rsidP="00E2217E">
      <w:pPr>
        <w:pStyle w:val="ListParagraph"/>
        <w:numPr>
          <w:ilvl w:val="0"/>
          <w:numId w:val="10"/>
        </w:numPr>
        <w:jc w:val="both"/>
        <w:rPr>
          <w:lang w:val="en-IN"/>
        </w:rPr>
      </w:pPr>
      <w:r w:rsidRPr="00DE27D5">
        <w:t xml:space="preserve">Thapa, R. S., Kumar, A., Kumar, A., Gautam, T. S., &amp; Pratap, D. (2024). Characterization, Genetic Diversity, Heritability and Genetic Advances in Wheat (Triticum aestivum L.) Genotypes. </w:t>
      </w:r>
      <w:proofErr w:type="spellStart"/>
      <w:r w:rsidRPr="00DE27D5">
        <w:t>Agrica</w:t>
      </w:r>
      <w:proofErr w:type="spellEnd"/>
      <w:r w:rsidRPr="00DE27D5">
        <w:t xml:space="preserve">, 13(1), 81-84. </w:t>
      </w:r>
      <w:hyperlink r:id="rId20" w:history="1">
        <w:r w:rsidRPr="001F6163">
          <w:rPr>
            <w:rStyle w:val="Hyperlink"/>
          </w:rPr>
          <w:t>https://doi.org/10.5958/2394-448X.2024.00017.1</w:t>
        </w:r>
      </w:hyperlink>
      <w:r>
        <w:t xml:space="preserve"> </w:t>
      </w:r>
    </w:p>
    <w:p w14:paraId="5527354B" w14:textId="7A6F41F5" w:rsidR="0060670E" w:rsidRPr="00241373" w:rsidRDefault="00E41E4C" w:rsidP="00E2217E">
      <w:pPr>
        <w:pStyle w:val="ListParagraph"/>
        <w:numPr>
          <w:ilvl w:val="0"/>
          <w:numId w:val="10"/>
        </w:numPr>
        <w:jc w:val="both"/>
        <w:rPr>
          <w:lang w:val="en-IN"/>
        </w:rPr>
      </w:pPr>
      <w:r w:rsidRPr="00E41E4C">
        <w:t xml:space="preserve">Ubale, S. P., Rasal, P. N., </w:t>
      </w:r>
      <w:proofErr w:type="spellStart"/>
      <w:r w:rsidRPr="00E41E4C">
        <w:t>Pundkar</w:t>
      </w:r>
      <w:proofErr w:type="spellEnd"/>
      <w:r w:rsidRPr="00E41E4C">
        <w:t xml:space="preserve">, A. Y., Chaudhari, S. R., Shelke, P. R., &amp; Gund, M. S. (2025). Assessment of Genetic Variability, Heritability and Genetic Advance in Wheat (Triticum aestivum L.) Genotypes under Different Sowing Dates. Journal of Advances in Biology &amp; Biotechnology, 28(3), 107-119. </w:t>
      </w:r>
      <w:hyperlink r:id="rId21" w:history="1">
        <w:r w:rsidRPr="001F6163">
          <w:rPr>
            <w:rStyle w:val="Hyperlink"/>
          </w:rPr>
          <w:t>https://doi.org/10.9734/jabb/2025/v28i32074</w:t>
        </w:r>
      </w:hyperlink>
      <w:r>
        <w:t xml:space="preserve"> </w:t>
      </w:r>
    </w:p>
    <w:p w14:paraId="6C7EC8C7" w14:textId="4361AD9E" w:rsidR="005D280F" w:rsidRPr="00241373" w:rsidRDefault="001F43BB" w:rsidP="00E2217E">
      <w:pPr>
        <w:pStyle w:val="ListParagraph"/>
        <w:numPr>
          <w:ilvl w:val="0"/>
          <w:numId w:val="10"/>
        </w:numPr>
        <w:jc w:val="both"/>
      </w:pPr>
      <w:r w:rsidRPr="001F43BB">
        <w:t xml:space="preserve">United States Department of Agriculture, Foreign Agricultural Service. (2023). World agricultural production. </w:t>
      </w:r>
      <w:hyperlink r:id="rId22" w:history="1">
        <w:r w:rsidRPr="001F6163">
          <w:rPr>
            <w:rStyle w:val="Hyperlink"/>
          </w:rPr>
          <w:t>https://www.fas.usda.gov/data/world-agricultural-production</w:t>
        </w:r>
      </w:hyperlink>
      <w:r>
        <w:t xml:space="preserve"> </w:t>
      </w:r>
    </w:p>
    <w:p w14:paraId="2463C559" w14:textId="77777777" w:rsidR="000146E6" w:rsidRDefault="005E5B74" w:rsidP="00E2217E">
      <w:pPr>
        <w:pStyle w:val="ListParagraph"/>
        <w:numPr>
          <w:ilvl w:val="0"/>
          <w:numId w:val="10"/>
        </w:numPr>
        <w:shd w:val="clear" w:color="auto" w:fill="FFFFFF"/>
        <w:jc w:val="both"/>
        <w:rPr>
          <w:rFonts w:ascii="Arial" w:hAnsi="Arial" w:cs="Arial"/>
          <w:color w:val="212529"/>
          <w:sz w:val="20"/>
          <w:szCs w:val="20"/>
          <w:highlight w:val="yellow"/>
        </w:rPr>
      </w:pPr>
      <w:r w:rsidRPr="00041E69">
        <w:rPr>
          <w:rFonts w:ascii="Arial" w:hAnsi="Arial" w:cs="Arial"/>
          <w:color w:val="212529"/>
          <w:sz w:val="20"/>
          <w:szCs w:val="20"/>
          <w:highlight w:val="yellow"/>
        </w:rPr>
        <w:t xml:space="preserve">Nikhil, LK </w:t>
      </w:r>
      <w:proofErr w:type="spellStart"/>
      <w:r w:rsidRPr="00041E69">
        <w:rPr>
          <w:rFonts w:ascii="Arial" w:hAnsi="Arial" w:cs="Arial"/>
          <w:color w:val="212529"/>
          <w:sz w:val="20"/>
          <w:szCs w:val="20"/>
          <w:highlight w:val="yellow"/>
        </w:rPr>
        <w:t>Gangwar</w:t>
      </w:r>
      <w:proofErr w:type="spellEnd"/>
      <w:r w:rsidRPr="00041E69">
        <w:rPr>
          <w:rFonts w:ascii="Arial" w:hAnsi="Arial" w:cs="Arial"/>
          <w:color w:val="212529"/>
          <w:sz w:val="20"/>
          <w:szCs w:val="20"/>
          <w:highlight w:val="yellow"/>
        </w:rPr>
        <w:t xml:space="preserve">, SK Singh, Mukesh Kumar, </w:t>
      </w:r>
      <w:proofErr w:type="spellStart"/>
      <w:r w:rsidRPr="00041E69">
        <w:rPr>
          <w:rFonts w:ascii="Arial" w:hAnsi="Arial" w:cs="Arial"/>
          <w:color w:val="212529"/>
          <w:sz w:val="20"/>
          <w:szCs w:val="20"/>
          <w:highlight w:val="yellow"/>
        </w:rPr>
        <w:t>Pushpendra</w:t>
      </w:r>
      <w:proofErr w:type="spellEnd"/>
      <w:r w:rsidRPr="00041E69">
        <w:rPr>
          <w:rFonts w:ascii="Arial" w:hAnsi="Arial" w:cs="Arial"/>
          <w:color w:val="212529"/>
          <w:sz w:val="20"/>
          <w:szCs w:val="20"/>
          <w:highlight w:val="yellow"/>
        </w:rPr>
        <w:t xml:space="preserve"> Kumar and </w:t>
      </w:r>
      <w:proofErr w:type="spellStart"/>
      <w:r w:rsidRPr="00041E69">
        <w:rPr>
          <w:rFonts w:ascii="Arial" w:hAnsi="Arial" w:cs="Arial"/>
          <w:color w:val="212529"/>
          <w:sz w:val="20"/>
          <w:szCs w:val="20"/>
          <w:highlight w:val="yellow"/>
        </w:rPr>
        <w:t>Atar</w:t>
      </w:r>
      <w:proofErr w:type="spellEnd"/>
      <w:r w:rsidRPr="00041E69">
        <w:rPr>
          <w:rFonts w:ascii="Arial" w:hAnsi="Arial" w:cs="Arial"/>
          <w:color w:val="212529"/>
          <w:sz w:val="20"/>
          <w:szCs w:val="20"/>
          <w:highlight w:val="yellow"/>
        </w:rPr>
        <w:t xml:space="preserve"> Singh. </w:t>
      </w:r>
      <w:r w:rsidRPr="00041E69">
        <w:rPr>
          <w:rFonts w:ascii="Arial" w:hAnsi="Arial" w:cs="Arial"/>
          <w:bCs/>
          <w:color w:val="212529"/>
          <w:sz w:val="20"/>
          <w:szCs w:val="20"/>
          <w:highlight w:val="yellow"/>
        </w:rPr>
        <w:t>Assessment of genetic variability, heritability and genetic advance in bread wheat (</w:t>
      </w:r>
      <w:r w:rsidRPr="00041E69">
        <w:rPr>
          <w:rStyle w:val="Emphasis"/>
          <w:rFonts w:ascii="Arial" w:hAnsi="Arial" w:cs="Arial"/>
          <w:bCs/>
          <w:color w:val="212529"/>
          <w:sz w:val="20"/>
          <w:szCs w:val="20"/>
          <w:highlight w:val="yellow"/>
        </w:rPr>
        <w:t xml:space="preserve">Triticum </w:t>
      </w:r>
      <w:proofErr w:type="spellStart"/>
      <w:r w:rsidRPr="00041E69">
        <w:rPr>
          <w:rStyle w:val="Emphasis"/>
          <w:rFonts w:ascii="Arial" w:hAnsi="Arial" w:cs="Arial"/>
          <w:bCs/>
          <w:color w:val="212529"/>
          <w:sz w:val="20"/>
          <w:szCs w:val="20"/>
          <w:highlight w:val="yellow"/>
        </w:rPr>
        <w:t>aestivum</w:t>
      </w:r>
      <w:proofErr w:type="spellEnd"/>
      <w:r w:rsidRPr="00041E69">
        <w:rPr>
          <w:rFonts w:ascii="Arial" w:hAnsi="Arial" w:cs="Arial"/>
          <w:bCs/>
          <w:color w:val="212529"/>
          <w:sz w:val="20"/>
          <w:szCs w:val="20"/>
          <w:highlight w:val="yellow"/>
        </w:rPr>
        <w:t> L.)</w:t>
      </w:r>
      <w:r w:rsidRPr="00041E69">
        <w:rPr>
          <w:rFonts w:ascii="Arial" w:hAnsi="Arial" w:cs="Arial"/>
          <w:color w:val="212529"/>
          <w:sz w:val="20"/>
          <w:szCs w:val="20"/>
          <w:highlight w:val="yellow"/>
        </w:rPr>
        <w:t xml:space="preserve">. Int. J. Adv. </w:t>
      </w:r>
      <w:proofErr w:type="spellStart"/>
      <w:r w:rsidRPr="00041E69">
        <w:rPr>
          <w:rFonts w:ascii="Arial" w:hAnsi="Arial" w:cs="Arial"/>
          <w:color w:val="212529"/>
          <w:sz w:val="20"/>
          <w:szCs w:val="20"/>
          <w:highlight w:val="yellow"/>
        </w:rPr>
        <w:t>Biochem</w:t>
      </w:r>
      <w:proofErr w:type="spellEnd"/>
      <w:r w:rsidRPr="00041E69">
        <w:rPr>
          <w:rFonts w:ascii="Arial" w:hAnsi="Arial" w:cs="Arial"/>
          <w:color w:val="212529"/>
          <w:sz w:val="20"/>
          <w:szCs w:val="20"/>
          <w:highlight w:val="yellow"/>
        </w:rPr>
        <w:t>. Res. 2025;9(1S):353-356. DOI: </w:t>
      </w:r>
      <w:hyperlink r:id="rId23" w:tgtFrame="_blank" w:history="1">
        <w:r w:rsidRPr="00041E69">
          <w:rPr>
            <w:rStyle w:val="Hyperlink"/>
            <w:rFonts w:ascii="Arial" w:hAnsi="Arial" w:cs="Arial"/>
            <w:color w:val="056659"/>
            <w:sz w:val="20"/>
            <w:szCs w:val="20"/>
            <w:highlight w:val="yellow"/>
          </w:rPr>
          <w:t>10.33545/</w:t>
        </w:r>
        <w:proofErr w:type="gramStart"/>
        <w:r w:rsidRPr="00041E69">
          <w:rPr>
            <w:rStyle w:val="Hyperlink"/>
            <w:rFonts w:ascii="Arial" w:hAnsi="Arial" w:cs="Arial"/>
            <w:color w:val="056659"/>
            <w:sz w:val="20"/>
            <w:szCs w:val="20"/>
            <w:highlight w:val="yellow"/>
          </w:rPr>
          <w:t>26174693.2025.v</w:t>
        </w:r>
        <w:proofErr w:type="gramEnd"/>
        <w:r w:rsidRPr="00041E69">
          <w:rPr>
            <w:rStyle w:val="Hyperlink"/>
            <w:rFonts w:ascii="Arial" w:hAnsi="Arial" w:cs="Arial"/>
            <w:color w:val="056659"/>
            <w:sz w:val="20"/>
            <w:szCs w:val="20"/>
            <w:highlight w:val="yellow"/>
          </w:rPr>
          <w:t>9.i1Se.3497</w:t>
        </w:r>
      </w:hyperlink>
    </w:p>
    <w:p w14:paraId="5A3FA399" w14:textId="77777777" w:rsidR="000146E6" w:rsidRPr="00041E69" w:rsidRDefault="000146E6" w:rsidP="00E2217E">
      <w:pPr>
        <w:pStyle w:val="ListParagraph"/>
        <w:numPr>
          <w:ilvl w:val="0"/>
          <w:numId w:val="10"/>
        </w:numPr>
        <w:shd w:val="clear" w:color="auto" w:fill="FFFFFF"/>
        <w:jc w:val="both"/>
        <w:rPr>
          <w:rFonts w:ascii="Arial" w:hAnsi="Arial" w:cs="Arial"/>
          <w:color w:val="212529"/>
          <w:sz w:val="20"/>
          <w:szCs w:val="20"/>
          <w:highlight w:val="yellow"/>
        </w:rPr>
      </w:pPr>
      <w:r w:rsidRPr="00041E69">
        <w:rPr>
          <w:rFonts w:ascii="Times New Roman" w:hAnsi="Times New Roman" w:cs="Times New Roman"/>
          <w:color w:val="000000" w:themeColor="text1"/>
          <w:sz w:val="24"/>
          <w:szCs w:val="24"/>
          <w:highlight w:val="yellow"/>
        </w:rPr>
        <w:t xml:space="preserve">Pankaj Kumar Singh, </w:t>
      </w:r>
      <w:proofErr w:type="spellStart"/>
      <w:r w:rsidRPr="00041E69">
        <w:rPr>
          <w:rFonts w:ascii="Times New Roman" w:hAnsi="Times New Roman" w:cs="Times New Roman"/>
          <w:color w:val="000000" w:themeColor="text1"/>
          <w:sz w:val="24"/>
          <w:szCs w:val="24"/>
          <w:highlight w:val="yellow"/>
        </w:rPr>
        <w:t>Lokendra</w:t>
      </w:r>
      <w:proofErr w:type="spellEnd"/>
      <w:r w:rsidRPr="00041E69">
        <w:rPr>
          <w:rFonts w:ascii="Times New Roman" w:hAnsi="Times New Roman" w:cs="Times New Roman"/>
          <w:color w:val="000000" w:themeColor="text1"/>
          <w:sz w:val="24"/>
          <w:szCs w:val="24"/>
          <w:highlight w:val="yellow"/>
        </w:rPr>
        <w:t xml:space="preserve"> Singh, Vinay Kumar Patel, Aman Pandey, Birendra Kumar Chaudhary, and </w:t>
      </w:r>
      <w:proofErr w:type="spellStart"/>
      <w:r w:rsidRPr="00041E69">
        <w:rPr>
          <w:rFonts w:ascii="Times New Roman" w:hAnsi="Times New Roman" w:cs="Times New Roman"/>
          <w:color w:val="000000" w:themeColor="text1"/>
          <w:sz w:val="24"/>
          <w:szCs w:val="24"/>
          <w:highlight w:val="yellow"/>
        </w:rPr>
        <w:t>Chandramani</w:t>
      </w:r>
      <w:proofErr w:type="spellEnd"/>
      <w:r w:rsidRPr="00041E69">
        <w:rPr>
          <w:rFonts w:ascii="Times New Roman" w:hAnsi="Times New Roman" w:cs="Times New Roman"/>
          <w:color w:val="000000" w:themeColor="text1"/>
          <w:sz w:val="24"/>
          <w:szCs w:val="24"/>
          <w:highlight w:val="yellow"/>
        </w:rPr>
        <w:t xml:space="preserve"> </w:t>
      </w:r>
      <w:proofErr w:type="spellStart"/>
      <w:r w:rsidRPr="00041E69">
        <w:rPr>
          <w:rFonts w:ascii="Times New Roman" w:hAnsi="Times New Roman" w:cs="Times New Roman"/>
          <w:color w:val="000000" w:themeColor="text1"/>
          <w:sz w:val="24"/>
          <w:szCs w:val="24"/>
          <w:highlight w:val="yellow"/>
        </w:rPr>
        <w:t>Kuswaha</w:t>
      </w:r>
      <w:proofErr w:type="spellEnd"/>
      <w:r w:rsidRPr="00041E69">
        <w:rPr>
          <w:rFonts w:ascii="Times New Roman" w:hAnsi="Times New Roman" w:cs="Times New Roman"/>
          <w:color w:val="000000" w:themeColor="text1"/>
          <w:sz w:val="24"/>
          <w:szCs w:val="24"/>
          <w:highlight w:val="yellow"/>
        </w:rPr>
        <w:t>. 2024. “Assessment of Heritability and Genetic Advance for Yield and Yield Related Traits under Different Dates of Sowing of Bread Wheat (</w:t>
      </w:r>
      <w:r w:rsidRPr="00E2217E">
        <w:rPr>
          <w:rFonts w:ascii="Times New Roman" w:hAnsi="Times New Roman" w:cs="Times New Roman"/>
          <w:i/>
          <w:color w:val="000000" w:themeColor="text1"/>
          <w:sz w:val="24"/>
          <w:szCs w:val="24"/>
          <w:highlight w:val="yellow"/>
        </w:rPr>
        <w:t xml:space="preserve">Triticum </w:t>
      </w:r>
      <w:proofErr w:type="spellStart"/>
      <w:r w:rsidRPr="00E2217E">
        <w:rPr>
          <w:rFonts w:ascii="Times New Roman" w:hAnsi="Times New Roman" w:cs="Times New Roman"/>
          <w:i/>
          <w:color w:val="000000" w:themeColor="text1"/>
          <w:sz w:val="24"/>
          <w:szCs w:val="24"/>
          <w:highlight w:val="yellow"/>
        </w:rPr>
        <w:t>Aestivum</w:t>
      </w:r>
      <w:proofErr w:type="spellEnd"/>
      <w:r w:rsidRPr="00041E69">
        <w:rPr>
          <w:rFonts w:ascii="Times New Roman" w:hAnsi="Times New Roman" w:cs="Times New Roman"/>
          <w:color w:val="000000" w:themeColor="text1"/>
          <w:sz w:val="24"/>
          <w:szCs w:val="24"/>
          <w:highlight w:val="yellow"/>
        </w:rPr>
        <w:t xml:space="preserve"> L.)”. Journal of Experimental Agriculture International 46 (9):960–966. https://doi.org/10.9734/jeai/2024/v46i92893.</w:t>
      </w:r>
    </w:p>
    <w:p w14:paraId="590A3DDF" w14:textId="77777777" w:rsidR="00420CB0" w:rsidRDefault="00420CB0" w:rsidP="00B07B10">
      <w:pPr>
        <w:shd w:val="clear" w:color="auto" w:fill="FFFFFF"/>
        <w:jc w:val="both"/>
        <w:rPr>
          <w:rFonts w:ascii="Arial" w:hAnsi="Arial" w:cs="Arial"/>
          <w:color w:val="212529"/>
          <w:sz w:val="20"/>
          <w:szCs w:val="20"/>
          <w:highlight w:val="yellow"/>
        </w:rPr>
      </w:pPr>
    </w:p>
    <w:p w14:paraId="733EDB49" w14:textId="77777777" w:rsidR="00B07B10" w:rsidRPr="00B07B10" w:rsidRDefault="00B07B10" w:rsidP="00B07B10">
      <w:pPr>
        <w:shd w:val="clear" w:color="auto" w:fill="FFFFFF"/>
        <w:spacing w:after="0" w:line="240" w:lineRule="auto"/>
        <w:rPr>
          <w:rFonts w:ascii="Arial" w:eastAsia="Times New Roman" w:hAnsi="Arial" w:cs="Arial"/>
          <w:color w:val="333333"/>
          <w:sz w:val="27"/>
          <w:szCs w:val="27"/>
        </w:rPr>
      </w:pPr>
      <w:r w:rsidRPr="00B07B10">
        <w:rPr>
          <w:rFonts w:ascii="Arial" w:eastAsia="Times New Roman" w:hAnsi="Arial" w:cs="Arial"/>
          <w:color w:val="333333"/>
          <w:sz w:val="27"/>
          <w:szCs w:val="27"/>
        </w:rPr>
        <w:t xml:space="preserve">Himanshu Chaudhary, J. P. Jaiswal, Amit Kumar, and </w:t>
      </w:r>
      <w:proofErr w:type="spellStart"/>
      <w:r w:rsidRPr="00B07B10">
        <w:rPr>
          <w:rFonts w:ascii="Arial" w:eastAsia="Times New Roman" w:hAnsi="Arial" w:cs="Arial"/>
          <w:color w:val="333333"/>
          <w:sz w:val="27"/>
          <w:szCs w:val="27"/>
        </w:rPr>
        <w:t>Sivendra</w:t>
      </w:r>
      <w:proofErr w:type="spellEnd"/>
      <w:r w:rsidRPr="00B07B10">
        <w:rPr>
          <w:rFonts w:ascii="Arial" w:eastAsia="Times New Roman" w:hAnsi="Arial" w:cs="Arial"/>
          <w:color w:val="333333"/>
          <w:sz w:val="27"/>
          <w:szCs w:val="27"/>
        </w:rPr>
        <w:t xml:space="preserve"> Joshi. 2022. “Determination of Genetic Variability and Diversity in Bread Wheat for Yield and Yield Contributing Traits”. </w:t>
      </w:r>
      <w:r w:rsidRPr="00B07B10">
        <w:rPr>
          <w:rFonts w:ascii="Arial" w:eastAsia="Times New Roman" w:hAnsi="Arial" w:cs="Arial"/>
          <w:i/>
          <w:iCs/>
          <w:color w:val="333333"/>
          <w:sz w:val="27"/>
          <w:szCs w:val="27"/>
        </w:rPr>
        <w:t>International Journal of Plant &amp; Soil Science</w:t>
      </w:r>
      <w:r w:rsidRPr="00B07B10">
        <w:rPr>
          <w:rFonts w:ascii="Arial" w:eastAsia="Times New Roman" w:hAnsi="Arial" w:cs="Arial"/>
          <w:color w:val="333333"/>
          <w:sz w:val="27"/>
          <w:szCs w:val="27"/>
        </w:rPr>
        <w:t> 34 (19):16–23. https://doi.org/10.9734/ijpss/2022/v34i1931084.</w:t>
      </w:r>
    </w:p>
    <w:p w14:paraId="699E90E9" w14:textId="3A689433" w:rsidR="00B07B10" w:rsidRPr="00B07B10" w:rsidRDefault="00B07B10" w:rsidP="00B07B10">
      <w:pPr>
        <w:shd w:val="clear" w:color="auto" w:fill="FFFFFF"/>
        <w:jc w:val="both"/>
        <w:rPr>
          <w:rFonts w:ascii="Arial" w:hAnsi="Arial" w:cs="Arial"/>
          <w:color w:val="212529"/>
          <w:sz w:val="20"/>
          <w:szCs w:val="20"/>
          <w:highlight w:val="yellow"/>
        </w:rPr>
        <w:sectPr w:rsidR="00B07B10" w:rsidRPr="00B07B10" w:rsidSect="00034616">
          <w:headerReference w:type="even" r:id="rId24"/>
          <w:headerReference w:type="default" r:id="rId25"/>
          <w:footerReference w:type="even" r:id="rId26"/>
          <w:footerReference w:type="default" r:id="rId27"/>
          <w:headerReference w:type="first" r:id="rId28"/>
          <w:footerReference w:type="first" r:id="rId29"/>
          <w:pgSz w:w="12240" w:h="15840"/>
          <w:pgMar w:top="1440" w:right="1800" w:bottom="1440" w:left="1800" w:header="720" w:footer="720" w:gutter="0"/>
          <w:cols w:space="720"/>
          <w:docGrid w:linePitch="360"/>
        </w:sectPr>
      </w:pPr>
    </w:p>
    <w:tbl>
      <w:tblPr>
        <w:tblpPr w:leftFromText="180" w:rightFromText="180" w:vertAnchor="page" w:horzAnchor="margin" w:tblpY="2449"/>
        <w:tblW w:w="13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1"/>
        <w:gridCol w:w="973"/>
        <w:gridCol w:w="992"/>
        <w:gridCol w:w="780"/>
        <w:gridCol w:w="1183"/>
        <w:gridCol w:w="876"/>
        <w:gridCol w:w="872"/>
        <w:gridCol w:w="876"/>
        <w:gridCol w:w="872"/>
      </w:tblGrid>
      <w:tr w:rsidR="00BD46CC" w:rsidRPr="009D0B8E" w14:paraId="1F5E2AAA" w14:textId="77777777" w:rsidTr="00A12D85">
        <w:trPr>
          <w:trHeight w:val="86"/>
        </w:trPr>
        <w:tc>
          <w:tcPr>
            <w:tcW w:w="6081" w:type="dxa"/>
            <w:vMerge w:val="restart"/>
            <w:vAlign w:val="center"/>
          </w:tcPr>
          <w:p w14:paraId="3A50AACC" w14:textId="77777777" w:rsidR="005F14D6" w:rsidRPr="009D0B8E" w:rsidRDefault="005F14D6" w:rsidP="00E2217E">
            <w:pPr>
              <w:spacing w:after="0" w:line="240" w:lineRule="auto"/>
              <w:jc w:val="both"/>
              <w:rPr>
                <w:rFonts w:ascii="Times New Roman" w:eastAsia="Times New Roman" w:hAnsi="Times New Roman" w:cs="Times New Roman"/>
                <w:color w:val="000000" w:themeColor="text1"/>
                <w:sz w:val="24"/>
                <w:szCs w:val="24"/>
              </w:rPr>
            </w:pPr>
            <w:bookmarkStart w:id="1" w:name="_Hlk216960665"/>
            <w:r w:rsidRPr="009D0B8E">
              <w:rPr>
                <w:rFonts w:ascii="Times New Roman" w:eastAsia="Times New Roman" w:hAnsi="Times New Roman" w:cs="Times New Roman"/>
                <w:color w:val="000000" w:themeColor="text1"/>
                <w:sz w:val="24"/>
                <w:szCs w:val="24"/>
              </w:rPr>
              <w:lastRenderedPageBreak/>
              <w:t>Characters</w:t>
            </w:r>
          </w:p>
        </w:tc>
        <w:tc>
          <w:tcPr>
            <w:tcW w:w="1965" w:type="dxa"/>
            <w:gridSpan w:val="2"/>
            <w:vAlign w:val="center"/>
          </w:tcPr>
          <w:p w14:paraId="43B523AF" w14:textId="2FC245BA" w:rsidR="005F14D6" w:rsidRPr="009D0B8E" w:rsidRDefault="005F14D6" w:rsidP="00E2217E">
            <w:pPr>
              <w:spacing w:after="0"/>
              <w:jc w:val="both"/>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Grand mean</w:t>
            </w:r>
          </w:p>
        </w:tc>
        <w:tc>
          <w:tcPr>
            <w:tcW w:w="1963" w:type="dxa"/>
            <w:gridSpan w:val="2"/>
            <w:vAlign w:val="center"/>
          </w:tcPr>
          <w:p w14:paraId="494624C9" w14:textId="03E7AE90" w:rsidR="005F14D6" w:rsidRPr="009D0B8E" w:rsidRDefault="005F14D6" w:rsidP="00E2217E">
            <w:pPr>
              <w:spacing w:after="0"/>
              <w:jc w:val="both"/>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Heritability in percent (h</w:t>
            </w:r>
            <w:r w:rsidRPr="009D0B8E">
              <w:rPr>
                <w:rFonts w:ascii="Times New Roman" w:eastAsia="Times New Roman" w:hAnsi="Times New Roman" w:cs="Times New Roman"/>
                <w:color w:val="000000" w:themeColor="text1"/>
                <w:sz w:val="24"/>
                <w:szCs w:val="24"/>
                <w:vertAlign w:val="superscript"/>
              </w:rPr>
              <w:t>2</w:t>
            </w:r>
            <w:r w:rsidRPr="009D0B8E">
              <w:rPr>
                <w:rFonts w:ascii="Times New Roman" w:eastAsia="Times New Roman" w:hAnsi="Times New Roman" w:cs="Times New Roman"/>
                <w:color w:val="000000" w:themeColor="text1"/>
                <w:sz w:val="24"/>
                <w:szCs w:val="24"/>
              </w:rPr>
              <w:t>)</w:t>
            </w:r>
          </w:p>
        </w:tc>
        <w:tc>
          <w:tcPr>
            <w:tcW w:w="1748" w:type="dxa"/>
            <w:gridSpan w:val="2"/>
            <w:vAlign w:val="center"/>
          </w:tcPr>
          <w:p w14:paraId="22FE1FD1" w14:textId="77777777" w:rsidR="005F14D6" w:rsidRPr="009D0B8E" w:rsidRDefault="005F14D6" w:rsidP="00E2217E">
            <w:pPr>
              <w:spacing w:after="0"/>
              <w:jc w:val="both"/>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GA</w:t>
            </w:r>
          </w:p>
        </w:tc>
        <w:tc>
          <w:tcPr>
            <w:tcW w:w="1748" w:type="dxa"/>
            <w:gridSpan w:val="2"/>
            <w:vAlign w:val="center"/>
          </w:tcPr>
          <w:p w14:paraId="0A1764E1" w14:textId="45AE3287" w:rsidR="005F14D6" w:rsidRPr="009D0B8E" w:rsidRDefault="005F14D6" w:rsidP="00E2217E">
            <w:pPr>
              <w:spacing w:after="0"/>
              <w:jc w:val="both"/>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GA in per cent over mean</w:t>
            </w:r>
          </w:p>
        </w:tc>
      </w:tr>
      <w:tr w:rsidR="00BD46CC" w:rsidRPr="009D0B8E" w14:paraId="2ACDA976" w14:textId="77777777" w:rsidTr="00A12D85">
        <w:trPr>
          <w:trHeight w:val="86"/>
        </w:trPr>
        <w:tc>
          <w:tcPr>
            <w:tcW w:w="6081" w:type="dxa"/>
            <w:vMerge/>
            <w:vAlign w:val="center"/>
          </w:tcPr>
          <w:p w14:paraId="52A9C6A8" w14:textId="77777777" w:rsidR="005F14D6" w:rsidRPr="009D0B8E" w:rsidRDefault="005F14D6" w:rsidP="00E2217E">
            <w:pPr>
              <w:spacing w:after="0" w:line="240" w:lineRule="auto"/>
              <w:jc w:val="both"/>
              <w:rPr>
                <w:rFonts w:ascii="Times New Roman" w:eastAsia="Times New Roman" w:hAnsi="Times New Roman" w:cs="Times New Roman"/>
                <w:color w:val="000000" w:themeColor="text1"/>
                <w:sz w:val="24"/>
                <w:szCs w:val="24"/>
              </w:rPr>
            </w:pPr>
          </w:p>
        </w:tc>
        <w:tc>
          <w:tcPr>
            <w:tcW w:w="973" w:type="dxa"/>
            <w:vAlign w:val="center"/>
          </w:tcPr>
          <w:p w14:paraId="5A160694" w14:textId="65E103E8" w:rsidR="005F14D6" w:rsidRPr="009D0B8E" w:rsidRDefault="005F14D6" w:rsidP="00E2217E">
            <w:pPr>
              <w:spacing w:after="0"/>
              <w:jc w:val="both"/>
              <w:rPr>
                <w:rFonts w:ascii="Times New Roman" w:eastAsia="Times New Roman" w:hAnsi="Times New Roman" w:cs="Times New Roman"/>
                <w:color w:val="000000" w:themeColor="text1"/>
                <w:sz w:val="24"/>
                <w:szCs w:val="24"/>
                <w:vertAlign w:val="subscript"/>
              </w:rPr>
            </w:pPr>
            <w:r w:rsidRPr="009D0B8E">
              <w:rPr>
                <w:rFonts w:ascii="Times New Roman" w:eastAsia="Times New Roman" w:hAnsi="Times New Roman" w:cs="Times New Roman"/>
                <w:color w:val="000000" w:themeColor="text1"/>
                <w:sz w:val="24"/>
                <w:szCs w:val="24"/>
              </w:rPr>
              <w:t>F</w:t>
            </w:r>
            <w:r w:rsidRPr="009D0B8E">
              <w:rPr>
                <w:rFonts w:ascii="Times New Roman" w:eastAsia="Times New Roman" w:hAnsi="Times New Roman" w:cs="Times New Roman"/>
                <w:color w:val="000000" w:themeColor="text1"/>
                <w:sz w:val="24"/>
                <w:szCs w:val="24"/>
                <w:vertAlign w:val="subscript"/>
              </w:rPr>
              <w:t>1</w:t>
            </w:r>
          </w:p>
        </w:tc>
        <w:tc>
          <w:tcPr>
            <w:tcW w:w="992" w:type="dxa"/>
            <w:vAlign w:val="center"/>
          </w:tcPr>
          <w:p w14:paraId="5637050E" w14:textId="5841E92D" w:rsidR="005F14D6" w:rsidRPr="009D0B8E" w:rsidRDefault="005B0A02" w:rsidP="00E2217E">
            <w:pPr>
              <w:spacing w:after="0"/>
              <w:jc w:val="both"/>
              <w:rPr>
                <w:rFonts w:ascii="Times New Roman" w:eastAsia="Times New Roman" w:hAnsi="Times New Roman" w:cs="Times New Roman"/>
                <w:color w:val="000000" w:themeColor="text1"/>
                <w:sz w:val="24"/>
                <w:szCs w:val="24"/>
                <w:vertAlign w:val="subscript"/>
              </w:rPr>
            </w:pPr>
            <w:r w:rsidRPr="009D0B8E">
              <w:rPr>
                <w:rFonts w:ascii="Times New Roman" w:eastAsia="Times New Roman" w:hAnsi="Times New Roman" w:cs="Times New Roman"/>
                <w:color w:val="000000" w:themeColor="text1"/>
                <w:sz w:val="24"/>
                <w:szCs w:val="24"/>
              </w:rPr>
              <w:t>F</w:t>
            </w:r>
            <w:r w:rsidRPr="009D0B8E">
              <w:rPr>
                <w:rFonts w:ascii="Times New Roman" w:eastAsia="Times New Roman" w:hAnsi="Times New Roman" w:cs="Times New Roman"/>
                <w:color w:val="000000" w:themeColor="text1"/>
                <w:sz w:val="24"/>
                <w:szCs w:val="24"/>
                <w:vertAlign w:val="subscript"/>
              </w:rPr>
              <w:t>2</w:t>
            </w:r>
          </w:p>
        </w:tc>
        <w:tc>
          <w:tcPr>
            <w:tcW w:w="780" w:type="dxa"/>
            <w:vAlign w:val="center"/>
          </w:tcPr>
          <w:p w14:paraId="2EAF70E4" w14:textId="0EE93FE0" w:rsidR="005F14D6" w:rsidRPr="009D0B8E" w:rsidRDefault="005F14D6" w:rsidP="00E2217E">
            <w:pPr>
              <w:spacing w:after="0"/>
              <w:jc w:val="both"/>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F</w:t>
            </w:r>
            <w:r w:rsidRPr="009D0B8E">
              <w:rPr>
                <w:rFonts w:ascii="Times New Roman" w:eastAsia="Times New Roman" w:hAnsi="Times New Roman" w:cs="Times New Roman"/>
                <w:color w:val="000000" w:themeColor="text1"/>
                <w:sz w:val="24"/>
                <w:szCs w:val="24"/>
                <w:vertAlign w:val="subscript"/>
              </w:rPr>
              <w:t>1</w:t>
            </w:r>
          </w:p>
        </w:tc>
        <w:tc>
          <w:tcPr>
            <w:tcW w:w="1183" w:type="dxa"/>
            <w:vAlign w:val="center"/>
          </w:tcPr>
          <w:p w14:paraId="17C9C4C0" w14:textId="254430EB" w:rsidR="005F14D6" w:rsidRPr="009D0B8E" w:rsidRDefault="005F14D6" w:rsidP="00E2217E">
            <w:pPr>
              <w:spacing w:after="0"/>
              <w:jc w:val="both"/>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F</w:t>
            </w:r>
            <w:r w:rsidRPr="009D0B8E">
              <w:rPr>
                <w:rFonts w:ascii="Times New Roman" w:eastAsia="Times New Roman" w:hAnsi="Times New Roman" w:cs="Times New Roman"/>
                <w:color w:val="000000" w:themeColor="text1"/>
                <w:sz w:val="24"/>
                <w:szCs w:val="24"/>
                <w:vertAlign w:val="subscript"/>
              </w:rPr>
              <w:t>2</w:t>
            </w:r>
          </w:p>
        </w:tc>
        <w:tc>
          <w:tcPr>
            <w:tcW w:w="876" w:type="dxa"/>
            <w:vAlign w:val="center"/>
          </w:tcPr>
          <w:p w14:paraId="65BEC717" w14:textId="799402E9" w:rsidR="005F14D6" w:rsidRPr="009D0B8E" w:rsidRDefault="005F14D6" w:rsidP="00E2217E">
            <w:pPr>
              <w:spacing w:after="0"/>
              <w:jc w:val="both"/>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F</w:t>
            </w:r>
            <w:r w:rsidRPr="009D0B8E">
              <w:rPr>
                <w:rFonts w:ascii="Times New Roman" w:eastAsia="Times New Roman" w:hAnsi="Times New Roman" w:cs="Times New Roman"/>
                <w:color w:val="000000" w:themeColor="text1"/>
                <w:sz w:val="24"/>
                <w:szCs w:val="24"/>
                <w:vertAlign w:val="subscript"/>
              </w:rPr>
              <w:t>1</w:t>
            </w:r>
          </w:p>
        </w:tc>
        <w:tc>
          <w:tcPr>
            <w:tcW w:w="872" w:type="dxa"/>
            <w:vAlign w:val="center"/>
          </w:tcPr>
          <w:p w14:paraId="328DCB59" w14:textId="3E40A96B" w:rsidR="005F14D6" w:rsidRPr="009D0B8E" w:rsidRDefault="005F14D6" w:rsidP="00E2217E">
            <w:pPr>
              <w:spacing w:after="0"/>
              <w:jc w:val="both"/>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F</w:t>
            </w:r>
            <w:r w:rsidRPr="009D0B8E">
              <w:rPr>
                <w:rFonts w:ascii="Times New Roman" w:eastAsia="Times New Roman" w:hAnsi="Times New Roman" w:cs="Times New Roman"/>
                <w:color w:val="000000" w:themeColor="text1"/>
                <w:sz w:val="24"/>
                <w:szCs w:val="24"/>
                <w:vertAlign w:val="subscript"/>
              </w:rPr>
              <w:t>2</w:t>
            </w:r>
          </w:p>
        </w:tc>
        <w:tc>
          <w:tcPr>
            <w:tcW w:w="876" w:type="dxa"/>
            <w:vAlign w:val="center"/>
          </w:tcPr>
          <w:p w14:paraId="050A886A" w14:textId="5726D8DC" w:rsidR="005F14D6" w:rsidRPr="009D0B8E" w:rsidRDefault="005F14D6" w:rsidP="00E2217E">
            <w:pPr>
              <w:spacing w:after="0"/>
              <w:jc w:val="both"/>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F</w:t>
            </w:r>
            <w:r w:rsidRPr="009D0B8E">
              <w:rPr>
                <w:rFonts w:ascii="Times New Roman" w:eastAsia="Times New Roman" w:hAnsi="Times New Roman" w:cs="Times New Roman"/>
                <w:color w:val="000000" w:themeColor="text1"/>
                <w:sz w:val="24"/>
                <w:szCs w:val="24"/>
                <w:vertAlign w:val="subscript"/>
              </w:rPr>
              <w:t>1</w:t>
            </w:r>
          </w:p>
        </w:tc>
        <w:tc>
          <w:tcPr>
            <w:tcW w:w="872" w:type="dxa"/>
            <w:vAlign w:val="center"/>
          </w:tcPr>
          <w:p w14:paraId="04BEE7C2" w14:textId="085A54C7" w:rsidR="005F14D6" w:rsidRPr="009D0B8E" w:rsidRDefault="005F14D6" w:rsidP="00E2217E">
            <w:pPr>
              <w:spacing w:after="0"/>
              <w:jc w:val="both"/>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F</w:t>
            </w:r>
            <w:r w:rsidRPr="009D0B8E">
              <w:rPr>
                <w:rFonts w:ascii="Times New Roman" w:eastAsia="Times New Roman" w:hAnsi="Times New Roman" w:cs="Times New Roman"/>
                <w:color w:val="000000" w:themeColor="text1"/>
                <w:sz w:val="24"/>
                <w:szCs w:val="24"/>
                <w:vertAlign w:val="subscript"/>
              </w:rPr>
              <w:t>2</w:t>
            </w:r>
          </w:p>
        </w:tc>
      </w:tr>
      <w:tr w:rsidR="00993DFB" w:rsidRPr="009D0B8E" w14:paraId="62A947F4" w14:textId="73CE160A" w:rsidTr="00A12D85">
        <w:trPr>
          <w:trHeight w:val="86"/>
        </w:trPr>
        <w:tc>
          <w:tcPr>
            <w:tcW w:w="6081" w:type="dxa"/>
            <w:vAlign w:val="bottom"/>
          </w:tcPr>
          <w:p w14:paraId="7A978C01" w14:textId="5A571E6E"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Days to 75% heading</w:t>
            </w:r>
          </w:p>
        </w:tc>
        <w:tc>
          <w:tcPr>
            <w:tcW w:w="973" w:type="dxa"/>
            <w:vAlign w:val="bottom"/>
          </w:tcPr>
          <w:p w14:paraId="22E2F0CF" w14:textId="4734FEA5"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78.77</w:t>
            </w:r>
          </w:p>
        </w:tc>
        <w:tc>
          <w:tcPr>
            <w:tcW w:w="992" w:type="dxa"/>
            <w:vAlign w:val="bottom"/>
          </w:tcPr>
          <w:p w14:paraId="0D02E4C7" w14:textId="516BFE30"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80.30</w:t>
            </w:r>
          </w:p>
        </w:tc>
        <w:tc>
          <w:tcPr>
            <w:tcW w:w="780" w:type="dxa"/>
            <w:vAlign w:val="bottom"/>
          </w:tcPr>
          <w:p w14:paraId="521B42CE" w14:textId="3A67FFA2"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14.56</w:t>
            </w:r>
          </w:p>
        </w:tc>
        <w:tc>
          <w:tcPr>
            <w:tcW w:w="1183" w:type="dxa"/>
            <w:vAlign w:val="bottom"/>
          </w:tcPr>
          <w:p w14:paraId="315064B6" w14:textId="1A596E97" w:rsidR="00993DFB" w:rsidRPr="009D0B8E" w:rsidRDefault="009D0B8E"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9.17</w:t>
            </w:r>
          </w:p>
        </w:tc>
        <w:tc>
          <w:tcPr>
            <w:tcW w:w="876" w:type="dxa"/>
            <w:vAlign w:val="bottom"/>
          </w:tcPr>
          <w:p w14:paraId="7ADEC3E8" w14:textId="06C44C6F"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7.13</w:t>
            </w:r>
          </w:p>
        </w:tc>
        <w:tc>
          <w:tcPr>
            <w:tcW w:w="872" w:type="dxa"/>
            <w:vAlign w:val="bottom"/>
          </w:tcPr>
          <w:p w14:paraId="0025B75A" w14:textId="51F31F5A" w:rsidR="00993DFB" w:rsidRPr="009D0B8E" w:rsidRDefault="00993DFB" w:rsidP="00E2217E">
            <w:pPr>
              <w:spacing w:after="0"/>
              <w:jc w:val="both"/>
              <w:rPr>
                <w:rFonts w:ascii="Times New Roman" w:eastAsia="Times New Roman" w:hAnsi="Times New Roman" w:cs="Times New Roman"/>
                <w:sz w:val="24"/>
                <w:szCs w:val="24"/>
              </w:rPr>
            </w:pPr>
            <w:r w:rsidRPr="009D0B8E">
              <w:rPr>
                <w:rFonts w:ascii="Times New Roman" w:hAnsi="Times New Roman" w:cs="Times New Roman"/>
                <w:sz w:val="24"/>
                <w:szCs w:val="24"/>
              </w:rPr>
              <w:t>5.96</w:t>
            </w:r>
          </w:p>
        </w:tc>
        <w:tc>
          <w:tcPr>
            <w:tcW w:w="876" w:type="dxa"/>
            <w:vAlign w:val="bottom"/>
          </w:tcPr>
          <w:p w14:paraId="4F0E8AC6" w14:textId="4EE49458"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9.05</w:t>
            </w:r>
          </w:p>
        </w:tc>
        <w:tc>
          <w:tcPr>
            <w:tcW w:w="872" w:type="dxa"/>
            <w:vAlign w:val="bottom"/>
          </w:tcPr>
          <w:p w14:paraId="44307F55" w14:textId="4FC3AF00" w:rsidR="00993DFB" w:rsidRPr="009D0B8E" w:rsidRDefault="00993DFB" w:rsidP="00E2217E">
            <w:pPr>
              <w:spacing w:after="0"/>
              <w:jc w:val="both"/>
              <w:rPr>
                <w:rFonts w:ascii="Times New Roman" w:eastAsia="Times New Roman" w:hAnsi="Times New Roman" w:cs="Times New Roman"/>
                <w:sz w:val="24"/>
                <w:szCs w:val="24"/>
              </w:rPr>
            </w:pPr>
            <w:r w:rsidRPr="009D0B8E">
              <w:rPr>
                <w:rFonts w:ascii="Times New Roman" w:hAnsi="Times New Roman" w:cs="Times New Roman"/>
                <w:sz w:val="24"/>
                <w:szCs w:val="24"/>
              </w:rPr>
              <w:t>7.42</w:t>
            </w:r>
          </w:p>
        </w:tc>
      </w:tr>
      <w:tr w:rsidR="00993DFB" w:rsidRPr="009D0B8E" w14:paraId="59E5A9F4" w14:textId="18BDB57A" w:rsidTr="00A12D85">
        <w:trPr>
          <w:trHeight w:val="86"/>
        </w:trPr>
        <w:tc>
          <w:tcPr>
            <w:tcW w:w="6081" w:type="dxa"/>
            <w:vAlign w:val="bottom"/>
          </w:tcPr>
          <w:p w14:paraId="133A4764" w14:textId="705460C6"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Days to maturity</w:t>
            </w:r>
          </w:p>
        </w:tc>
        <w:tc>
          <w:tcPr>
            <w:tcW w:w="973" w:type="dxa"/>
            <w:vAlign w:val="bottom"/>
          </w:tcPr>
          <w:p w14:paraId="3DD18272" w14:textId="159C6124"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121.52</w:t>
            </w:r>
          </w:p>
        </w:tc>
        <w:tc>
          <w:tcPr>
            <w:tcW w:w="992" w:type="dxa"/>
            <w:vAlign w:val="bottom"/>
          </w:tcPr>
          <w:p w14:paraId="70BE46F5" w14:textId="15E19C00"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123.40</w:t>
            </w:r>
          </w:p>
        </w:tc>
        <w:tc>
          <w:tcPr>
            <w:tcW w:w="780" w:type="dxa"/>
            <w:vAlign w:val="bottom"/>
          </w:tcPr>
          <w:p w14:paraId="0D3C962D" w14:textId="722F8E0A"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11.65</w:t>
            </w:r>
          </w:p>
        </w:tc>
        <w:tc>
          <w:tcPr>
            <w:tcW w:w="1183" w:type="dxa"/>
            <w:vAlign w:val="bottom"/>
          </w:tcPr>
          <w:p w14:paraId="035F65B9" w14:textId="53966123"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1</w:t>
            </w:r>
            <w:r w:rsidR="009D0B8E" w:rsidRPr="009D0B8E">
              <w:rPr>
                <w:rFonts w:ascii="Times New Roman" w:hAnsi="Times New Roman" w:cs="Times New Roman"/>
                <w:color w:val="000000" w:themeColor="text1"/>
                <w:sz w:val="24"/>
                <w:szCs w:val="24"/>
              </w:rPr>
              <w:t>6.37</w:t>
            </w:r>
          </w:p>
        </w:tc>
        <w:tc>
          <w:tcPr>
            <w:tcW w:w="876" w:type="dxa"/>
            <w:vAlign w:val="bottom"/>
          </w:tcPr>
          <w:p w14:paraId="6859F61E" w14:textId="410BC75E"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6.85</w:t>
            </w:r>
          </w:p>
        </w:tc>
        <w:tc>
          <w:tcPr>
            <w:tcW w:w="872" w:type="dxa"/>
            <w:vAlign w:val="bottom"/>
          </w:tcPr>
          <w:p w14:paraId="60F25700" w14:textId="51A4C0CE" w:rsidR="00993DFB" w:rsidRPr="009D0B8E" w:rsidRDefault="00993DFB" w:rsidP="00E2217E">
            <w:pPr>
              <w:spacing w:after="0"/>
              <w:jc w:val="both"/>
              <w:rPr>
                <w:rFonts w:ascii="Times New Roman" w:eastAsia="Times New Roman" w:hAnsi="Times New Roman" w:cs="Times New Roman"/>
                <w:sz w:val="24"/>
                <w:szCs w:val="24"/>
              </w:rPr>
            </w:pPr>
            <w:r w:rsidRPr="009D0B8E">
              <w:rPr>
                <w:rFonts w:ascii="Times New Roman" w:hAnsi="Times New Roman" w:cs="Times New Roman"/>
                <w:sz w:val="24"/>
                <w:szCs w:val="24"/>
              </w:rPr>
              <w:t>5.09</w:t>
            </w:r>
          </w:p>
        </w:tc>
        <w:tc>
          <w:tcPr>
            <w:tcW w:w="876" w:type="dxa"/>
            <w:vAlign w:val="bottom"/>
          </w:tcPr>
          <w:p w14:paraId="5E43B876" w14:textId="6FE14DCD"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5.63</w:t>
            </w:r>
          </w:p>
        </w:tc>
        <w:tc>
          <w:tcPr>
            <w:tcW w:w="872" w:type="dxa"/>
            <w:vAlign w:val="bottom"/>
          </w:tcPr>
          <w:p w14:paraId="40E7CA35" w14:textId="7F9D9484" w:rsidR="00993DFB" w:rsidRPr="009D0B8E" w:rsidRDefault="00993DFB" w:rsidP="00E2217E">
            <w:pPr>
              <w:spacing w:after="0"/>
              <w:jc w:val="both"/>
              <w:rPr>
                <w:rFonts w:ascii="Times New Roman" w:eastAsia="Times New Roman" w:hAnsi="Times New Roman" w:cs="Times New Roman"/>
                <w:sz w:val="24"/>
                <w:szCs w:val="24"/>
              </w:rPr>
            </w:pPr>
            <w:r w:rsidRPr="009D0B8E">
              <w:rPr>
                <w:rFonts w:ascii="Times New Roman" w:hAnsi="Times New Roman" w:cs="Times New Roman"/>
                <w:sz w:val="24"/>
                <w:szCs w:val="24"/>
              </w:rPr>
              <w:t>4.12</w:t>
            </w:r>
          </w:p>
        </w:tc>
      </w:tr>
      <w:tr w:rsidR="00993DFB" w:rsidRPr="009D0B8E" w14:paraId="39A90393" w14:textId="2BD2A8D9" w:rsidTr="00A12D85">
        <w:trPr>
          <w:trHeight w:val="86"/>
        </w:trPr>
        <w:tc>
          <w:tcPr>
            <w:tcW w:w="6081" w:type="dxa"/>
            <w:vAlign w:val="bottom"/>
          </w:tcPr>
          <w:p w14:paraId="5AB5E37C" w14:textId="2EAA7C0E"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Plant height</w:t>
            </w:r>
          </w:p>
        </w:tc>
        <w:tc>
          <w:tcPr>
            <w:tcW w:w="973" w:type="dxa"/>
            <w:vAlign w:val="bottom"/>
          </w:tcPr>
          <w:p w14:paraId="0EE4F0D4" w14:textId="6D7E59AA"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94.16</w:t>
            </w:r>
          </w:p>
        </w:tc>
        <w:tc>
          <w:tcPr>
            <w:tcW w:w="992" w:type="dxa"/>
            <w:vAlign w:val="bottom"/>
          </w:tcPr>
          <w:p w14:paraId="0964DE84" w14:textId="7729F41F"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90.37</w:t>
            </w:r>
          </w:p>
        </w:tc>
        <w:tc>
          <w:tcPr>
            <w:tcW w:w="780" w:type="dxa"/>
            <w:vAlign w:val="bottom"/>
          </w:tcPr>
          <w:p w14:paraId="5BFA0E89" w14:textId="64915AC0"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14.18</w:t>
            </w:r>
          </w:p>
        </w:tc>
        <w:tc>
          <w:tcPr>
            <w:tcW w:w="1183" w:type="dxa"/>
            <w:vAlign w:val="bottom"/>
          </w:tcPr>
          <w:p w14:paraId="4D58FC14" w14:textId="264B84F2" w:rsidR="00993DFB" w:rsidRPr="009D0B8E" w:rsidRDefault="009D0B8E" w:rsidP="00E2217E">
            <w:pPr>
              <w:spacing w:after="0"/>
              <w:jc w:val="both"/>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14.75</w:t>
            </w:r>
          </w:p>
        </w:tc>
        <w:tc>
          <w:tcPr>
            <w:tcW w:w="876" w:type="dxa"/>
            <w:vAlign w:val="bottom"/>
          </w:tcPr>
          <w:p w14:paraId="230C91E9" w14:textId="2FF35558"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4.81</w:t>
            </w:r>
          </w:p>
        </w:tc>
        <w:tc>
          <w:tcPr>
            <w:tcW w:w="872" w:type="dxa"/>
            <w:vAlign w:val="bottom"/>
          </w:tcPr>
          <w:p w14:paraId="53870737" w14:textId="74D7C67B" w:rsidR="00993DFB" w:rsidRPr="009D0B8E" w:rsidRDefault="00993DFB" w:rsidP="00E2217E">
            <w:pPr>
              <w:spacing w:after="0"/>
              <w:jc w:val="both"/>
              <w:rPr>
                <w:rFonts w:ascii="Times New Roman" w:eastAsia="Times New Roman" w:hAnsi="Times New Roman" w:cs="Times New Roman"/>
                <w:sz w:val="24"/>
                <w:szCs w:val="24"/>
              </w:rPr>
            </w:pPr>
            <w:r w:rsidRPr="009D0B8E">
              <w:rPr>
                <w:rFonts w:ascii="Times New Roman" w:hAnsi="Times New Roman" w:cs="Times New Roman"/>
                <w:sz w:val="24"/>
                <w:szCs w:val="24"/>
              </w:rPr>
              <w:t>3.63</w:t>
            </w:r>
          </w:p>
        </w:tc>
        <w:tc>
          <w:tcPr>
            <w:tcW w:w="876" w:type="dxa"/>
            <w:vAlign w:val="bottom"/>
          </w:tcPr>
          <w:p w14:paraId="34465FF4" w14:textId="13E3FBF7"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5.11</w:t>
            </w:r>
          </w:p>
        </w:tc>
        <w:tc>
          <w:tcPr>
            <w:tcW w:w="872" w:type="dxa"/>
            <w:vAlign w:val="bottom"/>
          </w:tcPr>
          <w:p w14:paraId="4BA466D2" w14:textId="4A019CC2" w:rsidR="00993DFB" w:rsidRPr="009D0B8E" w:rsidRDefault="00993DFB" w:rsidP="00E2217E">
            <w:pPr>
              <w:spacing w:after="0"/>
              <w:jc w:val="both"/>
              <w:rPr>
                <w:rFonts w:ascii="Times New Roman" w:eastAsia="Times New Roman" w:hAnsi="Times New Roman" w:cs="Times New Roman"/>
                <w:sz w:val="24"/>
                <w:szCs w:val="24"/>
              </w:rPr>
            </w:pPr>
            <w:r w:rsidRPr="009D0B8E">
              <w:rPr>
                <w:rFonts w:ascii="Times New Roman" w:hAnsi="Times New Roman" w:cs="Times New Roman"/>
                <w:sz w:val="24"/>
                <w:szCs w:val="24"/>
              </w:rPr>
              <w:t>4.02</w:t>
            </w:r>
          </w:p>
        </w:tc>
      </w:tr>
      <w:tr w:rsidR="00993DFB" w:rsidRPr="009D0B8E" w14:paraId="5DBB836A" w14:textId="0294E9EA" w:rsidTr="00A12D85">
        <w:trPr>
          <w:trHeight w:val="86"/>
        </w:trPr>
        <w:tc>
          <w:tcPr>
            <w:tcW w:w="6081" w:type="dxa"/>
            <w:vAlign w:val="bottom"/>
          </w:tcPr>
          <w:p w14:paraId="23FAFC97" w14:textId="3ABAC7C2"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Number of productive tillers per plant</w:t>
            </w:r>
          </w:p>
        </w:tc>
        <w:tc>
          <w:tcPr>
            <w:tcW w:w="973" w:type="dxa"/>
            <w:vAlign w:val="bottom"/>
          </w:tcPr>
          <w:p w14:paraId="6EB8ECB1" w14:textId="5491CA8B"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13.30</w:t>
            </w:r>
          </w:p>
        </w:tc>
        <w:tc>
          <w:tcPr>
            <w:tcW w:w="992" w:type="dxa"/>
            <w:vAlign w:val="bottom"/>
          </w:tcPr>
          <w:p w14:paraId="02A9C6D6" w14:textId="24596922"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12.77</w:t>
            </w:r>
          </w:p>
        </w:tc>
        <w:tc>
          <w:tcPr>
            <w:tcW w:w="780" w:type="dxa"/>
            <w:vAlign w:val="bottom"/>
          </w:tcPr>
          <w:p w14:paraId="5F3D7F89" w14:textId="616BFF60"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7.22</w:t>
            </w:r>
          </w:p>
        </w:tc>
        <w:tc>
          <w:tcPr>
            <w:tcW w:w="1183" w:type="dxa"/>
            <w:vAlign w:val="bottom"/>
          </w:tcPr>
          <w:p w14:paraId="161DC49A" w14:textId="5F0651E2" w:rsidR="00993DFB" w:rsidRPr="009D0B8E" w:rsidRDefault="009D0B8E"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7.76</w:t>
            </w:r>
          </w:p>
        </w:tc>
        <w:tc>
          <w:tcPr>
            <w:tcW w:w="876" w:type="dxa"/>
            <w:vAlign w:val="bottom"/>
          </w:tcPr>
          <w:p w14:paraId="55529145" w14:textId="0489FE1F"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4.05</w:t>
            </w:r>
          </w:p>
        </w:tc>
        <w:tc>
          <w:tcPr>
            <w:tcW w:w="872" w:type="dxa"/>
            <w:vAlign w:val="bottom"/>
          </w:tcPr>
          <w:p w14:paraId="1D29D0B8" w14:textId="629D9832" w:rsidR="00993DFB" w:rsidRPr="009D0B8E" w:rsidRDefault="00993DFB" w:rsidP="00E2217E">
            <w:pPr>
              <w:spacing w:after="0"/>
              <w:jc w:val="both"/>
              <w:rPr>
                <w:rFonts w:ascii="Times New Roman" w:eastAsia="Times New Roman" w:hAnsi="Times New Roman" w:cs="Times New Roman"/>
                <w:sz w:val="24"/>
                <w:szCs w:val="24"/>
              </w:rPr>
            </w:pPr>
            <w:r w:rsidRPr="009D0B8E">
              <w:rPr>
                <w:rFonts w:ascii="Times New Roman" w:hAnsi="Times New Roman" w:cs="Times New Roman"/>
                <w:sz w:val="24"/>
                <w:szCs w:val="24"/>
              </w:rPr>
              <w:t>3.77</w:t>
            </w:r>
          </w:p>
        </w:tc>
        <w:tc>
          <w:tcPr>
            <w:tcW w:w="876" w:type="dxa"/>
            <w:vAlign w:val="bottom"/>
          </w:tcPr>
          <w:p w14:paraId="5B9BF07C" w14:textId="129A1A0A"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30.43</w:t>
            </w:r>
          </w:p>
        </w:tc>
        <w:tc>
          <w:tcPr>
            <w:tcW w:w="872" w:type="dxa"/>
            <w:vAlign w:val="bottom"/>
          </w:tcPr>
          <w:p w14:paraId="25DE7746" w14:textId="63663A9A" w:rsidR="00993DFB" w:rsidRPr="009D0B8E" w:rsidRDefault="00993DFB" w:rsidP="00E2217E">
            <w:pPr>
              <w:spacing w:after="0"/>
              <w:jc w:val="both"/>
              <w:rPr>
                <w:rFonts w:ascii="Times New Roman" w:eastAsia="Times New Roman" w:hAnsi="Times New Roman" w:cs="Times New Roman"/>
                <w:sz w:val="24"/>
                <w:szCs w:val="24"/>
              </w:rPr>
            </w:pPr>
            <w:r w:rsidRPr="009D0B8E">
              <w:rPr>
                <w:rFonts w:ascii="Times New Roman" w:hAnsi="Times New Roman" w:cs="Times New Roman"/>
                <w:sz w:val="24"/>
                <w:szCs w:val="24"/>
              </w:rPr>
              <w:t>29.51</w:t>
            </w:r>
          </w:p>
        </w:tc>
      </w:tr>
      <w:tr w:rsidR="00993DFB" w:rsidRPr="009D0B8E" w14:paraId="772FEB92" w14:textId="2F434F9D" w:rsidTr="00A12D85">
        <w:trPr>
          <w:trHeight w:val="86"/>
        </w:trPr>
        <w:tc>
          <w:tcPr>
            <w:tcW w:w="6081" w:type="dxa"/>
            <w:vAlign w:val="bottom"/>
          </w:tcPr>
          <w:p w14:paraId="7DAD749D" w14:textId="2923279D"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Spike length</w:t>
            </w:r>
          </w:p>
        </w:tc>
        <w:tc>
          <w:tcPr>
            <w:tcW w:w="973" w:type="dxa"/>
            <w:vAlign w:val="bottom"/>
          </w:tcPr>
          <w:p w14:paraId="025F9596" w14:textId="38AEB7C8"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11.50</w:t>
            </w:r>
          </w:p>
        </w:tc>
        <w:tc>
          <w:tcPr>
            <w:tcW w:w="992" w:type="dxa"/>
            <w:vAlign w:val="bottom"/>
          </w:tcPr>
          <w:p w14:paraId="6B99D172" w14:textId="7D20F146"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11.20</w:t>
            </w:r>
          </w:p>
        </w:tc>
        <w:tc>
          <w:tcPr>
            <w:tcW w:w="780" w:type="dxa"/>
            <w:vAlign w:val="bottom"/>
          </w:tcPr>
          <w:p w14:paraId="42656BB0" w14:textId="56DBDCEC"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2.34</w:t>
            </w:r>
          </w:p>
        </w:tc>
        <w:tc>
          <w:tcPr>
            <w:tcW w:w="1183" w:type="dxa"/>
            <w:vAlign w:val="bottom"/>
          </w:tcPr>
          <w:p w14:paraId="69A38447" w14:textId="32DA937F" w:rsidR="00993DFB" w:rsidRPr="009D0B8E" w:rsidRDefault="009D0B8E"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10.46</w:t>
            </w:r>
          </w:p>
        </w:tc>
        <w:tc>
          <w:tcPr>
            <w:tcW w:w="876" w:type="dxa"/>
            <w:vAlign w:val="bottom"/>
          </w:tcPr>
          <w:p w14:paraId="47E118A0" w14:textId="75F74F3E"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1.18</w:t>
            </w:r>
          </w:p>
        </w:tc>
        <w:tc>
          <w:tcPr>
            <w:tcW w:w="872" w:type="dxa"/>
            <w:vAlign w:val="bottom"/>
          </w:tcPr>
          <w:p w14:paraId="364F1FF6" w14:textId="27F08B75" w:rsidR="00993DFB" w:rsidRPr="009D0B8E" w:rsidRDefault="00993DFB" w:rsidP="00E2217E">
            <w:pPr>
              <w:spacing w:after="0"/>
              <w:jc w:val="both"/>
              <w:rPr>
                <w:rFonts w:ascii="Times New Roman" w:eastAsia="Times New Roman" w:hAnsi="Times New Roman" w:cs="Times New Roman"/>
                <w:sz w:val="24"/>
                <w:szCs w:val="24"/>
              </w:rPr>
            </w:pPr>
            <w:r w:rsidRPr="009D0B8E">
              <w:rPr>
                <w:rFonts w:ascii="Times New Roman" w:hAnsi="Times New Roman" w:cs="Times New Roman"/>
                <w:sz w:val="24"/>
                <w:szCs w:val="24"/>
              </w:rPr>
              <w:t>1.15</w:t>
            </w:r>
          </w:p>
        </w:tc>
        <w:tc>
          <w:tcPr>
            <w:tcW w:w="876" w:type="dxa"/>
            <w:vAlign w:val="bottom"/>
          </w:tcPr>
          <w:p w14:paraId="217A9C3A" w14:textId="50D69686"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10.27</w:t>
            </w:r>
          </w:p>
        </w:tc>
        <w:tc>
          <w:tcPr>
            <w:tcW w:w="872" w:type="dxa"/>
            <w:vAlign w:val="bottom"/>
          </w:tcPr>
          <w:p w14:paraId="4451F5FA" w14:textId="1A164A2E" w:rsidR="00993DFB" w:rsidRPr="009D0B8E" w:rsidRDefault="00993DFB" w:rsidP="00E2217E">
            <w:pPr>
              <w:spacing w:after="0"/>
              <w:jc w:val="both"/>
              <w:rPr>
                <w:rFonts w:ascii="Times New Roman" w:eastAsia="Times New Roman" w:hAnsi="Times New Roman" w:cs="Times New Roman"/>
                <w:sz w:val="24"/>
                <w:szCs w:val="24"/>
              </w:rPr>
            </w:pPr>
            <w:r w:rsidRPr="009D0B8E">
              <w:rPr>
                <w:rFonts w:ascii="Times New Roman" w:hAnsi="Times New Roman" w:cs="Times New Roman"/>
                <w:sz w:val="24"/>
                <w:szCs w:val="24"/>
              </w:rPr>
              <w:t>10.24</w:t>
            </w:r>
          </w:p>
        </w:tc>
      </w:tr>
      <w:tr w:rsidR="00993DFB" w:rsidRPr="009D0B8E" w14:paraId="687947CD" w14:textId="61982B24" w:rsidTr="00A12D85">
        <w:trPr>
          <w:trHeight w:val="86"/>
        </w:trPr>
        <w:tc>
          <w:tcPr>
            <w:tcW w:w="6081" w:type="dxa"/>
            <w:vAlign w:val="bottom"/>
          </w:tcPr>
          <w:p w14:paraId="046D432B" w14:textId="0CF18E27"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Number of spikelets per  spike</w:t>
            </w:r>
          </w:p>
        </w:tc>
        <w:tc>
          <w:tcPr>
            <w:tcW w:w="973" w:type="dxa"/>
            <w:vAlign w:val="bottom"/>
          </w:tcPr>
          <w:p w14:paraId="6EB6774D" w14:textId="5942F3EA"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19.19</w:t>
            </w:r>
          </w:p>
        </w:tc>
        <w:tc>
          <w:tcPr>
            <w:tcW w:w="992" w:type="dxa"/>
            <w:vAlign w:val="bottom"/>
          </w:tcPr>
          <w:p w14:paraId="53F65655" w14:textId="4CDAF3A2"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18.56</w:t>
            </w:r>
          </w:p>
        </w:tc>
        <w:tc>
          <w:tcPr>
            <w:tcW w:w="780" w:type="dxa"/>
            <w:vAlign w:val="bottom"/>
          </w:tcPr>
          <w:p w14:paraId="7E7ADA48" w14:textId="152FE7F2"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3.12</w:t>
            </w:r>
          </w:p>
        </w:tc>
        <w:tc>
          <w:tcPr>
            <w:tcW w:w="1183" w:type="dxa"/>
            <w:vAlign w:val="bottom"/>
          </w:tcPr>
          <w:p w14:paraId="74A174AB" w14:textId="0781E816" w:rsidR="00993DFB" w:rsidRPr="009D0B8E" w:rsidRDefault="009D0B8E"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7.06</w:t>
            </w:r>
          </w:p>
        </w:tc>
        <w:tc>
          <w:tcPr>
            <w:tcW w:w="876" w:type="dxa"/>
            <w:vAlign w:val="bottom"/>
          </w:tcPr>
          <w:p w14:paraId="4A14EF52" w14:textId="672515A9"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2.32</w:t>
            </w:r>
          </w:p>
        </w:tc>
        <w:tc>
          <w:tcPr>
            <w:tcW w:w="872" w:type="dxa"/>
            <w:vAlign w:val="bottom"/>
          </w:tcPr>
          <w:p w14:paraId="53F1102E" w14:textId="1AD9106F" w:rsidR="00993DFB" w:rsidRPr="009D0B8E" w:rsidRDefault="00993DFB" w:rsidP="00E2217E">
            <w:pPr>
              <w:spacing w:after="0"/>
              <w:jc w:val="both"/>
              <w:rPr>
                <w:rFonts w:ascii="Times New Roman" w:eastAsia="Times New Roman" w:hAnsi="Times New Roman" w:cs="Times New Roman"/>
                <w:sz w:val="24"/>
                <w:szCs w:val="24"/>
              </w:rPr>
            </w:pPr>
            <w:r w:rsidRPr="009D0B8E">
              <w:rPr>
                <w:rFonts w:ascii="Times New Roman" w:hAnsi="Times New Roman" w:cs="Times New Roman"/>
                <w:sz w:val="24"/>
                <w:szCs w:val="24"/>
              </w:rPr>
              <w:t>1.99</w:t>
            </w:r>
          </w:p>
        </w:tc>
        <w:tc>
          <w:tcPr>
            <w:tcW w:w="876" w:type="dxa"/>
            <w:vAlign w:val="bottom"/>
          </w:tcPr>
          <w:p w14:paraId="202DFDAC" w14:textId="2ADB4283"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12.07</w:t>
            </w:r>
          </w:p>
        </w:tc>
        <w:tc>
          <w:tcPr>
            <w:tcW w:w="872" w:type="dxa"/>
            <w:vAlign w:val="bottom"/>
          </w:tcPr>
          <w:p w14:paraId="25BBF8AB" w14:textId="02CCD39E" w:rsidR="00993DFB" w:rsidRPr="009D0B8E" w:rsidRDefault="00993DFB" w:rsidP="00E2217E">
            <w:pPr>
              <w:spacing w:after="0"/>
              <w:jc w:val="both"/>
              <w:rPr>
                <w:rFonts w:ascii="Times New Roman" w:eastAsia="Times New Roman" w:hAnsi="Times New Roman" w:cs="Times New Roman"/>
                <w:sz w:val="24"/>
                <w:szCs w:val="24"/>
              </w:rPr>
            </w:pPr>
            <w:r w:rsidRPr="009D0B8E">
              <w:rPr>
                <w:rFonts w:ascii="Times New Roman" w:hAnsi="Times New Roman" w:cs="Times New Roman"/>
                <w:sz w:val="24"/>
                <w:szCs w:val="24"/>
              </w:rPr>
              <w:t>10.74</w:t>
            </w:r>
          </w:p>
        </w:tc>
      </w:tr>
      <w:tr w:rsidR="00993DFB" w:rsidRPr="009D0B8E" w14:paraId="26D05E3A" w14:textId="77C6AE58" w:rsidTr="00A12D85">
        <w:trPr>
          <w:trHeight w:val="86"/>
        </w:trPr>
        <w:tc>
          <w:tcPr>
            <w:tcW w:w="6081" w:type="dxa"/>
            <w:vAlign w:val="bottom"/>
          </w:tcPr>
          <w:p w14:paraId="0FC483D4" w14:textId="6BF1C0A4"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Number of grains per spike</w:t>
            </w:r>
          </w:p>
        </w:tc>
        <w:tc>
          <w:tcPr>
            <w:tcW w:w="973" w:type="dxa"/>
            <w:vAlign w:val="bottom"/>
          </w:tcPr>
          <w:p w14:paraId="01021544" w14:textId="6B17C32C"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53.68</w:t>
            </w:r>
          </w:p>
        </w:tc>
        <w:tc>
          <w:tcPr>
            <w:tcW w:w="992" w:type="dxa"/>
            <w:vAlign w:val="bottom"/>
          </w:tcPr>
          <w:p w14:paraId="13FD9FB5" w14:textId="45323D48"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52.32</w:t>
            </w:r>
          </w:p>
        </w:tc>
        <w:tc>
          <w:tcPr>
            <w:tcW w:w="780" w:type="dxa"/>
            <w:vAlign w:val="bottom"/>
          </w:tcPr>
          <w:p w14:paraId="04203DB9" w14:textId="150A91FF" w:rsidR="00993DFB" w:rsidRPr="009D0B8E" w:rsidRDefault="009D0B8E"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8.23</w:t>
            </w:r>
          </w:p>
        </w:tc>
        <w:tc>
          <w:tcPr>
            <w:tcW w:w="1183" w:type="dxa"/>
            <w:vAlign w:val="bottom"/>
          </w:tcPr>
          <w:p w14:paraId="619883F4" w14:textId="44306007" w:rsidR="00993DFB" w:rsidRPr="009D0B8E" w:rsidRDefault="009D0B8E" w:rsidP="00E2217E">
            <w:pPr>
              <w:spacing w:after="0"/>
              <w:jc w:val="both"/>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8.94</w:t>
            </w:r>
          </w:p>
        </w:tc>
        <w:tc>
          <w:tcPr>
            <w:tcW w:w="876" w:type="dxa"/>
            <w:vAlign w:val="bottom"/>
          </w:tcPr>
          <w:p w14:paraId="63ECA677" w14:textId="2BFE316D"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6.78</w:t>
            </w:r>
          </w:p>
        </w:tc>
        <w:tc>
          <w:tcPr>
            <w:tcW w:w="872" w:type="dxa"/>
            <w:vAlign w:val="bottom"/>
          </w:tcPr>
          <w:p w14:paraId="195FE600" w14:textId="16ABC442" w:rsidR="00993DFB" w:rsidRPr="009D0B8E" w:rsidRDefault="00993DFB" w:rsidP="00E2217E">
            <w:pPr>
              <w:spacing w:after="0"/>
              <w:jc w:val="both"/>
              <w:rPr>
                <w:rFonts w:ascii="Times New Roman" w:eastAsia="Times New Roman" w:hAnsi="Times New Roman" w:cs="Times New Roman"/>
                <w:sz w:val="24"/>
                <w:szCs w:val="24"/>
              </w:rPr>
            </w:pPr>
            <w:r w:rsidRPr="009D0B8E">
              <w:rPr>
                <w:rFonts w:ascii="Times New Roman" w:hAnsi="Times New Roman" w:cs="Times New Roman"/>
                <w:sz w:val="24"/>
                <w:szCs w:val="24"/>
              </w:rPr>
              <w:t>5.56</w:t>
            </w:r>
          </w:p>
        </w:tc>
        <w:tc>
          <w:tcPr>
            <w:tcW w:w="876" w:type="dxa"/>
            <w:vAlign w:val="bottom"/>
          </w:tcPr>
          <w:p w14:paraId="08BB0F48" w14:textId="0B0CFA25"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12.64</w:t>
            </w:r>
          </w:p>
        </w:tc>
        <w:tc>
          <w:tcPr>
            <w:tcW w:w="872" w:type="dxa"/>
            <w:vAlign w:val="bottom"/>
          </w:tcPr>
          <w:p w14:paraId="1C1B57CA" w14:textId="3632430F" w:rsidR="00993DFB" w:rsidRPr="009D0B8E" w:rsidRDefault="00993DFB" w:rsidP="00E2217E">
            <w:pPr>
              <w:spacing w:after="0"/>
              <w:jc w:val="both"/>
              <w:rPr>
                <w:rFonts w:ascii="Times New Roman" w:eastAsia="Times New Roman" w:hAnsi="Times New Roman" w:cs="Times New Roman"/>
                <w:sz w:val="24"/>
                <w:szCs w:val="24"/>
              </w:rPr>
            </w:pPr>
            <w:r w:rsidRPr="009D0B8E">
              <w:rPr>
                <w:rFonts w:ascii="Times New Roman" w:hAnsi="Times New Roman" w:cs="Times New Roman"/>
                <w:sz w:val="24"/>
                <w:szCs w:val="24"/>
              </w:rPr>
              <w:t>10.63</w:t>
            </w:r>
          </w:p>
        </w:tc>
      </w:tr>
      <w:tr w:rsidR="00993DFB" w:rsidRPr="009D0B8E" w14:paraId="27A70CDC" w14:textId="3090E2AE" w:rsidTr="00A12D85">
        <w:trPr>
          <w:trHeight w:val="86"/>
        </w:trPr>
        <w:tc>
          <w:tcPr>
            <w:tcW w:w="6081" w:type="dxa"/>
            <w:vAlign w:val="bottom"/>
          </w:tcPr>
          <w:p w14:paraId="22BB9710" w14:textId="7B077929"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1000 grain weight</w:t>
            </w:r>
          </w:p>
        </w:tc>
        <w:tc>
          <w:tcPr>
            <w:tcW w:w="973" w:type="dxa"/>
            <w:vAlign w:val="bottom"/>
          </w:tcPr>
          <w:p w14:paraId="119EF8F0" w14:textId="72650F9A"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42.97</w:t>
            </w:r>
          </w:p>
        </w:tc>
        <w:tc>
          <w:tcPr>
            <w:tcW w:w="992" w:type="dxa"/>
            <w:vAlign w:val="bottom"/>
          </w:tcPr>
          <w:p w14:paraId="78123C00" w14:textId="64F752FA"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41.36</w:t>
            </w:r>
          </w:p>
        </w:tc>
        <w:tc>
          <w:tcPr>
            <w:tcW w:w="780" w:type="dxa"/>
            <w:vAlign w:val="bottom"/>
          </w:tcPr>
          <w:p w14:paraId="46006987" w14:textId="7947597A" w:rsidR="00993DFB" w:rsidRPr="009D0B8E" w:rsidRDefault="009D0B8E" w:rsidP="00E2217E">
            <w:pPr>
              <w:spacing w:after="0"/>
              <w:jc w:val="both"/>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1.15</w:t>
            </w:r>
          </w:p>
        </w:tc>
        <w:tc>
          <w:tcPr>
            <w:tcW w:w="1183" w:type="dxa"/>
            <w:vAlign w:val="bottom"/>
          </w:tcPr>
          <w:p w14:paraId="7BF63EB6" w14:textId="5B04C1BD" w:rsidR="00993DFB" w:rsidRPr="009D0B8E" w:rsidRDefault="009D0B8E" w:rsidP="00E2217E">
            <w:pPr>
              <w:spacing w:after="0"/>
              <w:jc w:val="both"/>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0.56</w:t>
            </w:r>
          </w:p>
        </w:tc>
        <w:tc>
          <w:tcPr>
            <w:tcW w:w="876" w:type="dxa"/>
            <w:vAlign w:val="bottom"/>
          </w:tcPr>
          <w:p w14:paraId="18DD40B4" w14:textId="09A4B234"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5.40</w:t>
            </w:r>
          </w:p>
        </w:tc>
        <w:tc>
          <w:tcPr>
            <w:tcW w:w="872" w:type="dxa"/>
            <w:vAlign w:val="bottom"/>
          </w:tcPr>
          <w:p w14:paraId="4C64770D" w14:textId="2528947F" w:rsidR="00993DFB" w:rsidRPr="009D0B8E" w:rsidRDefault="00993DFB" w:rsidP="00E2217E">
            <w:pPr>
              <w:spacing w:after="0"/>
              <w:jc w:val="both"/>
              <w:rPr>
                <w:rFonts w:ascii="Times New Roman" w:eastAsia="Times New Roman" w:hAnsi="Times New Roman" w:cs="Times New Roman"/>
                <w:sz w:val="24"/>
                <w:szCs w:val="24"/>
              </w:rPr>
            </w:pPr>
            <w:r w:rsidRPr="009D0B8E">
              <w:rPr>
                <w:rFonts w:ascii="Times New Roman" w:hAnsi="Times New Roman" w:cs="Times New Roman"/>
                <w:sz w:val="24"/>
                <w:szCs w:val="24"/>
              </w:rPr>
              <w:t>3.34</w:t>
            </w:r>
          </w:p>
        </w:tc>
        <w:tc>
          <w:tcPr>
            <w:tcW w:w="876" w:type="dxa"/>
            <w:vAlign w:val="bottom"/>
          </w:tcPr>
          <w:p w14:paraId="7B07F900" w14:textId="70EE94B3"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12.56</w:t>
            </w:r>
          </w:p>
        </w:tc>
        <w:tc>
          <w:tcPr>
            <w:tcW w:w="872" w:type="dxa"/>
            <w:vAlign w:val="bottom"/>
          </w:tcPr>
          <w:p w14:paraId="4155022E" w14:textId="5018207F" w:rsidR="00993DFB" w:rsidRPr="009D0B8E" w:rsidRDefault="00993DFB" w:rsidP="00E2217E">
            <w:pPr>
              <w:spacing w:after="0"/>
              <w:jc w:val="both"/>
              <w:rPr>
                <w:rFonts w:ascii="Times New Roman" w:eastAsia="Times New Roman" w:hAnsi="Times New Roman" w:cs="Times New Roman"/>
                <w:sz w:val="24"/>
                <w:szCs w:val="24"/>
              </w:rPr>
            </w:pPr>
            <w:r w:rsidRPr="009D0B8E">
              <w:rPr>
                <w:rFonts w:ascii="Times New Roman" w:hAnsi="Times New Roman" w:cs="Times New Roman"/>
                <w:sz w:val="24"/>
                <w:szCs w:val="24"/>
              </w:rPr>
              <w:t>8.07</w:t>
            </w:r>
          </w:p>
        </w:tc>
      </w:tr>
      <w:tr w:rsidR="00993DFB" w:rsidRPr="009D0B8E" w14:paraId="273C7612" w14:textId="3CE0BD33" w:rsidTr="00A12D85">
        <w:trPr>
          <w:trHeight w:val="86"/>
        </w:trPr>
        <w:tc>
          <w:tcPr>
            <w:tcW w:w="6081" w:type="dxa"/>
            <w:vAlign w:val="bottom"/>
          </w:tcPr>
          <w:p w14:paraId="4EA52B96" w14:textId="77D0277F" w:rsidR="00993DFB" w:rsidRPr="009D0B8E" w:rsidRDefault="00993DFB" w:rsidP="00E2217E">
            <w:pPr>
              <w:spacing w:after="0"/>
              <w:jc w:val="both"/>
              <w:rPr>
                <w:rFonts w:ascii="Times New Roman" w:eastAsia="Times New Roman" w:hAnsi="Times New Roman" w:cs="Times New Roman"/>
                <w:color w:val="000000" w:themeColor="text1"/>
                <w:sz w:val="24"/>
                <w:szCs w:val="24"/>
              </w:rPr>
            </w:pPr>
            <w:proofErr w:type="spellStart"/>
            <w:r w:rsidRPr="009D0B8E">
              <w:rPr>
                <w:rFonts w:ascii="Times New Roman" w:hAnsi="Times New Roman" w:cs="Times New Roman"/>
                <w:sz w:val="24"/>
                <w:szCs w:val="24"/>
              </w:rPr>
              <w:t>Protien</w:t>
            </w:r>
            <w:proofErr w:type="spellEnd"/>
            <w:r w:rsidRPr="009D0B8E">
              <w:rPr>
                <w:rFonts w:ascii="Times New Roman" w:hAnsi="Times New Roman" w:cs="Times New Roman"/>
                <w:sz w:val="24"/>
                <w:szCs w:val="24"/>
              </w:rPr>
              <w:t xml:space="preserve"> content</w:t>
            </w:r>
          </w:p>
        </w:tc>
        <w:tc>
          <w:tcPr>
            <w:tcW w:w="973" w:type="dxa"/>
            <w:vAlign w:val="bottom"/>
          </w:tcPr>
          <w:p w14:paraId="31860743" w14:textId="6FCB378C"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11.81</w:t>
            </w:r>
          </w:p>
        </w:tc>
        <w:tc>
          <w:tcPr>
            <w:tcW w:w="992" w:type="dxa"/>
            <w:vAlign w:val="bottom"/>
          </w:tcPr>
          <w:p w14:paraId="5ADD783D" w14:textId="03706FC1"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10.99</w:t>
            </w:r>
          </w:p>
        </w:tc>
        <w:tc>
          <w:tcPr>
            <w:tcW w:w="780" w:type="dxa"/>
            <w:vAlign w:val="bottom"/>
          </w:tcPr>
          <w:p w14:paraId="365E95DA" w14:textId="49414763" w:rsidR="00993DFB" w:rsidRPr="009D0B8E" w:rsidRDefault="009D0B8E"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3.22</w:t>
            </w:r>
          </w:p>
        </w:tc>
        <w:tc>
          <w:tcPr>
            <w:tcW w:w="1183" w:type="dxa"/>
            <w:vAlign w:val="bottom"/>
          </w:tcPr>
          <w:p w14:paraId="346360DD" w14:textId="37407312" w:rsidR="00993DFB" w:rsidRPr="009D0B8E" w:rsidRDefault="009D0B8E"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4.23</w:t>
            </w:r>
          </w:p>
        </w:tc>
        <w:tc>
          <w:tcPr>
            <w:tcW w:w="876" w:type="dxa"/>
            <w:vAlign w:val="bottom"/>
          </w:tcPr>
          <w:p w14:paraId="65A79493" w14:textId="764D750C"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0.90</w:t>
            </w:r>
          </w:p>
        </w:tc>
        <w:tc>
          <w:tcPr>
            <w:tcW w:w="872" w:type="dxa"/>
            <w:vAlign w:val="bottom"/>
          </w:tcPr>
          <w:p w14:paraId="0D93454D" w14:textId="3BC3C23B" w:rsidR="00993DFB" w:rsidRPr="009D0B8E" w:rsidRDefault="00993DFB" w:rsidP="00E2217E">
            <w:pPr>
              <w:spacing w:after="0"/>
              <w:jc w:val="both"/>
              <w:rPr>
                <w:rFonts w:ascii="Times New Roman" w:eastAsia="Times New Roman" w:hAnsi="Times New Roman" w:cs="Times New Roman"/>
                <w:sz w:val="24"/>
                <w:szCs w:val="24"/>
              </w:rPr>
            </w:pPr>
            <w:r w:rsidRPr="009D0B8E">
              <w:rPr>
                <w:rFonts w:ascii="Times New Roman" w:hAnsi="Times New Roman" w:cs="Times New Roman"/>
                <w:sz w:val="24"/>
                <w:szCs w:val="24"/>
              </w:rPr>
              <w:t>0.57</w:t>
            </w:r>
          </w:p>
        </w:tc>
        <w:tc>
          <w:tcPr>
            <w:tcW w:w="876" w:type="dxa"/>
            <w:vAlign w:val="bottom"/>
          </w:tcPr>
          <w:p w14:paraId="68FBB712" w14:textId="1B533152"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7.60</w:t>
            </w:r>
          </w:p>
        </w:tc>
        <w:tc>
          <w:tcPr>
            <w:tcW w:w="872" w:type="dxa"/>
            <w:vAlign w:val="bottom"/>
          </w:tcPr>
          <w:p w14:paraId="14C72EF0" w14:textId="429332F1" w:rsidR="00993DFB" w:rsidRPr="009D0B8E" w:rsidRDefault="00993DFB" w:rsidP="00E2217E">
            <w:pPr>
              <w:spacing w:after="0"/>
              <w:jc w:val="both"/>
              <w:rPr>
                <w:rFonts w:ascii="Times New Roman" w:eastAsia="Times New Roman" w:hAnsi="Times New Roman" w:cs="Times New Roman"/>
                <w:sz w:val="24"/>
                <w:szCs w:val="24"/>
              </w:rPr>
            </w:pPr>
            <w:r w:rsidRPr="009D0B8E">
              <w:rPr>
                <w:rFonts w:ascii="Times New Roman" w:hAnsi="Times New Roman" w:cs="Times New Roman"/>
                <w:sz w:val="24"/>
                <w:szCs w:val="24"/>
              </w:rPr>
              <w:t>5.19</w:t>
            </w:r>
          </w:p>
        </w:tc>
      </w:tr>
      <w:tr w:rsidR="00993DFB" w:rsidRPr="009D0B8E" w14:paraId="099A7969" w14:textId="5E00E976" w:rsidTr="00A12D85">
        <w:trPr>
          <w:trHeight w:val="86"/>
        </w:trPr>
        <w:tc>
          <w:tcPr>
            <w:tcW w:w="6081" w:type="dxa"/>
            <w:vAlign w:val="bottom"/>
          </w:tcPr>
          <w:p w14:paraId="558A6223" w14:textId="4DE50CC2"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Seed hardness</w:t>
            </w:r>
          </w:p>
        </w:tc>
        <w:tc>
          <w:tcPr>
            <w:tcW w:w="973" w:type="dxa"/>
            <w:vAlign w:val="bottom"/>
          </w:tcPr>
          <w:p w14:paraId="38E3AB23" w14:textId="5776C548"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10.90</w:t>
            </w:r>
          </w:p>
        </w:tc>
        <w:tc>
          <w:tcPr>
            <w:tcW w:w="992" w:type="dxa"/>
            <w:vAlign w:val="bottom"/>
          </w:tcPr>
          <w:p w14:paraId="715FB5B8" w14:textId="2F04C649"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10.52</w:t>
            </w:r>
          </w:p>
        </w:tc>
        <w:tc>
          <w:tcPr>
            <w:tcW w:w="780" w:type="dxa"/>
            <w:vAlign w:val="bottom"/>
          </w:tcPr>
          <w:p w14:paraId="2A438A9A" w14:textId="1AE9CCD9" w:rsidR="00993DFB" w:rsidRPr="009D0B8E" w:rsidRDefault="009D0B8E"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4.24</w:t>
            </w:r>
          </w:p>
        </w:tc>
        <w:tc>
          <w:tcPr>
            <w:tcW w:w="1183" w:type="dxa"/>
            <w:vAlign w:val="bottom"/>
          </w:tcPr>
          <w:p w14:paraId="34628D79" w14:textId="6D2DC698" w:rsidR="00993DFB" w:rsidRPr="009D0B8E" w:rsidRDefault="009D0B8E" w:rsidP="00E2217E">
            <w:pPr>
              <w:spacing w:after="0"/>
              <w:jc w:val="both"/>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0.62</w:t>
            </w:r>
          </w:p>
        </w:tc>
        <w:tc>
          <w:tcPr>
            <w:tcW w:w="876" w:type="dxa"/>
            <w:vAlign w:val="bottom"/>
          </w:tcPr>
          <w:p w14:paraId="7C28F2B5" w14:textId="7D8F4F68"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0.64</w:t>
            </w:r>
          </w:p>
        </w:tc>
        <w:tc>
          <w:tcPr>
            <w:tcW w:w="872" w:type="dxa"/>
            <w:vAlign w:val="bottom"/>
          </w:tcPr>
          <w:p w14:paraId="7CB206B7" w14:textId="5A2C199C" w:rsidR="00993DFB" w:rsidRPr="009D0B8E" w:rsidRDefault="00993DFB" w:rsidP="00E2217E">
            <w:pPr>
              <w:spacing w:after="0"/>
              <w:jc w:val="both"/>
              <w:rPr>
                <w:rFonts w:ascii="Times New Roman" w:eastAsia="Times New Roman" w:hAnsi="Times New Roman" w:cs="Times New Roman"/>
                <w:sz w:val="24"/>
                <w:szCs w:val="24"/>
              </w:rPr>
            </w:pPr>
            <w:r w:rsidRPr="009D0B8E">
              <w:rPr>
                <w:rFonts w:ascii="Times New Roman" w:hAnsi="Times New Roman" w:cs="Times New Roman"/>
                <w:sz w:val="24"/>
                <w:szCs w:val="24"/>
              </w:rPr>
              <w:t>0.44</w:t>
            </w:r>
          </w:p>
        </w:tc>
        <w:tc>
          <w:tcPr>
            <w:tcW w:w="876" w:type="dxa"/>
            <w:vAlign w:val="bottom"/>
          </w:tcPr>
          <w:p w14:paraId="49F415DF" w14:textId="185F770F"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5.86</w:t>
            </w:r>
          </w:p>
        </w:tc>
        <w:tc>
          <w:tcPr>
            <w:tcW w:w="872" w:type="dxa"/>
            <w:vAlign w:val="bottom"/>
          </w:tcPr>
          <w:p w14:paraId="640931E6" w14:textId="00F78066" w:rsidR="00993DFB" w:rsidRPr="009D0B8E" w:rsidRDefault="00993DFB" w:rsidP="00E2217E">
            <w:pPr>
              <w:spacing w:after="0"/>
              <w:jc w:val="both"/>
              <w:rPr>
                <w:rFonts w:ascii="Times New Roman" w:eastAsia="Times New Roman" w:hAnsi="Times New Roman" w:cs="Times New Roman"/>
                <w:sz w:val="24"/>
                <w:szCs w:val="24"/>
              </w:rPr>
            </w:pPr>
            <w:r w:rsidRPr="009D0B8E">
              <w:rPr>
                <w:rFonts w:ascii="Times New Roman" w:hAnsi="Times New Roman" w:cs="Times New Roman"/>
                <w:sz w:val="24"/>
                <w:szCs w:val="24"/>
              </w:rPr>
              <w:t>4.16</w:t>
            </w:r>
          </w:p>
        </w:tc>
      </w:tr>
      <w:tr w:rsidR="00993DFB" w:rsidRPr="009D0B8E" w14:paraId="4B4EB188" w14:textId="63F17915" w:rsidTr="00A12D85">
        <w:trPr>
          <w:trHeight w:val="86"/>
        </w:trPr>
        <w:tc>
          <w:tcPr>
            <w:tcW w:w="6081" w:type="dxa"/>
            <w:vAlign w:val="bottom"/>
          </w:tcPr>
          <w:p w14:paraId="063066CC" w14:textId="6DA62EC9"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Biological yield per plant (g/plant)</w:t>
            </w:r>
          </w:p>
        </w:tc>
        <w:tc>
          <w:tcPr>
            <w:tcW w:w="973" w:type="dxa"/>
            <w:vAlign w:val="bottom"/>
          </w:tcPr>
          <w:p w14:paraId="09E455B0" w14:textId="4DAF7529"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40.61</w:t>
            </w:r>
          </w:p>
        </w:tc>
        <w:tc>
          <w:tcPr>
            <w:tcW w:w="992" w:type="dxa"/>
            <w:vAlign w:val="bottom"/>
          </w:tcPr>
          <w:p w14:paraId="436CDDF7" w14:textId="22D9D36D"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40.44</w:t>
            </w:r>
          </w:p>
        </w:tc>
        <w:tc>
          <w:tcPr>
            <w:tcW w:w="780" w:type="dxa"/>
            <w:vAlign w:val="bottom"/>
          </w:tcPr>
          <w:p w14:paraId="0442D042" w14:textId="3357019F" w:rsidR="00993DFB" w:rsidRPr="009D0B8E" w:rsidRDefault="009D0B8E" w:rsidP="00E2217E">
            <w:pPr>
              <w:spacing w:after="0"/>
              <w:jc w:val="both"/>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32.50</w:t>
            </w:r>
          </w:p>
        </w:tc>
        <w:tc>
          <w:tcPr>
            <w:tcW w:w="1183" w:type="dxa"/>
            <w:vAlign w:val="bottom"/>
          </w:tcPr>
          <w:p w14:paraId="160FAF72" w14:textId="7A6E6CB2" w:rsidR="00993DFB" w:rsidRPr="009D0B8E" w:rsidRDefault="009D0B8E"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36.53</w:t>
            </w:r>
          </w:p>
        </w:tc>
        <w:tc>
          <w:tcPr>
            <w:tcW w:w="876" w:type="dxa"/>
            <w:vAlign w:val="bottom"/>
          </w:tcPr>
          <w:p w14:paraId="123C1639" w14:textId="046B75D1"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11.56</w:t>
            </w:r>
          </w:p>
        </w:tc>
        <w:tc>
          <w:tcPr>
            <w:tcW w:w="872" w:type="dxa"/>
            <w:vAlign w:val="bottom"/>
          </w:tcPr>
          <w:p w14:paraId="6FA9E1E4" w14:textId="5D21E1EB" w:rsidR="00993DFB" w:rsidRPr="009D0B8E" w:rsidRDefault="00993DFB" w:rsidP="00E2217E">
            <w:pPr>
              <w:spacing w:after="0"/>
              <w:jc w:val="both"/>
              <w:rPr>
                <w:rFonts w:ascii="Times New Roman" w:eastAsia="Times New Roman" w:hAnsi="Times New Roman" w:cs="Times New Roman"/>
                <w:sz w:val="24"/>
                <w:szCs w:val="24"/>
              </w:rPr>
            </w:pPr>
            <w:r w:rsidRPr="009D0B8E">
              <w:rPr>
                <w:rFonts w:ascii="Times New Roman" w:hAnsi="Times New Roman" w:cs="Times New Roman"/>
                <w:sz w:val="24"/>
                <w:szCs w:val="24"/>
              </w:rPr>
              <w:t>8.51</w:t>
            </w:r>
          </w:p>
        </w:tc>
        <w:tc>
          <w:tcPr>
            <w:tcW w:w="876" w:type="dxa"/>
            <w:vAlign w:val="bottom"/>
          </w:tcPr>
          <w:p w14:paraId="262D3C8F" w14:textId="0DE993D1"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28.46</w:t>
            </w:r>
          </w:p>
        </w:tc>
        <w:tc>
          <w:tcPr>
            <w:tcW w:w="872" w:type="dxa"/>
            <w:vAlign w:val="bottom"/>
          </w:tcPr>
          <w:p w14:paraId="41BF0028" w14:textId="188FB32F" w:rsidR="00993DFB" w:rsidRPr="009D0B8E" w:rsidRDefault="00993DFB" w:rsidP="00E2217E">
            <w:pPr>
              <w:spacing w:after="0"/>
              <w:jc w:val="both"/>
              <w:rPr>
                <w:rFonts w:ascii="Times New Roman" w:eastAsia="Times New Roman" w:hAnsi="Times New Roman" w:cs="Times New Roman"/>
                <w:sz w:val="24"/>
                <w:szCs w:val="24"/>
              </w:rPr>
            </w:pPr>
            <w:r w:rsidRPr="009D0B8E">
              <w:rPr>
                <w:rFonts w:ascii="Times New Roman" w:hAnsi="Times New Roman" w:cs="Times New Roman"/>
                <w:sz w:val="24"/>
                <w:szCs w:val="24"/>
              </w:rPr>
              <w:t>21.03</w:t>
            </w:r>
          </w:p>
        </w:tc>
      </w:tr>
      <w:tr w:rsidR="00993DFB" w:rsidRPr="009D0B8E" w14:paraId="6F8DC6B1" w14:textId="1D3C64CE" w:rsidTr="00A12D85">
        <w:trPr>
          <w:trHeight w:val="86"/>
        </w:trPr>
        <w:tc>
          <w:tcPr>
            <w:tcW w:w="6081" w:type="dxa"/>
            <w:vAlign w:val="bottom"/>
          </w:tcPr>
          <w:p w14:paraId="24FD8EEA" w14:textId="75F8696C"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Harvest index (%)</w:t>
            </w:r>
          </w:p>
        </w:tc>
        <w:tc>
          <w:tcPr>
            <w:tcW w:w="973" w:type="dxa"/>
            <w:vAlign w:val="bottom"/>
          </w:tcPr>
          <w:p w14:paraId="2E607F0D" w14:textId="1485A7E2"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39.25</w:t>
            </w:r>
          </w:p>
        </w:tc>
        <w:tc>
          <w:tcPr>
            <w:tcW w:w="992" w:type="dxa"/>
            <w:vAlign w:val="bottom"/>
          </w:tcPr>
          <w:p w14:paraId="4C1D928E" w14:textId="639962B4"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36.95</w:t>
            </w:r>
          </w:p>
        </w:tc>
        <w:tc>
          <w:tcPr>
            <w:tcW w:w="780" w:type="dxa"/>
            <w:vAlign w:val="bottom"/>
          </w:tcPr>
          <w:p w14:paraId="0E3A5426" w14:textId="7820FF5F" w:rsidR="00993DFB" w:rsidRPr="009D0B8E" w:rsidRDefault="009D0B8E" w:rsidP="00E2217E">
            <w:pPr>
              <w:spacing w:after="0"/>
              <w:jc w:val="both"/>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26.37</w:t>
            </w:r>
          </w:p>
        </w:tc>
        <w:tc>
          <w:tcPr>
            <w:tcW w:w="1183" w:type="dxa"/>
            <w:vAlign w:val="bottom"/>
          </w:tcPr>
          <w:p w14:paraId="3D6CD998" w14:textId="169152D5" w:rsidR="00993DFB" w:rsidRPr="009D0B8E" w:rsidRDefault="009D0B8E" w:rsidP="00E2217E">
            <w:pPr>
              <w:spacing w:after="0"/>
              <w:jc w:val="both"/>
              <w:rPr>
                <w:rFonts w:ascii="Times New Roman" w:eastAsia="Times New Roman" w:hAnsi="Times New Roman" w:cs="Times New Roman"/>
                <w:color w:val="000000" w:themeColor="text1"/>
                <w:sz w:val="24"/>
                <w:szCs w:val="24"/>
              </w:rPr>
            </w:pPr>
            <w:r w:rsidRPr="009D0B8E">
              <w:rPr>
                <w:rFonts w:ascii="Times New Roman" w:eastAsia="Times New Roman" w:hAnsi="Times New Roman" w:cs="Times New Roman"/>
                <w:color w:val="000000" w:themeColor="text1"/>
                <w:sz w:val="24"/>
                <w:szCs w:val="24"/>
              </w:rPr>
              <w:t>8.26</w:t>
            </w:r>
          </w:p>
        </w:tc>
        <w:tc>
          <w:tcPr>
            <w:tcW w:w="876" w:type="dxa"/>
            <w:vAlign w:val="bottom"/>
          </w:tcPr>
          <w:p w14:paraId="6EBAE9BA" w14:textId="199E05DB"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2.58</w:t>
            </w:r>
          </w:p>
        </w:tc>
        <w:tc>
          <w:tcPr>
            <w:tcW w:w="872" w:type="dxa"/>
            <w:vAlign w:val="bottom"/>
          </w:tcPr>
          <w:p w14:paraId="6FEA3C07" w14:textId="24652A23" w:rsidR="00993DFB" w:rsidRPr="009D0B8E" w:rsidRDefault="00993DFB" w:rsidP="00E2217E">
            <w:pPr>
              <w:spacing w:after="0"/>
              <w:jc w:val="both"/>
              <w:rPr>
                <w:rFonts w:ascii="Times New Roman" w:eastAsia="Times New Roman" w:hAnsi="Times New Roman" w:cs="Times New Roman"/>
                <w:sz w:val="24"/>
                <w:szCs w:val="24"/>
              </w:rPr>
            </w:pPr>
            <w:r w:rsidRPr="009D0B8E">
              <w:rPr>
                <w:rFonts w:ascii="Times New Roman" w:hAnsi="Times New Roman" w:cs="Times New Roman"/>
                <w:sz w:val="24"/>
                <w:szCs w:val="24"/>
              </w:rPr>
              <w:t>1.59</w:t>
            </w:r>
          </w:p>
        </w:tc>
        <w:tc>
          <w:tcPr>
            <w:tcW w:w="876" w:type="dxa"/>
            <w:vAlign w:val="bottom"/>
          </w:tcPr>
          <w:p w14:paraId="13A5800E" w14:textId="0EC91153"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6.58</w:t>
            </w:r>
          </w:p>
        </w:tc>
        <w:tc>
          <w:tcPr>
            <w:tcW w:w="872" w:type="dxa"/>
            <w:vAlign w:val="bottom"/>
          </w:tcPr>
          <w:p w14:paraId="30F3F7EC" w14:textId="4ED0F90F" w:rsidR="00993DFB" w:rsidRPr="009D0B8E" w:rsidRDefault="00993DFB" w:rsidP="00E2217E">
            <w:pPr>
              <w:spacing w:after="0"/>
              <w:jc w:val="both"/>
              <w:rPr>
                <w:rFonts w:ascii="Times New Roman" w:eastAsia="Times New Roman" w:hAnsi="Times New Roman" w:cs="Times New Roman"/>
                <w:sz w:val="24"/>
                <w:szCs w:val="24"/>
              </w:rPr>
            </w:pPr>
            <w:r w:rsidRPr="009D0B8E">
              <w:rPr>
                <w:rFonts w:ascii="Times New Roman" w:hAnsi="Times New Roman" w:cs="Times New Roman"/>
                <w:sz w:val="24"/>
                <w:szCs w:val="24"/>
              </w:rPr>
              <w:t>4.31</w:t>
            </w:r>
          </w:p>
        </w:tc>
      </w:tr>
      <w:tr w:rsidR="00993DFB" w:rsidRPr="009D0B8E" w14:paraId="18915301" w14:textId="1133F7AF" w:rsidTr="00A12D85">
        <w:trPr>
          <w:trHeight w:val="86"/>
        </w:trPr>
        <w:tc>
          <w:tcPr>
            <w:tcW w:w="6081" w:type="dxa"/>
            <w:vAlign w:val="bottom"/>
          </w:tcPr>
          <w:p w14:paraId="2D0C5E1A" w14:textId="75571DF9"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Grain yield per plant (g)</w:t>
            </w:r>
          </w:p>
        </w:tc>
        <w:tc>
          <w:tcPr>
            <w:tcW w:w="973" w:type="dxa"/>
            <w:vAlign w:val="bottom"/>
          </w:tcPr>
          <w:p w14:paraId="4E82D134" w14:textId="469B0DC4"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15.79</w:t>
            </w:r>
          </w:p>
        </w:tc>
        <w:tc>
          <w:tcPr>
            <w:tcW w:w="992" w:type="dxa"/>
            <w:vAlign w:val="bottom"/>
          </w:tcPr>
          <w:p w14:paraId="2108861E" w14:textId="73FFDB90"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sz w:val="24"/>
                <w:szCs w:val="24"/>
              </w:rPr>
              <w:t>15.10</w:t>
            </w:r>
          </w:p>
        </w:tc>
        <w:tc>
          <w:tcPr>
            <w:tcW w:w="780" w:type="dxa"/>
            <w:vAlign w:val="bottom"/>
          </w:tcPr>
          <w:p w14:paraId="427BCAA9" w14:textId="5F4059F7" w:rsidR="00993DFB" w:rsidRPr="009D0B8E" w:rsidRDefault="009D0B8E"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18.65</w:t>
            </w:r>
          </w:p>
        </w:tc>
        <w:tc>
          <w:tcPr>
            <w:tcW w:w="1183" w:type="dxa"/>
            <w:vAlign w:val="bottom"/>
          </w:tcPr>
          <w:p w14:paraId="484F6AB9" w14:textId="2E0AA911" w:rsidR="00993DFB" w:rsidRPr="009D0B8E" w:rsidRDefault="009D0B8E"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color w:val="000000" w:themeColor="text1"/>
                <w:sz w:val="24"/>
                <w:szCs w:val="24"/>
              </w:rPr>
              <w:t>18.10</w:t>
            </w:r>
          </w:p>
        </w:tc>
        <w:tc>
          <w:tcPr>
            <w:tcW w:w="876" w:type="dxa"/>
            <w:vAlign w:val="bottom"/>
          </w:tcPr>
          <w:p w14:paraId="221A92FB" w14:textId="3D7D2FED"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5.64</w:t>
            </w:r>
          </w:p>
        </w:tc>
        <w:tc>
          <w:tcPr>
            <w:tcW w:w="872" w:type="dxa"/>
            <w:vAlign w:val="bottom"/>
          </w:tcPr>
          <w:p w14:paraId="3F64BC36" w14:textId="38C915DD" w:rsidR="00993DFB" w:rsidRPr="009D0B8E" w:rsidRDefault="00993DFB" w:rsidP="00E2217E">
            <w:pPr>
              <w:spacing w:after="0"/>
              <w:jc w:val="both"/>
              <w:rPr>
                <w:rFonts w:ascii="Times New Roman" w:eastAsia="Times New Roman" w:hAnsi="Times New Roman" w:cs="Times New Roman"/>
                <w:sz w:val="24"/>
                <w:szCs w:val="24"/>
              </w:rPr>
            </w:pPr>
            <w:r w:rsidRPr="009D0B8E">
              <w:rPr>
                <w:rFonts w:ascii="Times New Roman" w:hAnsi="Times New Roman" w:cs="Times New Roman"/>
                <w:sz w:val="24"/>
                <w:szCs w:val="24"/>
              </w:rPr>
              <w:t>4.23</w:t>
            </w:r>
          </w:p>
        </w:tc>
        <w:tc>
          <w:tcPr>
            <w:tcW w:w="876" w:type="dxa"/>
            <w:vAlign w:val="bottom"/>
          </w:tcPr>
          <w:p w14:paraId="70857C00" w14:textId="6C1D5410" w:rsidR="00993DFB" w:rsidRPr="009D0B8E" w:rsidRDefault="00993DFB" w:rsidP="00E2217E">
            <w:pPr>
              <w:spacing w:after="0"/>
              <w:jc w:val="both"/>
              <w:rPr>
                <w:rFonts w:ascii="Times New Roman" w:eastAsia="Times New Roman" w:hAnsi="Times New Roman" w:cs="Times New Roman"/>
                <w:color w:val="000000" w:themeColor="text1"/>
                <w:sz w:val="24"/>
                <w:szCs w:val="24"/>
              </w:rPr>
            </w:pPr>
            <w:r w:rsidRPr="009D0B8E">
              <w:rPr>
                <w:rFonts w:ascii="Times New Roman" w:hAnsi="Times New Roman" w:cs="Times New Roman"/>
                <w:sz w:val="24"/>
                <w:szCs w:val="24"/>
              </w:rPr>
              <w:t>35.69</w:t>
            </w:r>
          </w:p>
        </w:tc>
        <w:tc>
          <w:tcPr>
            <w:tcW w:w="872" w:type="dxa"/>
            <w:vAlign w:val="bottom"/>
          </w:tcPr>
          <w:p w14:paraId="11B1B2EB" w14:textId="1F54D17F" w:rsidR="00993DFB" w:rsidRPr="009D0B8E" w:rsidRDefault="00993DFB" w:rsidP="00E2217E">
            <w:pPr>
              <w:spacing w:after="0"/>
              <w:jc w:val="both"/>
              <w:rPr>
                <w:rFonts w:ascii="Times New Roman" w:eastAsia="Times New Roman" w:hAnsi="Times New Roman" w:cs="Times New Roman"/>
                <w:sz w:val="24"/>
                <w:szCs w:val="24"/>
              </w:rPr>
            </w:pPr>
            <w:r w:rsidRPr="009D0B8E">
              <w:rPr>
                <w:rFonts w:ascii="Times New Roman" w:hAnsi="Times New Roman" w:cs="Times New Roman"/>
                <w:sz w:val="24"/>
                <w:szCs w:val="24"/>
              </w:rPr>
              <w:t>28.02</w:t>
            </w:r>
          </w:p>
        </w:tc>
      </w:tr>
    </w:tbl>
    <w:bookmarkEnd w:id="1"/>
    <w:p w14:paraId="4A57584F" w14:textId="5E9500D9" w:rsidR="00EE3FA7" w:rsidRDefault="00A12D85" w:rsidP="00041E69">
      <w:pPr>
        <w:spacing w:line="360" w:lineRule="auto"/>
        <w:ind w:left="-142" w:firstLine="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w:t>
      </w:r>
      <w:r w:rsidR="009D0B8E">
        <w:rPr>
          <w:rFonts w:ascii="Times New Roman" w:hAnsi="Times New Roman" w:cs="Times New Roman"/>
          <w:color w:val="000000" w:themeColor="text1"/>
          <w:sz w:val="24"/>
          <w:szCs w:val="24"/>
        </w:rPr>
        <w:t xml:space="preserve"> </w:t>
      </w:r>
      <w:r w:rsidR="0065157E">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006D6A39">
        <w:rPr>
          <w:rFonts w:ascii="Times New Roman" w:hAnsi="Times New Roman" w:cs="Times New Roman"/>
          <w:color w:val="000000" w:themeColor="text1"/>
          <w:sz w:val="24"/>
          <w:szCs w:val="24"/>
        </w:rPr>
        <w:t>H</w:t>
      </w:r>
      <w:r w:rsidR="006D6A39" w:rsidRPr="006D6A39">
        <w:rPr>
          <w:rFonts w:ascii="Times New Roman" w:hAnsi="Times New Roman" w:cs="Times New Roman"/>
          <w:color w:val="000000" w:themeColor="text1"/>
          <w:sz w:val="24"/>
          <w:szCs w:val="24"/>
        </w:rPr>
        <w:t xml:space="preserve">eritability (narrow sense) and genetic advance % over mean in </w:t>
      </w:r>
      <w:r w:rsidR="009D0B8E">
        <w:rPr>
          <w:rFonts w:ascii="Times New Roman" w:hAnsi="Times New Roman" w:cs="Times New Roman"/>
          <w:color w:val="000000" w:themeColor="text1"/>
          <w:sz w:val="24"/>
          <w:szCs w:val="24"/>
        </w:rPr>
        <w:t>thirteen</w:t>
      </w:r>
      <w:r w:rsidR="006D6A39" w:rsidRPr="006D6A39">
        <w:rPr>
          <w:rFonts w:ascii="Times New Roman" w:hAnsi="Times New Roman" w:cs="Times New Roman"/>
          <w:color w:val="000000" w:themeColor="text1"/>
          <w:sz w:val="24"/>
          <w:szCs w:val="24"/>
        </w:rPr>
        <w:t xml:space="preserve"> characters of </w:t>
      </w:r>
      <w:r w:rsidR="009D0B8E">
        <w:rPr>
          <w:rFonts w:ascii="Times New Roman" w:hAnsi="Times New Roman" w:cs="Times New Roman"/>
          <w:color w:val="000000" w:themeColor="text1"/>
          <w:sz w:val="24"/>
          <w:szCs w:val="24"/>
        </w:rPr>
        <w:t>wheat</w:t>
      </w:r>
      <w:r w:rsidR="006D6A39">
        <w:rPr>
          <w:rFonts w:ascii="Times New Roman" w:hAnsi="Times New Roman" w:cs="Times New Roman"/>
          <w:color w:val="000000" w:themeColor="text1"/>
          <w:sz w:val="24"/>
          <w:szCs w:val="24"/>
        </w:rPr>
        <w:t xml:space="preserve"> </w:t>
      </w:r>
      <w:r w:rsidR="006D6A39" w:rsidRPr="006D6A39">
        <w:rPr>
          <w:rFonts w:ascii="Times New Roman" w:hAnsi="Times New Roman" w:cs="Times New Roman"/>
          <w:i/>
          <w:iCs/>
          <w:color w:val="000000" w:themeColor="text1"/>
          <w:sz w:val="24"/>
          <w:szCs w:val="24"/>
        </w:rPr>
        <w:t>(</w:t>
      </w:r>
      <w:r w:rsidR="009D0B8E">
        <w:rPr>
          <w:rFonts w:ascii="Times New Roman" w:hAnsi="Times New Roman" w:cs="Times New Roman"/>
          <w:i/>
          <w:iCs/>
          <w:color w:val="000000" w:themeColor="text1"/>
          <w:sz w:val="24"/>
          <w:szCs w:val="24"/>
        </w:rPr>
        <w:t>Triticum aestivum</w:t>
      </w:r>
      <w:r w:rsidR="009D0B8E">
        <w:rPr>
          <w:rFonts w:ascii="Times New Roman" w:hAnsi="Times New Roman" w:cs="Times New Roman"/>
          <w:color w:val="000000" w:themeColor="text1"/>
          <w:sz w:val="24"/>
          <w:szCs w:val="24"/>
        </w:rPr>
        <w:t xml:space="preserve"> </w:t>
      </w:r>
      <w:r w:rsidR="006D6A39">
        <w:rPr>
          <w:rFonts w:ascii="Times New Roman" w:hAnsi="Times New Roman" w:cs="Times New Roman"/>
          <w:color w:val="000000" w:themeColor="text1"/>
          <w:sz w:val="24"/>
          <w:szCs w:val="24"/>
        </w:rPr>
        <w:t>L.)</w:t>
      </w:r>
    </w:p>
    <w:p w14:paraId="50E3F2C0" w14:textId="7123D942" w:rsidR="006D6A39" w:rsidRPr="006D6A39" w:rsidRDefault="006D6A39" w:rsidP="00E2217E">
      <w:pPr>
        <w:spacing w:line="360" w:lineRule="auto"/>
        <w:ind w:right="911"/>
        <w:jc w:val="both"/>
        <w:rPr>
          <w:rFonts w:ascii="Times New Roman" w:hAnsi="Times New Roman" w:cs="Times New Roman"/>
          <w:color w:val="000000" w:themeColor="text1"/>
          <w:sz w:val="20"/>
          <w:szCs w:val="20"/>
        </w:rPr>
      </w:pPr>
    </w:p>
    <w:sectPr w:rsidR="006D6A39" w:rsidRPr="006D6A39" w:rsidSect="00585C63">
      <w:pgSz w:w="15840" w:h="12240" w:orient="landscape"/>
      <w:pgMar w:top="1797" w:right="1440" w:bottom="1797"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F19CA2" w16cex:dateUtc="2025-12-18T06:46:00Z"/>
  <w16cex:commentExtensible w16cex:durableId="253A6A24" w16cex:dateUtc="2025-12-18T06:46:00Z"/>
  <w16cex:commentExtensible w16cex:durableId="00512BBF" w16cex:dateUtc="2025-12-18T06:47:00Z"/>
  <w16cex:commentExtensible w16cex:durableId="0B5DB701" w16cex:dateUtc="2025-12-18T06:54:00Z"/>
  <w16cex:commentExtensible w16cex:durableId="47366BD0" w16cex:dateUtc="2025-12-18T06:55:00Z"/>
  <w16cex:commentExtensible w16cex:durableId="7A973C9D" w16cex:dateUtc="2025-12-18T08:54:00Z"/>
  <w16cex:commentExtensible w16cex:durableId="79BA6CE5" w16cex:dateUtc="2025-12-18T08:57:00Z"/>
  <w16cex:commentExtensible w16cex:durableId="01250A3A" w16cex:dateUtc="2025-12-18T08:55:00Z"/>
  <w16cex:commentExtensible w16cex:durableId="4C127B46" w16cex:dateUtc="2025-12-18T09: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9CBB5" w14:textId="77777777" w:rsidR="00EE1736" w:rsidRDefault="00EE1736" w:rsidP="007C77D9">
      <w:pPr>
        <w:spacing w:after="0" w:line="240" w:lineRule="auto"/>
      </w:pPr>
      <w:r>
        <w:separator/>
      </w:r>
    </w:p>
  </w:endnote>
  <w:endnote w:type="continuationSeparator" w:id="0">
    <w:p w14:paraId="4755594D" w14:textId="77777777" w:rsidR="00EE1736" w:rsidRDefault="00EE1736" w:rsidP="007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A5CFC" w14:textId="77777777" w:rsidR="007C77D9" w:rsidRDefault="007C7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48B29" w14:textId="77777777" w:rsidR="007C77D9" w:rsidRDefault="007C77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3ABBC" w14:textId="77777777" w:rsidR="007C77D9" w:rsidRDefault="007C7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88D11" w14:textId="77777777" w:rsidR="00EE1736" w:rsidRDefault="00EE1736" w:rsidP="007C77D9">
      <w:pPr>
        <w:spacing w:after="0" w:line="240" w:lineRule="auto"/>
      </w:pPr>
      <w:r>
        <w:separator/>
      </w:r>
    </w:p>
  </w:footnote>
  <w:footnote w:type="continuationSeparator" w:id="0">
    <w:p w14:paraId="63EADF53" w14:textId="77777777" w:rsidR="00EE1736" w:rsidRDefault="00EE1736" w:rsidP="007C7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F0063" w14:textId="1AB807B3" w:rsidR="007C77D9" w:rsidRDefault="00B07B10">
    <w:pPr>
      <w:pStyle w:val="Header"/>
    </w:pPr>
    <w:r>
      <w:rPr>
        <w:noProof/>
      </w:rPr>
      <w:pict w14:anchorId="762594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609282"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16AD3" w14:textId="737C2712" w:rsidR="007C77D9" w:rsidRDefault="00B07B10">
    <w:pPr>
      <w:pStyle w:val="Header"/>
    </w:pPr>
    <w:r>
      <w:rPr>
        <w:noProof/>
      </w:rPr>
      <w:pict w14:anchorId="5E4AB7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609283"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7D2AF" w14:textId="4B0F6DA9" w:rsidR="007C77D9" w:rsidRDefault="00B07B10">
    <w:pPr>
      <w:pStyle w:val="Header"/>
    </w:pPr>
    <w:r>
      <w:rPr>
        <w:noProof/>
      </w:rPr>
      <w:pict w14:anchorId="38F286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609281"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A6D3587"/>
    <w:multiLevelType w:val="hybridMultilevel"/>
    <w:tmpl w:val="92DC7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AwNTMwMjU2NDE1NDNS0lEKTi0uzszPAykwrAUA+q9VtCwAAAA="/>
  </w:docVars>
  <w:rsids>
    <w:rsidRoot w:val="00B47730"/>
    <w:rsid w:val="000146E6"/>
    <w:rsid w:val="0003155E"/>
    <w:rsid w:val="00034616"/>
    <w:rsid w:val="00041E69"/>
    <w:rsid w:val="0006063C"/>
    <w:rsid w:val="00060CFB"/>
    <w:rsid w:val="00063981"/>
    <w:rsid w:val="000744C8"/>
    <w:rsid w:val="000755ED"/>
    <w:rsid w:val="000910D4"/>
    <w:rsid w:val="000B0B97"/>
    <w:rsid w:val="000D412B"/>
    <w:rsid w:val="00125891"/>
    <w:rsid w:val="0015074B"/>
    <w:rsid w:val="00180410"/>
    <w:rsid w:val="00195E09"/>
    <w:rsid w:val="001A15A4"/>
    <w:rsid w:val="001C54A7"/>
    <w:rsid w:val="001F43BB"/>
    <w:rsid w:val="00202481"/>
    <w:rsid w:val="00241373"/>
    <w:rsid w:val="002444AB"/>
    <w:rsid w:val="00255E9A"/>
    <w:rsid w:val="00273DE4"/>
    <w:rsid w:val="00283A66"/>
    <w:rsid w:val="0029639D"/>
    <w:rsid w:val="002B2543"/>
    <w:rsid w:val="002B5259"/>
    <w:rsid w:val="002F5F59"/>
    <w:rsid w:val="002F6225"/>
    <w:rsid w:val="00307991"/>
    <w:rsid w:val="0032290F"/>
    <w:rsid w:val="00326934"/>
    <w:rsid w:val="00326F90"/>
    <w:rsid w:val="003815A3"/>
    <w:rsid w:val="003925DE"/>
    <w:rsid w:val="003A09BD"/>
    <w:rsid w:val="00420CB0"/>
    <w:rsid w:val="004572D9"/>
    <w:rsid w:val="004A03A8"/>
    <w:rsid w:val="004B44CA"/>
    <w:rsid w:val="004C30B9"/>
    <w:rsid w:val="004C676D"/>
    <w:rsid w:val="004D7D1B"/>
    <w:rsid w:val="004E3BBD"/>
    <w:rsid w:val="00501CAC"/>
    <w:rsid w:val="00560D0D"/>
    <w:rsid w:val="00585C63"/>
    <w:rsid w:val="005A38FC"/>
    <w:rsid w:val="005B0A02"/>
    <w:rsid w:val="005B29A3"/>
    <w:rsid w:val="005D280F"/>
    <w:rsid w:val="005E1574"/>
    <w:rsid w:val="005E5B74"/>
    <w:rsid w:val="005F14D6"/>
    <w:rsid w:val="0060670E"/>
    <w:rsid w:val="00617604"/>
    <w:rsid w:val="00643254"/>
    <w:rsid w:val="0065157E"/>
    <w:rsid w:val="00683839"/>
    <w:rsid w:val="006870FC"/>
    <w:rsid w:val="006A3D04"/>
    <w:rsid w:val="006B42C8"/>
    <w:rsid w:val="006C1C6E"/>
    <w:rsid w:val="006D40ED"/>
    <w:rsid w:val="006D6A39"/>
    <w:rsid w:val="006E2226"/>
    <w:rsid w:val="006F4AAA"/>
    <w:rsid w:val="00702157"/>
    <w:rsid w:val="00722C07"/>
    <w:rsid w:val="00723484"/>
    <w:rsid w:val="00747D07"/>
    <w:rsid w:val="007528DA"/>
    <w:rsid w:val="007553FA"/>
    <w:rsid w:val="007675CC"/>
    <w:rsid w:val="007A1F3F"/>
    <w:rsid w:val="007A7B55"/>
    <w:rsid w:val="007C77D9"/>
    <w:rsid w:val="00830A2F"/>
    <w:rsid w:val="00882412"/>
    <w:rsid w:val="008A118B"/>
    <w:rsid w:val="00991410"/>
    <w:rsid w:val="00993DFB"/>
    <w:rsid w:val="009A75D5"/>
    <w:rsid w:val="009B2E3F"/>
    <w:rsid w:val="009C3699"/>
    <w:rsid w:val="009C4174"/>
    <w:rsid w:val="009D0B8E"/>
    <w:rsid w:val="009D484B"/>
    <w:rsid w:val="00A12D85"/>
    <w:rsid w:val="00A5594F"/>
    <w:rsid w:val="00A73091"/>
    <w:rsid w:val="00A8467D"/>
    <w:rsid w:val="00A922D0"/>
    <w:rsid w:val="00AA1D8D"/>
    <w:rsid w:val="00AB7D9E"/>
    <w:rsid w:val="00AC074E"/>
    <w:rsid w:val="00AC2E85"/>
    <w:rsid w:val="00B07B10"/>
    <w:rsid w:val="00B25842"/>
    <w:rsid w:val="00B47730"/>
    <w:rsid w:val="00B52822"/>
    <w:rsid w:val="00B70ACF"/>
    <w:rsid w:val="00B84B5F"/>
    <w:rsid w:val="00BA1251"/>
    <w:rsid w:val="00BC0F1C"/>
    <w:rsid w:val="00BD46CC"/>
    <w:rsid w:val="00BE22BF"/>
    <w:rsid w:val="00BE2DCF"/>
    <w:rsid w:val="00BE5DD7"/>
    <w:rsid w:val="00C91455"/>
    <w:rsid w:val="00CA3567"/>
    <w:rsid w:val="00CB0664"/>
    <w:rsid w:val="00D52750"/>
    <w:rsid w:val="00D65599"/>
    <w:rsid w:val="00D726A8"/>
    <w:rsid w:val="00DE27D5"/>
    <w:rsid w:val="00DE4892"/>
    <w:rsid w:val="00DE713F"/>
    <w:rsid w:val="00E1716A"/>
    <w:rsid w:val="00E2217E"/>
    <w:rsid w:val="00E40FA8"/>
    <w:rsid w:val="00E41E4C"/>
    <w:rsid w:val="00E63158"/>
    <w:rsid w:val="00E7048A"/>
    <w:rsid w:val="00EA0652"/>
    <w:rsid w:val="00EA2F06"/>
    <w:rsid w:val="00EE12D1"/>
    <w:rsid w:val="00EE1736"/>
    <w:rsid w:val="00EE3FA7"/>
    <w:rsid w:val="00EE6C9A"/>
    <w:rsid w:val="00F2298A"/>
    <w:rsid w:val="00F73B0E"/>
    <w:rsid w:val="00F878A9"/>
    <w:rsid w:val="00FB0E95"/>
    <w:rsid w:val="00FC227E"/>
    <w:rsid w:val="00FC693F"/>
    <w:rsid w:val="00FC6ACA"/>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AC1EDF6"/>
  <w14:defaultImageDpi w14:val="330"/>
  <w15:docId w15:val="{9FD0A3E7-3E5E-41D8-A4FF-5E32F47B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55E9A"/>
    <w:rPr>
      <w:color w:val="0000FF" w:themeColor="hyperlink"/>
      <w:u w:val="single"/>
    </w:rPr>
  </w:style>
  <w:style w:type="character" w:customStyle="1" w:styleId="UnresolvedMention1">
    <w:name w:val="Unresolved Mention1"/>
    <w:basedOn w:val="DefaultParagraphFont"/>
    <w:uiPriority w:val="99"/>
    <w:semiHidden/>
    <w:unhideWhenUsed/>
    <w:rsid w:val="00255E9A"/>
    <w:rPr>
      <w:color w:val="605E5C"/>
      <w:shd w:val="clear" w:color="auto" w:fill="E1DFDD"/>
    </w:rPr>
  </w:style>
  <w:style w:type="character" w:styleId="CommentReference">
    <w:name w:val="annotation reference"/>
    <w:basedOn w:val="DefaultParagraphFont"/>
    <w:uiPriority w:val="99"/>
    <w:semiHidden/>
    <w:unhideWhenUsed/>
    <w:rsid w:val="00AC074E"/>
    <w:rPr>
      <w:sz w:val="16"/>
      <w:szCs w:val="16"/>
    </w:rPr>
  </w:style>
  <w:style w:type="paragraph" w:styleId="CommentText">
    <w:name w:val="annotation text"/>
    <w:basedOn w:val="Normal"/>
    <w:link w:val="CommentTextChar"/>
    <w:uiPriority w:val="99"/>
    <w:unhideWhenUsed/>
    <w:rsid w:val="00AC074E"/>
    <w:pPr>
      <w:spacing w:line="240" w:lineRule="auto"/>
    </w:pPr>
    <w:rPr>
      <w:sz w:val="20"/>
      <w:szCs w:val="20"/>
    </w:rPr>
  </w:style>
  <w:style w:type="character" w:customStyle="1" w:styleId="CommentTextChar">
    <w:name w:val="Comment Text Char"/>
    <w:basedOn w:val="DefaultParagraphFont"/>
    <w:link w:val="CommentText"/>
    <w:uiPriority w:val="99"/>
    <w:rsid w:val="00AC074E"/>
    <w:rPr>
      <w:sz w:val="20"/>
      <w:szCs w:val="20"/>
    </w:rPr>
  </w:style>
  <w:style w:type="paragraph" w:styleId="CommentSubject">
    <w:name w:val="annotation subject"/>
    <w:basedOn w:val="CommentText"/>
    <w:next w:val="CommentText"/>
    <w:link w:val="CommentSubjectChar"/>
    <w:uiPriority w:val="99"/>
    <w:semiHidden/>
    <w:unhideWhenUsed/>
    <w:rsid w:val="00AC074E"/>
    <w:rPr>
      <w:b/>
      <w:bCs/>
    </w:rPr>
  </w:style>
  <w:style w:type="character" w:customStyle="1" w:styleId="CommentSubjectChar">
    <w:name w:val="Comment Subject Char"/>
    <w:basedOn w:val="CommentTextChar"/>
    <w:link w:val="CommentSubject"/>
    <w:uiPriority w:val="99"/>
    <w:semiHidden/>
    <w:rsid w:val="00AC074E"/>
    <w:rPr>
      <w:b/>
      <w:bCs/>
      <w:sz w:val="20"/>
      <w:szCs w:val="20"/>
    </w:rPr>
  </w:style>
  <w:style w:type="paragraph" w:styleId="BalloonText">
    <w:name w:val="Balloon Text"/>
    <w:basedOn w:val="Normal"/>
    <w:link w:val="BalloonTextChar"/>
    <w:uiPriority w:val="99"/>
    <w:semiHidden/>
    <w:unhideWhenUsed/>
    <w:rsid w:val="002024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4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046006">
      <w:bodyDiv w:val="1"/>
      <w:marLeft w:val="0"/>
      <w:marRight w:val="0"/>
      <w:marTop w:val="0"/>
      <w:marBottom w:val="0"/>
      <w:divBdr>
        <w:top w:val="none" w:sz="0" w:space="0" w:color="auto"/>
        <w:left w:val="none" w:sz="0" w:space="0" w:color="auto"/>
        <w:bottom w:val="none" w:sz="0" w:space="0" w:color="auto"/>
        <w:right w:val="none" w:sz="0" w:space="0" w:color="auto"/>
      </w:divBdr>
      <w:divsChild>
        <w:div w:id="622686986">
          <w:marLeft w:val="0"/>
          <w:marRight w:val="0"/>
          <w:marTop w:val="0"/>
          <w:marBottom w:val="0"/>
          <w:divBdr>
            <w:top w:val="none" w:sz="0" w:space="0" w:color="auto"/>
            <w:left w:val="none" w:sz="0" w:space="0" w:color="auto"/>
            <w:bottom w:val="none" w:sz="0" w:space="0" w:color="auto"/>
            <w:right w:val="none" w:sz="0" w:space="0" w:color="auto"/>
          </w:divBdr>
          <w:divsChild>
            <w:div w:id="497431103">
              <w:marLeft w:val="-225"/>
              <w:marRight w:val="-225"/>
              <w:marTop w:val="0"/>
              <w:marBottom w:val="0"/>
              <w:divBdr>
                <w:top w:val="none" w:sz="0" w:space="0" w:color="auto"/>
                <w:left w:val="none" w:sz="0" w:space="0" w:color="auto"/>
                <w:bottom w:val="none" w:sz="0" w:space="0" w:color="auto"/>
                <w:right w:val="none" w:sz="0" w:space="0" w:color="auto"/>
              </w:divBdr>
              <w:divsChild>
                <w:div w:id="1736858528">
                  <w:marLeft w:val="0"/>
                  <w:marRight w:val="0"/>
                  <w:marTop w:val="0"/>
                  <w:marBottom w:val="0"/>
                  <w:divBdr>
                    <w:top w:val="none" w:sz="0" w:space="0" w:color="auto"/>
                    <w:left w:val="none" w:sz="0" w:space="0" w:color="auto"/>
                    <w:bottom w:val="none" w:sz="0" w:space="0" w:color="auto"/>
                    <w:right w:val="none" w:sz="0" w:space="0" w:color="auto"/>
                  </w:divBdr>
                  <w:divsChild>
                    <w:div w:id="408041885">
                      <w:marLeft w:val="0"/>
                      <w:marRight w:val="0"/>
                      <w:marTop w:val="0"/>
                      <w:marBottom w:val="0"/>
                      <w:divBdr>
                        <w:top w:val="none" w:sz="0" w:space="0" w:color="auto"/>
                        <w:left w:val="none" w:sz="0" w:space="0" w:color="auto"/>
                        <w:bottom w:val="none" w:sz="0" w:space="0" w:color="auto"/>
                        <w:right w:val="none" w:sz="0" w:space="0" w:color="auto"/>
                      </w:divBdr>
                      <w:divsChild>
                        <w:div w:id="101465293">
                          <w:marLeft w:val="0"/>
                          <w:marRight w:val="0"/>
                          <w:marTop w:val="0"/>
                          <w:marBottom w:val="0"/>
                          <w:divBdr>
                            <w:top w:val="none" w:sz="0" w:space="0" w:color="auto"/>
                            <w:left w:val="none" w:sz="0" w:space="0" w:color="auto"/>
                            <w:bottom w:val="none" w:sz="0" w:space="0" w:color="auto"/>
                            <w:right w:val="none" w:sz="0" w:space="0" w:color="auto"/>
                          </w:divBdr>
                          <w:divsChild>
                            <w:div w:id="518591683">
                              <w:marLeft w:val="0"/>
                              <w:marRight w:val="0"/>
                              <w:marTop w:val="0"/>
                              <w:marBottom w:val="0"/>
                              <w:divBdr>
                                <w:top w:val="none" w:sz="0" w:space="0" w:color="auto"/>
                                <w:left w:val="none" w:sz="0" w:space="0" w:color="auto"/>
                                <w:bottom w:val="none" w:sz="0" w:space="0" w:color="auto"/>
                                <w:right w:val="none" w:sz="0" w:space="0" w:color="auto"/>
                              </w:divBdr>
                              <w:divsChild>
                                <w:div w:id="1018504449">
                                  <w:marLeft w:val="0"/>
                                  <w:marRight w:val="0"/>
                                  <w:marTop w:val="0"/>
                                  <w:marBottom w:val="0"/>
                                  <w:divBdr>
                                    <w:top w:val="none" w:sz="0" w:space="0" w:color="auto"/>
                                    <w:left w:val="none" w:sz="0" w:space="0" w:color="auto"/>
                                    <w:bottom w:val="none" w:sz="0" w:space="0" w:color="auto"/>
                                    <w:right w:val="none" w:sz="0" w:space="0" w:color="auto"/>
                                  </w:divBdr>
                                  <w:divsChild>
                                    <w:div w:id="68729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605140">
      <w:bodyDiv w:val="1"/>
      <w:marLeft w:val="0"/>
      <w:marRight w:val="0"/>
      <w:marTop w:val="0"/>
      <w:marBottom w:val="0"/>
      <w:divBdr>
        <w:top w:val="none" w:sz="0" w:space="0" w:color="auto"/>
        <w:left w:val="none" w:sz="0" w:space="0" w:color="auto"/>
        <w:bottom w:val="none" w:sz="0" w:space="0" w:color="auto"/>
        <w:right w:val="none" w:sz="0" w:space="0" w:color="auto"/>
      </w:divBdr>
      <w:divsChild>
        <w:div w:id="231505407">
          <w:marLeft w:val="0"/>
          <w:marRight w:val="0"/>
          <w:marTop w:val="0"/>
          <w:marBottom w:val="0"/>
          <w:divBdr>
            <w:top w:val="none" w:sz="0" w:space="0" w:color="auto"/>
            <w:left w:val="none" w:sz="0" w:space="0" w:color="auto"/>
            <w:bottom w:val="none" w:sz="0" w:space="0" w:color="auto"/>
            <w:right w:val="none" w:sz="0" w:space="0" w:color="auto"/>
          </w:divBdr>
          <w:divsChild>
            <w:div w:id="595208078">
              <w:marLeft w:val="0"/>
              <w:marRight w:val="0"/>
              <w:marTop w:val="0"/>
              <w:marBottom w:val="0"/>
              <w:divBdr>
                <w:top w:val="none" w:sz="0" w:space="0" w:color="auto"/>
                <w:left w:val="none" w:sz="0" w:space="0" w:color="auto"/>
                <w:bottom w:val="none" w:sz="0" w:space="0" w:color="auto"/>
                <w:right w:val="none" w:sz="0" w:space="0" w:color="auto"/>
              </w:divBdr>
              <w:divsChild>
                <w:div w:id="1280797437">
                  <w:marLeft w:val="0"/>
                  <w:marRight w:val="0"/>
                  <w:marTop w:val="0"/>
                  <w:marBottom w:val="0"/>
                  <w:divBdr>
                    <w:top w:val="none" w:sz="0" w:space="0" w:color="auto"/>
                    <w:left w:val="none" w:sz="0" w:space="0" w:color="auto"/>
                    <w:bottom w:val="none" w:sz="0" w:space="0" w:color="auto"/>
                    <w:right w:val="none" w:sz="0" w:space="0" w:color="auto"/>
                  </w:divBdr>
                  <w:divsChild>
                    <w:div w:id="19402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124066">
      <w:bodyDiv w:val="1"/>
      <w:marLeft w:val="0"/>
      <w:marRight w:val="0"/>
      <w:marTop w:val="0"/>
      <w:marBottom w:val="0"/>
      <w:divBdr>
        <w:top w:val="none" w:sz="0" w:space="0" w:color="auto"/>
        <w:left w:val="none" w:sz="0" w:space="0" w:color="auto"/>
        <w:bottom w:val="none" w:sz="0" w:space="0" w:color="auto"/>
        <w:right w:val="none" w:sz="0" w:space="0" w:color="auto"/>
      </w:divBdr>
      <w:divsChild>
        <w:div w:id="204607508">
          <w:marLeft w:val="0"/>
          <w:marRight w:val="0"/>
          <w:marTop w:val="0"/>
          <w:marBottom w:val="0"/>
          <w:divBdr>
            <w:top w:val="none" w:sz="0" w:space="0" w:color="auto"/>
            <w:left w:val="none" w:sz="0" w:space="0" w:color="auto"/>
            <w:bottom w:val="none" w:sz="0" w:space="0" w:color="auto"/>
            <w:right w:val="none" w:sz="0" w:space="0" w:color="auto"/>
          </w:divBdr>
          <w:divsChild>
            <w:div w:id="1403873928">
              <w:marLeft w:val="0"/>
              <w:marRight w:val="0"/>
              <w:marTop w:val="0"/>
              <w:marBottom w:val="0"/>
              <w:divBdr>
                <w:top w:val="none" w:sz="0" w:space="0" w:color="auto"/>
                <w:left w:val="none" w:sz="0" w:space="0" w:color="auto"/>
                <w:bottom w:val="none" w:sz="0" w:space="0" w:color="auto"/>
                <w:right w:val="none" w:sz="0" w:space="0" w:color="auto"/>
              </w:divBdr>
              <w:divsChild>
                <w:div w:id="483090851">
                  <w:marLeft w:val="0"/>
                  <w:marRight w:val="0"/>
                  <w:marTop w:val="0"/>
                  <w:marBottom w:val="0"/>
                  <w:divBdr>
                    <w:top w:val="none" w:sz="0" w:space="0" w:color="auto"/>
                    <w:left w:val="none" w:sz="0" w:space="0" w:color="auto"/>
                    <w:bottom w:val="none" w:sz="0" w:space="0" w:color="auto"/>
                    <w:right w:val="none" w:sz="0" w:space="0" w:color="auto"/>
                  </w:divBdr>
                  <w:divsChild>
                    <w:div w:id="10908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036955">
      <w:bodyDiv w:val="1"/>
      <w:marLeft w:val="0"/>
      <w:marRight w:val="0"/>
      <w:marTop w:val="0"/>
      <w:marBottom w:val="0"/>
      <w:divBdr>
        <w:top w:val="none" w:sz="0" w:space="0" w:color="auto"/>
        <w:left w:val="none" w:sz="0" w:space="0" w:color="auto"/>
        <w:bottom w:val="none" w:sz="0" w:space="0" w:color="auto"/>
        <w:right w:val="none" w:sz="0" w:space="0" w:color="auto"/>
      </w:divBdr>
      <w:divsChild>
        <w:div w:id="1047997836">
          <w:marLeft w:val="0"/>
          <w:marRight w:val="0"/>
          <w:marTop w:val="0"/>
          <w:marBottom w:val="0"/>
          <w:divBdr>
            <w:top w:val="none" w:sz="0" w:space="0" w:color="auto"/>
            <w:left w:val="none" w:sz="0" w:space="0" w:color="auto"/>
            <w:bottom w:val="none" w:sz="0" w:space="0" w:color="auto"/>
            <w:right w:val="none" w:sz="0" w:space="0" w:color="auto"/>
          </w:divBdr>
          <w:divsChild>
            <w:div w:id="359089499">
              <w:marLeft w:val="0"/>
              <w:marRight w:val="0"/>
              <w:marTop w:val="0"/>
              <w:marBottom w:val="0"/>
              <w:divBdr>
                <w:top w:val="none" w:sz="0" w:space="0" w:color="auto"/>
                <w:left w:val="none" w:sz="0" w:space="0" w:color="auto"/>
                <w:bottom w:val="none" w:sz="0" w:space="0" w:color="auto"/>
                <w:right w:val="none" w:sz="0" w:space="0" w:color="auto"/>
              </w:divBdr>
              <w:divsChild>
                <w:div w:id="260458124">
                  <w:marLeft w:val="0"/>
                  <w:marRight w:val="0"/>
                  <w:marTop w:val="0"/>
                  <w:marBottom w:val="0"/>
                  <w:divBdr>
                    <w:top w:val="none" w:sz="0" w:space="0" w:color="auto"/>
                    <w:left w:val="none" w:sz="0" w:space="0" w:color="auto"/>
                    <w:bottom w:val="none" w:sz="0" w:space="0" w:color="auto"/>
                    <w:right w:val="none" w:sz="0" w:space="0" w:color="auto"/>
                  </w:divBdr>
                  <w:divsChild>
                    <w:div w:id="13429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339643">
      <w:bodyDiv w:val="1"/>
      <w:marLeft w:val="0"/>
      <w:marRight w:val="0"/>
      <w:marTop w:val="0"/>
      <w:marBottom w:val="0"/>
      <w:divBdr>
        <w:top w:val="none" w:sz="0" w:space="0" w:color="auto"/>
        <w:left w:val="none" w:sz="0" w:space="0" w:color="auto"/>
        <w:bottom w:val="none" w:sz="0" w:space="0" w:color="auto"/>
        <w:right w:val="none" w:sz="0" w:space="0" w:color="auto"/>
      </w:divBdr>
      <w:divsChild>
        <w:div w:id="562761552">
          <w:marLeft w:val="0"/>
          <w:marRight w:val="0"/>
          <w:marTop w:val="0"/>
          <w:marBottom w:val="0"/>
          <w:divBdr>
            <w:top w:val="none" w:sz="0" w:space="0" w:color="auto"/>
            <w:left w:val="none" w:sz="0" w:space="0" w:color="auto"/>
            <w:bottom w:val="none" w:sz="0" w:space="0" w:color="auto"/>
            <w:right w:val="none" w:sz="0" w:space="0" w:color="auto"/>
          </w:divBdr>
          <w:divsChild>
            <w:div w:id="141654579">
              <w:marLeft w:val="0"/>
              <w:marRight w:val="0"/>
              <w:marTop w:val="0"/>
              <w:marBottom w:val="0"/>
              <w:divBdr>
                <w:top w:val="none" w:sz="0" w:space="0" w:color="auto"/>
                <w:left w:val="none" w:sz="0" w:space="0" w:color="auto"/>
                <w:bottom w:val="none" w:sz="0" w:space="0" w:color="auto"/>
                <w:right w:val="none" w:sz="0" w:space="0" w:color="auto"/>
              </w:divBdr>
              <w:divsChild>
                <w:div w:id="1171872504">
                  <w:marLeft w:val="0"/>
                  <w:marRight w:val="0"/>
                  <w:marTop w:val="0"/>
                  <w:marBottom w:val="0"/>
                  <w:divBdr>
                    <w:top w:val="none" w:sz="0" w:space="0" w:color="auto"/>
                    <w:left w:val="none" w:sz="0" w:space="0" w:color="auto"/>
                    <w:bottom w:val="none" w:sz="0" w:space="0" w:color="auto"/>
                    <w:right w:val="none" w:sz="0" w:space="0" w:color="auto"/>
                  </w:divBdr>
                  <w:divsChild>
                    <w:div w:id="19550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ijpss/2024/v36i14332" TargetMode="External"/><Relationship Id="rId13" Type="http://schemas.openxmlformats.org/officeDocument/2006/relationships/hyperlink" Target="https://doi.org/10.33545/26174693.2024.v8.i6f.1347" TargetMode="External"/><Relationship Id="rId18" Type="http://schemas.openxmlformats.org/officeDocument/2006/relationships/hyperlink" Target="https://www.cabidigitallibrary.org/doi/10.1079/CABICOMPENDIUM_1980168902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9734/jabb/2025/v28i32074" TargetMode="External"/><Relationship Id="rId7" Type="http://schemas.openxmlformats.org/officeDocument/2006/relationships/endnotes" Target="endnotes.xml"/><Relationship Id="rId12" Type="http://schemas.openxmlformats.org/officeDocument/2006/relationships/hyperlink" Target="https://doi.org/10.2134/agronj1955.00021962004700070009x" TargetMode="External"/><Relationship Id="rId17" Type="http://schemas.openxmlformats.org/officeDocument/2006/relationships/hyperlink" Target="https://doi.org/10.9734/ajrcs/2025/v10i3373"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2134/agronj1949.00021962004100080005x" TargetMode="External"/><Relationship Id="rId20" Type="http://schemas.openxmlformats.org/officeDocument/2006/relationships/hyperlink" Target="https://doi.org/10.5958/2394-448X.2024.00017.1"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iwbr.icar.gov.in/wp-content/uploads/2019/01/IIWBR-Vision-2050.pdf" TargetMode="External"/><Relationship Id="rId24" Type="http://schemas.openxmlformats.org/officeDocument/2006/relationships/header" Target="header1.xm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cabidigitallibrary.org/doi/10.1079/cabicompendium.19581603920" TargetMode="External"/><Relationship Id="rId23" Type="http://schemas.openxmlformats.org/officeDocument/2006/relationships/hyperlink" Target="https://doi.org/10.33545/26174693.2025.v9.i1Se.3497" TargetMode="External"/><Relationship Id="rId28" Type="http://schemas.openxmlformats.org/officeDocument/2006/relationships/header" Target="header3.xml"/><Relationship Id="rId10" Type="http://schemas.openxmlformats.org/officeDocument/2006/relationships/hyperlink" Target="https://agricoop.nic.in" TargetMode="External"/><Relationship Id="rId19" Type="http://schemas.openxmlformats.org/officeDocument/2006/relationships/hyperlink" Target="https://doi.org/10.33545/26174693.2025.v9.i2g.385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2134/agronj1953.00021962004500100005x" TargetMode="External"/><Relationship Id="rId14" Type="http://schemas.openxmlformats.org/officeDocument/2006/relationships/hyperlink" Target="https://doi.org/10.9734/jabb/2024/v27i3730" TargetMode="External"/><Relationship Id="rId22" Type="http://schemas.openxmlformats.org/officeDocument/2006/relationships/hyperlink" Target="https://www.fas.usda.gov/data/world-agricultural-production"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E983B-9B0A-4FE2-91A0-B25608D1A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1442</TotalTime>
  <Pages>11</Pages>
  <Words>3219</Words>
  <Characters>18353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PC New 16</cp:lastModifiedBy>
  <cp:revision>69</cp:revision>
  <dcterms:created xsi:type="dcterms:W3CDTF">2013-12-23T23:15:00Z</dcterms:created>
  <dcterms:modified xsi:type="dcterms:W3CDTF">2025-12-29T11:25:00Z</dcterms:modified>
  <cp:category/>
</cp:coreProperties>
</file>