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DE9D0" w14:textId="50B18BF7" w:rsidR="00896F35" w:rsidRPr="0066543C" w:rsidRDefault="007E1B27" w:rsidP="002662DD">
      <w:pPr>
        <w:jc w:val="right"/>
        <w:rPr>
          <w:rFonts w:ascii="Arial" w:hAnsi="Arial" w:cs="Arial"/>
          <w:b/>
          <w:bCs/>
          <w:color w:val="000000" w:themeColor="text1"/>
          <w:sz w:val="36"/>
          <w:szCs w:val="36"/>
        </w:rPr>
      </w:pPr>
      <w:r>
        <w:rPr>
          <w:rFonts w:ascii="Arial" w:hAnsi="Arial" w:cs="Arial"/>
          <w:b/>
          <w:bCs/>
          <w:color w:val="000000" w:themeColor="text1"/>
          <w:sz w:val="36"/>
          <w:szCs w:val="36"/>
          <w:highlight w:val="yellow"/>
        </w:rPr>
        <w:t xml:space="preserve">Biodegradation of </w:t>
      </w:r>
      <w:r w:rsidR="008205BC" w:rsidRPr="00F660D2">
        <w:rPr>
          <w:rFonts w:ascii="Arial" w:hAnsi="Arial" w:cs="Arial"/>
          <w:b/>
          <w:bCs/>
          <w:color w:val="000000" w:themeColor="text1"/>
          <w:sz w:val="36"/>
          <w:szCs w:val="36"/>
          <w:highlight w:val="yellow"/>
        </w:rPr>
        <w:t xml:space="preserve">Chlorpyrifos </w:t>
      </w:r>
      <w:r>
        <w:rPr>
          <w:rFonts w:ascii="Arial" w:hAnsi="Arial" w:cs="Arial"/>
          <w:b/>
          <w:bCs/>
          <w:color w:val="000000" w:themeColor="text1"/>
          <w:sz w:val="36"/>
          <w:szCs w:val="36"/>
          <w:highlight w:val="yellow"/>
        </w:rPr>
        <w:t xml:space="preserve">and Plant Growth-Promoting </w:t>
      </w:r>
      <w:r w:rsidR="00DF2DA0">
        <w:rPr>
          <w:rFonts w:ascii="Arial" w:hAnsi="Arial" w:cs="Arial"/>
          <w:b/>
          <w:bCs/>
          <w:color w:val="000000" w:themeColor="text1"/>
          <w:sz w:val="36"/>
          <w:szCs w:val="36"/>
          <w:highlight w:val="yellow"/>
        </w:rPr>
        <w:t>A</w:t>
      </w:r>
      <w:r>
        <w:rPr>
          <w:rFonts w:ascii="Arial" w:hAnsi="Arial" w:cs="Arial"/>
          <w:b/>
          <w:bCs/>
          <w:color w:val="000000" w:themeColor="text1"/>
          <w:sz w:val="36"/>
          <w:szCs w:val="36"/>
          <w:highlight w:val="yellow"/>
        </w:rPr>
        <w:t>ctivity</w:t>
      </w:r>
      <w:r w:rsidR="00383CF3" w:rsidRPr="00F660D2">
        <w:rPr>
          <w:rFonts w:ascii="Arial" w:hAnsi="Arial" w:cs="Arial"/>
          <w:b/>
          <w:bCs/>
          <w:color w:val="000000" w:themeColor="text1"/>
          <w:sz w:val="36"/>
          <w:szCs w:val="36"/>
          <w:highlight w:val="yellow"/>
        </w:rPr>
        <w:t xml:space="preserve"> </w:t>
      </w:r>
      <w:r w:rsidR="00F660D2" w:rsidRPr="00F660D2">
        <w:rPr>
          <w:rFonts w:ascii="Arial" w:hAnsi="Arial" w:cs="Arial"/>
          <w:b/>
          <w:bCs/>
          <w:color w:val="000000" w:themeColor="text1"/>
          <w:sz w:val="36"/>
          <w:szCs w:val="36"/>
          <w:highlight w:val="yellow"/>
        </w:rPr>
        <w:t>of</w:t>
      </w:r>
      <w:r w:rsidR="008205BC" w:rsidRPr="00F660D2">
        <w:rPr>
          <w:rFonts w:ascii="Arial" w:hAnsi="Arial" w:cs="Arial"/>
          <w:b/>
          <w:bCs/>
          <w:color w:val="000000" w:themeColor="text1"/>
          <w:sz w:val="36"/>
          <w:szCs w:val="36"/>
          <w:highlight w:val="yellow"/>
        </w:rPr>
        <w:t xml:space="preserve"> </w:t>
      </w:r>
      <w:r w:rsidR="00383CF3" w:rsidRPr="00F660D2">
        <w:rPr>
          <w:rFonts w:ascii="Arial" w:hAnsi="Arial" w:cs="Arial"/>
          <w:b/>
          <w:bCs/>
          <w:i/>
          <w:iCs/>
          <w:color w:val="000000" w:themeColor="text1"/>
          <w:sz w:val="36"/>
          <w:szCs w:val="36"/>
          <w:highlight w:val="yellow"/>
        </w:rPr>
        <w:t>Leptolyngbya sp.</w:t>
      </w:r>
      <w:r w:rsidR="008205BC" w:rsidRPr="00F660D2">
        <w:rPr>
          <w:rFonts w:ascii="Arial" w:hAnsi="Arial" w:cs="Arial"/>
          <w:b/>
          <w:bCs/>
          <w:color w:val="000000" w:themeColor="text1"/>
          <w:sz w:val="36"/>
          <w:szCs w:val="36"/>
          <w:highlight w:val="yellow"/>
        </w:rPr>
        <w:t xml:space="preserve"> </w:t>
      </w:r>
      <w:r w:rsidR="00F660D2" w:rsidRPr="00F660D2">
        <w:rPr>
          <w:rFonts w:ascii="Arial" w:hAnsi="Arial" w:cs="Arial"/>
          <w:b/>
          <w:bCs/>
          <w:color w:val="000000" w:themeColor="text1"/>
          <w:sz w:val="36"/>
          <w:szCs w:val="36"/>
          <w:highlight w:val="yellow"/>
        </w:rPr>
        <w:t>I</w:t>
      </w:r>
      <w:r w:rsidR="008205BC" w:rsidRPr="00F660D2">
        <w:rPr>
          <w:rFonts w:ascii="Arial" w:hAnsi="Arial" w:cs="Arial"/>
          <w:b/>
          <w:bCs/>
          <w:color w:val="000000" w:themeColor="text1"/>
          <w:sz w:val="36"/>
          <w:szCs w:val="36"/>
          <w:highlight w:val="yellow"/>
        </w:rPr>
        <w:t xml:space="preserve">solated from Paddy </w:t>
      </w:r>
      <w:r w:rsidR="00F660D2" w:rsidRPr="00F660D2">
        <w:rPr>
          <w:rFonts w:ascii="Arial" w:hAnsi="Arial" w:cs="Arial"/>
          <w:b/>
          <w:bCs/>
          <w:color w:val="000000" w:themeColor="text1"/>
          <w:sz w:val="36"/>
          <w:szCs w:val="36"/>
          <w:highlight w:val="yellow"/>
        </w:rPr>
        <w:t>F</w:t>
      </w:r>
      <w:r w:rsidR="008205BC" w:rsidRPr="00F660D2">
        <w:rPr>
          <w:rFonts w:ascii="Arial" w:hAnsi="Arial" w:cs="Arial"/>
          <w:b/>
          <w:bCs/>
          <w:color w:val="000000" w:themeColor="text1"/>
          <w:sz w:val="36"/>
          <w:szCs w:val="36"/>
          <w:highlight w:val="yellow"/>
        </w:rPr>
        <w:t>ield</w:t>
      </w:r>
      <w:r w:rsidR="00F660D2" w:rsidRPr="00F660D2">
        <w:rPr>
          <w:rFonts w:ascii="Arial" w:hAnsi="Arial" w:cs="Arial"/>
          <w:b/>
          <w:bCs/>
          <w:color w:val="000000" w:themeColor="text1"/>
          <w:sz w:val="36"/>
          <w:szCs w:val="36"/>
          <w:highlight w:val="yellow"/>
        </w:rPr>
        <w:t xml:space="preserve">s </w:t>
      </w:r>
    </w:p>
    <w:p w14:paraId="7E8B1926" w14:textId="77777777" w:rsidR="00D313BA" w:rsidRPr="0066543C" w:rsidRDefault="00D313BA" w:rsidP="008205BC">
      <w:pPr>
        <w:rPr>
          <w:rFonts w:ascii="Arial" w:hAnsi="Arial" w:cs="Arial"/>
          <w:b/>
          <w:bCs/>
          <w:color w:val="000000" w:themeColor="text1"/>
          <w:sz w:val="24"/>
          <w:szCs w:val="24"/>
        </w:rPr>
      </w:pPr>
    </w:p>
    <w:p w14:paraId="7404D18B" w14:textId="77777777" w:rsidR="008205BC" w:rsidRPr="0066543C" w:rsidRDefault="008205BC" w:rsidP="002662DD">
      <w:pPr>
        <w:pBdr>
          <w:top w:val="single" w:sz="4" w:space="1" w:color="auto"/>
          <w:left w:val="single" w:sz="4" w:space="4" w:color="auto"/>
          <w:bottom w:val="single" w:sz="4" w:space="1" w:color="auto"/>
          <w:right w:val="single" w:sz="4" w:space="4" w:color="auto"/>
        </w:pBdr>
        <w:rPr>
          <w:rFonts w:ascii="Arial" w:hAnsi="Arial" w:cs="Arial"/>
          <w:b/>
          <w:bCs/>
          <w:color w:val="000000" w:themeColor="text1"/>
          <w:sz w:val="20"/>
          <w:szCs w:val="20"/>
        </w:rPr>
      </w:pPr>
      <w:r w:rsidRPr="0066543C">
        <w:rPr>
          <w:rFonts w:ascii="Arial" w:hAnsi="Arial" w:cs="Arial"/>
          <w:b/>
          <w:bCs/>
          <w:color w:val="000000" w:themeColor="text1"/>
          <w:sz w:val="20"/>
          <w:szCs w:val="20"/>
        </w:rPr>
        <w:t>Abstract</w:t>
      </w:r>
    </w:p>
    <w:p w14:paraId="18E49DB8" w14:textId="03723374" w:rsidR="008A65FB" w:rsidRPr="0066543C" w:rsidRDefault="008A65FB" w:rsidP="002662DD">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000000" w:themeColor="text1"/>
          <w:sz w:val="20"/>
          <w:szCs w:val="20"/>
        </w:rPr>
      </w:pPr>
      <w:r w:rsidRPr="0066543C">
        <w:rPr>
          <w:rFonts w:ascii="Arial" w:hAnsi="Arial" w:cs="Arial"/>
          <w:b/>
          <w:bCs/>
          <w:color w:val="000000" w:themeColor="text1"/>
          <w:sz w:val="20"/>
          <w:szCs w:val="20"/>
        </w:rPr>
        <w:t>Aims</w:t>
      </w:r>
      <w:r w:rsidRPr="0066543C">
        <w:rPr>
          <w:rFonts w:ascii="Arial" w:hAnsi="Arial" w:cs="Arial"/>
          <w:color w:val="000000" w:themeColor="text1"/>
          <w:sz w:val="20"/>
          <w:szCs w:val="20"/>
        </w:rPr>
        <w:t>:</w:t>
      </w:r>
      <w:r w:rsidR="009A2A85" w:rsidRPr="0066543C">
        <w:rPr>
          <w:rFonts w:ascii="Arial" w:hAnsi="Arial" w:cs="Arial"/>
          <w:color w:val="000000" w:themeColor="text1"/>
          <w:sz w:val="20"/>
          <w:szCs w:val="20"/>
        </w:rPr>
        <w:t xml:space="preserve"> </w:t>
      </w:r>
      <w:r w:rsidR="00C56601" w:rsidRPr="0066543C">
        <w:rPr>
          <w:rFonts w:ascii="Arial" w:hAnsi="Arial" w:cs="Arial"/>
          <w:sz w:val="20"/>
          <w:szCs w:val="20"/>
        </w:rPr>
        <w:t>The present study focus</w:t>
      </w:r>
      <w:r w:rsidR="00DF2DA0">
        <w:rPr>
          <w:rFonts w:ascii="Arial" w:hAnsi="Arial" w:cs="Arial"/>
          <w:sz w:val="20"/>
          <w:szCs w:val="20"/>
        </w:rPr>
        <w:t>ed</w:t>
      </w:r>
      <w:r w:rsidR="00C56601" w:rsidRPr="0066543C">
        <w:rPr>
          <w:rFonts w:ascii="Arial" w:hAnsi="Arial" w:cs="Arial"/>
          <w:sz w:val="20"/>
          <w:szCs w:val="20"/>
        </w:rPr>
        <w:t xml:space="preserve"> on exploring the potential of cyanobacteria in the bioremediation of organophosphorus (OP) compounds, also assessing the plant growth-promoting characteristics. </w:t>
      </w:r>
      <w:r w:rsidR="009A2A85" w:rsidRPr="0066543C">
        <w:rPr>
          <w:rFonts w:ascii="Arial" w:hAnsi="Arial" w:cs="Arial"/>
          <w:color w:val="000000" w:themeColor="text1"/>
          <w:sz w:val="20"/>
          <w:szCs w:val="20"/>
        </w:rPr>
        <w:t xml:space="preserve"> </w:t>
      </w:r>
    </w:p>
    <w:p w14:paraId="57F10981" w14:textId="77777777" w:rsidR="008A65FB" w:rsidRPr="0066543C" w:rsidRDefault="008A65FB" w:rsidP="002662DD">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000000" w:themeColor="text1"/>
          <w:sz w:val="20"/>
          <w:szCs w:val="20"/>
        </w:rPr>
      </w:pPr>
      <w:r w:rsidRPr="0066543C">
        <w:rPr>
          <w:rFonts w:ascii="Arial" w:hAnsi="Arial" w:cs="Arial"/>
          <w:b/>
          <w:bCs/>
          <w:color w:val="000000" w:themeColor="text1"/>
          <w:sz w:val="20"/>
          <w:szCs w:val="20"/>
        </w:rPr>
        <w:t>Study Design</w:t>
      </w:r>
      <w:r w:rsidRPr="0066543C">
        <w:rPr>
          <w:rFonts w:ascii="Arial" w:hAnsi="Arial" w:cs="Arial"/>
          <w:color w:val="000000" w:themeColor="text1"/>
          <w:sz w:val="20"/>
          <w:szCs w:val="20"/>
        </w:rPr>
        <w:t xml:space="preserve">: The study was conducted in three phases to evaluate the potential of selected cyanobacterial strains for bioremediation of organophosphorus (OP) compounds and their plant growth-promoting (PGP) properties. </w:t>
      </w:r>
    </w:p>
    <w:p w14:paraId="1BFF6F30" w14:textId="7B4AE48B" w:rsidR="00E41F31" w:rsidRPr="0066543C" w:rsidRDefault="008A65FB" w:rsidP="002662DD">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000000" w:themeColor="text1"/>
          <w:sz w:val="20"/>
          <w:szCs w:val="20"/>
        </w:rPr>
      </w:pPr>
      <w:r w:rsidRPr="0066543C">
        <w:rPr>
          <w:rFonts w:ascii="Arial" w:hAnsi="Arial" w:cs="Arial"/>
          <w:b/>
          <w:bCs/>
          <w:color w:val="000000" w:themeColor="text1"/>
          <w:sz w:val="20"/>
          <w:szCs w:val="20"/>
        </w:rPr>
        <w:t>Place and Duration of study</w:t>
      </w:r>
      <w:r w:rsidR="00E41F31" w:rsidRPr="0066543C">
        <w:rPr>
          <w:rFonts w:ascii="Arial" w:hAnsi="Arial" w:cs="Arial"/>
          <w:color w:val="000000" w:themeColor="text1"/>
          <w:sz w:val="20"/>
          <w:szCs w:val="20"/>
        </w:rPr>
        <w:t>: The work was carried out in Department of Microbiology, S.</w:t>
      </w:r>
      <w:r w:rsidR="00DF2DA0">
        <w:rPr>
          <w:rFonts w:ascii="Arial" w:hAnsi="Arial" w:cs="Arial"/>
          <w:color w:val="000000" w:themeColor="text1"/>
          <w:sz w:val="20"/>
          <w:szCs w:val="20"/>
        </w:rPr>
        <w:t xml:space="preserve"> </w:t>
      </w:r>
      <w:r w:rsidR="00E41F31" w:rsidRPr="0066543C">
        <w:rPr>
          <w:rFonts w:ascii="Arial" w:hAnsi="Arial" w:cs="Arial"/>
          <w:color w:val="000000" w:themeColor="text1"/>
          <w:sz w:val="20"/>
          <w:szCs w:val="20"/>
        </w:rPr>
        <w:t>K.</w:t>
      </w:r>
      <w:r w:rsidR="00DF2DA0">
        <w:rPr>
          <w:rFonts w:ascii="Arial" w:hAnsi="Arial" w:cs="Arial"/>
          <w:color w:val="000000" w:themeColor="text1"/>
          <w:sz w:val="20"/>
          <w:szCs w:val="20"/>
        </w:rPr>
        <w:t xml:space="preserve"> </w:t>
      </w:r>
      <w:r w:rsidR="00E41F31" w:rsidRPr="0066543C">
        <w:rPr>
          <w:rFonts w:ascii="Arial" w:hAnsi="Arial" w:cs="Arial"/>
          <w:color w:val="000000" w:themeColor="text1"/>
          <w:sz w:val="20"/>
          <w:szCs w:val="20"/>
        </w:rPr>
        <w:t>Porwal College</w:t>
      </w:r>
      <w:r w:rsidR="00486C0A" w:rsidRPr="0066543C">
        <w:rPr>
          <w:rFonts w:ascii="Arial" w:hAnsi="Arial" w:cs="Arial"/>
          <w:color w:val="000000" w:themeColor="text1"/>
          <w:sz w:val="20"/>
          <w:szCs w:val="20"/>
        </w:rPr>
        <w:t xml:space="preserve"> of Arts</w:t>
      </w:r>
      <w:r w:rsidR="00E41F31" w:rsidRPr="0066543C">
        <w:rPr>
          <w:rFonts w:ascii="Arial" w:hAnsi="Arial" w:cs="Arial"/>
          <w:color w:val="000000" w:themeColor="text1"/>
          <w:sz w:val="20"/>
          <w:szCs w:val="20"/>
        </w:rPr>
        <w:t>,</w:t>
      </w:r>
      <w:r w:rsidR="00684BCC">
        <w:rPr>
          <w:rFonts w:ascii="Arial" w:hAnsi="Arial" w:cs="Arial"/>
          <w:color w:val="000000" w:themeColor="text1"/>
          <w:sz w:val="20"/>
          <w:szCs w:val="20"/>
        </w:rPr>
        <w:t xml:space="preserve"> </w:t>
      </w:r>
      <w:r w:rsidR="00684BCC" w:rsidRPr="0066543C">
        <w:rPr>
          <w:rFonts w:ascii="Arial" w:hAnsi="Arial" w:cs="Arial"/>
          <w:color w:val="000000" w:themeColor="text1"/>
          <w:sz w:val="20"/>
          <w:szCs w:val="20"/>
        </w:rPr>
        <w:t>Science</w:t>
      </w:r>
      <w:r w:rsidR="00684BCC">
        <w:rPr>
          <w:rFonts w:ascii="Arial" w:hAnsi="Arial" w:cs="Arial"/>
          <w:color w:val="000000" w:themeColor="text1"/>
          <w:sz w:val="20"/>
          <w:szCs w:val="20"/>
        </w:rPr>
        <w:t xml:space="preserve"> and</w:t>
      </w:r>
      <w:r w:rsidR="00486C0A" w:rsidRPr="0066543C">
        <w:rPr>
          <w:rFonts w:ascii="Arial" w:hAnsi="Arial" w:cs="Arial"/>
          <w:color w:val="000000" w:themeColor="text1"/>
          <w:sz w:val="20"/>
          <w:szCs w:val="20"/>
        </w:rPr>
        <w:t xml:space="preserve"> Commerce,</w:t>
      </w:r>
      <w:r w:rsidR="00E41F31" w:rsidRPr="0066543C">
        <w:rPr>
          <w:rFonts w:ascii="Arial" w:hAnsi="Arial" w:cs="Arial"/>
          <w:color w:val="000000" w:themeColor="text1"/>
          <w:sz w:val="20"/>
          <w:szCs w:val="20"/>
        </w:rPr>
        <w:t xml:space="preserve"> Kamptee for one and a half year</w:t>
      </w:r>
      <w:r w:rsidR="00486C0A" w:rsidRPr="0066543C">
        <w:rPr>
          <w:rFonts w:ascii="Arial" w:hAnsi="Arial" w:cs="Arial"/>
          <w:color w:val="000000" w:themeColor="text1"/>
          <w:sz w:val="20"/>
          <w:szCs w:val="20"/>
        </w:rPr>
        <w:t>.</w:t>
      </w:r>
    </w:p>
    <w:p w14:paraId="6F1E8FA3" w14:textId="352F4F33" w:rsidR="00E41F31" w:rsidRPr="0066543C" w:rsidRDefault="00E41F31" w:rsidP="002662DD">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000000" w:themeColor="text1"/>
          <w:sz w:val="20"/>
          <w:szCs w:val="20"/>
        </w:rPr>
      </w:pPr>
      <w:r w:rsidRPr="0066543C">
        <w:rPr>
          <w:rFonts w:ascii="Arial" w:hAnsi="Arial" w:cs="Arial"/>
          <w:b/>
          <w:bCs/>
          <w:color w:val="000000" w:themeColor="text1"/>
          <w:sz w:val="20"/>
          <w:szCs w:val="20"/>
        </w:rPr>
        <w:t>Methodology:</w:t>
      </w:r>
      <w:r w:rsidRPr="0066543C">
        <w:rPr>
          <w:rFonts w:ascii="Arial" w:hAnsi="Arial" w:cs="Arial"/>
          <w:color w:val="000000" w:themeColor="text1"/>
          <w:sz w:val="20"/>
          <w:szCs w:val="20"/>
        </w:rPr>
        <w:t xml:space="preserve"> Selected cyanobacterial isolates (</w:t>
      </w:r>
      <w:r w:rsidRPr="0066543C">
        <w:rPr>
          <w:rFonts w:ascii="Arial" w:hAnsi="Arial" w:cs="Arial"/>
          <w:i/>
          <w:iCs/>
          <w:color w:val="000000" w:themeColor="text1"/>
          <w:sz w:val="20"/>
          <w:szCs w:val="20"/>
        </w:rPr>
        <w:t>Leptolyngbya</w:t>
      </w:r>
      <w:r w:rsidRPr="0066543C">
        <w:rPr>
          <w:rFonts w:ascii="Arial" w:hAnsi="Arial" w:cs="Arial"/>
          <w:color w:val="000000" w:themeColor="text1"/>
          <w:sz w:val="20"/>
          <w:szCs w:val="20"/>
        </w:rPr>
        <w:t xml:space="preserve">) were cultured in BG-11 medium and exposed to organophosphorus (OP) compounds (chlorpyrifos) to assess degradation potential. </w:t>
      </w:r>
      <w:r w:rsidR="005C0FE7" w:rsidRPr="0066543C">
        <w:rPr>
          <w:rFonts w:ascii="Arial" w:hAnsi="Arial" w:cs="Arial"/>
          <w:color w:val="000000" w:themeColor="text1"/>
          <w:sz w:val="20"/>
          <w:szCs w:val="20"/>
        </w:rPr>
        <w:t>Plant growth-promoting traits (IAA production, phosphate solubilization, and siderophore activity) were quantified using standard biochemical assays.</w:t>
      </w:r>
    </w:p>
    <w:p w14:paraId="22FD5084" w14:textId="43D77CF1" w:rsidR="009A2A85" w:rsidRPr="0066543C" w:rsidRDefault="00E41F31" w:rsidP="002662DD">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000000" w:themeColor="text1"/>
          <w:sz w:val="20"/>
          <w:szCs w:val="20"/>
        </w:rPr>
      </w:pPr>
      <w:r w:rsidRPr="0066543C">
        <w:rPr>
          <w:rFonts w:ascii="Arial" w:hAnsi="Arial" w:cs="Arial"/>
          <w:b/>
          <w:bCs/>
          <w:color w:val="000000" w:themeColor="text1"/>
          <w:sz w:val="20"/>
          <w:szCs w:val="20"/>
        </w:rPr>
        <w:t>Results</w:t>
      </w:r>
      <w:r w:rsidRPr="0066543C">
        <w:rPr>
          <w:rFonts w:ascii="Arial" w:hAnsi="Arial" w:cs="Arial"/>
          <w:color w:val="000000" w:themeColor="text1"/>
          <w:sz w:val="20"/>
          <w:szCs w:val="20"/>
        </w:rPr>
        <w:t xml:space="preserve">: </w:t>
      </w:r>
      <w:r w:rsidR="0048066F" w:rsidRPr="009B2661">
        <w:rPr>
          <w:rFonts w:ascii="Arial" w:hAnsi="Arial" w:cs="Arial"/>
          <w:sz w:val="20"/>
          <w:szCs w:val="20"/>
          <w:highlight w:val="yellow"/>
        </w:rPr>
        <w:t xml:space="preserve">The results showed that blue-green algae (BGA) influenced both rice growth and soil properties. </w:t>
      </w:r>
      <w:r w:rsidR="006B5E07">
        <w:rPr>
          <w:rFonts w:ascii="Arial" w:hAnsi="Arial" w:cs="Arial"/>
          <w:sz w:val="20"/>
          <w:szCs w:val="20"/>
          <w:highlight w:val="yellow"/>
        </w:rPr>
        <w:t xml:space="preserve">With the treatment of 20 ppm concentration, </w:t>
      </w:r>
      <w:proofErr w:type="gramStart"/>
      <w:r w:rsidR="0048066F" w:rsidRPr="009B2661">
        <w:rPr>
          <w:rFonts w:ascii="Arial" w:hAnsi="Arial" w:cs="Arial"/>
          <w:sz w:val="20"/>
          <w:szCs w:val="20"/>
          <w:highlight w:val="yellow"/>
        </w:rPr>
        <w:t>More</w:t>
      </w:r>
      <w:proofErr w:type="gramEnd"/>
      <w:r w:rsidR="0048066F" w:rsidRPr="009B2661">
        <w:rPr>
          <w:rFonts w:ascii="Arial" w:hAnsi="Arial" w:cs="Arial"/>
          <w:sz w:val="20"/>
          <w:szCs w:val="20"/>
          <w:highlight w:val="yellow"/>
        </w:rPr>
        <w:t xml:space="preserve"> than 85% degradation of chlorpyrifos was recorded within 20 days of incubation in samples treated with </w:t>
      </w:r>
      <w:r w:rsidR="0048066F" w:rsidRPr="009B2661">
        <w:rPr>
          <w:rFonts w:ascii="Arial" w:hAnsi="Arial" w:cs="Arial"/>
          <w:i/>
          <w:iCs/>
          <w:sz w:val="20"/>
          <w:szCs w:val="20"/>
          <w:highlight w:val="yellow"/>
        </w:rPr>
        <w:t>Leptolyngbya</w:t>
      </w:r>
      <w:r w:rsidR="0048066F" w:rsidRPr="009B2661">
        <w:rPr>
          <w:rFonts w:ascii="Arial" w:hAnsi="Arial" w:cs="Arial"/>
          <w:sz w:val="20"/>
          <w:szCs w:val="20"/>
          <w:highlight w:val="yellow"/>
        </w:rPr>
        <w:t xml:space="preserve"> </w:t>
      </w:r>
      <w:r w:rsidR="0048066F" w:rsidRPr="009B2661">
        <w:rPr>
          <w:rFonts w:ascii="Arial" w:hAnsi="Arial" w:cs="Arial"/>
          <w:i/>
          <w:iCs/>
          <w:sz w:val="20"/>
          <w:szCs w:val="20"/>
          <w:highlight w:val="yellow"/>
        </w:rPr>
        <w:t>sp</w:t>
      </w:r>
      <w:r w:rsidR="0048066F" w:rsidRPr="009B2661">
        <w:rPr>
          <w:rFonts w:ascii="Arial" w:hAnsi="Arial" w:cs="Arial"/>
          <w:sz w:val="20"/>
          <w:szCs w:val="20"/>
          <w:highlight w:val="yellow"/>
        </w:rPr>
        <w:t>., whereas only minimal degradation was observed in the uninoculated control. Inoculated treatments exhibited higher plant growth and improved soil parameters compared to the control.</w:t>
      </w:r>
      <w:r w:rsidR="0048066F" w:rsidRPr="00621A4E">
        <w:rPr>
          <w:rFonts w:ascii="Arial" w:hAnsi="Arial" w:cs="Arial"/>
          <w:sz w:val="20"/>
          <w:szCs w:val="20"/>
          <w:highlight w:val="yellow"/>
        </w:rPr>
        <w:t xml:space="preserve"> </w:t>
      </w:r>
      <w:r w:rsidR="0048066F" w:rsidRPr="009B2661">
        <w:rPr>
          <w:rFonts w:ascii="Arial" w:hAnsi="Arial" w:cs="Arial"/>
          <w:sz w:val="20"/>
          <w:szCs w:val="20"/>
          <w:highlight w:val="yellow"/>
        </w:rPr>
        <w:t>Pot culture experiments indicated marked increases in growth attributes, including a 40% increase in plant height, 49% increase in root length, 40% increase in fresh leaf and stem weight, 49% increase in fresh root weight, 20% increase in dry leaf and stem weight, and 112% increase in dry root weight. Soil moisture content increased by 75% in inoculated pots relative to the control</w:t>
      </w:r>
      <w:r w:rsidR="006B5E07" w:rsidRPr="006B5E07">
        <w:rPr>
          <w:rFonts w:ascii="Arial" w:hAnsi="Arial" w:cs="Arial"/>
          <w:sz w:val="20"/>
          <w:szCs w:val="20"/>
          <w:highlight w:val="yellow"/>
        </w:rPr>
        <w:t xml:space="preserve">, </w:t>
      </w:r>
      <w:proofErr w:type="gramStart"/>
      <w:r w:rsidR="006B5E07" w:rsidRPr="006B5E07">
        <w:rPr>
          <w:rFonts w:ascii="Arial" w:hAnsi="Arial" w:cs="Arial"/>
          <w:sz w:val="20"/>
          <w:szCs w:val="20"/>
          <w:highlight w:val="yellow"/>
        </w:rPr>
        <w:t>overall</w:t>
      </w:r>
      <w:proofErr w:type="gramEnd"/>
      <w:r w:rsidR="006B5E07" w:rsidRPr="006B5E07">
        <w:rPr>
          <w:rFonts w:ascii="Arial" w:hAnsi="Arial" w:cs="Arial"/>
          <w:sz w:val="20"/>
          <w:szCs w:val="20"/>
          <w:highlight w:val="yellow"/>
        </w:rPr>
        <w:t xml:space="preserve"> which indicates </w:t>
      </w:r>
      <w:r w:rsidR="006B5E07" w:rsidRPr="006B5E07">
        <w:rPr>
          <w:rFonts w:ascii="Arial" w:hAnsi="Arial" w:cs="Arial"/>
          <w:color w:val="000000" w:themeColor="text1"/>
          <w:sz w:val="20"/>
          <w:szCs w:val="20"/>
          <w:highlight w:val="yellow"/>
          <w:lang w:bidi="en-IN"/>
        </w:rPr>
        <w:t>sustainable and eco-friendly alternative in agriculture.</w:t>
      </w:r>
    </w:p>
    <w:p w14:paraId="6B069086" w14:textId="505D5096" w:rsidR="009A2A85" w:rsidRPr="0066543C" w:rsidRDefault="009A2A85" w:rsidP="009A2A85">
      <w:pPr>
        <w:spacing w:line="360" w:lineRule="auto"/>
        <w:jc w:val="both"/>
        <w:rPr>
          <w:rFonts w:ascii="Arial" w:hAnsi="Arial" w:cs="Arial"/>
          <w:i/>
          <w:iCs/>
          <w:color w:val="000000" w:themeColor="text1"/>
          <w:sz w:val="20"/>
          <w:szCs w:val="20"/>
        </w:rPr>
      </w:pPr>
      <w:r w:rsidRPr="0066543C">
        <w:rPr>
          <w:rFonts w:ascii="Arial" w:hAnsi="Arial" w:cs="Arial"/>
          <w:b/>
          <w:bCs/>
          <w:i/>
          <w:iCs/>
          <w:color w:val="000000" w:themeColor="text1"/>
          <w:sz w:val="20"/>
          <w:szCs w:val="20"/>
        </w:rPr>
        <w:t>Keywords</w:t>
      </w:r>
      <w:r w:rsidRPr="0066543C">
        <w:rPr>
          <w:rFonts w:ascii="Arial" w:hAnsi="Arial" w:cs="Arial"/>
          <w:i/>
          <w:iCs/>
          <w:color w:val="000000" w:themeColor="text1"/>
          <w:sz w:val="20"/>
          <w:szCs w:val="20"/>
        </w:rPr>
        <w:t xml:space="preserve">: Cyanobacteria, </w:t>
      </w:r>
      <w:r w:rsidR="006307BC" w:rsidRPr="0066543C">
        <w:rPr>
          <w:rFonts w:ascii="Arial" w:hAnsi="Arial" w:cs="Arial"/>
          <w:i/>
          <w:iCs/>
          <w:color w:val="000000" w:themeColor="text1"/>
          <w:sz w:val="20"/>
          <w:szCs w:val="20"/>
        </w:rPr>
        <w:t xml:space="preserve">Bioremediation, </w:t>
      </w:r>
      <w:r w:rsidRPr="0066543C">
        <w:rPr>
          <w:rFonts w:ascii="Arial" w:hAnsi="Arial" w:cs="Arial"/>
          <w:i/>
          <w:iCs/>
          <w:color w:val="000000" w:themeColor="text1"/>
          <w:sz w:val="20"/>
          <w:szCs w:val="20"/>
        </w:rPr>
        <w:t>Organophosphorus degradation, Plant Growth-Promoting Rhizobacteria (PGPR)</w:t>
      </w:r>
    </w:p>
    <w:p w14:paraId="292F436A" w14:textId="5A5F4FD0" w:rsidR="009A2A85" w:rsidRPr="0066543C" w:rsidRDefault="002662DD" w:rsidP="002662DD">
      <w:pPr>
        <w:spacing w:line="360" w:lineRule="auto"/>
        <w:rPr>
          <w:rFonts w:ascii="Arial" w:hAnsi="Arial" w:cs="Arial"/>
          <w:b/>
          <w:bCs/>
          <w:color w:val="000000" w:themeColor="text1"/>
        </w:rPr>
      </w:pPr>
      <w:r w:rsidRPr="0066543C">
        <w:rPr>
          <w:rFonts w:ascii="Arial" w:hAnsi="Arial" w:cs="Arial"/>
          <w:b/>
          <w:bCs/>
          <w:color w:val="000000" w:themeColor="text1"/>
        </w:rPr>
        <w:t>INTRODUCTION</w:t>
      </w:r>
    </w:p>
    <w:p w14:paraId="1539FBAC" w14:textId="482517F3" w:rsidR="009A2A85" w:rsidRPr="0066543C" w:rsidRDefault="009A2A85" w:rsidP="009A2A85">
      <w:pPr>
        <w:spacing w:line="360" w:lineRule="auto"/>
        <w:jc w:val="both"/>
        <w:rPr>
          <w:rFonts w:ascii="Arial" w:hAnsi="Arial" w:cs="Arial"/>
          <w:color w:val="000000" w:themeColor="text1"/>
          <w:sz w:val="20"/>
          <w:szCs w:val="20"/>
          <w:lang w:bidi="en-IN"/>
        </w:rPr>
      </w:pPr>
      <w:r w:rsidRPr="0066543C">
        <w:rPr>
          <w:rFonts w:ascii="Arial" w:hAnsi="Arial" w:cs="Arial"/>
          <w:color w:val="000000" w:themeColor="text1"/>
          <w:sz w:val="20"/>
          <w:szCs w:val="20"/>
          <w:lang w:bidi="en-IN"/>
        </w:rPr>
        <w:t xml:space="preserve">Organophosphorus (OP) compounds are </w:t>
      </w:r>
      <w:r w:rsidR="00F660D2" w:rsidRPr="00F660D2">
        <w:rPr>
          <w:rFonts w:ascii="Arial" w:hAnsi="Arial" w:cs="Arial"/>
          <w:color w:val="000000" w:themeColor="text1"/>
          <w:sz w:val="20"/>
          <w:szCs w:val="20"/>
          <w:highlight w:val="yellow"/>
          <w:lang w:bidi="en-IN"/>
        </w:rPr>
        <w:t>widely</w:t>
      </w:r>
      <w:r w:rsidRPr="0066543C">
        <w:rPr>
          <w:rFonts w:ascii="Arial" w:hAnsi="Arial" w:cs="Arial"/>
          <w:color w:val="000000" w:themeColor="text1"/>
          <w:sz w:val="20"/>
          <w:szCs w:val="20"/>
          <w:lang w:bidi="en-IN"/>
        </w:rPr>
        <w:t xml:space="preserve"> used as pesticides and industrial chemicals; however, their persistence and the formation of toxic breakdown products have led to severe environmental contamination (Kumar et al., 2018). </w:t>
      </w:r>
      <w:r w:rsidR="00F660D2" w:rsidRPr="00F660D2">
        <w:rPr>
          <w:rFonts w:ascii="Arial" w:eastAsia="Times New Roman" w:hAnsi="Arial" w:cs="Arial"/>
          <w:kern w:val="0"/>
          <w:sz w:val="20"/>
          <w:szCs w:val="20"/>
          <w:highlight w:val="yellow"/>
          <w:lang w:eastAsia="en-IN"/>
          <w14:ligatures w14:val="none"/>
        </w:rPr>
        <w:t>The presence of OP in soil and water poses serious ecological and human health risks, demanding urgent attention</w:t>
      </w:r>
      <w:r w:rsidR="00122693" w:rsidRPr="0066543C">
        <w:rPr>
          <w:rFonts w:ascii="Arial" w:eastAsia="Times New Roman" w:hAnsi="Arial" w:cs="Arial"/>
          <w:kern w:val="0"/>
          <w:sz w:val="20"/>
          <w:szCs w:val="20"/>
          <w:lang w:eastAsia="en-IN"/>
          <w14:ligatures w14:val="none"/>
        </w:rPr>
        <w:t xml:space="preserve"> </w:t>
      </w:r>
      <w:r w:rsidRPr="0066543C">
        <w:rPr>
          <w:rFonts w:ascii="Arial" w:hAnsi="Arial" w:cs="Arial"/>
          <w:color w:val="000000" w:themeColor="text1"/>
          <w:sz w:val="20"/>
          <w:szCs w:val="20"/>
          <w:lang w:bidi="en-IN"/>
        </w:rPr>
        <w:t>(Ibrahim et al.,</w:t>
      </w:r>
      <w:r w:rsidR="00082A08" w:rsidRPr="0066543C">
        <w:rPr>
          <w:rFonts w:ascii="Arial" w:hAnsi="Arial" w:cs="Arial"/>
          <w:color w:val="000000" w:themeColor="text1"/>
          <w:sz w:val="20"/>
          <w:szCs w:val="20"/>
          <w:lang w:bidi="en-IN"/>
        </w:rPr>
        <w:t xml:space="preserve"> </w:t>
      </w:r>
      <w:r w:rsidRPr="0066543C">
        <w:rPr>
          <w:rFonts w:ascii="Arial" w:hAnsi="Arial" w:cs="Arial"/>
          <w:color w:val="000000" w:themeColor="text1"/>
          <w:sz w:val="20"/>
          <w:szCs w:val="20"/>
          <w:lang w:bidi="en-IN"/>
        </w:rPr>
        <w:t xml:space="preserve">2014). Parallel to pesticide overuse, the excessive application of chemical fertilizers has </w:t>
      </w:r>
      <w:r w:rsidR="00F660D2" w:rsidRPr="00F660D2">
        <w:rPr>
          <w:rFonts w:ascii="Arial" w:hAnsi="Arial" w:cs="Arial"/>
          <w:color w:val="000000" w:themeColor="text1"/>
          <w:sz w:val="20"/>
          <w:szCs w:val="20"/>
          <w:highlight w:val="yellow"/>
          <w:lang w:bidi="en-IN"/>
        </w:rPr>
        <w:t>caused</w:t>
      </w:r>
      <w:r w:rsidRPr="0066543C">
        <w:rPr>
          <w:rFonts w:ascii="Arial" w:hAnsi="Arial" w:cs="Arial"/>
          <w:color w:val="000000" w:themeColor="text1"/>
          <w:sz w:val="20"/>
          <w:szCs w:val="20"/>
          <w:lang w:bidi="en-IN"/>
        </w:rPr>
        <w:t xml:space="preserve"> multiple environmental problems, including greenhouse gas emissions, ozone layer depletion, acidification of </w:t>
      </w:r>
      <w:r w:rsidR="00F660D2" w:rsidRPr="00F660D2">
        <w:rPr>
          <w:rFonts w:ascii="Arial" w:hAnsi="Arial" w:cs="Arial"/>
          <w:color w:val="000000" w:themeColor="text1"/>
          <w:sz w:val="20"/>
          <w:szCs w:val="20"/>
          <w:highlight w:val="yellow"/>
          <w:lang w:bidi="en-IN"/>
        </w:rPr>
        <w:lastRenderedPageBreak/>
        <w:t>aquatic ecosystems</w:t>
      </w:r>
      <w:r w:rsidR="00F660D2" w:rsidRPr="00F660D2">
        <w:rPr>
          <w:rFonts w:ascii="Arial" w:hAnsi="Arial" w:cs="Arial"/>
          <w:color w:val="000000" w:themeColor="text1"/>
          <w:sz w:val="20"/>
          <w:szCs w:val="20"/>
          <w:lang w:bidi="en-IN"/>
        </w:rPr>
        <w:t>,</w:t>
      </w:r>
      <w:r w:rsidRPr="0066543C">
        <w:rPr>
          <w:rFonts w:ascii="Arial" w:hAnsi="Arial" w:cs="Arial"/>
          <w:color w:val="000000" w:themeColor="text1"/>
          <w:sz w:val="20"/>
          <w:szCs w:val="20"/>
          <w:lang w:bidi="en-IN"/>
        </w:rPr>
        <w:t xml:space="preserve"> and soil degradation</w:t>
      </w:r>
      <w:r w:rsidR="00333F22" w:rsidRPr="0066543C">
        <w:rPr>
          <w:rFonts w:ascii="Arial" w:hAnsi="Arial" w:cs="Arial"/>
          <w:color w:val="000000" w:themeColor="text1"/>
          <w:sz w:val="20"/>
          <w:szCs w:val="20"/>
          <w:lang w:bidi="en-IN"/>
        </w:rPr>
        <w:t xml:space="preserve"> </w:t>
      </w:r>
      <w:proofErr w:type="gramStart"/>
      <w:r w:rsidRPr="0066543C">
        <w:rPr>
          <w:rFonts w:ascii="Arial" w:hAnsi="Arial" w:cs="Arial"/>
          <w:color w:val="000000" w:themeColor="text1"/>
          <w:sz w:val="20"/>
          <w:szCs w:val="20"/>
          <w:lang w:bidi="en-IN"/>
        </w:rPr>
        <w:t>( Santini</w:t>
      </w:r>
      <w:proofErr w:type="gramEnd"/>
      <w:r w:rsidRPr="0066543C">
        <w:rPr>
          <w:rFonts w:ascii="Arial" w:hAnsi="Arial" w:cs="Arial"/>
          <w:color w:val="000000" w:themeColor="text1"/>
          <w:sz w:val="20"/>
          <w:szCs w:val="20"/>
          <w:lang w:bidi="en-IN"/>
        </w:rPr>
        <w:t xml:space="preserve"> et al.,</w:t>
      </w:r>
      <w:r w:rsidR="00082A08" w:rsidRPr="0066543C">
        <w:rPr>
          <w:rFonts w:ascii="Arial" w:hAnsi="Arial" w:cs="Arial"/>
          <w:color w:val="000000" w:themeColor="text1"/>
          <w:sz w:val="20"/>
          <w:szCs w:val="20"/>
          <w:lang w:bidi="en-IN"/>
        </w:rPr>
        <w:t xml:space="preserve"> </w:t>
      </w:r>
      <w:r w:rsidRPr="0066543C">
        <w:rPr>
          <w:rFonts w:ascii="Arial" w:hAnsi="Arial" w:cs="Arial"/>
          <w:color w:val="000000" w:themeColor="text1"/>
          <w:sz w:val="20"/>
          <w:szCs w:val="20"/>
          <w:lang w:bidi="en-IN"/>
        </w:rPr>
        <w:t xml:space="preserve">2021). </w:t>
      </w:r>
      <w:r w:rsidR="00122693" w:rsidRPr="0066543C">
        <w:rPr>
          <w:rFonts w:ascii="Arial" w:eastAsia="Times New Roman" w:hAnsi="Arial" w:cs="Arial"/>
          <w:kern w:val="0"/>
          <w:sz w:val="20"/>
          <w:szCs w:val="20"/>
          <w:lang w:eastAsia="en-IN"/>
          <w14:ligatures w14:val="none"/>
        </w:rPr>
        <w:t xml:space="preserve">Prolonged use of synthetic fertilizers can adversely </w:t>
      </w:r>
      <w:r w:rsidR="00DE1A5B" w:rsidRPr="00DE1A5B">
        <w:rPr>
          <w:rFonts w:ascii="Arial" w:eastAsia="Times New Roman" w:hAnsi="Arial" w:cs="Arial"/>
          <w:kern w:val="0"/>
          <w:sz w:val="20"/>
          <w:szCs w:val="20"/>
          <w:highlight w:val="yellow"/>
          <w:lang w:eastAsia="en-IN"/>
          <w14:ligatures w14:val="none"/>
        </w:rPr>
        <w:t>affect soil physicochemical properties</w:t>
      </w:r>
      <w:r w:rsidR="00122693" w:rsidRPr="0066543C">
        <w:rPr>
          <w:rFonts w:ascii="Arial" w:eastAsia="Times New Roman" w:hAnsi="Arial" w:cs="Arial"/>
          <w:kern w:val="0"/>
          <w:sz w:val="20"/>
          <w:szCs w:val="20"/>
          <w:lang w:eastAsia="en-IN"/>
          <w14:ligatures w14:val="none"/>
        </w:rPr>
        <w:t xml:space="preserve"> (Vijayan et al., 2020). </w:t>
      </w:r>
      <w:r w:rsidR="00DE1A5B" w:rsidRPr="00DE1A5B">
        <w:rPr>
          <w:rFonts w:ascii="Arial" w:hAnsi="Arial" w:cs="Arial"/>
          <w:color w:val="000000" w:themeColor="text1"/>
          <w:sz w:val="20"/>
          <w:szCs w:val="20"/>
          <w:highlight w:val="yellow"/>
          <w:lang w:bidi="en-IN"/>
        </w:rPr>
        <w:t>These detrimental impacts emphasize the critical need for sustainable and eco-friendly alternatives.</w:t>
      </w:r>
      <w:r w:rsidRPr="0066543C">
        <w:rPr>
          <w:rFonts w:ascii="Arial" w:hAnsi="Arial" w:cs="Arial"/>
          <w:color w:val="000000" w:themeColor="text1"/>
          <w:sz w:val="20"/>
          <w:szCs w:val="20"/>
          <w:lang w:bidi="en-IN"/>
        </w:rPr>
        <w:t xml:space="preserve"> </w:t>
      </w:r>
    </w:p>
    <w:p w14:paraId="6E32BD4D" w14:textId="6C7F1D57" w:rsidR="009A2A85" w:rsidRPr="0066543C" w:rsidRDefault="00DE1A5B" w:rsidP="003157F0">
      <w:pPr>
        <w:spacing w:line="360" w:lineRule="auto"/>
        <w:jc w:val="both"/>
        <w:rPr>
          <w:rFonts w:ascii="Arial" w:hAnsi="Arial" w:cs="Arial"/>
          <w:color w:val="000000" w:themeColor="text1"/>
          <w:sz w:val="20"/>
          <w:szCs w:val="20"/>
          <w:lang w:bidi="en-IN"/>
        </w:rPr>
      </w:pPr>
      <w:r w:rsidRPr="00DE1A5B">
        <w:rPr>
          <w:rFonts w:ascii="Arial" w:eastAsia="Times New Roman" w:hAnsi="Arial" w:cs="Arial"/>
          <w:kern w:val="0"/>
          <w:sz w:val="20"/>
          <w:szCs w:val="20"/>
          <w:highlight w:val="yellow"/>
          <w:lang w:eastAsia="en-IN"/>
          <w14:ligatures w14:val="none"/>
        </w:rPr>
        <w:t xml:space="preserve">Conventional remediation methods are often limited by high costs, substantial energy inputs, and secondary waste generation, making them less compatible with sustainability goals. In contrast, bioremediation offers an environmentally friendly and cost effective strategy for </w:t>
      </w:r>
      <w:proofErr w:type="gramStart"/>
      <w:r w:rsidRPr="00DE1A5B">
        <w:rPr>
          <w:rFonts w:ascii="Arial" w:eastAsia="Times New Roman" w:hAnsi="Arial" w:cs="Arial"/>
          <w:kern w:val="0"/>
          <w:sz w:val="20"/>
          <w:szCs w:val="20"/>
          <w:highlight w:val="yellow"/>
          <w:lang w:eastAsia="en-IN"/>
          <w14:ligatures w14:val="none"/>
        </w:rPr>
        <w:t>degrading  organic</w:t>
      </w:r>
      <w:proofErr w:type="gramEnd"/>
      <w:r w:rsidRPr="00DE1A5B">
        <w:rPr>
          <w:rFonts w:ascii="Arial" w:eastAsia="Times New Roman" w:hAnsi="Arial" w:cs="Arial"/>
          <w:kern w:val="0"/>
          <w:sz w:val="20"/>
          <w:szCs w:val="20"/>
          <w:highlight w:val="yellow"/>
          <w:lang w:eastAsia="en-IN"/>
          <w14:ligatures w14:val="none"/>
        </w:rPr>
        <w:t xml:space="preserve"> pollutions </w:t>
      </w:r>
      <w:r w:rsidRPr="00DE1A5B">
        <w:rPr>
          <w:rFonts w:ascii="Arial" w:eastAsia="Times New Roman" w:hAnsi="Arial" w:cs="Arial"/>
          <w:kern w:val="0"/>
          <w:sz w:val="20"/>
          <w:szCs w:val="20"/>
          <w:highlight w:val="yellow"/>
          <w:lang w:eastAsia="en-IN" w:bidi="en-IN"/>
          <w14:ligatures w14:val="none"/>
        </w:rPr>
        <w:t>such as hydrocarbons, pesticides, dyes, and industrial effluents</w:t>
      </w:r>
      <w:r>
        <w:rPr>
          <w:rFonts w:ascii="Arial" w:eastAsia="Times New Roman" w:hAnsi="Arial" w:cs="Arial"/>
          <w:kern w:val="0"/>
          <w:sz w:val="20"/>
          <w:szCs w:val="20"/>
          <w:lang w:eastAsia="en-IN"/>
          <w14:ligatures w14:val="none"/>
        </w:rPr>
        <w:t xml:space="preserve"> </w:t>
      </w:r>
      <w:r w:rsidR="00194794" w:rsidRPr="0066543C">
        <w:rPr>
          <w:rFonts w:ascii="Arial" w:hAnsi="Arial" w:cs="Arial"/>
          <w:color w:val="000000" w:themeColor="text1"/>
          <w:sz w:val="20"/>
          <w:szCs w:val="20"/>
          <w:lang w:bidi="en-IN"/>
        </w:rPr>
        <w:t>(Vijayan et al., 2020)</w:t>
      </w:r>
      <w:r w:rsidR="009A2A85" w:rsidRPr="0066543C">
        <w:rPr>
          <w:rFonts w:ascii="Arial" w:hAnsi="Arial" w:cs="Arial"/>
          <w:color w:val="000000" w:themeColor="text1"/>
          <w:sz w:val="20"/>
          <w:szCs w:val="20"/>
          <w:lang w:bidi="en-IN"/>
        </w:rPr>
        <w:t xml:space="preserve">. </w:t>
      </w:r>
      <w:r w:rsidRPr="00DE1A5B">
        <w:rPr>
          <w:rFonts w:ascii="Arial" w:hAnsi="Arial" w:cs="Arial"/>
          <w:color w:val="000000" w:themeColor="text1"/>
          <w:sz w:val="20"/>
          <w:szCs w:val="20"/>
          <w:highlight w:val="yellow"/>
          <w:lang w:bidi="en-IN"/>
        </w:rPr>
        <w:t>This approach employs</w:t>
      </w:r>
      <w:r w:rsidR="009A2A85" w:rsidRPr="0066543C">
        <w:rPr>
          <w:rFonts w:ascii="Arial" w:hAnsi="Arial" w:cs="Arial"/>
          <w:color w:val="000000" w:themeColor="text1"/>
          <w:sz w:val="20"/>
          <w:szCs w:val="20"/>
          <w:lang w:bidi="en-IN"/>
        </w:rPr>
        <w:t xml:space="preserve"> microorganisms, plants, </w:t>
      </w:r>
      <w:r w:rsidR="009A2A85" w:rsidRPr="00DE1A5B">
        <w:rPr>
          <w:rFonts w:ascii="Arial" w:hAnsi="Arial" w:cs="Arial"/>
          <w:color w:val="000000" w:themeColor="text1"/>
          <w:sz w:val="20"/>
          <w:szCs w:val="20"/>
          <w:lang w:bidi="en-IN"/>
        </w:rPr>
        <w:t xml:space="preserve">or microbial enzymes to transform toxic compounds into less harmful or inert products. </w:t>
      </w:r>
      <w:r w:rsidRPr="00DE1A5B">
        <w:rPr>
          <w:rFonts w:ascii="Arial" w:eastAsia="Times New Roman" w:hAnsi="Arial" w:cs="Arial"/>
          <w:kern w:val="0"/>
          <w:sz w:val="20"/>
          <w:szCs w:val="20"/>
          <w:highlight w:val="yellow"/>
          <w:lang w:eastAsia="en-IN"/>
          <w14:ligatures w14:val="none"/>
        </w:rPr>
        <w:t xml:space="preserve">Through metabolic processes such as oxidation, reduction, and hydrolysis, pollutants are mineralized into carbon dioxide, water, and biomass. Bioremediation thus provides a </w:t>
      </w:r>
      <w:r w:rsidRPr="00DE1A5B">
        <w:rPr>
          <w:rFonts w:ascii="Arial" w:eastAsia="Times New Roman" w:hAnsi="Arial" w:cs="Arial"/>
          <w:kern w:val="0"/>
          <w:sz w:val="20"/>
          <w:szCs w:val="20"/>
          <w:highlight w:val="yellow"/>
          <w:lang w:eastAsia="en-IN" w:bidi="en-IN"/>
          <w14:ligatures w14:val="none"/>
        </w:rPr>
        <w:t>sustainable solution for restoring contaminated environments while minimizing secondary pollution compared to conventional physicochemical treatments</w:t>
      </w:r>
      <w:r w:rsidRPr="00DE1A5B">
        <w:rPr>
          <w:rFonts w:ascii="Arial" w:eastAsia="Times New Roman" w:hAnsi="Arial" w:cs="Arial"/>
          <w:kern w:val="0"/>
          <w:sz w:val="20"/>
          <w:szCs w:val="20"/>
          <w:lang w:eastAsia="en-IN" w:bidi="en-IN"/>
          <w14:ligatures w14:val="none"/>
        </w:rPr>
        <w:t>.</w:t>
      </w:r>
      <w:r w:rsidR="009A2A85" w:rsidRPr="00DE1A5B">
        <w:rPr>
          <w:rFonts w:ascii="Arial" w:hAnsi="Arial" w:cs="Arial"/>
          <w:color w:val="000000" w:themeColor="text1"/>
          <w:sz w:val="20"/>
          <w:szCs w:val="20"/>
          <w:lang w:bidi="en-IN"/>
        </w:rPr>
        <w:t xml:space="preserve"> </w:t>
      </w:r>
      <w:r w:rsidRPr="00DE1A5B">
        <w:rPr>
          <w:rFonts w:ascii="Arial" w:hAnsi="Arial" w:cs="Arial"/>
          <w:color w:val="000000" w:themeColor="text1"/>
          <w:sz w:val="20"/>
          <w:szCs w:val="20"/>
          <w:highlight w:val="yellow"/>
          <w:lang w:bidi="en-IN"/>
        </w:rPr>
        <w:t>Cyanobacteria play a significant role in bioremediation due to their metabolic versatility, resilience, and ability to thrive under diverse environmental conditions</w:t>
      </w:r>
      <w:r w:rsidR="00333F22" w:rsidRPr="0066543C">
        <w:rPr>
          <w:rFonts w:ascii="Arial" w:hAnsi="Arial" w:cs="Arial"/>
          <w:color w:val="000000" w:themeColor="text1"/>
          <w:sz w:val="20"/>
          <w:szCs w:val="20"/>
          <w:lang w:bidi="en-IN"/>
        </w:rPr>
        <w:t xml:space="preserve"> </w:t>
      </w:r>
      <w:r w:rsidR="009A2A85" w:rsidRPr="0066543C">
        <w:rPr>
          <w:rFonts w:ascii="Arial" w:hAnsi="Arial" w:cs="Arial"/>
          <w:color w:val="000000" w:themeColor="text1"/>
          <w:sz w:val="20"/>
          <w:szCs w:val="20"/>
          <w:lang w:bidi="en-IN"/>
        </w:rPr>
        <w:t>(Ibrahim et al., 2014</w:t>
      </w:r>
      <w:r>
        <w:rPr>
          <w:rFonts w:ascii="Arial" w:hAnsi="Arial" w:cs="Arial"/>
          <w:color w:val="000000" w:themeColor="text1"/>
          <w:sz w:val="20"/>
          <w:szCs w:val="20"/>
          <w:lang w:bidi="en-IN"/>
        </w:rPr>
        <w:t>;</w:t>
      </w:r>
      <w:r w:rsidRPr="00DE1A5B">
        <w:rPr>
          <w:rFonts w:ascii="Arial" w:hAnsi="Arial" w:cs="Arial"/>
          <w:color w:val="000000" w:themeColor="text1"/>
          <w:sz w:val="20"/>
          <w:szCs w:val="20"/>
          <w:lang w:bidi="en-IN"/>
        </w:rPr>
        <w:t xml:space="preserve"> </w:t>
      </w:r>
      <w:r w:rsidRPr="0066543C">
        <w:rPr>
          <w:rFonts w:ascii="Arial" w:hAnsi="Arial" w:cs="Arial"/>
          <w:color w:val="000000" w:themeColor="text1"/>
          <w:sz w:val="20"/>
          <w:szCs w:val="20"/>
          <w:lang w:bidi="en-IN"/>
        </w:rPr>
        <w:t>Santini et al., 2021</w:t>
      </w:r>
      <w:r w:rsidR="009A2A85" w:rsidRPr="0066543C">
        <w:rPr>
          <w:rFonts w:ascii="Arial" w:hAnsi="Arial" w:cs="Arial"/>
          <w:color w:val="000000" w:themeColor="text1"/>
          <w:sz w:val="20"/>
          <w:szCs w:val="20"/>
          <w:lang w:bidi="en-IN"/>
        </w:rPr>
        <w:t xml:space="preserve">). </w:t>
      </w:r>
      <w:r w:rsidR="003157F0" w:rsidRPr="003157F0">
        <w:rPr>
          <w:rFonts w:ascii="Arial" w:hAnsi="Arial" w:cs="Arial"/>
          <w:color w:val="000000" w:themeColor="text1"/>
          <w:sz w:val="20"/>
          <w:szCs w:val="20"/>
          <w:highlight w:val="yellow"/>
          <w:lang w:bidi="en-IN"/>
        </w:rPr>
        <w:t>They can degrade and transform a wide range of organic contaminants, including pesticides, hydrocarbons, and phenolic compounds, through enzymatic pathways. Additionally, Cyanobacteria serve as biofertilizers—microbial inoculants that amend soil while simultaneously remediating pollutants. They contribute essential nutrients to plants, maintain soil structure, and promote fertility by facilitating nutrient cycling, particularly of carbon and nitrogen</w:t>
      </w:r>
      <w:r w:rsidR="003157F0" w:rsidRPr="003157F0">
        <w:rPr>
          <w:rFonts w:ascii="Arial" w:hAnsi="Arial" w:cs="Arial"/>
          <w:color w:val="000000" w:themeColor="text1"/>
          <w:sz w:val="20"/>
          <w:szCs w:val="20"/>
          <w:lang w:bidi="en-IN"/>
        </w:rPr>
        <w:t xml:space="preserve"> </w:t>
      </w:r>
      <w:r w:rsidR="009A2A85" w:rsidRPr="0066543C">
        <w:rPr>
          <w:rFonts w:ascii="Arial" w:hAnsi="Arial" w:cs="Arial"/>
          <w:color w:val="000000" w:themeColor="text1"/>
          <w:sz w:val="20"/>
          <w:szCs w:val="20"/>
          <w:lang w:bidi="en-IN"/>
        </w:rPr>
        <w:t>(Giesy et al., 2014</w:t>
      </w:r>
      <w:r>
        <w:rPr>
          <w:rFonts w:ascii="Arial" w:hAnsi="Arial" w:cs="Arial"/>
          <w:color w:val="000000" w:themeColor="text1"/>
          <w:sz w:val="20"/>
          <w:szCs w:val="20"/>
          <w:lang w:bidi="en-IN"/>
        </w:rPr>
        <w:t>;</w:t>
      </w:r>
      <w:r w:rsidRPr="00DE1A5B">
        <w:rPr>
          <w:rFonts w:ascii="Arial" w:hAnsi="Arial" w:cs="Arial"/>
          <w:color w:val="000000" w:themeColor="text1"/>
          <w:sz w:val="20"/>
          <w:szCs w:val="20"/>
          <w:lang w:bidi="en-IN"/>
        </w:rPr>
        <w:t xml:space="preserve"> </w:t>
      </w:r>
      <w:r w:rsidRPr="0066543C">
        <w:rPr>
          <w:rFonts w:ascii="Arial" w:hAnsi="Arial" w:cs="Arial"/>
          <w:color w:val="000000" w:themeColor="text1"/>
          <w:sz w:val="20"/>
          <w:szCs w:val="20"/>
          <w:lang w:bidi="en-IN"/>
        </w:rPr>
        <w:t>Santini et al., 2021</w:t>
      </w:r>
      <w:r w:rsidR="009A2A85" w:rsidRPr="0066543C">
        <w:rPr>
          <w:rFonts w:ascii="Arial" w:hAnsi="Arial" w:cs="Arial"/>
          <w:color w:val="000000" w:themeColor="text1"/>
          <w:sz w:val="20"/>
          <w:szCs w:val="20"/>
          <w:lang w:bidi="en-IN"/>
        </w:rPr>
        <w:t xml:space="preserve">). </w:t>
      </w:r>
      <w:r w:rsidR="009C39F9" w:rsidRPr="009C39F9">
        <w:rPr>
          <w:rFonts w:ascii="Arial" w:hAnsi="Arial" w:cs="Arial"/>
          <w:color w:val="000000" w:themeColor="text1"/>
          <w:sz w:val="20"/>
          <w:szCs w:val="20"/>
          <w:highlight w:val="yellow"/>
          <w:lang w:bidi="en-IN"/>
        </w:rPr>
        <w:t>Among cyanobacteria, strains with plant growth-promoting traits (PGPR) are especially valuable. PGPR enhance root development and overall plant growth by producing plant growth regulators such as indole acetic acid (IAA). They further improve nutrient availability and soil sustainability through mechanisms including hydrogen cyanide (HCN) production, siderophore secretion, phosphate solubilization, and ammonia release (Prasanna et al., 2016; Kumar et al., 2018). These hormonal and biochemical activities directly support plant growth.</w:t>
      </w:r>
      <w:r w:rsidR="009C39F9">
        <w:rPr>
          <w:rFonts w:ascii="Arial" w:hAnsi="Arial" w:cs="Arial"/>
          <w:color w:val="000000" w:themeColor="text1"/>
          <w:sz w:val="20"/>
          <w:szCs w:val="20"/>
          <w:lang w:bidi="en-IN"/>
        </w:rPr>
        <w:t xml:space="preserve"> </w:t>
      </w:r>
      <w:r w:rsidR="009C39F9" w:rsidRPr="009C39F9">
        <w:rPr>
          <w:rFonts w:ascii="Arial" w:hAnsi="Arial" w:cs="Arial"/>
          <w:color w:val="000000" w:themeColor="text1"/>
          <w:sz w:val="20"/>
          <w:szCs w:val="20"/>
          <w:highlight w:val="yellow"/>
          <w:lang w:bidi="en-IN"/>
        </w:rPr>
        <w:t>The present study focuses on elucidating the organophosphorus degradation potential of cyanobacteria as well as the plant growth-promoting attributes of isolated strains using a series of biochemical assays. This research aims to advance understanding and application of PGPR-mediated mechanisms to enhance plant growth and maintain soil fertility sustainably.</w:t>
      </w:r>
    </w:p>
    <w:p w14:paraId="0C686A67" w14:textId="021C44DF" w:rsidR="00E20DF9" w:rsidRPr="0066543C" w:rsidRDefault="002662DD" w:rsidP="00E20DF9">
      <w:pPr>
        <w:rPr>
          <w:rFonts w:ascii="Arial" w:hAnsi="Arial" w:cs="Arial"/>
          <w:b/>
          <w:bCs/>
          <w:color w:val="000000" w:themeColor="text1"/>
        </w:rPr>
      </w:pPr>
      <w:r w:rsidRPr="0066543C">
        <w:rPr>
          <w:rFonts w:ascii="Arial" w:hAnsi="Arial" w:cs="Arial"/>
          <w:b/>
          <w:bCs/>
          <w:color w:val="000000" w:themeColor="text1"/>
        </w:rPr>
        <w:t>MATERIALS AND METHODS</w:t>
      </w:r>
    </w:p>
    <w:p w14:paraId="2B212BD2" w14:textId="13C5C609" w:rsidR="001A021F" w:rsidRPr="0066543C" w:rsidRDefault="002662DD" w:rsidP="00874F15">
      <w:pPr>
        <w:rPr>
          <w:rFonts w:ascii="Arial" w:hAnsi="Arial" w:cs="Arial"/>
          <w:b/>
          <w:bCs/>
          <w:color w:val="000000" w:themeColor="text1"/>
        </w:rPr>
      </w:pPr>
      <w:r w:rsidRPr="0066543C">
        <w:rPr>
          <w:rFonts w:ascii="Arial" w:hAnsi="Arial" w:cs="Arial"/>
          <w:b/>
          <w:bCs/>
          <w:color w:val="000000" w:themeColor="text1"/>
        </w:rPr>
        <w:t>MICROBIAL ANALYSIS OF SOIL AND WATER SAMPLES</w:t>
      </w:r>
    </w:p>
    <w:p w14:paraId="63C52BC9" w14:textId="152442BE" w:rsidR="009A2A85" w:rsidRPr="0066543C" w:rsidRDefault="009A2A85" w:rsidP="001A021F">
      <w:pPr>
        <w:spacing w:line="360" w:lineRule="auto"/>
        <w:jc w:val="both"/>
        <w:rPr>
          <w:rFonts w:ascii="Arial" w:hAnsi="Arial" w:cs="Arial"/>
          <w:b/>
          <w:bCs/>
          <w:color w:val="000000" w:themeColor="text1"/>
          <w:sz w:val="20"/>
          <w:szCs w:val="20"/>
        </w:rPr>
      </w:pPr>
      <w:r w:rsidRPr="0066543C">
        <w:rPr>
          <w:rFonts w:ascii="Arial" w:hAnsi="Arial" w:cs="Arial"/>
          <w:color w:val="000000" w:themeColor="text1"/>
          <w:sz w:val="20"/>
          <w:szCs w:val="20"/>
        </w:rPr>
        <w:t xml:space="preserve">Soil and water samples containing natural algal mats were collected from rice fields of </w:t>
      </w:r>
      <w:r w:rsidR="003F59EA" w:rsidRPr="0066543C">
        <w:rPr>
          <w:rFonts w:ascii="Arial" w:hAnsi="Arial" w:cs="Arial"/>
          <w:color w:val="000000" w:themeColor="text1"/>
          <w:sz w:val="20"/>
          <w:szCs w:val="20"/>
        </w:rPr>
        <w:t>Bhandara</w:t>
      </w:r>
      <w:r w:rsidRPr="0066543C">
        <w:rPr>
          <w:rFonts w:ascii="Arial" w:hAnsi="Arial" w:cs="Arial"/>
          <w:color w:val="000000" w:themeColor="text1"/>
          <w:sz w:val="20"/>
          <w:szCs w:val="20"/>
        </w:rPr>
        <w:t xml:space="preserve"> district</w:t>
      </w:r>
      <w:r w:rsidR="003F59EA" w:rsidRPr="0066543C">
        <w:rPr>
          <w:rFonts w:ascii="Arial" w:hAnsi="Arial" w:cs="Arial"/>
          <w:color w:val="000000" w:themeColor="text1"/>
          <w:sz w:val="20"/>
          <w:szCs w:val="20"/>
        </w:rPr>
        <w:t xml:space="preserve"> and</w:t>
      </w:r>
      <w:r w:rsidRPr="0066543C">
        <w:rPr>
          <w:rFonts w:ascii="Arial" w:hAnsi="Arial" w:cs="Arial"/>
          <w:color w:val="000000" w:themeColor="text1"/>
          <w:sz w:val="20"/>
          <w:szCs w:val="20"/>
        </w:rPr>
        <w:t xml:space="preserve"> Nagpur </w:t>
      </w:r>
      <w:r w:rsidR="003F59EA" w:rsidRPr="0066543C">
        <w:rPr>
          <w:rFonts w:ascii="Arial" w:hAnsi="Arial" w:cs="Arial"/>
          <w:color w:val="000000" w:themeColor="text1"/>
          <w:sz w:val="20"/>
          <w:szCs w:val="20"/>
        </w:rPr>
        <w:t xml:space="preserve">district borderline area of Vidarbh region in Maharashtra state, India, </w:t>
      </w:r>
      <w:r w:rsidRPr="0066543C">
        <w:rPr>
          <w:rFonts w:ascii="Arial" w:hAnsi="Arial" w:cs="Arial"/>
          <w:color w:val="000000" w:themeColor="text1"/>
          <w:sz w:val="20"/>
          <w:szCs w:val="20"/>
        </w:rPr>
        <w:t>using sterile containers. Samples were transported to the laboratory under cool and aseptic conditions for immediate processing.</w:t>
      </w:r>
    </w:p>
    <w:p w14:paraId="1E2DB7A1" w14:textId="32344064" w:rsidR="009A2A85" w:rsidRPr="0066543C" w:rsidRDefault="009A2A85" w:rsidP="009A2A85">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For enrichment, 1–2 g of soil or 5 mL of water sample was inoculated into 250 mL Erlenmeyer flasks containing 100 mL of sterilized BG-11 medium. Cultures were incubated at 25 ± 2 °C under continuous fluorescent illumination (1500–2000 </w:t>
      </w:r>
      <w:r w:rsidR="003F59EA" w:rsidRPr="0066543C">
        <w:rPr>
          <w:rFonts w:ascii="Arial" w:hAnsi="Arial" w:cs="Arial"/>
          <w:color w:val="000000" w:themeColor="text1"/>
          <w:sz w:val="20"/>
          <w:szCs w:val="20"/>
        </w:rPr>
        <w:t>L</w:t>
      </w:r>
      <w:r w:rsidRPr="0066543C">
        <w:rPr>
          <w:rFonts w:ascii="Arial" w:hAnsi="Arial" w:cs="Arial"/>
          <w:color w:val="000000" w:themeColor="text1"/>
          <w:sz w:val="20"/>
          <w:szCs w:val="20"/>
        </w:rPr>
        <w:t xml:space="preserve">ux) with </w:t>
      </w:r>
      <w:r w:rsidR="00456264" w:rsidRPr="0066543C">
        <w:rPr>
          <w:rFonts w:ascii="Arial" w:hAnsi="Arial" w:cs="Arial"/>
          <w:color w:val="000000" w:themeColor="text1"/>
          <w:sz w:val="20"/>
          <w:szCs w:val="20"/>
        </w:rPr>
        <w:t>continuous maintaining the</w:t>
      </w:r>
      <w:r w:rsidRPr="0066543C">
        <w:rPr>
          <w:rFonts w:ascii="Arial" w:hAnsi="Arial" w:cs="Arial"/>
          <w:color w:val="000000" w:themeColor="text1"/>
          <w:sz w:val="20"/>
          <w:szCs w:val="20"/>
        </w:rPr>
        <w:t xml:space="preserve"> 14:10 h </w:t>
      </w:r>
      <w:proofErr w:type="gramStart"/>
      <w:r w:rsidRPr="0066543C">
        <w:rPr>
          <w:rFonts w:ascii="Arial" w:hAnsi="Arial" w:cs="Arial"/>
          <w:color w:val="000000" w:themeColor="text1"/>
          <w:sz w:val="20"/>
          <w:szCs w:val="20"/>
        </w:rPr>
        <w:t>light:dark</w:t>
      </w:r>
      <w:proofErr w:type="gramEnd"/>
      <w:r w:rsidRPr="0066543C">
        <w:rPr>
          <w:rFonts w:ascii="Arial" w:hAnsi="Arial" w:cs="Arial"/>
          <w:color w:val="000000" w:themeColor="text1"/>
          <w:sz w:val="20"/>
          <w:szCs w:val="20"/>
        </w:rPr>
        <w:t xml:space="preserve"> photoperiod</w:t>
      </w:r>
      <w:r w:rsidR="00456264" w:rsidRPr="0066543C">
        <w:rPr>
          <w:rFonts w:ascii="Arial" w:hAnsi="Arial" w:cs="Arial"/>
          <w:color w:val="000000" w:themeColor="text1"/>
          <w:sz w:val="20"/>
          <w:szCs w:val="20"/>
        </w:rPr>
        <w:t xml:space="preserve"> (Vijayan et al., 2020)</w:t>
      </w:r>
      <w:r w:rsidRPr="0066543C">
        <w:rPr>
          <w:rFonts w:ascii="Arial" w:hAnsi="Arial" w:cs="Arial"/>
          <w:color w:val="000000" w:themeColor="text1"/>
          <w:sz w:val="20"/>
          <w:szCs w:val="20"/>
        </w:rPr>
        <w:t xml:space="preserve">. Serial dilution and streak plate methods were employed </w:t>
      </w:r>
      <w:r w:rsidRPr="0066543C">
        <w:rPr>
          <w:rFonts w:ascii="Arial" w:hAnsi="Arial" w:cs="Arial"/>
          <w:color w:val="000000" w:themeColor="text1"/>
          <w:sz w:val="20"/>
          <w:szCs w:val="20"/>
        </w:rPr>
        <w:lastRenderedPageBreak/>
        <w:t>to isolate unialgal colonies on BG-11 agar plates. After 7–14 days of incubation, distinct cyanobacterial colonies or filaments were picked using sterile glass capillaries/needles and transferred into fresh BG-11 liquid medium. This purification step was repeated until unialgal cultures were obtained, confirmed by microscopic observation. To reduce bacterial contamination, repeated washing with sterile distilled water was performed (</w:t>
      </w:r>
      <w:r w:rsidR="00DE1A5B" w:rsidRPr="0066543C">
        <w:rPr>
          <w:rFonts w:ascii="Arial" w:hAnsi="Arial" w:cs="Arial"/>
          <w:color w:val="000000" w:themeColor="text1"/>
          <w:sz w:val="20"/>
          <w:szCs w:val="20"/>
        </w:rPr>
        <w:t>Roque et al., 2023</w:t>
      </w:r>
      <w:r w:rsidRPr="0066543C">
        <w:rPr>
          <w:rFonts w:ascii="Arial" w:hAnsi="Arial" w:cs="Arial"/>
          <w:color w:val="000000" w:themeColor="text1"/>
          <w:sz w:val="20"/>
          <w:szCs w:val="20"/>
        </w:rPr>
        <w:t xml:space="preserve">). </w:t>
      </w:r>
    </w:p>
    <w:p w14:paraId="5AEA6DC2" w14:textId="1996FC8B" w:rsidR="009A2A85" w:rsidRPr="0066543C" w:rsidRDefault="009A2A85" w:rsidP="009A2A85">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Isolated strains were identified to the genus level based on morphological characteristics such as cell shape, filament structure, and pigmentation, using standard taxonomic keys. Pure cyanobacterial isolates were maintained on BG-11 agar slants and in liquid BG-11 medium under continuous illumination (1500–2000 lux) at 2</w:t>
      </w:r>
      <w:r w:rsidR="00BF729B" w:rsidRPr="0066543C">
        <w:rPr>
          <w:rFonts w:ascii="Arial" w:hAnsi="Arial" w:cs="Arial"/>
          <w:color w:val="000000" w:themeColor="text1"/>
          <w:sz w:val="20"/>
          <w:szCs w:val="20"/>
        </w:rPr>
        <w:t>8</w:t>
      </w:r>
      <w:r w:rsidRPr="0066543C">
        <w:rPr>
          <w:rFonts w:ascii="Arial" w:hAnsi="Arial" w:cs="Arial"/>
          <w:color w:val="000000" w:themeColor="text1"/>
          <w:sz w:val="20"/>
          <w:szCs w:val="20"/>
        </w:rPr>
        <w:t xml:space="preserve"> ± 2 °C. Cultures were sub</w:t>
      </w:r>
      <w:r w:rsidR="00BF729B" w:rsidRPr="0066543C">
        <w:rPr>
          <w:rFonts w:ascii="Arial" w:hAnsi="Arial" w:cs="Arial"/>
          <w:color w:val="000000" w:themeColor="text1"/>
          <w:sz w:val="20"/>
          <w:szCs w:val="20"/>
        </w:rPr>
        <w:t>-</w:t>
      </w:r>
      <w:r w:rsidRPr="0066543C">
        <w:rPr>
          <w:rFonts w:ascii="Arial" w:hAnsi="Arial" w:cs="Arial"/>
          <w:color w:val="000000" w:themeColor="text1"/>
          <w:sz w:val="20"/>
          <w:szCs w:val="20"/>
        </w:rPr>
        <w:t>cultured every 4 weeks to ensure viability. For long-term storage, isolates were preserved at –80 °C in BG-11 medium supplemented with 10% glycerol (</w:t>
      </w:r>
      <w:r w:rsidR="00DE1A5B" w:rsidRPr="0066543C">
        <w:rPr>
          <w:rFonts w:ascii="Arial" w:hAnsi="Arial" w:cs="Arial"/>
          <w:color w:val="000000" w:themeColor="text1"/>
          <w:sz w:val="20"/>
          <w:szCs w:val="20"/>
        </w:rPr>
        <w:t>Roque et al., 2023</w:t>
      </w:r>
      <w:r w:rsidRPr="0066543C">
        <w:rPr>
          <w:rFonts w:ascii="Arial" w:hAnsi="Arial" w:cs="Arial"/>
          <w:color w:val="000000" w:themeColor="text1"/>
          <w:sz w:val="20"/>
          <w:szCs w:val="20"/>
        </w:rPr>
        <w:t>).</w:t>
      </w:r>
    </w:p>
    <w:p w14:paraId="72EBC28A" w14:textId="14FF9623" w:rsidR="00972B2B" w:rsidRPr="0066543C" w:rsidRDefault="002662DD" w:rsidP="00972B2B">
      <w:pPr>
        <w:rPr>
          <w:rFonts w:ascii="Arial" w:hAnsi="Arial" w:cs="Arial"/>
          <w:b/>
          <w:bCs/>
          <w:color w:val="000000" w:themeColor="text1"/>
        </w:rPr>
      </w:pPr>
      <w:r w:rsidRPr="0066543C">
        <w:rPr>
          <w:rFonts w:ascii="Arial" w:hAnsi="Arial" w:cs="Arial"/>
          <w:b/>
          <w:bCs/>
          <w:color w:val="000000" w:themeColor="text1"/>
        </w:rPr>
        <w:t>SELECTION OF CHLORPYRIFOS-TOLERANT CYANOBACTERIA AND CHLORPYRIFOS DEGRADATION</w:t>
      </w:r>
    </w:p>
    <w:p w14:paraId="599317DA" w14:textId="5523DC0D" w:rsidR="00972B2B" w:rsidRPr="0066543C" w:rsidRDefault="00972B2B" w:rsidP="00972B2B">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The organophosphorus pesticide, chlorpyrifos, a commercially available formulation with the chemical name O, O-diethyl O-(3,5,6-trichloro-2-pyridinyl)-phosphorothioate. The initial inoculum was approximately 2 mg per 100 mL of culture medium for the screening of the cyanobacterial tolerant. For experiment, Chlorpyrifos was added to the medium at different concentrations ranging from 5, 10, 15, and 20 mg L</w:t>
      </w:r>
      <w:r w:rsidRPr="0066543C">
        <w:rPr>
          <w:rFonts w:ascii="Arial" w:hAnsi="Arial" w:cs="Arial"/>
          <w:color w:val="000000" w:themeColor="text1"/>
          <w:sz w:val="20"/>
          <w:szCs w:val="20"/>
          <w:vertAlign w:val="superscript"/>
        </w:rPr>
        <w:t>-1</w:t>
      </w:r>
      <w:r w:rsidRPr="0066543C">
        <w:rPr>
          <w:rFonts w:ascii="Arial" w:hAnsi="Arial" w:cs="Arial"/>
          <w:color w:val="000000" w:themeColor="text1"/>
          <w:sz w:val="20"/>
          <w:szCs w:val="20"/>
        </w:rPr>
        <w:t xml:space="preserve"> for the biodegradation study. Similar dose-dependent ranges have been examined in earlier studies with cyanobacteria (Singh &amp; Khattar, 2011</w:t>
      </w:r>
      <w:r w:rsidR="00DE1A5B">
        <w:rPr>
          <w:rFonts w:ascii="Arial" w:hAnsi="Arial" w:cs="Arial"/>
          <w:color w:val="000000" w:themeColor="text1"/>
          <w:sz w:val="20"/>
          <w:szCs w:val="20"/>
        </w:rPr>
        <w:t>;</w:t>
      </w:r>
      <w:r w:rsidR="00A07621" w:rsidRPr="00A07621">
        <w:rPr>
          <w:rFonts w:ascii="Arial" w:hAnsi="Arial" w:cs="Arial"/>
          <w:color w:val="000000" w:themeColor="text1"/>
          <w:sz w:val="20"/>
          <w:szCs w:val="20"/>
        </w:rPr>
        <w:t xml:space="preserve"> </w:t>
      </w:r>
      <w:r w:rsidR="00A07621">
        <w:rPr>
          <w:rFonts w:ascii="Arial" w:hAnsi="Arial" w:cs="Arial"/>
          <w:color w:val="000000" w:themeColor="text1"/>
          <w:sz w:val="20"/>
          <w:szCs w:val="20"/>
        </w:rPr>
        <w:t>Bhuvaneshwari et al., 2018;</w:t>
      </w:r>
      <w:r w:rsidR="00DE1A5B">
        <w:rPr>
          <w:rFonts w:ascii="Arial" w:hAnsi="Arial" w:cs="Arial"/>
          <w:color w:val="000000" w:themeColor="text1"/>
          <w:sz w:val="20"/>
          <w:szCs w:val="20"/>
        </w:rPr>
        <w:t xml:space="preserve"> </w:t>
      </w:r>
      <w:r w:rsidR="00DE1A5B" w:rsidRPr="0066543C">
        <w:rPr>
          <w:rFonts w:ascii="Arial" w:hAnsi="Arial" w:cs="Arial"/>
          <w:color w:val="000000" w:themeColor="text1"/>
          <w:sz w:val="20"/>
          <w:szCs w:val="20"/>
        </w:rPr>
        <w:t>Tang et al., 2024</w:t>
      </w:r>
      <w:r w:rsidRPr="0066543C">
        <w:rPr>
          <w:rFonts w:ascii="Arial" w:hAnsi="Arial" w:cs="Arial"/>
          <w:color w:val="000000" w:themeColor="text1"/>
          <w:sz w:val="20"/>
          <w:szCs w:val="20"/>
        </w:rPr>
        <w:t>).</w:t>
      </w:r>
    </w:p>
    <w:p w14:paraId="7B06D970" w14:textId="77777777" w:rsidR="00972B2B" w:rsidRPr="0066543C" w:rsidRDefault="00972B2B" w:rsidP="00972B2B">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The culture flasks were maintained under continuous illumination using daylight fluorescent tubes, providing an average light intensity of 1500-2000 Lux, which was kept constant throughout the experiment. The jars were incubated at 28-30°C under continuous shaking at 80 rpm. Samples were collected at five-day intervals up to 20 days for estimation of growth in terms of algal cell count. After five days, 10 mL of algal culture was withdrawn, and chlorpyrifos degradation was assessed spectrophotometrically, based on its characteristic absorbance peak at 290 nm. The algal strain was also employed to determine chlorpyrifos residues in the culture medium.</w:t>
      </w:r>
    </w:p>
    <w:p w14:paraId="50D09652" w14:textId="77777777" w:rsidR="00972B2B" w:rsidRPr="0066543C" w:rsidRDefault="00972B2B" w:rsidP="00972B2B">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For the preparation of phosphorus-limited cultures, exponentially growing algal cells were inoculated into jars containing medium with 1/10th of the original phosphorus concentration. These phosphorus-limited cells were then cultured in media both without and with different concentrations of chlorpyrifos. After 20 days, samples were collected to estimate cell count and phosphorus content in the algal cells. The total phosphorus content in algal biomass was measured spectrophotometrically at 720 nm.</w:t>
      </w:r>
    </w:p>
    <w:p w14:paraId="699AD2F9" w14:textId="050AE38D" w:rsidR="00E20DF9" w:rsidRPr="0066543C" w:rsidRDefault="004A1863" w:rsidP="00E20DF9">
      <w:pPr>
        <w:rPr>
          <w:rFonts w:ascii="Arial" w:hAnsi="Arial" w:cs="Arial"/>
          <w:b/>
          <w:bCs/>
          <w:color w:val="000000" w:themeColor="text1"/>
        </w:rPr>
      </w:pPr>
      <w:r w:rsidRPr="0066543C">
        <w:rPr>
          <w:rFonts w:ascii="Arial" w:hAnsi="Arial" w:cs="Arial"/>
          <w:b/>
          <w:bCs/>
          <w:color w:val="000000" w:themeColor="text1"/>
        </w:rPr>
        <w:t>IDENTIFICATION OF CYANOBACTERIA</w:t>
      </w:r>
    </w:p>
    <w:p w14:paraId="5F701E2C" w14:textId="56D08A09" w:rsidR="009A2A85" w:rsidRPr="0066543C" w:rsidRDefault="009A2A85" w:rsidP="009A2A85">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Genomic DNA was extracted from exponentially growing cyanobacterial cultures (15–20 days old). Approximately 50-100 mg of wet biomass was harvested by centrifugation</w:t>
      </w:r>
      <w:r w:rsidR="00E818C9" w:rsidRPr="0066543C">
        <w:rPr>
          <w:rFonts w:ascii="Arial" w:hAnsi="Arial" w:cs="Arial"/>
          <w:color w:val="000000" w:themeColor="text1"/>
          <w:sz w:val="20"/>
          <w:szCs w:val="20"/>
        </w:rPr>
        <w:t xml:space="preserve"> at </w:t>
      </w:r>
      <w:r w:rsidRPr="0066543C">
        <w:rPr>
          <w:rFonts w:ascii="Arial" w:hAnsi="Arial" w:cs="Arial"/>
          <w:color w:val="000000" w:themeColor="text1"/>
          <w:sz w:val="20"/>
          <w:szCs w:val="20"/>
        </w:rPr>
        <w:t>10,000 rpm</w:t>
      </w:r>
      <w:r w:rsidR="00E818C9" w:rsidRPr="0066543C">
        <w:rPr>
          <w:rFonts w:ascii="Arial" w:hAnsi="Arial" w:cs="Arial"/>
          <w:color w:val="000000" w:themeColor="text1"/>
          <w:sz w:val="20"/>
          <w:szCs w:val="20"/>
        </w:rPr>
        <w:t xml:space="preserve"> for</w:t>
      </w:r>
      <w:r w:rsidRPr="0066543C">
        <w:rPr>
          <w:rFonts w:ascii="Arial" w:hAnsi="Arial" w:cs="Arial"/>
          <w:color w:val="000000" w:themeColor="text1"/>
          <w:sz w:val="20"/>
          <w:szCs w:val="20"/>
        </w:rPr>
        <w:t xml:space="preserve"> 10 min. DNA extraction was performed using the CTAB method with modifications, or with a commercial bacterial DNA extraction kit. </w:t>
      </w:r>
      <w:r w:rsidR="00E818C9" w:rsidRPr="0066543C">
        <w:rPr>
          <w:rFonts w:ascii="Arial" w:hAnsi="Arial" w:cs="Arial"/>
          <w:color w:val="000000" w:themeColor="text1"/>
          <w:sz w:val="20"/>
          <w:szCs w:val="20"/>
        </w:rPr>
        <w:t>Assessment of t</w:t>
      </w:r>
      <w:r w:rsidRPr="0066543C">
        <w:rPr>
          <w:rFonts w:ascii="Arial" w:hAnsi="Arial" w:cs="Arial"/>
          <w:color w:val="000000" w:themeColor="text1"/>
          <w:sz w:val="20"/>
          <w:szCs w:val="20"/>
        </w:rPr>
        <w:t xml:space="preserve">he quality and quantity of DNA were </w:t>
      </w:r>
      <w:r w:rsidR="00E818C9" w:rsidRPr="0066543C">
        <w:rPr>
          <w:rFonts w:ascii="Arial" w:hAnsi="Arial" w:cs="Arial"/>
          <w:color w:val="000000" w:themeColor="text1"/>
          <w:sz w:val="20"/>
          <w:szCs w:val="20"/>
        </w:rPr>
        <w:t>completed by</w:t>
      </w:r>
      <w:r w:rsidRPr="0066543C">
        <w:rPr>
          <w:rFonts w:ascii="Arial" w:hAnsi="Arial" w:cs="Arial"/>
          <w:color w:val="000000" w:themeColor="text1"/>
          <w:sz w:val="20"/>
          <w:szCs w:val="20"/>
        </w:rPr>
        <w:t xml:space="preserve"> agarose gel electrophoresis (1%) and spectrophotometric measurement at 260/280 nm.</w:t>
      </w:r>
    </w:p>
    <w:p w14:paraId="6B425BA4" w14:textId="04F7EADC" w:rsidR="009A2A85" w:rsidRPr="0066543C" w:rsidRDefault="009A2A85" w:rsidP="009A2A85">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lastRenderedPageBreak/>
        <w:t xml:space="preserve">The 16S rRNA gene was targeted for molecular characterization. </w:t>
      </w:r>
      <w:r w:rsidR="00D1743C" w:rsidRPr="00D1743C">
        <w:rPr>
          <w:rFonts w:ascii="Arial" w:hAnsi="Arial" w:cs="Arial"/>
          <w:sz w:val="20"/>
          <w:szCs w:val="20"/>
          <w:highlight w:val="yellow"/>
        </w:rPr>
        <w:t>The PCR cycle consisted of 1 cycle of denaturation at 98°C for 1 minute, 39 cycles of denaturation at 98°C for 10 seconds, annealing at 57°C for 30 seconds, extension at 72°C for 2 minutes, and a final extension at 72°C for 10 minutes before a final hold at 4 °C (Vijayan et al., 2020).</w:t>
      </w:r>
      <w:r w:rsidR="00D1743C">
        <w:rPr>
          <w:rFonts w:ascii="Times New Roman" w:hAnsi="Times New Roman" w:cs="Times New Roman"/>
          <w:sz w:val="24"/>
          <w:szCs w:val="24"/>
        </w:rPr>
        <w:t xml:space="preserve"> </w:t>
      </w:r>
      <w:r w:rsidRPr="00D1743C">
        <w:rPr>
          <w:rFonts w:ascii="Arial" w:hAnsi="Arial" w:cs="Arial"/>
          <w:color w:val="000000" w:themeColor="text1"/>
          <w:sz w:val="20"/>
          <w:szCs w:val="20"/>
        </w:rPr>
        <w:t xml:space="preserve">PCR amplification </w:t>
      </w:r>
      <w:r w:rsidRPr="0066543C">
        <w:rPr>
          <w:rFonts w:ascii="Arial" w:hAnsi="Arial" w:cs="Arial"/>
          <w:color w:val="000000" w:themeColor="text1"/>
          <w:sz w:val="20"/>
          <w:szCs w:val="20"/>
        </w:rPr>
        <w:t>was carried out using universal cyanobacterial primers:</w:t>
      </w:r>
    </w:p>
    <w:p w14:paraId="6BC2A4BA" w14:textId="77777777" w:rsidR="009A2A85" w:rsidRPr="0066543C" w:rsidRDefault="009A2A85" w:rsidP="0060108D">
      <w:pPr>
        <w:spacing w:line="276" w:lineRule="auto"/>
        <w:jc w:val="both"/>
        <w:rPr>
          <w:rFonts w:ascii="Arial" w:hAnsi="Arial" w:cs="Arial"/>
          <w:color w:val="000000" w:themeColor="text1"/>
          <w:sz w:val="20"/>
          <w:szCs w:val="20"/>
        </w:rPr>
      </w:pPr>
      <w:r w:rsidRPr="0066543C">
        <w:rPr>
          <w:rFonts w:ascii="Arial" w:hAnsi="Arial" w:cs="Arial"/>
          <w:color w:val="000000" w:themeColor="text1"/>
          <w:sz w:val="20"/>
          <w:szCs w:val="20"/>
        </w:rPr>
        <w:t>Forward:  CYA359F (GGGGAATYTTCCGCAATGGG)</w:t>
      </w:r>
    </w:p>
    <w:p w14:paraId="2536610B" w14:textId="77777777" w:rsidR="009A2A85" w:rsidRPr="0066543C" w:rsidRDefault="009A2A85" w:rsidP="0060108D">
      <w:pPr>
        <w:spacing w:line="276" w:lineRule="auto"/>
        <w:jc w:val="both"/>
        <w:rPr>
          <w:rFonts w:ascii="Arial" w:hAnsi="Arial" w:cs="Arial"/>
          <w:color w:val="000000" w:themeColor="text1"/>
          <w:sz w:val="20"/>
          <w:szCs w:val="20"/>
        </w:rPr>
      </w:pPr>
      <w:r w:rsidRPr="0066543C">
        <w:rPr>
          <w:rFonts w:ascii="Arial" w:hAnsi="Arial" w:cs="Arial"/>
          <w:color w:val="000000" w:themeColor="text1"/>
          <w:sz w:val="20"/>
          <w:szCs w:val="20"/>
        </w:rPr>
        <w:t>Reverse: CYA781R (GACTACWGGGGTATCTAATCCCWTT)</w:t>
      </w:r>
    </w:p>
    <w:p w14:paraId="316B2AAB" w14:textId="36C4953A" w:rsidR="00A5413A" w:rsidRPr="009C61DA" w:rsidRDefault="00A5413A" w:rsidP="009C61DA">
      <w:pPr>
        <w:spacing w:line="360" w:lineRule="auto"/>
        <w:jc w:val="both"/>
        <w:rPr>
          <w:rFonts w:ascii="Arial" w:hAnsi="Arial" w:cs="Arial"/>
          <w:sz w:val="20"/>
          <w:szCs w:val="20"/>
        </w:rPr>
      </w:pPr>
      <w:r w:rsidRPr="009C61DA">
        <w:rPr>
          <w:rFonts w:ascii="Arial" w:hAnsi="Arial" w:cs="Arial"/>
          <w:sz w:val="20"/>
          <w:szCs w:val="20"/>
        </w:rPr>
        <w:t xml:space="preserve">A partial nucleotide sequence of 421 bp obtained by amplification and sequencing of the 16S rRNA gene fragment showed that the selected cyanobacterial strain NGP3 was identified </w:t>
      </w:r>
      <w:bookmarkStart w:id="0" w:name="_Hlk209259508"/>
      <w:r w:rsidRPr="009C61DA">
        <w:rPr>
          <w:rFonts w:ascii="Arial" w:hAnsi="Arial" w:cs="Arial"/>
          <w:sz w:val="20"/>
          <w:szCs w:val="20"/>
        </w:rPr>
        <w:t xml:space="preserve">as </w:t>
      </w:r>
      <w:r w:rsidRPr="009C61DA">
        <w:rPr>
          <w:rFonts w:ascii="Arial" w:hAnsi="Arial" w:cs="Arial"/>
          <w:i/>
          <w:iCs/>
          <w:sz w:val="20"/>
          <w:szCs w:val="20"/>
        </w:rPr>
        <w:t>Leptolyngbya</w:t>
      </w:r>
      <w:r w:rsidRPr="009C61DA">
        <w:rPr>
          <w:rFonts w:ascii="Arial" w:hAnsi="Arial" w:cs="Arial"/>
          <w:sz w:val="20"/>
          <w:szCs w:val="20"/>
        </w:rPr>
        <w:t xml:space="preserve"> species</w:t>
      </w:r>
      <w:bookmarkEnd w:id="0"/>
      <w:r w:rsidRPr="009C61DA">
        <w:rPr>
          <w:rFonts w:ascii="Arial" w:hAnsi="Arial" w:cs="Arial"/>
          <w:sz w:val="20"/>
          <w:szCs w:val="20"/>
        </w:rPr>
        <w:t xml:space="preserve">. The nucleotide sequence has been deposited in the NCBI GenBank database </w:t>
      </w:r>
      <w:r w:rsidR="00A50235">
        <w:rPr>
          <w:rFonts w:ascii="Arial" w:hAnsi="Arial" w:cs="Arial"/>
          <w:sz w:val="20"/>
          <w:szCs w:val="20"/>
        </w:rPr>
        <w:t xml:space="preserve">with accession number </w:t>
      </w:r>
      <w:r w:rsidR="00A50235" w:rsidRPr="00A50235">
        <w:rPr>
          <w:rStyle w:val="cf01"/>
          <w:rFonts w:ascii="Arial" w:hAnsi="Arial" w:cs="Arial"/>
          <w:sz w:val="20"/>
          <w:szCs w:val="20"/>
        </w:rPr>
        <w:t>PP463919.1</w:t>
      </w:r>
      <w:r w:rsidRPr="00A50235">
        <w:rPr>
          <w:rFonts w:ascii="Arial" w:hAnsi="Arial" w:cs="Arial"/>
          <w:sz w:val="20"/>
          <w:szCs w:val="20"/>
        </w:rPr>
        <w:t>.</w:t>
      </w:r>
      <w:r w:rsidRPr="009C61DA">
        <w:rPr>
          <w:rFonts w:ascii="Arial" w:hAnsi="Arial" w:cs="Arial"/>
          <w:sz w:val="20"/>
          <w:szCs w:val="20"/>
        </w:rPr>
        <w:t xml:space="preserve"> </w:t>
      </w:r>
    </w:p>
    <w:p w14:paraId="0D1DB37B" w14:textId="5910EDB3" w:rsidR="00E20DF9" w:rsidRPr="0066543C" w:rsidRDefault="004A1863" w:rsidP="00E20DF9">
      <w:pPr>
        <w:rPr>
          <w:rFonts w:ascii="Arial" w:hAnsi="Arial" w:cs="Arial"/>
          <w:b/>
          <w:bCs/>
          <w:color w:val="000000" w:themeColor="text1"/>
        </w:rPr>
      </w:pPr>
      <w:r w:rsidRPr="0066543C">
        <w:rPr>
          <w:rFonts w:ascii="Arial" w:hAnsi="Arial" w:cs="Arial"/>
          <w:b/>
          <w:bCs/>
          <w:color w:val="000000" w:themeColor="text1"/>
        </w:rPr>
        <w:t>SCREENING OF PLANT GROWTH-PROMOTING CYANOBACTERIA FOR PLANT GROWTH-PROMOTING ACTIVITIES</w:t>
      </w:r>
    </w:p>
    <w:p w14:paraId="58DF859D" w14:textId="1DDE1640" w:rsidR="00E20DF9" w:rsidRPr="0066543C" w:rsidRDefault="004A1863" w:rsidP="00E20DF9">
      <w:pPr>
        <w:rPr>
          <w:rFonts w:ascii="Arial" w:hAnsi="Arial" w:cs="Arial"/>
          <w:b/>
          <w:bCs/>
          <w:color w:val="000000" w:themeColor="text1"/>
        </w:rPr>
      </w:pPr>
      <w:r w:rsidRPr="0066543C">
        <w:rPr>
          <w:rFonts w:ascii="Arial" w:hAnsi="Arial" w:cs="Arial"/>
          <w:b/>
          <w:bCs/>
          <w:color w:val="000000" w:themeColor="text1"/>
        </w:rPr>
        <w:t>INDOLE ACETIC ACID PRODUCTION</w:t>
      </w:r>
    </w:p>
    <w:p w14:paraId="7AE1BAEC" w14:textId="54FED08C" w:rsidR="009A2A85" w:rsidRPr="0066543C" w:rsidRDefault="009A2A85" w:rsidP="009A2A85">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IAA production was estimated </w:t>
      </w:r>
      <w:r w:rsidR="00334CD1" w:rsidRPr="0066543C">
        <w:rPr>
          <w:rFonts w:ascii="Arial" w:hAnsi="Arial" w:cs="Arial"/>
          <w:color w:val="000000" w:themeColor="text1"/>
          <w:sz w:val="20"/>
          <w:szCs w:val="20"/>
        </w:rPr>
        <w:t>calorimetrically</w:t>
      </w:r>
      <w:r w:rsidRPr="0066543C">
        <w:rPr>
          <w:rFonts w:ascii="Arial" w:hAnsi="Arial" w:cs="Arial"/>
          <w:color w:val="000000" w:themeColor="text1"/>
          <w:sz w:val="20"/>
          <w:szCs w:val="20"/>
        </w:rPr>
        <w:t xml:space="preserve"> using Salkowski’s reagent. Bacterial isolates were grown in Luria–Bertani (LB) broth supplemented with L-tryptophan (0.5 mg/mL) and incubated at 28 °C for 48–72 h with shaking (120 rpm). Cultures were centrifuged at 10,000 rpm for 10 min, and 1 mL of supernatant was mixed with 2 mL of Salkowski’s reagent (1 mL of 0.5 M FeCl</w:t>
      </w:r>
      <w:r w:rsidRPr="0066543C">
        <w:rPr>
          <w:rFonts w:ascii="Cambria Math" w:hAnsi="Cambria Math" w:cs="Cambria Math"/>
          <w:color w:val="000000" w:themeColor="text1"/>
          <w:sz w:val="20"/>
          <w:szCs w:val="20"/>
        </w:rPr>
        <w:t>₃</w:t>
      </w:r>
      <w:r w:rsidRPr="0066543C">
        <w:rPr>
          <w:rFonts w:ascii="Arial" w:hAnsi="Arial" w:cs="Arial"/>
          <w:color w:val="000000" w:themeColor="text1"/>
          <w:sz w:val="20"/>
          <w:szCs w:val="20"/>
        </w:rPr>
        <w:t xml:space="preserve"> in 50 mL of 35% perchloric acid). Development of a pink to red color after 30 min of incubation in the dark indicated IAA production. Absorbance was measured at 530 nm using a spectrophotometer (Waday et al., 2022).</w:t>
      </w:r>
    </w:p>
    <w:p w14:paraId="07396879" w14:textId="62BFC31D" w:rsidR="00E20DF9" w:rsidRPr="0066543C" w:rsidRDefault="004A1863" w:rsidP="00E20DF9">
      <w:pPr>
        <w:rPr>
          <w:rFonts w:ascii="Arial" w:hAnsi="Arial" w:cs="Arial"/>
          <w:b/>
          <w:bCs/>
          <w:color w:val="000000" w:themeColor="text1"/>
        </w:rPr>
      </w:pPr>
      <w:r w:rsidRPr="0066543C">
        <w:rPr>
          <w:rFonts w:ascii="Arial" w:hAnsi="Arial" w:cs="Arial"/>
          <w:b/>
          <w:bCs/>
          <w:color w:val="000000" w:themeColor="text1"/>
        </w:rPr>
        <w:t>PHOSPHATE SOLUBILISATION</w:t>
      </w:r>
    </w:p>
    <w:p w14:paraId="37D9EC05" w14:textId="5D92E288" w:rsidR="009A2A85" w:rsidRPr="0066543C" w:rsidRDefault="009A2A85" w:rsidP="009A2A85">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Phosphate solubilization ability was tested using Pikovskaya’s agar medium containing tricalcium phosphate [Ca</w:t>
      </w:r>
      <w:r w:rsidRPr="0066543C">
        <w:rPr>
          <w:rFonts w:ascii="Cambria Math" w:hAnsi="Cambria Math" w:cs="Cambria Math"/>
          <w:color w:val="000000" w:themeColor="text1"/>
          <w:sz w:val="20"/>
          <w:szCs w:val="20"/>
        </w:rPr>
        <w:t>₃</w:t>
      </w:r>
      <w:r w:rsidRPr="0066543C">
        <w:rPr>
          <w:rFonts w:ascii="Arial" w:hAnsi="Arial" w:cs="Arial"/>
          <w:color w:val="000000" w:themeColor="text1"/>
          <w:sz w:val="20"/>
          <w:szCs w:val="20"/>
        </w:rPr>
        <w:t>(PO</w:t>
      </w:r>
      <w:proofErr w:type="gramStart"/>
      <w:r w:rsidRPr="0066543C">
        <w:rPr>
          <w:rFonts w:ascii="Cambria Math" w:hAnsi="Cambria Math" w:cs="Cambria Math"/>
          <w:color w:val="000000" w:themeColor="text1"/>
          <w:sz w:val="20"/>
          <w:szCs w:val="20"/>
        </w:rPr>
        <w:t>₄</w:t>
      </w:r>
      <w:r w:rsidRPr="0066543C">
        <w:rPr>
          <w:rFonts w:ascii="Arial" w:hAnsi="Arial" w:cs="Arial"/>
          <w:color w:val="000000" w:themeColor="text1"/>
          <w:sz w:val="20"/>
          <w:szCs w:val="20"/>
        </w:rPr>
        <w:t>)</w:t>
      </w:r>
      <w:r w:rsidRPr="0066543C">
        <w:rPr>
          <w:rFonts w:ascii="Cambria Math" w:hAnsi="Cambria Math" w:cs="Cambria Math"/>
          <w:color w:val="000000" w:themeColor="text1"/>
          <w:sz w:val="20"/>
          <w:szCs w:val="20"/>
        </w:rPr>
        <w:t>₂</w:t>
      </w:r>
      <w:proofErr w:type="gramEnd"/>
      <w:r w:rsidRPr="0066543C">
        <w:rPr>
          <w:rFonts w:ascii="Arial" w:hAnsi="Arial" w:cs="Arial"/>
          <w:color w:val="000000" w:themeColor="text1"/>
          <w:sz w:val="20"/>
          <w:szCs w:val="20"/>
        </w:rPr>
        <w:t>] as the insoluble phosphate source. Bacterial isolates were streaked onto Pikovskaya’s agar plates and incubated at 28–30°C for 5–7 days. Phosphate solubilization was indicated by the formation of a clear halo zone around the bacterial colonies. The Solubilization Index (SI) was calculated by measuring the ratio of the total halo zone diameter to the colony diameter (Waday et al., 2022).</w:t>
      </w:r>
    </w:p>
    <w:p w14:paraId="2DD4121D" w14:textId="401117F1" w:rsidR="00E20DF9" w:rsidRPr="0066543C" w:rsidRDefault="004A1863" w:rsidP="00E20DF9">
      <w:pPr>
        <w:rPr>
          <w:rFonts w:ascii="Arial" w:hAnsi="Arial" w:cs="Arial"/>
          <w:b/>
          <w:bCs/>
          <w:color w:val="000000" w:themeColor="text1"/>
        </w:rPr>
      </w:pPr>
      <w:r w:rsidRPr="0066543C">
        <w:rPr>
          <w:rFonts w:ascii="Arial" w:hAnsi="Arial" w:cs="Arial"/>
          <w:b/>
          <w:bCs/>
          <w:color w:val="000000" w:themeColor="text1"/>
        </w:rPr>
        <w:t>SIDEROPHORE PRODUCTION</w:t>
      </w:r>
    </w:p>
    <w:p w14:paraId="599CDB05" w14:textId="77777777" w:rsidR="009A2A85" w:rsidRPr="0066543C" w:rsidRDefault="009A2A85" w:rsidP="009A2A85">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Siderophore production was assessed using the Chrome Azurol S (CAS) agar plate assay.  PGPR isolates were spot-inoculated onto CAS agar plates and incubated at 28–30 °C for 3–5 days. The development of an orange halo around colonies indicated siderophore secretion. The diameter of the halo zone was recorded as a measure of siderophore production (Oo et al.,2020).</w:t>
      </w:r>
    </w:p>
    <w:p w14:paraId="0B625BFE" w14:textId="14627724" w:rsidR="00E20DF9" w:rsidRPr="0066543C" w:rsidRDefault="004A1863" w:rsidP="00E20DF9">
      <w:pPr>
        <w:rPr>
          <w:rFonts w:ascii="Arial" w:hAnsi="Arial" w:cs="Arial"/>
          <w:b/>
          <w:bCs/>
          <w:color w:val="000000" w:themeColor="text1"/>
        </w:rPr>
      </w:pPr>
      <w:r w:rsidRPr="0066543C">
        <w:rPr>
          <w:rFonts w:ascii="Arial" w:hAnsi="Arial" w:cs="Arial"/>
          <w:b/>
          <w:bCs/>
          <w:color w:val="000000" w:themeColor="text1"/>
        </w:rPr>
        <w:t>HYDROGEN CYANIDE PRODUCTION</w:t>
      </w:r>
    </w:p>
    <w:p w14:paraId="6B5008E3" w14:textId="5D420446" w:rsidR="009A2A85" w:rsidRPr="0066543C" w:rsidRDefault="009A2A85" w:rsidP="009A2A85">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The method of analysing HCN produced by PGPR was qualitative, and the reaction of the PGPR and picric acid with sodium hydroxide was employed to demonstrate HCN. Different strains of PGPR were </w:t>
      </w:r>
      <w:r w:rsidRPr="0066543C">
        <w:rPr>
          <w:rFonts w:ascii="Arial" w:hAnsi="Arial" w:cs="Arial"/>
          <w:color w:val="000000" w:themeColor="text1"/>
          <w:sz w:val="20"/>
          <w:szCs w:val="20"/>
        </w:rPr>
        <w:lastRenderedPageBreak/>
        <w:t>stabbed onto nutrient agar than were incubated for 24-48 hours at the suitable temperature. These plates were later incubated and overlayed with filter paper soaked in picric acid solution (5% w/v) and then sealed with Incubation: Further incubation for 24-48 hours was carried a lid after. Out at RT. Observation: With a reaction between HCN and picric acid under alkaline conditions, the presence of red colour on the filter paper would show the HCN (Waday et al.,</w:t>
      </w:r>
      <w:r w:rsidR="004C1CC1">
        <w:rPr>
          <w:rFonts w:ascii="Arial" w:hAnsi="Arial" w:cs="Arial"/>
          <w:color w:val="000000" w:themeColor="text1"/>
          <w:sz w:val="20"/>
          <w:szCs w:val="20"/>
        </w:rPr>
        <w:t xml:space="preserve"> </w:t>
      </w:r>
      <w:r w:rsidRPr="0066543C">
        <w:rPr>
          <w:rFonts w:ascii="Arial" w:hAnsi="Arial" w:cs="Arial"/>
          <w:color w:val="000000" w:themeColor="text1"/>
          <w:sz w:val="20"/>
          <w:szCs w:val="20"/>
        </w:rPr>
        <w:t>2022).</w:t>
      </w:r>
    </w:p>
    <w:p w14:paraId="475B303B" w14:textId="0905DDCC" w:rsidR="00B62FE2" w:rsidRPr="0066543C" w:rsidRDefault="004A1863" w:rsidP="003156F1">
      <w:pPr>
        <w:spacing w:line="360" w:lineRule="auto"/>
        <w:jc w:val="both"/>
        <w:rPr>
          <w:rFonts w:ascii="Arial" w:hAnsi="Arial" w:cs="Arial"/>
          <w:b/>
          <w:bCs/>
          <w:color w:val="000000" w:themeColor="text1"/>
        </w:rPr>
      </w:pPr>
      <w:r w:rsidRPr="0066543C">
        <w:rPr>
          <w:rFonts w:ascii="Arial" w:hAnsi="Arial" w:cs="Arial"/>
          <w:b/>
          <w:bCs/>
          <w:color w:val="000000" w:themeColor="text1"/>
        </w:rPr>
        <w:t>DETERMINATION OF</w:t>
      </w:r>
      <w:r w:rsidR="00960FCD" w:rsidRPr="0066543C">
        <w:rPr>
          <w:rFonts w:ascii="Arial" w:hAnsi="Arial" w:cs="Arial"/>
          <w:b/>
          <w:bCs/>
          <w:color w:val="000000" w:themeColor="text1"/>
        </w:rPr>
        <w:t xml:space="preserve"> </w:t>
      </w:r>
      <w:r w:rsidRPr="0066543C">
        <w:rPr>
          <w:rFonts w:ascii="Arial" w:hAnsi="Arial" w:cs="Arial"/>
          <w:b/>
          <w:bCs/>
          <w:color w:val="000000" w:themeColor="text1"/>
        </w:rPr>
        <w:t>ANTIOXIDANT ENZYME ACTIVITIES</w:t>
      </w:r>
    </w:p>
    <w:p w14:paraId="703F6E2C" w14:textId="77777777" w:rsidR="00960FCD" w:rsidRPr="0066543C" w:rsidRDefault="00960FCD" w:rsidP="00B24143">
      <w:pPr>
        <w:spacing w:line="360" w:lineRule="auto"/>
        <w:jc w:val="both"/>
        <w:rPr>
          <w:rFonts w:ascii="Arial" w:hAnsi="Arial" w:cs="Arial"/>
          <w:sz w:val="20"/>
          <w:szCs w:val="20"/>
        </w:rPr>
      </w:pPr>
      <w:r w:rsidRPr="0066543C">
        <w:rPr>
          <w:rFonts w:ascii="Arial" w:hAnsi="Arial" w:cs="Arial"/>
          <w:color w:val="000000" w:themeColor="text1"/>
          <w:sz w:val="20"/>
          <w:szCs w:val="20"/>
        </w:rPr>
        <w:t xml:space="preserve">In the present study, DPPH radical scavenging assay method was employed to determine antioxidant activity. </w:t>
      </w:r>
      <w:r w:rsidRPr="0066543C">
        <w:rPr>
          <w:rFonts w:ascii="Arial" w:hAnsi="Arial" w:cs="Arial"/>
          <w:sz w:val="20"/>
          <w:szCs w:val="20"/>
        </w:rPr>
        <w:t>The antioxidant potential, DPPH radical scavenging assay, various concentrations of organic fractions (25-125 µgml</w:t>
      </w:r>
      <w:r w:rsidRPr="0066543C">
        <w:rPr>
          <w:rFonts w:ascii="Arial" w:hAnsi="Arial" w:cs="Arial"/>
          <w:sz w:val="20"/>
          <w:szCs w:val="20"/>
          <w:vertAlign w:val="superscript"/>
        </w:rPr>
        <w:t>-1</w:t>
      </w:r>
      <w:r w:rsidRPr="0066543C">
        <w:rPr>
          <w:rFonts w:ascii="Arial" w:hAnsi="Arial" w:cs="Arial"/>
          <w:sz w:val="20"/>
          <w:szCs w:val="20"/>
        </w:rPr>
        <w:t>) were combined with 1.0 ml of 0.135 mM DPPH in methanol, brought up to a final volume of 2.0 ml and stored in the dark for 30 minutes. The mixture's absorbance was measured using a spectrophotometer at 517 nm. Ascorbic acid was employed as a positive control. The radical scavenging activity was assessed by the percentage inhibition of absorbance, which was estimated using the following formula:</w:t>
      </w:r>
    </w:p>
    <w:p w14:paraId="4C7286FE" w14:textId="5F55D180" w:rsidR="00960FCD" w:rsidRPr="0066543C" w:rsidRDefault="00960FCD" w:rsidP="00B24143">
      <w:pPr>
        <w:spacing w:line="360" w:lineRule="auto"/>
        <w:jc w:val="both"/>
        <w:rPr>
          <w:rFonts w:ascii="Arial" w:hAnsi="Arial" w:cs="Arial"/>
          <w:sz w:val="20"/>
          <w:szCs w:val="20"/>
        </w:rPr>
      </w:pPr>
      <w:r w:rsidRPr="0066543C">
        <w:rPr>
          <w:rFonts w:ascii="Arial" w:hAnsi="Arial" w:cs="Arial"/>
          <w:sz w:val="20"/>
          <w:szCs w:val="20"/>
        </w:rPr>
        <w:t>Inhibition of absorbance (%) = {(</w:t>
      </w:r>
      <w:r w:rsidRPr="0066543C">
        <w:rPr>
          <w:rFonts w:ascii="Cambria Math" w:hAnsi="Cambria Math" w:cs="Cambria Math"/>
          <w:sz w:val="20"/>
          <w:szCs w:val="20"/>
        </w:rPr>
        <w:t>𝑁</w:t>
      </w:r>
      <w:r w:rsidRPr="0066543C">
        <w:rPr>
          <w:rFonts w:ascii="Arial" w:hAnsi="Arial" w:cs="Arial"/>
          <w:sz w:val="20"/>
          <w:szCs w:val="20"/>
        </w:rPr>
        <w:t>1−</w:t>
      </w:r>
      <w:r w:rsidRPr="0066543C">
        <w:rPr>
          <w:rFonts w:ascii="Cambria Math" w:hAnsi="Cambria Math" w:cs="Cambria Math"/>
          <w:sz w:val="20"/>
          <w:szCs w:val="20"/>
        </w:rPr>
        <w:t>𝑁</w:t>
      </w:r>
      <w:r w:rsidRPr="0066543C">
        <w:rPr>
          <w:rFonts w:ascii="Arial" w:hAnsi="Arial" w:cs="Arial"/>
          <w:sz w:val="20"/>
          <w:szCs w:val="20"/>
        </w:rPr>
        <w:t xml:space="preserve">2)/ </w:t>
      </w:r>
      <w:r w:rsidRPr="0066543C">
        <w:rPr>
          <w:rFonts w:ascii="Cambria Math" w:hAnsi="Cambria Math" w:cs="Cambria Math"/>
          <w:sz w:val="20"/>
          <w:szCs w:val="20"/>
        </w:rPr>
        <w:t>𝑁</w:t>
      </w:r>
      <w:r w:rsidRPr="0066543C">
        <w:rPr>
          <w:rFonts w:ascii="Arial" w:hAnsi="Arial" w:cs="Arial"/>
          <w:sz w:val="20"/>
          <w:szCs w:val="20"/>
        </w:rPr>
        <w:t xml:space="preserve">1} </w:t>
      </w:r>
      <w:r w:rsidRPr="0066543C">
        <w:rPr>
          <w:rFonts w:ascii="Cambria Math" w:hAnsi="Cambria Math" w:cs="Cambria Math"/>
          <w:sz w:val="20"/>
          <w:szCs w:val="20"/>
        </w:rPr>
        <w:t>𝑥</w:t>
      </w:r>
      <w:r w:rsidRPr="0066543C">
        <w:rPr>
          <w:rFonts w:ascii="Arial" w:hAnsi="Arial" w:cs="Arial"/>
          <w:sz w:val="20"/>
          <w:szCs w:val="20"/>
        </w:rPr>
        <w:t xml:space="preserve">100 </w:t>
      </w:r>
    </w:p>
    <w:p w14:paraId="60B1A599" w14:textId="65C00DFB" w:rsidR="00960FCD" w:rsidRPr="0066543C" w:rsidRDefault="00960FCD" w:rsidP="00B24143">
      <w:pPr>
        <w:spacing w:line="360" w:lineRule="auto"/>
        <w:jc w:val="both"/>
        <w:rPr>
          <w:rFonts w:ascii="Arial" w:hAnsi="Arial" w:cs="Arial"/>
          <w:sz w:val="20"/>
          <w:szCs w:val="20"/>
        </w:rPr>
      </w:pPr>
      <w:r w:rsidRPr="0066543C">
        <w:rPr>
          <w:rFonts w:ascii="Arial" w:hAnsi="Arial" w:cs="Arial"/>
          <w:sz w:val="20"/>
          <w:szCs w:val="20"/>
        </w:rPr>
        <w:t>Where N1 and N2 are the absorbance of control and sample groups</w:t>
      </w:r>
      <w:r w:rsidR="00F330C7">
        <w:rPr>
          <w:rFonts w:ascii="Arial" w:hAnsi="Arial" w:cs="Arial"/>
          <w:sz w:val="20"/>
          <w:szCs w:val="20"/>
        </w:rPr>
        <w:t xml:space="preserve"> (Anas et. Al., 2016)</w:t>
      </w:r>
      <w:r w:rsidRPr="0066543C">
        <w:rPr>
          <w:rFonts w:ascii="Arial" w:hAnsi="Arial" w:cs="Arial"/>
          <w:sz w:val="20"/>
          <w:szCs w:val="20"/>
        </w:rPr>
        <w:t>.</w:t>
      </w:r>
    </w:p>
    <w:p w14:paraId="7A18126A" w14:textId="32A6A0CA" w:rsidR="00684B25" w:rsidRPr="0066543C" w:rsidRDefault="004A1863" w:rsidP="00684B25">
      <w:pPr>
        <w:spacing w:line="360" w:lineRule="auto"/>
        <w:jc w:val="both"/>
        <w:rPr>
          <w:rFonts w:ascii="Arial" w:hAnsi="Arial" w:cs="Arial"/>
          <w:b/>
          <w:bCs/>
          <w:color w:val="000000" w:themeColor="text1"/>
        </w:rPr>
      </w:pPr>
      <w:r w:rsidRPr="0066543C">
        <w:rPr>
          <w:rFonts w:ascii="Arial" w:hAnsi="Arial" w:cs="Arial"/>
          <w:b/>
          <w:bCs/>
          <w:color w:val="000000" w:themeColor="text1"/>
        </w:rPr>
        <w:t>SEED GERMINATION OF RICE</w:t>
      </w:r>
    </w:p>
    <w:p w14:paraId="088752CA" w14:textId="5C5DD18C" w:rsidR="00684B25" w:rsidRPr="0066543C" w:rsidRDefault="00684B25" w:rsidP="00684B25">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Seed germination experiments were conducted using three Petri dishes, designated as A and </w:t>
      </w:r>
      <w:r w:rsidR="00E81345" w:rsidRPr="0066543C">
        <w:rPr>
          <w:rFonts w:ascii="Arial" w:hAnsi="Arial" w:cs="Arial"/>
          <w:color w:val="000000" w:themeColor="text1"/>
          <w:sz w:val="20"/>
          <w:szCs w:val="20"/>
        </w:rPr>
        <w:t>B</w:t>
      </w:r>
      <w:r w:rsidRPr="0066543C">
        <w:rPr>
          <w:rFonts w:ascii="Arial" w:hAnsi="Arial" w:cs="Arial"/>
          <w:color w:val="000000" w:themeColor="text1"/>
          <w:sz w:val="20"/>
          <w:szCs w:val="20"/>
        </w:rPr>
        <w:t>. Rice seeds were placed in each Petri dish and soaked with water. In Petri dish B, 0.25 g of wet cyanobacterial inoculum (</w:t>
      </w:r>
      <w:r w:rsidR="00E81345" w:rsidRPr="0066543C">
        <w:rPr>
          <w:rFonts w:ascii="Arial" w:hAnsi="Arial" w:cs="Arial"/>
          <w:i/>
          <w:iCs/>
          <w:color w:val="000000" w:themeColor="text1"/>
          <w:sz w:val="20"/>
          <w:szCs w:val="20"/>
        </w:rPr>
        <w:t>Leptolyngbya</w:t>
      </w:r>
      <w:r w:rsidR="00E81345" w:rsidRPr="0066543C">
        <w:rPr>
          <w:rFonts w:ascii="Arial" w:hAnsi="Arial" w:cs="Arial"/>
          <w:color w:val="000000" w:themeColor="text1"/>
          <w:sz w:val="20"/>
          <w:szCs w:val="20"/>
        </w:rPr>
        <w:t xml:space="preserve"> </w:t>
      </w:r>
      <w:r w:rsidR="00E81345" w:rsidRPr="0066543C">
        <w:rPr>
          <w:rFonts w:ascii="Arial" w:hAnsi="Arial" w:cs="Arial"/>
          <w:i/>
          <w:iCs/>
          <w:color w:val="000000" w:themeColor="text1"/>
          <w:sz w:val="20"/>
          <w:szCs w:val="20"/>
        </w:rPr>
        <w:t>sp</w:t>
      </w:r>
      <w:r w:rsidR="00E81345" w:rsidRPr="0066543C">
        <w:rPr>
          <w:rFonts w:ascii="Arial" w:hAnsi="Arial" w:cs="Arial"/>
          <w:color w:val="000000" w:themeColor="text1"/>
          <w:sz w:val="20"/>
          <w:szCs w:val="20"/>
        </w:rPr>
        <w:t>.</w:t>
      </w:r>
      <w:r w:rsidRPr="0066543C">
        <w:rPr>
          <w:rFonts w:ascii="Arial" w:hAnsi="Arial" w:cs="Arial"/>
          <w:color w:val="000000" w:themeColor="text1"/>
          <w:sz w:val="20"/>
          <w:szCs w:val="20"/>
        </w:rPr>
        <w:t xml:space="preserve">) was added at a rate corresponding to 500 seeds. Petri dish A served as the control, in which no cyanobacterial inoculum was added. </w:t>
      </w:r>
      <w:r w:rsidRPr="007E1B27">
        <w:rPr>
          <w:rFonts w:ascii="Arial" w:hAnsi="Arial" w:cs="Arial"/>
          <w:color w:val="000000" w:themeColor="text1"/>
          <w:sz w:val="20"/>
          <w:szCs w:val="20"/>
          <w:highlight w:val="yellow"/>
        </w:rPr>
        <w:t xml:space="preserve">After </w:t>
      </w:r>
      <w:r w:rsidR="00E81345" w:rsidRPr="007E1B27">
        <w:rPr>
          <w:rFonts w:ascii="Arial" w:hAnsi="Arial" w:cs="Arial"/>
          <w:color w:val="000000" w:themeColor="text1"/>
          <w:sz w:val="20"/>
          <w:szCs w:val="20"/>
          <w:highlight w:val="yellow"/>
        </w:rPr>
        <w:t>three weeks</w:t>
      </w:r>
      <w:r w:rsidRPr="007E1B27">
        <w:rPr>
          <w:rFonts w:ascii="Arial" w:hAnsi="Arial" w:cs="Arial"/>
          <w:color w:val="000000" w:themeColor="text1"/>
          <w:sz w:val="20"/>
          <w:szCs w:val="20"/>
          <w:highlight w:val="yellow"/>
        </w:rPr>
        <w:t xml:space="preserve"> of incubation,</w:t>
      </w:r>
      <w:r w:rsidR="002269F0" w:rsidRPr="007E1B27">
        <w:rPr>
          <w:rFonts w:ascii="Arial" w:hAnsi="Arial" w:cs="Arial"/>
          <w:color w:val="000000" w:themeColor="text1"/>
          <w:sz w:val="20"/>
          <w:szCs w:val="20"/>
          <w:highlight w:val="yellow"/>
        </w:rPr>
        <w:t xml:space="preserve"> under standard environmental conditions at 25</w:t>
      </w:r>
      <w:r w:rsidR="002E1D97" w:rsidRPr="007E1B27">
        <w:rPr>
          <w:rFonts w:ascii="Arial" w:hAnsi="Arial" w:cs="Arial"/>
          <w:color w:val="000000" w:themeColor="text1"/>
          <w:sz w:val="20"/>
          <w:szCs w:val="20"/>
          <w:highlight w:val="yellow"/>
        </w:rPr>
        <w:t xml:space="preserve"> </w:t>
      </w:r>
      <w:r w:rsidR="002269F0" w:rsidRPr="007E1B27">
        <w:rPr>
          <w:rFonts w:ascii="Arial" w:hAnsi="Arial" w:cs="Arial"/>
          <w:color w:val="000000" w:themeColor="text1"/>
          <w:sz w:val="20"/>
          <w:szCs w:val="20"/>
          <w:highlight w:val="yellow"/>
        </w:rPr>
        <w:t>±</w:t>
      </w:r>
      <w:r w:rsidR="002E1D97" w:rsidRPr="007E1B27">
        <w:rPr>
          <w:rFonts w:ascii="Arial" w:hAnsi="Arial" w:cs="Arial"/>
          <w:color w:val="000000" w:themeColor="text1"/>
          <w:sz w:val="20"/>
          <w:szCs w:val="20"/>
          <w:highlight w:val="yellow"/>
        </w:rPr>
        <w:t xml:space="preserve"> </w:t>
      </w:r>
      <w:r w:rsidR="002269F0" w:rsidRPr="007E1B27">
        <w:rPr>
          <w:rFonts w:ascii="Arial" w:hAnsi="Arial" w:cs="Arial"/>
          <w:color w:val="000000" w:themeColor="text1"/>
          <w:sz w:val="20"/>
          <w:szCs w:val="20"/>
          <w:highlight w:val="yellow"/>
        </w:rPr>
        <w:t>2</w:t>
      </w:r>
      <w:r w:rsidR="002E1D97" w:rsidRPr="007E1B27">
        <w:rPr>
          <w:rFonts w:ascii="Arial" w:hAnsi="Arial" w:cs="Arial"/>
          <w:color w:val="000000" w:themeColor="text1"/>
          <w:sz w:val="20"/>
          <w:szCs w:val="20"/>
          <w:highlight w:val="yellow"/>
        </w:rPr>
        <w:t xml:space="preserve"> </w:t>
      </w:r>
      <w:r w:rsidR="002269F0" w:rsidRPr="007E1B27">
        <w:rPr>
          <w:rFonts w:ascii="Arial" w:hAnsi="Arial" w:cs="Arial"/>
          <w:color w:val="000000" w:themeColor="text1"/>
          <w:sz w:val="20"/>
          <w:szCs w:val="20"/>
          <w:highlight w:val="yellow"/>
          <w:vertAlign w:val="superscript"/>
        </w:rPr>
        <w:t>0</w:t>
      </w:r>
      <w:r w:rsidR="002269F0" w:rsidRPr="007E1B27">
        <w:rPr>
          <w:rFonts w:ascii="Arial" w:hAnsi="Arial" w:cs="Arial"/>
          <w:color w:val="000000" w:themeColor="text1"/>
          <w:sz w:val="20"/>
          <w:szCs w:val="20"/>
          <w:highlight w:val="yellow"/>
        </w:rPr>
        <w:t>C, exposure of 12:12 h light-dark photoperiod and</w:t>
      </w:r>
      <w:r w:rsidR="002E1D97" w:rsidRPr="007E1B27">
        <w:rPr>
          <w:rFonts w:ascii="Arial" w:hAnsi="Arial" w:cs="Arial"/>
          <w:color w:val="000000" w:themeColor="text1"/>
          <w:sz w:val="20"/>
          <w:szCs w:val="20"/>
          <w:highlight w:val="yellow"/>
        </w:rPr>
        <w:t xml:space="preserve"> 1500-2</w:t>
      </w:r>
      <w:r w:rsidR="002269F0" w:rsidRPr="007E1B27">
        <w:rPr>
          <w:rFonts w:ascii="Arial" w:hAnsi="Arial" w:cs="Arial"/>
          <w:color w:val="000000" w:themeColor="text1"/>
          <w:sz w:val="20"/>
          <w:szCs w:val="20"/>
          <w:highlight w:val="yellow"/>
        </w:rPr>
        <w:t xml:space="preserve">000 LUX light intensity and </w:t>
      </w:r>
      <w:r w:rsidR="002E1D97" w:rsidRPr="007E1B27">
        <w:rPr>
          <w:rFonts w:ascii="Arial" w:hAnsi="Arial" w:cs="Arial"/>
          <w:color w:val="000000" w:themeColor="text1"/>
          <w:sz w:val="20"/>
          <w:szCs w:val="20"/>
          <w:highlight w:val="yellow"/>
        </w:rPr>
        <w:t xml:space="preserve">relative humidity </w:t>
      </w:r>
      <w:r w:rsidR="002269F0" w:rsidRPr="007E1B27">
        <w:rPr>
          <w:rFonts w:ascii="Arial" w:hAnsi="Arial" w:cs="Arial"/>
          <w:color w:val="000000" w:themeColor="text1"/>
          <w:sz w:val="20"/>
          <w:szCs w:val="20"/>
          <w:highlight w:val="yellow"/>
        </w:rPr>
        <w:t>maintained under controlled laboratory conditions,</w:t>
      </w:r>
      <w:r w:rsidRPr="0066543C">
        <w:rPr>
          <w:rFonts w:ascii="Arial" w:hAnsi="Arial" w:cs="Arial"/>
          <w:color w:val="000000" w:themeColor="text1"/>
          <w:sz w:val="20"/>
          <w:szCs w:val="20"/>
        </w:rPr>
        <w:t xml:space="preserve"> the seedling height and root length were measured to estimate the effect of cyanobacterial inoculation on rice seed germination and early growth.</w:t>
      </w:r>
    </w:p>
    <w:p w14:paraId="4A7FC09C" w14:textId="68402935" w:rsidR="00684B25" w:rsidRPr="0066543C" w:rsidRDefault="004A1863" w:rsidP="00684B25">
      <w:pPr>
        <w:spacing w:line="360" w:lineRule="auto"/>
        <w:jc w:val="both"/>
        <w:rPr>
          <w:rFonts w:ascii="Arial" w:hAnsi="Arial" w:cs="Arial"/>
          <w:b/>
          <w:bCs/>
          <w:color w:val="000000" w:themeColor="text1"/>
        </w:rPr>
      </w:pPr>
      <w:r w:rsidRPr="0066543C">
        <w:rPr>
          <w:rFonts w:ascii="Arial" w:hAnsi="Arial" w:cs="Arial"/>
          <w:b/>
          <w:bCs/>
          <w:color w:val="000000" w:themeColor="text1"/>
        </w:rPr>
        <w:t xml:space="preserve">POT CULTURE </w:t>
      </w:r>
      <w:r w:rsidR="008956DF" w:rsidRPr="0066543C">
        <w:rPr>
          <w:rFonts w:ascii="Arial" w:hAnsi="Arial" w:cs="Arial"/>
          <w:b/>
          <w:bCs/>
          <w:color w:val="000000" w:themeColor="text1"/>
        </w:rPr>
        <w:t>ASSAY</w:t>
      </w:r>
      <w:r w:rsidRPr="0066543C">
        <w:rPr>
          <w:rFonts w:ascii="Arial" w:hAnsi="Arial" w:cs="Arial"/>
          <w:b/>
          <w:bCs/>
          <w:color w:val="000000" w:themeColor="text1"/>
        </w:rPr>
        <w:t xml:space="preserve"> </w:t>
      </w:r>
    </w:p>
    <w:p w14:paraId="4DD4DC66" w14:textId="74F47FF2" w:rsidR="00684B25" w:rsidRPr="0066543C" w:rsidRDefault="00F41FEE" w:rsidP="003B0F8B">
      <w:pPr>
        <w:spacing w:line="360" w:lineRule="auto"/>
        <w:jc w:val="both"/>
        <w:rPr>
          <w:rFonts w:ascii="Arial" w:hAnsi="Arial" w:cs="Arial"/>
          <w:color w:val="000000" w:themeColor="text1"/>
          <w:sz w:val="20"/>
          <w:szCs w:val="20"/>
        </w:rPr>
      </w:pPr>
      <w:r w:rsidRPr="00045AB9">
        <w:rPr>
          <w:rFonts w:ascii="Arial" w:hAnsi="Arial" w:cs="Arial"/>
          <w:color w:val="000000" w:themeColor="text1"/>
          <w:sz w:val="20"/>
          <w:szCs w:val="20"/>
          <w:highlight w:val="yellow"/>
        </w:rPr>
        <w:t xml:space="preserve">Each treatment (control and </w:t>
      </w:r>
      <w:r w:rsidRPr="00045AB9">
        <w:rPr>
          <w:rFonts w:ascii="Arial" w:hAnsi="Arial" w:cs="Arial"/>
          <w:i/>
          <w:iCs/>
          <w:color w:val="000000" w:themeColor="text1"/>
          <w:sz w:val="20"/>
          <w:szCs w:val="20"/>
          <w:highlight w:val="yellow"/>
        </w:rPr>
        <w:t>Leptolyngbya sp.-</w:t>
      </w:r>
      <w:r w:rsidRPr="00045AB9">
        <w:rPr>
          <w:rFonts w:ascii="Arial" w:hAnsi="Arial" w:cs="Arial"/>
          <w:color w:val="000000" w:themeColor="text1"/>
          <w:sz w:val="20"/>
          <w:szCs w:val="20"/>
          <w:highlight w:val="yellow"/>
        </w:rPr>
        <w:t xml:space="preserve"> inoculated) was conducted in triplicate, with</w:t>
      </w:r>
      <w:r w:rsidR="0078354A" w:rsidRPr="00045AB9">
        <w:rPr>
          <w:rFonts w:ascii="Arial" w:hAnsi="Arial" w:cs="Arial"/>
          <w:color w:val="000000" w:themeColor="text1"/>
          <w:sz w:val="20"/>
          <w:szCs w:val="20"/>
          <w:highlight w:val="yellow"/>
        </w:rPr>
        <w:t xml:space="preserve"> </w:t>
      </w:r>
      <w:r w:rsidRPr="00045AB9">
        <w:rPr>
          <w:rFonts w:ascii="Arial" w:hAnsi="Arial" w:cs="Arial"/>
          <w:color w:val="000000" w:themeColor="text1"/>
          <w:sz w:val="20"/>
          <w:szCs w:val="20"/>
          <w:highlight w:val="yellow"/>
        </w:rPr>
        <w:t>three independent</w:t>
      </w:r>
      <w:r w:rsidR="00684B25" w:rsidRPr="00045AB9">
        <w:rPr>
          <w:rFonts w:ascii="Arial" w:hAnsi="Arial" w:cs="Arial"/>
          <w:color w:val="000000" w:themeColor="text1"/>
          <w:sz w:val="20"/>
          <w:szCs w:val="20"/>
          <w:highlight w:val="yellow"/>
        </w:rPr>
        <w:t xml:space="preserve"> pots</w:t>
      </w:r>
      <w:r w:rsidRPr="00045AB9">
        <w:rPr>
          <w:rFonts w:ascii="Arial" w:hAnsi="Arial" w:cs="Arial"/>
          <w:color w:val="000000" w:themeColor="text1"/>
          <w:sz w:val="20"/>
          <w:szCs w:val="20"/>
          <w:highlight w:val="yellow"/>
        </w:rPr>
        <w:t xml:space="preserve"> per treatment</w:t>
      </w:r>
      <w:r w:rsidR="00684B25" w:rsidRPr="00045AB9">
        <w:rPr>
          <w:rFonts w:ascii="Arial" w:hAnsi="Arial" w:cs="Arial"/>
          <w:color w:val="000000" w:themeColor="text1"/>
          <w:sz w:val="20"/>
          <w:szCs w:val="20"/>
          <w:highlight w:val="yellow"/>
        </w:rPr>
        <w:t xml:space="preserve">, designated as A and </w:t>
      </w:r>
      <w:r w:rsidR="00D47FD6" w:rsidRPr="00045AB9">
        <w:rPr>
          <w:rFonts w:ascii="Arial" w:hAnsi="Arial" w:cs="Arial"/>
          <w:color w:val="000000" w:themeColor="text1"/>
          <w:sz w:val="20"/>
          <w:szCs w:val="20"/>
          <w:highlight w:val="yellow"/>
        </w:rPr>
        <w:t>B</w:t>
      </w:r>
      <w:r w:rsidR="00684B25" w:rsidRPr="0066543C">
        <w:rPr>
          <w:rFonts w:ascii="Arial" w:hAnsi="Arial" w:cs="Arial"/>
          <w:color w:val="000000" w:themeColor="text1"/>
          <w:sz w:val="20"/>
          <w:szCs w:val="20"/>
        </w:rPr>
        <w:t xml:space="preserve">. Six rice seedlings, each measuring 2.5–6.5 cm in height, were transplanted from Petri dishes A and </w:t>
      </w:r>
      <w:r w:rsidR="00D47FD6" w:rsidRPr="0066543C">
        <w:rPr>
          <w:rFonts w:ascii="Arial" w:hAnsi="Arial" w:cs="Arial"/>
          <w:color w:val="000000" w:themeColor="text1"/>
          <w:sz w:val="20"/>
          <w:szCs w:val="20"/>
        </w:rPr>
        <w:t>B</w:t>
      </w:r>
      <w:r w:rsidR="00684B25" w:rsidRPr="0066543C">
        <w:rPr>
          <w:rFonts w:ascii="Arial" w:hAnsi="Arial" w:cs="Arial"/>
          <w:color w:val="000000" w:themeColor="text1"/>
          <w:sz w:val="20"/>
          <w:szCs w:val="20"/>
        </w:rPr>
        <w:t xml:space="preserve"> into pots A and </w:t>
      </w:r>
      <w:r w:rsidR="00D47FD6" w:rsidRPr="0066543C">
        <w:rPr>
          <w:rFonts w:ascii="Arial" w:hAnsi="Arial" w:cs="Arial"/>
          <w:color w:val="000000" w:themeColor="text1"/>
          <w:sz w:val="20"/>
          <w:szCs w:val="20"/>
        </w:rPr>
        <w:t>B</w:t>
      </w:r>
      <w:r w:rsidR="00684B25" w:rsidRPr="0066543C">
        <w:rPr>
          <w:rFonts w:ascii="Arial" w:hAnsi="Arial" w:cs="Arial"/>
          <w:color w:val="000000" w:themeColor="text1"/>
          <w:sz w:val="20"/>
          <w:szCs w:val="20"/>
        </w:rPr>
        <w:t>, respectively.</w:t>
      </w:r>
      <w:r w:rsidR="004A5C1E" w:rsidRPr="0066543C">
        <w:rPr>
          <w:rFonts w:ascii="Arial" w:hAnsi="Arial" w:cs="Arial"/>
          <w:color w:val="000000" w:themeColor="text1"/>
          <w:sz w:val="20"/>
          <w:szCs w:val="20"/>
        </w:rPr>
        <w:t xml:space="preserve"> </w:t>
      </w:r>
      <w:r w:rsidR="00684B25" w:rsidRPr="0066543C">
        <w:rPr>
          <w:rFonts w:ascii="Arial" w:hAnsi="Arial" w:cs="Arial"/>
          <w:color w:val="000000" w:themeColor="text1"/>
          <w:sz w:val="20"/>
          <w:szCs w:val="20"/>
        </w:rPr>
        <w:t xml:space="preserve">For inoculation, 1 gm of wet </w:t>
      </w:r>
      <w:r w:rsidR="00FF4530" w:rsidRPr="0066543C">
        <w:rPr>
          <w:rFonts w:ascii="Arial" w:hAnsi="Arial" w:cs="Arial"/>
          <w:i/>
          <w:iCs/>
          <w:color w:val="000000" w:themeColor="text1"/>
          <w:sz w:val="20"/>
          <w:szCs w:val="20"/>
        </w:rPr>
        <w:t>Leptolyngbya sp.</w:t>
      </w:r>
      <w:r w:rsidR="00684B25" w:rsidRPr="0066543C">
        <w:rPr>
          <w:rFonts w:ascii="Arial" w:hAnsi="Arial" w:cs="Arial"/>
          <w:color w:val="000000" w:themeColor="text1"/>
          <w:sz w:val="20"/>
          <w:szCs w:val="20"/>
        </w:rPr>
        <w:t xml:space="preserve"> inoculum was added to the soil of pot </w:t>
      </w:r>
      <w:r w:rsidR="00D47FD6" w:rsidRPr="0066543C">
        <w:rPr>
          <w:rFonts w:ascii="Arial" w:hAnsi="Arial" w:cs="Arial"/>
          <w:color w:val="000000" w:themeColor="text1"/>
          <w:sz w:val="20"/>
          <w:szCs w:val="20"/>
        </w:rPr>
        <w:t>B</w:t>
      </w:r>
      <w:r w:rsidR="00684B25" w:rsidRPr="0066543C">
        <w:rPr>
          <w:rFonts w:ascii="Arial" w:hAnsi="Arial" w:cs="Arial"/>
          <w:color w:val="000000" w:themeColor="text1"/>
          <w:sz w:val="20"/>
          <w:szCs w:val="20"/>
        </w:rPr>
        <w:t xml:space="preserve"> at the same intervals. Pot A served as the uninoculated control.</w:t>
      </w:r>
      <w:r w:rsidR="004A5C1E" w:rsidRPr="0066543C">
        <w:rPr>
          <w:rFonts w:ascii="Arial" w:hAnsi="Arial" w:cs="Arial"/>
          <w:color w:val="000000" w:themeColor="text1"/>
          <w:sz w:val="20"/>
          <w:szCs w:val="20"/>
        </w:rPr>
        <w:t xml:space="preserve"> </w:t>
      </w:r>
      <w:r w:rsidR="00684B25" w:rsidRPr="0066543C">
        <w:rPr>
          <w:rFonts w:ascii="Arial" w:hAnsi="Arial" w:cs="Arial"/>
          <w:color w:val="000000" w:themeColor="text1"/>
          <w:sz w:val="20"/>
          <w:szCs w:val="20"/>
        </w:rPr>
        <w:t>After three weeks of growth, plant parameters including shoot height, root length, fresh weight, and dry weight of leaves, stems, and roots were measured. In addition, soil physicochemical properties such as moisture content, bulk density, particle density, and porosity were also recorded.</w:t>
      </w:r>
      <w:r w:rsidR="0078354A">
        <w:rPr>
          <w:rFonts w:ascii="Arial" w:hAnsi="Arial" w:cs="Arial"/>
          <w:color w:val="000000" w:themeColor="text1"/>
          <w:sz w:val="20"/>
          <w:szCs w:val="20"/>
        </w:rPr>
        <w:t xml:space="preserve"> </w:t>
      </w:r>
      <w:r w:rsidR="0078354A" w:rsidRPr="00045AB9">
        <w:rPr>
          <w:rFonts w:ascii="Arial" w:hAnsi="Arial" w:cs="Arial"/>
          <w:color w:val="000000" w:themeColor="text1"/>
          <w:sz w:val="20"/>
          <w:szCs w:val="20"/>
          <w:highlight w:val="yellow"/>
        </w:rPr>
        <w:t>The values reported, represent mean ± standard deviation of three replicates.</w:t>
      </w:r>
      <w:r w:rsidR="0078354A">
        <w:rPr>
          <w:rFonts w:ascii="Arial" w:hAnsi="Arial" w:cs="Arial"/>
          <w:color w:val="000000" w:themeColor="text1"/>
          <w:sz w:val="20"/>
          <w:szCs w:val="20"/>
        </w:rPr>
        <w:t xml:space="preserve"> </w:t>
      </w:r>
    </w:p>
    <w:p w14:paraId="33B7B8E3" w14:textId="163BEEC2" w:rsidR="00E20DF9" w:rsidRPr="0066543C" w:rsidRDefault="004A1863" w:rsidP="00E20DF9">
      <w:pPr>
        <w:rPr>
          <w:rFonts w:ascii="Arial" w:hAnsi="Arial" w:cs="Arial"/>
          <w:b/>
          <w:bCs/>
          <w:color w:val="000000" w:themeColor="text1"/>
        </w:rPr>
      </w:pPr>
      <w:r w:rsidRPr="0066543C">
        <w:rPr>
          <w:rFonts w:ascii="Arial" w:hAnsi="Arial" w:cs="Arial"/>
          <w:b/>
          <w:bCs/>
          <w:color w:val="000000" w:themeColor="text1"/>
        </w:rPr>
        <w:t>RESULTS</w:t>
      </w:r>
    </w:p>
    <w:p w14:paraId="4A83AB3B" w14:textId="546F495C" w:rsidR="00874F15" w:rsidRPr="0066543C" w:rsidRDefault="004A1863" w:rsidP="00874F15">
      <w:pPr>
        <w:rPr>
          <w:rFonts w:ascii="Arial" w:hAnsi="Arial" w:cs="Arial"/>
          <w:b/>
          <w:bCs/>
          <w:color w:val="000000" w:themeColor="text1"/>
        </w:rPr>
      </w:pPr>
      <w:r w:rsidRPr="0066543C">
        <w:rPr>
          <w:rFonts w:ascii="Arial" w:hAnsi="Arial" w:cs="Arial"/>
          <w:b/>
          <w:bCs/>
          <w:color w:val="000000" w:themeColor="text1"/>
        </w:rPr>
        <w:lastRenderedPageBreak/>
        <w:t>MICROBIOLOGICAL ANALYSIS OF SOIL AND WATER SAMPLES</w:t>
      </w:r>
    </w:p>
    <w:p w14:paraId="3D95347C" w14:textId="5ADCC646" w:rsidR="00BC5504" w:rsidRPr="0066543C" w:rsidRDefault="00BC5504" w:rsidP="00BC5504">
      <w:pPr>
        <w:spacing w:line="360" w:lineRule="auto"/>
        <w:jc w:val="both"/>
        <w:rPr>
          <w:rFonts w:ascii="Arial" w:hAnsi="Arial" w:cs="Arial"/>
          <w:color w:val="000000" w:themeColor="text1"/>
          <w:sz w:val="24"/>
          <w:szCs w:val="24"/>
        </w:rPr>
      </w:pPr>
      <w:r w:rsidRPr="0066543C">
        <w:rPr>
          <w:rFonts w:ascii="Arial" w:hAnsi="Arial" w:cs="Arial"/>
          <w:color w:val="000000" w:themeColor="text1"/>
          <w:sz w:val="20"/>
          <w:szCs w:val="20"/>
        </w:rPr>
        <w:t xml:space="preserve">The selective BG-11 medium was effective </w:t>
      </w:r>
      <w:r w:rsidR="00131B2F" w:rsidRPr="0066543C">
        <w:rPr>
          <w:rFonts w:ascii="Arial" w:hAnsi="Arial" w:cs="Arial"/>
          <w:color w:val="000000" w:themeColor="text1"/>
          <w:sz w:val="20"/>
          <w:szCs w:val="20"/>
        </w:rPr>
        <w:t xml:space="preserve">for </w:t>
      </w:r>
      <w:r w:rsidR="00727B69" w:rsidRPr="0066543C">
        <w:rPr>
          <w:rFonts w:ascii="Arial" w:hAnsi="Arial" w:cs="Arial"/>
          <w:color w:val="000000" w:themeColor="text1"/>
          <w:sz w:val="20"/>
          <w:szCs w:val="20"/>
        </w:rPr>
        <w:t>the isolation</w:t>
      </w:r>
      <w:r w:rsidR="00131B2F" w:rsidRPr="0066543C">
        <w:rPr>
          <w:rFonts w:ascii="Arial" w:hAnsi="Arial" w:cs="Arial"/>
          <w:color w:val="000000" w:themeColor="text1"/>
          <w:sz w:val="20"/>
          <w:szCs w:val="20"/>
        </w:rPr>
        <w:t xml:space="preserve"> of the</w:t>
      </w:r>
      <w:r w:rsidRPr="0066543C">
        <w:rPr>
          <w:rFonts w:ascii="Arial" w:hAnsi="Arial" w:cs="Arial"/>
          <w:color w:val="000000" w:themeColor="text1"/>
          <w:sz w:val="20"/>
          <w:szCs w:val="20"/>
        </w:rPr>
        <w:t xml:space="preserve"> cyanobacterial strains from water samples. After 20 days of incubation, distinct colonies were formed with typical morphological characteristics including filamentous shape, sheath and pigmentation between bluish-green to dark green. </w:t>
      </w:r>
      <w:r w:rsidR="00FC3FFB" w:rsidRPr="00226B54">
        <w:rPr>
          <w:rFonts w:ascii="Arial" w:hAnsi="Arial" w:cs="Arial"/>
          <w:color w:val="000000" w:themeColor="text1"/>
          <w:sz w:val="20"/>
          <w:szCs w:val="20"/>
          <w:highlight w:val="yellow"/>
        </w:rPr>
        <w:t xml:space="preserve">A total of 5 cyanobacteria was isolated out of which one isolate showed tolerance against chlorpyrifos which was further screened. The isolated cyanobacterium was identified as </w:t>
      </w:r>
      <w:r w:rsidR="00FC3FFB" w:rsidRPr="00226B54">
        <w:rPr>
          <w:rFonts w:ascii="Arial" w:hAnsi="Arial" w:cs="Arial"/>
          <w:i/>
          <w:iCs/>
          <w:color w:val="000000" w:themeColor="text1"/>
          <w:sz w:val="20"/>
          <w:szCs w:val="20"/>
          <w:highlight w:val="yellow"/>
        </w:rPr>
        <w:t>Limnothrix</w:t>
      </w:r>
      <w:r w:rsidR="00FC3FFB" w:rsidRPr="00226B54">
        <w:rPr>
          <w:rFonts w:ascii="Arial" w:hAnsi="Arial" w:cs="Arial"/>
          <w:color w:val="000000" w:themeColor="text1"/>
          <w:sz w:val="20"/>
          <w:szCs w:val="20"/>
          <w:highlight w:val="yellow"/>
        </w:rPr>
        <w:t xml:space="preserve"> sp. based on detailed microscopic observations. Under </w:t>
      </w:r>
      <w:r w:rsidR="00FC3FFB" w:rsidRPr="00226B54">
        <w:rPr>
          <w:rFonts w:ascii="Arial" w:hAnsi="Arial" w:cs="Arial"/>
          <w:b/>
          <w:bCs/>
          <w:color w:val="000000" w:themeColor="text1"/>
          <w:sz w:val="20"/>
          <w:szCs w:val="20"/>
          <w:highlight w:val="yellow"/>
        </w:rPr>
        <w:t>light microscopy (40×–100×)</w:t>
      </w:r>
      <w:r w:rsidR="00FC3FFB" w:rsidRPr="00226B54">
        <w:rPr>
          <w:rFonts w:ascii="Arial" w:hAnsi="Arial" w:cs="Arial"/>
          <w:color w:val="000000" w:themeColor="text1"/>
          <w:sz w:val="20"/>
          <w:szCs w:val="20"/>
          <w:highlight w:val="yellow"/>
        </w:rPr>
        <w:t xml:space="preserve">, the organism appeared as </w:t>
      </w:r>
      <w:r w:rsidR="00FC3FFB" w:rsidRPr="00226B54">
        <w:rPr>
          <w:rFonts w:ascii="Arial" w:hAnsi="Arial" w:cs="Arial"/>
          <w:b/>
          <w:bCs/>
          <w:color w:val="000000" w:themeColor="text1"/>
          <w:sz w:val="20"/>
          <w:szCs w:val="20"/>
          <w:highlight w:val="yellow"/>
        </w:rPr>
        <w:t>very thin, unbranched filamentous trichomes</w:t>
      </w:r>
      <w:r w:rsidR="00FC3FFB" w:rsidRPr="00226B54">
        <w:rPr>
          <w:rFonts w:ascii="Arial" w:hAnsi="Arial" w:cs="Arial"/>
          <w:color w:val="000000" w:themeColor="text1"/>
          <w:sz w:val="20"/>
          <w:szCs w:val="20"/>
          <w:highlight w:val="yellow"/>
        </w:rPr>
        <w:t xml:space="preserve"> that were generally </w:t>
      </w:r>
      <w:r w:rsidR="00FC3FFB" w:rsidRPr="00226B54">
        <w:rPr>
          <w:rFonts w:ascii="Arial" w:hAnsi="Arial" w:cs="Arial"/>
          <w:b/>
          <w:bCs/>
          <w:color w:val="000000" w:themeColor="text1"/>
          <w:sz w:val="20"/>
          <w:szCs w:val="20"/>
          <w:highlight w:val="yellow"/>
        </w:rPr>
        <w:t>straight or only slightly curved</w:t>
      </w:r>
      <w:r w:rsidR="00FC3FFB" w:rsidRPr="00226B54">
        <w:rPr>
          <w:rFonts w:ascii="Arial" w:hAnsi="Arial" w:cs="Arial"/>
          <w:color w:val="000000" w:themeColor="text1"/>
          <w:sz w:val="20"/>
          <w:szCs w:val="20"/>
          <w:highlight w:val="yellow"/>
        </w:rPr>
        <w:t xml:space="preserve">. The trichomes measured approximately </w:t>
      </w:r>
      <w:r w:rsidR="00FC3FFB" w:rsidRPr="00226B54">
        <w:rPr>
          <w:rFonts w:ascii="Arial" w:hAnsi="Arial" w:cs="Arial"/>
          <w:b/>
          <w:bCs/>
          <w:color w:val="000000" w:themeColor="text1"/>
          <w:sz w:val="20"/>
          <w:szCs w:val="20"/>
          <w:highlight w:val="yellow"/>
        </w:rPr>
        <w:t>1.5–2.0 µm in width</w:t>
      </w:r>
      <w:r w:rsidR="00FC3FFB" w:rsidRPr="00226B54">
        <w:rPr>
          <w:rFonts w:ascii="Arial" w:hAnsi="Arial" w:cs="Arial"/>
          <w:color w:val="000000" w:themeColor="text1"/>
          <w:sz w:val="20"/>
          <w:szCs w:val="20"/>
          <w:highlight w:val="yellow"/>
        </w:rPr>
        <w:t xml:space="preserve"> and were uniform along their length, which is a typical feature of </w:t>
      </w:r>
      <w:r w:rsidR="00FC3FFB" w:rsidRPr="00226B54">
        <w:rPr>
          <w:rFonts w:ascii="Arial" w:hAnsi="Arial" w:cs="Arial"/>
          <w:i/>
          <w:iCs/>
          <w:color w:val="000000" w:themeColor="text1"/>
          <w:sz w:val="20"/>
          <w:szCs w:val="20"/>
          <w:highlight w:val="yellow"/>
        </w:rPr>
        <w:t>Limnothrix</w:t>
      </w:r>
      <w:r w:rsidR="00FC3FFB" w:rsidRPr="00226B54">
        <w:rPr>
          <w:rFonts w:ascii="Arial" w:hAnsi="Arial" w:cs="Arial"/>
          <w:color w:val="000000" w:themeColor="text1"/>
          <w:sz w:val="20"/>
          <w:szCs w:val="20"/>
          <w:highlight w:val="yellow"/>
        </w:rPr>
        <w:t xml:space="preserve">. Individual cells were </w:t>
      </w:r>
      <w:r w:rsidR="00FC3FFB" w:rsidRPr="00226B54">
        <w:rPr>
          <w:rFonts w:ascii="Arial" w:hAnsi="Arial" w:cs="Arial"/>
          <w:b/>
          <w:bCs/>
          <w:color w:val="000000" w:themeColor="text1"/>
          <w:sz w:val="20"/>
          <w:szCs w:val="20"/>
          <w:highlight w:val="yellow"/>
        </w:rPr>
        <w:t>cylindrical and longer than wide</w:t>
      </w:r>
      <w:r w:rsidR="00FC3FFB" w:rsidRPr="00226B54">
        <w:rPr>
          <w:rFonts w:ascii="Arial" w:hAnsi="Arial" w:cs="Arial"/>
          <w:color w:val="000000" w:themeColor="text1"/>
          <w:sz w:val="20"/>
          <w:szCs w:val="20"/>
          <w:highlight w:val="yellow"/>
        </w:rPr>
        <w:t xml:space="preserve">, with </w:t>
      </w:r>
      <w:r w:rsidR="00FC3FFB" w:rsidRPr="00226B54">
        <w:rPr>
          <w:rFonts w:ascii="Arial" w:hAnsi="Arial" w:cs="Arial"/>
          <w:b/>
          <w:bCs/>
          <w:color w:val="000000" w:themeColor="text1"/>
          <w:sz w:val="20"/>
          <w:szCs w:val="20"/>
          <w:highlight w:val="yellow"/>
        </w:rPr>
        <w:t>cross-walls only faintly visible</w:t>
      </w:r>
      <w:r w:rsidR="00FC3FFB" w:rsidRPr="00226B54">
        <w:rPr>
          <w:rFonts w:ascii="Arial" w:hAnsi="Arial" w:cs="Arial"/>
          <w:color w:val="000000" w:themeColor="text1"/>
          <w:sz w:val="20"/>
          <w:szCs w:val="20"/>
          <w:highlight w:val="yellow"/>
        </w:rPr>
        <w:t>, giving the filament a smooth, continuous appearance</w:t>
      </w:r>
    </w:p>
    <w:p w14:paraId="543EFE47" w14:textId="1E430A87" w:rsidR="00E810EE" w:rsidRPr="0066543C" w:rsidRDefault="004A1863" w:rsidP="00E810EE">
      <w:pPr>
        <w:rPr>
          <w:rFonts w:ascii="Arial" w:hAnsi="Arial" w:cs="Arial"/>
          <w:b/>
          <w:bCs/>
          <w:color w:val="000000" w:themeColor="text1"/>
        </w:rPr>
      </w:pPr>
      <w:r w:rsidRPr="0066543C">
        <w:rPr>
          <w:rFonts w:ascii="Arial" w:hAnsi="Arial" w:cs="Arial"/>
          <w:b/>
          <w:bCs/>
          <w:color w:val="000000" w:themeColor="text1"/>
        </w:rPr>
        <w:t>CHLORPYRIFOS TOLERANCE</w:t>
      </w:r>
    </w:p>
    <w:p w14:paraId="0FADDEC2" w14:textId="77777777" w:rsidR="00E810EE" w:rsidRPr="0066543C" w:rsidRDefault="00E810EE" w:rsidP="00E810EE">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Cyanobacterial isolates exposed to different concentrations of chlorpyrifos (5, 10, 15, and 20 mg L</w:t>
      </w:r>
      <w:r w:rsidRPr="0066543C">
        <w:rPr>
          <w:rFonts w:ascii="Cambria Math" w:hAnsi="Cambria Math" w:cs="Cambria Math"/>
          <w:color w:val="000000" w:themeColor="text1"/>
          <w:sz w:val="20"/>
          <w:szCs w:val="20"/>
        </w:rPr>
        <w:t>⁻</w:t>
      </w:r>
      <w:r w:rsidRPr="0066543C">
        <w:rPr>
          <w:rFonts w:ascii="Arial" w:hAnsi="Arial" w:cs="Arial"/>
          <w:color w:val="000000" w:themeColor="text1"/>
          <w:sz w:val="20"/>
          <w:szCs w:val="20"/>
        </w:rPr>
        <w:t>¹) demonstrated variable tolerance levels. At lower concentrations (5–10 mg L</w:t>
      </w:r>
      <w:r w:rsidRPr="0066543C">
        <w:rPr>
          <w:rFonts w:ascii="Cambria Math" w:hAnsi="Cambria Math" w:cs="Cambria Math"/>
          <w:color w:val="000000" w:themeColor="text1"/>
          <w:sz w:val="20"/>
          <w:szCs w:val="20"/>
        </w:rPr>
        <w:t>⁻</w:t>
      </w:r>
      <w:r w:rsidRPr="0066543C">
        <w:rPr>
          <w:rFonts w:ascii="Arial" w:hAnsi="Arial" w:cs="Arial"/>
          <w:color w:val="000000" w:themeColor="text1"/>
          <w:sz w:val="20"/>
          <w:szCs w:val="20"/>
        </w:rPr>
        <w:t>¹), growth (measured as optical density at 750 nm and chlorophyll-a content) was only slightly reduced compared to the untreated control, indicating an adaptive capacity of the isolates. However, at 15 mg L</w:t>
      </w:r>
      <w:r w:rsidRPr="0066543C">
        <w:rPr>
          <w:rFonts w:ascii="Cambria Math" w:hAnsi="Cambria Math" w:cs="Cambria Math"/>
          <w:color w:val="000000" w:themeColor="text1"/>
          <w:sz w:val="20"/>
          <w:szCs w:val="20"/>
        </w:rPr>
        <w:t>⁻</w:t>
      </w:r>
      <w:r w:rsidRPr="0066543C">
        <w:rPr>
          <w:rFonts w:ascii="Arial" w:hAnsi="Arial" w:cs="Arial"/>
          <w:color w:val="000000" w:themeColor="text1"/>
          <w:sz w:val="20"/>
          <w:szCs w:val="20"/>
        </w:rPr>
        <w:t>¹, moderate inhibition of growth was observed, with a significant reduction in biomass accumulation and pigment content. At the highest concentration (20 mg L</w:t>
      </w:r>
      <w:r w:rsidRPr="0066543C">
        <w:rPr>
          <w:rFonts w:ascii="Cambria Math" w:hAnsi="Cambria Math" w:cs="Cambria Math"/>
          <w:color w:val="000000" w:themeColor="text1"/>
          <w:sz w:val="20"/>
          <w:szCs w:val="20"/>
        </w:rPr>
        <w:t>⁻</w:t>
      </w:r>
      <w:r w:rsidRPr="0066543C">
        <w:rPr>
          <w:rFonts w:ascii="Arial" w:hAnsi="Arial" w:cs="Arial"/>
          <w:color w:val="000000" w:themeColor="text1"/>
          <w:sz w:val="20"/>
          <w:szCs w:val="20"/>
        </w:rPr>
        <w:t>¹), most isolates exhibited pronounced growth inhibition, cell bleaching, and reduced viability, although a few strains continued to survive, suggesting inherent tolerance mechanisms.</w:t>
      </w:r>
    </w:p>
    <w:p w14:paraId="160E2F15" w14:textId="5E6E7C19" w:rsidR="008C6F8F" w:rsidRPr="0066543C" w:rsidRDefault="004A1863" w:rsidP="00BC5504">
      <w:pPr>
        <w:spacing w:line="360" w:lineRule="auto"/>
        <w:jc w:val="both"/>
        <w:rPr>
          <w:rFonts w:ascii="Arial" w:hAnsi="Arial" w:cs="Arial"/>
          <w:b/>
          <w:bCs/>
          <w:color w:val="000000" w:themeColor="text1"/>
        </w:rPr>
      </w:pPr>
      <w:r w:rsidRPr="0066543C">
        <w:rPr>
          <w:rFonts w:ascii="Arial" w:hAnsi="Arial" w:cs="Arial"/>
          <w:b/>
          <w:bCs/>
          <w:color w:val="000000" w:themeColor="text1"/>
        </w:rPr>
        <w:t>IDENTIFICATION OF ISOLATED SPECIES</w:t>
      </w:r>
    </w:p>
    <w:p w14:paraId="3B29D3D5" w14:textId="13390A51" w:rsidR="009A2A85" w:rsidRPr="0066543C" w:rsidRDefault="009A2A85" w:rsidP="009A2A85">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Molecular characterization through 16S rRNA gene amplification and sequencing validated the identity of the isolates as </w:t>
      </w:r>
      <w:r w:rsidRPr="0066543C">
        <w:rPr>
          <w:rFonts w:ascii="Arial" w:hAnsi="Arial" w:cs="Arial"/>
          <w:b/>
          <w:bCs/>
          <w:i/>
          <w:iCs/>
          <w:color w:val="000000" w:themeColor="text1"/>
          <w:sz w:val="20"/>
          <w:szCs w:val="20"/>
        </w:rPr>
        <w:t>Leptolyngbya sp.</w:t>
      </w:r>
      <w:r w:rsidRPr="0066543C">
        <w:rPr>
          <w:rFonts w:ascii="Arial" w:hAnsi="Arial" w:cs="Arial"/>
          <w:color w:val="000000" w:themeColor="text1"/>
          <w:sz w:val="20"/>
          <w:szCs w:val="20"/>
        </w:rPr>
        <w:t xml:space="preserve"> which were assigned to genera</w:t>
      </w:r>
      <w:r w:rsidRPr="0066543C">
        <w:rPr>
          <w:rFonts w:ascii="Arial" w:hAnsi="Arial" w:cs="Arial"/>
          <w:b/>
          <w:bCs/>
          <w:i/>
          <w:iCs/>
          <w:color w:val="000000" w:themeColor="text1"/>
          <w:sz w:val="20"/>
          <w:szCs w:val="20"/>
        </w:rPr>
        <w:t xml:space="preserve"> Leptolyngbya</w:t>
      </w:r>
      <w:r w:rsidRPr="0066543C">
        <w:rPr>
          <w:rFonts w:ascii="Arial" w:hAnsi="Arial" w:cs="Arial"/>
          <w:color w:val="000000" w:themeColor="text1"/>
          <w:sz w:val="20"/>
          <w:szCs w:val="20"/>
        </w:rPr>
        <w:t xml:space="preserve"> (Pham et al., 2025).</w:t>
      </w:r>
    </w:p>
    <w:p w14:paraId="75FA91A9" w14:textId="1D52601A" w:rsidR="0000318C" w:rsidRPr="0066543C" w:rsidRDefault="00582FC9">
      <w:pPr>
        <w:rPr>
          <w:rFonts w:ascii="Arial" w:hAnsi="Arial" w:cs="Arial"/>
          <w:color w:val="000000" w:themeColor="text1"/>
          <w:sz w:val="24"/>
          <w:szCs w:val="24"/>
        </w:rPr>
      </w:pPr>
      <w:r w:rsidRPr="0066543C">
        <w:rPr>
          <w:rFonts w:ascii="Arial" w:hAnsi="Arial" w:cs="Arial"/>
          <w:noProof/>
          <w:color w:val="000000" w:themeColor="text1"/>
          <w:sz w:val="24"/>
          <w:szCs w:val="24"/>
          <w:lang w:eastAsia="en-IN"/>
        </w:rPr>
        <mc:AlternateContent>
          <mc:Choice Requires="wpg">
            <w:drawing>
              <wp:anchor distT="0" distB="0" distL="114300" distR="114300" simplePos="0" relativeHeight="251663360" behindDoc="0" locked="0" layoutInCell="1" allowOverlap="1" wp14:anchorId="720BCEB7" wp14:editId="79DFB55C">
                <wp:simplePos x="0" y="0"/>
                <wp:positionH relativeFrom="column">
                  <wp:posOffset>0</wp:posOffset>
                </wp:positionH>
                <wp:positionV relativeFrom="paragraph">
                  <wp:posOffset>6408</wp:posOffset>
                </wp:positionV>
                <wp:extent cx="4213860" cy="298450"/>
                <wp:effectExtent l="0" t="0" r="15240" b="25400"/>
                <wp:wrapNone/>
                <wp:docPr id="1630729836" name="Group 8"/>
                <wp:cNvGraphicFramePr/>
                <a:graphic xmlns:a="http://schemas.openxmlformats.org/drawingml/2006/main">
                  <a:graphicData uri="http://schemas.microsoft.com/office/word/2010/wordprocessingGroup">
                    <wpg:wgp>
                      <wpg:cNvGrpSpPr/>
                      <wpg:grpSpPr>
                        <a:xfrm>
                          <a:off x="0" y="0"/>
                          <a:ext cx="4213860" cy="298450"/>
                          <a:chOff x="0" y="0"/>
                          <a:chExt cx="4213860" cy="298450"/>
                        </a:xfrm>
                      </wpg:grpSpPr>
                      <wps:wsp>
                        <wps:cNvPr id="1617647194" name="Text Box 2"/>
                        <wps:cNvSpPr txBox="1">
                          <a:spLocks noChangeArrowheads="1"/>
                        </wps:cNvSpPr>
                        <wps:spPr bwMode="auto">
                          <a:xfrm>
                            <a:off x="0" y="7620"/>
                            <a:ext cx="341630" cy="283845"/>
                          </a:xfrm>
                          <a:prstGeom prst="rect">
                            <a:avLst/>
                          </a:prstGeom>
                          <a:solidFill>
                            <a:srgbClr val="FFFFFF"/>
                          </a:solidFill>
                          <a:ln w="9525">
                            <a:solidFill>
                              <a:srgbClr val="000000"/>
                            </a:solidFill>
                            <a:miter lim="800000"/>
                            <a:headEnd/>
                            <a:tailEnd/>
                          </a:ln>
                        </wps:spPr>
                        <wps:txbx>
                          <w:txbxContent>
                            <w:p w14:paraId="14B027F5" w14:textId="77777777" w:rsidR="0000318C" w:rsidRPr="0009740A" w:rsidRDefault="0000318C" w:rsidP="0000318C">
                              <w:pPr>
                                <w:rPr>
                                  <w:rFonts w:ascii="Times New Roman" w:hAnsi="Times New Roman" w:cs="Times New Roman"/>
                                  <w:b/>
                                  <w:bCs/>
                                </w:rPr>
                              </w:pPr>
                              <w:r w:rsidRPr="0009740A">
                                <w:rPr>
                                  <w:rFonts w:ascii="Times New Roman" w:hAnsi="Times New Roman" w:cs="Times New Roman"/>
                                  <w:b/>
                                  <w:bCs/>
                                </w:rPr>
                                <w:t>A</w:t>
                              </w:r>
                            </w:p>
                          </w:txbxContent>
                        </wps:txbx>
                        <wps:bodyPr rot="0" vert="horz" wrap="square" lIns="91440" tIns="45720" rIns="91440" bIns="45720" anchor="t" anchorCtr="0">
                          <a:noAutofit/>
                        </wps:bodyPr>
                      </wps:wsp>
                      <wps:wsp>
                        <wps:cNvPr id="1736144031" name="Text Box 2"/>
                        <wps:cNvSpPr txBox="1">
                          <a:spLocks noChangeArrowheads="1"/>
                        </wps:cNvSpPr>
                        <wps:spPr bwMode="auto">
                          <a:xfrm>
                            <a:off x="1935480" y="15240"/>
                            <a:ext cx="340995" cy="283210"/>
                          </a:xfrm>
                          <a:prstGeom prst="rect">
                            <a:avLst/>
                          </a:prstGeom>
                          <a:solidFill>
                            <a:srgbClr val="FFFFFF"/>
                          </a:solidFill>
                          <a:ln w="9525">
                            <a:solidFill>
                              <a:srgbClr val="000000"/>
                            </a:solidFill>
                            <a:miter lim="800000"/>
                            <a:headEnd/>
                            <a:tailEnd/>
                          </a:ln>
                        </wps:spPr>
                        <wps:txbx>
                          <w:txbxContent>
                            <w:p w14:paraId="44F99ABA" w14:textId="77777777" w:rsidR="0000318C" w:rsidRPr="00290FF2" w:rsidRDefault="0000318C" w:rsidP="0000318C">
                              <w:pPr>
                                <w:spacing w:line="276" w:lineRule="auto"/>
                                <w:jc w:val="both"/>
                                <w:rPr>
                                  <w:rFonts w:ascii="Times New Roman" w:hAnsi="Times New Roman" w:cs="Times New Roman"/>
                                  <w:sz w:val="28"/>
                                  <w:szCs w:val="28"/>
                                </w:rPr>
                              </w:pPr>
                              <w:r>
                                <w:rPr>
                                  <w:rFonts w:ascii="Times New Roman" w:hAnsi="Times New Roman" w:cs="Times New Roman"/>
                                  <w:b/>
                                  <w:bCs/>
                                </w:rPr>
                                <w:t>B</w:t>
                              </w:r>
                              <w:r w:rsidRPr="001D6DAE">
                                <w:rPr>
                                  <w:noProof/>
                                  <w:lang w:eastAsia="en-IN"/>
                                </w:rPr>
                                <w:drawing>
                                  <wp:inline distT="0" distB="0" distL="0" distR="0" wp14:anchorId="562CADCB" wp14:editId="0B142D33">
                                    <wp:extent cx="1767840" cy="1707418"/>
                                    <wp:effectExtent l="0" t="0" r="3810" b="7620"/>
                                    <wp:docPr id="1189939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748" r="10591"/>
                                            <a:stretch>
                                              <a:fillRect/>
                                            </a:stretch>
                                          </pic:blipFill>
                                          <pic:spPr bwMode="auto">
                                            <a:xfrm rot="10800000">
                                              <a:off x="0" y="0"/>
                                              <a:ext cx="1787112" cy="17260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sidRPr="001D6DAE">
                                <w:rPr>
                                  <w:noProof/>
                                  <w:lang w:eastAsia="en-IN"/>
                                </w:rPr>
                                <w:drawing>
                                  <wp:inline distT="0" distB="0" distL="0" distR="0" wp14:anchorId="2016B8F3" wp14:editId="22C1F754">
                                    <wp:extent cx="1855411" cy="1717040"/>
                                    <wp:effectExtent l="0" t="0" r="0" b="0"/>
                                    <wp:docPr id="16709998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916" t="18399" r="4946"/>
                                            <a:stretch>
                                              <a:fillRect/>
                                            </a:stretch>
                                          </pic:blipFill>
                                          <pic:spPr bwMode="auto">
                                            <a:xfrm>
                                              <a:off x="0" y="0"/>
                                              <a:ext cx="1864999" cy="17259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noProof/>
                                </w:rPr>
                                <w:t xml:space="preserve">    </w:t>
                              </w:r>
                              <w:r w:rsidRPr="001D6DAE">
                                <w:rPr>
                                  <w:noProof/>
                                  <w:lang w:eastAsia="en-IN"/>
                                </w:rPr>
                                <w:drawing>
                                  <wp:inline distT="0" distB="0" distL="0" distR="0" wp14:anchorId="063A1C13" wp14:editId="7E53AE1C">
                                    <wp:extent cx="1727903" cy="1735800"/>
                                    <wp:effectExtent l="0" t="3810" r="1905" b="1905"/>
                                    <wp:docPr id="19871794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719" t="17944" r="19931" b="10603"/>
                                            <a:stretch>
                                              <a:fillRect/>
                                            </a:stretch>
                                          </pic:blipFill>
                                          <pic:spPr bwMode="auto">
                                            <a:xfrm rot="5400000">
                                              <a:off x="0" y="0"/>
                                              <a:ext cx="1738409" cy="1746354"/>
                                            </a:xfrm>
                                            <a:prstGeom prst="rect">
                                              <a:avLst/>
                                            </a:prstGeom>
                                            <a:noFill/>
                                            <a:ln>
                                              <a:noFill/>
                                            </a:ln>
                                            <a:extLst>
                                              <a:ext uri="{53640926-AAD7-44D8-BBD7-CCE9431645EC}">
                                                <a14:shadowObscured xmlns:a14="http://schemas.microsoft.com/office/drawing/2010/main"/>
                                              </a:ext>
                                            </a:extLst>
                                          </pic:spPr>
                                        </pic:pic>
                                      </a:graphicData>
                                    </a:graphic>
                                  </wp:inline>
                                </w:drawing>
                              </w:r>
                            </w:p>
                            <w:p w14:paraId="36B1984E" w14:textId="77777777" w:rsidR="0000318C" w:rsidRPr="0009740A" w:rsidRDefault="0000318C" w:rsidP="0000318C">
                              <w:pPr>
                                <w:rPr>
                                  <w:rFonts w:ascii="Times New Roman" w:hAnsi="Times New Roman" w:cs="Times New Roman"/>
                                  <w:b/>
                                  <w:bCs/>
                                </w:rPr>
                              </w:pPr>
                            </w:p>
                          </w:txbxContent>
                        </wps:txbx>
                        <wps:bodyPr rot="0" vert="horz" wrap="square" lIns="91440" tIns="45720" rIns="91440" bIns="45720" anchor="t" anchorCtr="0">
                          <a:noAutofit/>
                        </wps:bodyPr>
                      </wps:wsp>
                      <wps:wsp>
                        <wps:cNvPr id="1639424913" name="Text Box 2"/>
                        <wps:cNvSpPr txBox="1">
                          <a:spLocks noChangeArrowheads="1"/>
                        </wps:cNvSpPr>
                        <wps:spPr bwMode="auto">
                          <a:xfrm>
                            <a:off x="3872865" y="0"/>
                            <a:ext cx="340995" cy="283210"/>
                          </a:xfrm>
                          <a:prstGeom prst="rect">
                            <a:avLst/>
                          </a:prstGeom>
                          <a:solidFill>
                            <a:srgbClr val="FFFFFF"/>
                          </a:solidFill>
                          <a:ln w="9525">
                            <a:solidFill>
                              <a:srgbClr val="000000"/>
                            </a:solidFill>
                            <a:miter lim="800000"/>
                            <a:headEnd/>
                            <a:tailEnd/>
                          </a:ln>
                        </wps:spPr>
                        <wps:txbx>
                          <w:txbxContent>
                            <w:p w14:paraId="6B4B64A0" w14:textId="77777777" w:rsidR="0000318C" w:rsidRPr="0009740A" w:rsidRDefault="0000318C" w:rsidP="0000318C">
                              <w:pPr>
                                <w:rPr>
                                  <w:rFonts w:ascii="Times New Roman" w:hAnsi="Times New Roman" w:cs="Times New Roman"/>
                                  <w:b/>
                                  <w:bCs/>
                                </w:rPr>
                              </w:pPr>
                              <w:r>
                                <w:rPr>
                                  <w:rFonts w:ascii="Times New Roman" w:hAnsi="Times New Roman" w:cs="Times New Roman"/>
                                  <w:b/>
                                  <w:bCs/>
                                </w:rPr>
                                <w:t>C</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20BCEB7" id="Group 8" o:spid="_x0000_s1026" style="position:absolute;margin-left:0;margin-top:.5pt;width:331.8pt;height:23.5pt;z-index:251663360;mso-width-relative:margin" coordsize="42138,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">
                <v:shapetype id="_x0000_t202" coordsize="21600,21600" o:spt="202" path="m,l,21600r21600,l21600,xe">
                  <v:stroke joinstyle="miter"/>
                  <v:path gradientshapeok="t" o:connecttype="rect"/>
                </v:shapetype>
                <v:shape id="_x0000_s1027" type="#_x0000_t202" style="position:absolute;top:76;width:341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">
                  <v:textbox>
                    <w:txbxContent>
                      <w:p w14:paraId="14B027F5" w14:textId="77777777" w:rsidR="0000318C" w:rsidRPr="0009740A" w:rsidRDefault="0000318C" w:rsidP="0000318C">
                        <w:pPr>
                          <w:rPr>
                            <w:rFonts w:ascii="Times New Roman" w:hAnsi="Times New Roman" w:cs="Times New Roman"/>
                            <w:b/>
                            <w:bCs/>
                          </w:rPr>
                        </w:pPr>
                        <w:r w:rsidRPr="0009740A">
                          <w:rPr>
                            <w:rFonts w:ascii="Times New Roman" w:hAnsi="Times New Roman" w:cs="Times New Roman"/>
                            <w:b/>
                            <w:bCs/>
                          </w:rPr>
                          <w:t>A</w:t>
                        </w:r>
                      </w:p>
                    </w:txbxContent>
                  </v:textbox>
                </v:shape>
                <v:shape id="_x0000_s1028" type="#_x0000_t202" style="position:absolute;left:19354;top:152;width:341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">
                  <v:textbox>
                    <w:txbxContent>
                      <w:p w14:paraId="44F99ABA" w14:textId="77777777" w:rsidR="0000318C" w:rsidRPr="00290FF2" w:rsidRDefault="0000318C" w:rsidP="0000318C">
                        <w:pPr>
                          <w:spacing w:line="276" w:lineRule="auto"/>
                          <w:jc w:val="both"/>
                          <w:rPr>
                            <w:rFonts w:ascii="Times New Roman" w:hAnsi="Times New Roman" w:cs="Times New Roman"/>
                            <w:sz w:val="28"/>
                            <w:szCs w:val="28"/>
                          </w:rPr>
                        </w:pPr>
                        <w:r>
                          <w:rPr>
                            <w:rFonts w:ascii="Times New Roman" w:hAnsi="Times New Roman" w:cs="Times New Roman"/>
                            <w:b/>
                            <w:bCs/>
                          </w:rPr>
                          <w:t>B</w:t>
                        </w:r>
                        <w:r w:rsidRPr="001D6DAE">
                          <w:rPr>
                            <w:noProof/>
                            <w:lang w:eastAsia="en-IN"/>
                          </w:rPr>
                          <w:drawing>
                            <wp:inline distT="0" distB="0" distL="0" distR="0" wp14:anchorId="562CADCB" wp14:editId="0B142D33">
                              <wp:extent cx="1767840" cy="1707418"/>
                              <wp:effectExtent l="0" t="0" r="3810" b="7620"/>
                              <wp:docPr id="1189939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748" r="10591"/>
                                      <a:stretch>
                                        <a:fillRect/>
                                      </a:stretch>
                                    </pic:blipFill>
                                    <pic:spPr bwMode="auto">
                                      <a:xfrm rot="10800000">
                                        <a:off x="0" y="0"/>
                                        <a:ext cx="1787112" cy="17260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sidRPr="001D6DAE">
                          <w:rPr>
                            <w:noProof/>
                            <w:lang w:eastAsia="en-IN"/>
                          </w:rPr>
                          <w:drawing>
                            <wp:inline distT="0" distB="0" distL="0" distR="0" wp14:anchorId="2016B8F3" wp14:editId="22C1F754">
                              <wp:extent cx="1855411" cy="1717040"/>
                              <wp:effectExtent l="0" t="0" r="0" b="0"/>
                              <wp:docPr id="16709998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916" t="18399" r="4946"/>
                                      <a:stretch>
                                        <a:fillRect/>
                                      </a:stretch>
                                    </pic:blipFill>
                                    <pic:spPr bwMode="auto">
                                      <a:xfrm>
                                        <a:off x="0" y="0"/>
                                        <a:ext cx="1864999" cy="17259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noProof/>
                          </w:rPr>
                          <w:t xml:space="preserve">    </w:t>
                        </w:r>
                        <w:r w:rsidRPr="001D6DAE">
                          <w:rPr>
                            <w:noProof/>
                            <w:lang w:eastAsia="en-IN"/>
                          </w:rPr>
                          <w:drawing>
                            <wp:inline distT="0" distB="0" distL="0" distR="0" wp14:anchorId="063A1C13" wp14:editId="7E53AE1C">
                              <wp:extent cx="1727903" cy="1735800"/>
                              <wp:effectExtent l="0" t="3810" r="1905" b="1905"/>
                              <wp:docPr id="19871794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719" t="17944" r="19931" b="10603"/>
                                      <a:stretch>
                                        <a:fillRect/>
                                      </a:stretch>
                                    </pic:blipFill>
                                    <pic:spPr bwMode="auto">
                                      <a:xfrm rot="5400000">
                                        <a:off x="0" y="0"/>
                                        <a:ext cx="1738409" cy="1746354"/>
                                      </a:xfrm>
                                      <a:prstGeom prst="rect">
                                        <a:avLst/>
                                      </a:prstGeom>
                                      <a:noFill/>
                                      <a:ln>
                                        <a:noFill/>
                                      </a:ln>
                                      <a:extLst>
                                        <a:ext uri="{53640926-AAD7-44D8-BBD7-CCE9431645EC}">
                                          <a14:shadowObscured xmlns:a14="http://schemas.microsoft.com/office/drawing/2010/main"/>
                                        </a:ext>
                                      </a:extLst>
                                    </pic:spPr>
                                  </pic:pic>
                                </a:graphicData>
                              </a:graphic>
                            </wp:inline>
                          </w:drawing>
                        </w:r>
                      </w:p>
                      <w:p w14:paraId="36B1984E" w14:textId="77777777" w:rsidR="0000318C" w:rsidRPr="0009740A" w:rsidRDefault="0000318C" w:rsidP="0000318C">
                        <w:pPr>
                          <w:rPr>
                            <w:rFonts w:ascii="Times New Roman" w:hAnsi="Times New Roman" w:cs="Times New Roman"/>
                            <w:b/>
                            <w:bCs/>
                          </w:rPr>
                        </w:pPr>
                      </w:p>
                    </w:txbxContent>
                  </v:textbox>
                </v:shape>
                <v:shape id="_x0000_s1029" type="#_x0000_t202" style="position:absolute;left:38728;width:341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">
                  <v:textbox>
                    <w:txbxContent>
                      <w:p w14:paraId="6B4B64A0" w14:textId="77777777" w:rsidR="0000318C" w:rsidRPr="0009740A" w:rsidRDefault="0000318C" w:rsidP="0000318C">
                        <w:pPr>
                          <w:rPr>
                            <w:rFonts w:ascii="Times New Roman" w:hAnsi="Times New Roman" w:cs="Times New Roman"/>
                            <w:b/>
                            <w:bCs/>
                          </w:rPr>
                        </w:pPr>
                        <w:r>
                          <w:rPr>
                            <w:rFonts w:ascii="Times New Roman" w:hAnsi="Times New Roman" w:cs="Times New Roman"/>
                            <w:b/>
                            <w:bCs/>
                          </w:rPr>
                          <w:t>C</w:t>
                        </w:r>
                      </w:p>
                    </w:txbxContent>
                  </v:textbox>
                </v:shape>
              </v:group>
            </w:pict>
          </mc:Fallback>
        </mc:AlternateContent>
      </w:r>
      <w:r w:rsidR="0000318C" w:rsidRPr="0066543C">
        <w:rPr>
          <w:rFonts w:ascii="Arial" w:hAnsi="Arial" w:cs="Arial"/>
          <w:noProof/>
          <w:color w:val="000000" w:themeColor="text1"/>
          <w:sz w:val="24"/>
          <w:szCs w:val="24"/>
          <w:lang w:eastAsia="en-IN"/>
        </w:rPr>
        <w:drawing>
          <wp:inline distT="0" distB="0" distL="0" distR="0" wp14:anchorId="69D7CC52" wp14:editId="16C659EE">
            <wp:extent cx="1767840" cy="1707418"/>
            <wp:effectExtent l="0" t="0" r="3810" b="7620"/>
            <wp:docPr id="20434490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748" r="10591"/>
                    <a:stretch>
                      <a:fillRect/>
                    </a:stretch>
                  </pic:blipFill>
                  <pic:spPr bwMode="auto">
                    <a:xfrm rot="10800000">
                      <a:off x="0" y="0"/>
                      <a:ext cx="1787112" cy="1726031"/>
                    </a:xfrm>
                    <a:prstGeom prst="rect">
                      <a:avLst/>
                    </a:prstGeom>
                    <a:noFill/>
                    <a:ln>
                      <a:noFill/>
                    </a:ln>
                    <a:extLst>
                      <a:ext uri="{53640926-AAD7-44D8-BBD7-CCE9431645EC}">
                        <a14:shadowObscured xmlns:a14="http://schemas.microsoft.com/office/drawing/2010/main"/>
                      </a:ext>
                    </a:extLst>
                  </pic:spPr>
                </pic:pic>
              </a:graphicData>
            </a:graphic>
          </wp:inline>
        </w:drawing>
      </w:r>
      <w:r w:rsidR="0000318C" w:rsidRPr="0066543C">
        <w:rPr>
          <w:rFonts w:ascii="Arial" w:hAnsi="Arial" w:cs="Arial"/>
          <w:color w:val="000000" w:themeColor="text1"/>
          <w:sz w:val="24"/>
          <w:szCs w:val="24"/>
        </w:rPr>
        <w:t xml:space="preserve">   </w:t>
      </w:r>
      <w:r w:rsidR="0000318C" w:rsidRPr="0066543C">
        <w:rPr>
          <w:rFonts w:ascii="Arial" w:hAnsi="Arial" w:cs="Arial"/>
          <w:noProof/>
          <w:color w:val="000000" w:themeColor="text1"/>
          <w:sz w:val="24"/>
          <w:szCs w:val="24"/>
          <w:lang w:eastAsia="en-IN"/>
        </w:rPr>
        <w:drawing>
          <wp:inline distT="0" distB="0" distL="0" distR="0" wp14:anchorId="5274C7C4" wp14:editId="65208EE8">
            <wp:extent cx="1855411" cy="1717040"/>
            <wp:effectExtent l="0" t="0" r="0" b="0"/>
            <wp:docPr id="139030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916" t="18399" r="4946"/>
                    <a:stretch>
                      <a:fillRect/>
                    </a:stretch>
                  </pic:blipFill>
                  <pic:spPr bwMode="auto">
                    <a:xfrm>
                      <a:off x="0" y="0"/>
                      <a:ext cx="1864999" cy="1725913"/>
                    </a:xfrm>
                    <a:prstGeom prst="rect">
                      <a:avLst/>
                    </a:prstGeom>
                    <a:noFill/>
                    <a:ln>
                      <a:noFill/>
                    </a:ln>
                    <a:extLst>
                      <a:ext uri="{53640926-AAD7-44D8-BBD7-CCE9431645EC}">
                        <a14:shadowObscured xmlns:a14="http://schemas.microsoft.com/office/drawing/2010/main"/>
                      </a:ext>
                    </a:extLst>
                  </pic:spPr>
                </pic:pic>
              </a:graphicData>
            </a:graphic>
          </wp:inline>
        </w:drawing>
      </w:r>
      <w:r w:rsidR="0000318C" w:rsidRPr="0066543C">
        <w:rPr>
          <w:rFonts w:ascii="Arial" w:hAnsi="Arial" w:cs="Arial"/>
          <w:color w:val="000000" w:themeColor="text1"/>
          <w:sz w:val="24"/>
          <w:szCs w:val="24"/>
        </w:rPr>
        <w:t xml:space="preserve"> </w:t>
      </w:r>
      <w:r w:rsidR="0000318C" w:rsidRPr="0066543C">
        <w:rPr>
          <w:rFonts w:ascii="Arial" w:hAnsi="Arial" w:cs="Arial"/>
          <w:noProof/>
          <w:color w:val="000000" w:themeColor="text1"/>
          <w:sz w:val="24"/>
          <w:szCs w:val="24"/>
        </w:rPr>
        <w:t xml:space="preserve">  </w:t>
      </w:r>
      <w:r w:rsidR="0000318C" w:rsidRPr="0066543C">
        <w:rPr>
          <w:rFonts w:ascii="Arial" w:hAnsi="Arial" w:cs="Arial"/>
          <w:noProof/>
          <w:color w:val="000000" w:themeColor="text1"/>
          <w:sz w:val="24"/>
          <w:szCs w:val="24"/>
          <w:lang w:eastAsia="en-IN"/>
        </w:rPr>
        <w:drawing>
          <wp:inline distT="0" distB="0" distL="0" distR="0" wp14:anchorId="2D1738EB" wp14:editId="6EEF52A7">
            <wp:extent cx="1727310" cy="1727095"/>
            <wp:effectExtent l="317" t="0" r="6668" b="6667"/>
            <wp:docPr id="4930985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541" t="4638" r="16092" b="14889"/>
                    <a:stretch>
                      <a:fillRect/>
                    </a:stretch>
                  </pic:blipFill>
                  <pic:spPr bwMode="auto">
                    <a:xfrm rot="5400000">
                      <a:off x="0" y="0"/>
                      <a:ext cx="1739193" cy="1738977"/>
                    </a:xfrm>
                    <a:prstGeom prst="rect">
                      <a:avLst/>
                    </a:prstGeom>
                    <a:noFill/>
                    <a:ln>
                      <a:noFill/>
                    </a:ln>
                    <a:extLst>
                      <a:ext uri="{53640926-AAD7-44D8-BBD7-CCE9431645EC}">
                        <a14:shadowObscured xmlns:a14="http://schemas.microsoft.com/office/drawing/2010/main"/>
                      </a:ext>
                    </a:extLst>
                  </pic:spPr>
                </pic:pic>
              </a:graphicData>
            </a:graphic>
          </wp:inline>
        </w:drawing>
      </w:r>
    </w:p>
    <w:p w14:paraId="28B2E51A" w14:textId="23CE4AFD" w:rsidR="0000318C" w:rsidRDefault="0000318C" w:rsidP="000202C8">
      <w:pPr>
        <w:spacing w:line="276" w:lineRule="auto"/>
        <w:jc w:val="both"/>
        <w:rPr>
          <w:rFonts w:ascii="Arial" w:hAnsi="Arial" w:cs="Arial"/>
          <w:b/>
          <w:bCs/>
          <w:i/>
          <w:iCs/>
          <w:color w:val="000000" w:themeColor="text1"/>
          <w:sz w:val="20"/>
          <w:szCs w:val="20"/>
        </w:rPr>
      </w:pPr>
      <w:r w:rsidRPr="0066543C">
        <w:rPr>
          <w:rFonts w:ascii="Arial" w:hAnsi="Arial" w:cs="Arial"/>
          <w:b/>
          <w:bCs/>
          <w:color w:val="000000" w:themeColor="text1"/>
          <w:sz w:val="20"/>
          <w:szCs w:val="20"/>
        </w:rPr>
        <w:t xml:space="preserve">Figure </w:t>
      </w:r>
      <w:r w:rsidR="00C71054" w:rsidRPr="0066543C">
        <w:rPr>
          <w:rFonts w:ascii="Arial" w:hAnsi="Arial" w:cs="Arial"/>
          <w:b/>
          <w:bCs/>
          <w:color w:val="000000" w:themeColor="text1"/>
          <w:sz w:val="20"/>
          <w:szCs w:val="20"/>
        </w:rPr>
        <w:t>1</w:t>
      </w:r>
      <w:r w:rsidRPr="0066543C">
        <w:rPr>
          <w:rFonts w:ascii="Arial" w:hAnsi="Arial" w:cs="Arial"/>
          <w:b/>
          <w:bCs/>
          <w:color w:val="000000" w:themeColor="text1"/>
          <w:sz w:val="20"/>
          <w:szCs w:val="20"/>
        </w:rPr>
        <w:t xml:space="preserve">: Isolation and Screening of </w:t>
      </w:r>
      <w:r w:rsidRPr="0066543C">
        <w:rPr>
          <w:rFonts w:ascii="Arial" w:hAnsi="Arial" w:cs="Arial"/>
          <w:b/>
          <w:bCs/>
          <w:i/>
          <w:iCs/>
          <w:color w:val="000000" w:themeColor="text1"/>
          <w:sz w:val="20"/>
          <w:szCs w:val="20"/>
        </w:rPr>
        <w:t>Leptolyngbya sps.</w:t>
      </w:r>
      <w:r w:rsidRPr="0066543C">
        <w:rPr>
          <w:rFonts w:ascii="Arial" w:hAnsi="Arial" w:cs="Arial"/>
          <w:b/>
          <w:bCs/>
          <w:color w:val="000000" w:themeColor="text1"/>
          <w:sz w:val="20"/>
          <w:szCs w:val="20"/>
        </w:rPr>
        <w:t xml:space="preserve"> from paddy field. A</w:t>
      </w:r>
      <w:r w:rsidR="00B964DF" w:rsidRPr="0066543C">
        <w:rPr>
          <w:rFonts w:ascii="Arial" w:hAnsi="Arial" w:cs="Arial"/>
          <w:b/>
          <w:bCs/>
          <w:color w:val="000000" w:themeColor="text1"/>
          <w:sz w:val="20"/>
          <w:szCs w:val="20"/>
        </w:rPr>
        <w:t>)</w:t>
      </w:r>
      <w:r w:rsidRPr="0066543C">
        <w:rPr>
          <w:rFonts w:ascii="Arial" w:hAnsi="Arial" w:cs="Arial"/>
          <w:b/>
          <w:bCs/>
          <w:color w:val="000000" w:themeColor="text1"/>
          <w:sz w:val="20"/>
          <w:szCs w:val="20"/>
        </w:rPr>
        <w:t xml:space="preserve"> Isolation of cyanobacteria from paddy field. B</w:t>
      </w:r>
      <w:r w:rsidR="00B964DF" w:rsidRPr="0066543C">
        <w:rPr>
          <w:rFonts w:ascii="Arial" w:hAnsi="Arial" w:cs="Arial"/>
          <w:b/>
          <w:bCs/>
          <w:color w:val="000000" w:themeColor="text1"/>
          <w:sz w:val="20"/>
          <w:szCs w:val="20"/>
        </w:rPr>
        <w:t>)</w:t>
      </w:r>
      <w:r w:rsidRPr="0066543C">
        <w:rPr>
          <w:rFonts w:ascii="Arial" w:hAnsi="Arial" w:cs="Arial"/>
          <w:b/>
          <w:bCs/>
          <w:color w:val="000000" w:themeColor="text1"/>
          <w:sz w:val="20"/>
          <w:szCs w:val="20"/>
        </w:rPr>
        <w:t xml:space="preserve"> Growth on 20 ppm Chlorpyrifos spiked media. C</w:t>
      </w:r>
      <w:r w:rsidR="00B964DF" w:rsidRPr="0066543C">
        <w:rPr>
          <w:rFonts w:ascii="Arial" w:hAnsi="Arial" w:cs="Arial"/>
          <w:b/>
          <w:bCs/>
          <w:color w:val="000000" w:themeColor="text1"/>
          <w:sz w:val="20"/>
          <w:szCs w:val="20"/>
        </w:rPr>
        <w:t>)</w:t>
      </w:r>
      <w:r w:rsidRPr="0066543C">
        <w:rPr>
          <w:rFonts w:ascii="Arial" w:hAnsi="Arial" w:cs="Arial"/>
          <w:b/>
          <w:bCs/>
          <w:color w:val="000000" w:themeColor="text1"/>
          <w:sz w:val="20"/>
          <w:szCs w:val="20"/>
        </w:rPr>
        <w:t xml:space="preserve"> Microscopic examination at 100x objective of </w:t>
      </w:r>
      <w:r w:rsidRPr="0066543C">
        <w:rPr>
          <w:rFonts w:ascii="Arial" w:hAnsi="Arial" w:cs="Arial"/>
          <w:b/>
          <w:bCs/>
          <w:i/>
          <w:iCs/>
          <w:color w:val="000000" w:themeColor="text1"/>
          <w:sz w:val="20"/>
          <w:szCs w:val="20"/>
        </w:rPr>
        <w:t>Leptolyngbya sp.</w:t>
      </w:r>
    </w:p>
    <w:p w14:paraId="2ED2DC9E" w14:textId="08B1C3FD" w:rsidR="006F0897" w:rsidRPr="0066543C" w:rsidRDefault="006F0897" w:rsidP="000202C8">
      <w:pPr>
        <w:spacing w:line="276" w:lineRule="auto"/>
        <w:jc w:val="both"/>
        <w:rPr>
          <w:rFonts w:ascii="Arial" w:hAnsi="Arial" w:cs="Arial"/>
          <w:b/>
          <w:bCs/>
          <w:i/>
          <w:iCs/>
          <w:color w:val="000000" w:themeColor="text1"/>
          <w:sz w:val="20"/>
          <w:szCs w:val="20"/>
        </w:rPr>
      </w:pPr>
      <w:r w:rsidRPr="0066543C">
        <w:rPr>
          <w:rFonts w:ascii="Arial" w:hAnsi="Arial" w:cs="Arial"/>
          <w:b/>
          <w:bCs/>
          <w:color w:val="000000" w:themeColor="text1"/>
          <w:sz w:val="20"/>
          <w:szCs w:val="20"/>
        </w:rPr>
        <w:t xml:space="preserve">Table 1: </w:t>
      </w:r>
      <w:r>
        <w:rPr>
          <w:rFonts w:ascii="Arial" w:hAnsi="Arial" w:cs="Arial"/>
          <w:b/>
          <w:bCs/>
          <w:color w:val="000000" w:themeColor="text1"/>
          <w:sz w:val="20"/>
          <w:szCs w:val="20"/>
        </w:rPr>
        <w:t xml:space="preserve">Description about </w:t>
      </w:r>
      <w:r w:rsidRPr="0066543C">
        <w:rPr>
          <w:rFonts w:ascii="Arial" w:hAnsi="Arial" w:cs="Arial"/>
          <w:b/>
          <w:bCs/>
          <w:color w:val="000000" w:themeColor="text1"/>
          <w:sz w:val="20"/>
          <w:szCs w:val="20"/>
        </w:rPr>
        <w:t xml:space="preserve">Scientific Classification of </w:t>
      </w:r>
      <w:r w:rsidRPr="0066543C">
        <w:rPr>
          <w:rFonts w:ascii="Arial" w:hAnsi="Arial" w:cs="Arial"/>
          <w:b/>
          <w:bCs/>
          <w:i/>
          <w:iCs/>
          <w:color w:val="000000" w:themeColor="text1"/>
          <w:sz w:val="20"/>
          <w:szCs w:val="20"/>
        </w:rPr>
        <w:t>Leptolyngbya sp</w:t>
      </w:r>
      <w:r w:rsidR="001A449E">
        <w:rPr>
          <w:rFonts w:ascii="Arial" w:hAnsi="Arial" w:cs="Arial"/>
          <w:b/>
          <w:bCs/>
          <w:i/>
          <w:iCs/>
          <w:color w:val="000000" w:themeColor="text1"/>
          <w:sz w:val="20"/>
          <w:szCs w:val="20"/>
        </w:rPr>
        <w:t>.</w:t>
      </w:r>
    </w:p>
    <w:tbl>
      <w:tblPr>
        <w:tblStyle w:val="TableGrid"/>
        <w:tblW w:w="0" w:type="auto"/>
        <w:jc w:val="center"/>
        <w:tblLook w:val="04A0" w:firstRow="1" w:lastRow="0" w:firstColumn="1" w:lastColumn="0" w:noHBand="0" w:noVBand="1"/>
      </w:tblPr>
      <w:tblGrid>
        <w:gridCol w:w="1555"/>
        <w:gridCol w:w="2268"/>
      </w:tblGrid>
      <w:tr w:rsidR="00333F22" w:rsidRPr="0066543C" w14:paraId="2A7B2B8C" w14:textId="77777777">
        <w:trPr>
          <w:jc w:val="center"/>
        </w:trPr>
        <w:tc>
          <w:tcPr>
            <w:tcW w:w="3823" w:type="dxa"/>
            <w:gridSpan w:val="2"/>
          </w:tcPr>
          <w:p w14:paraId="4542B088" w14:textId="253B27F6" w:rsidR="006E5B68" w:rsidRPr="0066543C" w:rsidRDefault="006E5B68" w:rsidP="006939F7">
            <w:pPr>
              <w:jc w:val="center"/>
              <w:rPr>
                <w:rFonts w:ascii="Arial" w:hAnsi="Arial" w:cs="Arial"/>
                <w:b/>
                <w:bCs/>
                <w:color w:val="000000" w:themeColor="text1"/>
                <w:sz w:val="20"/>
                <w:szCs w:val="20"/>
              </w:rPr>
            </w:pPr>
            <w:r w:rsidRPr="0066543C">
              <w:rPr>
                <w:rFonts w:ascii="Arial" w:hAnsi="Arial" w:cs="Arial"/>
                <w:b/>
                <w:bCs/>
                <w:color w:val="000000" w:themeColor="text1"/>
                <w:sz w:val="20"/>
                <w:szCs w:val="20"/>
              </w:rPr>
              <w:lastRenderedPageBreak/>
              <w:t>Scientific classification</w:t>
            </w:r>
          </w:p>
        </w:tc>
      </w:tr>
      <w:tr w:rsidR="00333F22" w:rsidRPr="0066543C" w14:paraId="0A7C8CA5" w14:textId="77777777">
        <w:trPr>
          <w:jc w:val="center"/>
        </w:trPr>
        <w:tc>
          <w:tcPr>
            <w:tcW w:w="1555" w:type="dxa"/>
          </w:tcPr>
          <w:p w14:paraId="5242610A" w14:textId="232024DF" w:rsidR="006E5B68" w:rsidRPr="0066543C" w:rsidRDefault="006939F7">
            <w:pPr>
              <w:rPr>
                <w:rFonts w:ascii="Arial" w:hAnsi="Arial" w:cs="Arial"/>
                <w:color w:val="000000" w:themeColor="text1"/>
                <w:sz w:val="20"/>
                <w:szCs w:val="20"/>
              </w:rPr>
            </w:pPr>
            <w:r w:rsidRPr="0066543C">
              <w:rPr>
                <w:rFonts w:ascii="Arial" w:hAnsi="Arial" w:cs="Arial"/>
                <w:color w:val="000000" w:themeColor="text1"/>
                <w:sz w:val="20"/>
                <w:szCs w:val="20"/>
              </w:rPr>
              <w:t>Domain</w:t>
            </w:r>
          </w:p>
        </w:tc>
        <w:tc>
          <w:tcPr>
            <w:tcW w:w="2268" w:type="dxa"/>
          </w:tcPr>
          <w:p w14:paraId="5791ABE6" w14:textId="77777777" w:rsidR="006E5B68" w:rsidRPr="0066543C" w:rsidRDefault="00000000">
            <w:pPr>
              <w:rPr>
                <w:rFonts w:ascii="Arial" w:hAnsi="Arial" w:cs="Arial"/>
                <w:color w:val="000000" w:themeColor="text1"/>
                <w:sz w:val="20"/>
                <w:szCs w:val="20"/>
              </w:rPr>
            </w:pPr>
            <w:hyperlink r:id="rId13" w:tooltip="Bacteria" w:history="1">
              <w:r w:rsidR="006E5B68" w:rsidRPr="0066543C">
                <w:rPr>
                  <w:rStyle w:val="Hyperlink"/>
                  <w:rFonts w:ascii="Arial" w:hAnsi="Arial" w:cs="Arial"/>
                  <w:color w:val="000000" w:themeColor="text1"/>
                  <w:sz w:val="20"/>
                  <w:szCs w:val="20"/>
                </w:rPr>
                <w:t>Bacteria</w:t>
              </w:r>
            </w:hyperlink>
          </w:p>
        </w:tc>
      </w:tr>
      <w:tr w:rsidR="00333F22" w:rsidRPr="0066543C" w14:paraId="7D0B7203" w14:textId="77777777">
        <w:trPr>
          <w:jc w:val="center"/>
        </w:trPr>
        <w:tc>
          <w:tcPr>
            <w:tcW w:w="1555" w:type="dxa"/>
          </w:tcPr>
          <w:p w14:paraId="672C539B" w14:textId="08662A33" w:rsidR="006E5B68" w:rsidRPr="0066543C" w:rsidRDefault="006939F7">
            <w:pPr>
              <w:rPr>
                <w:rFonts w:ascii="Arial" w:hAnsi="Arial" w:cs="Arial"/>
                <w:color w:val="000000" w:themeColor="text1"/>
                <w:sz w:val="20"/>
                <w:szCs w:val="20"/>
              </w:rPr>
            </w:pPr>
            <w:r w:rsidRPr="0066543C">
              <w:rPr>
                <w:rFonts w:ascii="Arial" w:hAnsi="Arial" w:cs="Arial"/>
                <w:color w:val="000000" w:themeColor="text1"/>
                <w:sz w:val="20"/>
                <w:szCs w:val="20"/>
              </w:rPr>
              <w:t>Kingdom</w:t>
            </w:r>
          </w:p>
        </w:tc>
        <w:tc>
          <w:tcPr>
            <w:tcW w:w="2268" w:type="dxa"/>
          </w:tcPr>
          <w:p w14:paraId="2A904DF5" w14:textId="7C3455CB" w:rsidR="006E5B68" w:rsidRPr="0066543C" w:rsidRDefault="00000000">
            <w:pPr>
              <w:rPr>
                <w:rFonts w:ascii="Arial" w:hAnsi="Arial" w:cs="Arial"/>
                <w:color w:val="000000" w:themeColor="text1"/>
                <w:sz w:val="20"/>
                <w:szCs w:val="20"/>
              </w:rPr>
            </w:pPr>
            <w:hyperlink r:id="rId14" w:tooltip="Bacteria" w:history="1">
              <w:r w:rsidR="002E75B6" w:rsidRPr="0066543C">
                <w:rPr>
                  <w:rStyle w:val="Hyperlink"/>
                  <w:rFonts w:ascii="Arial" w:hAnsi="Arial" w:cs="Arial"/>
                  <w:color w:val="000000" w:themeColor="text1"/>
                  <w:sz w:val="20"/>
                  <w:szCs w:val="20"/>
                </w:rPr>
                <w:t>Bacteria</w:t>
              </w:r>
            </w:hyperlink>
          </w:p>
        </w:tc>
      </w:tr>
      <w:tr w:rsidR="00333F22" w:rsidRPr="0066543C" w14:paraId="6F540C56" w14:textId="77777777">
        <w:trPr>
          <w:jc w:val="center"/>
        </w:trPr>
        <w:tc>
          <w:tcPr>
            <w:tcW w:w="1555" w:type="dxa"/>
          </w:tcPr>
          <w:p w14:paraId="3B21DE44" w14:textId="3096DBF5" w:rsidR="006E5B68" w:rsidRPr="0066543C" w:rsidRDefault="006939F7">
            <w:pPr>
              <w:rPr>
                <w:rFonts w:ascii="Arial" w:hAnsi="Arial" w:cs="Arial"/>
                <w:color w:val="000000" w:themeColor="text1"/>
                <w:sz w:val="20"/>
                <w:szCs w:val="20"/>
              </w:rPr>
            </w:pPr>
            <w:r w:rsidRPr="0066543C">
              <w:rPr>
                <w:rFonts w:ascii="Arial" w:hAnsi="Arial" w:cs="Arial"/>
                <w:color w:val="000000" w:themeColor="text1"/>
                <w:sz w:val="20"/>
                <w:szCs w:val="20"/>
              </w:rPr>
              <w:t>Phylum</w:t>
            </w:r>
          </w:p>
        </w:tc>
        <w:tc>
          <w:tcPr>
            <w:tcW w:w="2268" w:type="dxa"/>
          </w:tcPr>
          <w:p w14:paraId="1D58B63D" w14:textId="77777777" w:rsidR="006E5B68" w:rsidRPr="0066543C" w:rsidRDefault="00000000">
            <w:pPr>
              <w:rPr>
                <w:rFonts w:ascii="Arial" w:hAnsi="Arial" w:cs="Arial"/>
                <w:color w:val="000000" w:themeColor="text1"/>
                <w:sz w:val="20"/>
                <w:szCs w:val="20"/>
              </w:rPr>
            </w:pPr>
            <w:hyperlink r:id="rId15" w:tooltip="Cyanobacteria" w:history="1">
              <w:r w:rsidR="006E5B68" w:rsidRPr="0066543C">
                <w:rPr>
                  <w:rStyle w:val="Hyperlink"/>
                  <w:rFonts w:ascii="Arial" w:hAnsi="Arial" w:cs="Arial"/>
                  <w:color w:val="000000" w:themeColor="text1"/>
                  <w:sz w:val="20"/>
                  <w:szCs w:val="20"/>
                </w:rPr>
                <w:t>Cyanobacteriota</w:t>
              </w:r>
            </w:hyperlink>
          </w:p>
        </w:tc>
      </w:tr>
      <w:tr w:rsidR="00333F22" w:rsidRPr="0066543C" w14:paraId="1B672D18" w14:textId="77777777">
        <w:trPr>
          <w:jc w:val="center"/>
        </w:trPr>
        <w:tc>
          <w:tcPr>
            <w:tcW w:w="1555" w:type="dxa"/>
          </w:tcPr>
          <w:p w14:paraId="066A38B4" w14:textId="219BBF10" w:rsidR="006E5B68" w:rsidRPr="0066543C" w:rsidRDefault="006939F7">
            <w:pPr>
              <w:rPr>
                <w:rFonts w:ascii="Arial" w:hAnsi="Arial" w:cs="Arial"/>
                <w:color w:val="000000" w:themeColor="text1"/>
                <w:sz w:val="20"/>
                <w:szCs w:val="20"/>
              </w:rPr>
            </w:pPr>
            <w:r w:rsidRPr="0066543C">
              <w:rPr>
                <w:rFonts w:ascii="Arial" w:hAnsi="Arial" w:cs="Arial"/>
                <w:color w:val="000000" w:themeColor="text1"/>
                <w:sz w:val="20"/>
                <w:szCs w:val="20"/>
              </w:rPr>
              <w:t>Class</w:t>
            </w:r>
          </w:p>
        </w:tc>
        <w:tc>
          <w:tcPr>
            <w:tcW w:w="2268" w:type="dxa"/>
          </w:tcPr>
          <w:p w14:paraId="340E15CD" w14:textId="77777777" w:rsidR="006E5B68" w:rsidRPr="0066543C" w:rsidRDefault="00000000">
            <w:pPr>
              <w:rPr>
                <w:rFonts w:ascii="Arial" w:hAnsi="Arial" w:cs="Arial"/>
                <w:color w:val="000000" w:themeColor="text1"/>
                <w:sz w:val="20"/>
                <w:szCs w:val="20"/>
              </w:rPr>
            </w:pPr>
            <w:hyperlink r:id="rId16" w:tooltip="Cyanophyceae" w:history="1">
              <w:r w:rsidR="006E5B68" w:rsidRPr="0066543C">
                <w:rPr>
                  <w:rStyle w:val="Hyperlink"/>
                  <w:rFonts w:ascii="Arial" w:hAnsi="Arial" w:cs="Arial"/>
                  <w:color w:val="000000" w:themeColor="text1"/>
                  <w:sz w:val="20"/>
                  <w:szCs w:val="20"/>
                </w:rPr>
                <w:t>Cyanophyceae</w:t>
              </w:r>
            </w:hyperlink>
          </w:p>
        </w:tc>
      </w:tr>
      <w:tr w:rsidR="00333F22" w:rsidRPr="0066543C" w14:paraId="7879BB54" w14:textId="77777777">
        <w:trPr>
          <w:jc w:val="center"/>
        </w:trPr>
        <w:tc>
          <w:tcPr>
            <w:tcW w:w="1555" w:type="dxa"/>
          </w:tcPr>
          <w:p w14:paraId="6039C077" w14:textId="472428EC" w:rsidR="006E5B68" w:rsidRPr="0066543C" w:rsidRDefault="006939F7">
            <w:pPr>
              <w:rPr>
                <w:rFonts w:ascii="Arial" w:hAnsi="Arial" w:cs="Arial"/>
                <w:color w:val="000000" w:themeColor="text1"/>
                <w:sz w:val="20"/>
                <w:szCs w:val="20"/>
              </w:rPr>
            </w:pPr>
            <w:r w:rsidRPr="0066543C">
              <w:rPr>
                <w:rFonts w:ascii="Arial" w:hAnsi="Arial" w:cs="Arial"/>
                <w:color w:val="000000" w:themeColor="text1"/>
                <w:sz w:val="20"/>
                <w:szCs w:val="20"/>
              </w:rPr>
              <w:t>Order</w:t>
            </w:r>
          </w:p>
        </w:tc>
        <w:tc>
          <w:tcPr>
            <w:tcW w:w="2268" w:type="dxa"/>
          </w:tcPr>
          <w:p w14:paraId="229991C3" w14:textId="77777777" w:rsidR="006E5B68" w:rsidRPr="0066543C" w:rsidRDefault="00000000">
            <w:pPr>
              <w:rPr>
                <w:rFonts w:ascii="Arial" w:hAnsi="Arial" w:cs="Arial"/>
                <w:color w:val="000000" w:themeColor="text1"/>
                <w:sz w:val="20"/>
                <w:szCs w:val="20"/>
              </w:rPr>
            </w:pPr>
            <w:hyperlink r:id="rId17" w:tooltip="Synechococcales" w:history="1">
              <w:r w:rsidR="006E5B68" w:rsidRPr="0066543C">
                <w:rPr>
                  <w:rStyle w:val="Hyperlink"/>
                  <w:rFonts w:ascii="Arial" w:hAnsi="Arial" w:cs="Arial"/>
                  <w:color w:val="000000" w:themeColor="text1"/>
                  <w:sz w:val="20"/>
                  <w:szCs w:val="20"/>
                </w:rPr>
                <w:t>Synechococcales</w:t>
              </w:r>
            </w:hyperlink>
          </w:p>
        </w:tc>
      </w:tr>
      <w:tr w:rsidR="00333F22" w:rsidRPr="0066543C" w14:paraId="336DBE50" w14:textId="77777777">
        <w:trPr>
          <w:jc w:val="center"/>
        </w:trPr>
        <w:tc>
          <w:tcPr>
            <w:tcW w:w="1555" w:type="dxa"/>
          </w:tcPr>
          <w:p w14:paraId="71148F62" w14:textId="2E87E845" w:rsidR="006E5B68" w:rsidRPr="0066543C" w:rsidRDefault="006939F7">
            <w:pPr>
              <w:rPr>
                <w:rFonts w:ascii="Arial" w:hAnsi="Arial" w:cs="Arial"/>
                <w:color w:val="000000" w:themeColor="text1"/>
                <w:sz w:val="20"/>
                <w:szCs w:val="20"/>
              </w:rPr>
            </w:pPr>
            <w:r w:rsidRPr="0066543C">
              <w:rPr>
                <w:rFonts w:ascii="Arial" w:hAnsi="Arial" w:cs="Arial"/>
                <w:color w:val="000000" w:themeColor="text1"/>
                <w:sz w:val="20"/>
                <w:szCs w:val="20"/>
              </w:rPr>
              <w:t>Family</w:t>
            </w:r>
          </w:p>
        </w:tc>
        <w:tc>
          <w:tcPr>
            <w:tcW w:w="2268" w:type="dxa"/>
          </w:tcPr>
          <w:p w14:paraId="3CCD84D5" w14:textId="078E7FE9" w:rsidR="006E5B68" w:rsidRPr="0066543C" w:rsidRDefault="00000000">
            <w:pPr>
              <w:rPr>
                <w:rFonts w:ascii="Arial" w:hAnsi="Arial" w:cs="Arial"/>
                <w:color w:val="000000" w:themeColor="text1"/>
                <w:sz w:val="20"/>
                <w:szCs w:val="20"/>
              </w:rPr>
            </w:pPr>
            <w:hyperlink r:id="rId18" w:tooltip="Leptolyngbyaceae" w:history="1">
              <w:r w:rsidR="002E75B6" w:rsidRPr="0066543C">
                <w:rPr>
                  <w:rStyle w:val="Hyperlink"/>
                  <w:rFonts w:ascii="Arial" w:hAnsi="Arial" w:cs="Arial"/>
                  <w:color w:val="000000" w:themeColor="text1"/>
                  <w:sz w:val="20"/>
                  <w:szCs w:val="20"/>
                </w:rPr>
                <w:t>Leptolyngbyaceae</w:t>
              </w:r>
            </w:hyperlink>
          </w:p>
        </w:tc>
      </w:tr>
      <w:tr w:rsidR="00333F22" w:rsidRPr="0066543C" w14:paraId="3972E77C" w14:textId="77777777">
        <w:trPr>
          <w:jc w:val="center"/>
        </w:trPr>
        <w:tc>
          <w:tcPr>
            <w:tcW w:w="1555" w:type="dxa"/>
          </w:tcPr>
          <w:p w14:paraId="142AE239" w14:textId="0CA5B3FF" w:rsidR="006E5B68" w:rsidRPr="0066543C" w:rsidRDefault="004A1863">
            <w:pPr>
              <w:rPr>
                <w:rFonts w:ascii="Arial" w:hAnsi="Arial" w:cs="Arial"/>
                <w:color w:val="000000" w:themeColor="text1"/>
                <w:sz w:val="20"/>
                <w:szCs w:val="20"/>
              </w:rPr>
            </w:pPr>
            <w:r w:rsidRPr="0066543C">
              <w:rPr>
                <w:rFonts w:ascii="Arial" w:hAnsi="Arial" w:cs="Arial"/>
                <w:color w:val="000000" w:themeColor="text1"/>
                <w:sz w:val="20"/>
                <w:szCs w:val="20"/>
              </w:rPr>
              <w:t>GENUS</w:t>
            </w:r>
          </w:p>
        </w:tc>
        <w:tc>
          <w:tcPr>
            <w:tcW w:w="2268" w:type="dxa"/>
          </w:tcPr>
          <w:p w14:paraId="4C357268" w14:textId="5C41CF0F" w:rsidR="006E5B68" w:rsidRPr="0066543C" w:rsidRDefault="004A1863">
            <w:pPr>
              <w:rPr>
                <w:rFonts w:ascii="Arial" w:hAnsi="Arial" w:cs="Arial"/>
                <w:color w:val="000000" w:themeColor="text1"/>
                <w:sz w:val="20"/>
                <w:szCs w:val="20"/>
              </w:rPr>
            </w:pPr>
            <w:r w:rsidRPr="0066543C">
              <w:rPr>
                <w:rFonts w:ascii="Arial" w:hAnsi="Arial" w:cs="Arial"/>
                <w:i/>
                <w:iCs/>
                <w:color w:val="000000" w:themeColor="text1"/>
                <w:sz w:val="20"/>
                <w:szCs w:val="20"/>
              </w:rPr>
              <w:t>LEPTOLYNGBYA</w:t>
            </w:r>
          </w:p>
        </w:tc>
      </w:tr>
      <w:tr w:rsidR="00333F22" w:rsidRPr="0066543C" w14:paraId="01598A9F" w14:textId="77777777">
        <w:trPr>
          <w:jc w:val="center"/>
        </w:trPr>
        <w:tc>
          <w:tcPr>
            <w:tcW w:w="1555" w:type="dxa"/>
          </w:tcPr>
          <w:p w14:paraId="6D3E9FB3" w14:textId="7C495B29" w:rsidR="002E75B6" w:rsidRPr="0066543C" w:rsidRDefault="006939F7">
            <w:pPr>
              <w:rPr>
                <w:rFonts w:ascii="Arial" w:hAnsi="Arial" w:cs="Arial"/>
                <w:color w:val="000000" w:themeColor="text1"/>
                <w:sz w:val="20"/>
                <w:szCs w:val="20"/>
              </w:rPr>
            </w:pPr>
            <w:r w:rsidRPr="0066543C">
              <w:rPr>
                <w:rFonts w:ascii="Arial" w:hAnsi="Arial" w:cs="Arial"/>
                <w:color w:val="000000" w:themeColor="text1"/>
                <w:sz w:val="20"/>
                <w:szCs w:val="20"/>
              </w:rPr>
              <w:t>Species</w:t>
            </w:r>
          </w:p>
        </w:tc>
        <w:tc>
          <w:tcPr>
            <w:tcW w:w="2268" w:type="dxa"/>
          </w:tcPr>
          <w:p w14:paraId="168181B4" w14:textId="4FF00A56" w:rsidR="002E75B6" w:rsidRPr="0066543C" w:rsidRDefault="002E75B6">
            <w:pPr>
              <w:rPr>
                <w:rFonts w:ascii="Arial" w:hAnsi="Arial" w:cs="Arial"/>
                <w:i/>
                <w:iCs/>
                <w:color w:val="000000" w:themeColor="text1"/>
                <w:sz w:val="20"/>
                <w:szCs w:val="20"/>
              </w:rPr>
            </w:pPr>
            <w:r w:rsidRPr="0066543C">
              <w:rPr>
                <w:rFonts w:ascii="Arial" w:hAnsi="Arial" w:cs="Arial"/>
                <w:i/>
                <w:iCs/>
                <w:color w:val="000000" w:themeColor="text1"/>
                <w:sz w:val="20"/>
                <w:szCs w:val="20"/>
              </w:rPr>
              <w:t>Leptolyngbya sp.</w:t>
            </w:r>
          </w:p>
        </w:tc>
      </w:tr>
    </w:tbl>
    <w:p w14:paraId="08274283" w14:textId="7911CCF2" w:rsidR="006E5B68" w:rsidRPr="0066543C" w:rsidRDefault="006E5B68" w:rsidP="006E5B68">
      <w:pPr>
        <w:spacing w:line="360" w:lineRule="auto"/>
        <w:jc w:val="both"/>
        <w:rPr>
          <w:rFonts w:ascii="Arial" w:hAnsi="Arial" w:cs="Arial"/>
          <w:b/>
          <w:bCs/>
          <w:color w:val="000000" w:themeColor="text1"/>
          <w:sz w:val="20"/>
          <w:szCs w:val="20"/>
        </w:rPr>
      </w:pPr>
      <w:r w:rsidRPr="0066543C">
        <w:rPr>
          <w:rFonts w:ascii="Arial" w:hAnsi="Arial" w:cs="Arial"/>
          <w:b/>
          <w:bCs/>
          <w:i/>
          <w:iCs/>
          <w:color w:val="000000" w:themeColor="text1"/>
          <w:sz w:val="20"/>
          <w:szCs w:val="20"/>
        </w:rPr>
        <w:t>.</w:t>
      </w:r>
    </w:p>
    <w:p w14:paraId="165B9654" w14:textId="7C21E347" w:rsidR="00972B2B" w:rsidRPr="0066543C" w:rsidRDefault="004A1863" w:rsidP="00972B2B">
      <w:pPr>
        <w:rPr>
          <w:rFonts w:ascii="Arial" w:hAnsi="Arial" w:cs="Arial"/>
          <w:b/>
          <w:bCs/>
          <w:color w:val="000000" w:themeColor="text1"/>
        </w:rPr>
      </w:pPr>
      <w:r w:rsidRPr="0066543C">
        <w:rPr>
          <w:rFonts w:ascii="Arial" w:hAnsi="Arial" w:cs="Arial"/>
          <w:b/>
          <w:bCs/>
          <w:color w:val="000000" w:themeColor="text1"/>
        </w:rPr>
        <w:t>CHLORPYRIFOS DEGRADATION</w:t>
      </w:r>
    </w:p>
    <w:p w14:paraId="52A2E4D7" w14:textId="42A3C84F" w:rsidR="00972B2B" w:rsidRPr="0066543C" w:rsidRDefault="00972B2B" w:rsidP="00972B2B">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The cyanobacterial isolates exhibited a significant ability to degrade chlorpyrifos under laboratory conditions. Inoculated cultures </w:t>
      </w:r>
      <w:r w:rsidR="007F5DD7" w:rsidRPr="0066543C">
        <w:rPr>
          <w:rFonts w:ascii="Arial" w:hAnsi="Arial" w:cs="Arial"/>
          <w:color w:val="000000" w:themeColor="text1"/>
          <w:sz w:val="20"/>
          <w:szCs w:val="20"/>
        </w:rPr>
        <w:t>showed</w:t>
      </w:r>
      <w:r w:rsidRPr="0066543C">
        <w:rPr>
          <w:rFonts w:ascii="Arial" w:hAnsi="Arial" w:cs="Arial"/>
          <w:color w:val="000000" w:themeColor="text1"/>
          <w:sz w:val="20"/>
          <w:szCs w:val="20"/>
        </w:rPr>
        <w:t xml:space="preserve"> a gradual reduction in pesticide concentration compared to the uninoculated control. Within 20 days of incubation, more than </w:t>
      </w:r>
      <w:r w:rsidR="00DB4D30" w:rsidRPr="0066543C">
        <w:rPr>
          <w:rFonts w:ascii="Arial" w:hAnsi="Arial" w:cs="Arial"/>
          <w:color w:val="000000" w:themeColor="text1"/>
          <w:sz w:val="20"/>
          <w:szCs w:val="20"/>
        </w:rPr>
        <w:t>8</w:t>
      </w:r>
      <w:r w:rsidRPr="0066543C">
        <w:rPr>
          <w:rFonts w:ascii="Arial" w:hAnsi="Arial" w:cs="Arial"/>
          <w:color w:val="000000" w:themeColor="text1"/>
          <w:sz w:val="20"/>
          <w:szCs w:val="20"/>
        </w:rPr>
        <w:t>5% degradation of chlorpyrifos was observed in treated samples, while only minimal degradation occurred in the control.</w:t>
      </w:r>
    </w:p>
    <w:p w14:paraId="2B4537C5" w14:textId="19794C79" w:rsidR="001876DD" w:rsidRPr="001876DD" w:rsidRDefault="00972B2B" w:rsidP="001876DD">
      <w:pPr>
        <w:spacing w:line="360" w:lineRule="auto"/>
        <w:jc w:val="both"/>
        <w:rPr>
          <w:rFonts w:ascii="Arial" w:hAnsi="Arial" w:cs="Arial"/>
          <w:b/>
          <w:bCs/>
          <w:i/>
          <w:iCs/>
          <w:color w:val="000000" w:themeColor="text1"/>
          <w:sz w:val="20"/>
          <w:szCs w:val="20"/>
        </w:rPr>
      </w:pPr>
      <w:r w:rsidRPr="0066543C">
        <w:rPr>
          <w:rFonts w:ascii="Arial" w:hAnsi="Arial" w:cs="Arial"/>
          <w:color w:val="000000" w:themeColor="text1"/>
          <w:sz w:val="20"/>
          <w:szCs w:val="20"/>
        </w:rPr>
        <w:t xml:space="preserve">Cyanobacterium </w:t>
      </w:r>
      <w:r w:rsidRPr="0066543C">
        <w:rPr>
          <w:rFonts w:ascii="Arial" w:hAnsi="Arial" w:cs="Arial"/>
          <w:i/>
          <w:iCs/>
          <w:color w:val="000000" w:themeColor="text1"/>
          <w:sz w:val="20"/>
          <w:szCs w:val="20"/>
        </w:rPr>
        <w:t xml:space="preserve">Leptolyngbya sp. </w:t>
      </w:r>
      <w:r w:rsidRPr="0066543C">
        <w:rPr>
          <w:rFonts w:ascii="Arial" w:hAnsi="Arial" w:cs="Arial"/>
          <w:color w:val="000000" w:themeColor="text1"/>
          <w:sz w:val="20"/>
          <w:szCs w:val="20"/>
        </w:rPr>
        <w:t>demonstrated the highest degradation efficiency, achieving near-complete breakdown of the pesticide within the experimental period. Growth analysis revealed that the cyanobacterial biomass increased in pesticide-amended media, indicating a possible utilization of chlorpyrifos and/or its hydrolytic products as nutrient sources</w:t>
      </w:r>
      <w:r w:rsidR="0071397E">
        <w:rPr>
          <w:rFonts w:ascii="Arial" w:hAnsi="Arial" w:cs="Arial"/>
          <w:color w:val="000000" w:themeColor="text1"/>
          <w:sz w:val="20"/>
          <w:szCs w:val="20"/>
        </w:rPr>
        <w:t xml:space="preserve"> (</w:t>
      </w:r>
      <w:r w:rsidR="00994C6A">
        <w:rPr>
          <w:rFonts w:ascii="Arial" w:hAnsi="Arial" w:cs="Arial"/>
          <w:color w:val="000000" w:themeColor="text1"/>
          <w:sz w:val="20"/>
          <w:szCs w:val="20"/>
        </w:rPr>
        <w:t xml:space="preserve">Sun et al., 2015; </w:t>
      </w:r>
      <w:r w:rsidR="0071397E">
        <w:rPr>
          <w:rFonts w:ascii="Arial" w:hAnsi="Arial" w:cs="Arial"/>
          <w:color w:val="000000" w:themeColor="text1"/>
          <w:sz w:val="20"/>
          <w:szCs w:val="20"/>
        </w:rPr>
        <w:t>Mali et al., 2022</w:t>
      </w:r>
      <w:r w:rsidR="001E5527">
        <w:rPr>
          <w:rFonts w:ascii="Arial" w:hAnsi="Arial" w:cs="Arial"/>
          <w:color w:val="000000" w:themeColor="text1"/>
          <w:sz w:val="20"/>
          <w:szCs w:val="20"/>
        </w:rPr>
        <w:t xml:space="preserve">; </w:t>
      </w:r>
      <w:r w:rsidR="001E5527" w:rsidRPr="001E5527">
        <w:rPr>
          <w:rFonts w:ascii="Arial" w:eastAsia="Times New Roman" w:hAnsi="Arial" w:cs="Arial"/>
          <w:kern w:val="0"/>
          <w:sz w:val="20"/>
          <w:szCs w:val="20"/>
          <w:lang w:eastAsia="en-IN"/>
          <w14:ligatures w14:val="none"/>
        </w:rPr>
        <w:t>Tat, T. Q.</w:t>
      </w:r>
      <w:r w:rsidR="001E5527">
        <w:rPr>
          <w:rFonts w:ascii="Arial" w:eastAsia="Times New Roman" w:hAnsi="Arial" w:cs="Arial"/>
          <w:kern w:val="0"/>
          <w:sz w:val="20"/>
          <w:szCs w:val="20"/>
          <w:lang w:eastAsia="en-IN"/>
          <w14:ligatures w14:val="none"/>
        </w:rPr>
        <w:t xml:space="preserve">, </w:t>
      </w:r>
      <w:r w:rsidR="001E5527" w:rsidRPr="001E5527">
        <w:rPr>
          <w:rFonts w:ascii="Arial" w:eastAsia="Times New Roman" w:hAnsi="Arial" w:cs="Arial"/>
          <w:kern w:val="0"/>
          <w:sz w:val="20"/>
          <w:szCs w:val="20"/>
          <w:lang w:eastAsia="en-IN"/>
          <w14:ligatures w14:val="none"/>
        </w:rPr>
        <w:t>2024</w:t>
      </w:r>
      <w:r w:rsidR="0071397E">
        <w:rPr>
          <w:rFonts w:ascii="Arial" w:hAnsi="Arial" w:cs="Arial"/>
          <w:color w:val="000000" w:themeColor="text1"/>
          <w:sz w:val="20"/>
          <w:szCs w:val="20"/>
        </w:rPr>
        <w:t>).</w:t>
      </w:r>
    </w:p>
    <w:p w14:paraId="5C54AC20" w14:textId="6C5AFA29" w:rsidR="00972B2B" w:rsidRDefault="001876DD" w:rsidP="00972B2B">
      <w:pPr>
        <w:tabs>
          <w:tab w:val="left" w:pos="6636"/>
        </w:tabs>
        <w:rPr>
          <w:rFonts w:ascii="Arial" w:hAnsi="Arial" w:cs="Arial"/>
          <w:b/>
          <w:bCs/>
          <w:sz w:val="20"/>
          <w:szCs w:val="20"/>
        </w:rPr>
      </w:pPr>
      <w:r>
        <w:rPr>
          <w:noProof/>
        </w:rPr>
        <w:drawing>
          <wp:inline distT="0" distB="0" distL="0" distR="0" wp14:anchorId="793BDE84" wp14:editId="0A8501C4">
            <wp:extent cx="5731510" cy="3223895"/>
            <wp:effectExtent l="0" t="0" r="2540" b="0"/>
            <wp:docPr id="18141731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10145"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31510" cy="3223895"/>
                    </a:xfrm>
                    <a:prstGeom prst="rect">
                      <a:avLst/>
                    </a:prstGeom>
                  </pic:spPr>
                </pic:pic>
              </a:graphicData>
            </a:graphic>
          </wp:inline>
        </w:drawing>
      </w:r>
      <w:r w:rsidR="00972B2B" w:rsidRPr="0066543C">
        <w:rPr>
          <w:rFonts w:ascii="Arial" w:hAnsi="Arial" w:cs="Arial"/>
          <w:b/>
          <w:bCs/>
          <w:sz w:val="20"/>
          <w:szCs w:val="20"/>
        </w:rPr>
        <w:t xml:space="preserve">Figure </w:t>
      </w:r>
      <w:r w:rsidR="00E3244A">
        <w:rPr>
          <w:rFonts w:ascii="Arial" w:hAnsi="Arial" w:cs="Arial"/>
          <w:b/>
          <w:bCs/>
          <w:sz w:val="20"/>
          <w:szCs w:val="20"/>
        </w:rPr>
        <w:t>2</w:t>
      </w:r>
      <w:r w:rsidR="00972B2B" w:rsidRPr="0066543C">
        <w:rPr>
          <w:rFonts w:ascii="Arial" w:hAnsi="Arial" w:cs="Arial"/>
          <w:b/>
          <w:bCs/>
          <w:sz w:val="20"/>
          <w:szCs w:val="20"/>
        </w:rPr>
        <w:t xml:space="preserve">: Degradation </w:t>
      </w:r>
      <w:r w:rsidR="00CE4601">
        <w:rPr>
          <w:rFonts w:ascii="Arial" w:hAnsi="Arial" w:cs="Arial"/>
          <w:b/>
          <w:bCs/>
          <w:sz w:val="20"/>
          <w:szCs w:val="20"/>
        </w:rPr>
        <w:t xml:space="preserve">study </w:t>
      </w:r>
      <w:r w:rsidR="00972B2B" w:rsidRPr="0066543C">
        <w:rPr>
          <w:rFonts w:ascii="Arial" w:hAnsi="Arial" w:cs="Arial"/>
          <w:b/>
          <w:bCs/>
          <w:sz w:val="20"/>
          <w:szCs w:val="20"/>
        </w:rPr>
        <w:t>of chlorpyrifos</w:t>
      </w:r>
      <w:r w:rsidR="00CE4601">
        <w:rPr>
          <w:rFonts w:ascii="Arial" w:hAnsi="Arial" w:cs="Arial"/>
          <w:b/>
          <w:bCs/>
          <w:sz w:val="20"/>
          <w:szCs w:val="20"/>
        </w:rPr>
        <w:t xml:space="preserve"> by </w:t>
      </w:r>
      <w:r w:rsidR="00CE4601" w:rsidRPr="00CE4601">
        <w:rPr>
          <w:rFonts w:ascii="Arial" w:hAnsi="Arial" w:cs="Arial"/>
          <w:b/>
          <w:bCs/>
          <w:i/>
          <w:iCs/>
          <w:sz w:val="20"/>
          <w:szCs w:val="20"/>
        </w:rPr>
        <w:t>Leptolyngbya sp.</w:t>
      </w:r>
      <w:r w:rsidR="00972B2B" w:rsidRPr="0066543C">
        <w:rPr>
          <w:rFonts w:ascii="Arial" w:hAnsi="Arial" w:cs="Arial"/>
          <w:b/>
          <w:bCs/>
          <w:sz w:val="20"/>
          <w:szCs w:val="20"/>
        </w:rPr>
        <w:t xml:space="preserve"> </w:t>
      </w:r>
      <w:r w:rsidR="00CE4601">
        <w:rPr>
          <w:rFonts w:ascii="Arial" w:hAnsi="Arial" w:cs="Arial"/>
          <w:b/>
          <w:bCs/>
          <w:sz w:val="20"/>
          <w:szCs w:val="20"/>
        </w:rPr>
        <w:t xml:space="preserve">at different concentrations of chlorpyrifos </w:t>
      </w:r>
      <w:r w:rsidR="00CE4601" w:rsidRPr="0066543C">
        <w:rPr>
          <w:rFonts w:ascii="Arial" w:hAnsi="Arial" w:cs="Arial"/>
          <w:b/>
          <w:bCs/>
          <w:sz w:val="20"/>
          <w:szCs w:val="20"/>
        </w:rPr>
        <w:t>upt</w:t>
      </w:r>
      <w:r w:rsidR="00CE4601">
        <w:rPr>
          <w:rFonts w:ascii="Arial" w:hAnsi="Arial" w:cs="Arial"/>
          <w:b/>
          <w:bCs/>
          <w:sz w:val="20"/>
          <w:szCs w:val="20"/>
        </w:rPr>
        <w:t>o</w:t>
      </w:r>
      <w:r w:rsidR="00CE4601" w:rsidRPr="0066543C">
        <w:rPr>
          <w:rFonts w:ascii="Arial" w:hAnsi="Arial" w:cs="Arial"/>
          <w:b/>
          <w:bCs/>
          <w:sz w:val="20"/>
          <w:szCs w:val="20"/>
        </w:rPr>
        <w:t xml:space="preserve"> </w:t>
      </w:r>
      <w:r w:rsidR="00CE4601">
        <w:rPr>
          <w:rFonts w:ascii="Arial" w:hAnsi="Arial" w:cs="Arial"/>
          <w:b/>
          <w:bCs/>
          <w:sz w:val="20"/>
          <w:szCs w:val="20"/>
        </w:rPr>
        <w:t>20</w:t>
      </w:r>
      <w:r w:rsidR="00CE4601" w:rsidRPr="0066543C">
        <w:rPr>
          <w:rFonts w:ascii="Arial" w:hAnsi="Arial" w:cs="Arial"/>
          <w:b/>
          <w:bCs/>
          <w:sz w:val="20"/>
          <w:szCs w:val="20"/>
        </w:rPr>
        <w:t xml:space="preserve"> days</w:t>
      </w:r>
    </w:p>
    <w:p w14:paraId="375C4222" w14:textId="618FD8A9" w:rsidR="00972B2B" w:rsidRPr="00F9709E" w:rsidRDefault="00F9709E" w:rsidP="00F9709E">
      <w:pPr>
        <w:tabs>
          <w:tab w:val="left" w:pos="6636"/>
        </w:tabs>
        <w:jc w:val="center"/>
        <w:rPr>
          <w:rFonts w:ascii="Arial" w:hAnsi="Arial" w:cs="Arial"/>
          <w:b/>
          <w:bCs/>
          <w:sz w:val="20"/>
          <w:szCs w:val="20"/>
        </w:rPr>
      </w:pPr>
      <w:r w:rsidRPr="00F9709E">
        <w:rPr>
          <w:rFonts w:ascii="Arial" w:hAnsi="Arial" w:cs="Arial"/>
          <w:b/>
          <w:bCs/>
          <w:noProof/>
          <w:sz w:val="20"/>
          <w:szCs w:val="20"/>
          <w:lang w:eastAsia="en-IN"/>
        </w:rPr>
        <w:lastRenderedPageBreak/>
        <w:drawing>
          <wp:inline distT="0" distB="0" distL="0" distR="0" wp14:anchorId="04EE5359" wp14:editId="2C0F8737">
            <wp:extent cx="4572000" cy="2743200"/>
            <wp:effectExtent l="0" t="0" r="3810" b="0"/>
            <wp:docPr id="1113984530" name="Chart 1">
              <a:extLst xmlns:a="http://schemas.openxmlformats.org/drawingml/2006/main">
                <a:ext uri="{FF2B5EF4-FFF2-40B4-BE49-F238E27FC236}">
                  <a16:creationId xmlns:a16="http://schemas.microsoft.com/office/drawing/2014/main" id="{2E414EF0-7744-0552-817F-70B24EE836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961EB84" w14:textId="44B98C18" w:rsidR="00972B2B" w:rsidRPr="0066543C" w:rsidRDefault="00972B2B" w:rsidP="00972B2B">
      <w:pPr>
        <w:spacing w:line="360" w:lineRule="auto"/>
        <w:jc w:val="both"/>
        <w:rPr>
          <w:rFonts w:ascii="Arial" w:hAnsi="Arial" w:cs="Arial"/>
          <w:b/>
          <w:bCs/>
          <w:color w:val="EE0000"/>
          <w:sz w:val="20"/>
          <w:szCs w:val="20"/>
        </w:rPr>
      </w:pPr>
      <w:r w:rsidRPr="0066543C">
        <w:rPr>
          <w:rFonts w:ascii="Arial" w:hAnsi="Arial" w:cs="Arial"/>
          <w:b/>
          <w:bCs/>
          <w:sz w:val="20"/>
          <w:szCs w:val="20"/>
        </w:rPr>
        <w:t xml:space="preserve">Figure </w:t>
      </w:r>
      <w:r w:rsidR="00E3244A">
        <w:rPr>
          <w:rFonts w:ascii="Arial" w:hAnsi="Arial" w:cs="Arial"/>
          <w:b/>
          <w:bCs/>
          <w:sz w:val="20"/>
          <w:szCs w:val="20"/>
        </w:rPr>
        <w:t>3</w:t>
      </w:r>
      <w:r w:rsidRPr="0066543C">
        <w:rPr>
          <w:rFonts w:ascii="Arial" w:hAnsi="Arial" w:cs="Arial"/>
          <w:sz w:val="20"/>
          <w:szCs w:val="20"/>
        </w:rPr>
        <w:t xml:space="preserve">:  </w:t>
      </w:r>
      <w:r w:rsidRPr="0066543C">
        <w:rPr>
          <w:rFonts w:ascii="Arial" w:hAnsi="Arial" w:cs="Arial"/>
          <w:b/>
          <w:bCs/>
          <w:sz w:val="20"/>
          <w:szCs w:val="20"/>
        </w:rPr>
        <w:t xml:space="preserve">Graphical representation of chlorpyrifos degradation by </w:t>
      </w:r>
      <w:r w:rsidRPr="0066543C">
        <w:rPr>
          <w:rFonts w:ascii="Arial" w:hAnsi="Arial" w:cs="Arial"/>
          <w:b/>
          <w:bCs/>
          <w:i/>
          <w:iCs/>
          <w:sz w:val="20"/>
          <w:szCs w:val="20"/>
        </w:rPr>
        <w:t>Leptolyngbya sp.</w:t>
      </w:r>
      <w:r w:rsidRPr="0066543C">
        <w:rPr>
          <w:rFonts w:ascii="Arial" w:hAnsi="Arial" w:cs="Arial"/>
          <w:b/>
          <w:bCs/>
          <w:sz w:val="20"/>
          <w:szCs w:val="20"/>
        </w:rPr>
        <w:t xml:space="preserve"> </w:t>
      </w:r>
      <w:r w:rsidR="00C870D9">
        <w:rPr>
          <w:rFonts w:ascii="Arial" w:hAnsi="Arial" w:cs="Arial"/>
          <w:b/>
          <w:bCs/>
          <w:sz w:val="20"/>
          <w:szCs w:val="20"/>
        </w:rPr>
        <w:t>at different concentration of chlorpyrifos</w:t>
      </w:r>
    </w:p>
    <w:p w14:paraId="1248BD8A" w14:textId="77777777" w:rsidR="002B612D" w:rsidRPr="0066543C" w:rsidRDefault="002B612D" w:rsidP="00E20DF9">
      <w:pPr>
        <w:rPr>
          <w:rFonts w:ascii="Arial" w:hAnsi="Arial" w:cs="Arial"/>
          <w:color w:val="000000" w:themeColor="text1"/>
          <w:sz w:val="24"/>
          <w:szCs w:val="24"/>
        </w:rPr>
      </w:pPr>
    </w:p>
    <w:p w14:paraId="2058DD71" w14:textId="4917F191" w:rsidR="00E20DF9" w:rsidRPr="0066543C" w:rsidRDefault="004A1863" w:rsidP="00E20DF9">
      <w:pPr>
        <w:rPr>
          <w:rFonts w:ascii="Arial" w:hAnsi="Arial" w:cs="Arial"/>
          <w:b/>
          <w:bCs/>
          <w:color w:val="000000" w:themeColor="text1"/>
        </w:rPr>
      </w:pPr>
      <w:r w:rsidRPr="0066543C">
        <w:rPr>
          <w:rFonts w:ascii="Arial" w:hAnsi="Arial" w:cs="Arial"/>
          <w:b/>
          <w:bCs/>
          <w:color w:val="000000" w:themeColor="text1"/>
        </w:rPr>
        <w:t>SCREENING OF PGPR FOR PLANT GROWTH-PROMOTING ACTIVITIES</w:t>
      </w:r>
    </w:p>
    <w:p w14:paraId="5FA9DA63" w14:textId="7AE85986" w:rsidR="00E20DF9" w:rsidRDefault="004A1863" w:rsidP="00E20DF9">
      <w:pPr>
        <w:rPr>
          <w:rFonts w:ascii="Arial" w:hAnsi="Arial" w:cs="Arial"/>
          <w:b/>
          <w:bCs/>
          <w:color w:val="000000" w:themeColor="text1"/>
        </w:rPr>
      </w:pPr>
      <w:r w:rsidRPr="0066543C">
        <w:rPr>
          <w:rFonts w:ascii="Arial" w:hAnsi="Arial" w:cs="Arial"/>
          <w:b/>
          <w:bCs/>
          <w:color w:val="000000" w:themeColor="text1"/>
        </w:rPr>
        <w:t>INDOLE ACETIC ACID PRODUCTION</w:t>
      </w:r>
    </w:p>
    <w:p w14:paraId="3B538FBA" w14:textId="6C56A25D" w:rsidR="00763855" w:rsidRDefault="00763855" w:rsidP="00E20DF9">
      <w:pPr>
        <w:rPr>
          <w:rFonts w:ascii="Arial" w:hAnsi="Arial" w:cs="Arial"/>
          <w:b/>
          <w:bCs/>
          <w:color w:val="000000" w:themeColor="text1"/>
        </w:rPr>
      </w:pPr>
      <w:r w:rsidRPr="00763855">
        <w:rPr>
          <w:rFonts w:ascii="Arial" w:hAnsi="Arial" w:cs="Arial"/>
          <w:b/>
          <w:bCs/>
          <w:color w:val="000000" w:themeColor="text1"/>
        </w:rPr>
        <w:t>The values are expressed as mean ± standard deviation (SD), where the mean represents the average IAA concentration obtained from replicate measurements</w:t>
      </w:r>
    </w:p>
    <w:p w14:paraId="20B89286" w14:textId="5799BEF3" w:rsidR="00B87BCA" w:rsidRPr="0066543C" w:rsidRDefault="00E8513B" w:rsidP="00B87BCA">
      <w:pPr>
        <w:spacing w:line="360" w:lineRule="auto"/>
        <w:jc w:val="both"/>
        <w:rPr>
          <w:rFonts w:ascii="Arial" w:hAnsi="Arial" w:cs="Arial"/>
          <w:b/>
          <w:bCs/>
          <w:i/>
          <w:iCs/>
          <w:color w:val="000000" w:themeColor="text1"/>
          <w:sz w:val="20"/>
          <w:szCs w:val="20"/>
        </w:rPr>
      </w:pPr>
      <w:r w:rsidRPr="0066230D">
        <w:rPr>
          <w:rFonts w:ascii="Arial" w:hAnsi="Arial" w:cs="Arial"/>
          <w:i/>
          <w:iCs/>
          <w:color w:val="000000" w:themeColor="text1"/>
          <w:sz w:val="20"/>
          <w:szCs w:val="20"/>
          <w:highlight w:val="yellow"/>
        </w:rPr>
        <w:t>Leptolyngbya sp.</w:t>
      </w:r>
      <w:r w:rsidR="00B87BCA" w:rsidRPr="0066230D">
        <w:rPr>
          <w:rFonts w:ascii="Arial" w:hAnsi="Arial" w:cs="Arial"/>
          <w:color w:val="000000" w:themeColor="text1"/>
          <w:sz w:val="20"/>
          <w:szCs w:val="20"/>
          <w:highlight w:val="yellow"/>
        </w:rPr>
        <w:t xml:space="preserve"> tested in this study </w:t>
      </w:r>
      <w:r w:rsidRPr="0066230D">
        <w:rPr>
          <w:rFonts w:ascii="Arial" w:hAnsi="Arial" w:cs="Arial"/>
          <w:color w:val="000000" w:themeColor="text1"/>
          <w:sz w:val="20"/>
          <w:szCs w:val="20"/>
          <w:highlight w:val="yellow"/>
        </w:rPr>
        <w:t>exhibited</w:t>
      </w:r>
      <w:r w:rsidR="00B87BCA" w:rsidRPr="0066230D">
        <w:rPr>
          <w:rFonts w:ascii="Arial" w:hAnsi="Arial" w:cs="Arial"/>
          <w:color w:val="000000" w:themeColor="text1"/>
          <w:sz w:val="20"/>
          <w:szCs w:val="20"/>
          <w:highlight w:val="yellow"/>
        </w:rPr>
        <w:t xml:space="preserve"> positive results for indole-3-acetic </w:t>
      </w:r>
      <w:r w:rsidR="00C96C2D" w:rsidRPr="0066230D">
        <w:rPr>
          <w:rFonts w:ascii="Arial" w:hAnsi="Arial" w:cs="Arial"/>
          <w:color w:val="000000" w:themeColor="text1"/>
          <w:sz w:val="20"/>
          <w:szCs w:val="20"/>
          <w:highlight w:val="yellow"/>
        </w:rPr>
        <w:t>acid production</w:t>
      </w:r>
      <w:r w:rsidR="00B249EF" w:rsidRPr="0066230D">
        <w:rPr>
          <w:rFonts w:ascii="Arial" w:hAnsi="Arial" w:cs="Arial"/>
          <w:color w:val="000000" w:themeColor="text1"/>
          <w:sz w:val="20"/>
          <w:szCs w:val="20"/>
          <w:highlight w:val="yellow"/>
        </w:rPr>
        <w:t xml:space="preserve"> (IAA)</w:t>
      </w:r>
      <w:r w:rsidR="00B87BCA" w:rsidRPr="0066230D">
        <w:rPr>
          <w:rFonts w:ascii="Arial" w:hAnsi="Arial" w:cs="Arial"/>
          <w:color w:val="000000" w:themeColor="text1"/>
          <w:sz w:val="20"/>
          <w:szCs w:val="20"/>
          <w:highlight w:val="yellow"/>
        </w:rPr>
        <w:t xml:space="preserve">. Upon addition of Salkowski reagent, the culture supernatants developed a distinct pink to reddish coloration, </w:t>
      </w:r>
      <w:r w:rsidRPr="0066230D">
        <w:rPr>
          <w:rFonts w:ascii="Arial" w:hAnsi="Arial" w:cs="Arial"/>
          <w:color w:val="000000" w:themeColor="text1"/>
          <w:sz w:val="20"/>
          <w:szCs w:val="20"/>
          <w:highlight w:val="yellow"/>
        </w:rPr>
        <w:t>indicat</w:t>
      </w:r>
      <w:r w:rsidR="00B87BCA" w:rsidRPr="0066230D">
        <w:rPr>
          <w:rFonts w:ascii="Arial" w:hAnsi="Arial" w:cs="Arial"/>
          <w:color w:val="000000" w:themeColor="text1"/>
          <w:sz w:val="20"/>
          <w:szCs w:val="20"/>
          <w:highlight w:val="yellow"/>
        </w:rPr>
        <w:t xml:space="preserve">ing the presence of indolic compounds. </w:t>
      </w:r>
      <w:r w:rsidRPr="0066230D">
        <w:rPr>
          <w:rFonts w:ascii="Arial" w:hAnsi="Arial" w:cs="Arial"/>
          <w:color w:val="000000" w:themeColor="text1"/>
          <w:sz w:val="20"/>
          <w:szCs w:val="20"/>
          <w:highlight w:val="yellow"/>
        </w:rPr>
        <w:t>Spectrophotometric analysis</w:t>
      </w:r>
      <w:r w:rsidR="00B87BCA" w:rsidRPr="0066230D">
        <w:rPr>
          <w:rFonts w:ascii="Arial" w:hAnsi="Arial" w:cs="Arial"/>
          <w:color w:val="000000" w:themeColor="text1"/>
          <w:sz w:val="20"/>
          <w:szCs w:val="20"/>
          <w:highlight w:val="yellow"/>
        </w:rPr>
        <w:t xml:space="preserve"> at 530 nm </w:t>
      </w:r>
      <w:r w:rsidRPr="0066230D">
        <w:rPr>
          <w:rFonts w:ascii="Arial" w:hAnsi="Arial" w:cs="Arial"/>
          <w:color w:val="000000" w:themeColor="text1"/>
          <w:sz w:val="20"/>
          <w:szCs w:val="20"/>
          <w:highlight w:val="yellow"/>
        </w:rPr>
        <w:t>confirm</w:t>
      </w:r>
      <w:r w:rsidR="00B87BCA" w:rsidRPr="0066230D">
        <w:rPr>
          <w:rFonts w:ascii="Arial" w:hAnsi="Arial" w:cs="Arial"/>
          <w:color w:val="000000" w:themeColor="text1"/>
          <w:sz w:val="20"/>
          <w:szCs w:val="20"/>
          <w:highlight w:val="yellow"/>
        </w:rPr>
        <w:t xml:space="preserve">ed measurable IAA </w:t>
      </w:r>
      <w:r w:rsidRPr="0066230D">
        <w:rPr>
          <w:rFonts w:ascii="Arial" w:hAnsi="Arial" w:cs="Arial"/>
          <w:color w:val="000000" w:themeColor="text1"/>
          <w:sz w:val="20"/>
          <w:szCs w:val="20"/>
          <w:highlight w:val="yellow"/>
        </w:rPr>
        <w:t>production by</w:t>
      </w:r>
      <w:r w:rsidR="00B87BCA" w:rsidRPr="0066230D">
        <w:rPr>
          <w:rFonts w:ascii="Arial" w:hAnsi="Arial" w:cs="Arial"/>
          <w:color w:val="000000" w:themeColor="text1"/>
          <w:sz w:val="20"/>
          <w:szCs w:val="20"/>
          <w:highlight w:val="yellow"/>
        </w:rPr>
        <w:t xml:space="preserve"> all isolates, with </w:t>
      </w:r>
      <w:r w:rsidRPr="0066230D">
        <w:rPr>
          <w:rFonts w:ascii="Arial" w:hAnsi="Arial" w:cs="Arial"/>
          <w:color w:val="000000" w:themeColor="text1"/>
          <w:sz w:val="20"/>
          <w:szCs w:val="20"/>
          <w:highlight w:val="yellow"/>
        </w:rPr>
        <w:t>concentrations</w:t>
      </w:r>
      <w:r w:rsidR="00B87BCA" w:rsidRPr="0066230D">
        <w:rPr>
          <w:rFonts w:ascii="Arial" w:hAnsi="Arial" w:cs="Arial"/>
          <w:color w:val="000000" w:themeColor="text1"/>
          <w:sz w:val="20"/>
          <w:szCs w:val="20"/>
          <w:highlight w:val="yellow"/>
        </w:rPr>
        <w:t xml:space="preserve"> ranging from 5 to 8 µg mL</w:t>
      </w:r>
      <w:r w:rsidR="00B87BCA" w:rsidRPr="0066230D">
        <w:rPr>
          <w:rFonts w:ascii="Cambria Math" w:hAnsi="Cambria Math" w:cs="Cambria Math"/>
          <w:color w:val="000000" w:themeColor="text1"/>
          <w:sz w:val="20"/>
          <w:szCs w:val="20"/>
          <w:highlight w:val="yellow"/>
        </w:rPr>
        <w:t>⁻</w:t>
      </w:r>
      <w:r w:rsidR="00B87BCA" w:rsidRPr="0066230D">
        <w:rPr>
          <w:rFonts w:ascii="Arial" w:hAnsi="Arial" w:cs="Arial"/>
          <w:color w:val="000000" w:themeColor="text1"/>
          <w:sz w:val="20"/>
          <w:szCs w:val="20"/>
          <w:highlight w:val="yellow"/>
        </w:rPr>
        <w:t>¹ (</w:t>
      </w:r>
      <w:r w:rsidR="00763855">
        <w:rPr>
          <w:rFonts w:ascii="Arial" w:hAnsi="Arial" w:cs="Arial"/>
          <w:color w:val="000000" w:themeColor="text1"/>
          <w:sz w:val="20"/>
          <w:szCs w:val="20"/>
          <w:highlight w:val="yellow"/>
        </w:rPr>
        <w:t xml:space="preserve">The values are expressed as </w:t>
      </w:r>
      <w:r w:rsidR="00B87BCA" w:rsidRPr="0066230D">
        <w:rPr>
          <w:rFonts w:ascii="Arial" w:hAnsi="Arial" w:cs="Arial"/>
          <w:color w:val="000000" w:themeColor="text1"/>
          <w:sz w:val="20"/>
          <w:szCs w:val="20"/>
          <w:highlight w:val="yellow"/>
        </w:rPr>
        <w:t>mean ± S</w:t>
      </w:r>
      <w:r w:rsidR="00763855">
        <w:rPr>
          <w:rFonts w:ascii="Arial" w:hAnsi="Arial" w:cs="Arial"/>
          <w:color w:val="000000" w:themeColor="text1"/>
          <w:sz w:val="20"/>
          <w:szCs w:val="20"/>
          <w:highlight w:val="yellow"/>
        </w:rPr>
        <w:t xml:space="preserve">tandard </w:t>
      </w:r>
      <w:r w:rsidR="00B87BCA" w:rsidRPr="0066230D">
        <w:rPr>
          <w:rFonts w:ascii="Arial" w:hAnsi="Arial" w:cs="Arial"/>
          <w:color w:val="000000" w:themeColor="text1"/>
          <w:sz w:val="20"/>
          <w:szCs w:val="20"/>
          <w:highlight w:val="yellow"/>
        </w:rPr>
        <w:t>D</w:t>
      </w:r>
      <w:r w:rsidR="00763855">
        <w:rPr>
          <w:rFonts w:ascii="Arial" w:hAnsi="Arial" w:cs="Arial"/>
          <w:color w:val="000000" w:themeColor="text1"/>
          <w:sz w:val="20"/>
          <w:szCs w:val="20"/>
          <w:highlight w:val="yellow"/>
        </w:rPr>
        <w:t>eviation, where the mean represents the average IAA concentration obtained from triplicate measurements</w:t>
      </w:r>
      <w:r w:rsidR="00B87BCA" w:rsidRPr="0066230D">
        <w:rPr>
          <w:rFonts w:ascii="Arial" w:hAnsi="Arial" w:cs="Arial"/>
          <w:color w:val="000000" w:themeColor="text1"/>
          <w:sz w:val="20"/>
          <w:szCs w:val="20"/>
          <w:highlight w:val="yellow"/>
        </w:rPr>
        <w:t xml:space="preserve">), as </w:t>
      </w:r>
      <w:r w:rsidRPr="0066230D">
        <w:rPr>
          <w:rFonts w:ascii="Arial" w:hAnsi="Arial" w:cs="Arial"/>
          <w:color w:val="000000" w:themeColor="text1"/>
          <w:sz w:val="20"/>
          <w:szCs w:val="20"/>
          <w:highlight w:val="yellow"/>
        </w:rPr>
        <w:t>estimated</w:t>
      </w:r>
      <w:r w:rsidR="00B87BCA" w:rsidRPr="0066230D">
        <w:rPr>
          <w:rFonts w:ascii="Arial" w:hAnsi="Arial" w:cs="Arial"/>
          <w:color w:val="000000" w:themeColor="text1"/>
          <w:sz w:val="20"/>
          <w:szCs w:val="20"/>
          <w:highlight w:val="yellow"/>
        </w:rPr>
        <w:t xml:space="preserve"> from the standard calibration curve </w:t>
      </w:r>
      <w:r w:rsidRPr="0066230D">
        <w:rPr>
          <w:rFonts w:ascii="Arial" w:hAnsi="Arial" w:cs="Arial"/>
          <w:color w:val="000000" w:themeColor="text1"/>
          <w:sz w:val="20"/>
          <w:szCs w:val="20"/>
          <w:highlight w:val="yellow"/>
        </w:rPr>
        <w:t>prepared with</w:t>
      </w:r>
      <w:r w:rsidR="00B87BCA" w:rsidRPr="0066230D">
        <w:rPr>
          <w:rFonts w:ascii="Arial" w:hAnsi="Arial" w:cs="Arial"/>
          <w:color w:val="000000" w:themeColor="text1"/>
          <w:sz w:val="20"/>
          <w:szCs w:val="20"/>
          <w:highlight w:val="yellow"/>
        </w:rPr>
        <w:t xml:space="preserve"> authentic IAA. </w:t>
      </w:r>
      <w:r w:rsidRPr="0066230D">
        <w:rPr>
          <w:rFonts w:ascii="Arial" w:hAnsi="Arial" w:cs="Arial"/>
          <w:color w:val="000000" w:themeColor="text1"/>
          <w:sz w:val="20"/>
          <w:szCs w:val="20"/>
          <w:highlight w:val="yellow"/>
        </w:rPr>
        <w:t xml:space="preserve">These results demonstrate that the </w:t>
      </w:r>
      <w:r w:rsidRPr="0066230D">
        <w:rPr>
          <w:rFonts w:ascii="Arial" w:hAnsi="Arial" w:cs="Arial"/>
          <w:i/>
          <w:iCs/>
          <w:color w:val="000000" w:themeColor="text1"/>
          <w:sz w:val="20"/>
          <w:szCs w:val="20"/>
          <w:highlight w:val="yellow"/>
        </w:rPr>
        <w:t xml:space="preserve">Leptolyngbya sp. </w:t>
      </w:r>
      <w:r w:rsidRPr="0066230D">
        <w:rPr>
          <w:rFonts w:ascii="Arial" w:hAnsi="Arial" w:cs="Arial"/>
          <w:color w:val="000000" w:themeColor="text1"/>
          <w:sz w:val="20"/>
          <w:szCs w:val="20"/>
          <w:highlight w:val="yellow"/>
        </w:rPr>
        <w:t>possess plant growth-promoting attribute,</w:t>
      </w:r>
      <w:r w:rsidR="00B87BCA" w:rsidRPr="0066230D">
        <w:rPr>
          <w:rFonts w:ascii="Arial" w:hAnsi="Arial" w:cs="Arial"/>
          <w:color w:val="000000" w:themeColor="text1"/>
          <w:sz w:val="20"/>
          <w:szCs w:val="20"/>
          <w:highlight w:val="yellow"/>
        </w:rPr>
        <w:t xml:space="preserve"> </w:t>
      </w:r>
      <w:r w:rsidRPr="0066230D">
        <w:rPr>
          <w:rFonts w:ascii="Arial" w:hAnsi="Arial" w:cs="Arial"/>
          <w:color w:val="000000" w:themeColor="text1"/>
          <w:sz w:val="20"/>
          <w:szCs w:val="20"/>
          <w:highlight w:val="yellow"/>
        </w:rPr>
        <w:t xml:space="preserve">particularly through the production of auxin-like compounds that may contribute to enhanced </w:t>
      </w:r>
      <w:r w:rsidR="00B87BCA" w:rsidRPr="0066230D">
        <w:rPr>
          <w:rFonts w:ascii="Arial" w:hAnsi="Arial" w:cs="Arial"/>
          <w:color w:val="000000" w:themeColor="text1"/>
          <w:sz w:val="20"/>
          <w:szCs w:val="20"/>
          <w:highlight w:val="yellow"/>
        </w:rPr>
        <w:t>plant growth.</w:t>
      </w:r>
    </w:p>
    <w:p w14:paraId="70E859E8" w14:textId="336D621A" w:rsidR="00B87BCA" w:rsidRPr="0066543C" w:rsidRDefault="004A1863" w:rsidP="00B87BCA">
      <w:pPr>
        <w:spacing w:line="360" w:lineRule="auto"/>
        <w:jc w:val="both"/>
        <w:rPr>
          <w:rFonts w:ascii="Arial" w:hAnsi="Arial" w:cs="Arial"/>
          <w:b/>
          <w:bCs/>
          <w:color w:val="000000" w:themeColor="text1"/>
        </w:rPr>
      </w:pPr>
      <w:r w:rsidRPr="0066543C">
        <w:rPr>
          <w:rFonts w:ascii="Arial" w:hAnsi="Arial" w:cs="Arial"/>
          <w:b/>
          <w:bCs/>
          <w:color w:val="000000" w:themeColor="text1"/>
        </w:rPr>
        <w:t>PHOSPHATE SOLUBILIZATION</w:t>
      </w:r>
    </w:p>
    <w:p w14:paraId="3B906E86" w14:textId="2BE4326B" w:rsidR="00065330" w:rsidRDefault="00B87BCA" w:rsidP="00B87BCA">
      <w:pPr>
        <w:spacing w:line="360" w:lineRule="auto"/>
        <w:jc w:val="both"/>
        <w:rPr>
          <w:rFonts w:ascii="Arial" w:hAnsi="Arial" w:cs="Arial"/>
          <w:color w:val="000000" w:themeColor="text1"/>
          <w:sz w:val="20"/>
          <w:szCs w:val="20"/>
        </w:rPr>
      </w:pPr>
      <w:r w:rsidRPr="00065330">
        <w:rPr>
          <w:rFonts w:ascii="Arial" w:hAnsi="Arial" w:cs="Arial"/>
          <w:color w:val="000000" w:themeColor="text1"/>
          <w:sz w:val="20"/>
          <w:szCs w:val="20"/>
          <w:highlight w:val="yellow"/>
        </w:rPr>
        <w:t xml:space="preserve">The isolated </w:t>
      </w:r>
      <w:r w:rsidR="00065330" w:rsidRPr="00065330">
        <w:rPr>
          <w:rFonts w:ascii="Arial" w:hAnsi="Arial" w:cs="Arial"/>
          <w:i/>
          <w:iCs/>
          <w:color w:val="000000" w:themeColor="text1"/>
          <w:sz w:val="20"/>
          <w:szCs w:val="20"/>
          <w:highlight w:val="yellow"/>
        </w:rPr>
        <w:t>Leptolyngbya sp.</w:t>
      </w:r>
      <w:r w:rsidRPr="00065330">
        <w:rPr>
          <w:rFonts w:ascii="Arial" w:hAnsi="Arial" w:cs="Arial"/>
          <w:color w:val="000000" w:themeColor="text1"/>
          <w:sz w:val="20"/>
          <w:szCs w:val="20"/>
          <w:highlight w:val="yellow"/>
        </w:rPr>
        <w:t xml:space="preserve"> w</w:t>
      </w:r>
      <w:r w:rsidR="00065330" w:rsidRPr="00065330">
        <w:rPr>
          <w:rFonts w:ascii="Arial" w:hAnsi="Arial" w:cs="Arial"/>
          <w:color w:val="000000" w:themeColor="text1"/>
          <w:sz w:val="20"/>
          <w:szCs w:val="20"/>
          <w:highlight w:val="yellow"/>
        </w:rPr>
        <w:t>as</w:t>
      </w:r>
      <w:r w:rsidRPr="00065330">
        <w:rPr>
          <w:rFonts w:ascii="Arial" w:hAnsi="Arial" w:cs="Arial"/>
          <w:color w:val="000000" w:themeColor="text1"/>
          <w:sz w:val="20"/>
          <w:szCs w:val="20"/>
          <w:highlight w:val="yellow"/>
        </w:rPr>
        <w:t xml:space="preserve"> screened for </w:t>
      </w:r>
      <w:r w:rsidR="00065330" w:rsidRPr="00065330">
        <w:rPr>
          <w:rFonts w:ascii="Arial" w:hAnsi="Arial" w:cs="Arial"/>
          <w:color w:val="000000" w:themeColor="text1"/>
          <w:sz w:val="20"/>
          <w:szCs w:val="20"/>
          <w:highlight w:val="yellow"/>
        </w:rPr>
        <w:t>its</w:t>
      </w:r>
      <w:r w:rsidRPr="00065330">
        <w:rPr>
          <w:rFonts w:ascii="Arial" w:hAnsi="Arial" w:cs="Arial"/>
          <w:color w:val="000000" w:themeColor="text1"/>
          <w:sz w:val="20"/>
          <w:szCs w:val="20"/>
          <w:highlight w:val="yellow"/>
        </w:rPr>
        <w:t xml:space="preserve"> ability to solubilize inorganic phosphate on Pikovskaya’s agar medium. </w:t>
      </w:r>
      <w:r w:rsidR="00065330" w:rsidRPr="00065330">
        <w:rPr>
          <w:rFonts w:ascii="Arial" w:hAnsi="Arial" w:cs="Arial"/>
          <w:color w:val="000000" w:themeColor="text1"/>
          <w:sz w:val="20"/>
          <w:szCs w:val="20"/>
          <w:highlight w:val="yellow"/>
        </w:rPr>
        <w:t xml:space="preserve">The formation of the clear halo zone (29mm) surrounding the growth indicated active solubilization of tricalcium phosphate present in the medium on Pikovskaya’s agar. The appearance of such clear zone is a well-established indicator of phosphate solubilization by plant growth-promoting microorganisms capable of converting of insoluble phosphorous into bioactive forms. Phosphate solubilization is commonly quantified by measuring the diameter of the halo zone or by estimating soluble phosphate concentrations using spectrophotometric methods. In the present </w:t>
      </w:r>
      <w:r w:rsidR="00065330" w:rsidRPr="00065330">
        <w:rPr>
          <w:rFonts w:ascii="Arial" w:hAnsi="Arial" w:cs="Arial"/>
          <w:color w:val="000000" w:themeColor="text1"/>
          <w:sz w:val="20"/>
          <w:szCs w:val="20"/>
          <w:highlight w:val="yellow"/>
        </w:rPr>
        <w:lastRenderedPageBreak/>
        <w:t xml:space="preserve">study the </w:t>
      </w:r>
      <w:r w:rsidR="00065330" w:rsidRPr="00065330">
        <w:rPr>
          <w:rFonts w:ascii="Arial" w:hAnsi="Arial" w:cs="Arial"/>
          <w:i/>
          <w:iCs/>
          <w:color w:val="000000" w:themeColor="text1"/>
          <w:sz w:val="20"/>
          <w:szCs w:val="20"/>
          <w:highlight w:val="yellow"/>
        </w:rPr>
        <w:t>Leptolyngbya sp</w:t>
      </w:r>
      <w:r w:rsidR="00065330" w:rsidRPr="00065330">
        <w:rPr>
          <w:rFonts w:ascii="Arial" w:hAnsi="Arial" w:cs="Arial"/>
          <w:color w:val="000000" w:themeColor="text1"/>
          <w:sz w:val="20"/>
          <w:szCs w:val="20"/>
          <w:highlight w:val="yellow"/>
        </w:rPr>
        <w:t xml:space="preserve"> consistently produced a clear halo zone, confirming its phosphate- solubilizing ability.</w:t>
      </w:r>
      <w:r w:rsidR="00065330">
        <w:rPr>
          <w:rFonts w:ascii="Arial" w:hAnsi="Arial" w:cs="Arial"/>
          <w:color w:val="000000" w:themeColor="text1"/>
          <w:sz w:val="20"/>
          <w:szCs w:val="20"/>
        </w:rPr>
        <w:t xml:space="preserve"> </w:t>
      </w:r>
    </w:p>
    <w:p w14:paraId="1CCE0E9F" w14:textId="02A6BEFD" w:rsidR="00B87BCA" w:rsidRPr="0066543C" w:rsidRDefault="00B87BCA" w:rsidP="00B87BCA">
      <w:pPr>
        <w:spacing w:line="360" w:lineRule="auto"/>
        <w:jc w:val="both"/>
        <w:rPr>
          <w:rFonts w:ascii="Arial" w:hAnsi="Arial" w:cs="Arial"/>
          <w:color w:val="000000" w:themeColor="text1"/>
          <w:sz w:val="20"/>
          <w:szCs w:val="20"/>
        </w:rPr>
      </w:pPr>
    </w:p>
    <w:p w14:paraId="1252BEFD" w14:textId="63ED1C75" w:rsidR="002B612D" w:rsidRPr="0066543C" w:rsidRDefault="001743A0" w:rsidP="002B612D">
      <w:pPr>
        <w:jc w:val="both"/>
        <w:rPr>
          <w:rFonts w:ascii="Arial" w:hAnsi="Arial" w:cs="Arial"/>
          <w:b/>
          <w:bCs/>
          <w:color w:val="000000" w:themeColor="text1"/>
          <w:sz w:val="24"/>
          <w:szCs w:val="24"/>
        </w:rPr>
      </w:pPr>
      <w:r w:rsidRPr="0066543C">
        <w:rPr>
          <w:rFonts w:ascii="Arial" w:hAnsi="Arial" w:cs="Arial"/>
          <w:noProof/>
          <w:color w:val="000000" w:themeColor="text1"/>
          <w:sz w:val="24"/>
          <w:szCs w:val="24"/>
          <w:lang w:eastAsia="en-IN"/>
        </w:rPr>
        <w:drawing>
          <wp:anchor distT="0" distB="0" distL="114300" distR="114300" simplePos="0" relativeHeight="251658752" behindDoc="0" locked="0" layoutInCell="1" allowOverlap="1" wp14:anchorId="042B091F" wp14:editId="42CB5154">
            <wp:simplePos x="0" y="0"/>
            <wp:positionH relativeFrom="column">
              <wp:posOffset>531726</wp:posOffset>
            </wp:positionH>
            <wp:positionV relativeFrom="paragraph">
              <wp:posOffset>288925</wp:posOffset>
            </wp:positionV>
            <wp:extent cx="4221480" cy="1887855"/>
            <wp:effectExtent l="0" t="0" r="7620" b="0"/>
            <wp:wrapTopAndBottom/>
            <wp:docPr id="72847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7309" name="Picture 72847309"/>
                    <pic:cNvPicPr/>
                  </pic:nvPicPr>
                  <pic:blipFill rotWithShape="1">
                    <a:blip r:embed="rId22" cstate="print">
                      <a:extLst>
                        <a:ext uri="{28A0092B-C50C-407E-A947-70E740481C1C}">
                          <a14:useLocalDpi xmlns:a14="http://schemas.microsoft.com/office/drawing/2010/main" val="0"/>
                        </a:ext>
                      </a:extLst>
                    </a:blip>
                    <a:srcRect l="2196" t="4504" r="4646"/>
                    <a:stretch>
                      <a:fillRect/>
                    </a:stretch>
                  </pic:blipFill>
                  <pic:spPr bwMode="auto">
                    <a:xfrm>
                      <a:off x="0" y="0"/>
                      <a:ext cx="4221480" cy="188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612D" w:rsidRPr="0066543C">
        <w:rPr>
          <w:rFonts w:ascii="Arial" w:hAnsi="Arial" w:cs="Arial"/>
          <w:b/>
          <w:bCs/>
          <w:i/>
          <w:iCs/>
          <w:color w:val="000000" w:themeColor="text1"/>
          <w:sz w:val="24"/>
          <w:szCs w:val="24"/>
        </w:rPr>
        <w:t xml:space="preserve">          </w:t>
      </w:r>
      <w:r w:rsidR="002B612D" w:rsidRPr="0066543C">
        <w:rPr>
          <w:rFonts w:ascii="Arial" w:hAnsi="Arial" w:cs="Arial"/>
          <w:b/>
          <w:bCs/>
          <w:color w:val="000000" w:themeColor="text1"/>
          <w:sz w:val="24"/>
          <w:szCs w:val="24"/>
        </w:rPr>
        <w:t xml:space="preserve">                   </w:t>
      </w:r>
    </w:p>
    <w:p w14:paraId="705A0050" w14:textId="5A3567A3" w:rsidR="00123245" w:rsidRDefault="002B612D" w:rsidP="00123245">
      <w:pPr>
        <w:jc w:val="both"/>
        <w:rPr>
          <w:rFonts w:ascii="Arial" w:hAnsi="Arial" w:cs="Arial"/>
          <w:b/>
          <w:bCs/>
          <w:color w:val="000000" w:themeColor="text1"/>
          <w:sz w:val="20"/>
          <w:szCs w:val="20"/>
        </w:rPr>
      </w:pPr>
      <w:r w:rsidRPr="00F9709E">
        <w:rPr>
          <w:rFonts w:ascii="Arial" w:hAnsi="Arial" w:cs="Arial"/>
          <w:b/>
          <w:bCs/>
          <w:color w:val="000000" w:themeColor="text1"/>
          <w:sz w:val="20"/>
          <w:szCs w:val="20"/>
        </w:rPr>
        <w:t>Figure</w:t>
      </w:r>
      <w:r w:rsidR="00C71054" w:rsidRPr="00F9709E">
        <w:rPr>
          <w:rFonts w:ascii="Arial" w:hAnsi="Arial" w:cs="Arial"/>
          <w:b/>
          <w:bCs/>
          <w:color w:val="000000" w:themeColor="text1"/>
          <w:sz w:val="20"/>
          <w:szCs w:val="20"/>
        </w:rPr>
        <w:t xml:space="preserve"> </w:t>
      </w:r>
      <w:r w:rsidR="00E3244A">
        <w:rPr>
          <w:rFonts w:ascii="Arial" w:hAnsi="Arial" w:cs="Arial"/>
          <w:b/>
          <w:bCs/>
          <w:color w:val="000000" w:themeColor="text1"/>
          <w:sz w:val="20"/>
          <w:szCs w:val="20"/>
        </w:rPr>
        <w:t>4</w:t>
      </w:r>
      <w:r w:rsidRPr="00F9709E">
        <w:rPr>
          <w:rFonts w:ascii="Arial" w:hAnsi="Arial" w:cs="Arial"/>
          <w:b/>
          <w:bCs/>
          <w:color w:val="000000" w:themeColor="text1"/>
          <w:sz w:val="20"/>
          <w:szCs w:val="20"/>
        </w:rPr>
        <w:t xml:space="preserve">: </w:t>
      </w:r>
      <w:r w:rsidR="00123245" w:rsidRPr="00065330">
        <w:rPr>
          <w:rFonts w:ascii="Arial" w:hAnsi="Arial" w:cs="Arial"/>
          <w:b/>
          <w:bCs/>
          <w:color w:val="000000" w:themeColor="text1"/>
          <w:sz w:val="20"/>
          <w:szCs w:val="20"/>
          <w:highlight w:val="yellow"/>
        </w:rPr>
        <w:t xml:space="preserve">Development of </w:t>
      </w:r>
      <w:r w:rsidR="00D25820" w:rsidRPr="00065330">
        <w:rPr>
          <w:rFonts w:ascii="Arial" w:hAnsi="Arial" w:cs="Arial"/>
          <w:b/>
          <w:bCs/>
          <w:color w:val="000000" w:themeColor="text1"/>
          <w:sz w:val="20"/>
          <w:szCs w:val="20"/>
          <w:highlight w:val="yellow"/>
        </w:rPr>
        <w:t xml:space="preserve">the </w:t>
      </w:r>
      <w:r w:rsidR="00123245" w:rsidRPr="00065330">
        <w:rPr>
          <w:rFonts w:ascii="Arial" w:hAnsi="Arial" w:cs="Arial"/>
          <w:b/>
          <w:bCs/>
          <w:color w:val="000000" w:themeColor="text1"/>
          <w:sz w:val="20"/>
          <w:szCs w:val="20"/>
          <w:highlight w:val="yellow"/>
        </w:rPr>
        <w:t>clear halo zone</w:t>
      </w:r>
      <w:r w:rsidR="00765405" w:rsidRPr="00065330">
        <w:rPr>
          <w:rFonts w:ascii="Arial" w:hAnsi="Arial" w:cs="Arial"/>
          <w:b/>
          <w:bCs/>
          <w:color w:val="000000" w:themeColor="text1"/>
          <w:sz w:val="20"/>
          <w:szCs w:val="20"/>
          <w:highlight w:val="yellow"/>
        </w:rPr>
        <w:t xml:space="preserve"> (29mm)</w:t>
      </w:r>
      <w:r w:rsidR="00123245" w:rsidRPr="00065330">
        <w:rPr>
          <w:rFonts w:ascii="Arial" w:hAnsi="Arial" w:cs="Arial"/>
          <w:b/>
          <w:bCs/>
          <w:color w:val="000000" w:themeColor="text1"/>
          <w:sz w:val="20"/>
          <w:szCs w:val="20"/>
          <w:highlight w:val="yellow"/>
        </w:rPr>
        <w:t xml:space="preserve"> surrounding the growth indicated active solubilization of tricalcium phosphate on Pikovskaya’s agar.</w:t>
      </w:r>
    </w:p>
    <w:p w14:paraId="12FD0DD5" w14:textId="2906438B" w:rsidR="00E20DF9" w:rsidRPr="00123245" w:rsidRDefault="004A1863" w:rsidP="00123245">
      <w:pPr>
        <w:jc w:val="both"/>
        <w:rPr>
          <w:rFonts w:ascii="Arial" w:hAnsi="Arial" w:cs="Arial"/>
          <w:b/>
          <w:bCs/>
          <w:color w:val="000000" w:themeColor="text1"/>
          <w:sz w:val="20"/>
          <w:szCs w:val="20"/>
        </w:rPr>
      </w:pPr>
      <w:r w:rsidRPr="0066543C">
        <w:rPr>
          <w:rFonts w:ascii="Arial" w:hAnsi="Arial" w:cs="Arial"/>
          <w:b/>
          <w:bCs/>
          <w:color w:val="000000" w:themeColor="text1"/>
        </w:rPr>
        <w:t>SIDEROPHORE PRODUCTION</w:t>
      </w:r>
    </w:p>
    <w:p w14:paraId="4FE9EB93" w14:textId="68C30370" w:rsidR="00B87BCA" w:rsidRPr="0066543C" w:rsidRDefault="00B87BCA" w:rsidP="00B87BCA">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The production of siderophores by the PGPR was seen using the </w:t>
      </w:r>
      <w:r w:rsidR="00B249EF" w:rsidRPr="0066543C">
        <w:rPr>
          <w:rFonts w:ascii="Arial" w:hAnsi="Arial" w:cs="Arial"/>
          <w:color w:val="000000" w:themeColor="text1"/>
          <w:sz w:val="20"/>
          <w:szCs w:val="20"/>
        </w:rPr>
        <w:t>C</w:t>
      </w:r>
      <w:r w:rsidRPr="0066543C">
        <w:rPr>
          <w:rFonts w:ascii="Arial" w:hAnsi="Arial" w:cs="Arial"/>
          <w:color w:val="000000" w:themeColor="text1"/>
          <w:sz w:val="20"/>
          <w:szCs w:val="20"/>
        </w:rPr>
        <w:t xml:space="preserve">hrome </w:t>
      </w:r>
      <w:r w:rsidR="00B249EF" w:rsidRPr="0066543C">
        <w:rPr>
          <w:rFonts w:ascii="Arial" w:hAnsi="Arial" w:cs="Arial"/>
          <w:color w:val="000000" w:themeColor="text1"/>
          <w:sz w:val="20"/>
          <w:szCs w:val="20"/>
        </w:rPr>
        <w:t>A</w:t>
      </w:r>
      <w:r w:rsidRPr="0066543C">
        <w:rPr>
          <w:rFonts w:ascii="Arial" w:hAnsi="Arial" w:cs="Arial"/>
          <w:color w:val="000000" w:themeColor="text1"/>
          <w:sz w:val="20"/>
          <w:szCs w:val="20"/>
        </w:rPr>
        <w:t xml:space="preserve">zurol S agar </w:t>
      </w:r>
      <w:r w:rsidR="00B249EF" w:rsidRPr="0066543C">
        <w:rPr>
          <w:rFonts w:ascii="Arial" w:hAnsi="Arial" w:cs="Arial"/>
          <w:color w:val="000000" w:themeColor="text1"/>
          <w:sz w:val="20"/>
          <w:szCs w:val="20"/>
        </w:rPr>
        <w:t xml:space="preserve">(CAS) </w:t>
      </w:r>
      <w:r w:rsidRPr="0066543C">
        <w:rPr>
          <w:rFonts w:ascii="Arial" w:hAnsi="Arial" w:cs="Arial"/>
          <w:color w:val="000000" w:themeColor="text1"/>
          <w:sz w:val="20"/>
          <w:szCs w:val="20"/>
        </w:rPr>
        <w:t xml:space="preserve">plates. Formation of the orange ring around plate colonies was proof of siderophore production, which forms a complex with iron and the CAS dye. </w:t>
      </w:r>
    </w:p>
    <w:p w14:paraId="061A8EEA" w14:textId="77777777" w:rsidR="002B612D" w:rsidRPr="0066543C" w:rsidRDefault="002B612D" w:rsidP="002B612D">
      <w:pPr>
        <w:jc w:val="both"/>
        <w:rPr>
          <w:rFonts w:ascii="Arial" w:hAnsi="Arial" w:cs="Arial"/>
          <w:b/>
          <w:bCs/>
          <w:color w:val="000000" w:themeColor="text1"/>
          <w:sz w:val="24"/>
          <w:szCs w:val="24"/>
        </w:rPr>
      </w:pPr>
      <w:r w:rsidRPr="0066543C">
        <w:rPr>
          <w:rFonts w:ascii="Arial" w:hAnsi="Arial" w:cs="Arial"/>
          <w:noProof/>
          <w:color w:val="000000" w:themeColor="text1"/>
          <w:sz w:val="24"/>
          <w:szCs w:val="24"/>
          <w:lang w:eastAsia="en-IN"/>
        </w:rPr>
        <w:drawing>
          <wp:anchor distT="0" distB="0" distL="114300" distR="114300" simplePos="0" relativeHeight="251659264" behindDoc="0" locked="0" layoutInCell="1" allowOverlap="1" wp14:anchorId="691BE5E8" wp14:editId="318A6BED">
            <wp:simplePos x="0" y="0"/>
            <wp:positionH relativeFrom="column">
              <wp:posOffset>967740</wp:posOffset>
            </wp:positionH>
            <wp:positionV relativeFrom="paragraph">
              <wp:posOffset>312420</wp:posOffset>
            </wp:positionV>
            <wp:extent cx="3063240" cy="2456815"/>
            <wp:effectExtent l="0" t="0" r="3810" b="635"/>
            <wp:wrapTopAndBottom/>
            <wp:docPr id="21108487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48771" name="Picture 2110848771"/>
                    <pic:cNvPicPr/>
                  </pic:nvPicPr>
                  <pic:blipFill rotWithShape="1">
                    <a:blip r:embed="rId23" cstate="print">
                      <a:extLst>
                        <a:ext uri="{28A0092B-C50C-407E-A947-70E740481C1C}">
                          <a14:useLocalDpi xmlns:a14="http://schemas.microsoft.com/office/drawing/2010/main" val="0"/>
                        </a:ext>
                      </a:extLst>
                    </a:blip>
                    <a:srcRect r="37365"/>
                    <a:stretch>
                      <a:fillRect/>
                    </a:stretch>
                  </pic:blipFill>
                  <pic:spPr bwMode="auto">
                    <a:xfrm>
                      <a:off x="0" y="0"/>
                      <a:ext cx="3063240" cy="2456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543C">
        <w:rPr>
          <w:rFonts w:ascii="Arial" w:hAnsi="Arial" w:cs="Arial"/>
          <w:b/>
          <w:bCs/>
          <w:color w:val="000000" w:themeColor="text1"/>
          <w:sz w:val="24"/>
          <w:szCs w:val="24"/>
        </w:rPr>
        <w:t xml:space="preserve">          </w:t>
      </w:r>
    </w:p>
    <w:p w14:paraId="43E952D7" w14:textId="6D91789E" w:rsidR="002B612D" w:rsidRDefault="002B612D" w:rsidP="002B612D">
      <w:pPr>
        <w:jc w:val="both"/>
        <w:rPr>
          <w:rFonts w:ascii="Arial" w:hAnsi="Arial" w:cs="Arial"/>
          <w:b/>
          <w:bCs/>
          <w:color w:val="000000" w:themeColor="text1"/>
          <w:sz w:val="20"/>
          <w:szCs w:val="20"/>
        </w:rPr>
      </w:pPr>
      <w:r w:rsidRPr="00F9709E">
        <w:rPr>
          <w:rFonts w:ascii="Arial" w:hAnsi="Arial" w:cs="Arial"/>
          <w:b/>
          <w:bCs/>
          <w:color w:val="000000" w:themeColor="text1"/>
          <w:sz w:val="20"/>
          <w:szCs w:val="20"/>
        </w:rPr>
        <w:t>Figure</w:t>
      </w:r>
      <w:r w:rsidR="00C71054" w:rsidRPr="00F9709E">
        <w:rPr>
          <w:rFonts w:ascii="Arial" w:hAnsi="Arial" w:cs="Arial"/>
          <w:b/>
          <w:bCs/>
          <w:color w:val="000000" w:themeColor="text1"/>
          <w:sz w:val="20"/>
          <w:szCs w:val="20"/>
        </w:rPr>
        <w:t xml:space="preserve"> </w:t>
      </w:r>
      <w:r w:rsidR="00E3244A">
        <w:rPr>
          <w:rFonts w:ascii="Arial" w:hAnsi="Arial" w:cs="Arial"/>
          <w:b/>
          <w:bCs/>
          <w:color w:val="000000" w:themeColor="text1"/>
          <w:sz w:val="20"/>
          <w:szCs w:val="20"/>
        </w:rPr>
        <w:t>5</w:t>
      </w:r>
      <w:r w:rsidRPr="00F9709E">
        <w:rPr>
          <w:rFonts w:ascii="Arial" w:hAnsi="Arial" w:cs="Arial"/>
          <w:b/>
          <w:bCs/>
          <w:color w:val="000000" w:themeColor="text1"/>
          <w:sz w:val="20"/>
          <w:szCs w:val="20"/>
        </w:rPr>
        <w:t xml:space="preserve">: </w:t>
      </w:r>
      <w:r w:rsidRPr="00065330">
        <w:rPr>
          <w:rFonts w:ascii="Arial" w:hAnsi="Arial" w:cs="Arial"/>
          <w:b/>
          <w:bCs/>
          <w:color w:val="000000" w:themeColor="text1"/>
          <w:sz w:val="20"/>
          <w:szCs w:val="20"/>
          <w:highlight w:val="yellow"/>
        </w:rPr>
        <w:t>fluorescence green colour colony on CAS media</w:t>
      </w:r>
      <w:r w:rsidR="004462B1" w:rsidRPr="00065330">
        <w:rPr>
          <w:rFonts w:ascii="Arial" w:hAnsi="Arial" w:cs="Arial"/>
          <w:b/>
          <w:bCs/>
          <w:color w:val="000000" w:themeColor="text1"/>
          <w:sz w:val="20"/>
          <w:szCs w:val="20"/>
          <w:highlight w:val="yellow"/>
        </w:rPr>
        <w:t xml:space="preserve"> under UV- trans-luminescence</w:t>
      </w:r>
      <w:r w:rsidRPr="00065330">
        <w:rPr>
          <w:rFonts w:ascii="Arial" w:hAnsi="Arial" w:cs="Arial"/>
          <w:b/>
          <w:bCs/>
          <w:color w:val="000000" w:themeColor="text1"/>
          <w:sz w:val="20"/>
          <w:szCs w:val="20"/>
          <w:highlight w:val="yellow"/>
        </w:rPr>
        <w:t xml:space="preserve"> indicate positive siderophore production</w:t>
      </w:r>
      <w:r w:rsidR="00C870D9" w:rsidRPr="00065330">
        <w:rPr>
          <w:rFonts w:ascii="Arial" w:hAnsi="Arial" w:cs="Arial"/>
          <w:b/>
          <w:bCs/>
          <w:color w:val="000000" w:themeColor="text1"/>
          <w:sz w:val="20"/>
          <w:szCs w:val="20"/>
          <w:highlight w:val="yellow"/>
        </w:rPr>
        <w:t>.</w:t>
      </w:r>
    </w:p>
    <w:p w14:paraId="202E4EF4" w14:textId="6ADDACBB" w:rsidR="00B87BCA" w:rsidRPr="00084D1B" w:rsidRDefault="004A1863" w:rsidP="00084D1B">
      <w:pPr>
        <w:rPr>
          <w:rFonts w:ascii="Arial" w:hAnsi="Arial" w:cs="Arial"/>
          <w:b/>
          <w:bCs/>
          <w:color w:val="000000" w:themeColor="text1"/>
        </w:rPr>
      </w:pPr>
      <w:r w:rsidRPr="0066543C">
        <w:rPr>
          <w:rFonts w:ascii="Arial" w:hAnsi="Arial" w:cs="Arial"/>
          <w:b/>
          <w:bCs/>
          <w:color w:val="000000" w:themeColor="text1"/>
        </w:rPr>
        <w:t>HCN PRODUCTION</w:t>
      </w:r>
    </w:p>
    <w:p w14:paraId="4FBC118F" w14:textId="77777777" w:rsidR="00084D1B" w:rsidRPr="00084D1B" w:rsidRDefault="00084D1B" w:rsidP="00084D1B">
      <w:pPr>
        <w:spacing w:line="360" w:lineRule="auto"/>
        <w:jc w:val="both"/>
        <w:rPr>
          <w:rFonts w:ascii="Arial" w:hAnsi="Arial" w:cs="Arial"/>
          <w:sz w:val="20"/>
          <w:szCs w:val="20"/>
        </w:rPr>
      </w:pPr>
      <w:r w:rsidRPr="00084D1B">
        <w:rPr>
          <w:rFonts w:ascii="Arial" w:hAnsi="Arial" w:cs="Arial"/>
          <w:sz w:val="20"/>
          <w:szCs w:val="20"/>
        </w:rPr>
        <w:t xml:space="preserve">The production of HCN by </w:t>
      </w:r>
      <w:r w:rsidRPr="00084D1B">
        <w:rPr>
          <w:rFonts w:ascii="Arial" w:hAnsi="Arial" w:cs="Arial"/>
          <w:i/>
          <w:iCs/>
          <w:sz w:val="20"/>
          <w:szCs w:val="20"/>
        </w:rPr>
        <w:t>Leptolyngbya sp.</w:t>
      </w:r>
      <w:r w:rsidRPr="00084D1B">
        <w:rPr>
          <w:rFonts w:ascii="Arial" w:hAnsi="Arial" w:cs="Arial"/>
          <w:sz w:val="20"/>
          <w:szCs w:val="20"/>
        </w:rPr>
        <w:t xml:space="preserve"> was qualitatively screened using the picrate filter paper technique. The appearance of a yellow to light red colour change on the soaked filter paper is </w:t>
      </w:r>
      <w:proofErr w:type="gramStart"/>
      <w:r w:rsidRPr="00084D1B">
        <w:rPr>
          <w:rFonts w:ascii="Arial" w:hAnsi="Arial" w:cs="Arial"/>
          <w:sz w:val="20"/>
          <w:szCs w:val="20"/>
        </w:rPr>
        <w:t>a</w:t>
      </w:r>
      <w:proofErr w:type="gramEnd"/>
      <w:r w:rsidRPr="00084D1B">
        <w:rPr>
          <w:rFonts w:ascii="Arial" w:hAnsi="Arial" w:cs="Arial"/>
          <w:sz w:val="20"/>
          <w:szCs w:val="20"/>
        </w:rPr>
        <w:t xml:space="preserve"> indication of positive HCN production. In this procedure, the reaction of HCN produced in the cyanobacterial culture with picric acid in the presence of sodium hydroxide led to a distinct colour change.</w:t>
      </w:r>
    </w:p>
    <w:p w14:paraId="7CFA777B" w14:textId="77777777" w:rsidR="00084D1B" w:rsidRPr="00084D1B" w:rsidRDefault="00084D1B" w:rsidP="00084D1B">
      <w:pPr>
        <w:spacing w:line="360" w:lineRule="auto"/>
        <w:jc w:val="both"/>
        <w:rPr>
          <w:rFonts w:ascii="Arial" w:hAnsi="Arial" w:cs="Arial"/>
          <w:sz w:val="20"/>
          <w:szCs w:val="20"/>
        </w:rPr>
      </w:pPr>
      <w:r w:rsidRPr="00084D1B">
        <w:rPr>
          <w:rFonts w:ascii="Arial" w:hAnsi="Arial" w:cs="Arial"/>
          <w:sz w:val="20"/>
          <w:szCs w:val="20"/>
        </w:rPr>
        <w:t>The isolate was inoculated on nutrient agar plates, with the impregnated filter paper rested on the inner side of the lid. The plates were incubated at a suitable temperature for a period of 24 to 48 hours. The development of light red colour on the filter paper revealed that the isolate produced HCN.</w:t>
      </w:r>
    </w:p>
    <w:p w14:paraId="3A43A274" w14:textId="55387433" w:rsidR="00084D1B" w:rsidRPr="00084D1B" w:rsidRDefault="00084D1B" w:rsidP="00084D1B">
      <w:pPr>
        <w:spacing w:line="360" w:lineRule="auto"/>
        <w:jc w:val="both"/>
        <w:rPr>
          <w:rFonts w:ascii="Arial" w:hAnsi="Arial" w:cs="Arial"/>
          <w:color w:val="000000" w:themeColor="text1"/>
          <w:sz w:val="20"/>
          <w:szCs w:val="20"/>
        </w:rPr>
      </w:pPr>
      <w:r w:rsidRPr="00084D1B">
        <w:rPr>
          <w:rFonts w:ascii="Arial" w:hAnsi="Arial" w:cs="Arial"/>
          <w:noProof/>
          <w:sz w:val="20"/>
          <w:szCs w:val="20"/>
          <w:lang w:eastAsia="en-IN"/>
        </w:rPr>
        <w:drawing>
          <wp:anchor distT="0" distB="0" distL="114300" distR="114300" simplePos="0" relativeHeight="251659776" behindDoc="0" locked="0" layoutInCell="1" allowOverlap="1" wp14:anchorId="2E0F59CC" wp14:editId="239A0A6E">
            <wp:simplePos x="0" y="0"/>
            <wp:positionH relativeFrom="column">
              <wp:posOffset>720148</wp:posOffset>
            </wp:positionH>
            <wp:positionV relativeFrom="paragraph">
              <wp:posOffset>1644592</wp:posOffset>
            </wp:positionV>
            <wp:extent cx="4446905" cy="1712595"/>
            <wp:effectExtent l="0" t="0" r="0" b="1905"/>
            <wp:wrapTopAndBottom/>
            <wp:docPr id="264572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72578" name="Picture 26457257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46905" cy="1712595"/>
                    </a:xfrm>
                    <a:prstGeom prst="rect">
                      <a:avLst/>
                    </a:prstGeom>
                  </pic:spPr>
                </pic:pic>
              </a:graphicData>
            </a:graphic>
            <wp14:sizeRelH relativeFrom="margin">
              <wp14:pctWidth>0</wp14:pctWidth>
            </wp14:sizeRelH>
            <wp14:sizeRelV relativeFrom="margin">
              <wp14:pctHeight>0</wp14:pctHeight>
            </wp14:sizeRelV>
          </wp:anchor>
        </w:drawing>
      </w:r>
      <w:r w:rsidRPr="00084D1B">
        <w:rPr>
          <w:rFonts w:ascii="Arial" w:hAnsi="Arial" w:cs="Arial"/>
          <w:sz w:val="20"/>
          <w:szCs w:val="20"/>
        </w:rPr>
        <w:t xml:space="preserve">The result of the qualitative assay supported the HCN-producing potential of </w:t>
      </w:r>
      <w:r w:rsidRPr="00084D1B">
        <w:rPr>
          <w:rFonts w:ascii="Arial" w:hAnsi="Arial" w:cs="Arial"/>
          <w:i/>
          <w:iCs/>
          <w:sz w:val="20"/>
          <w:szCs w:val="20"/>
        </w:rPr>
        <w:t>Leptolyngbya sp.</w:t>
      </w:r>
      <w:r w:rsidRPr="00084D1B">
        <w:rPr>
          <w:rFonts w:ascii="Arial" w:hAnsi="Arial" w:cs="Arial"/>
          <w:sz w:val="20"/>
          <w:szCs w:val="20"/>
        </w:rPr>
        <w:t xml:space="preserve"> The production of HCN has been identified as a significant biological attribute. Although high accumulation of HCN is considered detrimental, its controlled production is known to be linked with indirect plant growth promotion and protective mechanisms. The positive result obtained in this study indicates that the used cyanobacterial strain has HCN-producing potential, which can be further investigated for plant growth promotion and indirect biological control purposes.</w:t>
      </w:r>
    </w:p>
    <w:p w14:paraId="64E04272" w14:textId="299AEFB7" w:rsidR="002B612D" w:rsidRPr="0066543C" w:rsidRDefault="002B612D" w:rsidP="00F9709E">
      <w:pPr>
        <w:rPr>
          <w:rFonts w:ascii="Arial" w:hAnsi="Arial" w:cs="Arial"/>
          <w:b/>
          <w:bCs/>
          <w:color w:val="000000" w:themeColor="text1"/>
          <w:sz w:val="24"/>
          <w:szCs w:val="24"/>
        </w:rPr>
      </w:pPr>
    </w:p>
    <w:p w14:paraId="733BA7BD" w14:textId="77777777" w:rsidR="00014B73" w:rsidRDefault="002B612D" w:rsidP="00972B2B">
      <w:pPr>
        <w:rPr>
          <w:rFonts w:ascii="Arial" w:hAnsi="Arial" w:cs="Arial"/>
          <w:b/>
          <w:bCs/>
          <w:color w:val="000000" w:themeColor="text1"/>
          <w:sz w:val="20"/>
          <w:szCs w:val="20"/>
        </w:rPr>
      </w:pPr>
      <w:r w:rsidRPr="0066543C">
        <w:rPr>
          <w:rFonts w:ascii="Arial" w:hAnsi="Arial" w:cs="Arial"/>
          <w:b/>
          <w:bCs/>
          <w:color w:val="000000" w:themeColor="text1"/>
          <w:sz w:val="20"/>
          <w:szCs w:val="20"/>
        </w:rPr>
        <w:t>Fig</w:t>
      </w:r>
      <w:r w:rsidR="00C71054" w:rsidRPr="0066543C">
        <w:rPr>
          <w:rFonts w:ascii="Arial" w:hAnsi="Arial" w:cs="Arial"/>
          <w:b/>
          <w:bCs/>
          <w:color w:val="000000" w:themeColor="text1"/>
          <w:sz w:val="20"/>
          <w:szCs w:val="20"/>
        </w:rPr>
        <w:t xml:space="preserve">ure </w:t>
      </w:r>
      <w:r w:rsidR="00E3244A">
        <w:rPr>
          <w:rFonts w:ascii="Arial" w:hAnsi="Arial" w:cs="Arial"/>
          <w:b/>
          <w:bCs/>
          <w:color w:val="000000" w:themeColor="text1"/>
          <w:sz w:val="20"/>
          <w:szCs w:val="20"/>
        </w:rPr>
        <w:t>6</w:t>
      </w:r>
      <w:r w:rsidR="00C71054" w:rsidRPr="00065330">
        <w:rPr>
          <w:rFonts w:ascii="Arial" w:hAnsi="Arial" w:cs="Arial"/>
          <w:b/>
          <w:bCs/>
          <w:color w:val="000000" w:themeColor="text1"/>
          <w:sz w:val="20"/>
          <w:szCs w:val="20"/>
          <w:highlight w:val="yellow"/>
        </w:rPr>
        <w:t>:</w:t>
      </w:r>
      <w:r w:rsidRPr="00065330">
        <w:rPr>
          <w:rFonts w:ascii="Arial" w:hAnsi="Arial" w:cs="Arial"/>
          <w:b/>
          <w:bCs/>
          <w:color w:val="000000" w:themeColor="text1"/>
          <w:sz w:val="20"/>
          <w:szCs w:val="20"/>
          <w:highlight w:val="yellow"/>
        </w:rPr>
        <w:t xml:space="preserve"> Hydrogen Cyanide (HCN) Production </w:t>
      </w:r>
      <w:r w:rsidR="00014B73" w:rsidRPr="00065330">
        <w:rPr>
          <w:rFonts w:ascii="Arial" w:hAnsi="Arial" w:cs="Arial"/>
          <w:b/>
          <w:bCs/>
          <w:color w:val="000000" w:themeColor="text1"/>
          <w:sz w:val="20"/>
          <w:szCs w:val="20"/>
          <w:highlight w:val="yellow"/>
        </w:rPr>
        <w:t xml:space="preserve">by </w:t>
      </w:r>
      <w:r w:rsidR="00014B73" w:rsidRPr="00065330">
        <w:rPr>
          <w:rFonts w:ascii="Arial" w:hAnsi="Arial" w:cs="Arial"/>
          <w:b/>
          <w:bCs/>
          <w:i/>
          <w:iCs/>
          <w:color w:val="000000" w:themeColor="text1"/>
          <w:sz w:val="20"/>
          <w:szCs w:val="20"/>
          <w:highlight w:val="yellow"/>
        </w:rPr>
        <w:t>Leptolyngbya sp.</w:t>
      </w:r>
      <w:r w:rsidR="00014B73" w:rsidRPr="00065330">
        <w:rPr>
          <w:rFonts w:ascii="Arial" w:hAnsi="Arial" w:cs="Arial"/>
          <w:b/>
          <w:bCs/>
          <w:color w:val="000000" w:themeColor="text1"/>
          <w:sz w:val="20"/>
          <w:szCs w:val="20"/>
          <w:highlight w:val="yellow"/>
        </w:rPr>
        <w:t xml:space="preserve"> by the development of colour change of Picrate-soaked filter paper from yellow to light red after incubation.</w:t>
      </w:r>
      <w:r w:rsidRPr="0066543C">
        <w:rPr>
          <w:rFonts w:ascii="Arial" w:hAnsi="Arial" w:cs="Arial"/>
          <w:b/>
          <w:bCs/>
          <w:color w:val="000000" w:themeColor="text1"/>
          <w:sz w:val="20"/>
          <w:szCs w:val="20"/>
        </w:rPr>
        <w:t xml:space="preserve"> </w:t>
      </w:r>
    </w:p>
    <w:p w14:paraId="384F7032" w14:textId="14B15CA3" w:rsidR="00972B2B" w:rsidRPr="00014B73" w:rsidRDefault="00972B2B" w:rsidP="00972B2B">
      <w:pPr>
        <w:rPr>
          <w:rFonts w:ascii="Arial" w:hAnsi="Arial" w:cs="Arial"/>
          <w:b/>
          <w:bCs/>
          <w:color w:val="000000" w:themeColor="text1"/>
          <w:sz w:val="20"/>
          <w:szCs w:val="20"/>
        </w:rPr>
      </w:pPr>
      <w:r w:rsidRPr="0066543C">
        <w:rPr>
          <w:rFonts w:ascii="Arial" w:hAnsi="Arial" w:cs="Arial"/>
          <w:b/>
          <w:bCs/>
          <w:color w:val="000000" w:themeColor="text1"/>
          <w:sz w:val="24"/>
          <w:szCs w:val="24"/>
        </w:rPr>
        <w:t>Determination of antioxidants</w:t>
      </w:r>
    </w:p>
    <w:p w14:paraId="65255372" w14:textId="26304A51" w:rsidR="00B24143" w:rsidRPr="0066543C" w:rsidRDefault="00B24143" w:rsidP="00B24143">
      <w:pPr>
        <w:spacing w:line="360" w:lineRule="auto"/>
        <w:jc w:val="both"/>
        <w:rPr>
          <w:rFonts w:ascii="Arial" w:hAnsi="Arial" w:cs="Arial"/>
          <w:sz w:val="20"/>
          <w:szCs w:val="20"/>
        </w:rPr>
      </w:pPr>
      <w:r w:rsidRPr="0066543C">
        <w:rPr>
          <w:rFonts w:ascii="Arial" w:hAnsi="Arial" w:cs="Arial"/>
          <w:sz w:val="20"/>
          <w:szCs w:val="20"/>
        </w:rPr>
        <w:t>The purple colour of the DPPH solution gradually changed to yellow upon addition of the methanol fraction, indicating reduction of DPPH radicals. Increase in sample concentration showed progressive decrease in absorbance at 517 nm. The methanol fraction displayed a dose-dependent scavenging activity, similar in trend to the standard antioxidant (Ascorbic acid). At higher concentrations, the reaction mixture became visibly lighter, confirming increased free radical scavenging. The methanol fraction exhibited significant DPPH radical scavenging activity, which increased with concentration. The fraction achieved a maximum of approximately 60–65% inhibition at 100 µg/mL. The methanol fraction showed good antioxidant activity in the DPPH assay, demonstrating its ability to effectively neutralize free radicals in a dose-dependent manner</w:t>
      </w:r>
      <w:r w:rsidR="00AF1CD6">
        <w:rPr>
          <w:rFonts w:ascii="Arial" w:hAnsi="Arial" w:cs="Arial"/>
          <w:sz w:val="20"/>
          <w:szCs w:val="20"/>
        </w:rPr>
        <w:t xml:space="preserve"> (</w:t>
      </w:r>
      <w:r w:rsidR="005B313F">
        <w:rPr>
          <w:rFonts w:ascii="Arial" w:hAnsi="Arial" w:cs="Arial"/>
          <w:sz w:val="20"/>
          <w:szCs w:val="20"/>
        </w:rPr>
        <w:t xml:space="preserve">Kumar et al., 2014; </w:t>
      </w:r>
      <w:r w:rsidR="00AF1CD6">
        <w:rPr>
          <w:rFonts w:ascii="Arial" w:hAnsi="Arial" w:cs="Arial"/>
          <w:sz w:val="20"/>
          <w:szCs w:val="20"/>
        </w:rPr>
        <w:t>Anas et. Al., 2016)</w:t>
      </w:r>
      <w:r w:rsidRPr="0066543C">
        <w:rPr>
          <w:rFonts w:ascii="Arial" w:hAnsi="Arial" w:cs="Arial"/>
          <w:sz w:val="20"/>
          <w:szCs w:val="20"/>
        </w:rPr>
        <w:t>.</w:t>
      </w:r>
    </w:p>
    <w:p w14:paraId="1C2F7B28" w14:textId="1897993B" w:rsidR="006E5B68" w:rsidRPr="0066543C" w:rsidRDefault="006E5B68" w:rsidP="00E20DF9">
      <w:pPr>
        <w:rPr>
          <w:rFonts w:ascii="Arial" w:hAnsi="Arial" w:cs="Arial"/>
          <w:color w:val="000000" w:themeColor="text1"/>
          <w:sz w:val="24"/>
          <w:szCs w:val="24"/>
        </w:rPr>
      </w:pPr>
    </w:p>
    <w:p w14:paraId="745BD9E8" w14:textId="1FD3F963" w:rsidR="00C43B80" w:rsidRPr="0066543C" w:rsidRDefault="00C43B80" w:rsidP="00C43B80">
      <w:pPr>
        <w:jc w:val="center"/>
        <w:rPr>
          <w:rFonts w:ascii="Arial" w:hAnsi="Arial" w:cs="Arial"/>
          <w:color w:val="000000" w:themeColor="text1"/>
          <w:sz w:val="24"/>
          <w:szCs w:val="24"/>
        </w:rPr>
      </w:pPr>
      <w:r w:rsidRPr="0066543C">
        <w:rPr>
          <w:rFonts w:ascii="Arial" w:hAnsi="Arial" w:cs="Arial"/>
          <w:noProof/>
          <w:color w:val="000000" w:themeColor="text1"/>
          <w:sz w:val="24"/>
          <w:szCs w:val="24"/>
          <w:lang w:eastAsia="en-IN"/>
        </w:rPr>
        <w:drawing>
          <wp:inline distT="0" distB="0" distL="0" distR="0" wp14:anchorId="2212FCB8" wp14:editId="6D8EE318">
            <wp:extent cx="3927764" cy="2100695"/>
            <wp:effectExtent l="0" t="0" r="0" b="0"/>
            <wp:docPr id="1447834040" name="Chart 1">
              <a:extLst xmlns:a="http://schemas.openxmlformats.org/drawingml/2006/main">
                <a:ext uri="{FF2B5EF4-FFF2-40B4-BE49-F238E27FC236}">
                  <a16:creationId xmlns:a16="http://schemas.microsoft.com/office/drawing/2014/main" id="{2EB5A156-804F-2B86-4EB7-D48D605CE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F35E827" w14:textId="3BEA65D3" w:rsidR="00E0433A" w:rsidRPr="0066543C" w:rsidRDefault="00E0433A" w:rsidP="00E20DF9">
      <w:pPr>
        <w:rPr>
          <w:rFonts w:ascii="Arial" w:hAnsi="Arial" w:cs="Arial"/>
          <w:b/>
          <w:bCs/>
          <w:color w:val="000000" w:themeColor="text1"/>
          <w:sz w:val="20"/>
          <w:szCs w:val="20"/>
        </w:rPr>
      </w:pPr>
      <w:r w:rsidRPr="0066543C">
        <w:rPr>
          <w:rFonts w:ascii="Arial" w:hAnsi="Arial" w:cs="Arial"/>
          <w:b/>
          <w:bCs/>
          <w:color w:val="000000" w:themeColor="text1"/>
          <w:sz w:val="20"/>
          <w:szCs w:val="20"/>
        </w:rPr>
        <w:t>Figure</w:t>
      </w:r>
      <w:r w:rsidR="00E3244A">
        <w:rPr>
          <w:rFonts w:ascii="Arial" w:hAnsi="Arial" w:cs="Arial"/>
          <w:b/>
          <w:bCs/>
          <w:color w:val="000000" w:themeColor="text1"/>
          <w:sz w:val="20"/>
          <w:szCs w:val="20"/>
        </w:rPr>
        <w:t xml:space="preserve"> 7</w:t>
      </w:r>
      <w:r w:rsidRPr="0066543C">
        <w:rPr>
          <w:rFonts w:ascii="Arial" w:hAnsi="Arial" w:cs="Arial"/>
          <w:b/>
          <w:bCs/>
          <w:color w:val="000000" w:themeColor="text1"/>
          <w:sz w:val="20"/>
          <w:szCs w:val="20"/>
        </w:rPr>
        <w:t>: Antioxidants properties of methanol fraction of the sampl</w:t>
      </w:r>
      <w:r w:rsidR="00B31E33" w:rsidRPr="0066543C">
        <w:rPr>
          <w:rFonts w:ascii="Arial" w:hAnsi="Arial" w:cs="Arial"/>
          <w:b/>
          <w:bCs/>
          <w:color w:val="000000" w:themeColor="text1"/>
          <w:sz w:val="20"/>
          <w:szCs w:val="20"/>
        </w:rPr>
        <w:t>es expressed as their ability to scavenge DPPH</w:t>
      </w:r>
      <w:r w:rsidR="00C43B80" w:rsidRPr="0066543C">
        <w:rPr>
          <w:rFonts w:ascii="Arial" w:hAnsi="Arial" w:cs="Arial"/>
          <w:b/>
          <w:bCs/>
          <w:color w:val="000000" w:themeColor="text1"/>
          <w:sz w:val="20"/>
          <w:szCs w:val="20"/>
        </w:rPr>
        <w:t xml:space="preserve"> (%RSA: % Radical Scavenging Activity)</w:t>
      </w:r>
    </w:p>
    <w:p w14:paraId="43042D41" w14:textId="06BD417B" w:rsidR="001E7162" w:rsidRPr="0066543C" w:rsidRDefault="005A67D8" w:rsidP="001E7162">
      <w:pPr>
        <w:spacing w:line="360" w:lineRule="auto"/>
        <w:jc w:val="both"/>
        <w:rPr>
          <w:rFonts w:ascii="Arial" w:hAnsi="Arial" w:cs="Arial"/>
          <w:b/>
          <w:bCs/>
          <w:color w:val="000000" w:themeColor="text1"/>
        </w:rPr>
      </w:pPr>
      <w:r w:rsidRPr="0066543C">
        <w:rPr>
          <w:rFonts w:ascii="Arial" w:hAnsi="Arial" w:cs="Arial"/>
          <w:b/>
          <w:bCs/>
          <w:color w:val="000000" w:themeColor="text1"/>
        </w:rPr>
        <w:t>EFFECT OF CYANOBACTERIA ON SEED GERMINATION</w:t>
      </w:r>
    </w:p>
    <w:p w14:paraId="369C35B8" w14:textId="77777777" w:rsidR="00B24143" w:rsidRPr="0066543C" w:rsidRDefault="00B24143" w:rsidP="00B24143">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Cyanobacteria, functioning as natural biofertilizers and phytohormone producers, play a vital role in enhancing seed germination and early seedling establishment by improving nutrient accessibility and stimulating root and shoot development. In the present study, seeds treated with </w:t>
      </w:r>
      <w:r w:rsidRPr="0066543C">
        <w:rPr>
          <w:rFonts w:ascii="Arial" w:hAnsi="Arial" w:cs="Arial"/>
          <w:i/>
          <w:iCs/>
          <w:color w:val="000000" w:themeColor="text1"/>
          <w:sz w:val="20"/>
          <w:szCs w:val="20"/>
        </w:rPr>
        <w:t>Leptolyngbya sp.</w:t>
      </w:r>
      <w:r w:rsidRPr="0066543C">
        <w:rPr>
          <w:rFonts w:ascii="Arial" w:hAnsi="Arial" w:cs="Arial"/>
          <w:color w:val="000000" w:themeColor="text1"/>
          <w:sz w:val="20"/>
          <w:szCs w:val="20"/>
        </w:rPr>
        <w:t xml:space="preserve"> exhibited the earliest germination, which was observed after 2 days, with seedlings attaining an average shoot height of 5.5 cm and root length of 3.0 cm within 12 days. In contrast, the control (untreated seeds) showed delayed germination, beginning only after 5 days, with seedlings achieving an average shoot height of 2.5 cm and root length of 1.5 cm after 20 days. These results clearly demonstrate the positive influence of cyanobacterial inoculation on accelerating germination, promoting seedling growth, and enhancing early root-shoot development compared to untreated controls.</w:t>
      </w:r>
    </w:p>
    <w:p w14:paraId="21C5A0CC" w14:textId="77777777" w:rsidR="00B24143" w:rsidRPr="0066543C" w:rsidRDefault="00B24143" w:rsidP="00B24143">
      <w:pPr>
        <w:spacing w:line="360" w:lineRule="auto"/>
        <w:jc w:val="center"/>
        <w:rPr>
          <w:rFonts w:ascii="Arial" w:hAnsi="Arial" w:cs="Arial"/>
          <w:color w:val="000000" w:themeColor="text1"/>
          <w:sz w:val="24"/>
          <w:szCs w:val="24"/>
        </w:rPr>
      </w:pPr>
      <w:r w:rsidRPr="0066543C">
        <w:rPr>
          <w:rFonts w:ascii="Arial" w:hAnsi="Arial" w:cs="Arial"/>
          <w:noProof/>
          <w:lang w:eastAsia="en-IN"/>
        </w:rPr>
        <w:drawing>
          <wp:inline distT="0" distB="0" distL="0" distR="0" wp14:anchorId="52F93B57" wp14:editId="3E664854">
            <wp:extent cx="982980" cy="1898441"/>
            <wp:effectExtent l="0" t="0" r="7620" b="6985"/>
            <wp:docPr id="723756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878" r="30645" b="3662"/>
                    <a:stretch>
                      <a:fillRect/>
                    </a:stretch>
                  </pic:blipFill>
                  <pic:spPr bwMode="auto">
                    <a:xfrm>
                      <a:off x="0" y="0"/>
                      <a:ext cx="988585" cy="1909265"/>
                    </a:xfrm>
                    <a:prstGeom prst="rect">
                      <a:avLst/>
                    </a:prstGeom>
                    <a:noFill/>
                    <a:ln>
                      <a:noFill/>
                    </a:ln>
                    <a:extLst>
                      <a:ext uri="{53640926-AAD7-44D8-BBD7-CCE9431645EC}">
                        <a14:shadowObscured xmlns:a14="http://schemas.microsoft.com/office/drawing/2010/main"/>
                      </a:ext>
                    </a:extLst>
                  </pic:spPr>
                </pic:pic>
              </a:graphicData>
            </a:graphic>
          </wp:inline>
        </w:drawing>
      </w:r>
    </w:p>
    <w:p w14:paraId="12B17525" w14:textId="7BD97963" w:rsidR="00B24143" w:rsidRPr="0066543C" w:rsidRDefault="00B24143" w:rsidP="00584822">
      <w:pPr>
        <w:spacing w:line="360" w:lineRule="auto"/>
        <w:jc w:val="both"/>
        <w:rPr>
          <w:rFonts w:ascii="Arial" w:hAnsi="Arial" w:cs="Arial"/>
          <w:b/>
          <w:bCs/>
          <w:i/>
          <w:iCs/>
          <w:color w:val="000000" w:themeColor="text1"/>
          <w:sz w:val="20"/>
          <w:szCs w:val="20"/>
        </w:rPr>
      </w:pPr>
      <w:r w:rsidRPr="0066543C">
        <w:rPr>
          <w:rFonts w:ascii="Arial" w:hAnsi="Arial" w:cs="Arial"/>
          <w:b/>
          <w:bCs/>
          <w:color w:val="000000" w:themeColor="text1"/>
          <w:sz w:val="20"/>
          <w:szCs w:val="20"/>
        </w:rPr>
        <w:t xml:space="preserve">Figure </w:t>
      </w:r>
      <w:r w:rsidR="00E3244A">
        <w:rPr>
          <w:rFonts w:ascii="Arial" w:hAnsi="Arial" w:cs="Arial"/>
          <w:b/>
          <w:bCs/>
          <w:color w:val="000000" w:themeColor="text1"/>
          <w:sz w:val="20"/>
          <w:szCs w:val="20"/>
        </w:rPr>
        <w:t>8</w:t>
      </w:r>
      <w:r w:rsidRPr="0066543C">
        <w:rPr>
          <w:rFonts w:ascii="Arial" w:hAnsi="Arial" w:cs="Arial"/>
          <w:b/>
          <w:bCs/>
          <w:color w:val="000000" w:themeColor="text1"/>
          <w:sz w:val="20"/>
          <w:szCs w:val="20"/>
        </w:rPr>
        <w:t xml:space="preserve">: Effect of cyanobacteria on seed germination as Control (C) and treatment with </w:t>
      </w:r>
      <w:r w:rsidRPr="0066543C">
        <w:rPr>
          <w:rFonts w:ascii="Arial" w:hAnsi="Arial" w:cs="Arial"/>
          <w:b/>
          <w:bCs/>
          <w:i/>
          <w:iCs/>
          <w:color w:val="000000" w:themeColor="text1"/>
          <w:sz w:val="20"/>
          <w:szCs w:val="20"/>
        </w:rPr>
        <w:t>Leptolyngbya sp.</w:t>
      </w:r>
      <w:r w:rsidRPr="0066543C">
        <w:rPr>
          <w:rFonts w:ascii="Arial" w:hAnsi="Arial" w:cs="Arial"/>
          <w:b/>
          <w:bCs/>
          <w:color w:val="000000" w:themeColor="text1"/>
          <w:sz w:val="20"/>
          <w:szCs w:val="20"/>
        </w:rPr>
        <w:t xml:space="preserve"> (TN)</w:t>
      </w:r>
    </w:p>
    <w:p w14:paraId="708494BE" w14:textId="77777777" w:rsidR="001A449E" w:rsidRPr="0066543C" w:rsidRDefault="001A449E" w:rsidP="001A449E">
      <w:pPr>
        <w:rPr>
          <w:rFonts w:ascii="Arial" w:hAnsi="Arial" w:cs="Arial"/>
          <w:b/>
          <w:bCs/>
          <w:color w:val="000000" w:themeColor="text1"/>
          <w:sz w:val="20"/>
          <w:szCs w:val="20"/>
        </w:rPr>
      </w:pPr>
      <w:r w:rsidRPr="0066543C">
        <w:rPr>
          <w:rFonts w:ascii="Arial" w:hAnsi="Arial" w:cs="Arial"/>
          <w:b/>
          <w:bCs/>
          <w:color w:val="000000" w:themeColor="text1"/>
          <w:sz w:val="20"/>
          <w:szCs w:val="20"/>
        </w:rPr>
        <w:t xml:space="preserve">Table 2: Effect of </w:t>
      </w:r>
      <w:r w:rsidRPr="0066543C">
        <w:rPr>
          <w:rFonts w:ascii="Arial" w:hAnsi="Arial" w:cs="Arial"/>
          <w:b/>
          <w:bCs/>
          <w:i/>
          <w:iCs/>
          <w:color w:val="000000" w:themeColor="text1"/>
          <w:sz w:val="20"/>
          <w:szCs w:val="20"/>
        </w:rPr>
        <w:t>Leptolyngbya sp.</w:t>
      </w:r>
      <w:r w:rsidRPr="0066543C">
        <w:rPr>
          <w:rFonts w:ascii="Arial" w:hAnsi="Arial" w:cs="Arial"/>
          <w:b/>
          <w:bCs/>
          <w:color w:val="000000" w:themeColor="text1"/>
          <w:sz w:val="20"/>
          <w:szCs w:val="20"/>
        </w:rPr>
        <w:t xml:space="preserve"> on germination of rice seeds</w:t>
      </w:r>
    </w:p>
    <w:tbl>
      <w:tblPr>
        <w:tblStyle w:val="TableGrid"/>
        <w:tblW w:w="5382" w:type="dxa"/>
        <w:jc w:val="center"/>
        <w:tblLayout w:type="fixed"/>
        <w:tblLook w:val="04A0" w:firstRow="1" w:lastRow="0" w:firstColumn="1" w:lastColumn="0" w:noHBand="0" w:noVBand="1"/>
      </w:tblPr>
      <w:tblGrid>
        <w:gridCol w:w="2426"/>
        <w:gridCol w:w="1538"/>
        <w:gridCol w:w="1418"/>
      </w:tblGrid>
      <w:tr w:rsidR="00B24143" w:rsidRPr="0066543C" w14:paraId="0FB83EFE" w14:textId="77777777" w:rsidTr="00584822">
        <w:trPr>
          <w:trHeight w:val="699"/>
          <w:jc w:val="center"/>
        </w:trPr>
        <w:tc>
          <w:tcPr>
            <w:tcW w:w="2426" w:type="dxa"/>
            <w:tcBorders>
              <w:top w:val="single" w:sz="4" w:space="0" w:color="auto"/>
              <w:left w:val="single" w:sz="4" w:space="0" w:color="auto"/>
              <w:bottom w:val="single" w:sz="4" w:space="0" w:color="auto"/>
              <w:right w:val="single" w:sz="4" w:space="0" w:color="auto"/>
            </w:tcBorders>
            <w:hideMark/>
          </w:tcPr>
          <w:p w14:paraId="3CE7D01A" w14:textId="77777777" w:rsidR="00B24143" w:rsidRPr="0066543C" w:rsidRDefault="00B24143" w:rsidP="007F5DD7">
            <w:pPr>
              <w:spacing w:after="160" w:line="278" w:lineRule="auto"/>
              <w:jc w:val="center"/>
              <w:rPr>
                <w:rFonts w:ascii="Arial" w:hAnsi="Arial" w:cs="Arial"/>
                <w:b/>
                <w:bCs/>
                <w:color w:val="000000" w:themeColor="text1"/>
                <w:sz w:val="20"/>
                <w:szCs w:val="20"/>
              </w:rPr>
            </w:pPr>
            <w:r w:rsidRPr="0066543C">
              <w:rPr>
                <w:rFonts w:ascii="Arial" w:hAnsi="Arial" w:cs="Arial"/>
                <w:b/>
                <w:bCs/>
                <w:color w:val="000000" w:themeColor="text1"/>
                <w:sz w:val="20"/>
                <w:szCs w:val="20"/>
              </w:rPr>
              <w:t>Sample/Parameter</w:t>
            </w:r>
          </w:p>
        </w:tc>
        <w:tc>
          <w:tcPr>
            <w:tcW w:w="1538" w:type="dxa"/>
            <w:tcBorders>
              <w:top w:val="single" w:sz="4" w:space="0" w:color="auto"/>
              <w:left w:val="single" w:sz="4" w:space="0" w:color="auto"/>
              <w:bottom w:val="single" w:sz="4" w:space="0" w:color="auto"/>
              <w:right w:val="single" w:sz="4" w:space="0" w:color="auto"/>
            </w:tcBorders>
          </w:tcPr>
          <w:p w14:paraId="2427501C" w14:textId="77777777" w:rsidR="00B24143" w:rsidRPr="0066543C" w:rsidRDefault="00B24143" w:rsidP="007F5DD7">
            <w:pPr>
              <w:spacing w:after="160" w:line="278" w:lineRule="auto"/>
              <w:jc w:val="center"/>
              <w:rPr>
                <w:rFonts w:ascii="Arial" w:hAnsi="Arial" w:cs="Arial"/>
                <w:b/>
                <w:bCs/>
                <w:color w:val="000000" w:themeColor="text1"/>
                <w:sz w:val="20"/>
                <w:szCs w:val="20"/>
              </w:rPr>
            </w:pPr>
            <w:r w:rsidRPr="0066543C">
              <w:rPr>
                <w:rFonts w:ascii="Arial" w:hAnsi="Arial" w:cs="Arial"/>
                <w:b/>
                <w:bCs/>
                <w:color w:val="000000" w:themeColor="text1"/>
                <w:sz w:val="20"/>
                <w:szCs w:val="20"/>
              </w:rPr>
              <w:t>Control</w:t>
            </w:r>
          </w:p>
        </w:tc>
        <w:tc>
          <w:tcPr>
            <w:tcW w:w="1418" w:type="dxa"/>
            <w:tcBorders>
              <w:top w:val="single" w:sz="4" w:space="0" w:color="auto"/>
              <w:left w:val="single" w:sz="4" w:space="0" w:color="auto"/>
              <w:bottom w:val="single" w:sz="4" w:space="0" w:color="auto"/>
              <w:right w:val="single" w:sz="4" w:space="0" w:color="auto"/>
            </w:tcBorders>
          </w:tcPr>
          <w:p w14:paraId="07896066" w14:textId="77777777" w:rsidR="00584822" w:rsidRPr="0066543C" w:rsidRDefault="00B24143" w:rsidP="007F5DD7">
            <w:pPr>
              <w:spacing w:after="160" w:line="278" w:lineRule="auto"/>
              <w:rPr>
                <w:rFonts w:ascii="Arial" w:hAnsi="Arial" w:cs="Arial"/>
                <w:b/>
                <w:bCs/>
                <w:color w:val="000000" w:themeColor="text1"/>
                <w:sz w:val="20"/>
                <w:szCs w:val="20"/>
              </w:rPr>
            </w:pPr>
            <w:r w:rsidRPr="0066543C">
              <w:rPr>
                <w:rFonts w:ascii="Arial" w:hAnsi="Arial" w:cs="Arial"/>
                <w:b/>
                <w:bCs/>
                <w:color w:val="000000" w:themeColor="text1"/>
                <w:sz w:val="20"/>
                <w:szCs w:val="20"/>
              </w:rPr>
              <w:t>Treatment</w:t>
            </w:r>
          </w:p>
          <w:p w14:paraId="133913C6" w14:textId="3C43DD6E" w:rsidR="00B24143" w:rsidRPr="0066543C" w:rsidRDefault="00B24143" w:rsidP="00584822">
            <w:pPr>
              <w:spacing w:after="160" w:line="278" w:lineRule="auto"/>
              <w:jc w:val="center"/>
              <w:rPr>
                <w:rFonts w:ascii="Arial" w:hAnsi="Arial" w:cs="Arial"/>
                <w:b/>
                <w:bCs/>
                <w:color w:val="000000" w:themeColor="text1"/>
                <w:sz w:val="20"/>
                <w:szCs w:val="20"/>
              </w:rPr>
            </w:pPr>
            <w:r w:rsidRPr="0066543C">
              <w:rPr>
                <w:rFonts w:ascii="Arial" w:hAnsi="Arial" w:cs="Arial"/>
                <w:b/>
                <w:bCs/>
                <w:color w:val="000000" w:themeColor="text1"/>
                <w:sz w:val="20"/>
                <w:szCs w:val="20"/>
              </w:rPr>
              <w:t>(TN)</w:t>
            </w:r>
          </w:p>
        </w:tc>
      </w:tr>
      <w:tr w:rsidR="00B24143" w:rsidRPr="0066543C" w14:paraId="4AE65813" w14:textId="77777777" w:rsidTr="00584822">
        <w:trPr>
          <w:jc w:val="center"/>
        </w:trPr>
        <w:tc>
          <w:tcPr>
            <w:tcW w:w="2426" w:type="dxa"/>
            <w:tcBorders>
              <w:top w:val="single" w:sz="4" w:space="0" w:color="auto"/>
              <w:left w:val="single" w:sz="4" w:space="0" w:color="auto"/>
              <w:bottom w:val="single" w:sz="4" w:space="0" w:color="auto"/>
              <w:right w:val="single" w:sz="4" w:space="0" w:color="auto"/>
            </w:tcBorders>
            <w:hideMark/>
          </w:tcPr>
          <w:p w14:paraId="2A554242" w14:textId="77777777" w:rsidR="00B24143" w:rsidRPr="0066543C" w:rsidRDefault="00B24143" w:rsidP="00497C5F">
            <w:pPr>
              <w:spacing w:after="160" w:line="278" w:lineRule="auto"/>
              <w:rPr>
                <w:rFonts w:ascii="Arial" w:hAnsi="Arial" w:cs="Arial"/>
                <w:color w:val="000000" w:themeColor="text1"/>
                <w:sz w:val="20"/>
                <w:szCs w:val="20"/>
              </w:rPr>
            </w:pPr>
            <w:r w:rsidRPr="0066543C">
              <w:rPr>
                <w:rFonts w:ascii="Arial" w:hAnsi="Arial" w:cs="Arial"/>
                <w:color w:val="000000" w:themeColor="text1"/>
                <w:sz w:val="20"/>
                <w:szCs w:val="20"/>
              </w:rPr>
              <w:t>Seedlings height (cm)</w:t>
            </w:r>
          </w:p>
        </w:tc>
        <w:tc>
          <w:tcPr>
            <w:tcW w:w="1538" w:type="dxa"/>
            <w:tcBorders>
              <w:top w:val="single" w:sz="4" w:space="0" w:color="auto"/>
              <w:left w:val="single" w:sz="4" w:space="0" w:color="auto"/>
              <w:bottom w:val="single" w:sz="4" w:space="0" w:color="auto"/>
              <w:right w:val="single" w:sz="4" w:space="0" w:color="auto"/>
            </w:tcBorders>
          </w:tcPr>
          <w:p w14:paraId="23DBA95B" w14:textId="77777777" w:rsidR="00B24143" w:rsidRPr="0066543C" w:rsidRDefault="00B24143" w:rsidP="00497C5F">
            <w:pPr>
              <w:spacing w:after="160" w:line="278" w:lineRule="auto"/>
              <w:ind w:left="166"/>
              <w:rPr>
                <w:rFonts w:ascii="Arial" w:hAnsi="Arial" w:cs="Arial"/>
                <w:color w:val="000000" w:themeColor="text1"/>
                <w:sz w:val="20"/>
                <w:szCs w:val="20"/>
              </w:rPr>
            </w:pPr>
            <w:r w:rsidRPr="0066543C">
              <w:rPr>
                <w:rFonts w:ascii="Arial" w:hAnsi="Arial" w:cs="Arial"/>
                <w:color w:val="000000" w:themeColor="text1"/>
                <w:sz w:val="20"/>
                <w:szCs w:val="20"/>
              </w:rPr>
              <w:t>2.5</w:t>
            </w:r>
          </w:p>
        </w:tc>
        <w:tc>
          <w:tcPr>
            <w:tcW w:w="1418" w:type="dxa"/>
            <w:tcBorders>
              <w:top w:val="single" w:sz="4" w:space="0" w:color="auto"/>
              <w:left w:val="single" w:sz="4" w:space="0" w:color="auto"/>
              <w:bottom w:val="single" w:sz="4" w:space="0" w:color="auto"/>
              <w:right w:val="single" w:sz="4" w:space="0" w:color="auto"/>
            </w:tcBorders>
          </w:tcPr>
          <w:p w14:paraId="3CFCD78F" w14:textId="77777777" w:rsidR="00B24143" w:rsidRPr="0066543C" w:rsidRDefault="00B24143" w:rsidP="00497C5F">
            <w:pPr>
              <w:spacing w:after="160" w:line="278" w:lineRule="auto"/>
              <w:rPr>
                <w:rFonts w:ascii="Arial" w:hAnsi="Arial" w:cs="Arial"/>
                <w:color w:val="000000" w:themeColor="text1"/>
                <w:sz w:val="20"/>
                <w:szCs w:val="20"/>
              </w:rPr>
            </w:pPr>
            <w:r w:rsidRPr="0066543C">
              <w:rPr>
                <w:rFonts w:ascii="Arial" w:hAnsi="Arial" w:cs="Arial"/>
                <w:color w:val="000000" w:themeColor="text1"/>
                <w:sz w:val="20"/>
                <w:szCs w:val="20"/>
              </w:rPr>
              <w:t>5.5</w:t>
            </w:r>
          </w:p>
        </w:tc>
      </w:tr>
      <w:tr w:rsidR="00B24143" w:rsidRPr="0066543C" w14:paraId="729204D9" w14:textId="77777777" w:rsidTr="00584822">
        <w:trPr>
          <w:jc w:val="center"/>
        </w:trPr>
        <w:tc>
          <w:tcPr>
            <w:tcW w:w="2426" w:type="dxa"/>
            <w:tcBorders>
              <w:top w:val="single" w:sz="4" w:space="0" w:color="auto"/>
              <w:left w:val="single" w:sz="4" w:space="0" w:color="auto"/>
              <w:bottom w:val="single" w:sz="4" w:space="0" w:color="auto"/>
              <w:right w:val="single" w:sz="4" w:space="0" w:color="auto"/>
            </w:tcBorders>
            <w:hideMark/>
          </w:tcPr>
          <w:p w14:paraId="01CDA38D" w14:textId="77777777" w:rsidR="00B24143" w:rsidRPr="0066543C" w:rsidRDefault="00B24143" w:rsidP="00497C5F">
            <w:pPr>
              <w:spacing w:after="160" w:line="278" w:lineRule="auto"/>
              <w:rPr>
                <w:rFonts w:ascii="Arial" w:hAnsi="Arial" w:cs="Arial"/>
                <w:color w:val="000000" w:themeColor="text1"/>
                <w:sz w:val="20"/>
                <w:szCs w:val="20"/>
              </w:rPr>
            </w:pPr>
            <w:r w:rsidRPr="0066543C">
              <w:rPr>
                <w:rFonts w:ascii="Arial" w:hAnsi="Arial" w:cs="Arial"/>
                <w:color w:val="000000" w:themeColor="text1"/>
                <w:sz w:val="20"/>
                <w:szCs w:val="20"/>
              </w:rPr>
              <w:t>Root length (cm)</w:t>
            </w:r>
          </w:p>
        </w:tc>
        <w:tc>
          <w:tcPr>
            <w:tcW w:w="1538" w:type="dxa"/>
            <w:tcBorders>
              <w:top w:val="single" w:sz="4" w:space="0" w:color="auto"/>
              <w:left w:val="single" w:sz="4" w:space="0" w:color="auto"/>
              <w:bottom w:val="single" w:sz="4" w:space="0" w:color="auto"/>
              <w:right w:val="single" w:sz="4" w:space="0" w:color="auto"/>
            </w:tcBorders>
          </w:tcPr>
          <w:p w14:paraId="4908191C" w14:textId="77777777" w:rsidR="00B24143" w:rsidRPr="0066543C" w:rsidRDefault="00B24143" w:rsidP="00497C5F">
            <w:pPr>
              <w:spacing w:after="160" w:line="278" w:lineRule="auto"/>
              <w:ind w:left="238"/>
              <w:rPr>
                <w:rFonts w:ascii="Arial" w:hAnsi="Arial" w:cs="Arial"/>
                <w:color w:val="000000" w:themeColor="text1"/>
                <w:sz w:val="20"/>
                <w:szCs w:val="20"/>
              </w:rPr>
            </w:pPr>
            <w:r w:rsidRPr="0066543C">
              <w:rPr>
                <w:rFonts w:ascii="Arial" w:hAnsi="Arial" w:cs="Arial"/>
                <w:color w:val="000000" w:themeColor="text1"/>
                <w:sz w:val="20"/>
                <w:szCs w:val="20"/>
              </w:rPr>
              <w:t>1.5</w:t>
            </w:r>
          </w:p>
        </w:tc>
        <w:tc>
          <w:tcPr>
            <w:tcW w:w="1418" w:type="dxa"/>
            <w:tcBorders>
              <w:top w:val="single" w:sz="4" w:space="0" w:color="auto"/>
              <w:left w:val="single" w:sz="4" w:space="0" w:color="auto"/>
              <w:bottom w:val="single" w:sz="4" w:space="0" w:color="auto"/>
              <w:right w:val="single" w:sz="4" w:space="0" w:color="auto"/>
            </w:tcBorders>
          </w:tcPr>
          <w:p w14:paraId="56B82C8D" w14:textId="77777777" w:rsidR="00B24143" w:rsidRPr="0066543C" w:rsidRDefault="00B24143" w:rsidP="00497C5F">
            <w:pPr>
              <w:spacing w:after="160" w:line="278" w:lineRule="auto"/>
              <w:rPr>
                <w:rFonts w:ascii="Arial" w:hAnsi="Arial" w:cs="Arial"/>
                <w:color w:val="000000" w:themeColor="text1"/>
                <w:sz w:val="20"/>
                <w:szCs w:val="20"/>
              </w:rPr>
            </w:pPr>
            <w:r w:rsidRPr="0066543C">
              <w:rPr>
                <w:rFonts w:ascii="Arial" w:hAnsi="Arial" w:cs="Arial"/>
                <w:color w:val="000000" w:themeColor="text1"/>
                <w:sz w:val="20"/>
                <w:szCs w:val="20"/>
              </w:rPr>
              <w:t>3.0</w:t>
            </w:r>
          </w:p>
        </w:tc>
      </w:tr>
      <w:tr w:rsidR="00B24143" w:rsidRPr="0066543C" w14:paraId="6E0E1296" w14:textId="77777777" w:rsidTr="00584822">
        <w:trPr>
          <w:jc w:val="center"/>
        </w:trPr>
        <w:tc>
          <w:tcPr>
            <w:tcW w:w="2426" w:type="dxa"/>
            <w:tcBorders>
              <w:top w:val="single" w:sz="4" w:space="0" w:color="auto"/>
              <w:left w:val="single" w:sz="4" w:space="0" w:color="auto"/>
              <w:bottom w:val="single" w:sz="4" w:space="0" w:color="auto"/>
              <w:right w:val="single" w:sz="4" w:space="0" w:color="auto"/>
            </w:tcBorders>
            <w:hideMark/>
          </w:tcPr>
          <w:p w14:paraId="66D0DAB0" w14:textId="77777777" w:rsidR="00B24143" w:rsidRPr="0066543C" w:rsidRDefault="00B24143" w:rsidP="00497C5F">
            <w:pPr>
              <w:spacing w:after="160" w:line="278" w:lineRule="auto"/>
              <w:rPr>
                <w:rFonts w:ascii="Arial" w:hAnsi="Arial" w:cs="Arial"/>
                <w:color w:val="000000" w:themeColor="text1"/>
                <w:sz w:val="20"/>
                <w:szCs w:val="20"/>
              </w:rPr>
            </w:pPr>
            <w:r w:rsidRPr="0066543C">
              <w:rPr>
                <w:rFonts w:ascii="Arial" w:hAnsi="Arial" w:cs="Arial"/>
                <w:color w:val="000000" w:themeColor="text1"/>
                <w:sz w:val="20"/>
                <w:szCs w:val="20"/>
              </w:rPr>
              <w:t>Period of germination times</w:t>
            </w:r>
          </w:p>
        </w:tc>
        <w:tc>
          <w:tcPr>
            <w:tcW w:w="1538" w:type="dxa"/>
            <w:tcBorders>
              <w:top w:val="single" w:sz="4" w:space="0" w:color="auto"/>
              <w:left w:val="single" w:sz="4" w:space="0" w:color="auto"/>
              <w:bottom w:val="single" w:sz="4" w:space="0" w:color="auto"/>
              <w:right w:val="single" w:sz="4" w:space="0" w:color="auto"/>
            </w:tcBorders>
          </w:tcPr>
          <w:p w14:paraId="75627477" w14:textId="77777777" w:rsidR="00B24143" w:rsidRPr="0066543C" w:rsidRDefault="00B24143" w:rsidP="00497C5F">
            <w:pPr>
              <w:spacing w:after="160" w:line="278" w:lineRule="auto"/>
              <w:ind w:left="266"/>
              <w:rPr>
                <w:rFonts w:ascii="Arial" w:hAnsi="Arial" w:cs="Arial"/>
                <w:color w:val="000000" w:themeColor="text1"/>
                <w:sz w:val="20"/>
                <w:szCs w:val="20"/>
              </w:rPr>
            </w:pPr>
            <w:r w:rsidRPr="0066543C">
              <w:rPr>
                <w:rFonts w:ascii="Arial" w:hAnsi="Arial" w:cs="Arial"/>
                <w:color w:val="000000" w:themeColor="text1"/>
                <w:sz w:val="20"/>
                <w:szCs w:val="20"/>
              </w:rPr>
              <w:t>20</w:t>
            </w:r>
          </w:p>
        </w:tc>
        <w:tc>
          <w:tcPr>
            <w:tcW w:w="1418" w:type="dxa"/>
            <w:tcBorders>
              <w:top w:val="single" w:sz="4" w:space="0" w:color="auto"/>
              <w:left w:val="single" w:sz="4" w:space="0" w:color="auto"/>
              <w:bottom w:val="single" w:sz="4" w:space="0" w:color="auto"/>
              <w:right w:val="single" w:sz="4" w:space="0" w:color="auto"/>
            </w:tcBorders>
          </w:tcPr>
          <w:p w14:paraId="5D1AF3F6" w14:textId="77777777" w:rsidR="00B24143" w:rsidRPr="0066543C" w:rsidRDefault="00B24143" w:rsidP="00497C5F">
            <w:pPr>
              <w:spacing w:after="160" w:line="278" w:lineRule="auto"/>
              <w:rPr>
                <w:rFonts w:ascii="Arial" w:hAnsi="Arial" w:cs="Arial"/>
                <w:color w:val="000000" w:themeColor="text1"/>
                <w:sz w:val="20"/>
                <w:szCs w:val="20"/>
              </w:rPr>
            </w:pPr>
            <w:r w:rsidRPr="0066543C">
              <w:rPr>
                <w:rFonts w:ascii="Arial" w:hAnsi="Arial" w:cs="Arial"/>
                <w:color w:val="000000" w:themeColor="text1"/>
                <w:sz w:val="20"/>
                <w:szCs w:val="20"/>
              </w:rPr>
              <w:t>12</w:t>
            </w:r>
          </w:p>
        </w:tc>
      </w:tr>
      <w:tr w:rsidR="00B24143" w:rsidRPr="0066543C" w14:paraId="5B99D344" w14:textId="77777777" w:rsidTr="00584822">
        <w:trPr>
          <w:jc w:val="center"/>
        </w:trPr>
        <w:tc>
          <w:tcPr>
            <w:tcW w:w="2426" w:type="dxa"/>
            <w:tcBorders>
              <w:top w:val="single" w:sz="4" w:space="0" w:color="auto"/>
              <w:left w:val="single" w:sz="4" w:space="0" w:color="auto"/>
              <w:bottom w:val="single" w:sz="4" w:space="0" w:color="auto"/>
              <w:right w:val="single" w:sz="4" w:space="0" w:color="auto"/>
            </w:tcBorders>
            <w:hideMark/>
          </w:tcPr>
          <w:p w14:paraId="2CEBE5C0" w14:textId="77777777" w:rsidR="00B24143" w:rsidRPr="0066543C" w:rsidRDefault="00B24143" w:rsidP="00497C5F">
            <w:pPr>
              <w:spacing w:after="160" w:line="278" w:lineRule="auto"/>
              <w:rPr>
                <w:rFonts w:ascii="Arial" w:hAnsi="Arial" w:cs="Arial"/>
                <w:color w:val="000000" w:themeColor="text1"/>
                <w:sz w:val="20"/>
                <w:szCs w:val="20"/>
              </w:rPr>
            </w:pPr>
            <w:r w:rsidRPr="0066543C">
              <w:rPr>
                <w:rFonts w:ascii="Arial" w:hAnsi="Arial" w:cs="Arial"/>
                <w:color w:val="000000" w:themeColor="text1"/>
                <w:sz w:val="20"/>
                <w:szCs w:val="20"/>
              </w:rPr>
              <w:t>Germination rate (%)</w:t>
            </w:r>
          </w:p>
        </w:tc>
        <w:tc>
          <w:tcPr>
            <w:tcW w:w="1538" w:type="dxa"/>
            <w:tcBorders>
              <w:top w:val="single" w:sz="4" w:space="0" w:color="auto"/>
              <w:left w:val="single" w:sz="4" w:space="0" w:color="auto"/>
              <w:bottom w:val="single" w:sz="4" w:space="0" w:color="auto"/>
              <w:right w:val="single" w:sz="4" w:space="0" w:color="auto"/>
            </w:tcBorders>
          </w:tcPr>
          <w:p w14:paraId="70D9C7E5" w14:textId="77777777" w:rsidR="00B24143" w:rsidRPr="0066543C" w:rsidRDefault="00B24143" w:rsidP="00497C5F">
            <w:pPr>
              <w:spacing w:after="160" w:line="278" w:lineRule="auto"/>
              <w:ind w:left="348"/>
              <w:rPr>
                <w:rFonts w:ascii="Arial" w:hAnsi="Arial" w:cs="Arial"/>
                <w:color w:val="000000" w:themeColor="text1"/>
                <w:sz w:val="20"/>
                <w:szCs w:val="20"/>
              </w:rPr>
            </w:pPr>
            <w:r w:rsidRPr="0066543C">
              <w:rPr>
                <w:rFonts w:ascii="Arial" w:hAnsi="Arial" w:cs="Arial"/>
                <w:color w:val="000000" w:themeColor="text1"/>
                <w:sz w:val="20"/>
                <w:szCs w:val="20"/>
              </w:rPr>
              <w:t>46</w:t>
            </w:r>
          </w:p>
        </w:tc>
        <w:tc>
          <w:tcPr>
            <w:tcW w:w="1418" w:type="dxa"/>
            <w:tcBorders>
              <w:top w:val="single" w:sz="4" w:space="0" w:color="auto"/>
              <w:left w:val="single" w:sz="4" w:space="0" w:color="auto"/>
              <w:bottom w:val="single" w:sz="4" w:space="0" w:color="auto"/>
              <w:right w:val="single" w:sz="4" w:space="0" w:color="auto"/>
            </w:tcBorders>
          </w:tcPr>
          <w:p w14:paraId="6DD69187" w14:textId="77777777" w:rsidR="00B24143" w:rsidRPr="0066543C" w:rsidRDefault="00B24143" w:rsidP="00497C5F">
            <w:pPr>
              <w:spacing w:after="160" w:line="278" w:lineRule="auto"/>
              <w:rPr>
                <w:rFonts w:ascii="Arial" w:hAnsi="Arial" w:cs="Arial"/>
                <w:color w:val="000000" w:themeColor="text1"/>
                <w:sz w:val="20"/>
                <w:szCs w:val="20"/>
              </w:rPr>
            </w:pPr>
            <w:r w:rsidRPr="0066543C">
              <w:rPr>
                <w:rFonts w:ascii="Arial" w:hAnsi="Arial" w:cs="Arial"/>
                <w:color w:val="000000" w:themeColor="text1"/>
                <w:sz w:val="20"/>
                <w:szCs w:val="20"/>
              </w:rPr>
              <w:t>91</w:t>
            </w:r>
          </w:p>
        </w:tc>
      </w:tr>
    </w:tbl>
    <w:p w14:paraId="42179E41" w14:textId="77777777" w:rsidR="001A449E" w:rsidRDefault="001A449E" w:rsidP="00B24143">
      <w:pPr>
        <w:jc w:val="both"/>
        <w:rPr>
          <w:rFonts w:ascii="Arial" w:hAnsi="Arial" w:cs="Arial"/>
          <w:b/>
          <w:bCs/>
        </w:rPr>
      </w:pPr>
    </w:p>
    <w:p w14:paraId="472277D3" w14:textId="294B2001" w:rsidR="00B24143" w:rsidRPr="0066543C" w:rsidRDefault="00B24143" w:rsidP="00B24143">
      <w:pPr>
        <w:jc w:val="both"/>
        <w:rPr>
          <w:rFonts w:ascii="Arial" w:hAnsi="Arial" w:cs="Arial"/>
          <w:b/>
          <w:bCs/>
        </w:rPr>
      </w:pPr>
      <w:r w:rsidRPr="0066543C">
        <w:rPr>
          <w:rFonts w:ascii="Arial" w:hAnsi="Arial" w:cs="Arial"/>
          <w:b/>
          <w:bCs/>
        </w:rPr>
        <w:t>EFFECT OF CYANOBACTERIA ON RICE PLANT GROWTH (POT ASSAY)</w:t>
      </w:r>
    </w:p>
    <w:p w14:paraId="105BADF3" w14:textId="77777777" w:rsidR="00B24143" w:rsidRPr="0066543C" w:rsidRDefault="00B24143" w:rsidP="00B24143">
      <w:pPr>
        <w:spacing w:line="360" w:lineRule="auto"/>
        <w:jc w:val="both"/>
        <w:rPr>
          <w:rFonts w:ascii="Arial" w:hAnsi="Arial" w:cs="Arial"/>
          <w:b/>
          <w:bCs/>
          <w:i/>
          <w:iCs/>
          <w:sz w:val="20"/>
          <w:szCs w:val="20"/>
        </w:rPr>
      </w:pPr>
      <w:r w:rsidRPr="0066543C">
        <w:rPr>
          <w:rFonts w:ascii="Arial" w:hAnsi="Arial" w:cs="Arial"/>
          <w:sz w:val="20"/>
          <w:szCs w:val="20"/>
        </w:rPr>
        <w:t>The data demonstrate that cyanobacterial inoculation enhanced rice growth and soil moisture compared to the uninoculated control. Treatment with cyanobacteria resulted in significant increases in plant height, root length, and the biomass of shoots and roots. Specifically, plant height increased by 77% in TN, while root length improved by 62%. Fresh and dry weights of shoots and roots also showed substantial enhancement, indicating improved overall plant vigor.</w:t>
      </w:r>
    </w:p>
    <w:p w14:paraId="282D0404" w14:textId="77777777" w:rsidR="00B24143" w:rsidRPr="0066543C" w:rsidRDefault="00B24143" w:rsidP="00B24143">
      <w:pPr>
        <w:spacing w:line="360" w:lineRule="auto"/>
        <w:jc w:val="both"/>
        <w:rPr>
          <w:rFonts w:ascii="Arial" w:hAnsi="Arial" w:cs="Arial"/>
          <w:sz w:val="20"/>
          <w:szCs w:val="20"/>
        </w:rPr>
      </w:pPr>
      <w:r w:rsidRPr="0066543C">
        <w:rPr>
          <w:rFonts w:ascii="Arial" w:hAnsi="Arial" w:cs="Arial"/>
          <w:sz w:val="20"/>
          <w:szCs w:val="20"/>
        </w:rPr>
        <w:t>Soil moisture content increased from 24.1% in the control to 31% in TN, indicating improved soil water retention under cyanobacterial treatment. Overall, both cyanobacterial treatments promoted growth and physiological development. TN showed higher efficacy in certain parameters in most traits, underscoring the potential of cyanobacteria as effective biofertilizers for sustainable rice cultivation.</w:t>
      </w:r>
    </w:p>
    <w:p w14:paraId="61FFE4E5" w14:textId="1F8D74C4" w:rsidR="00B24143" w:rsidRPr="0066543C" w:rsidRDefault="00B24143" w:rsidP="00B24143">
      <w:pPr>
        <w:jc w:val="both"/>
        <w:rPr>
          <w:rFonts w:ascii="Arial" w:hAnsi="Arial" w:cs="Arial"/>
        </w:rPr>
      </w:pPr>
    </w:p>
    <w:p w14:paraId="30FCFE0F" w14:textId="4F45BEE5" w:rsidR="00B24143" w:rsidRPr="0066543C" w:rsidRDefault="00980E4B" w:rsidP="00B24143">
      <w:pPr>
        <w:jc w:val="both"/>
        <w:rPr>
          <w:rFonts w:ascii="Arial" w:hAnsi="Arial" w:cs="Arial"/>
        </w:rPr>
      </w:pPr>
      <w:r w:rsidRPr="0066543C">
        <w:rPr>
          <w:rFonts w:ascii="Arial" w:hAnsi="Arial" w:cs="Arial"/>
          <w:noProof/>
          <w:lang w:eastAsia="en-IN"/>
        </w:rPr>
        <mc:AlternateContent>
          <mc:Choice Requires="wpg">
            <w:drawing>
              <wp:anchor distT="0" distB="0" distL="114300" distR="114300" simplePos="0" relativeHeight="251673600" behindDoc="0" locked="0" layoutInCell="1" allowOverlap="1" wp14:anchorId="74F1A28B" wp14:editId="2CB8BC63">
                <wp:simplePos x="0" y="0"/>
                <wp:positionH relativeFrom="column">
                  <wp:posOffset>670560</wp:posOffset>
                </wp:positionH>
                <wp:positionV relativeFrom="paragraph">
                  <wp:posOffset>0</wp:posOffset>
                </wp:positionV>
                <wp:extent cx="3568065" cy="250825"/>
                <wp:effectExtent l="0" t="0" r="13335" b="15875"/>
                <wp:wrapNone/>
                <wp:docPr id="836063677" name="Group 12"/>
                <wp:cNvGraphicFramePr/>
                <a:graphic xmlns:a="http://schemas.openxmlformats.org/drawingml/2006/main">
                  <a:graphicData uri="http://schemas.microsoft.com/office/word/2010/wordprocessingGroup">
                    <wpg:wgp>
                      <wpg:cNvGrpSpPr/>
                      <wpg:grpSpPr>
                        <a:xfrm>
                          <a:off x="0" y="0"/>
                          <a:ext cx="3568065" cy="250825"/>
                          <a:chOff x="-68580" y="0"/>
                          <a:chExt cx="3568177" cy="250862"/>
                        </a:xfrm>
                      </wpg:grpSpPr>
                      <wps:wsp>
                        <wps:cNvPr id="275196239" name="Text Box 2"/>
                        <wps:cNvSpPr txBox="1">
                          <a:spLocks noChangeArrowheads="1"/>
                        </wps:cNvSpPr>
                        <wps:spPr bwMode="auto">
                          <a:xfrm>
                            <a:off x="-68580" y="0"/>
                            <a:ext cx="251012" cy="246529"/>
                          </a:xfrm>
                          <a:prstGeom prst="rect">
                            <a:avLst/>
                          </a:prstGeom>
                          <a:solidFill>
                            <a:srgbClr val="FFFFFF"/>
                          </a:solidFill>
                          <a:ln w="9525">
                            <a:solidFill>
                              <a:srgbClr val="000000"/>
                            </a:solidFill>
                            <a:miter lim="800000"/>
                            <a:headEnd/>
                            <a:tailEnd/>
                          </a:ln>
                        </wps:spPr>
                        <wps:txbx>
                          <w:txbxContent>
                            <w:p w14:paraId="40716285" w14:textId="77777777" w:rsidR="00B24143" w:rsidRPr="0009740A" w:rsidRDefault="00B24143" w:rsidP="00B24143">
                              <w:pPr>
                                <w:rPr>
                                  <w:rFonts w:ascii="Times New Roman" w:hAnsi="Times New Roman" w:cs="Times New Roman"/>
                                  <w:b/>
                                  <w:bCs/>
                                </w:rPr>
                              </w:pPr>
                              <w:r w:rsidRPr="0009740A">
                                <w:rPr>
                                  <w:rFonts w:ascii="Times New Roman" w:hAnsi="Times New Roman" w:cs="Times New Roman"/>
                                  <w:b/>
                                  <w:bCs/>
                                </w:rPr>
                                <w:t>A</w:t>
                              </w:r>
                            </w:p>
                          </w:txbxContent>
                        </wps:txbx>
                        <wps:bodyPr rot="0" vert="horz" wrap="square" lIns="91440" tIns="45720" rIns="91440" bIns="45720" anchor="t" anchorCtr="0">
                          <a:noAutofit/>
                        </wps:bodyPr>
                      </wps:wsp>
                      <wps:wsp>
                        <wps:cNvPr id="1833234836" name="Text Box 2"/>
                        <wps:cNvSpPr txBox="1">
                          <a:spLocks noChangeArrowheads="1"/>
                        </wps:cNvSpPr>
                        <wps:spPr bwMode="auto">
                          <a:xfrm>
                            <a:off x="1061410" y="0"/>
                            <a:ext cx="255494" cy="246380"/>
                          </a:xfrm>
                          <a:prstGeom prst="rect">
                            <a:avLst/>
                          </a:prstGeom>
                          <a:solidFill>
                            <a:srgbClr val="FFFFFF"/>
                          </a:solidFill>
                          <a:ln w="9525">
                            <a:solidFill>
                              <a:srgbClr val="000000"/>
                            </a:solidFill>
                            <a:miter lim="800000"/>
                            <a:headEnd/>
                            <a:tailEnd/>
                          </a:ln>
                        </wps:spPr>
                        <wps:txbx>
                          <w:txbxContent>
                            <w:p w14:paraId="58DD502C" w14:textId="77777777" w:rsidR="00B24143" w:rsidRPr="0009740A" w:rsidRDefault="00B24143" w:rsidP="00B24143">
                              <w:pPr>
                                <w:rPr>
                                  <w:rFonts w:ascii="Times New Roman" w:hAnsi="Times New Roman" w:cs="Times New Roman"/>
                                  <w:b/>
                                  <w:bCs/>
                                </w:rPr>
                              </w:pPr>
                              <w:r>
                                <w:rPr>
                                  <w:rFonts w:ascii="Times New Roman" w:hAnsi="Times New Roman" w:cs="Times New Roman"/>
                                  <w:b/>
                                  <w:bCs/>
                                </w:rPr>
                                <w:t>B</w:t>
                              </w:r>
                            </w:p>
                          </w:txbxContent>
                        </wps:txbx>
                        <wps:bodyPr rot="0" vert="horz" wrap="square" lIns="91440" tIns="45720" rIns="91440" bIns="45720" anchor="t" anchorCtr="0">
                          <a:noAutofit/>
                        </wps:bodyPr>
                      </wps:wsp>
                      <wps:wsp>
                        <wps:cNvPr id="1086240965" name="Text Box 2"/>
                        <wps:cNvSpPr txBox="1">
                          <a:spLocks noChangeArrowheads="1"/>
                        </wps:cNvSpPr>
                        <wps:spPr bwMode="auto">
                          <a:xfrm>
                            <a:off x="2529392" y="4482"/>
                            <a:ext cx="255270" cy="246380"/>
                          </a:xfrm>
                          <a:prstGeom prst="rect">
                            <a:avLst/>
                          </a:prstGeom>
                          <a:solidFill>
                            <a:srgbClr val="FFFFFF"/>
                          </a:solidFill>
                          <a:ln w="9525">
                            <a:solidFill>
                              <a:srgbClr val="000000"/>
                            </a:solidFill>
                            <a:miter lim="800000"/>
                            <a:headEnd/>
                            <a:tailEnd/>
                          </a:ln>
                        </wps:spPr>
                        <wps:txbx>
                          <w:txbxContent>
                            <w:p w14:paraId="3D59893E" w14:textId="77777777" w:rsidR="00B24143" w:rsidRPr="0009740A" w:rsidRDefault="00B24143" w:rsidP="00B24143">
                              <w:pPr>
                                <w:rPr>
                                  <w:rFonts w:ascii="Times New Roman" w:hAnsi="Times New Roman" w:cs="Times New Roman"/>
                                  <w:b/>
                                  <w:bCs/>
                                </w:rPr>
                              </w:pPr>
                              <w:r>
                                <w:rPr>
                                  <w:rFonts w:ascii="Times New Roman" w:hAnsi="Times New Roman" w:cs="Times New Roman"/>
                                  <w:b/>
                                  <w:bCs/>
                                </w:rPr>
                                <w:t>C</w:t>
                              </w:r>
                            </w:p>
                          </w:txbxContent>
                        </wps:txbx>
                        <wps:bodyPr rot="0" vert="horz" wrap="square" lIns="91440" tIns="45720" rIns="91440" bIns="45720" anchor="t" anchorCtr="0">
                          <a:noAutofit/>
                        </wps:bodyPr>
                      </wps:wsp>
                      <wps:wsp>
                        <wps:cNvPr id="425120041" name="Text Box 2"/>
                        <wps:cNvSpPr txBox="1">
                          <a:spLocks noChangeArrowheads="1"/>
                        </wps:cNvSpPr>
                        <wps:spPr bwMode="auto">
                          <a:xfrm>
                            <a:off x="3244327" y="0"/>
                            <a:ext cx="255270" cy="246380"/>
                          </a:xfrm>
                          <a:prstGeom prst="rect">
                            <a:avLst/>
                          </a:prstGeom>
                          <a:solidFill>
                            <a:srgbClr val="FFFFFF"/>
                          </a:solidFill>
                          <a:ln w="9525">
                            <a:solidFill>
                              <a:srgbClr val="000000"/>
                            </a:solidFill>
                            <a:miter lim="800000"/>
                            <a:headEnd/>
                            <a:tailEnd/>
                          </a:ln>
                        </wps:spPr>
                        <wps:txbx>
                          <w:txbxContent>
                            <w:p w14:paraId="2EF2E086" w14:textId="77777777" w:rsidR="00B24143" w:rsidRPr="0009740A" w:rsidRDefault="00B24143" w:rsidP="00B24143">
                              <w:pPr>
                                <w:rPr>
                                  <w:rFonts w:ascii="Times New Roman" w:hAnsi="Times New Roman" w:cs="Times New Roman"/>
                                  <w:b/>
                                  <w:bCs/>
                                </w:rPr>
                              </w:pPr>
                              <w:r>
                                <w:rPr>
                                  <w:rFonts w:ascii="Times New Roman" w:hAnsi="Times New Roman" w:cs="Times New Roman"/>
                                  <w:b/>
                                  <w:bCs/>
                                </w:rPr>
                                <w:t>D</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4F1A28B" id="Group 12" o:spid="_x0000_s1030" style="position:absolute;left:0;text-align:left;margin-left:52.8pt;margin-top:0;width:280.95pt;height:19.75pt;z-index:251673600;mso-width-relative:margin" coordorigin="-685" coordsize="35681,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">
                <v:shape id="_x0000_s1031" type="#_x0000_t202" style="position:absolute;left:-685;width:2509;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">
                  <v:textbox>
                    <w:txbxContent>
                      <w:p w14:paraId="40716285" w14:textId="77777777" w:rsidR="00B24143" w:rsidRPr="0009740A" w:rsidRDefault="00B24143" w:rsidP="00B24143">
                        <w:pPr>
                          <w:rPr>
                            <w:rFonts w:ascii="Times New Roman" w:hAnsi="Times New Roman" w:cs="Times New Roman"/>
                            <w:b/>
                            <w:bCs/>
                          </w:rPr>
                        </w:pPr>
                        <w:r w:rsidRPr="0009740A">
                          <w:rPr>
                            <w:rFonts w:ascii="Times New Roman" w:hAnsi="Times New Roman" w:cs="Times New Roman"/>
                            <w:b/>
                            <w:bCs/>
                          </w:rPr>
                          <w:t>A</w:t>
                        </w:r>
                      </w:p>
                    </w:txbxContent>
                  </v:textbox>
                </v:shape>
                <v:shape id="_x0000_s1032" type="#_x0000_t202" style="position:absolute;left:10614;width:255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">
                  <v:textbox>
                    <w:txbxContent>
                      <w:p w14:paraId="58DD502C" w14:textId="77777777" w:rsidR="00B24143" w:rsidRPr="0009740A" w:rsidRDefault="00B24143" w:rsidP="00B24143">
                        <w:pPr>
                          <w:rPr>
                            <w:rFonts w:ascii="Times New Roman" w:hAnsi="Times New Roman" w:cs="Times New Roman"/>
                            <w:b/>
                            <w:bCs/>
                          </w:rPr>
                        </w:pPr>
                        <w:r>
                          <w:rPr>
                            <w:rFonts w:ascii="Times New Roman" w:hAnsi="Times New Roman" w:cs="Times New Roman"/>
                            <w:b/>
                            <w:bCs/>
                          </w:rPr>
                          <w:t>B</w:t>
                        </w:r>
                      </w:p>
                    </w:txbxContent>
                  </v:textbox>
                </v:shape>
                <v:shape id="_x0000_s1033" type="#_x0000_t202" style="position:absolute;left:25293;top:44;width:255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">
                  <v:textbox>
                    <w:txbxContent>
                      <w:p w14:paraId="3D59893E" w14:textId="77777777" w:rsidR="00B24143" w:rsidRPr="0009740A" w:rsidRDefault="00B24143" w:rsidP="00B24143">
                        <w:pPr>
                          <w:rPr>
                            <w:rFonts w:ascii="Times New Roman" w:hAnsi="Times New Roman" w:cs="Times New Roman"/>
                            <w:b/>
                            <w:bCs/>
                          </w:rPr>
                        </w:pPr>
                        <w:r>
                          <w:rPr>
                            <w:rFonts w:ascii="Times New Roman" w:hAnsi="Times New Roman" w:cs="Times New Roman"/>
                            <w:b/>
                            <w:bCs/>
                          </w:rPr>
                          <w:t>C</w:t>
                        </w:r>
                      </w:p>
                    </w:txbxContent>
                  </v:textbox>
                </v:shape>
                <v:shape id="_x0000_s1034" type="#_x0000_t202" style="position:absolute;left:32443;width:255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">
                  <v:textbox>
                    <w:txbxContent>
                      <w:p w14:paraId="2EF2E086" w14:textId="77777777" w:rsidR="00B24143" w:rsidRPr="0009740A" w:rsidRDefault="00B24143" w:rsidP="00B24143">
                        <w:pPr>
                          <w:rPr>
                            <w:rFonts w:ascii="Times New Roman" w:hAnsi="Times New Roman" w:cs="Times New Roman"/>
                            <w:b/>
                            <w:bCs/>
                          </w:rPr>
                        </w:pPr>
                        <w:r>
                          <w:rPr>
                            <w:rFonts w:ascii="Times New Roman" w:hAnsi="Times New Roman" w:cs="Times New Roman"/>
                            <w:b/>
                            <w:bCs/>
                          </w:rPr>
                          <w:t>D</w:t>
                        </w:r>
                      </w:p>
                    </w:txbxContent>
                  </v:textbox>
                </v:shape>
              </v:group>
            </w:pict>
          </mc:Fallback>
        </mc:AlternateContent>
      </w:r>
      <w:r w:rsidR="00CA4C59">
        <w:rPr>
          <w:rFonts w:ascii="Arial" w:hAnsi="Arial" w:cs="Arial"/>
          <w:noProof/>
        </w:rPr>
        <w:t xml:space="preserve">                </w:t>
      </w:r>
      <w:r w:rsidR="00B24143" w:rsidRPr="0066543C">
        <w:rPr>
          <w:rFonts w:ascii="Arial" w:hAnsi="Arial" w:cs="Arial"/>
          <w:noProof/>
        </w:rPr>
        <w:t xml:space="preserve"> </w:t>
      </w:r>
      <w:r w:rsidR="00B24143" w:rsidRPr="0066543C">
        <w:rPr>
          <w:rFonts w:ascii="Arial" w:hAnsi="Arial" w:cs="Arial"/>
          <w:noProof/>
          <w:lang w:eastAsia="en-IN"/>
        </w:rPr>
        <w:drawing>
          <wp:inline distT="0" distB="0" distL="0" distR="0" wp14:anchorId="0D4D9C9B" wp14:editId="757DA8C4">
            <wp:extent cx="861060" cy="2143648"/>
            <wp:effectExtent l="0" t="0" r="0" b="9525"/>
            <wp:docPr id="12161675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7987"/>
                    <a:stretch>
                      <a:fillRect/>
                    </a:stretch>
                  </pic:blipFill>
                  <pic:spPr bwMode="auto">
                    <a:xfrm>
                      <a:off x="0" y="0"/>
                      <a:ext cx="881202" cy="2193792"/>
                    </a:xfrm>
                    <a:prstGeom prst="rect">
                      <a:avLst/>
                    </a:prstGeom>
                    <a:noFill/>
                    <a:ln>
                      <a:noFill/>
                    </a:ln>
                    <a:extLst>
                      <a:ext uri="{53640926-AAD7-44D8-BBD7-CCE9431645EC}">
                        <a14:shadowObscured xmlns:a14="http://schemas.microsoft.com/office/drawing/2010/main"/>
                      </a:ext>
                    </a:extLst>
                  </pic:spPr>
                </pic:pic>
              </a:graphicData>
            </a:graphic>
          </wp:inline>
        </w:drawing>
      </w:r>
      <w:r w:rsidR="00B24143" w:rsidRPr="0066543C">
        <w:rPr>
          <w:rFonts w:ascii="Arial" w:hAnsi="Arial" w:cs="Arial"/>
        </w:rPr>
        <w:t xml:space="preserve">       </w:t>
      </w:r>
      <w:r w:rsidR="00B24143" w:rsidRPr="0066543C">
        <w:rPr>
          <w:rFonts w:ascii="Arial" w:hAnsi="Arial" w:cs="Arial"/>
          <w:noProof/>
          <w:lang w:eastAsia="en-IN"/>
        </w:rPr>
        <w:drawing>
          <wp:inline distT="0" distB="0" distL="0" distR="0" wp14:anchorId="70C06BD3" wp14:editId="20F56AFA">
            <wp:extent cx="822960" cy="2149157"/>
            <wp:effectExtent l="0" t="0" r="0" b="3810"/>
            <wp:docPr id="11017230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3265"/>
                    <a:stretch>
                      <a:fillRect/>
                    </a:stretch>
                  </pic:blipFill>
                  <pic:spPr bwMode="auto">
                    <a:xfrm>
                      <a:off x="0" y="0"/>
                      <a:ext cx="844862" cy="2206354"/>
                    </a:xfrm>
                    <a:prstGeom prst="rect">
                      <a:avLst/>
                    </a:prstGeom>
                    <a:noFill/>
                    <a:ln>
                      <a:noFill/>
                    </a:ln>
                    <a:extLst>
                      <a:ext uri="{53640926-AAD7-44D8-BBD7-CCE9431645EC}">
                        <a14:shadowObscured xmlns:a14="http://schemas.microsoft.com/office/drawing/2010/main"/>
                      </a:ext>
                    </a:extLst>
                  </pic:spPr>
                </pic:pic>
              </a:graphicData>
            </a:graphic>
          </wp:inline>
        </w:drawing>
      </w:r>
      <w:r w:rsidR="00B24143" w:rsidRPr="0066543C">
        <w:rPr>
          <w:rFonts w:ascii="Arial" w:hAnsi="Arial" w:cs="Arial"/>
        </w:rPr>
        <w:t xml:space="preserve">        </w:t>
      </w:r>
      <w:r w:rsidR="00B24143" w:rsidRPr="0066543C">
        <w:rPr>
          <w:rFonts w:ascii="Arial" w:hAnsi="Arial" w:cs="Arial"/>
          <w:noProof/>
          <w:lang w:eastAsia="en-IN"/>
        </w:rPr>
        <w:drawing>
          <wp:inline distT="0" distB="0" distL="0" distR="0" wp14:anchorId="0215ACE6" wp14:editId="1496B040">
            <wp:extent cx="784860" cy="2146121"/>
            <wp:effectExtent l="0" t="0" r="0" b="6985"/>
            <wp:docPr id="20629372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34981"/>
                    <a:stretch>
                      <a:fillRect/>
                    </a:stretch>
                  </pic:blipFill>
                  <pic:spPr bwMode="auto">
                    <a:xfrm>
                      <a:off x="0" y="0"/>
                      <a:ext cx="795720" cy="2175817"/>
                    </a:xfrm>
                    <a:prstGeom prst="rect">
                      <a:avLst/>
                    </a:prstGeom>
                    <a:noFill/>
                    <a:ln>
                      <a:noFill/>
                    </a:ln>
                    <a:extLst>
                      <a:ext uri="{53640926-AAD7-44D8-BBD7-CCE9431645EC}">
                        <a14:shadowObscured xmlns:a14="http://schemas.microsoft.com/office/drawing/2010/main"/>
                      </a:ext>
                    </a:extLst>
                  </pic:spPr>
                </pic:pic>
              </a:graphicData>
            </a:graphic>
          </wp:inline>
        </w:drawing>
      </w:r>
      <w:r w:rsidR="00B24143" w:rsidRPr="0066543C">
        <w:rPr>
          <w:rFonts w:ascii="Arial" w:hAnsi="Arial" w:cs="Arial"/>
        </w:rPr>
        <w:t xml:space="preserve">       </w:t>
      </w:r>
      <w:r w:rsidR="00B24143" w:rsidRPr="0066543C">
        <w:rPr>
          <w:rFonts w:ascii="Arial" w:hAnsi="Arial" w:cs="Arial"/>
          <w:noProof/>
          <w:lang w:eastAsia="en-IN"/>
        </w:rPr>
        <w:drawing>
          <wp:inline distT="0" distB="0" distL="0" distR="0" wp14:anchorId="73F43FAC" wp14:editId="7C3B91B5">
            <wp:extent cx="762000" cy="2148840"/>
            <wp:effectExtent l="0" t="0" r="0" b="3810"/>
            <wp:docPr id="7765901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6708"/>
                    <a:stretch>
                      <a:fillRect/>
                    </a:stretch>
                  </pic:blipFill>
                  <pic:spPr bwMode="auto">
                    <a:xfrm>
                      <a:off x="0" y="0"/>
                      <a:ext cx="785983" cy="2216471"/>
                    </a:xfrm>
                    <a:prstGeom prst="rect">
                      <a:avLst/>
                    </a:prstGeom>
                    <a:noFill/>
                    <a:ln>
                      <a:noFill/>
                    </a:ln>
                    <a:extLst>
                      <a:ext uri="{53640926-AAD7-44D8-BBD7-CCE9431645EC}">
                        <a14:shadowObscured xmlns:a14="http://schemas.microsoft.com/office/drawing/2010/main"/>
                      </a:ext>
                    </a:extLst>
                  </pic:spPr>
                </pic:pic>
              </a:graphicData>
            </a:graphic>
          </wp:inline>
        </w:drawing>
      </w:r>
    </w:p>
    <w:p w14:paraId="74AB4942" w14:textId="297BFD32" w:rsidR="00B24143" w:rsidRPr="0066543C" w:rsidRDefault="00B24143" w:rsidP="00B24143">
      <w:pPr>
        <w:jc w:val="both"/>
        <w:rPr>
          <w:rFonts w:ascii="Arial" w:hAnsi="Arial" w:cs="Arial"/>
          <w:b/>
          <w:bCs/>
          <w:sz w:val="20"/>
          <w:szCs w:val="20"/>
        </w:rPr>
      </w:pPr>
      <w:r w:rsidRPr="0066543C">
        <w:rPr>
          <w:rFonts w:ascii="Arial" w:hAnsi="Arial" w:cs="Arial"/>
          <w:b/>
          <w:bCs/>
          <w:sz w:val="20"/>
          <w:szCs w:val="20"/>
        </w:rPr>
        <w:t xml:space="preserve">Figure </w:t>
      </w:r>
      <w:r w:rsidR="00E3244A">
        <w:rPr>
          <w:rFonts w:ascii="Arial" w:hAnsi="Arial" w:cs="Arial"/>
          <w:b/>
          <w:bCs/>
          <w:sz w:val="20"/>
          <w:szCs w:val="20"/>
        </w:rPr>
        <w:t>9</w:t>
      </w:r>
      <w:r w:rsidRPr="0066543C">
        <w:rPr>
          <w:rFonts w:ascii="Arial" w:hAnsi="Arial" w:cs="Arial"/>
          <w:b/>
          <w:bCs/>
          <w:sz w:val="20"/>
          <w:szCs w:val="20"/>
        </w:rPr>
        <w:t xml:space="preserve">: Effect of </w:t>
      </w:r>
      <w:r w:rsidRPr="0066543C">
        <w:rPr>
          <w:rFonts w:ascii="Arial" w:hAnsi="Arial" w:cs="Arial"/>
          <w:b/>
          <w:bCs/>
          <w:i/>
          <w:iCs/>
          <w:sz w:val="20"/>
          <w:szCs w:val="20"/>
        </w:rPr>
        <w:t>Leptolyngbya sp</w:t>
      </w:r>
      <w:r w:rsidRPr="0066543C">
        <w:rPr>
          <w:rFonts w:ascii="Arial" w:hAnsi="Arial" w:cs="Arial"/>
          <w:b/>
          <w:bCs/>
          <w:sz w:val="20"/>
          <w:szCs w:val="20"/>
        </w:rPr>
        <w:t>. on the growth of shoot and root length of Rice plant on A) 5</w:t>
      </w:r>
      <w:r w:rsidRPr="0066543C">
        <w:rPr>
          <w:rFonts w:ascii="Arial" w:hAnsi="Arial" w:cs="Arial"/>
          <w:b/>
          <w:bCs/>
          <w:sz w:val="20"/>
          <w:szCs w:val="20"/>
          <w:vertAlign w:val="superscript"/>
        </w:rPr>
        <w:t>th</w:t>
      </w:r>
      <w:r w:rsidRPr="0066543C">
        <w:rPr>
          <w:rFonts w:ascii="Arial" w:hAnsi="Arial" w:cs="Arial"/>
          <w:b/>
          <w:bCs/>
          <w:sz w:val="20"/>
          <w:szCs w:val="20"/>
        </w:rPr>
        <w:t xml:space="preserve"> day B) 10</w:t>
      </w:r>
      <w:r w:rsidRPr="0066543C">
        <w:rPr>
          <w:rFonts w:ascii="Arial" w:hAnsi="Arial" w:cs="Arial"/>
          <w:b/>
          <w:bCs/>
          <w:sz w:val="20"/>
          <w:szCs w:val="20"/>
          <w:vertAlign w:val="superscript"/>
        </w:rPr>
        <w:t>th</w:t>
      </w:r>
      <w:r w:rsidRPr="0066543C">
        <w:rPr>
          <w:rFonts w:ascii="Arial" w:hAnsi="Arial" w:cs="Arial"/>
          <w:b/>
          <w:bCs/>
          <w:sz w:val="20"/>
          <w:szCs w:val="20"/>
        </w:rPr>
        <w:t xml:space="preserve"> day C)15</w:t>
      </w:r>
      <w:r w:rsidRPr="0066543C">
        <w:rPr>
          <w:rFonts w:ascii="Arial" w:hAnsi="Arial" w:cs="Arial"/>
          <w:b/>
          <w:bCs/>
          <w:sz w:val="20"/>
          <w:szCs w:val="20"/>
          <w:vertAlign w:val="superscript"/>
        </w:rPr>
        <w:t>th</w:t>
      </w:r>
      <w:r w:rsidRPr="0066543C">
        <w:rPr>
          <w:rFonts w:ascii="Arial" w:hAnsi="Arial" w:cs="Arial"/>
          <w:b/>
          <w:bCs/>
          <w:sz w:val="20"/>
          <w:szCs w:val="20"/>
        </w:rPr>
        <w:t xml:space="preserve"> day D) 20</w:t>
      </w:r>
      <w:r w:rsidRPr="0066543C">
        <w:rPr>
          <w:rFonts w:ascii="Arial" w:hAnsi="Arial" w:cs="Arial"/>
          <w:b/>
          <w:bCs/>
          <w:sz w:val="20"/>
          <w:szCs w:val="20"/>
          <w:vertAlign w:val="superscript"/>
        </w:rPr>
        <w:t>th</w:t>
      </w:r>
      <w:r w:rsidRPr="0066543C">
        <w:rPr>
          <w:rFonts w:ascii="Arial" w:hAnsi="Arial" w:cs="Arial"/>
          <w:b/>
          <w:bCs/>
          <w:sz w:val="20"/>
          <w:szCs w:val="20"/>
        </w:rPr>
        <w:t xml:space="preserve"> day </w:t>
      </w:r>
      <w:r w:rsidRPr="0066543C">
        <w:rPr>
          <w:rFonts w:ascii="Arial" w:hAnsi="Arial" w:cs="Arial"/>
          <w:b/>
          <w:bCs/>
          <w:color w:val="000000" w:themeColor="text1"/>
          <w:sz w:val="20"/>
          <w:szCs w:val="20"/>
        </w:rPr>
        <w:t xml:space="preserve">as Control (C), Treatment with </w:t>
      </w:r>
      <w:r w:rsidRPr="0066543C">
        <w:rPr>
          <w:rFonts w:ascii="Arial" w:hAnsi="Arial" w:cs="Arial"/>
          <w:b/>
          <w:bCs/>
          <w:i/>
          <w:iCs/>
          <w:color w:val="000000" w:themeColor="text1"/>
          <w:sz w:val="20"/>
          <w:szCs w:val="20"/>
        </w:rPr>
        <w:t>Leptolyngbya sp</w:t>
      </w:r>
      <w:r w:rsidRPr="0066543C">
        <w:rPr>
          <w:rFonts w:ascii="Arial" w:hAnsi="Arial" w:cs="Arial"/>
          <w:b/>
          <w:bCs/>
          <w:color w:val="000000" w:themeColor="text1"/>
          <w:sz w:val="20"/>
          <w:szCs w:val="20"/>
        </w:rPr>
        <w:t>. (TN).</w:t>
      </w:r>
      <w:r w:rsidRPr="0066543C">
        <w:rPr>
          <w:rFonts w:ascii="Arial" w:hAnsi="Arial" w:cs="Arial"/>
          <w:b/>
          <w:bCs/>
          <w:sz w:val="20"/>
          <w:szCs w:val="20"/>
        </w:rPr>
        <w:t xml:space="preserve"> (All the images are representative of average triplicate results)</w:t>
      </w:r>
    </w:p>
    <w:p w14:paraId="6B3D258F" w14:textId="77777777" w:rsidR="001A449E" w:rsidRDefault="001A449E" w:rsidP="001A449E">
      <w:pPr>
        <w:jc w:val="both"/>
        <w:rPr>
          <w:rFonts w:ascii="Arial" w:hAnsi="Arial" w:cs="Arial"/>
          <w:b/>
          <w:bCs/>
          <w:sz w:val="20"/>
          <w:szCs w:val="20"/>
        </w:rPr>
      </w:pPr>
    </w:p>
    <w:p w14:paraId="034CF88C" w14:textId="3AE7D758" w:rsidR="001A449E" w:rsidRPr="0066543C" w:rsidRDefault="001A449E" w:rsidP="001A449E">
      <w:pPr>
        <w:jc w:val="both"/>
        <w:rPr>
          <w:rFonts w:ascii="Arial" w:hAnsi="Arial" w:cs="Arial"/>
          <w:sz w:val="20"/>
          <w:szCs w:val="20"/>
        </w:rPr>
      </w:pPr>
      <w:r w:rsidRPr="0066543C">
        <w:rPr>
          <w:rFonts w:ascii="Arial" w:hAnsi="Arial" w:cs="Arial"/>
          <w:b/>
          <w:bCs/>
          <w:sz w:val="20"/>
          <w:szCs w:val="20"/>
        </w:rPr>
        <w:t xml:space="preserve">Table 3. Effects of </w:t>
      </w:r>
      <w:r w:rsidRPr="0066543C">
        <w:rPr>
          <w:rFonts w:ascii="Arial" w:hAnsi="Arial" w:cs="Arial"/>
          <w:b/>
          <w:bCs/>
          <w:i/>
          <w:iCs/>
          <w:color w:val="000000" w:themeColor="text1"/>
          <w:sz w:val="20"/>
          <w:szCs w:val="20"/>
        </w:rPr>
        <w:t>Leptolyngbya sp.</w:t>
      </w:r>
      <w:r w:rsidRPr="0066543C">
        <w:rPr>
          <w:rFonts w:ascii="Arial" w:hAnsi="Arial" w:cs="Arial"/>
          <w:b/>
          <w:bCs/>
          <w:sz w:val="20"/>
          <w:szCs w:val="20"/>
        </w:rPr>
        <w:t xml:space="preserve"> on rice plant </w:t>
      </w:r>
      <w:r w:rsidRPr="0066543C">
        <w:rPr>
          <w:rFonts w:ascii="Arial" w:hAnsi="Arial" w:cs="Arial"/>
          <w:b/>
          <w:bCs/>
          <w:color w:val="000000" w:themeColor="text1"/>
          <w:sz w:val="20"/>
          <w:szCs w:val="20"/>
        </w:rPr>
        <w:t xml:space="preserve">as Control (C) and treatment with </w:t>
      </w:r>
      <w:r w:rsidRPr="0066543C">
        <w:rPr>
          <w:rFonts w:ascii="Arial" w:hAnsi="Arial" w:cs="Arial"/>
          <w:b/>
          <w:bCs/>
          <w:i/>
          <w:iCs/>
          <w:color w:val="000000" w:themeColor="text1"/>
          <w:sz w:val="20"/>
          <w:szCs w:val="20"/>
        </w:rPr>
        <w:t>Leptolyngbya sp.</w:t>
      </w:r>
      <w:r w:rsidRPr="0066543C">
        <w:rPr>
          <w:rFonts w:ascii="Arial" w:hAnsi="Arial" w:cs="Arial"/>
          <w:b/>
          <w:bCs/>
          <w:color w:val="000000" w:themeColor="text1"/>
          <w:sz w:val="20"/>
          <w:szCs w:val="20"/>
        </w:rPr>
        <w:t xml:space="preserve"> (TN).</w:t>
      </w:r>
    </w:p>
    <w:tbl>
      <w:tblPr>
        <w:tblStyle w:val="TableGrid"/>
        <w:tblW w:w="0" w:type="auto"/>
        <w:jc w:val="center"/>
        <w:tblLayout w:type="fixed"/>
        <w:tblLook w:val="04A0" w:firstRow="1" w:lastRow="0" w:firstColumn="1" w:lastColumn="0" w:noHBand="0" w:noVBand="1"/>
      </w:tblPr>
      <w:tblGrid>
        <w:gridCol w:w="2699"/>
        <w:gridCol w:w="1271"/>
        <w:gridCol w:w="1417"/>
        <w:gridCol w:w="2126"/>
      </w:tblGrid>
      <w:tr w:rsidR="00B24143" w:rsidRPr="0066543C" w14:paraId="0242398E" w14:textId="77777777" w:rsidTr="00980E4B">
        <w:trPr>
          <w:jc w:val="center"/>
        </w:trPr>
        <w:tc>
          <w:tcPr>
            <w:tcW w:w="2699" w:type="dxa"/>
            <w:tcBorders>
              <w:top w:val="single" w:sz="4" w:space="0" w:color="auto"/>
              <w:left w:val="single" w:sz="4" w:space="0" w:color="auto"/>
              <w:bottom w:val="single" w:sz="4" w:space="0" w:color="auto"/>
              <w:right w:val="single" w:sz="4" w:space="0" w:color="auto"/>
            </w:tcBorders>
            <w:hideMark/>
          </w:tcPr>
          <w:p w14:paraId="3851CC6F"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Sample</w:t>
            </w:r>
          </w:p>
        </w:tc>
        <w:tc>
          <w:tcPr>
            <w:tcW w:w="1271" w:type="dxa"/>
            <w:tcBorders>
              <w:top w:val="single" w:sz="4" w:space="0" w:color="auto"/>
              <w:left w:val="single" w:sz="4" w:space="0" w:color="auto"/>
              <w:bottom w:val="single" w:sz="4" w:space="0" w:color="auto"/>
              <w:right w:val="single" w:sz="4" w:space="0" w:color="auto"/>
            </w:tcBorders>
            <w:hideMark/>
          </w:tcPr>
          <w:p w14:paraId="351C89A1"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Control</w:t>
            </w:r>
          </w:p>
        </w:tc>
        <w:tc>
          <w:tcPr>
            <w:tcW w:w="1417" w:type="dxa"/>
            <w:tcBorders>
              <w:top w:val="single" w:sz="4" w:space="0" w:color="auto"/>
              <w:left w:val="single" w:sz="4" w:space="0" w:color="auto"/>
              <w:bottom w:val="single" w:sz="4" w:space="0" w:color="auto"/>
              <w:right w:val="single" w:sz="4" w:space="0" w:color="auto"/>
            </w:tcBorders>
            <w:hideMark/>
          </w:tcPr>
          <w:p w14:paraId="22D8AE05"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Treatment</w:t>
            </w:r>
          </w:p>
          <w:p w14:paraId="6D98C90F"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(TN)</w:t>
            </w:r>
          </w:p>
        </w:tc>
        <w:tc>
          <w:tcPr>
            <w:tcW w:w="2126" w:type="dxa"/>
            <w:tcBorders>
              <w:top w:val="single" w:sz="4" w:space="0" w:color="auto"/>
              <w:left w:val="single" w:sz="4" w:space="0" w:color="auto"/>
              <w:bottom w:val="single" w:sz="4" w:space="0" w:color="auto"/>
              <w:right w:val="single" w:sz="4" w:space="0" w:color="auto"/>
            </w:tcBorders>
            <w:hideMark/>
          </w:tcPr>
          <w:p w14:paraId="19663D16"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Ratio control/TN%)</w:t>
            </w:r>
          </w:p>
        </w:tc>
      </w:tr>
      <w:tr w:rsidR="00B24143" w:rsidRPr="0066543C" w14:paraId="3D681F5A" w14:textId="77777777" w:rsidTr="00980E4B">
        <w:trPr>
          <w:jc w:val="center"/>
        </w:trPr>
        <w:tc>
          <w:tcPr>
            <w:tcW w:w="2699" w:type="dxa"/>
            <w:tcBorders>
              <w:top w:val="single" w:sz="4" w:space="0" w:color="auto"/>
              <w:left w:val="single" w:sz="4" w:space="0" w:color="auto"/>
              <w:bottom w:val="single" w:sz="4" w:space="0" w:color="auto"/>
              <w:right w:val="single" w:sz="4" w:space="0" w:color="auto"/>
            </w:tcBorders>
            <w:hideMark/>
          </w:tcPr>
          <w:p w14:paraId="41A6B7C8"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Plant height (cm)</w:t>
            </w:r>
          </w:p>
        </w:tc>
        <w:tc>
          <w:tcPr>
            <w:tcW w:w="1271" w:type="dxa"/>
            <w:tcBorders>
              <w:top w:val="single" w:sz="4" w:space="0" w:color="auto"/>
              <w:left w:val="single" w:sz="4" w:space="0" w:color="auto"/>
              <w:bottom w:val="single" w:sz="4" w:space="0" w:color="auto"/>
              <w:right w:val="single" w:sz="4" w:space="0" w:color="auto"/>
            </w:tcBorders>
            <w:hideMark/>
          </w:tcPr>
          <w:p w14:paraId="33E53A2B"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13.5</w:t>
            </w:r>
          </w:p>
        </w:tc>
        <w:tc>
          <w:tcPr>
            <w:tcW w:w="1417" w:type="dxa"/>
            <w:tcBorders>
              <w:top w:val="single" w:sz="4" w:space="0" w:color="auto"/>
              <w:left w:val="single" w:sz="4" w:space="0" w:color="auto"/>
              <w:bottom w:val="single" w:sz="4" w:space="0" w:color="auto"/>
              <w:right w:val="single" w:sz="4" w:space="0" w:color="auto"/>
            </w:tcBorders>
            <w:hideMark/>
          </w:tcPr>
          <w:p w14:paraId="7BF54B2D"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17.5</w:t>
            </w:r>
          </w:p>
        </w:tc>
        <w:tc>
          <w:tcPr>
            <w:tcW w:w="2126" w:type="dxa"/>
            <w:tcBorders>
              <w:top w:val="single" w:sz="4" w:space="0" w:color="auto"/>
              <w:left w:val="single" w:sz="4" w:space="0" w:color="auto"/>
              <w:bottom w:val="single" w:sz="4" w:space="0" w:color="auto"/>
              <w:right w:val="single" w:sz="4" w:space="0" w:color="auto"/>
            </w:tcBorders>
            <w:hideMark/>
          </w:tcPr>
          <w:p w14:paraId="0C51E919"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77</w:t>
            </w:r>
          </w:p>
        </w:tc>
      </w:tr>
      <w:tr w:rsidR="00B24143" w:rsidRPr="0066543C" w14:paraId="2FA33CE2" w14:textId="77777777" w:rsidTr="00980E4B">
        <w:trPr>
          <w:trHeight w:val="1016"/>
          <w:jc w:val="center"/>
        </w:trPr>
        <w:tc>
          <w:tcPr>
            <w:tcW w:w="2699" w:type="dxa"/>
            <w:tcBorders>
              <w:top w:val="single" w:sz="4" w:space="0" w:color="auto"/>
              <w:left w:val="single" w:sz="4" w:space="0" w:color="auto"/>
              <w:bottom w:val="single" w:sz="4" w:space="0" w:color="auto"/>
              <w:right w:val="single" w:sz="4" w:space="0" w:color="auto"/>
            </w:tcBorders>
            <w:hideMark/>
          </w:tcPr>
          <w:p w14:paraId="5E878D2B"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Root length (cm)</w:t>
            </w:r>
          </w:p>
        </w:tc>
        <w:tc>
          <w:tcPr>
            <w:tcW w:w="1271" w:type="dxa"/>
            <w:tcBorders>
              <w:top w:val="single" w:sz="4" w:space="0" w:color="auto"/>
              <w:left w:val="single" w:sz="4" w:space="0" w:color="auto"/>
              <w:bottom w:val="single" w:sz="4" w:space="0" w:color="auto"/>
              <w:right w:val="single" w:sz="4" w:space="0" w:color="auto"/>
            </w:tcBorders>
            <w:hideMark/>
          </w:tcPr>
          <w:p w14:paraId="113FA3C9"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3.2</w:t>
            </w:r>
          </w:p>
        </w:tc>
        <w:tc>
          <w:tcPr>
            <w:tcW w:w="1417" w:type="dxa"/>
            <w:tcBorders>
              <w:top w:val="single" w:sz="4" w:space="0" w:color="auto"/>
              <w:left w:val="single" w:sz="4" w:space="0" w:color="auto"/>
              <w:bottom w:val="single" w:sz="4" w:space="0" w:color="auto"/>
              <w:right w:val="single" w:sz="4" w:space="0" w:color="auto"/>
            </w:tcBorders>
          </w:tcPr>
          <w:p w14:paraId="517AFE7B"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5.1</w:t>
            </w:r>
          </w:p>
          <w:p w14:paraId="768191D1" w14:textId="77777777" w:rsidR="00B24143" w:rsidRPr="0066543C" w:rsidRDefault="00B24143" w:rsidP="00497C5F">
            <w:pPr>
              <w:spacing w:after="160" w:line="278" w:lineRule="auto"/>
              <w:jc w:val="center"/>
              <w:rPr>
                <w:rFonts w:ascii="Arial" w:hAnsi="Arial" w:cs="Arial"/>
                <w:sz w:val="20"/>
                <w:szCs w:val="20"/>
              </w:rPr>
            </w:pPr>
          </w:p>
          <w:p w14:paraId="63C3F6A9" w14:textId="77777777" w:rsidR="00B24143" w:rsidRPr="0066543C" w:rsidRDefault="00B24143" w:rsidP="00497C5F">
            <w:pPr>
              <w:spacing w:after="160" w:line="278" w:lineRule="auto"/>
              <w:jc w:val="cente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14:paraId="6FDA956C"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62</w:t>
            </w:r>
          </w:p>
        </w:tc>
      </w:tr>
      <w:tr w:rsidR="00B24143" w:rsidRPr="0066543C" w14:paraId="3FBF24D9" w14:textId="77777777" w:rsidTr="00980E4B">
        <w:trPr>
          <w:jc w:val="center"/>
        </w:trPr>
        <w:tc>
          <w:tcPr>
            <w:tcW w:w="2699" w:type="dxa"/>
            <w:tcBorders>
              <w:top w:val="single" w:sz="4" w:space="0" w:color="auto"/>
              <w:left w:val="single" w:sz="4" w:space="0" w:color="auto"/>
              <w:bottom w:val="single" w:sz="4" w:space="0" w:color="auto"/>
              <w:right w:val="single" w:sz="4" w:space="0" w:color="auto"/>
            </w:tcBorders>
            <w:hideMark/>
          </w:tcPr>
          <w:p w14:paraId="24636C44"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Weight of fresh shoot(g)</w:t>
            </w:r>
          </w:p>
        </w:tc>
        <w:tc>
          <w:tcPr>
            <w:tcW w:w="1271" w:type="dxa"/>
            <w:tcBorders>
              <w:top w:val="single" w:sz="4" w:space="0" w:color="auto"/>
              <w:left w:val="single" w:sz="4" w:space="0" w:color="auto"/>
              <w:bottom w:val="single" w:sz="4" w:space="0" w:color="auto"/>
              <w:right w:val="single" w:sz="4" w:space="0" w:color="auto"/>
            </w:tcBorders>
            <w:hideMark/>
          </w:tcPr>
          <w:p w14:paraId="153D2F18"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0.16</w:t>
            </w:r>
          </w:p>
        </w:tc>
        <w:tc>
          <w:tcPr>
            <w:tcW w:w="1417" w:type="dxa"/>
            <w:tcBorders>
              <w:top w:val="single" w:sz="4" w:space="0" w:color="auto"/>
              <w:left w:val="single" w:sz="4" w:space="0" w:color="auto"/>
              <w:bottom w:val="single" w:sz="4" w:space="0" w:color="auto"/>
              <w:right w:val="single" w:sz="4" w:space="0" w:color="auto"/>
            </w:tcBorders>
            <w:hideMark/>
          </w:tcPr>
          <w:p w14:paraId="67445CA5"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0.25</w:t>
            </w:r>
          </w:p>
        </w:tc>
        <w:tc>
          <w:tcPr>
            <w:tcW w:w="2126" w:type="dxa"/>
            <w:tcBorders>
              <w:top w:val="single" w:sz="4" w:space="0" w:color="auto"/>
              <w:left w:val="single" w:sz="4" w:space="0" w:color="auto"/>
              <w:bottom w:val="single" w:sz="4" w:space="0" w:color="auto"/>
              <w:right w:val="single" w:sz="4" w:space="0" w:color="auto"/>
            </w:tcBorders>
            <w:hideMark/>
          </w:tcPr>
          <w:p w14:paraId="44A3173C"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64</w:t>
            </w:r>
          </w:p>
        </w:tc>
      </w:tr>
      <w:tr w:rsidR="00B24143" w:rsidRPr="0066543C" w14:paraId="0ED77333" w14:textId="77777777" w:rsidTr="00980E4B">
        <w:trPr>
          <w:jc w:val="center"/>
        </w:trPr>
        <w:tc>
          <w:tcPr>
            <w:tcW w:w="2699" w:type="dxa"/>
            <w:tcBorders>
              <w:top w:val="single" w:sz="4" w:space="0" w:color="auto"/>
              <w:left w:val="single" w:sz="4" w:space="0" w:color="auto"/>
              <w:bottom w:val="single" w:sz="4" w:space="0" w:color="auto"/>
              <w:right w:val="single" w:sz="4" w:space="0" w:color="auto"/>
            </w:tcBorders>
            <w:hideMark/>
          </w:tcPr>
          <w:p w14:paraId="22F580AF"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Weight of dry shoot (g)</w:t>
            </w:r>
          </w:p>
        </w:tc>
        <w:tc>
          <w:tcPr>
            <w:tcW w:w="1271" w:type="dxa"/>
            <w:tcBorders>
              <w:top w:val="single" w:sz="4" w:space="0" w:color="auto"/>
              <w:left w:val="single" w:sz="4" w:space="0" w:color="auto"/>
              <w:bottom w:val="single" w:sz="4" w:space="0" w:color="auto"/>
              <w:right w:val="single" w:sz="4" w:space="0" w:color="auto"/>
            </w:tcBorders>
            <w:hideMark/>
          </w:tcPr>
          <w:p w14:paraId="3F5689F9"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0.05</w:t>
            </w:r>
          </w:p>
        </w:tc>
        <w:tc>
          <w:tcPr>
            <w:tcW w:w="1417" w:type="dxa"/>
            <w:tcBorders>
              <w:top w:val="single" w:sz="4" w:space="0" w:color="auto"/>
              <w:left w:val="single" w:sz="4" w:space="0" w:color="auto"/>
              <w:bottom w:val="single" w:sz="4" w:space="0" w:color="auto"/>
              <w:right w:val="single" w:sz="4" w:space="0" w:color="auto"/>
            </w:tcBorders>
            <w:hideMark/>
          </w:tcPr>
          <w:p w14:paraId="75F7EB79"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0.11</w:t>
            </w:r>
          </w:p>
        </w:tc>
        <w:tc>
          <w:tcPr>
            <w:tcW w:w="2126" w:type="dxa"/>
            <w:tcBorders>
              <w:top w:val="single" w:sz="4" w:space="0" w:color="auto"/>
              <w:left w:val="single" w:sz="4" w:space="0" w:color="auto"/>
              <w:bottom w:val="single" w:sz="4" w:space="0" w:color="auto"/>
              <w:right w:val="single" w:sz="4" w:space="0" w:color="auto"/>
            </w:tcBorders>
            <w:hideMark/>
          </w:tcPr>
          <w:p w14:paraId="43116EE1"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45</w:t>
            </w:r>
          </w:p>
        </w:tc>
      </w:tr>
      <w:tr w:rsidR="00B24143" w:rsidRPr="0066543C" w14:paraId="1EAF5C3B" w14:textId="77777777" w:rsidTr="00980E4B">
        <w:trPr>
          <w:jc w:val="center"/>
        </w:trPr>
        <w:tc>
          <w:tcPr>
            <w:tcW w:w="2699" w:type="dxa"/>
            <w:tcBorders>
              <w:top w:val="single" w:sz="4" w:space="0" w:color="auto"/>
              <w:left w:val="single" w:sz="4" w:space="0" w:color="auto"/>
              <w:bottom w:val="single" w:sz="4" w:space="0" w:color="auto"/>
              <w:right w:val="single" w:sz="4" w:space="0" w:color="auto"/>
            </w:tcBorders>
            <w:hideMark/>
          </w:tcPr>
          <w:p w14:paraId="7A6B2D9C"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Weight of fresh root (g)</w:t>
            </w:r>
          </w:p>
        </w:tc>
        <w:tc>
          <w:tcPr>
            <w:tcW w:w="1271" w:type="dxa"/>
            <w:tcBorders>
              <w:top w:val="single" w:sz="4" w:space="0" w:color="auto"/>
              <w:left w:val="single" w:sz="4" w:space="0" w:color="auto"/>
              <w:bottom w:val="single" w:sz="4" w:space="0" w:color="auto"/>
              <w:right w:val="single" w:sz="4" w:space="0" w:color="auto"/>
            </w:tcBorders>
            <w:hideMark/>
          </w:tcPr>
          <w:p w14:paraId="7CC1C1D0"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0.24</w:t>
            </w:r>
          </w:p>
        </w:tc>
        <w:tc>
          <w:tcPr>
            <w:tcW w:w="1417" w:type="dxa"/>
            <w:tcBorders>
              <w:top w:val="single" w:sz="4" w:space="0" w:color="auto"/>
              <w:left w:val="single" w:sz="4" w:space="0" w:color="auto"/>
              <w:bottom w:val="single" w:sz="4" w:space="0" w:color="auto"/>
              <w:right w:val="single" w:sz="4" w:space="0" w:color="auto"/>
            </w:tcBorders>
            <w:hideMark/>
          </w:tcPr>
          <w:p w14:paraId="30354A6A"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0.42</w:t>
            </w:r>
          </w:p>
        </w:tc>
        <w:tc>
          <w:tcPr>
            <w:tcW w:w="2126" w:type="dxa"/>
            <w:tcBorders>
              <w:top w:val="single" w:sz="4" w:space="0" w:color="auto"/>
              <w:left w:val="single" w:sz="4" w:space="0" w:color="auto"/>
              <w:bottom w:val="single" w:sz="4" w:space="0" w:color="auto"/>
              <w:right w:val="single" w:sz="4" w:space="0" w:color="auto"/>
            </w:tcBorders>
            <w:hideMark/>
          </w:tcPr>
          <w:p w14:paraId="0774961C"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57</w:t>
            </w:r>
          </w:p>
        </w:tc>
      </w:tr>
      <w:tr w:rsidR="00B24143" w:rsidRPr="0066543C" w14:paraId="74313DF2" w14:textId="77777777" w:rsidTr="00980E4B">
        <w:trPr>
          <w:jc w:val="center"/>
        </w:trPr>
        <w:tc>
          <w:tcPr>
            <w:tcW w:w="2699" w:type="dxa"/>
            <w:tcBorders>
              <w:top w:val="single" w:sz="4" w:space="0" w:color="auto"/>
              <w:left w:val="single" w:sz="4" w:space="0" w:color="auto"/>
              <w:bottom w:val="single" w:sz="4" w:space="0" w:color="auto"/>
              <w:right w:val="single" w:sz="4" w:space="0" w:color="auto"/>
            </w:tcBorders>
            <w:hideMark/>
          </w:tcPr>
          <w:p w14:paraId="487215C8"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Weight of dry root (g)</w:t>
            </w:r>
          </w:p>
        </w:tc>
        <w:tc>
          <w:tcPr>
            <w:tcW w:w="1271" w:type="dxa"/>
            <w:tcBorders>
              <w:top w:val="single" w:sz="4" w:space="0" w:color="auto"/>
              <w:left w:val="single" w:sz="4" w:space="0" w:color="auto"/>
              <w:bottom w:val="single" w:sz="4" w:space="0" w:color="auto"/>
              <w:right w:val="single" w:sz="4" w:space="0" w:color="auto"/>
            </w:tcBorders>
            <w:hideMark/>
          </w:tcPr>
          <w:p w14:paraId="5BBA6508"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0.065</w:t>
            </w:r>
          </w:p>
        </w:tc>
        <w:tc>
          <w:tcPr>
            <w:tcW w:w="1417" w:type="dxa"/>
            <w:tcBorders>
              <w:top w:val="single" w:sz="4" w:space="0" w:color="auto"/>
              <w:left w:val="single" w:sz="4" w:space="0" w:color="auto"/>
              <w:bottom w:val="single" w:sz="4" w:space="0" w:color="auto"/>
              <w:right w:val="single" w:sz="4" w:space="0" w:color="auto"/>
            </w:tcBorders>
            <w:hideMark/>
          </w:tcPr>
          <w:p w14:paraId="18C2D9C5"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0.16</w:t>
            </w:r>
          </w:p>
        </w:tc>
        <w:tc>
          <w:tcPr>
            <w:tcW w:w="2126" w:type="dxa"/>
            <w:tcBorders>
              <w:top w:val="single" w:sz="4" w:space="0" w:color="auto"/>
              <w:left w:val="single" w:sz="4" w:space="0" w:color="auto"/>
              <w:bottom w:val="single" w:sz="4" w:space="0" w:color="auto"/>
              <w:right w:val="single" w:sz="4" w:space="0" w:color="auto"/>
            </w:tcBorders>
            <w:hideMark/>
          </w:tcPr>
          <w:p w14:paraId="062929B2"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40</w:t>
            </w:r>
          </w:p>
        </w:tc>
      </w:tr>
      <w:tr w:rsidR="00B24143" w:rsidRPr="0066543C" w14:paraId="0DFDA8AD" w14:textId="77777777" w:rsidTr="00980E4B">
        <w:trPr>
          <w:jc w:val="center"/>
        </w:trPr>
        <w:tc>
          <w:tcPr>
            <w:tcW w:w="2699" w:type="dxa"/>
            <w:tcBorders>
              <w:top w:val="single" w:sz="4" w:space="0" w:color="auto"/>
              <w:left w:val="single" w:sz="4" w:space="0" w:color="auto"/>
              <w:bottom w:val="single" w:sz="4" w:space="0" w:color="auto"/>
              <w:right w:val="single" w:sz="4" w:space="0" w:color="auto"/>
            </w:tcBorders>
            <w:hideMark/>
          </w:tcPr>
          <w:p w14:paraId="2022542B"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Moisture</w:t>
            </w:r>
          </w:p>
          <w:p w14:paraId="6003B4C9"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w:t>
            </w:r>
          </w:p>
        </w:tc>
        <w:tc>
          <w:tcPr>
            <w:tcW w:w="1271" w:type="dxa"/>
            <w:tcBorders>
              <w:top w:val="single" w:sz="4" w:space="0" w:color="auto"/>
              <w:left w:val="single" w:sz="4" w:space="0" w:color="auto"/>
              <w:bottom w:val="single" w:sz="4" w:space="0" w:color="auto"/>
              <w:right w:val="single" w:sz="4" w:space="0" w:color="auto"/>
            </w:tcBorders>
            <w:hideMark/>
          </w:tcPr>
          <w:p w14:paraId="093B6195"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24.1</w:t>
            </w:r>
          </w:p>
        </w:tc>
        <w:tc>
          <w:tcPr>
            <w:tcW w:w="1417" w:type="dxa"/>
            <w:tcBorders>
              <w:top w:val="single" w:sz="4" w:space="0" w:color="auto"/>
              <w:left w:val="single" w:sz="4" w:space="0" w:color="auto"/>
              <w:bottom w:val="single" w:sz="4" w:space="0" w:color="auto"/>
              <w:right w:val="single" w:sz="4" w:space="0" w:color="auto"/>
            </w:tcBorders>
            <w:hideMark/>
          </w:tcPr>
          <w:p w14:paraId="461B4D72"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32.0</w:t>
            </w:r>
          </w:p>
        </w:tc>
        <w:tc>
          <w:tcPr>
            <w:tcW w:w="2126" w:type="dxa"/>
            <w:tcBorders>
              <w:top w:val="single" w:sz="4" w:space="0" w:color="auto"/>
              <w:left w:val="single" w:sz="4" w:space="0" w:color="auto"/>
              <w:bottom w:val="single" w:sz="4" w:space="0" w:color="auto"/>
              <w:right w:val="single" w:sz="4" w:space="0" w:color="auto"/>
            </w:tcBorders>
            <w:hideMark/>
          </w:tcPr>
          <w:p w14:paraId="2076F0B9"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75</w:t>
            </w:r>
          </w:p>
        </w:tc>
      </w:tr>
    </w:tbl>
    <w:p w14:paraId="69DE4BB1" w14:textId="77777777" w:rsidR="001A449E" w:rsidRDefault="001A449E" w:rsidP="00B24143">
      <w:pPr>
        <w:jc w:val="both"/>
        <w:rPr>
          <w:rFonts w:ascii="Arial" w:hAnsi="Arial" w:cs="Arial"/>
          <w:b/>
          <w:bCs/>
          <w:sz w:val="20"/>
          <w:szCs w:val="20"/>
          <w:lang w:bidi="en-IN"/>
        </w:rPr>
      </w:pPr>
    </w:p>
    <w:p w14:paraId="02EC953A" w14:textId="77777777" w:rsidR="001A449E" w:rsidRDefault="001A449E" w:rsidP="00B24143">
      <w:pPr>
        <w:jc w:val="both"/>
        <w:rPr>
          <w:rFonts w:ascii="Arial" w:hAnsi="Arial" w:cs="Arial"/>
          <w:b/>
          <w:bCs/>
          <w:sz w:val="20"/>
          <w:szCs w:val="20"/>
          <w:lang w:bidi="en-IN"/>
        </w:rPr>
      </w:pPr>
    </w:p>
    <w:p w14:paraId="26792376" w14:textId="100AA1C4" w:rsidR="00B24143" w:rsidRPr="0066543C" w:rsidRDefault="001A449E" w:rsidP="00B24143">
      <w:pPr>
        <w:jc w:val="both"/>
        <w:rPr>
          <w:rFonts w:ascii="Arial" w:hAnsi="Arial" w:cs="Arial"/>
          <w:b/>
          <w:bCs/>
          <w:sz w:val="24"/>
          <w:szCs w:val="24"/>
          <w:lang w:bidi="en-IN"/>
        </w:rPr>
      </w:pPr>
      <w:r w:rsidRPr="0066543C">
        <w:rPr>
          <w:rFonts w:ascii="Arial" w:hAnsi="Arial" w:cs="Arial"/>
          <w:b/>
          <w:bCs/>
          <w:sz w:val="20"/>
          <w:szCs w:val="20"/>
          <w:lang w:bidi="en-IN"/>
        </w:rPr>
        <w:t xml:space="preserve">Table 4. Comparative study of the effects of </w:t>
      </w:r>
      <w:r w:rsidRPr="0066543C">
        <w:rPr>
          <w:rFonts w:ascii="Arial" w:hAnsi="Arial" w:cs="Arial"/>
          <w:b/>
          <w:bCs/>
          <w:i/>
          <w:iCs/>
          <w:color w:val="000000" w:themeColor="text1"/>
          <w:sz w:val="20"/>
          <w:szCs w:val="20"/>
        </w:rPr>
        <w:t>Leptolyngbya sp.</w:t>
      </w:r>
      <w:r w:rsidRPr="0066543C">
        <w:rPr>
          <w:rFonts w:ascii="Arial" w:hAnsi="Arial" w:cs="Arial"/>
          <w:b/>
          <w:bCs/>
          <w:sz w:val="20"/>
          <w:szCs w:val="20"/>
          <w:lang w:bidi="en-IN"/>
        </w:rPr>
        <w:t xml:space="preserve"> inoculant on rice plant and soil </w:t>
      </w:r>
      <w:r w:rsidRPr="0066543C">
        <w:rPr>
          <w:rFonts w:ascii="Arial" w:hAnsi="Arial" w:cs="Arial"/>
          <w:b/>
          <w:bCs/>
          <w:color w:val="000000" w:themeColor="text1"/>
          <w:sz w:val="20"/>
          <w:szCs w:val="20"/>
        </w:rPr>
        <w:t xml:space="preserve">as Control (C) and treatment with </w:t>
      </w:r>
      <w:r w:rsidRPr="0066543C">
        <w:rPr>
          <w:rFonts w:ascii="Arial" w:hAnsi="Arial" w:cs="Arial"/>
          <w:b/>
          <w:bCs/>
          <w:i/>
          <w:iCs/>
          <w:color w:val="000000" w:themeColor="text1"/>
          <w:sz w:val="20"/>
          <w:szCs w:val="20"/>
        </w:rPr>
        <w:t>Leptolyngbya sp.</w:t>
      </w:r>
      <w:r w:rsidRPr="0066543C">
        <w:rPr>
          <w:rFonts w:ascii="Arial" w:hAnsi="Arial" w:cs="Arial"/>
          <w:b/>
          <w:bCs/>
          <w:color w:val="000000" w:themeColor="text1"/>
          <w:sz w:val="20"/>
          <w:szCs w:val="20"/>
        </w:rPr>
        <w:t xml:space="preserve"> (TN).</w:t>
      </w:r>
    </w:p>
    <w:tbl>
      <w:tblPr>
        <w:tblStyle w:val="TableGrid"/>
        <w:tblW w:w="0" w:type="auto"/>
        <w:jc w:val="center"/>
        <w:tblLook w:val="04A0" w:firstRow="1" w:lastRow="0" w:firstColumn="1" w:lastColumn="0" w:noHBand="0" w:noVBand="1"/>
      </w:tblPr>
      <w:tblGrid>
        <w:gridCol w:w="2689"/>
        <w:gridCol w:w="1275"/>
        <w:gridCol w:w="1418"/>
        <w:gridCol w:w="2126"/>
      </w:tblGrid>
      <w:tr w:rsidR="00B24143" w:rsidRPr="0066543C" w14:paraId="1AA49623" w14:textId="77777777" w:rsidTr="00980E4B">
        <w:trPr>
          <w:jc w:val="center"/>
        </w:trPr>
        <w:tc>
          <w:tcPr>
            <w:tcW w:w="2689" w:type="dxa"/>
            <w:tcBorders>
              <w:top w:val="single" w:sz="4" w:space="0" w:color="auto"/>
              <w:left w:val="single" w:sz="4" w:space="0" w:color="auto"/>
              <w:bottom w:val="single" w:sz="4" w:space="0" w:color="auto"/>
              <w:right w:val="single" w:sz="4" w:space="0" w:color="auto"/>
            </w:tcBorders>
            <w:hideMark/>
          </w:tcPr>
          <w:p w14:paraId="10523D9D"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Sample</w:t>
            </w:r>
          </w:p>
        </w:tc>
        <w:tc>
          <w:tcPr>
            <w:tcW w:w="1275" w:type="dxa"/>
            <w:tcBorders>
              <w:top w:val="single" w:sz="4" w:space="0" w:color="auto"/>
              <w:left w:val="single" w:sz="4" w:space="0" w:color="auto"/>
              <w:bottom w:val="single" w:sz="4" w:space="0" w:color="auto"/>
              <w:right w:val="single" w:sz="4" w:space="0" w:color="auto"/>
            </w:tcBorders>
            <w:hideMark/>
          </w:tcPr>
          <w:p w14:paraId="3E12580C"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Control</w:t>
            </w:r>
          </w:p>
        </w:tc>
        <w:tc>
          <w:tcPr>
            <w:tcW w:w="1418" w:type="dxa"/>
            <w:tcBorders>
              <w:top w:val="single" w:sz="4" w:space="0" w:color="auto"/>
              <w:left w:val="single" w:sz="4" w:space="0" w:color="auto"/>
              <w:bottom w:val="single" w:sz="4" w:space="0" w:color="auto"/>
              <w:right w:val="single" w:sz="4" w:space="0" w:color="auto"/>
            </w:tcBorders>
            <w:hideMark/>
          </w:tcPr>
          <w:p w14:paraId="60C89E0C"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Treatment (TN)</w:t>
            </w:r>
          </w:p>
        </w:tc>
        <w:tc>
          <w:tcPr>
            <w:tcW w:w="2126" w:type="dxa"/>
            <w:tcBorders>
              <w:top w:val="single" w:sz="4" w:space="0" w:color="auto"/>
              <w:left w:val="single" w:sz="4" w:space="0" w:color="auto"/>
              <w:bottom w:val="single" w:sz="4" w:space="0" w:color="auto"/>
              <w:right w:val="single" w:sz="4" w:space="0" w:color="auto"/>
            </w:tcBorders>
            <w:hideMark/>
          </w:tcPr>
          <w:p w14:paraId="0B641C76"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 of increase or decrease by TN compared to control</w:t>
            </w:r>
          </w:p>
        </w:tc>
      </w:tr>
      <w:tr w:rsidR="00B24143" w:rsidRPr="0066543C" w14:paraId="61978ABE" w14:textId="77777777" w:rsidTr="00980E4B">
        <w:trPr>
          <w:jc w:val="center"/>
        </w:trPr>
        <w:tc>
          <w:tcPr>
            <w:tcW w:w="2689" w:type="dxa"/>
            <w:tcBorders>
              <w:top w:val="single" w:sz="4" w:space="0" w:color="auto"/>
              <w:left w:val="single" w:sz="4" w:space="0" w:color="auto"/>
              <w:bottom w:val="single" w:sz="4" w:space="0" w:color="auto"/>
              <w:right w:val="single" w:sz="4" w:space="0" w:color="auto"/>
            </w:tcBorders>
            <w:hideMark/>
          </w:tcPr>
          <w:p w14:paraId="37208A31"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Plant height(cm)</w:t>
            </w:r>
          </w:p>
        </w:tc>
        <w:tc>
          <w:tcPr>
            <w:tcW w:w="1275" w:type="dxa"/>
            <w:tcBorders>
              <w:top w:val="single" w:sz="4" w:space="0" w:color="auto"/>
              <w:left w:val="single" w:sz="4" w:space="0" w:color="auto"/>
              <w:bottom w:val="single" w:sz="4" w:space="0" w:color="auto"/>
              <w:right w:val="single" w:sz="4" w:space="0" w:color="auto"/>
            </w:tcBorders>
            <w:hideMark/>
          </w:tcPr>
          <w:p w14:paraId="76624C98"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13.5</w:t>
            </w:r>
          </w:p>
        </w:tc>
        <w:tc>
          <w:tcPr>
            <w:tcW w:w="1418" w:type="dxa"/>
            <w:tcBorders>
              <w:top w:val="single" w:sz="4" w:space="0" w:color="auto"/>
              <w:left w:val="single" w:sz="4" w:space="0" w:color="auto"/>
              <w:bottom w:val="single" w:sz="4" w:space="0" w:color="auto"/>
              <w:right w:val="single" w:sz="4" w:space="0" w:color="auto"/>
            </w:tcBorders>
            <w:hideMark/>
          </w:tcPr>
          <w:p w14:paraId="34215868"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16.5</w:t>
            </w:r>
          </w:p>
        </w:tc>
        <w:tc>
          <w:tcPr>
            <w:tcW w:w="2126" w:type="dxa"/>
            <w:tcBorders>
              <w:top w:val="single" w:sz="4" w:space="0" w:color="auto"/>
              <w:left w:val="single" w:sz="4" w:space="0" w:color="auto"/>
              <w:bottom w:val="single" w:sz="4" w:space="0" w:color="auto"/>
              <w:right w:val="single" w:sz="4" w:space="0" w:color="auto"/>
            </w:tcBorders>
            <w:hideMark/>
          </w:tcPr>
          <w:p w14:paraId="7E496AEA"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40</w:t>
            </w:r>
          </w:p>
        </w:tc>
      </w:tr>
      <w:tr w:rsidR="00B24143" w:rsidRPr="0066543C" w14:paraId="639D0C4E" w14:textId="77777777" w:rsidTr="00980E4B">
        <w:trPr>
          <w:jc w:val="center"/>
        </w:trPr>
        <w:tc>
          <w:tcPr>
            <w:tcW w:w="2689" w:type="dxa"/>
            <w:tcBorders>
              <w:top w:val="single" w:sz="4" w:space="0" w:color="auto"/>
              <w:left w:val="single" w:sz="4" w:space="0" w:color="auto"/>
              <w:bottom w:val="single" w:sz="4" w:space="0" w:color="auto"/>
              <w:right w:val="single" w:sz="4" w:space="0" w:color="auto"/>
            </w:tcBorders>
            <w:hideMark/>
          </w:tcPr>
          <w:p w14:paraId="0DB27F0E"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Root length (cm)</w:t>
            </w:r>
          </w:p>
        </w:tc>
        <w:tc>
          <w:tcPr>
            <w:tcW w:w="1275" w:type="dxa"/>
            <w:tcBorders>
              <w:top w:val="single" w:sz="4" w:space="0" w:color="auto"/>
              <w:left w:val="single" w:sz="4" w:space="0" w:color="auto"/>
              <w:bottom w:val="single" w:sz="4" w:space="0" w:color="auto"/>
              <w:right w:val="single" w:sz="4" w:space="0" w:color="auto"/>
            </w:tcBorders>
            <w:hideMark/>
          </w:tcPr>
          <w:p w14:paraId="13C1025F"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3.2</w:t>
            </w:r>
          </w:p>
        </w:tc>
        <w:tc>
          <w:tcPr>
            <w:tcW w:w="1418" w:type="dxa"/>
            <w:tcBorders>
              <w:top w:val="single" w:sz="4" w:space="0" w:color="auto"/>
              <w:left w:val="single" w:sz="4" w:space="0" w:color="auto"/>
              <w:bottom w:val="single" w:sz="4" w:space="0" w:color="auto"/>
              <w:right w:val="single" w:sz="4" w:space="0" w:color="auto"/>
            </w:tcBorders>
            <w:hideMark/>
          </w:tcPr>
          <w:p w14:paraId="6E84B885"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4.2</w:t>
            </w:r>
          </w:p>
        </w:tc>
        <w:tc>
          <w:tcPr>
            <w:tcW w:w="2126" w:type="dxa"/>
            <w:tcBorders>
              <w:top w:val="single" w:sz="4" w:space="0" w:color="auto"/>
              <w:left w:val="single" w:sz="4" w:space="0" w:color="auto"/>
              <w:bottom w:val="single" w:sz="4" w:space="0" w:color="auto"/>
              <w:right w:val="single" w:sz="4" w:space="0" w:color="auto"/>
            </w:tcBorders>
            <w:hideMark/>
          </w:tcPr>
          <w:p w14:paraId="74A7C77D"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49</w:t>
            </w:r>
          </w:p>
        </w:tc>
      </w:tr>
      <w:tr w:rsidR="00B24143" w:rsidRPr="0066543C" w14:paraId="4749149C" w14:textId="77777777" w:rsidTr="00980E4B">
        <w:trPr>
          <w:jc w:val="center"/>
        </w:trPr>
        <w:tc>
          <w:tcPr>
            <w:tcW w:w="2689" w:type="dxa"/>
            <w:tcBorders>
              <w:top w:val="single" w:sz="4" w:space="0" w:color="auto"/>
              <w:left w:val="single" w:sz="4" w:space="0" w:color="auto"/>
              <w:bottom w:val="single" w:sz="4" w:space="0" w:color="auto"/>
              <w:right w:val="single" w:sz="4" w:space="0" w:color="auto"/>
            </w:tcBorders>
            <w:hideMark/>
          </w:tcPr>
          <w:p w14:paraId="1AEDFCF5"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Weight of fresh shoot (g)</w:t>
            </w:r>
          </w:p>
        </w:tc>
        <w:tc>
          <w:tcPr>
            <w:tcW w:w="1275" w:type="dxa"/>
            <w:tcBorders>
              <w:top w:val="single" w:sz="4" w:space="0" w:color="auto"/>
              <w:left w:val="single" w:sz="4" w:space="0" w:color="auto"/>
              <w:bottom w:val="single" w:sz="4" w:space="0" w:color="auto"/>
              <w:right w:val="single" w:sz="4" w:space="0" w:color="auto"/>
            </w:tcBorders>
            <w:hideMark/>
          </w:tcPr>
          <w:p w14:paraId="370DF6B5"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0.16</w:t>
            </w:r>
          </w:p>
        </w:tc>
        <w:tc>
          <w:tcPr>
            <w:tcW w:w="1418" w:type="dxa"/>
            <w:tcBorders>
              <w:top w:val="single" w:sz="4" w:space="0" w:color="auto"/>
              <w:left w:val="single" w:sz="4" w:space="0" w:color="auto"/>
              <w:bottom w:val="single" w:sz="4" w:space="0" w:color="auto"/>
              <w:right w:val="single" w:sz="4" w:space="0" w:color="auto"/>
            </w:tcBorders>
            <w:hideMark/>
          </w:tcPr>
          <w:p w14:paraId="2DBE3DF8"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0.20</w:t>
            </w:r>
          </w:p>
        </w:tc>
        <w:tc>
          <w:tcPr>
            <w:tcW w:w="2126" w:type="dxa"/>
            <w:tcBorders>
              <w:top w:val="single" w:sz="4" w:space="0" w:color="auto"/>
              <w:left w:val="single" w:sz="4" w:space="0" w:color="auto"/>
              <w:bottom w:val="single" w:sz="4" w:space="0" w:color="auto"/>
              <w:right w:val="single" w:sz="4" w:space="0" w:color="auto"/>
            </w:tcBorders>
            <w:hideMark/>
          </w:tcPr>
          <w:p w14:paraId="765C201E"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42</w:t>
            </w:r>
          </w:p>
        </w:tc>
      </w:tr>
      <w:tr w:rsidR="00B24143" w:rsidRPr="0066543C" w14:paraId="3B45188B" w14:textId="77777777" w:rsidTr="00980E4B">
        <w:trPr>
          <w:jc w:val="center"/>
        </w:trPr>
        <w:tc>
          <w:tcPr>
            <w:tcW w:w="2689" w:type="dxa"/>
            <w:tcBorders>
              <w:top w:val="single" w:sz="4" w:space="0" w:color="auto"/>
              <w:left w:val="single" w:sz="4" w:space="0" w:color="auto"/>
              <w:bottom w:val="single" w:sz="4" w:space="0" w:color="auto"/>
              <w:right w:val="single" w:sz="4" w:space="0" w:color="auto"/>
            </w:tcBorders>
            <w:hideMark/>
          </w:tcPr>
          <w:p w14:paraId="59A88C4C"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Weight of dry shoot (g)</w:t>
            </w:r>
          </w:p>
        </w:tc>
        <w:tc>
          <w:tcPr>
            <w:tcW w:w="1275" w:type="dxa"/>
            <w:tcBorders>
              <w:top w:val="single" w:sz="4" w:space="0" w:color="auto"/>
              <w:left w:val="single" w:sz="4" w:space="0" w:color="auto"/>
              <w:bottom w:val="single" w:sz="4" w:space="0" w:color="auto"/>
              <w:right w:val="single" w:sz="4" w:space="0" w:color="auto"/>
            </w:tcBorders>
            <w:hideMark/>
          </w:tcPr>
          <w:p w14:paraId="321B2178"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0.05</w:t>
            </w:r>
          </w:p>
        </w:tc>
        <w:tc>
          <w:tcPr>
            <w:tcW w:w="1418" w:type="dxa"/>
            <w:tcBorders>
              <w:top w:val="single" w:sz="4" w:space="0" w:color="auto"/>
              <w:left w:val="single" w:sz="4" w:space="0" w:color="auto"/>
              <w:bottom w:val="single" w:sz="4" w:space="0" w:color="auto"/>
              <w:right w:val="single" w:sz="4" w:space="0" w:color="auto"/>
            </w:tcBorders>
            <w:hideMark/>
          </w:tcPr>
          <w:p w14:paraId="55DFB49C"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0.10</w:t>
            </w:r>
          </w:p>
        </w:tc>
        <w:tc>
          <w:tcPr>
            <w:tcW w:w="2126" w:type="dxa"/>
            <w:tcBorders>
              <w:top w:val="single" w:sz="4" w:space="0" w:color="auto"/>
              <w:left w:val="single" w:sz="4" w:space="0" w:color="auto"/>
              <w:bottom w:val="single" w:sz="4" w:space="0" w:color="auto"/>
              <w:right w:val="single" w:sz="4" w:space="0" w:color="auto"/>
            </w:tcBorders>
            <w:hideMark/>
          </w:tcPr>
          <w:p w14:paraId="0220B179"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97</w:t>
            </w:r>
          </w:p>
        </w:tc>
      </w:tr>
      <w:tr w:rsidR="00B24143" w:rsidRPr="0066543C" w14:paraId="37E2085E" w14:textId="77777777" w:rsidTr="00980E4B">
        <w:trPr>
          <w:jc w:val="center"/>
        </w:trPr>
        <w:tc>
          <w:tcPr>
            <w:tcW w:w="2689" w:type="dxa"/>
            <w:tcBorders>
              <w:top w:val="single" w:sz="4" w:space="0" w:color="auto"/>
              <w:left w:val="single" w:sz="4" w:space="0" w:color="auto"/>
              <w:bottom w:val="single" w:sz="4" w:space="0" w:color="auto"/>
              <w:right w:val="single" w:sz="4" w:space="0" w:color="auto"/>
            </w:tcBorders>
            <w:hideMark/>
          </w:tcPr>
          <w:p w14:paraId="64CB5F11"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Weight of fresh root (g)</w:t>
            </w:r>
          </w:p>
        </w:tc>
        <w:tc>
          <w:tcPr>
            <w:tcW w:w="1275" w:type="dxa"/>
            <w:tcBorders>
              <w:top w:val="single" w:sz="4" w:space="0" w:color="auto"/>
              <w:left w:val="single" w:sz="4" w:space="0" w:color="auto"/>
              <w:bottom w:val="single" w:sz="4" w:space="0" w:color="auto"/>
              <w:right w:val="single" w:sz="4" w:space="0" w:color="auto"/>
            </w:tcBorders>
            <w:hideMark/>
          </w:tcPr>
          <w:p w14:paraId="690B0676"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0.24</w:t>
            </w:r>
          </w:p>
        </w:tc>
        <w:tc>
          <w:tcPr>
            <w:tcW w:w="1418" w:type="dxa"/>
            <w:tcBorders>
              <w:top w:val="single" w:sz="4" w:space="0" w:color="auto"/>
              <w:left w:val="single" w:sz="4" w:space="0" w:color="auto"/>
              <w:bottom w:val="single" w:sz="4" w:space="0" w:color="auto"/>
              <w:right w:val="single" w:sz="4" w:space="0" w:color="auto"/>
            </w:tcBorders>
            <w:hideMark/>
          </w:tcPr>
          <w:p w14:paraId="6703BD4C"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0.40</w:t>
            </w:r>
          </w:p>
        </w:tc>
        <w:tc>
          <w:tcPr>
            <w:tcW w:w="2126" w:type="dxa"/>
            <w:tcBorders>
              <w:top w:val="single" w:sz="4" w:space="0" w:color="auto"/>
              <w:left w:val="single" w:sz="4" w:space="0" w:color="auto"/>
              <w:bottom w:val="single" w:sz="4" w:space="0" w:color="auto"/>
              <w:right w:val="single" w:sz="4" w:space="0" w:color="auto"/>
            </w:tcBorders>
            <w:hideMark/>
          </w:tcPr>
          <w:p w14:paraId="1582040C"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70</w:t>
            </w:r>
          </w:p>
        </w:tc>
      </w:tr>
      <w:tr w:rsidR="00B24143" w:rsidRPr="0066543C" w14:paraId="05C9E088" w14:textId="77777777" w:rsidTr="00980E4B">
        <w:trPr>
          <w:jc w:val="center"/>
        </w:trPr>
        <w:tc>
          <w:tcPr>
            <w:tcW w:w="2689" w:type="dxa"/>
            <w:tcBorders>
              <w:top w:val="single" w:sz="4" w:space="0" w:color="auto"/>
              <w:left w:val="single" w:sz="4" w:space="0" w:color="auto"/>
              <w:bottom w:val="single" w:sz="4" w:space="0" w:color="auto"/>
              <w:right w:val="single" w:sz="4" w:space="0" w:color="auto"/>
            </w:tcBorders>
            <w:hideMark/>
          </w:tcPr>
          <w:p w14:paraId="7567C6FA"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Weight of dry root (g)</w:t>
            </w:r>
          </w:p>
        </w:tc>
        <w:tc>
          <w:tcPr>
            <w:tcW w:w="1275" w:type="dxa"/>
            <w:tcBorders>
              <w:top w:val="single" w:sz="4" w:space="0" w:color="auto"/>
              <w:left w:val="single" w:sz="4" w:space="0" w:color="auto"/>
              <w:bottom w:val="single" w:sz="4" w:space="0" w:color="auto"/>
              <w:right w:val="single" w:sz="4" w:space="0" w:color="auto"/>
            </w:tcBorders>
            <w:hideMark/>
          </w:tcPr>
          <w:p w14:paraId="294953F1"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0.065</w:t>
            </w:r>
          </w:p>
        </w:tc>
        <w:tc>
          <w:tcPr>
            <w:tcW w:w="1418" w:type="dxa"/>
            <w:tcBorders>
              <w:top w:val="single" w:sz="4" w:space="0" w:color="auto"/>
              <w:left w:val="single" w:sz="4" w:space="0" w:color="auto"/>
              <w:bottom w:val="single" w:sz="4" w:space="0" w:color="auto"/>
              <w:right w:val="single" w:sz="4" w:space="0" w:color="auto"/>
            </w:tcBorders>
            <w:hideMark/>
          </w:tcPr>
          <w:p w14:paraId="7D260669"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0.14</w:t>
            </w:r>
          </w:p>
        </w:tc>
        <w:tc>
          <w:tcPr>
            <w:tcW w:w="2126" w:type="dxa"/>
            <w:tcBorders>
              <w:top w:val="single" w:sz="4" w:space="0" w:color="auto"/>
              <w:left w:val="single" w:sz="4" w:space="0" w:color="auto"/>
              <w:bottom w:val="single" w:sz="4" w:space="0" w:color="auto"/>
              <w:right w:val="single" w:sz="4" w:space="0" w:color="auto"/>
            </w:tcBorders>
            <w:hideMark/>
          </w:tcPr>
          <w:p w14:paraId="36D0DD63"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112</w:t>
            </w:r>
          </w:p>
        </w:tc>
      </w:tr>
    </w:tbl>
    <w:p w14:paraId="2CB77269" w14:textId="00A6E1AF" w:rsidR="00B24143" w:rsidRPr="0066543C" w:rsidRDefault="000827D9" w:rsidP="00B24143">
      <w:pPr>
        <w:jc w:val="both"/>
        <w:rPr>
          <w:rFonts w:ascii="Arial" w:hAnsi="Arial" w:cs="Arial"/>
          <w:b/>
          <w:bCs/>
          <w:color w:val="000000" w:themeColor="text1"/>
          <w:sz w:val="20"/>
          <w:szCs w:val="20"/>
        </w:rPr>
      </w:pPr>
      <w:r w:rsidRPr="0066543C">
        <w:rPr>
          <w:rFonts w:ascii="Arial" w:hAnsi="Arial" w:cs="Arial"/>
          <w:noProof/>
          <w:lang w:eastAsia="en-IN"/>
        </w:rPr>
        <mc:AlternateContent>
          <mc:Choice Requires="wps">
            <w:drawing>
              <wp:anchor distT="0" distB="0" distL="114300" distR="114300" simplePos="0" relativeHeight="251680768" behindDoc="0" locked="0" layoutInCell="1" allowOverlap="1" wp14:anchorId="7EBFA9B8" wp14:editId="7E8B4E46">
                <wp:simplePos x="0" y="0"/>
                <wp:positionH relativeFrom="column">
                  <wp:posOffset>876877</wp:posOffset>
                </wp:positionH>
                <wp:positionV relativeFrom="paragraph">
                  <wp:posOffset>614045</wp:posOffset>
                </wp:positionV>
                <wp:extent cx="340995" cy="283210"/>
                <wp:effectExtent l="0" t="0" r="20955" b="21590"/>
                <wp:wrapNone/>
                <wp:docPr id="1693835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83210"/>
                        </a:xfrm>
                        <a:prstGeom prst="rect">
                          <a:avLst/>
                        </a:prstGeom>
                        <a:solidFill>
                          <a:srgbClr val="FFFFFF"/>
                        </a:solidFill>
                        <a:ln w="9525">
                          <a:solidFill>
                            <a:srgbClr val="000000"/>
                          </a:solidFill>
                          <a:miter lim="800000"/>
                          <a:headEnd/>
                          <a:tailEnd/>
                        </a:ln>
                      </wps:spPr>
                      <wps:txbx>
                        <w:txbxContent>
                          <w:p w14:paraId="1EBE33AB" w14:textId="77777777" w:rsidR="006C23A6" w:rsidRPr="0009740A" w:rsidRDefault="006C23A6" w:rsidP="006C23A6">
                            <w:pPr>
                              <w:rPr>
                                <w:rFonts w:ascii="Times New Roman" w:hAnsi="Times New Roman" w:cs="Times New Roman"/>
                                <w:b/>
                                <w:bCs/>
                              </w:rPr>
                            </w:pPr>
                            <w:r w:rsidRPr="0009740A">
                              <w:rPr>
                                <w:rFonts w:ascii="Times New Roman" w:hAnsi="Times New Roman" w:cs="Times New Roman"/>
                                <w:b/>
                                <w:bCs/>
                              </w:rPr>
                              <w:t>A</w:t>
                            </w:r>
                          </w:p>
                        </w:txbxContent>
                      </wps:txbx>
                      <wps:bodyPr rot="0" vert="horz" wrap="square" lIns="91440" tIns="45720" rIns="91440" bIns="45720" anchor="t" anchorCtr="0">
                        <a:noAutofit/>
                      </wps:bodyPr>
                    </wps:wsp>
                  </a:graphicData>
                </a:graphic>
              </wp:anchor>
            </w:drawing>
          </mc:Choice>
          <mc:Fallback>
            <w:pict>
              <v:shape w14:anchorId="7EBFA9B8" id="Text Box 2" o:spid="_x0000_s1035" type="#_x0000_t202" style="position:absolute;left:0;text-align:left;margin-left:69.05pt;margin-top:48.35pt;width:26.85pt;height:22.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">
                <v:textbox>
                  <w:txbxContent>
                    <w:p w14:paraId="1EBE33AB" w14:textId="77777777" w:rsidR="006C23A6" w:rsidRPr="0009740A" w:rsidRDefault="006C23A6" w:rsidP="006C23A6">
                      <w:pPr>
                        <w:rPr>
                          <w:rFonts w:ascii="Times New Roman" w:hAnsi="Times New Roman" w:cs="Times New Roman"/>
                          <w:b/>
                          <w:bCs/>
                        </w:rPr>
                      </w:pPr>
                      <w:r w:rsidRPr="0009740A">
                        <w:rPr>
                          <w:rFonts w:ascii="Times New Roman" w:hAnsi="Times New Roman" w:cs="Times New Roman"/>
                          <w:b/>
                          <w:bCs/>
                        </w:rPr>
                        <w:t>A</w:t>
                      </w:r>
                    </w:p>
                  </w:txbxContent>
                </v:textbox>
              </v:shape>
            </w:pict>
          </mc:Fallback>
        </mc:AlternateContent>
      </w:r>
      <w:r w:rsidRPr="0066543C">
        <w:rPr>
          <w:rFonts w:ascii="Arial" w:hAnsi="Arial" w:cs="Arial"/>
          <w:noProof/>
          <w:lang w:eastAsia="en-IN"/>
        </w:rPr>
        <w:drawing>
          <wp:anchor distT="0" distB="0" distL="114300" distR="114300" simplePos="0" relativeHeight="251675648" behindDoc="0" locked="0" layoutInCell="1" allowOverlap="1" wp14:anchorId="4C0F743C" wp14:editId="37B243F4">
            <wp:simplePos x="0" y="0"/>
            <wp:positionH relativeFrom="column">
              <wp:posOffset>892810</wp:posOffset>
            </wp:positionH>
            <wp:positionV relativeFrom="paragraph">
              <wp:posOffset>619818</wp:posOffset>
            </wp:positionV>
            <wp:extent cx="1641475" cy="1371600"/>
            <wp:effectExtent l="190500" t="190500" r="187325" b="190500"/>
            <wp:wrapTopAndBottom/>
            <wp:docPr id="1432855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1475" cy="1371600"/>
                    </a:xfrm>
                    <a:prstGeom prst="rect">
                      <a:avLst/>
                    </a:prstGeom>
                    <a:ln>
                      <a:solidFill>
                        <a:schemeClr val="tx1"/>
                      </a:solid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66543C">
        <w:rPr>
          <w:rFonts w:ascii="Arial" w:hAnsi="Arial" w:cs="Arial"/>
          <w:noProof/>
          <w:lang w:eastAsia="en-IN"/>
        </w:rPr>
        <mc:AlternateContent>
          <mc:Choice Requires="wps">
            <w:drawing>
              <wp:anchor distT="0" distB="0" distL="114300" distR="114300" simplePos="0" relativeHeight="251682816" behindDoc="0" locked="0" layoutInCell="1" allowOverlap="1" wp14:anchorId="4AAAC04E" wp14:editId="646571A8">
                <wp:simplePos x="0" y="0"/>
                <wp:positionH relativeFrom="column">
                  <wp:posOffset>3269615</wp:posOffset>
                </wp:positionH>
                <wp:positionV relativeFrom="paragraph">
                  <wp:posOffset>609658</wp:posOffset>
                </wp:positionV>
                <wp:extent cx="340995" cy="283210"/>
                <wp:effectExtent l="0" t="0" r="20955" b="21590"/>
                <wp:wrapNone/>
                <wp:docPr id="53215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83210"/>
                        </a:xfrm>
                        <a:prstGeom prst="rect">
                          <a:avLst/>
                        </a:prstGeom>
                        <a:solidFill>
                          <a:srgbClr val="FFFFFF"/>
                        </a:solidFill>
                        <a:ln w="9525">
                          <a:solidFill>
                            <a:srgbClr val="000000"/>
                          </a:solidFill>
                          <a:miter lim="800000"/>
                          <a:headEnd/>
                          <a:tailEnd/>
                        </a:ln>
                      </wps:spPr>
                      <wps:txbx>
                        <w:txbxContent>
                          <w:p w14:paraId="78765742" w14:textId="67A1BD64" w:rsidR="006C23A6" w:rsidRPr="0009740A" w:rsidRDefault="006C23A6" w:rsidP="006C23A6">
                            <w:pPr>
                              <w:rPr>
                                <w:rFonts w:ascii="Times New Roman" w:hAnsi="Times New Roman" w:cs="Times New Roman"/>
                                <w:b/>
                                <w:bCs/>
                              </w:rPr>
                            </w:pPr>
                            <w:r>
                              <w:rPr>
                                <w:rFonts w:ascii="Times New Roman" w:hAnsi="Times New Roman" w:cs="Times New Roman"/>
                                <w:b/>
                                <w:bCs/>
                              </w:rPr>
                              <w:t>B</w:t>
                            </w:r>
                          </w:p>
                        </w:txbxContent>
                      </wps:txbx>
                      <wps:bodyPr rot="0" vert="horz" wrap="square" lIns="91440" tIns="45720" rIns="91440" bIns="45720" anchor="t" anchorCtr="0">
                        <a:noAutofit/>
                      </wps:bodyPr>
                    </wps:wsp>
                  </a:graphicData>
                </a:graphic>
              </wp:anchor>
            </w:drawing>
          </mc:Choice>
          <mc:Fallback>
            <w:pict>
              <v:shape w14:anchorId="4AAAC04E" id="_x0000_s1036" type="#_x0000_t202" style="position:absolute;left:0;text-align:left;margin-left:257.45pt;margin-top:48pt;width:26.85pt;height:22.3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">
                <v:textbox>
                  <w:txbxContent>
                    <w:p w14:paraId="78765742" w14:textId="67A1BD64" w:rsidR="006C23A6" w:rsidRPr="0009740A" w:rsidRDefault="006C23A6" w:rsidP="006C23A6">
                      <w:pPr>
                        <w:rPr>
                          <w:rFonts w:ascii="Times New Roman" w:hAnsi="Times New Roman" w:cs="Times New Roman"/>
                          <w:b/>
                          <w:bCs/>
                        </w:rPr>
                      </w:pPr>
                      <w:r>
                        <w:rPr>
                          <w:rFonts w:ascii="Times New Roman" w:hAnsi="Times New Roman" w:cs="Times New Roman"/>
                          <w:b/>
                          <w:bCs/>
                        </w:rPr>
                        <w:t>B</w:t>
                      </w:r>
                    </w:p>
                  </w:txbxContent>
                </v:textbox>
              </v:shape>
            </w:pict>
          </mc:Fallback>
        </mc:AlternateContent>
      </w:r>
      <w:r w:rsidRPr="0066543C">
        <w:rPr>
          <w:rFonts w:ascii="Arial" w:hAnsi="Arial" w:cs="Arial"/>
          <w:noProof/>
          <w:lang w:eastAsia="en-IN"/>
        </w:rPr>
        <w:drawing>
          <wp:anchor distT="0" distB="0" distL="114300" distR="114300" simplePos="0" relativeHeight="251677696" behindDoc="0" locked="0" layoutInCell="1" allowOverlap="1" wp14:anchorId="5B4EBEB3" wp14:editId="02F58358">
            <wp:simplePos x="0" y="0"/>
            <wp:positionH relativeFrom="column">
              <wp:posOffset>3270250</wp:posOffset>
            </wp:positionH>
            <wp:positionV relativeFrom="paragraph">
              <wp:posOffset>627322</wp:posOffset>
            </wp:positionV>
            <wp:extent cx="1562100" cy="1416050"/>
            <wp:effectExtent l="19050" t="19050" r="19050" b="12700"/>
            <wp:wrapTopAndBottom/>
            <wp:docPr id="12389157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2100" cy="1416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841D914" w14:textId="5DB76755" w:rsidR="006C23A6" w:rsidRPr="0066543C" w:rsidRDefault="006C23A6" w:rsidP="00B24143">
      <w:pPr>
        <w:jc w:val="both"/>
        <w:rPr>
          <w:rFonts w:ascii="Arial" w:hAnsi="Arial" w:cs="Arial"/>
          <w:b/>
          <w:bCs/>
        </w:rPr>
      </w:pPr>
    </w:p>
    <w:p w14:paraId="68429F62" w14:textId="7FB870C3" w:rsidR="00B24143" w:rsidRPr="0066543C" w:rsidRDefault="00B24143" w:rsidP="00B24143">
      <w:pPr>
        <w:jc w:val="both"/>
        <w:rPr>
          <w:rFonts w:ascii="Arial" w:hAnsi="Arial" w:cs="Arial"/>
          <w:b/>
          <w:bCs/>
          <w:sz w:val="20"/>
          <w:szCs w:val="20"/>
        </w:rPr>
      </w:pPr>
      <w:r w:rsidRPr="0066543C">
        <w:rPr>
          <w:rFonts w:ascii="Arial" w:hAnsi="Arial" w:cs="Arial"/>
          <w:b/>
          <w:bCs/>
          <w:sz w:val="20"/>
          <w:szCs w:val="20"/>
        </w:rPr>
        <w:t>Figure 1</w:t>
      </w:r>
      <w:r w:rsidR="00E3244A">
        <w:rPr>
          <w:rFonts w:ascii="Arial" w:hAnsi="Arial" w:cs="Arial"/>
          <w:b/>
          <w:bCs/>
          <w:sz w:val="20"/>
          <w:szCs w:val="20"/>
        </w:rPr>
        <w:t>0.</w:t>
      </w:r>
      <w:r w:rsidRPr="0066543C">
        <w:rPr>
          <w:rFonts w:ascii="Arial" w:hAnsi="Arial" w:cs="Arial"/>
          <w:b/>
          <w:bCs/>
          <w:sz w:val="20"/>
          <w:szCs w:val="20"/>
        </w:rPr>
        <w:t xml:space="preserve"> </w:t>
      </w:r>
      <w:r w:rsidR="006E1CF1" w:rsidRPr="0066543C">
        <w:rPr>
          <w:rFonts w:ascii="Arial" w:hAnsi="Arial" w:cs="Arial"/>
          <w:b/>
          <w:bCs/>
          <w:sz w:val="20"/>
          <w:szCs w:val="20"/>
        </w:rPr>
        <w:t xml:space="preserve">Pot assay after three weeks </w:t>
      </w:r>
      <w:r w:rsidRPr="0066543C">
        <w:rPr>
          <w:rFonts w:ascii="Arial" w:hAnsi="Arial" w:cs="Arial"/>
          <w:b/>
          <w:bCs/>
          <w:sz w:val="20"/>
          <w:szCs w:val="20"/>
        </w:rPr>
        <w:t>A) Control pot (without cyanobacteria), B) Treatment pot (T</w:t>
      </w:r>
      <w:r w:rsidR="00584822" w:rsidRPr="0066543C">
        <w:rPr>
          <w:rFonts w:ascii="Arial" w:hAnsi="Arial" w:cs="Arial"/>
          <w:b/>
          <w:bCs/>
          <w:sz w:val="20"/>
          <w:szCs w:val="20"/>
        </w:rPr>
        <w:t>N</w:t>
      </w:r>
      <w:r w:rsidRPr="0066543C">
        <w:rPr>
          <w:rFonts w:ascii="Arial" w:hAnsi="Arial" w:cs="Arial"/>
          <w:b/>
          <w:bCs/>
          <w:sz w:val="20"/>
          <w:szCs w:val="20"/>
        </w:rPr>
        <w:t xml:space="preserve">) with </w:t>
      </w:r>
      <w:r w:rsidRPr="0066543C">
        <w:rPr>
          <w:rFonts w:ascii="Arial" w:hAnsi="Arial" w:cs="Arial"/>
          <w:b/>
          <w:bCs/>
          <w:i/>
          <w:iCs/>
          <w:sz w:val="20"/>
          <w:szCs w:val="20"/>
        </w:rPr>
        <w:t>Leptolyngbya sp</w:t>
      </w:r>
      <w:r w:rsidRPr="0066543C">
        <w:rPr>
          <w:rFonts w:ascii="Arial" w:hAnsi="Arial" w:cs="Arial"/>
          <w:b/>
          <w:bCs/>
          <w:sz w:val="20"/>
          <w:szCs w:val="20"/>
        </w:rPr>
        <w:t>.</w:t>
      </w:r>
      <w:r w:rsidR="006C23A6" w:rsidRPr="0066543C">
        <w:rPr>
          <w:rFonts w:ascii="Arial" w:hAnsi="Arial" w:cs="Arial"/>
          <w:b/>
          <w:bCs/>
          <w:sz w:val="20"/>
          <w:szCs w:val="20"/>
        </w:rPr>
        <w:t xml:space="preserve"> </w:t>
      </w:r>
    </w:p>
    <w:p w14:paraId="542B0084" w14:textId="77777777" w:rsidR="00B24143" w:rsidRPr="0066543C" w:rsidRDefault="00B24143" w:rsidP="00B24143">
      <w:pPr>
        <w:jc w:val="both"/>
        <w:rPr>
          <w:rFonts w:ascii="Arial" w:hAnsi="Arial" w:cs="Arial"/>
          <w:b/>
          <w:bCs/>
          <w:color w:val="000000" w:themeColor="text1"/>
          <w:sz w:val="20"/>
          <w:szCs w:val="20"/>
        </w:rPr>
      </w:pPr>
    </w:p>
    <w:p w14:paraId="14ACF80B" w14:textId="77777777" w:rsidR="00B24143" w:rsidRPr="0066543C" w:rsidRDefault="00B24143" w:rsidP="00B24143">
      <w:pPr>
        <w:spacing w:line="360" w:lineRule="auto"/>
        <w:jc w:val="both"/>
        <w:rPr>
          <w:rFonts w:ascii="Arial" w:hAnsi="Arial" w:cs="Arial"/>
          <w:b/>
          <w:bCs/>
          <w:color w:val="000000" w:themeColor="text1"/>
        </w:rPr>
      </w:pPr>
      <w:r w:rsidRPr="0066543C">
        <w:rPr>
          <w:rFonts w:ascii="Arial" w:hAnsi="Arial" w:cs="Arial"/>
          <w:b/>
          <w:bCs/>
          <w:color w:val="000000" w:themeColor="text1"/>
        </w:rPr>
        <w:t>DISCUSSION</w:t>
      </w:r>
    </w:p>
    <w:p w14:paraId="3CB68CBC" w14:textId="77777777" w:rsidR="00226B54" w:rsidRPr="0066543C" w:rsidRDefault="00226B54" w:rsidP="00226B54">
      <w:pPr>
        <w:spacing w:line="360" w:lineRule="auto"/>
        <w:jc w:val="both"/>
        <w:rPr>
          <w:rFonts w:ascii="Arial" w:hAnsi="Arial" w:cs="Arial"/>
          <w:color w:val="000000" w:themeColor="text1"/>
          <w:sz w:val="20"/>
          <w:szCs w:val="20"/>
        </w:rPr>
      </w:pPr>
      <w:r w:rsidRPr="00226B54">
        <w:rPr>
          <w:rFonts w:ascii="Arial" w:hAnsi="Arial" w:cs="Arial"/>
          <w:color w:val="000000" w:themeColor="text1"/>
          <w:sz w:val="20"/>
          <w:szCs w:val="20"/>
          <w:highlight w:val="yellow"/>
        </w:rPr>
        <w:t>Soil is a fertile and dynamic ecosystem with a wide spread of microorganisms, with a special and essential role played by cyanobacteria. Cyanobacteria are autotrophic prokaryotes that can also be found in various soil environments and play a major role in nutrient cycling, particularly fixation of N</w:t>
      </w:r>
      <w:r w:rsidRPr="00226B54">
        <w:rPr>
          <w:rFonts w:ascii="Arial" w:hAnsi="Arial" w:cs="Arial"/>
          <w:color w:val="000000" w:themeColor="text1"/>
          <w:sz w:val="20"/>
          <w:szCs w:val="20"/>
          <w:highlight w:val="yellow"/>
          <w:vertAlign w:val="subscript"/>
        </w:rPr>
        <w:t>2</w:t>
      </w:r>
      <w:r w:rsidRPr="00226B54">
        <w:rPr>
          <w:rFonts w:ascii="Arial" w:hAnsi="Arial" w:cs="Arial"/>
          <w:color w:val="000000" w:themeColor="text1"/>
          <w:sz w:val="20"/>
          <w:szCs w:val="20"/>
          <w:highlight w:val="yellow"/>
        </w:rPr>
        <w:t>, and solubilization of phosphorus (Singh et al., 2011; Sun et al., 2015; Singh et al., 2020). Not only do they improve the fertility of soil, but they also aid in the growth of plants and improve the structure of soil through the formation of biofilms and exopolysaccharide matrices surrounding the plant ecosystems. The microbiological examination of soil with emphasis on cyanobacteria is crucial in order to assess abundance, diversity, and functional potential of cyanobacteria, which are important to determine the ecological role and possible educational use in the sustainable agriculture and bioremediation of such pollutants like organophosphorus pesticides (Giesy et al., 2014; Bhuvaneshwari et al., 2018).</w:t>
      </w:r>
    </w:p>
    <w:p w14:paraId="4AB485ED" w14:textId="77777777" w:rsidR="00B24143" w:rsidRPr="0066543C" w:rsidRDefault="00B24143" w:rsidP="00B24143">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In this study, cyanobacteria (Blue-Green Algae, BGA) were isolated, identified, and mass-multiplied for use as inoculum in a pot experiment with rice. Soil pH, moisture, and cyanobacterial population were monitored across four seasons. The highest values for pH (6.8), soil moisture (43%), and cyanobacterial population (12–20 CFU/50 mL on A and B media) were recorded in spring, while the lowest values (pH 6.2, moisture 34%, 4–5 CFU/50 mL) were observed in winter (Pham et al.,2025).</w:t>
      </w:r>
    </w:p>
    <w:p w14:paraId="0A82BD54" w14:textId="62A3DC38" w:rsidR="00B24143" w:rsidRPr="0066543C" w:rsidRDefault="00B24143" w:rsidP="00B24143">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Rice seeds treated with </w:t>
      </w:r>
      <w:r w:rsidRPr="0066543C">
        <w:rPr>
          <w:rFonts w:ascii="Arial" w:hAnsi="Arial" w:cs="Arial"/>
          <w:i/>
          <w:iCs/>
          <w:color w:val="000000" w:themeColor="text1"/>
          <w:sz w:val="20"/>
          <w:szCs w:val="20"/>
        </w:rPr>
        <w:t>Leptolyngbya sp.</w:t>
      </w:r>
      <w:r w:rsidRPr="0066543C">
        <w:rPr>
          <w:rFonts w:ascii="Arial" w:hAnsi="Arial" w:cs="Arial"/>
          <w:color w:val="000000" w:themeColor="text1"/>
          <w:sz w:val="20"/>
          <w:szCs w:val="20"/>
        </w:rPr>
        <w:t xml:space="preserve"> exhibited faster germination compared to the control. Pot culture results demonstrated significant improvements in plant growth parameters: plant height increased by 40%, root length by 49%, fresh leaf and stem weight by 40%, fresh root weight by 49%, dry leaf and stem weight by 20%, dry root weight by 112%, and soil moisture by 75%. Statistical analysis revealed significant differences (P &lt; 0.05) between BGA-treated pots and the control, highlighting the efficacy of cyanobacterial inoculation in promoting rice growth and improving soil conditions </w:t>
      </w:r>
      <w:r w:rsidR="0049774C">
        <w:rPr>
          <w:rFonts w:ascii="Arial" w:hAnsi="Arial" w:cs="Arial"/>
          <w:color w:val="000000" w:themeColor="text1"/>
          <w:sz w:val="20"/>
          <w:szCs w:val="20"/>
        </w:rPr>
        <w:t>(</w:t>
      </w:r>
      <w:r w:rsidRPr="0066543C">
        <w:rPr>
          <w:rFonts w:ascii="Arial" w:hAnsi="Arial" w:cs="Arial"/>
          <w:color w:val="000000" w:themeColor="text1"/>
          <w:sz w:val="20"/>
          <w:szCs w:val="20"/>
        </w:rPr>
        <w:t>Subhashini &amp; Kaushik, 2013).</w:t>
      </w:r>
    </w:p>
    <w:p w14:paraId="54A5E607" w14:textId="3CADCB4E" w:rsidR="00B24143" w:rsidRPr="0066543C" w:rsidRDefault="00B24143" w:rsidP="00B24143">
      <w:pPr>
        <w:spacing w:line="360" w:lineRule="auto"/>
        <w:jc w:val="both"/>
        <w:rPr>
          <w:rFonts w:ascii="Arial" w:hAnsi="Arial" w:cs="Arial"/>
          <w:color w:val="000000" w:themeColor="text1"/>
          <w:sz w:val="20"/>
          <w:szCs w:val="20"/>
        </w:rPr>
      </w:pPr>
      <w:r w:rsidRPr="0066543C">
        <w:rPr>
          <w:rFonts w:ascii="Arial" w:hAnsi="Arial" w:cs="Arial"/>
          <w:i/>
          <w:iCs/>
          <w:color w:val="000000" w:themeColor="text1"/>
          <w:sz w:val="20"/>
          <w:szCs w:val="20"/>
        </w:rPr>
        <w:t>Leptolyngbya sp.</w:t>
      </w:r>
      <w:r w:rsidRPr="0066543C">
        <w:rPr>
          <w:rFonts w:ascii="Arial" w:hAnsi="Arial" w:cs="Arial"/>
          <w:color w:val="000000" w:themeColor="text1"/>
          <w:sz w:val="20"/>
          <w:szCs w:val="20"/>
        </w:rPr>
        <w:t xml:space="preserve"> have emerged as versatile microorganisms capable of performing dual roles in sustainable agriculture: bioremediation of environmental pollutants and biofertilization of crops (Prasanna et al., 2016; Singh et al., 2016). </w:t>
      </w:r>
      <w:r w:rsidRPr="0066543C">
        <w:rPr>
          <w:rFonts w:ascii="Arial" w:hAnsi="Arial" w:cs="Arial"/>
          <w:sz w:val="20"/>
          <w:szCs w:val="20"/>
        </w:rPr>
        <w:t>In the context of organophosphorus (OP) compound contamination, the isolated cyanobacteria were found to be tolerant and was found to degrade OP residues, thereby reducing their persistence in soil and water</w:t>
      </w:r>
      <w:r w:rsidRPr="0066543C">
        <w:rPr>
          <w:rFonts w:ascii="Arial" w:hAnsi="Arial" w:cs="Arial"/>
          <w:color w:val="000000" w:themeColor="text1"/>
          <w:sz w:val="20"/>
          <w:szCs w:val="20"/>
        </w:rPr>
        <w:t xml:space="preserve"> (El-Sayed et al.,2022</w:t>
      </w:r>
      <w:r w:rsidR="00C86C88">
        <w:rPr>
          <w:rFonts w:ascii="Arial" w:hAnsi="Arial" w:cs="Arial"/>
          <w:color w:val="000000" w:themeColor="text1"/>
          <w:sz w:val="20"/>
          <w:szCs w:val="20"/>
        </w:rPr>
        <w:t xml:space="preserve">; </w:t>
      </w:r>
      <w:r w:rsidR="00C86C88" w:rsidRPr="0066543C">
        <w:rPr>
          <w:rFonts w:ascii="Arial" w:hAnsi="Arial" w:cs="Arial"/>
          <w:color w:val="000000" w:themeColor="text1"/>
          <w:sz w:val="20"/>
          <w:szCs w:val="20"/>
        </w:rPr>
        <w:t>Tang et at., 2024</w:t>
      </w:r>
      <w:r w:rsidRPr="0066543C">
        <w:rPr>
          <w:rFonts w:ascii="Arial" w:hAnsi="Arial" w:cs="Arial"/>
          <w:color w:val="000000" w:themeColor="text1"/>
          <w:sz w:val="20"/>
          <w:szCs w:val="20"/>
        </w:rPr>
        <w:t xml:space="preserve">). </w:t>
      </w:r>
      <w:r w:rsidRPr="0066543C">
        <w:rPr>
          <w:rFonts w:ascii="Arial" w:hAnsi="Arial" w:cs="Arial"/>
          <w:sz w:val="20"/>
          <w:szCs w:val="20"/>
        </w:rPr>
        <w:t>The isolates demonstrated growth in media supplemented with chlorpyrifos, indicating their inherent tolerance to pesticide stress (</w:t>
      </w:r>
      <w:r w:rsidR="0049774C" w:rsidRPr="0066543C">
        <w:rPr>
          <w:rFonts w:ascii="Arial" w:hAnsi="Arial" w:cs="Arial"/>
          <w:sz w:val="20"/>
          <w:szCs w:val="20"/>
        </w:rPr>
        <w:t>Singh &amp; Khattar, 2011</w:t>
      </w:r>
      <w:r w:rsidR="00C86C88">
        <w:rPr>
          <w:rFonts w:ascii="Arial" w:hAnsi="Arial" w:cs="Arial"/>
          <w:sz w:val="20"/>
          <w:szCs w:val="20"/>
        </w:rPr>
        <w:t xml:space="preserve">; </w:t>
      </w:r>
      <w:r w:rsidR="00C86C88" w:rsidRPr="0066543C">
        <w:rPr>
          <w:rFonts w:ascii="Arial" w:hAnsi="Arial" w:cs="Arial"/>
          <w:sz w:val="20"/>
          <w:szCs w:val="20"/>
        </w:rPr>
        <w:t>Tang et al., 2024</w:t>
      </w:r>
      <w:r w:rsidRPr="0066543C">
        <w:rPr>
          <w:rFonts w:ascii="Arial" w:hAnsi="Arial" w:cs="Arial"/>
          <w:sz w:val="20"/>
          <w:szCs w:val="20"/>
        </w:rPr>
        <w:t xml:space="preserve">). This resilience may be attributed to their adaptive enzymatic systems and metabolic plasticity, which allow them to utilize xenobiotic compounds as alternative carbon or phosphorus sources under limited nutrient conditions </w:t>
      </w:r>
      <w:r w:rsidRPr="0066543C">
        <w:rPr>
          <w:rFonts w:ascii="Arial" w:hAnsi="Arial" w:cs="Arial"/>
          <w:color w:val="000000" w:themeColor="text1"/>
          <w:sz w:val="20"/>
          <w:szCs w:val="20"/>
        </w:rPr>
        <w:t>(Ibrahim et al., 2014</w:t>
      </w:r>
      <w:r w:rsidR="00C86C88">
        <w:rPr>
          <w:rFonts w:ascii="Arial" w:hAnsi="Arial" w:cs="Arial"/>
          <w:color w:val="000000" w:themeColor="text1"/>
          <w:sz w:val="20"/>
          <w:szCs w:val="20"/>
        </w:rPr>
        <w:t xml:space="preserve">; </w:t>
      </w:r>
      <w:r w:rsidR="00C86C88" w:rsidRPr="0066543C">
        <w:rPr>
          <w:rFonts w:ascii="Arial" w:hAnsi="Arial" w:cs="Arial"/>
          <w:color w:val="000000" w:themeColor="text1"/>
          <w:sz w:val="20"/>
          <w:szCs w:val="20"/>
        </w:rPr>
        <w:t>Kumar et al., 2018</w:t>
      </w:r>
      <w:r w:rsidRPr="0066543C">
        <w:rPr>
          <w:rFonts w:ascii="Arial" w:hAnsi="Arial" w:cs="Arial"/>
          <w:color w:val="000000" w:themeColor="text1"/>
          <w:sz w:val="20"/>
          <w:szCs w:val="20"/>
        </w:rPr>
        <w:t>). Their enzymatic treatments, including phosphotriesterases and hydrolases, facilitates the breakdown of complex organophosphates into less toxic compounds, mitigating their ecological and human health risks in the environment (Singh &amp; Khattar, 2011</w:t>
      </w:r>
      <w:r w:rsidR="00C86C88">
        <w:rPr>
          <w:rFonts w:ascii="Arial" w:hAnsi="Arial" w:cs="Arial"/>
          <w:color w:val="000000" w:themeColor="text1"/>
          <w:sz w:val="20"/>
          <w:szCs w:val="20"/>
        </w:rPr>
        <w:t xml:space="preserve">; </w:t>
      </w:r>
      <w:r w:rsidR="00C86C88" w:rsidRPr="0066543C">
        <w:rPr>
          <w:rFonts w:ascii="Arial" w:hAnsi="Arial" w:cs="Arial"/>
          <w:color w:val="000000" w:themeColor="text1"/>
          <w:sz w:val="20"/>
          <w:szCs w:val="20"/>
        </w:rPr>
        <w:t>Ibrahim et al., 2014</w:t>
      </w:r>
      <w:r w:rsidRPr="0066543C">
        <w:rPr>
          <w:rFonts w:ascii="Arial" w:hAnsi="Arial" w:cs="Arial"/>
          <w:color w:val="000000" w:themeColor="text1"/>
          <w:sz w:val="20"/>
          <w:szCs w:val="20"/>
        </w:rPr>
        <w:t xml:space="preserve">). The present study demonstrates that </w:t>
      </w:r>
      <w:r w:rsidRPr="0066543C">
        <w:rPr>
          <w:rFonts w:ascii="Arial" w:hAnsi="Arial" w:cs="Arial"/>
          <w:i/>
          <w:iCs/>
          <w:color w:val="000000" w:themeColor="text1"/>
          <w:sz w:val="20"/>
          <w:szCs w:val="20"/>
        </w:rPr>
        <w:t>Leptolyngbya sp.</w:t>
      </w:r>
      <w:r w:rsidRPr="0066543C">
        <w:rPr>
          <w:rFonts w:ascii="Arial" w:hAnsi="Arial" w:cs="Arial"/>
          <w:color w:val="000000" w:themeColor="text1"/>
          <w:sz w:val="20"/>
          <w:szCs w:val="20"/>
        </w:rPr>
        <w:t xml:space="preserve"> inoculation can enhance OP degradation, confirming their potential as eco-friendly bioremediation agents (Kumar et al., 2018).</w:t>
      </w:r>
    </w:p>
    <w:p w14:paraId="7B768251" w14:textId="07754DF9" w:rsidR="00B24143" w:rsidRPr="0066543C" w:rsidRDefault="00B24143" w:rsidP="00B24143">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Beyond pollutant degradation, </w:t>
      </w:r>
      <w:r w:rsidRPr="0066543C">
        <w:rPr>
          <w:rFonts w:ascii="Arial" w:hAnsi="Arial" w:cs="Arial"/>
          <w:i/>
          <w:iCs/>
          <w:color w:val="000000" w:themeColor="text1"/>
          <w:sz w:val="20"/>
          <w:szCs w:val="20"/>
        </w:rPr>
        <w:t>Leptolyngbya sp.</w:t>
      </w:r>
      <w:r w:rsidRPr="0066543C">
        <w:rPr>
          <w:rFonts w:ascii="Arial" w:hAnsi="Arial" w:cs="Arial"/>
          <w:color w:val="000000" w:themeColor="text1"/>
          <w:sz w:val="20"/>
          <w:szCs w:val="20"/>
        </w:rPr>
        <w:t xml:space="preserve"> also contribute to the plant growth promotion through several PGPR traits. The production of phytohormones such as indole acetic acid (IAA), siderophore secretion, phosphate solubilization, hydrogen cyanide (HCN) production, and ammonia release improves nutrient availability, root development, and overall plant potency (Prasanna et al.,2013</w:t>
      </w:r>
      <w:r w:rsidR="00C86C88" w:rsidRPr="0066543C">
        <w:rPr>
          <w:rFonts w:ascii="Arial" w:hAnsi="Arial" w:cs="Arial"/>
          <w:color w:val="000000" w:themeColor="text1"/>
          <w:sz w:val="20"/>
          <w:szCs w:val="20"/>
        </w:rPr>
        <w:t>; Singh et al., 2016</w:t>
      </w:r>
      <w:r w:rsidR="00C86C88">
        <w:rPr>
          <w:rFonts w:ascii="Arial" w:hAnsi="Arial" w:cs="Arial"/>
          <w:color w:val="000000" w:themeColor="text1"/>
          <w:sz w:val="20"/>
          <w:szCs w:val="20"/>
        </w:rPr>
        <w:t xml:space="preserve">; </w:t>
      </w:r>
      <w:r w:rsidR="00C86C88" w:rsidRPr="0066543C">
        <w:rPr>
          <w:rFonts w:ascii="Arial" w:hAnsi="Arial" w:cs="Arial"/>
          <w:color w:val="000000" w:themeColor="text1"/>
          <w:sz w:val="20"/>
          <w:szCs w:val="20"/>
        </w:rPr>
        <w:t>Santini et al.,2021</w:t>
      </w:r>
      <w:r w:rsidRPr="0066543C">
        <w:rPr>
          <w:rFonts w:ascii="Arial" w:hAnsi="Arial" w:cs="Arial"/>
          <w:color w:val="000000" w:themeColor="text1"/>
          <w:sz w:val="20"/>
          <w:szCs w:val="20"/>
        </w:rPr>
        <w:t>). In rice and other crop systems, these traits lead to increased germination rates, higher biomass accretion, and improved root-shoot enhancements, which were observed in the current study. The dual benefits of cyanobacteria—reducing OP toxicity while enhancing soil fertility—make them suitable candidates for integrated sustainable agriculture practices (</w:t>
      </w:r>
      <w:r w:rsidR="00F17225" w:rsidRPr="0066543C">
        <w:rPr>
          <w:rFonts w:ascii="Arial" w:hAnsi="Arial" w:cs="Arial"/>
          <w:color w:val="000000" w:themeColor="text1"/>
          <w:sz w:val="20"/>
          <w:szCs w:val="20"/>
        </w:rPr>
        <w:t>Prasanna et al., 2013</w:t>
      </w:r>
      <w:r w:rsidR="00F17225">
        <w:rPr>
          <w:rFonts w:ascii="Arial" w:hAnsi="Arial" w:cs="Arial"/>
          <w:color w:val="000000" w:themeColor="text1"/>
          <w:sz w:val="20"/>
          <w:szCs w:val="20"/>
        </w:rPr>
        <w:t>;</w:t>
      </w:r>
      <w:r w:rsidR="00403FEE">
        <w:rPr>
          <w:rFonts w:ascii="Arial" w:hAnsi="Arial" w:cs="Arial"/>
          <w:color w:val="000000" w:themeColor="text1"/>
          <w:sz w:val="20"/>
          <w:szCs w:val="20"/>
        </w:rPr>
        <w:t xml:space="preserve"> </w:t>
      </w:r>
      <w:r w:rsidR="00F17225">
        <w:rPr>
          <w:rFonts w:ascii="Arial" w:hAnsi="Arial" w:cs="Arial"/>
          <w:color w:val="000000" w:themeColor="text1"/>
          <w:sz w:val="20"/>
          <w:szCs w:val="20"/>
        </w:rPr>
        <w:t>Ansari et al., 2015</w:t>
      </w:r>
      <w:r w:rsidR="00EE7F03">
        <w:rPr>
          <w:rFonts w:ascii="Arial" w:hAnsi="Arial" w:cs="Arial"/>
          <w:color w:val="000000" w:themeColor="text1"/>
          <w:sz w:val="20"/>
          <w:szCs w:val="20"/>
        </w:rPr>
        <w:t xml:space="preserve">; </w:t>
      </w:r>
      <w:r w:rsidRPr="0066543C">
        <w:rPr>
          <w:rFonts w:ascii="Arial" w:hAnsi="Arial" w:cs="Arial"/>
          <w:color w:val="000000" w:themeColor="text1"/>
          <w:sz w:val="20"/>
          <w:szCs w:val="20"/>
        </w:rPr>
        <w:t>Singh et al., 2016;</w:t>
      </w:r>
      <w:r w:rsidR="00AA46BC">
        <w:rPr>
          <w:rFonts w:ascii="Arial" w:hAnsi="Arial" w:cs="Arial"/>
          <w:color w:val="000000" w:themeColor="text1"/>
          <w:sz w:val="20"/>
          <w:szCs w:val="20"/>
        </w:rPr>
        <w:t xml:space="preserve"> </w:t>
      </w:r>
      <w:r w:rsidR="00F17225">
        <w:rPr>
          <w:rFonts w:ascii="Arial" w:hAnsi="Arial" w:cs="Arial"/>
          <w:color w:val="000000" w:themeColor="text1"/>
          <w:sz w:val="20"/>
          <w:szCs w:val="20"/>
        </w:rPr>
        <w:t>Pattanaik &amp; Singh, 2020; Roque et al., 2023</w:t>
      </w:r>
      <w:r w:rsidRPr="0066543C">
        <w:rPr>
          <w:rFonts w:ascii="Arial" w:hAnsi="Arial" w:cs="Arial"/>
          <w:color w:val="000000" w:themeColor="text1"/>
          <w:sz w:val="20"/>
          <w:szCs w:val="20"/>
        </w:rPr>
        <w:t>).</w:t>
      </w:r>
    </w:p>
    <w:p w14:paraId="0C724D39" w14:textId="0B309CAB" w:rsidR="00B24143" w:rsidRPr="0066543C" w:rsidRDefault="00B24143" w:rsidP="00B24143">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Moreover, </w:t>
      </w:r>
      <w:r w:rsidRPr="0066543C">
        <w:rPr>
          <w:rFonts w:ascii="Arial" w:hAnsi="Arial" w:cs="Arial"/>
          <w:i/>
          <w:iCs/>
          <w:color w:val="000000" w:themeColor="text1"/>
          <w:sz w:val="20"/>
          <w:szCs w:val="20"/>
        </w:rPr>
        <w:t xml:space="preserve">Leptolyngbya sp. </w:t>
      </w:r>
      <w:r w:rsidRPr="0066543C">
        <w:rPr>
          <w:rFonts w:ascii="Arial" w:hAnsi="Arial" w:cs="Arial"/>
          <w:color w:val="000000" w:themeColor="text1"/>
          <w:sz w:val="20"/>
          <w:szCs w:val="20"/>
        </w:rPr>
        <w:t xml:space="preserve"> contribute to soil health by fixing atmospheric nitrogen, improving moisture retention, and subsidiary microbial diversity (Tharindi et al., 2019; Chittapun &amp; Charoenrat, 2015). Their resilience under diverse environmental conditions allows their application across diverse agro-ecosystems. The synergistic effect of OP degradation and PGPR activity suggests that cyanobacteria could serve as both bio-remediators and biofertilizers, thereby reducing dependency on chemical fertilizers and mitigating pesticide-induced soil toxicity (El-Sayed et al., 2022</w:t>
      </w:r>
      <w:r w:rsidR="00BE37A1">
        <w:rPr>
          <w:rFonts w:ascii="Arial" w:hAnsi="Arial" w:cs="Arial"/>
          <w:color w:val="000000" w:themeColor="text1"/>
          <w:sz w:val="20"/>
          <w:szCs w:val="20"/>
        </w:rPr>
        <w:t xml:space="preserve">; </w:t>
      </w:r>
      <w:r w:rsidR="00BE37A1" w:rsidRPr="00DD2845">
        <w:rPr>
          <w:rFonts w:ascii="Arial" w:eastAsia="Times New Roman" w:hAnsi="Arial" w:cs="Arial"/>
          <w:kern w:val="0"/>
          <w:sz w:val="20"/>
          <w:szCs w:val="20"/>
          <w:lang w:eastAsia="en-IN"/>
          <w14:ligatures w14:val="none"/>
        </w:rPr>
        <w:t>Saengsanga, T., &amp; Phakratok, N.</w:t>
      </w:r>
      <w:r w:rsidR="00BE37A1">
        <w:rPr>
          <w:rFonts w:ascii="Arial" w:eastAsia="Times New Roman" w:hAnsi="Arial" w:cs="Arial"/>
          <w:kern w:val="0"/>
          <w:sz w:val="20"/>
          <w:szCs w:val="20"/>
          <w:lang w:eastAsia="en-IN"/>
          <w14:ligatures w14:val="none"/>
        </w:rPr>
        <w:t>,</w:t>
      </w:r>
      <w:r w:rsidR="00BE37A1" w:rsidRPr="00DD2845">
        <w:rPr>
          <w:rFonts w:ascii="Arial" w:eastAsia="Times New Roman" w:hAnsi="Arial" w:cs="Arial"/>
          <w:kern w:val="0"/>
          <w:sz w:val="20"/>
          <w:szCs w:val="20"/>
          <w:lang w:eastAsia="en-IN"/>
          <w14:ligatures w14:val="none"/>
        </w:rPr>
        <w:t>2023</w:t>
      </w:r>
      <w:r w:rsidRPr="0066543C">
        <w:rPr>
          <w:rFonts w:ascii="Arial" w:hAnsi="Arial" w:cs="Arial"/>
          <w:color w:val="000000" w:themeColor="text1"/>
          <w:sz w:val="20"/>
          <w:szCs w:val="20"/>
        </w:rPr>
        <w:t>).</w:t>
      </w:r>
    </w:p>
    <w:p w14:paraId="1809377C" w14:textId="04B20199" w:rsidR="00B24143" w:rsidRPr="0066543C" w:rsidRDefault="00B24143" w:rsidP="00B24143">
      <w:pPr>
        <w:spacing w:line="360" w:lineRule="auto"/>
        <w:jc w:val="both"/>
        <w:rPr>
          <w:rFonts w:ascii="Arial" w:hAnsi="Arial" w:cs="Arial"/>
          <w:color w:val="000000" w:themeColor="text1"/>
          <w:sz w:val="20"/>
          <w:szCs w:val="20"/>
        </w:rPr>
      </w:pPr>
      <w:r w:rsidRPr="0066543C">
        <w:rPr>
          <w:rFonts w:ascii="Arial" w:hAnsi="Arial" w:cs="Arial"/>
          <w:i/>
          <w:iCs/>
          <w:color w:val="000000" w:themeColor="text1"/>
          <w:sz w:val="20"/>
          <w:szCs w:val="20"/>
        </w:rPr>
        <w:t>Leptolyngbya sp.</w:t>
      </w:r>
      <w:r w:rsidRPr="0066543C">
        <w:rPr>
          <w:rFonts w:ascii="Arial" w:hAnsi="Arial" w:cs="Arial"/>
          <w:color w:val="000000" w:themeColor="text1"/>
          <w:sz w:val="20"/>
          <w:szCs w:val="20"/>
        </w:rPr>
        <w:t xml:space="preserve"> offer a promising, eco-friendly strategy for simultaneously addressing soil contamination by organophosphorus compounds and enhancing the crop productivity through biofertilization. Future studies should focus on strain optimization, field-level validation and integration with other microbial consortia to maximize their efficiency in real-world agricultural systems (</w:t>
      </w:r>
      <w:r w:rsidR="00CE49CA">
        <w:rPr>
          <w:rFonts w:ascii="Arial" w:hAnsi="Arial" w:cs="Arial"/>
          <w:color w:val="000000" w:themeColor="text1"/>
          <w:sz w:val="20"/>
          <w:szCs w:val="20"/>
        </w:rPr>
        <w:t>Anas</w:t>
      </w:r>
      <w:r w:rsidRPr="0066543C">
        <w:rPr>
          <w:rFonts w:ascii="Arial" w:hAnsi="Arial" w:cs="Arial"/>
          <w:color w:val="000000" w:themeColor="text1"/>
          <w:sz w:val="20"/>
          <w:szCs w:val="20"/>
        </w:rPr>
        <w:t xml:space="preserve"> et al., 20</w:t>
      </w:r>
      <w:r w:rsidR="00CE49CA">
        <w:rPr>
          <w:rFonts w:ascii="Arial" w:hAnsi="Arial" w:cs="Arial"/>
          <w:color w:val="000000" w:themeColor="text1"/>
          <w:sz w:val="20"/>
          <w:szCs w:val="20"/>
        </w:rPr>
        <w:t>16</w:t>
      </w:r>
      <w:r w:rsidRPr="0066543C">
        <w:rPr>
          <w:rFonts w:ascii="Arial" w:hAnsi="Arial" w:cs="Arial"/>
          <w:color w:val="000000" w:themeColor="text1"/>
          <w:sz w:val="20"/>
          <w:szCs w:val="20"/>
        </w:rPr>
        <w:t>).</w:t>
      </w:r>
    </w:p>
    <w:p w14:paraId="34FE6A0B" w14:textId="386ED21B" w:rsidR="00B87BCA" w:rsidRPr="0066543C" w:rsidRDefault="00B24143" w:rsidP="00182D61">
      <w:pPr>
        <w:tabs>
          <w:tab w:val="left" w:pos="6636"/>
        </w:tabs>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The </w:t>
      </w:r>
      <w:r w:rsidRPr="0066543C">
        <w:rPr>
          <w:rFonts w:ascii="Arial" w:hAnsi="Arial" w:cs="Arial"/>
          <w:i/>
          <w:iCs/>
          <w:color w:val="000000" w:themeColor="text1"/>
          <w:sz w:val="20"/>
          <w:szCs w:val="20"/>
        </w:rPr>
        <w:t>Leptolyngbya sp.</w:t>
      </w:r>
      <w:r w:rsidRPr="0066543C">
        <w:rPr>
          <w:rFonts w:ascii="Arial" w:hAnsi="Arial" w:cs="Arial"/>
          <w:color w:val="000000" w:themeColor="text1"/>
          <w:sz w:val="20"/>
          <w:szCs w:val="20"/>
        </w:rPr>
        <w:t xml:space="preserve"> demonstrated growth in media supplemented with chlorpyrifos, signifying their inherent tolerance to pesticide stress. </w:t>
      </w:r>
      <w:r w:rsidR="0075378A">
        <w:rPr>
          <w:rFonts w:ascii="Arial" w:hAnsi="Arial" w:cs="Arial"/>
          <w:color w:val="000000" w:themeColor="text1"/>
          <w:sz w:val="20"/>
          <w:szCs w:val="20"/>
        </w:rPr>
        <w:t xml:space="preserve">In another study by </w:t>
      </w:r>
      <w:r w:rsidR="0075378A" w:rsidRPr="0066543C">
        <w:rPr>
          <w:rFonts w:ascii="Arial" w:hAnsi="Arial" w:cs="Arial"/>
          <w:color w:val="000000" w:themeColor="text1"/>
          <w:sz w:val="20"/>
          <w:szCs w:val="20"/>
        </w:rPr>
        <w:t xml:space="preserve">Ibrahim et al., </w:t>
      </w:r>
      <w:r w:rsidR="00773EAA">
        <w:rPr>
          <w:rFonts w:ascii="Arial" w:hAnsi="Arial" w:cs="Arial"/>
          <w:color w:val="000000" w:themeColor="text1"/>
          <w:sz w:val="20"/>
          <w:szCs w:val="20"/>
        </w:rPr>
        <w:t>(</w:t>
      </w:r>
      <w:r w:rsidR="0075378A" w:rsidRPr="0066543C">
        <w:rPr>
          <w:rFonts w:ascii="Arial" w:hAnsi="Arial" w:cs="Arial"/>
          <w:color w:val="000000" w:themeColor="text1"/>
          <w:sz w:val="20"/>
          <w:szCs w:val="20"/>
        </w:rPr>
        <w:t>2014</w:t>
      </w:r>
      <w:r w:rsidR="00773EAA">
        <w:rPr>
          <w:rFonts w:ascii="Arial" w:hAnsi="Arial" w:cs="Arial"/>
          <w:color w:val="000000" w:themeColor="text1"/>
          <w:sz w:val="20"/>
          <w:szCs w:val="20"/>
        </w:rPr>
        <w:t>)</w:t>
      </w:r>
      <w:r w:rsidR="0075378A">
        <w:rPr>
          <w:rFonts w:ascii="Arial" w:hAnsi="Arial" w:cs="Arial"/>
          <w:color w:val="000000" w:themeColor="text1"/>
          <w:sz w:val="20"/>
          <w:szCs w:val="20"/>
        </w:rPr>
        <w:t xml:space="preserve"> </w:t>
      </w:r>
      <w:r w:rsidR="00773EAA">
        <w:rPr>
          <w:rFonts w:ascii="Arial" w:hAnsi="Arial" w:cs="Arial"/>
          <w:color w:val="000000" w:themeColor="text1"/>
          <w:sz w:val="20"/>
          <w:szCs w:val="20"/>
        </w:rPr>
        <w:t xml:space="preserve">three cyanobacteria species were screened for biodegradation against different </w:t>
      </w:r>
      <w:r w:rsidR="00773EAA" w:rsidRPr="00773EAA">
        <w:rPr>
          <w:rFonts w:ascii="Arial" w:hAnsi="Arial" w:cs="Arial"/>
          <w:color w:val="000000" w:themeColor="text1"/>
          <w:sz w:val="20"/>
          <w:szCs w:val="20"/>
        </w:rPr>
        <w:t>concentration of malathion.</w:t>
      </w:r>
      <w:r w:rsidR="00773EAA">
        <w:rPr>
          <w:rFonts w:ascii="Arial" w:hAnsi="Arial" w:cs="Arial"/>
          <w:color w:val="000000" w:themeColor="text1"/>
          <w:sz w:val="20"/>
          <w:szCs w:val="20"/>
        </w:rPr>
        <w:t xml:space="preserve"> </w:t>
      </w:r>
      <w:r w:rsidR="00773EAA" w:rsidRPr="0063703A">
        <w:rPr>
          <w:rFonts w:ascii="Arial" w:hAnsi="Arial" w:cs="Arial"/>
          <w:color w:val="000000" w:themeColor="text1"/>
          <w:sz w:val="20"/>
          <w:szCs w:val="20"/>
          <w:highlight w:val="yellow"/>
        </w:rPr>
        <w:t>A</w:t>
      </w:r>
      <w:r w:rsidR="0075378A" w:rsidRPr="0063703A">
        <w:rPr>
          <w:rFonts w:ascii="Arial" w:hAnsi="Arial" w:cs="Arial"/>
          <w:color w:val="000000" w:themeColor="text1"/>
          <w:sz w:val="20"/>
          <w:szCs w:val="20"/>
          <w:highlight w:val="yellow"/>
        </w:rPr>
        <w:t>mongst</w:t>
      </w:r>
      <w:r w:rsidR="00182D61" w:rsidRPr="0063703A">
        <w:rPr>
          <w:rFonts w:ascii="Arial" w:hAnsi="Arial" w:cs="Arial"/>
          <w:color w:val="000000" w:themeColor="text1"/>
          <w:sz w:val="20"/>
          <w:szCs w:val="20"/>
          <w:highlight w:val="yellow"/>
        </w:rPr>
        <w:t xml:space="preserve"> </w:t>
      </w:r>
      <w:r w:rsidR="0075378A" w:rsidRPr="0063703A">
        <w:rPr>
          <w:rFonts w:ascii="Arial" w:hAnsi="Arial" w:cs="Arial"/>
          <w:color w:val="000000" w:themeColor="text1"/>
          <w:sz w:val="20"/>
          <w:szCs w:val="20"/>
          <w:highlight w:val="yellow"/>
        </w:rPr>
        <w:t>them Nostoc muscorum tolerated different concentrations and was recorded as the highest efficient strain for biodegradation (91%)</w:t>
      </w:r>
      <w:r w:rsidR="00182D61" w:rsidRPr="0063703A">
        <w:rPr>
          <w:rFonts w:ascii="Arial" w:hAnsi="Arial" w:cs="Arial"/>
          <w:color w:val="000000" w:themeColor="text1"/>
          <w:sz w:val="20"/>
          <w:szCs w:val="20"/>
          <w:highlight w:val="yellow"/>
        </w:rPr>
        <w:t xml:space="preserve"> o</w:t>
      </w:r>
      <w:r w:rsidR="0075378A" w:rsidRPr="0063703A">
        <w:rPr>
          <w:rFonts w:ascii="Arial" w:hAnsi="Arial" w:cs="Arial"/>
          <w:color w:val="000000" w:themeColor="text1"/>
          <w:sz w:val="20"/>
          <w:szCs w:val="20"/>
          <w:highlight w:val="yellow"/>
        </w:rPr>
        <w:t xml:space="preserve">f this compound. </w:t>
      </w:r>
      <w:r w:rsidR="004C17AC" w:rsidRPr="0063703A">
        <w:rPr>
          <w:rFonts w:ascii="Arial" w:hAnsi="Arial" w:cs="Arial"/>
          <w:color w:val="000000" w:themeColor="text1"/>
          <w:sz w:val="20"/>
          <w:szCs w:val="20"/>
          <w:highlight w:val="yellow"/>
        </w:rPr>
        <w:t xml:space="preserve">Also few cyanobacterial species have been known to be </w:t>
      </w:r>
      <w:r w:rsidR="001A449E" w:rsidRPr="0063703A">
        <w:rPr>
          <w:rFonts w:ascii="Arial" w:hAnsi="Arial" w:cs="Arial"/>
          <w:color w:val="000000" w:themeColor="text1"/>
          <w:sz w:val="20"/>
          <w:szCs w:val="20"/>
          <w:highlight w:val="yellow"/>
        </w:rPr>
        <w:t>tolerant</w:t>
      </w:r>
      <w:r w:rsidR="004C17AC" w:rsidRPr="0063703A">
        <w:rPr>
          <w:rFonts w:ascii="Arial" w:hAnsi="Arial" w:cs="Arial"/>
          <w:color w:val="000000" w:themeColor="text1"/>
          <w:sz w:val="20"/>
          <w:szCs w:val="20"/>
          <w:highlight w:val="yellow"/>
        </w:rPr>
        <w:t xml:space="preserve"> </w:t>
      </w:r>
      <w:proofErr w:type="gramStart"/>
      <w:r w:rsidR="004C17AC" w:rsidRPr="0063703A">
        <w:rPr>
          <w:rFonts w:ascii="Arial" w:hAnsi="Arial" w:cs="Arial"/>
          <w:color w:val="000000" w:themeColor="text1"/>
          <w:sz w:val="20"/>
          <w:szCs w:val="20"/>
          <w:highlight w:val="yellow"/>
        </w:rPr>
        <w:t>against  chlorpyriphos</w:t>
      </w:r>
      <w:proofErr w:type="gramEnd"/>
      <w:r w:rsidR="004C17AC" w:rsidRPr="0063703A">
        <w:rPr>
          <w:rFonts w:ascii="Arial" w:hAnsi="Arial" w:cs="Arial"/>
          <w:color w:val="000000" w:themeColor="text1"/>
          <w:sz w:val="20"/>
          <w:szCs w:val="20"/>
          <w:highlight w:val="yellow"/>
        </w:rPr>
        <w:t xml:space="preserve"> (Vijayan 2020). </w:t>
      </w:r>
      <w:r w:rsidRPr="0063703A">
        <w:rPr>
          <w:rFonts w:ascii="Arial" w:hAnsi="Arial" w:cs="Arial"/>
          <w:color w:val="000000" w:themeColor="text1"/>
          <w:sz w:val="20"/>
          <w:szCs w:val="20"/>
          <w:highlight w:val="yellow"/>
        </w:rPr>
        <w:t>This resilience may be attributed to their adaptive enzymatic systems and metabolic plasticity, which allow them to utilize xenobiotic compounds as alternative carbon or phosphorus sources under inadequate nutrient conditions (Ibrahim et al., 2014</w:t>
      </w:r>
      <w:r w:rsidR="000A2194" w:rsidRPr="0063703A">
        <w:rPr>
          <w:rFonts w:ascii="Arial" w:hAnsi="Arial" w:cs="Arial"/>
          <w:color w:val="000000" w:themeColor="text1"/>
          <w:sz w:val="20"/>
          <w:szCs w:val="20"/>
          <w:highlight w:val="yellow"/>
        </w:rPr>
        <w:t>; Kumar et al., 2018</w:t>
      </w:r>
      <w:r w:rsidR="00892AD1" w:rsidRPr="0063703A">
        <w:rPr>
          <w:rFonts w:ascii="Arial" w:hAnsi="Arial" w:cs="Arial"/>
          <w:color w:val="000000" w:themeColor="text1"/>
          <w:sz w:val="20"/>
          <w:szCs w:val="20"/>
          <w:highlight w:val="yellow"/>
        </w:rPr>
        <w:t>;</w:t>
      </w:r>
      <w:r w:rsidR="00892AD1" w:rsidRPr="0063703A">
        <w:rPr>
          <w:rFonts w:ascii="Arial" w:eastAsia="Times New Roman" w:hAnsi="Arial" w:cs="Arial"/>
          <w:kern w:val="0"/>
          <w:sz w:val="20"/>
          <w:szCs w:val="20"/>
          <w:highlight w:val="yellow"/>
          <w:lang w:eastAsia="en-IN"/>
          <w14:ligatures w14:val="none"/>
        </w:rPr>
        <w:t xml:space="preserve"> Saengsanga, T., &amp; Phakratok, N.,2023</w:t>
      </w:r>
      <w:r w:rsidRPr="0063703A">
        <w:rPr>
          <w:rFonts w:ascii="Arial" w:hAnsi="Arial" w:cs="Arial"/>
          <w:color w:val="000000" w:themeColor="text1"/>
          <w:sz w:val="20"/>
          <w:szCs w:val="20"/>
          <w:highlight w:val="yellow"/>
        </w:rPr>
        <w:t>).</w:t>
      </w:r>
      <w:r w:rsidR="00182D61" w:rsidRPr="0063703A">
        <w:rPr>
          <w:rFonts w:ascii="Arial" w:hAnsi="Arial" w:cs="Arial"/>
          <w:color w:val="000000" w:themeColor="text1"/>
          <w:sz w:val="20"/>
          <w:szCs w:val="20"/>
          <w:highlight w:val="yellow"/>
        </w:rPr>
        <w:t xml:space="preserve"> Kumar et al. (2018) stated that enzymes, such as esterase, diisopropyl fluorophosphatase, phosphotriesterase, somanase, parathion hydrolase, and paraoxonase, from microbes play </w:t>
      </w:r>
      <w:r w:rsidR="001A449E">
        <w:rPr>
          <w:rFonts w:ascii="Arial" w:hAnsi="Arial" w:cs="Arial"/>
          <w:color w:val="000000" w:themeColor="text1"/>
          <w:sz w:val="20"/>
          <w:szCs w:val="20"/>
          <w:highlight w:val="yellow"/>
        </w:rPr>
        <w:t xml:space="preserve">a </w:t>
      </w:r>
      <w:r w:rsidR="00182D61" w:rsidRPr="0063703A">
        <w:rPr>
          <w:rFonts w:ascii="Arial" w:hAnsi="Arial" w:cs="Arial"/>
          <w:color w:val="000000" w:themeColor="text1"/>
          <w:sz w:val="20"/>
          <w:szCs w:val="20"/>
          <w:highlight w:val="yellow"/>
        </w:rPr>
        <w:t>pivotal role through catabolic pathways in the biotransformation of these xenobiotic compounds.</w:t>
      </w:r>
      <w:r w:rsidR="00B301BF" w:rsidRPr="0063703A">
        <w:rPr>
          <w:rFonts w:ascii="Arial" w:hAnsi="Arial" w:cs="Arial"/>
          <w:color w:val="000000" w:themeColor="text1"/>
          <w:sz w:val="20"/>
          <w:szCs w:val="20"/>
          <w:highlight w:val="yellow"/>
        </w:rPr>
        <w:t xml:space="preserve"> These studies confirm the inbuilt mechanism of cyanobacteria for biodegradation of chlorpyrifos.</w:t>
      </w:r>
    </w:p>
    <w:p w14:paraId="1F370882" w14:textId="0BD01FCC" w:rsidR="00B87BCA" w:rsidRPr="0066543C" w:rsidRDefault="005A67D8" w:rsidP="00B87BCA">
      <w:pPr>
        <w:spacing w:line="360" w:lineRule="auto"/>
        <w:jc w:val="both"/>
        <w:rPr>
          <w:rFonts w:ascii="Arial" w:hAnsi="Arial" w:cs="Arial"/>
          <w:b/>
          <w:bCs/>
          <w:color w:val="000000" w:themeColor="text1"/>
        </w:rPr>
      </w:pPr>
      <w:r w:rsidRPr="0066543C">
        <w:rPr>
          <w:rFonts w:ascii="Arial" w:hAnsi="Arial" w:cs="Arial"/>
          <w:b/>
          <w:bCs/>
          <w:color w:val="000000" w:themeColor="text1"/>
        </w:rPr>
        <w:t>CONCLUSION</w:t>
      </w:r>
    </w:p>
    <w:p w14:paraId="2AC72B79" w14:textId="0DC62A3B" w:rsidR="00B62FE2" w:rsidRDefault="00B87BCA" w:rsidP="00957D96">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In the present study, </w:t>
      </w:r>
      <w:r w:rsidRPr="0066543C">
        <w:rPr>
          <w:rFonts w:ascii="Arial" w:hAnsi="Arial" w:cs="Arial"/>
          <w:i/>
          <w:iCs/>
          <w:color w:val="000000" w:themeColor="text1"/>
          <w:sz w:val="20"/>
          <w:szCs w:val="20"/>
        </w:rPr>
        <w:t>Leptolyngbya sp.</w:t>
      </w:r>
      <w:r w:rsidRPr="0066543C">
        <w:rPr>
          <w:rFonts w:ascii="Arial" w:hAnsi="Arial" w:cs="Arial"/>
          <w:color w:val="000000" w:themeColor="text1"/>
          <w:sz w:val="20"/>
          <w:szCs w:val="20"/>
        </w:rPr>
        <w:t xml:space="preserve"> isolated</w:t>
      </w:r>
      <w:r w:rsidR="00486C0A" w:rsidRPr="0066543C">
        <w:rPr>
          <w:rFonts w:ascii="Arial" w:hAnsi="Arial" w:cs="Arial"/>
          <w:color w:val="000000" w:themeColor="text1"/>
          <w:sz w:val="20"/>
          <w:szCs w:val="20"/>
        </w:rPr>
        <w:t xml:space="preserve"> from</w:t>
      </w:r>
      <w:r w:rsidRPr="0066543C">
        <w:rPr>
          <w:rFonts w:ascii="Arial" w:hAnsi="Arial" w:cs="Arial"/>
          <w:color w:val="000000" w:themeColor="text1"/>
          <w:sz w:val="20"/>
          <w:szCs w:val="20"/>
        </w:rPr>
        <w:t xml:space="preserve"> rice field showed that BGA have positive effects simultaneously on rice plant and soil properties. Sao et al., (2015) reported similar results in their study. </w:t>
      </w:r>
      <w:r w:rsidR="009D23B8" w:rsidRPr="0066543C">
        <w:rPr>
          <w:rFonts w:ascii="Arial" w:hAnsi="Arial" w:cs="Arial"/>
          <w:i/>
          <w:iCs/>
          <w:color w:val="000000" w:themeColor="text1"/>
          <w:sz w:val="20"/>
          <w:szCs w:val="20"/>
        </w:rPr>
        <w:t>Leptolyngbya sp.</w:t>
      </w:r>
      <w:r w:rsidRPr="0066543C">
        <w:rPr>
          <w:rFonts w:ascii="Arial" w:hAnsi="Arial" w:cs="Arial"/>
          <w:color w:val="000000" w:themeColor="text1"/>
          <w:sz w:val="20"/>
          <w:szCs w:val="20"/>
        </w:rPr>
        <w:t xml:space="preserve"> inoculants exhibited better performance over control and in relation to improving rice growth and positive changes of soil properties. Chemical fertilizers </w:t>
      </w:r>
      <w:r w:rsidR="00F311E9" w:rsidRPr="0066543C">
        <w:rPr>
          <w:rFonts w:ascii="Arial" w:hAnsi="Arial" w:cs="Arial"/>
          <w:color w:val="000000" w:themeColor="text1"/>
          <w:sz w:val="20"/>
          <w:szCs w:val="20"/>
        </w:rPr>
        <w:t>widely</w:t>
      </w:r>
      <w:r w:rsidRPr="0066543C">
        <w:rPr>
          <w:rFonts w:ascii="Arial" w:hAnsi="Arial" w:cs="Arial"/>
          <w:color w:val="000000" w:themeColor="text1"/>
          <w:sz w:val="20"/>
          <w:szCs w:val="20"/>
        </w:rPr>
        <w:t xml:space="preserve"> used throughout most of agricultural causes huge ecological and environmental problems. Biofertilizers, organic fertilizers and other microbial products can overcome these problems because of they are viable components of a healthy and pleasant ecosystem. Cyanobacterial can play a crucial role in enhancing and repairing of soil fertility as biofertilizers and </w:t>
      </w:r>
      <w:r w:rsidR="00F311E9" w:rsidRPr="0066543C">
        <w:rPr>
          <w:rFonts w:ascii="Arial" w:hAnsi="Arial" w:cs="Arial"/>
          <w:color w:val="000000" w:themeColor="text1"/>
          <w:sz w:val="20"/>
          <w:szCs w:val="20"/>
        </w:rPr>
        <w:t>augment</w:t>
      </w:r>
      <w:r w:rsidRPr="0066543C">
        <w:rPr>
          <w:rFonts w:ascii="Arial" w:hAnsi="Arial" w:cs="Arial"/>
          <w:color w:val="000000" w:themeColor="text1"/>
          <w:sz w:val="20"/>
          <w:szCs w:val="20"/>
        </w:rPr>
        <w:t xml:space="preserve"> the growth and yield of crops particularly rice. In today’s world, considerable progress has been made in the development of cyanobacteria-based biofertilizers technology although Bangladesh stands behind regarding this issue. It was demonstrated that this technology can be a powerful means of enriching the soil fertility and increasing rice crop yields. However, the technology needs to be improved further for better exploitation under sustainable agricultural systems. Efficient high quality inoculants production and extensive field studies should be given priority in this regard. </w:t>
      </w:r>
    </w:p>
    <w:p w14:paraId="064ED874" w14:textId="19D28467" w:rsidR="004D6E2C" w:rsidRDefault="004D6E2C" w:rsidP="00957D96">
      <w:pPr>
        <w:spacing w:line="360" w:lineRule="auto"/>
        <w:jc w:val="both"/>
        <w:rPr>
          <w:rFonts w:ascii="Arial" w:hAnsi="Arial" w:cs="Arial"/>
          <w:color w:val="000000" w:themeColor="text1"/>
          <w:sz w:val="20"/>
          <w:szCs w:val="20"/>
        </w:rPr>
      </w:pPr>
    </w:p>
    <w:p w14:paraId="5E7BA669" w14:textId="77777777" w:rsidR="00B03354" w:rsidRDefault="004D6E2C" w:rsidP="000A2194">
      <w:pPr>
        <w:rPr>
          <w:rFonts w:ascii="Arial" w:eastAsia="Calibri" w:hAnsi="Arial" w:cs="Arial"/>
          <w:sz w:val="20"/>
          <w:szCs w:val="20"/>
          <w:highlight w:val="yellow"/>
          <w:lang w:val="en-US"/>
        </w:rPr>
      </w:pPr>
      <w:bookmarkStart w:id="1" w:name="_Hlk204003461"/>
      <w:r w:rsidRPr="000A2194">
        <w:rPr>
          <w:rFonts w:ascii="Arial" w:eastAsia="Calibri" w:hAnsi="Arial" w:cs="Arial"/>
          <w:sz w:val="20"/>
          <w:szCs w:val="20"/>
          <w:highlight w:val="yellow"/>
          <w:lang w:val="en-US"/>
        </w:rPr>
        <w:t>Disclaimer (Artificial intelligence)</w:t>
      </w:r>
    </w:p>
    <w:p w14:paraId="4802B5C7" w14:textId="761D5610" w:rsidR="000A2194" w:rsidRPr="00B03354" w:rsidRDefault="004D6E2C" w:rsidP="00B03354">
      <w:pPr>
        <w:jc w:val="both"/>
        <w:rPr>
          <w:rFonts w:ascii="Arial" w:eastAsia="Calibri" w:hAnsi="Arial" w:cs="Arial"/>
          <w:sz w:val="20"/>
          <w:szCs w:val="20"/>
          <w:highlight w:val="yellow"/>
          <w:lang w:val="en-US"/>
        </w:rPr>
      </w:pPr>
      <w:proofErr w:type="gramStart"/>
      <w:r w:rsidRPr="000A2194">
        <w:rPr>
          <w:rFonts w:ascii="Arial" w:eastAsia="Calibri" w:hAnsi="Arial" w:cs="Arial"/>
          <w:sz w:val="20"/>
          <w:szCs w:val="20"/>
          <w:highlight w:val="yellow"/>
          <w:lang w:val="en-US"/>
        </w:rPr>
        <w:t>Author</w:t>
      </w:r>
      <w:r w:rsidR="000A2194" w:rsidRPr="000A2194">
        <w:rPr>
          <w:rFonts w:ascii="Arial" w:eastAsia="Calibri" w:hAnsi="Arial" w:cs="Arial"/>
          <w:sz w:val="20"/>
          <w:szCs w:val="20"/>
          <w:highlight w:val="yellow"/>
          <w:lang w:val="en-US"/>
        </w:rPr>
        <w:t>’s</w:t>
      </w:r>
      <w:proofErr w:type="gramEnd"/>
      <w:r w:rsidRPr="000A2194">
        <w:rPr>
          <w:rFonts w:ascii="Arial" w:eastAsia="Calibri" w:hAnsi="Arial" w:cs="Arial"/>
          <w:sz w:val="20"/>
          <w:szCs w:val="20"/>
          <w:highlight w:val="yellow"/>
          <w:lang w:val="en-US"/>
        </w:rPr>
        <w:t xml:space="preserve"> hereby declare that NO generative AI technologies such as Large Language Models (ChatGPT, COPILOT, etc.) and text-to-image generators have been used during the writing or editing of this manuscript. </w:t>
      </w:r>
      <w:bookmarkEnd w:id="1"/>
    </w:p>
    <w:p w14:paraId="5EF2D17E" w14:textId="696E5012" w:rsidR="00957D96" w:rsidRPr="000A2194" w:rsidRDefault="005A67D8" w:rsidP="000A2194">
      <w:pPr>
        <w:rPr>
          <w:rFonts w:ascii="Calibri" w:eastAsia="Calibri" w:hAnsi="Calibri" w:cs="Times New Roman"/>
          <w:highlight w:val="yellow"/>
          <w:lang w:val="en-US"/>
        </w:rPr>
      </w:pPr>
      <w:r w:rsidRPr="0066543C">
        <w:rPr>
          <w:rFonts w:ascii="Arial" w:hAnsi="Arial" w:cs="Arial"/>
          <w:b/>
          <w:bCs/>
        </w:rPr>
        <w:t>REFERENCES:</w:t>
      </w:r>
    </w:p>
    <w:p w14:paraId="55F81C52" w14:textId="77777777" w:rsidR="00A24BE3" w:rsidRPr="00EE5CA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EE5CA3">
        <w:rPr>
          <w:rFonts w:ascii="Arial" w:hAnsi="Arial" w:cs="Arial"/>
          <w:color w:val="000000" w:themeColor="text1"/>
          <w:sz w:val="20"/>
          <w:szCs w:val="20"/>
        </w:rPr>
        <w:t xml:space="preserve">Anas, A., Vinothkumar, S., Gupta, S., Jasmin, C., Joseph, V., Parameswaran, P. S., &amp; Nair, S. (2016). Evaluation of antioxidant and cytotoxic properties of cyanobacteria, Limnothrix sp. and Leptolyngbya sp. from Arabian Sea. Journal of Microbiology Biotechnology and Food Sciences, 6(3), 956-960. </w:t>
      </w:r>
      <w:hyperlink r:id="rId33" w:history="1">
        <w:r w:rsidRPr="00EE5CA3">
          <w:rPr>
            <w:rStyle w:val="Hyperlink"/>
            <w:rFonts w:ascii="Arial" w:hAnsi="Arial" w:cs="Arial"/>
            <w:sz w:val="20"/>
            <w:szCs w:val="20"/>
          </w:rPr>
          <w:t>https://doi.org/10.15414/jmbfs.2016/17.6.3.956-960</w:t>
        </w:r>
      </w:hyperlink>
      <w:r w:rsidRPr="00EE5CA3">
        <w:rPr>
          <w:rFonts w:ascii="Arial" w:hAnsi="Arial" w:cs="Arial"/>
          <w:color w:val="000000" w:themeColor="text1"/>
          <w:sz w:val="20"/>
          <w:szCs w:val="20"/>
        </w:rPr>
        <w:t xml:space="preserve"> </w:t>
      </w:r>
    </w:p>
    <w:p w14:paraId="1D5267C4" w14:textId="77777777" w:rsidR="00A24BE3" w:rsidRPr="00780C62"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EE5CA3">
        <w:rPr>
          <w:rFonts w:ascii="Arial" w:hAnsi="Arial" w:cs="Arial"/>
          <w:color w:val="000000" w:themeColor="text1"/>
          <w:sz w:val="20"/>
          <w:szCs w:val="20"/>
        </w:rPr>
        <w:t xml:space="preserve">Ansari, M. F., Tipre, D. R., &amp; Dave, S. R. (2015). Exploring the multi-trait plant growth promotion capability of commercial liquid biofertilizers isolates. International Journal of Life Sciences, 9(3), 24-37. </w:t>
      </w:r>
      <w:hyperlink r:id="rId34" w:history="1">
        <w:r w:rsidRPr="00EE5CA3">
          <w:rPr>
            <w:rStyle w:val="Hyperlink"/>
            <w:rFonts w:ascii="Arial" w:hAnsi="Arial" w:cs="Arial"/>
            <w:sz w:val="20"/>
            <w:szCs w:val="20"/>
          </w:rPr>
          <w:t>https://doi.org/10.3126/ijls.v9i3.12463</w:t>
        </w:r>
      </w:hyperlink>
      <w:r w:rsidRPr="00EE5CA3">
        <w:rPr>
          <w:rFonts w:ascii="Arial" w:hAnsi="Arial" w:cs="Arial"/>
          <w:color w:val="000000" w:themeColor="text1"/>
          <w:sz w:val="20"/>
          <w:szCs w:val="20"/>
        </w:rPr>
        <w:t xml:space="preserve"> </w:t>
      </w:r>
    </w:p>
    <w:p w14:paraId="1C92E97A" w14:textId="7E2C12C1" w:rsidR="00780C62" w:rsidRDefault="00780C62"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780C62">
        <w:rPr>
          <w:rFonts w:ascii="Arial" w:eastAsia="Times New Roman" w:hAnsi="Arial" w:cs="Arial"/>
          <w:kern w:val="0"/>
          <w:sz w:val="20"/>
          <w:szCs w:val="20"/>
          <w:lang w:eastAsia="en-IN"/>
          <w14:ligatures w14:val="none"/>
        </w:rPr>
        <w:t>Bhuvaneswari, G. R., Purushothaman, C. S., Pandey, P. K., Gupta, S., Kumar, H. S., &amp; Shukla, S. P. (2018). Toxicological effects of chlorpyrifos on growth, chlorophyll a synthesis and enzyme activity of a cyanobacterium Spirulina (Arthrospira) platensis. </w:t>
      </w:r>
      <w:r w:rsidRPr="00780C62">
        <w:rPr>
          <w:rFonts w:ascii="Arial" w:eastAsia="Times New Roman" w:hAnsi="Arial" w:cs="Arial"/>
          <w:i/>
          <w:iCs/>
          <w:kern w:val="0"/>
          <w:sz w:val="20"/>
          <w:szCs w:val="20"/>
          <w:lang w:eastAsia="en-IN"/>
          <w14:ligatures w14:val="none"/>
        </w:rPr>
        <w:t>Int J Curr Microbiol App Sci</w:t>
      </w:r>
      <w:r w:rsidRPr="00780C62">
        <w:rPr>
          <w:rFonts w:ascii="Arial" w:eastAsia="Times New Roman" w:hAnsi="Arial" w:cs="Arial"/>
          <w:kern w:val="0"/>
          <w:sz w:val="20"/>
          <w:szCs w:val="20"/>
          <w:lang w:eastAsia="en-IN"/>
          <w14:ligatures w14:val="none"/>
        </w:rPr>
        <w:t>, </w:t>
      </w:r>
      <w:r w:rsidRPr="00780C62">
        <w:rPr>
          <w:rFonts w:ascii="Arial" w:eastAsia="Times New Roman" w:hAnsi="Arial" w:cs="Arial"/>
          <w:i/>
          <w:iCs/>
          <w:kern w:val="0"/>
          <w:sz w:val="20"/>
          <w:szCs w:val="20"/>
          <w:lang w:eastAsia="en-IN"/>
          <w14:ligatures w14:val="none"/>
        </w:rPr>
        <w:t>7</w:t>
      </w:r>
      <w:r w:rsidRPr="00780C62">
        <w:rPr>
          <w:rFonts w:ascii="Arial" w:eastAsia="Times New Roman" w:hAnsi="Arial" w:cs="Arial"/>
          <w:kern w:val="0"/>
          <w:sz w:val="20"/>
          <w:szCs w:val="20"/>
          <w:lang w:eastAsia="en-IN"/>
          <w14:ligatures w14:val="none"/>
        </w:rPr>
        <w:t>, 2980-2990.</w:t>
      </w:r>
      <w:r w:rsidRPr="00780C62">
        <w:rPr>
          <w:rFonts w:ascii="Times New Roman" w:hAnsi="Times New Roman" w:cs="Times New Roman"/>
          <w:color w:val="0000FF"/>
          <w:kern w:val="0"/>
        </w:rPr>
        <w:t xml:space="preserve"> </w:t>
      </w:r>
      <w:hyperlink r:id="rId35" w:history="1">
        <w:r w:rsidRPr="00312515">
          <w:rPr>
            <w:rStyle w:val="Hyperlink"/>
            <w:rFonts w:ascii="Arial" w:eastAsia="Times New Roman" w:hAnsi="Arial" w:cs="Arial"/>
            <w:kern w:val="0"/>
            <w:sz w:val="20"/>
            <w:szCs w:val="20"/>
            <w:lang w:eastAsia="en-IN"/>
            <w14:ligatures w14:val="none"/>
          </w:rPr>
          <w:t>https://doi.org/10.20546/ijcmas.2018.706.351</w:t>
        </w:r>
      </w:hyperlink>
    </w:p>
    <w:p w14:paraId="20D7CCC7" w14:textId="77777777" w:rsidR="00A24BE3" w:rsidRPr="00EE5CA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EE5CA3">
        <w:rPr>
          <w:rFonts w:ascii="Arial" w:eastAsia="Times New Roman" w:hAnsi="Arial" w:cs="Arial"/>
          <w:kern w:val="0"/>
          <w:sz w:val="20"/>
          <w:szCs w:val="20"/>
          <w:lang w:eastAsia="en-IN"/>
          <w14:ligatures w14:val="none"/>
        </w:rPr>
        <w:t>Chittapun, S., &amp; Charoenrat, T. (2015). Isolation and growth of N</w:t>
      </w:r>
      <w:r w:rsidRPr="00EE5CA3">
        <w:rPr>
          <w:rFonts w:ascii="Cambria Math" w:eastAsia="Times New Roman" w:hAnsi="Cambria Math" w:cs="Cambria Math"/>
          <w:kern w:val="0"/>
          <w:sz w:val="20"/>
          <w:szCs w:val="20"/>
          <w:lang w:eastAsia="en-IN"/>
          <w14:ligatures w14:val="none"/>
        </w:rPr>
        <w:t>₂</w:t>
      </w:r>
      <w:r w:rsidRPr="00EE5CA3">
        <w:rPr>
          <w:rFonts w:ascii="Arial" w:eastAsia="Times New Roman" w:hAnsi="Arial" w:cs="Arial"/>
          <w:kern w:val="0"/>
          <w:sz w:val="20"/>
          <w:szCs w:val="20"/>
          <w:lang w:eastAsia="en-IN"/>
          <w14:ligatures w14:val="none"/>
        </w:rPr>
        <w:t xml:space="preserve">-fixing cyanobacteria from organic agricultural areas in Sanamchaikate, Chachoeng-Sao Province, Thailand. Thammasat International Journal of Science and Technology, 20(2), 28-37. </w:t>
      </w:r>
      <w:hyperlink r:id="rId36" w:history="1">
        <w:r w:rsidRPr="00EE5CA3">
          <w:rPr>
            <w:rStyle w:val="Hyperlink"/>
            <w:rFonts w:ascii="Arial" w:eastAsia="Times New Roman" w:hAnsi="Arial" w:cs="Arial"/>
            <w:kern w:val="0"/>
            <w:sz w:val="20"/>
            <w:szCs w:val="20"/>
            <w:lang w:eastAsia="en-IN"/>
            <w14:ligatures w14:val="none"/>
          </w:rPr>
          <w:t>https://he02.tci-thaijo.org/index.php/TIJSAT/article/view/39000</w:t>
        </w:r>
      </w:hyperlink>
      <w:r w:rsidRPr="00EE5CA3">
        <w:rPr>
          <w:rFonts w:ascii="Arial" w:eastAsia="Times New Roman" w:hAnsi="Arial" w:cs="Arial"/>
          <w:kern w:val="0"/>
          <w:sz w:val="20"/>
          <w:szCs w:val="20"/>
          <w:lang w:eastAsia="en-IN"/>
          <w14:ligatures w14:val="none"/>
        </w:rPr>
        <w:t xml:space="preserve"> </w:t>
      </w:r>
    </w:p>
    <w:p w14:paraId="7FB69526" w14:textId="77777777" w:rsidR="00A24BE3" w:rsidRPr="00EE5CA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EE5CA3">
        <w:rPr>
          <w:rFonts w:ascii="Arial" w:eastAsia="Times New Roman" w:hAnsi="Arial" w:cs="Arial"/>
          <w:kern w:val="0"/>
          <w:sz w:val="20"/>
          <w:szCs w:val="20"/>
          <w:lang w:eastAsia="en-IN"/>
          <w14:ligatures w14:val="none"/>
        </w:rPr>
        <w:t xml:space="preserve">Touliabah, H. E.-S., El-Sheekh, M. M., Ismail, M. M., &amp; El-Kassas, H. (2022). A review of microalgae- and cyanobacteria-based biodegradation of organic pollutants. Molecules, 27(3), 1141. </w:t>
      </w:r>
      <w:hyperlink r:id="rId37" w:history="1">
        <w:r w:rsidRPr="00EE5CA3">
          <w:rPr>
            <w:rStyle w:val="Hyperlink"/>
            <w:rFonts w:ascii="Arial" w:eastAsia="Times New Roman" w:hAnsi="Arial" w:cs="Arial"/>
            <w:kern w:val="0"/>
            <w:sz w:val="20"/>
            <w:szCs w:val="20"/>
            <w:lang w:eastAsia="en-IN"/>
            <w14:ligatures w14:val="none"/>
          </w:rPr>
          <w:t>https://doi.org/10.3390/molecules27031141</w:t>
        </w:r>
      </w:hyperlink>
      <w:r w:rsidRPr="00EE5CA3">
        <w:rPr>
          <w:rFonts w:ascii="Arial" w:eastAsia="Times New Roman" w:hAnsi="Arial" w:cs="Arial"/>
          <w:kern w:val="0"/>
          <w:sz w:val="20"/>
          <w:szCs w:val="20"/>
          <w:lang w:eastAsia="en-IN"/>
          <w14:ligatures w14:val="none"/>
        </w:rPr>
        <w:t xml:space="preserve"> </w:t>
      </w:r>
    </w:p>
    <w:p w14:paraId="25AF3EF9" w14:textId="77777777" w:rsidR="00A24BE3" w:rsidRPr="00EE5CA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EE5CA3">
        <w:rPr>
          <w:rFonts w:ascii="Arial" w:eastAsia="Times New Roman" w:hAnsi="Arial" w:cs="Arial"/>
          <w:kern w:val="0"/>
          <w:sz w:val="20"/>
          <w:szCs w:val="20"/>
          <w:lang w:eastAsia="en-IN"/>
          <w14:ligatures w14:val="none"/>
        </w:rPr>
        <w:t xml:space="preserve">Giesy, J. P., Solomon, K. R., &amp; Mackay, D. (2014). Evaluation of evidence that the organophosphorus insecticide chlorpyrifos is a potential persistent organic pollutant (POP) or persistent, bioaccumulative, and toxic (PBT). Environmental Sciences Europe, 26(1), 29. </w:t>
      </w:r>
      <w:hyperlink r:id="rId38" w:history="1">
        <w:r w:rsidRPr="00EE5CA3">
          <w:rPr>
            <w:rStyle w:val="Hyperlink"/>
            <w:rFonts w:ascii="Arial" w:eastAsia="Times New Roman" w:hAnsi="Arial" w:cs="Arial"/>
            <w:kern w:val="0"/>
            <w:sz w:val="20"/>
            <w:szCs w:val="20"/>
            <w:lang w:eastAsia="en-IN"/>
            <w14:ligatures w14:val="none"/>
          </w:rPr>
          <w:t>https://doi.org/10.1186/s12302-014-0029-y</w:t>
        </w:r>
      </w:hyperlink>
      <w:r w:rsidRPr="00EE5CA3">
        <w:rPr>
          <w:rFonts w:ascii="Arial" w:eastAsia="Times New Roman" w:hAnsi="Arial" w:cs="Arial"/>
          <w:kern w:val="0"/>
          <w:sz w:val="20"/>
          <w:szCs w:val="20"/>
          <w:lang w:eastAsia="en-IN"/>
          <w14:ligatures w14:val="none"/>
        </w:rPr>
        <w:t xml:space="preserve"> </w:t>
      </w:r>
    </w:p>
    <w:p w14:paraId="61A820E8" w14:textId="77777777" w:rsidR="00A24BE3" w:rsidRPr="005B313F" w:rsidRDefault="00A24BE3" w:rsidP="00805BEA">
      <w:pPr>
        <w:pStyle w:val="ListParagraph"/>
        <w:numPr>
          <w:ilvl w:val="0"/>
          <w:numId w:val="2"/>
        </w:numPr>
        <w:spacing w:before="100" w:beforeAutospacing="1" w:after="100" w:afterAutospacing="1" w:line="240" w:lineRule="auto"/>
        <w:jc w:val="both"/>
        <w:rPr>
          <w:rFonts w:ascii="Arial" w:hAnsi="Arial" w:cs="Arial"/>
          <w:sz w:val="20"/>
          <w:szCs w:val="20"/>
        </w:rPr>
      </w:pPr>
      <w:r w:rsidRPr="00EE5CA3">
        <w:rPr>
          <w:rFonts w:ascii="Arial" w:eastAsia="Times New Roman" w:hAnsi="Arial" w:cs="Arial"/>
          <w:kern w:val="0"/>
          <w:sz w:val="20"/>
          <w:szCs w:val="20"/>
          <w:lang w:eastAsia="en-IN"/>
          <w14:ligatures w14:val="none"/>
        </w:rPr>
        <w:t xml:space="preserve">Ibrahim, W. M., Karam, M. A., El-Shahat, R. M., &amp; Adway, A. A. (2014). Biodegradation and utilization of organophosphorus pesticide malathion by cyanobacteria. BioMed Research International. </w:t>
      </w:r>
      <w:hyperlink r:id="rId39" w:history="1">
        <w:r w:rsidRPr="00EE5CA3">
          <w:rPr>
            <w:rStyle w:val="Hyperlink"/>
            <w:rFonts w:ascii="Arial" w:eastAsia="Times New Roman" w:hAnsi="Arial" w:cs="Arial"/>
            <w:kern w:val="0"/>
            <w:sz w:val="20"/>
            <w:szCs w:val="20"/>
            <w:lang w:eastAsia="en-IN"/>
            <w14:ligatures w14:val="none"/>
          </w:rPr>
          <w:t>https://doi.org/10.1155/2014/392682</w:t>
        </w:r>
      </w:hyperlink>
      <w:r w:rsidRPr="00EE5CA3">
        <w:rPr>
          <w:rFonts w:ascii="Arial" w:eastAsia="Times New Roman" w:hAnsi="Arial" w:cs="Arial"/>
          <w:kern w:val="0"/>
          <w:sz w:val="20"/>
          <w:szCs w:val="20"/>
          <w:lang w:eastAsia="en-IN"/>
          <w14:ligatures w14:val="none"/>
        </w:rPr>
        <w:t xml:space="preserve"> </w:t>
      </w:r>
    </w:p>
    <w:p w14:paraId="49D06FFA" w14:textId="652ADEF1" w:rsidR="005B313F" w:rsidRPr="005B313F" w:rsidRDefault="005B313F" w:rsidP="005B313F">
      <w:pPr>
        <w:pStyle w:val="ListParagraph"/>
        <w:numPr>
          <w:ilvl w:val="0"/>
          <w:numId w:val="2"/>
        </w:numPr>
        <w:jc w:val="both"/>
        <w:rPr>
          <w:rFonts w:ascii="Arial" w:hAnsi="Arial" w:cs="Arial"/>
          <w:sz w:val="20"/>
          <w:szCs w:val="20"/>
        </w:rPr>
      </w:pPr>
      <w:r w:rsidRPr="005B313F">
        <w:rPr>
          <w:rFonts w:ascii="Arial" w:hAnsi="Arial" w:cs="Arial"/>
          <w:sz w:val="20"/>
          <w:szCs w:val="20"/>
        </w:rPr>
        <w:t>Kumar, M. S., Praveenkumar, R., Jeon, B. H., &amp; Thajuddin, N. (2014). Chlorpyrifos</w:t>
      </w:r>
      <w:r w:rsidRPr="005B313F">
        <w:rPr>
          <w:rFonts w:ascii="Cambria Math" w:hAnsi="Cambria Math" w:cs="Cambria Math"/>
          <w:sz w:val="20"/>
          <w:szCs w:val="20"/>
        </w:rPr>
        <w:t>‐</w:t>
      </w:r>
      <w:r w:rsidRPr="005B313F">
        <w:rPr>
          <w:rFonts w:ascii="Arial" w:hAnsi="Arial" w:cs="Arial"/>
          <w:sz w:val="20"/>
          <w:szCs w:val="20"/>
        </w:rPr>
        <w:t>induced changes in the antioxidants and fatty acid compositions of Chroococcus turgidus NTMS12. </w:t>
      </w:r>
      <w:r w:rsidRPr="005B313F">
        <w:rPr>
          <w:rFonts w:ascii="Arial" w:hAnsi="Arial" w:cs="Arial"/>
          <w:i/>
          <w:iCs/>
          <w:sz w:val="20"/>
          <w:szCs w:val="20"/>
        </w:rPr>
        <w:t>Letters in applied microbiology</w:t>
      </w:r>
      <w:r w:rsidRPr="005B313F">
        <w:rPr>
          <w:rFonts w:ascii="Arial" w:hAnsi="Arial" w:cs="Arial"/>
          <w:sz w:val="20"/>
          <w:szCs w:val="20"/>
        </w:rPr>
        <w:t>, </w:t>
      </w:r>
      <w:r w:rsidRPr="005B313F">
        <w:rPr>
          <w:rFonts w:ascii="Arial" w:hAnsi="Arial" w:cs="Arial"/>
          <w:i/>
          <w:iCs/>
          <w:sz w:val="20"/>
          <w:szCs w:val="20"/>
        </w:rPr>
        <w:t>59</w:t>
      </w:r>
      <w:r w:rsidRPr="005B313F">
        <w:rPr>
          <w:rFonts w:ascii="Arial" w:hAnsi="Arial" w:cs="Arial"/>
          <w:sz w:val="20"/>
          <w:szCs w:val="20"/>
        </w:rPr>
        <w:t>(5), 535-541.</w:t>
      </w:r>
      <w:r>
        <w:rPr>
          <w:rFonts w:ascii="Arial" w:hAnsi="Arial" w:cs="Arial"/>
          <w:sz w:val="20"/>
          <w:szCs w:val="20"/>
        </w:rPr>
        <w:t xml:space="preserve"> </w:t>
      </w:r>
      <w:r w:rsidRPr="005B313F">
        <w:rPr>
          <w:rFonts w:ascii="Arial" w:hAnsi="Arial" w:cs="Arial"/>
          <w:sz w:val="20"/>
          <w:szCs w:val="20"/>
        </w:rPr>
        <w:t>DOI: </w:t>
      </w:r>
      <w:hyperlink r:id="rId40" w:tgtFrame="_blank" w:history="1">
        <w:r w:rsidRPr="005B313F">
          <w:rPr>
            <w:rStyle w:val="Hyperlink"/>
            <w:rFonts w:ascii="Arial" w:hAnsi="Arial" w:cs="Arial"/>
            <w:sz w:val="20"/>
            <w:szCs w:val="20"/>
          </w:rPr>
          <w:t>10.1111/lam.12311</w:t>
        </w:r>
      </w:hyperlink>
    </w:p>
    <w:p w14:paraId="4B022041" w14:textId="77777777" w:rsidR="00A24BE3" w:rsidRPr="00EE5CA3" w:rsidRDefault="00A24BE3" w:rsidP="00805BEA">
      <w:pPr>
        <w:pStyle w:val="ListParagraph"/>
        <w:numPr>
          <w:ilvl w:val="0"/>
          <w:numId w:val="2"/>
        </w:numPr>
        <w:spacing w:line="240" w:lineRule="auto"/>
        <w:jc w:val="both"/>
        <w:rPr>
          <w:rFonts w:ascii="Arial" w:hAnsi="Arial" w:cs="Arial"/>
          <w:sz w:val="20"/>
          <w:szCs w:val="20"/>
        </w:rPr>
      </w:pPr>
      <w:r w:rsidRPr="00EE5CA3">
        <w:rPr>
          <w:rFonts w:ascii="Arial" w:eastAsia="Times New Roman" w:hAnsi="Arial" w:cs="Arial"/>
          <w:kern w:val="0"/>
          <w:sz w:val="20"/>
          <w:szCs w:val="20"/>
          <w:lang w:eastAsia="en-IN"/>
          <w14:ligatures w14:val="none"/>
        </w:rPr>
        <w:t xml:space="preserve">Kumar, S., Kaushik, G., Dar, M. A., Nimesh, S., López-Chuken, U. J., &amp; Villarreal-Chiu, J. F. (2018). Microbial degradation of organophosphate pesticides: A review. Pedosphere, 28(2), 190–208. </w:t>
      </w:r>
      <w:hyperlink r:id="rId41" w:history="1">
        <w:r w:rsidRPr="00EE5CA3">
          <w:rPr>
            <w:rStyle w:val="Hyperlink"/>
            <w:rFonts w:ascii="Arial" w:eastAsia="Times New Roman" w:hAnsi="Arial" w:cs="Arial"/>
            <w:kern w:val="0"/>
            <w:sz w:val="20"/>
            <w:szCs w:val="20"/>
            <w:lang w:eastAsia="en-IN"/>
            <w14:ligatures w14:val="none"/>
          </w:rPr>
          <w:t>https://doi.org/10.1016/S1002-0160(18)60017-7</w:t>
        </w:r>
      </w:hyperlink>
      <w:r w:rsidRPr="00EE5CA3">
        <w:rPr>
          <w:rFonts w:ascii="Arial" w:eastAsia="Times New Roman" w:hAnsi="Arial" w:cs="Arial"/>
          <w:kern w:val="0"/>
          <w:sz w:val="20"/>
          <w:szCs w:val="20"/>
          <w:lang w:eastAsia="en-IN"/>
          <w14:ligatures w14:val="none"/>
        </w:rPr>
        <w:t xml:space="preserve"> </w:t>
      </w:r>
    </w:p>
    <w:p w14:paraId="3FB5BBEC" w14:textId="531DE2FD" w:rsidR="00934F17" w:rsidRPr="00934F17" w:rsidRDefault="00934F17" w:rsidP="00934F17">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EE5CA3">
        <w:rPr>
          <w:rFonts w:ascii="Arial" w:eastAsia="Times New Roman" w:hAnsi="Arial" w:cs="Arial"/>
          <w:kern w:val="0"/>
          <w:sz w:val="20"/>
          <w:szCs w:val="20"/>
          <w:lang w:eastAsia="en-IN"/>
          <w14:ligatures w14:val="none"/>
        </w:rPr>
        <w:t xml:space="preserve">Mali, H., Shah, C., Patel, D. H., Trivedi, U., &amp; Subramanian, R. B. (2022). Degradation insight of organophosphate pesticide chlorpyrifos through novel intermediate 2,6-dihydroxypyridine by Arthrobacter sp. HM01. Bioresources and Bioprocessing, 9(1), 31. </w:t>
      </w:r>
      <w:hyperlink r:id="rId42" w:history="1">
        <w:r w:rsidRPr="00EE5CA3">
          <w:rPr>
            <w:rStyle w:val="Hyperlink"/>
            <w:rFonts w:ascii="Arial" w:eastAsia="Times New Roman" w:hAnsi="Arial" w:cs="Arial"/>
            <w:kern w:val="0"/>
            <w:sz w:val="20"/>
            <w:szCs w:val="20"/>
            <w:lang w:eastAsia="en-IN"/>
            <w14:ligatures w14:val="none"/>
          </w:rPr>
          <w:t>https://doi.org/10.1186/s40643-022-00515-5</w:t>
        </w:r>
      </w:hyperlink>
      <w:r w:rsidRPr="00EE5CA3">
        <w:rPr>
          <w:rFonts w:ascii="Arial" w:eastAsia="Times New Roman" w:hAnsi="Arial" w:cs="Arial"/>
          <w:kern w:val="0"/>
          <w:sz w:val="20"/>
          <w:szCs w:val="20"/>
          <w:lang w:eastAsia="en-IN"/>
          <w14:ligatures w14:val="none"/>
        </w:rPr>
        <w:t xml:space="preserve"> </w:t>
      </w:r>
    </w:p>
    <w:p w14:paraId="3F2AF9A9" w14:textId="1B08E7EA" w:rsidR="00A24BE3" w:rsidRPr="00EE5CA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EE5CA3">
        <w:rPr>
          <w:rFonts w:ascii="Arial" w:hAnsi="Arial" w:cs="Arial"/>
          <w:sz w:val="20"/>
          <w:szCs w:val="20"/>
        </w:rPr>
        <w:t xml:space="preserve">Oo, K. T., Win, T. T., Khai, A. A., &amp; Fu, P. C. (2020). Isolation, screening and molecular characterization of multifunctional plant growth promoting rhizobacteria for a sustainable agriculture. American Journal of Plant Sciences, 11(6), 773-792. </w:t>
      </w:r>
      <w:hyperlink r:id="rId43" w:history="1">
        <w:r w:rsidRPr="00EE5CA3">
          <w:rPr>
            <w:rStyle w:val="Hyperlink"/>
            <w:rFonts w:ascii="Arial" w:hAnsi="Arial" w:cs="Arial"/>
            <w:sz w:val="20"/>
            <w:szCs w:val="20"/>
          </w:rPr>
          <w:t>https://doi.org/10.4236/ajps.2020.116055</w:t>
        </w:r>
      </w:hyperlink>
      <w:r w:rsidRPr="00EE5CA3">
        <w:rPr>
          <w:rFonts w:ascii="Arial" w:hAnsi="Arial" w:cs="Arial"/>
          <w:sz w:val="20"/>
          <w:szCs w:val="20"/>
        </w:rPr>
        <w:t xml:space="preserve"> </w:t>
      </w:r>
    </w:p>
    <w:p w14:paraId="6965836A" w14:textId="77777777" w:rsidR="00A24BE3" w:rsidRPr="00EE5CA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EE5CA3">
        <w:rPr>
          <w:rFonts w:ascii="Arial" w:hAnsi="Arial" w:cs="Arial"/>
          <w:sz w:val="20"/>
          <w:szCs w:val="20"/>
        </w:rPr>
        <w:t xml:space="preserve">Pattnaik, S., &amp; Singh, L. (2020). Cyanobacteria Bioactive Compound, their Production and Extraction with Pharmaceutical Applications – A Review. International Journal of Current Microbiology and Applied Sciences. </w:t>
      </w:r>
      <w:hyperlink r:id="rId44" w:history="1">
        <w:r w:rsidRPr="00EE5CA3">
          <w:rPr>
            <w:rStyle w:val="Hyperlink"/>
            <w:rFonts w:ascii="Arial" w:hAnsi="Arial" w:cs="Arial"/>
            <w:sz w:val="20"/>
            <w:szCs w:val="20"/>
          </w:rPr>
          <w:t>https://doi.org/10.20546/ijcmas.2020.906.402</w:t>
        </w:r>
      </w:hyperlink>
      <w:r w:rsidRPr="00EE5CA3">
        <w:rPr>
          <w:rFonts w:ascii="Arial" w:hAnsi="Arial" w:cs="Arial"/>
          <w:sz w:val="20"/>
          <w:szCs w:val="20"/>
        </w:rPr>
        <w:t xml:space="preserve"> </w:t>
      </w:r>
    </w:p>
    <w:p w14:paraId="47398DB7" w14:textId="77777777" w:rsidR="00A24BE3" w:rsidRPr="00EE5CA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EE5CA3">
        <w:rPr>
          <w:rFonts w:ascii="Arial" w:eastAsia="Times New Roman" w:hAnsi="Arial" w:cs="Arial"/>
          <w:kern w:val="0"/>
          <w:sz w:val="20"/>
          <w:szCs w:val="20"/>
          <w:lang w:eastAsia="en-IN"/>
          <w14:ligatures w14:val="none"/>
        </w:rPr>
        <w:t xml:space="preserve">Pham, H. T. L., Ngo, T. T., Tran, T. V., Duong, T. A., Tran, L. D., Tran, A. T. T., Nguyen, V. T. H., &amp; Nguyen, S. V. (2025). Classification of Nostoc-like cyanobacteria isolated from paddy soil into Aliinostoc, Aulosira, and Desmonostoc. Frontiers in Microbiology, 16, 1581725. </w:t>
      </w:r>
      <w:hyperlink r:id="rId45" w:history="1">
        <w:r w:rsidRPr="00EE5CA3">
          <w:rPr>
            <w:rStyle w:val="Hyperlink"/>
            <w:rFonts w:ascii="Arial" w:eastAsia="Times New Roman" w:hAnsi="Arial" w:cs="Arial"/>
            <w:kern w:val="0"/>
            <w:sz w:val="20"/>
            <w:szCs w:val="20"/>
            <w:lang w:eastAsia="en-IN"/>
            <w14:ligatures w14:val="none"/>
          </w:rPr>
          <w:t>https://doi.org/10.3389/fmicb.2025.1581725</w:t>
        </w:r>
      </w:hyperlink>
      <w:r w:rsidRPr="00EE5CA3">
        <w:rPr>
          <w:rFonts w:ascii="Arial" w:eastAsia="Times New Roman" w:hAnsi="Arial" w:cs="Arial"/>
          <w:kern w:val="0"/>
          <w:sz w:val="20"/>
          <w:szCs w:val="20"/>
          <w:lang w:eastAsia="en-IN"/>
          <w14:ligatures w14:val="none"/>
        </w:rPr>
        <w:t xml:space="preserve"> </w:t>
      </w:r>
    </w:p>
    <w:p w14:paraId="28FB9621" w14:textId="416B2A10" w:rsidR="00957D96" w:rsidRPr="00EE5CA3" w:rsidRDefault="00957D96"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EE5CA3">
        <w:rPr>
          <w:rFonts w:ascii="Arial" w:eastAsia="Times New Roman" w:hAnsi="Arial" w:cs="Arial"/>
          <w:kern w:val="0"/>
          <w:sz w:val="20"/>
          <w:szCs w:val="20"/>
          <w:lang w:eastAsia="en-IN"/>
          <w14:ligatures w14:val="none"/>
        </w:rPr>
        <w:t xml:space="preserve">Prasanna, R., Joshi, M., Rana, A., Shivay, Y. S., &amp; Nain, L. (2013). Cyanobacteria as potential options for improving productivity and sustainability of rice–wheat cropping systems. </w:t>
      </w:r>
      <w:r w:rsidRPr="00EE5CA3">
        <w:rPr>
          <w:rFonts w:ascii="Arial" w:eastAsia="Times New Roman" w:hAnsi="Arial" w:cs="Arial"/>
          <w:i/>
          <w:iCs/>
          <w:kern w:val="0"/>
          <w:sz w:val="20"/>
          <w:szCs w:val="20"/>
          <w:lang w:eastAsia="en-IN"/>
          <w14:ligatures w14:val="none"/>
        </w:rPr>
        <w:t>Soil Biology and Biochemistry, 65,</w:t>
      </w:r>
      <w:r w:rsidRPr="00EE5CA3">
        <w:rPr>
          <w:rFonts w:ascii="Arial" w:eastAsia="Times New Roman" w:hAnsi="Arial" w:cs="Arial"/>
          <w:kern w:val="0"/>
          <w:sz w:val="20"/>
          <w:szCs w:val="20"/>
          <w:lang w:eastAsia="en-IN"/>
          <w14:ligatures w14:val="none"/>
        </w:rPr>
        <w:t xml:space="preserve"> 29–36. </w:t>
      </w:r>
      <w:hyperlink r:id="rId46" w:tgtFrame="_new" w:history="1">
        <w:r w:rsidRPr="00EE5CA3">
          <w:rPr>
            <w:rFonts w:ascii="Arial" w:eastAsia="Times New Roman" w:hAnsi="Arial" w:cs="Arial"/>
            <w:color w:val="0000FF"/>
            <w:kern w:val="0"/>
            <w:sz w:val="20"/>
            <w:szCs w:val="20"/>
            <w:u w:val="single"/>
            <w:lang w:eastAsia="en-IN"/>
            <w14:ligatures w14:val="none"/>
          </w:rPr>
          <w:t>https://doi.org/10.1016/j.soilbio.2013.05.001</w:t>
        </w:r>
      </w:hyperlink>
    </w:p>
    <w:p w14:paraId="7647AE28" w14:textId="77777777" w:rsidR="00A24BE3" w:rsidRPr="00EE5CA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EE5CA3">
        <w:rPr>
          <w:rFonts w:ascii="Arial" w:eastAsia="Times New Roman" w:hAnsi="Arial" w:cs="Arial"/>
          <w:kern w:val="0"/>
          <w:sz w:val="20"/>
          <w:szCs w:val="20"/>
          <w:lang w:eastAsia="en-IN"/>
          <w14:ligatures w14:val="none"/>
        </w:rPr>
        <w:t xml:space="preserve">Prasanna, R., Kumar, A., Singh, R. N., &amp; Singh, P. K. (2016). Cyanobacteria as potential options for environmental sustainability—Promises and challenges. Indian Journal of Microbiology. </w:t>
      </w:r>
      <w:hyperlink r:id="rId47" w:history="1">
        <w:r w:rsidRPr="00EE5CA3">
          <w:rPr>
            <w:rStyle w:val="Hyperlink"/>
            <w:rFonts w:ascii="Arial" w:eastAsia="Times New Roman" w:hAnsi="Arial" w:cs="Arial"/>
            <w:kern w:val="0"/>
            <w:sz w:val="20"/>
            <w:szCs w:val="20"/>
            <w:lang w:eastAsia="en-IN"/>
            <w14:ligatures w14:val="none"/>
          </w:rPr>
          <w:t>https://doi.org/10.1007/s12088-016-0585-2</w:t>
        </w:r>
      </w:hyperlink>
      <w:r w:rsidRPr="00EE5CA3">
        <w:rPr>
          <w:rFonts w:ascii="Arial" w:eastAsia="Times New Roman" w:hAnsi="Arial" w:cs="Arial"/>
          <w:kern w:val="0"/>
          <w:sz w:val="20"/>
          <w:szCs w:val="20"/>
          <w:lang w:eastAsia="en-IN"/>
          <w14:ligatures w14:val="none"/>
        </w:rPr>
        <w:t xml:space="preserve"> </w:t>
      </w:r>
    </w:p>
    <w:p w14:paraId="238D5738" w14:textId="77777777" w:rsidR="00A24BE3" w:rsidRPr="00EE5CA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EE5CA3">
        <w:rPr>
          <w:rFonts w:ascii="Arial" w:eastAsia="Times New Roman" w:hAnsi="Arial" w:cs="Arial"/>
          <w:kern w:val="0"/>
          <w:sz w:val="20"/>
          <w:szCs w:val="20"/>
          <w:lang w:eastAsia="en-IN"/>
          <w14:ligatures w14:val="none"/>
        </w:rPr>
        <w:t xml:space="preserve">Roque, J., Brito, Â., Rocha, M., Pissarra, J., Nunes, T., Bessa, M., Vieira, J. P., &amp; Tamagnini, P. (2023). Isolation and characterization of soil cyanobacteria and microalgae and evaluation of their potential as plant biostimulants. Plant and Soil. </w:t>
      </w:r>
      <w:hyperlink r:id="rId48" w:history="1">
        <w:r w:rsidRPr="00EE5CA3">
          <w:rPr>
            <w:rStyle w:val="Hyperlink"/>
            <w:rFonts w:ascii="Arial" w:eastAsia="Times New Roman" w:hAnsi="Arial" w:cs="Arial"/>
            <w:kern w:val="0"/>
            <w:sz w:val="20"/>
            <w:szCs w:val="20"/>
            <w:lang w:eastAsia="en-IN"/>
            <w14:ligatures w14:val="none"/>
          </w:rPr>
          <w:t>https://doi.org/10.1007/s11104-023-06217-x</w:t>
        </w:r>
      </w:hyperlink>
      <w:r w:rsidRPr="00EE5CA3">
        <w:rPr>
          <w:rFonts w:ascii="Arial" w:eastAsia="Times New Roman" w:hAnsi="Arial" w:cs="Arial"/>
          <w:kern w:val="0"/>
          <w:sz w:val="20"/>
          <w:szCs w:val="20"/>
          <w:lang w:eastAsia="en-IN"/>
          <w14:ligatures w14:val="none"/>
        </w:rPr>
        <w:t xml:space="preserve"> </w:t>
      </w:r>
    </w:p>
    <w:p w14:paraId="409D5C40" w14:textId="44071154" w:rsidR="00DD2845" w:rsidRDefault="00DD2845"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DD2845">
        <w:rPr>
          <w:rFonts w:ascii="Arial" w:eastAsia="Times New Roman" w:hAnsi="Arial" w:cs="Arial"/>
          <w:kern w:val="0"/>
          <w:sz w:val="20"/>
          <w:szCs w:val="20"/>
          <w:lang w:eastAsia="en-IN"/>
          <w14:ligatures w14:val="none"/>
        </w:rPr>
        <w:t>Saengsanga, T., &amp; Phakratok, N. (2023). Biodegradation of chlorpyrifos by soil bacteria and their effects on growth of rice seedlings under pesticide-contaminated soil. </w:t>
      </w:r>
      <w:r w:rsidRPr="00DD2845">
        <w:rPr>
          <w:rFonts w:ascii="Arial" w:eastAsia="Times New Roman" w:hAnsi="Arial" w:cs="Arial"/>
          <w:i/>
          <w:iCs/>
          <w:kern w:val="0"/>
          <w:sz w:val="20"/>
          <w:szCs w:val="20"/>
          <w:lang w:eastAsia="en-IN"/>
          <w14:ligatures w14:val="none"/>
        </w:rPr>
        <w:t>Plant, Soil &amp; Environment</w:t>
      </w:r>
      <w:r w:rsidRPr="00DD2845">
        <w:rPr>
          <w:rFonts w:ascii="Arial" w:eastAsia="Times New Roman" w:hAnsi="Arial" w:cs="Arial"/>
          <w:kern w:val="0"/>
          <w:sz w:val="20"/>
          <w:szCs w:val="20"/>
          <w:lang w:eastAsia="en-IN"/>
          <w14:ligatures w14:val="none"/>
        </w:rPr>
        <w:t>, </w:t>
      </w:r>
      <w:r w:rsidRPr="00DD2845">
        <w:rPr>
          <w:rFonts w:ascii="Arial" w:eastAsia="Times New Roman" w:hAnsi="Arial" w:cs="Arial"/>
          <w:i/>
          <w:iCs/>
          <w:kern w:val="0"/>
          <w:sz w:val="20"/>
          <w:szCs w:val="20"/>
          <w:lang w:eastAsia="en-IN"/>
          <w14:ligatures w14:val="none"/>
        </w:rPr>
        <w:t>69</w:t>
      </w:r>
      <w:r w:rsidRPr="00DD2845">
        <w:rPr>
          <w:rFonts w:ascii="Arial" w:eastAsia="Times New Roman" w:hAnsi="Arial" w:cs="Arial"/>
          <w:kern w:val="0"/>
          <w:sz w:val="20"/>
          <w:szCs w:val="20"/>
          <w:lang w:eastAsia="en-IN"/>
          <w14:ligatures w14:val="none"/>
        </w:rPr>
        <w:t>(5).</w:t>
      </w:r>
      <w:r>
        <w:rPr>
          <w:rFonts w:ascii="Arial" w:eastAsia="Times New Roman" w:hAnsi="Arial" w:cs="Arial"/>
          <w:kern w:val="0"/>
          <w:sz w:val="20"/>
          <w:szCs w:val="20"/>
          <w:lang w:eastAsia="en-IN"/>
          <w14:ligatures w14:val="none"/>
        </w:rPr>
        <w:t xml:space="preserve"> </w:t>
      </w:r>
      <w:r w:rsidRPr="00DD2845">
        <w:rPr>
          <w:rFonts w:ascii="Arial" w:eastAsia="Times New Roman" w:hAnsi="Arial" w:cs="Arial"/>
          <w:kern w:val="0"/>
          <w:sz w:val="20"/>
          <w:szCs w:val="20"/>
          <w:lang w:eastAsia="en-IN"/>
          <w14:ligatures w14:val="none"/>
        </w:rPr>
        <w:t>DOI: 10.17221/106/2023-PSE</w:t>
      </w:r>
    </w:p>
    <w:p w14:paraId="0EA94E19" w14:textId="374A8356" w:rsidR="00A24BE3" w:rsidRPr="00EE5CA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EE5CA3">
        <w:rPr>
          <w:rFonts w:ascii="Arial" w:eastAsia="Times New Roman" w:hAnsi="Arial" w:cs="Arial"/>
          <w:kern w:val="0"/>
          <w:sz w:val="20"/>
          <w:szCs w:val="20"/>
          <w:lang w:eastAsia="en-IN"/>
          <w14:ligatures w14:val="none"/>
        </w:rPr>
        <w:t xml:space="preserve">Santini, G., Biondi, N., Rodolfi, L., &amp; Tredici, M. R. (2021). Plant biostimulants from cyanobacteria: An emerging strategy to improve yields and sustainability in agriculture. Plants, 10(4), 643. </w:t>
      </w:r>
      <w:hyperlink r:id="rId49" w:history="1">
        <w:r w:rsidRPr="00EE5CA3">
          <w:rPr>
            <w:rStyle w:val="Hyperlink"/>
            <w:rFonts w:ascii="Arial" w:eastAsia="Times New Roman" w:hAnsi="Arial" w:cs="Arial"/>
            <w:kern w:val="0"/>
            <w:sz w:val="20"/>
            <w:szCs w:val="20"/>
            <w:lang w:eastAsia="en-IN"/>
            <w14:ligatures w14:val="none"/>
          </w:rPr>
          <w:t>https://doi.org/10.3390/plants10040643</w:t>
        </w:r>
      </w:hyperlink>
      <w:r w:rsidRPr="00EE5CA3">
        <w:rPr>
          <w:rFonts w:ascii="Arial" w:eastAsia="Times New Roman" w:hAnsi="Arial" w:cs="Arial"/>
          <w:kern w:val="0"/>
          <w:sz w:val="20"/>
          <w:szCs w:val="20"/>
          <w:lang w:eastAsia="en-IN"/>
          <w14:ligatures w14:val="none"/>
        </w:rPr>
        <w:t xml:space="preserve"> </w:t>
      </w:r>
    </w:p>
    <w:p w14:paraId="1A8D7943" w14:textId="6FF00C10" w:rsidR="00A24BE3" w:rsidRPr="00EE5CA3" w:rsidRDefault="00A24BE3" w:rsidP="00FF597F">
      <w:pPr>
        <w:pStyle w:val="ListParagraph"/>
        <w:numPr>
          <w:ilvl w:val="0"/>
          <w:numId w:val="2"/>
        </w:numPr>
        <w:spacing w:after="0" w:line="276" w:lineRule="auto"/>
        <w:jc w:val="both"/>
        <w:rPr>
          <w:rFonts w:ascii="Arial" w:eastAsia="Times New Roman" w:hAnsi="Arial" w:cs="Arial"/>
          <w:color w:val="000000"/>
          <w:sz w:val="20"/>
          <w:szCs w:val="20"/>
          <w:lang w:eastAsia="en-IN"/>
        </w:rPr>
      </w:pPr>
      <w:r w:rsidRPr="00EE5CA3">
        <w:rPr>
          <w:rFonts w:ascii="Arial" w:eastAsia="Times New Roman" w:hAnsi="Arial" w:cs="Arial"/>
          <w:kern w:val="0"/>
          <w:sz w:val="20"/>
          <w:szCs w:val="20"/>
          <w:lang w:eastAsia="en-IN"/>
          <w14:ligatures w14:val="none"/>
        </w:rPr>
        <w:t xml:space="preserve">Sao, S., &amp; Samuel, K. (2015). Study of Cyanobacteria as biofertilizer from the rice field. World Journal of Pharmaceutical Research, 4(3), 1696-1706. </w:t>
      </w:r>
      <w:hyperlink r:id="rId50" w:history="1">
        <w:r w:rsidRPr="00EE5CA3">
          <w:rPr>
            <w:rStyle w:val="Hyperlink"/>
            <w:rFonts w:ascii="Arial" w:eastAsia="Times New Roman" w:hAnsi="Arial" w:cs="Arial"/>
            <w:kern w:val="0"/>
            <w:sz w:val="20"/>
            <w:szCs w:val="20"/>
            <w:lang w:eastAsia="en-IN"/>
            <w14:ligatures w14:val="none"/>
          </w:rPr>
          <w:t>https://www.wjpr.net/download/article/1425090923.pdf</w:t>
        </w:r>
      </w:hyperlink>
    </w:p>
    <w:p w14:paraId="403649A8" w14:textId="77777777" w:rsidR="00EE5CA3" w:rsidRPr="00EE5CA3" w:rsidRDefault="00A24BE3" w:rsidP="00EE5CA3">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EE5CA3">
        <w:rPr>
          <w:rFonts w:ascii="Arial" w:eastAsia="Times New Roman" w:hAnsi="Arial" w:cs="Arial"/>
          <w:color w:val="000000"/>
          <w:sz w:val="20"/>
          <w:szCs w:val="20"/>
          <w:lang w:eastAsia="en-IN"/>
        </w:rPr>
        <w:t xml:space="preserve">Singh, V. K., Singh, S. K., Singh, P. K., Verma, H., Pandey, K. D., Singh, P. K., &amp; Kumar, A. (2020). Impact of pesticides applications on the growth and function of cyanobacteria. In P. K. Singh, A. Kumar, V. K. Singh, &amp; A. K. Shrivistava (Eds.), Advances in Cyanobacterial Biology (pp. 151-162). Academic Press. </w:t>
      </w:r>
      <w:hyperlink r:id="rId51" w:history="1">
        <w:r w:rsidRPr="00EE5CA3">
          <w:rPr>
            <w:rStyle w:val="Hyperlink"/>
            <w:rFonts w:ascii="Arial" w:eastAsia="Times New Roman" w:hAnsi="Arial" w:cs="Arial"/>
            <w:sz w:val="20"/>
            <w:szCs w:val="20"/>
            <w:lang w:eastAsia="en-IN"/>
          </w:rPr>
          <w:t>https://doi.org/10.1016/B978-0-12-819311-2.00010-3</w:t>
        </w:r>
      </w:hyperlink>
      <w:r w:rsidRPr="00EE5CA3">
        <w:rPr>
          <w:rFonts w:ascii="Arial" w:eastAsia="Times New Roman" w:hAnsi="Arial" w:cs="Arial"/>
          <w:color w:val="000000"/>
          <w:sz w:val="20"/>
          <w:szCs w:val="20"/>
          <w:lang w:eastAsia="en-IN"/>
        </w:rPr>
        <w:t xml:space="preserve"> </w:t>
      </w:r>
    </w:p>
    <w:p w14:paraId="70DAB5A3" w14:textId="48034336" w:rsidR="00A24BE3" w:rsidRPr="00EE5CA3" w:rsidRDefault="00A24BE3" w:rsidP="00EE5CA3">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EE5CA3">
        <w:rPr>
          <w:rFonts w:ascii="Arial" w:eastAsia="Times New Roman" w:hAnsi="Arial" w:cs="Arial"/>
          <w:kern w:val="0"/>
          <w:sz w:val="20"/>
          <w:szCs w:val="20"/>
          <w:lang w:eastAsia="en-IN"/>
          <w14:ligatures w14:val="none"/>
        </w:rPr>
        <w:t xml:space="preserve">Singh, D. P., &amp; Khattar, J. I. S. (2011). Chlorpyrifos degradation by the cyanobacterium Synechocystis sp. strain PUPCCC-64: tolerance and biodegradation studies. Environmental Monitoring and Assessment. </w:t>
      </w:r>
      <w:hyperlink r:id="rId52" w:history="1">
        <w:r w:rsidRPr="00EE5CA3">
          <w:rPr>
            <w:rStyle w:val="Hyperlink"/>
            <w:rFonts w:ascii="Arial" w:eastAsia="Times New Roman" w:hAnsi="Arial" w:cs="Arial"/>
            <w:kern w:val="0"/>
            <w:sz w:val="20"/>
            <w:szCs w:val="20"/>
            <w:lang w:eastAsia="en-IN"/>
            <w14:ligatures w14:val="none"/>
          </w:rPr>
          <w:t>https://doi.org/10.1007/s10661-011-2107-</w:t>
        </w:r>
        <w:r w:rsidRPr="00EE5CA3">
          <w:rPr>
            <w:rStyle w:val="Hyperlink"/>
            <w:rFonts w:ascii="Arial" w:hAnsi="Arial" w:cs="Arial"/>
            <w:sz w:val="20"/>
            <w:szCs w:val="20"/>
            <w:lang w:eastAsia="en-IN"/>
          </w:rPr>
          <w:t>1</w:t>
        </w:r>
      </w:hyperlink>
    </w:p>
    <w:p w14:paraId="3F0F85AC" w14:textId="77777777" w:rsidR="00A24BE3" w:rsidRPr="00EE5CA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EE5CA3">
        <w:rPr>
          <w:rFonts w:ascii="Arial" w:hAnsi="Arial" w:cs="Arial"/>
          <w:sz w:val="20"/>
          <w:szCs w:val="20"/>
        </w:rPr>
        <w:t xml:space="preserve">Singh, J. S., Kumar, A., Rai, A. N., &amp; Singh, D. P. (2016). Cyanobacteria: A Precious Bio-resource in Agriculture, Ecosystem, and Environmental Sustainability. Frontiers in Microbiology, 7, 529. </w:t>
      </w:r>
      <w:hyperlink r:id="rId53" w:history="1">
        <w:r w:rsidRPr="00EE5CA3">
          <w:rPr>
            <w:rStyle w:val="Hyperlink"/>
            <w:rFonts w:ascii="Arial" w:hAnsi="Arial" w:cs="Arial"/>
            <w:sz w:val="20"/>
            <w:szCs w:val="20"/>
          </w:rPr>
          <w:t>https://doi.org/10.3389/fmicb.2016.00529</w:t>
        </w:r>
      </w:hyperlink>
      <w:r w:rsidRPr="00EE5CA3">
        <w:rPr>
          <w:rFonts w:ascii="Arial" w:hAnsi="Arial" w:cs="Arial"/>
          <w:sz w:val="20"/>
          <w:szCs w:val="20"/>
        </w:rPr>
        <w:t xml:space="preserve"> </w:t>
      </w:r>
    </w:p>
    <w:p w14:paraId="13E28E04" w14:textId="77777777" w:rsidR="00994C6A" w:rsidRPr="00994C6A" w:rsidRDefault="00994C6A" w:rsidP="00994C6A">
      <w:pPr>
        <w:pStyle w:val="ListParagraph"/>
        <w:numPr>
          <w:ilvl w:val="0"/>
          <w:numId w:val="2"/>
        </w:numPr>
        <w:jc w:val="both"/>
        <w:rPr>
          <w:rFonts w:ascii="Arial" w:eastAsia="Times New Roman" w:hAnsi="Arial" w:cs="Arial"/>
          <w:kern w:val="0"/>
          <w:sz w:val="20"/>
          <w:szCs w:val="20"/>
          <w:lang w:eastAsia="en-IN"/>
          <w14:ligatures w14:val="none"/>
        </w:rPr>
      </w:pPr>
      <w:r w:rsidRPr="00994C6A">
        <w:rPr>
          <w:rFonts w:ascii="Arial" w:eastAsia="Times New Roman" w:hAnsi="Arial" w:cs="Arial"/>
          <w:kern w:val="0"/>
          <w:sz w:val="20"/>
          <w:szCs w:val="20"/>
          <w:lang w:eastAsia="en-IN"/>
          <w14:ligatures w14:val="none"/>
        </w:rPr>
        <w:t>Sun, K. F., Xu, X. R., Duan, S. S., Wang, Y. S., Cheng, H., Zhang, Z. W., ... &amp; Hong, Y. G. (2015). Ecotoxicity of two organophosphate pesticides chlorpyrifos and dichlorvos on non-targeting cyanobacteria Microcystis wesenbergii. </w:t>
      </w:r>
      <w:r w:rsidRPr="00994C6A">
        <w:rPr>
          <w:rFonts w:ascii="Arial" w:eastAsia="Times New Roman" w:hAnsi="Arial" w:cs="Arial"/>
          <w:i/>
          <w:iCs/>
          <w:kern w:val="0"/>
          <w:sz w:val="20"/>
          <w:szCs w:val="20"/>
          <w:lang w:eastAsia="en-IN"/>
          <w14:ligatures w14:val="none"/>
        </w:rPr>
        <w:t>Ecotoxicology</w:t>
      </w:r>
      <w:r w:rsidRPr="00994C6A">
        <w:rPr>
          <w:rFonts w:ascii="Arial" w:eastAsia="Times New Roman" w:hAnsi="Arial" w:cs="Arial"/>
          <w:kern w:val="0"/>
          <w:sz w:val="20"/>
          <w:szCs w:val="20"/>
          <w:lang w:eastAsia="en-IN"/>
          <w14:ligatures w14:val="none"/>
        </w:rPr>
        <w:t>, </w:t>
      </w:r>
      <w:r w:rsidRPr="00994C6A">
        <w:rPr>
          <w:rFonts w:ascii="Arial" w:eastAsia="Times New Roman" w:hAnsi="Arial" w:cs="Arial"/>
          <w:i/>
          <w:iCs/>
          <w:kern w:val="0"/>
          <w:sz w:val="20"/>
          <w:szCs w:val="20"/>
          <w:lang w:eastAsia="en-IN"/>
          <w14:ligatures w14:val="none"/>
        </w:rPr>
        <w:t>24</w:t>
      </w:r>
      <w:r w:rsidRPr="00994C6A">
        <w:rPr>
          <w:rFonts w:ascii="Arial" w:eastAsia="Times New Roman" w:hAnsi="Arial" w:cs="Arial"/>
          <w:kern w:val="0"/>
          <w:sz w:val="20"/>
          <w:szCs w:val="20"/>
          <w:lang w:eastAsia="en-IN"/>
          <w14:ligatures w14:val="none"/>
        </w:rPr>
        <w:t>(7), 1498-1507.</w:t>
      </w:r>
      <w:r>
        <w:rPr>
          <w:rFonts w:ascii="Arial" w:eastAsia="Times New Roman" w:hAnsi="Arial" w:cs="Arial"/>
          <w:kern w:val="0"/>
          <w:sz w:val="20"/>
          <w:szCs w:val="20"/>
          <w:lang w:eastAsia="en-IN"/>
          <w14:ligatures w14:val="none"/>
        </w:rPr>
        <w:t xml:space="preserve"> </w:t>
      </w:r>
      <w:r w:rsidRPr="00994C6A">
        <w:rPr>
          <w:rFonts w:ascii="Arial" w:eastAsia="Times New Roman" w:hAnsi="Arial" w:cs="Arial"/>
          <w:kern w:val="0"/>
          <w:sz w:val="20"/>
          <w:szCs w:val="20"/>
          <w:lang w:eastAsia="en-IN"/>
          <w14:ligatures w14:val="none"/>
        </w:rPr>
        <w:t>DOI: </w:t>
      </w:r>
      <w:hyperlink r:id="rId54" w:tgtFrame="_blank" w:history="1">
        <w:r w:rsidRPr="00994C6A">
          <w:rPr>
            <w:rStyle w:val="Hyperlink"/>
            <w:rFonts w:ascii="Arial" w:eastAsia="Times New Roman" w:hAnsi="Arial" w:cs="Arial"/>
            <w:kern w:val="0"/>
            <w:sz w:val="20"/>
            <w:szCs w:val="20"/>
            <w:lang w:eastAsia="en-IN"/>
            <w14:ligatures w14:val="none"/>
          </w:rPr>
          <w:t>10.1007/s10646-015-1458-0</w:t>
        </w:r>
      </w:hyperlink>
    </w:p>
    <w:p w14:paraId="00E385D1" w14:textId="61251E4E" w:rsidR="00957D96" w:rsidRPr="00EE5CA3" w:rsidRDefault="00957D96"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EE5CA3">
        <w:rPr>
          <w:rFonts w:ascii="Arial" w:eastAsia="Times New Roman" w:hAnsi="Arial" w:cs="Arial"/>
          <w:kern w:val="0"/>
          <w:sz w:val="20"/>
          <w:szCs w:val="20"/>
          <w:lang w:eastAsia="en-IN"/>
          <w14:ligatures w14:val="none"/>
        </w:rPr>
        <w:t xml:space="preserve">Subhashini, D. V., &amp; Kaushik, B. D. (2013). Cyanobacterial biofertilizers for rice crops. </w:t>
      </w:r>
      <w:r w:rsidRPr="00EE5CA3">
        <w:rPr>
          <w:rFonts w:ascii="Arial" w:eastAsia="Times New Roman" w:hAnsi="Arial" w:cs="Arial"/>
          <w:i/>
          <w:iCs/>
          <w:kern w:val="0"/>
          <w:sz w:val="20"/>
          <w:szCs w:val="20"/>
          <w:lang w:eastAsia="en-IN"/>
          <w14:ligatures w14:val="none"/>
        </w:rPr>
        <w:t>Current Science, 105</w:t>
      </w:r>
      <w:r w:rsidRPr="00EE5CA3">
        <w:rPr>
          <w:rFonts w:ascii="Arial" w:eastAsia="Times New Roman" w:hAnsi="Arial" w:cs="Arial"/>
          <w:kern w:val="0"/>
          <w:sz w:val="20"/>
          <w:szCs w:val="20"/>
          <w:lang w:eastAsia="en-IN"/>
          <w14:ligatures w14:val="none"/>
        </w:rPr>
        <w:t>(4), 507–508.</w:t>
      </w:r>
    </w:p>
    <w:p w14:paraId="37331EE6" w14:textId="796687D5" w:rsidR="001E5527" w:rsidRDefault="001E5527"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1E5527">
        <w:rPr>
          <w:rFonts w:ascii="Arial" w:eastAsia="Times New Roman" w:hAnsi="Arial" w:cs="Arial"/>
          <w:kern w:val="0"/>
          <w:sz w:val="20"/>
          <w:szCs w:val="20"/>
          <w:lang w:eastAsia="en-IN"/>
          <w14:ligatures w14:val="none"/>
        </w:rPr>
        <w:t>Tat, T. Q. (2024). Biodegradation of Chlorpyrifos in Paddy Rice Soil in the Mekong Delta, Vietnam. </w:t>
      </w:r>
      <w:r w:rsidRPr="001E5527">
        <w:rPr>
          <w:rFonts w:ascii="Arial" w:eastAsia="Times New Roman" w:hAnsi="Arial" w:cs="Arial"/>
          <w:i/>
          <w:iCs/>
          <w:kern w:val="0"/>
          <w:sz w:val="20"/>
          <w:szCs w:val="20"/>
          <w:lang w:eastAsia="en-IN"/>
          <w14:ligatures w14:val="none"/>
        </w:rPr>
        <w:t>European Journal of Biology</w:t>
      </w:r>
      <w:r w:rsidRPr="001E5527">
        <w:rPr>
          <w:rFonts w:ascii="Arial" w:eastAsia="Times New Roman" w:hAnsi="Arial" w:cs="Arial"/>
          <w:kern w:val="0"/>
          <w:sz w:val="20"/>
          <w:szCs w:val="20"/>
          <w:lang w:eastAsia="en-IN"/>
          <w14:ligatures w14:val="none"/>
        </w:rPr>
        <w:t>, </w:t>
      </w:r>
      <w:r w:rsidRPr="001E5527">
        <w:rPr>
          <w:rFonts w:ascii="Arial" w:eastAsia="Times New Roman" w:hAnsi="Arial" w:cs="Arial"/>
          <w:i/>
          <w:iCs/>
          <w:kern w:val="0"/>
          <w:sz w:val="20"/>
          <w:szCs w:val="20"/>
          <w:lang w:eastAsia="en-IN"/>
          <w14:ligatures w14:val="none"/>
        </w:rPr>
        <w:t>83</w:t>
      </w:r>
      <w:r w:rsidRPr="001E5527">
        <w:rPr>
          <w:rFonts w:ascii="Arial" w:eastAsia="Times New Roman" w:hAnsi="Arial" w:cs="Arial"/>
          <w:kern w:val="0"/>
          <w:sz w:val="20"/>
          <w:szCs w:val="20"/>
          <w:lang w:eastAsia="en-IN"/>
          <w14:ligatures w14:val="none"/>
        </w:rPr>
        <w:t>(2).</w:t>
      </w:r>
      <w:r>
        <w:rPr>
          <w:rFonts w:ascii="Arial" w:eastAsia="Times New Roman" w:hAnsi="Arial" w:cs="Arial"/>
          <w:kern w:val="0"/>
          <w:sz w:val="20"/>
          <w:szCs w:val="20"/>
          <w:lang w:eastAsia="en-IN"/>
          <w14:ligatures w14:val="none"/>
        </w:rPr>
        <w:t xml:space="preserve"> </w:t>
      </w:r>
      <w:proofErr w:type="gramStart"/>
      <w:r w:rsidRPr="001E5527">
        <w:rPr>
          <w:rFonts w:ascii="Arial" w:eastAsia="Times New Roman" w:hAnsi="Arial" w:cs="Arial"/>
          <w:kern w:val="0"/>
          <w:sz w:val="20"/>
          <w:szCs w:val="20"/>
          <w:lang w:eastAsia="en-IN"/>
          <w14:ligatures w14:val="none"/>
        </w:rPr>
        <w:t>DOI :</w:t>
      </w:r>
      <w:proofErr w:type="gramEnd"/>
      <w:hyperlink r:id="rId55" w:history="1">
        <w:r w:rsidRPr="001E5527">
          <w:rPr>
            <w:rStyle w:val="Hyperlink"/>
            <w:rFonts w:ascii="Arial" w:eastAsia="Times New Roman" w:hAnsi="Arial" w:cs="Arial"/>
            <w:kern w:val="0"/>
            <w:sz w:val="20"/>
            <w:szCs w:val="20"/>
            <w:lang w:eastAsia="en-IN"/>
            <w14:ligatures w14:val="none"/>
          </w:rPr>
          <w:t> 10.26650/EurJBiol.2024.1484519 </w:t>
        </w:r>
      </w:hyperlink>
    </w:p>
    <w:p w14:paraId="1DE66CDF" w14:textId="4758DD6B" w:rsidR="00A24BE3" w:rsidRPr="00EE5CA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EE5CA3">
        <w:rPr>
          <w:rFonts w:ascii="Arial" w:eastAsia="Times New Roman" w:hAnsi="Arial" w:cs="Arial"/>
          <w:kern w:val="0"/>
          <w:sz w:val="20"/>
          <w:szCs w:val="20"/>
          <w:lang w:eastAsia="en-IN"/>
          <w14:ligatures w14:val="none"/>
        </w:rPr>
        <w:t xml:space="preserve">Tang, S., Li, Y., Zhu, Z., Wang, Y., Peng, Y., Zhang, J., Nong, P., Pan, S., Fan, Y., &amp; Zhu, Y. (2024). Biotransformation of Chlorpyrifos Shewanella oneidensis MR-1 in the Presence of Goethite: Experimental Optimization and Degradation Products. Toxics, 12(6), 402. </w:t>
      </w:r>
      <w:hyperlink r:id="rId56" w:history="1">
        <w:r w:rsidRPr="00EE5CA3">
          <w:rPr>
            <w:rStyle w:val="Hyperlink"/>
            <w:rFonts w:ascii="Arial" w:eastAsia="Times New Roman" w:hAnsi="Arial" w:cs="Arial"/>
            <w:kern w:val="0"/>
            <w:sz w:val="20"/>
            <w:szCs w:val="20"/>
            <w:lang w:eastAsia="en-IN"/>
            <w14:ligatures w14:val="none"/>
          </w:rPr>
          <w:t>https://doi.org/10.3390/toxics12060402</w:t>
        </w:r>
      </w:hyperlink>
      <w:r w:rsidRPr="00EE5CA3">
        <w:rPr>
          <w:rFonts w:ascii="Arial" w:eastAsia="Times New Roman" w:hAnsi="Arial" w:cs="Arial"/>
          <w:kern w:val="0"/>
          <w:sz w:val="20"/>
          <w:szCs w:val="20"/>
          <w:lang w:eastAsia="en-IN"/>
          <w14:ligatures w14:val="none"/>
        </w:rPr>
        <w:t xml:space="preserve"> </w:t>
      </w:r>
    </w:p>
    <w:p w14:paraId="089DEA06" w14:textId="77777777" w:rsidR="00A24BE3" w:rsidRPr="00EE5CA3" w:rsidRDefault="00A24BE3" w:rsidP="000A2DE2">
      <w:pPr>
        <w:pStyle w:val="ListParagraph"/>
        <w:numPr>
          <w:ilvl w:val="0"/>
          <w:numId w:val="2"/>
        </w:numPr>
        <w:spacing w:after="0" w:line="276" w:lineRule="auto"/>
        <w:jc w:val="both"/>
        <w:rPr>
          <w:rFonts w:ascii="Arial" w:eastAsia="Times New Roman" w:hAnsi="Arial" w:cs="Arial"/>
          <w:color w:val="000000"/>
          <w:sz w:val="20"/>
          <w:szCs w:val="20"/>
          <w:lang w:eastAsia="en-IN"/>
        </w:rPr>
      </w:pPr>
      <w:r w:rsidRPr="00EE5CA3">
        <w:rPr>
          <w:rFonts w:ascii="Arial" w:eastAsia="Times New Roman" w:hAnsi="Arial" w:cs="Arial"/>
          <w:kern w:val="0"/>
          <w:sz w:val="20"/>
          <w:szCs w:val="20"/>
          <w:lang w:eastAsia="en-IN"/>
          <w14:ligatures w14:val="none"/>
        </w:rPr>
        <w:t xml:space="preserve">Tharindi, P. W. M., Balasooriya, W. K., Suganthan, B., &amp; Vivehananthan, K. (2016). Isolation and Identification of Culturable Cyanobacteria from Paddy Soils of the Intermediate Zone of Sri Lanka. Proceedings of the 15th Agricultural Research Symposium. </w:t>
      </w:r>
      <w:hyperlink r:id="rId57" w:history="1">
        <w:r w:rsidRPr="00EE5CA3">
          <w:rPr>
            <w:rStyle w:val="Hyperlink"/>
            <w:rFonts w:ascii="Arial" w:eastAsia="Times New Roman" w:hAnsi="Arial" w:cs="Arial"/>
            <w:kern w:val="0"/>
            <w:sz w:val="20"/>
            <w:szCs w:val="20"/>
            <w:lang w:eastAsia="en-IN"/>
            <w14:ligatures w14:val="none"/>
          </w:rPr>
          <w:t>https://www.researchgate.net/publication/337300000_Isolation_and_Identification_of_Culturable_Cyanobacteria_from_Paddy_Soils_of_the_Intermediate_Zone_of_Sri_Lanka</w:t>
        </w:r>
      </w:hyperlink>
      <w:r w:rsidRPr="00EE5CA3">
        <w:rPr>
          <w:rFonts w:ascii="Arial" w:eastAsia="Times New Roman" w:hAnsi="Arial" w:cs="Arial"/>
          <w:kern w:val="0"/>
          <w:sz w:val="20"/>
          <w:szCs w:val="20"/>
          <w:lang w:eastAsia="en-IN"/>
          <w14:ligatures w14:val="none"/>
        </w:rPr>
        <w:t xml:space="preserve"> </w:t>
      </w:r>
    </w:p>
    <w:p w14:paraId="11E39A35" w14:textId="77777777" w:rsidR="00A24BE3" w:rsidRPr="00EE5CA3" w:rsidRDefault="00A24BE3" w:rsidP="00805BEA">
      <w:pPr>
        <w:pStyle w:val="ListParagraph"/>
        <w:numPr>
          <w:ilvl w:val="0"/>
          <w:numId w:val="2"/>
        </w:numPr>
        <w:spacing w:line="240" w:lineRule="auto"/>
        <w:jc w:val="both"/>
        <w:rPr>
          <w:rFonts w:ascii="Arial" w:hAnsi="Arial" w:cs="Arial"/>
          <w:sz w:val="20"/>
          <w:szCs w:val="20"/>
        </w:rPr>
      </w:pPr>
      <w:r w:rsidRPr="00EE5CA3">
        <w:rPr>
          <w:rFonts w:ascii="Arial" w:eastAsia="Times New Roman" w:hAnsi="Arial" w:cs="Arial"/>
          <w:color w:val="000000"/>
          <w:sz w:val="20"/>
          <w:szCs w:val="20"/>
          <w:lang w:eastAsia="en-IN"/>
        </w:rPr>
        <w:t xml:space="preserve">Vijayan, N. P., Ali, S. H., Madathilkovilakathu, H., &amp; Abdulhameed, S. (2020). Chlorpyrifos-degrading cyanobacterium – Coleofasciculus chthonoplastes isolated from paddy field. International Journal of Environmental Studies, 77(2), 307–317. </w:t>
      </w:r>
      <w:hyperlink r:id="rId58" w:history="1">
        <w:r w:rsidRPr="00EE5CA3">
          <w:rPr>
            <w:rStyle w:val="Hyperlink"/>
            <w:rFonts w:ascii="Arial" w:eastAsia="Times New Roman" w:hAnsi="Arial" w:cs="Arial"/>
            <w:sz w:val="20"/>
            <w:szCs w:val="20"/>
            <w:lang w:eastAsia="en-IN"/>
          </w:rPr>
          <w:t>https://doi.org/10.1080/00207233.2020.1739391</w:t>
        </w:r>
      </w:hyperlink>
      <w:r w:rsidRPr="00EE5CA3">
        <w:rPr>
          <w:rFonts w:ascii="Arial" w:eastAsia="Times New Roman" w:hAnsi="Arial" w:cs="Arial"/>
          <w:color w:val="000000"/>
          <w:sz w:val="20"/>
          <w:szCs w:val="20"/>
          <w:lang w:eastAsia="en-IN"/>
        </w:rPr>
        <w:t xml:space="preserve"> </w:t>
      </w:r>
    </w:p>
    <w:p w14:paraId="1604EC56" w14:textId="3575C0DA" w:rsidR="00957D96" w:rsidRPr="00EE5CA3" w:rsidRDefault="00A24BE3" w:rsidP="00A24BE3">
      <w:pPr>
        <w:pStyle w:val="ListParagraph"/>
        <w:numPr>
          <w:ilvl w:val="0"/>
          <w:numId w:val="2"/>
        </w:numPr>
        <w:spacing w:line="240" w:lineRule="auto"/>
        <w:jc w:val="both"/>
        <w:rPr>
          <w:rFonts w:ascii="Arial" w:hAnsi="Arial" w:cs="Arial"/>
          <w:sz w:val="20"/>
          <w:szCs w:val="20"/>
        </w:rPr>
      </w:pPr>
      <w:r w:rsidRPr="00EE5CA3">
        <w:rPr>
          <w:rFonts w:ascii="Arial" w:hAnsi="Arial" w:cs="Arial"/>
          <w:sz w:val="20"/>
          <w:szCs w:val="20"/>
        </w:rPr>
        <w:t xml:space="preserve">Waday, Y. A., Girma Aklilu, E., Bultum, M. S., Ramayya Ancha, V., &amp; Beyene, D. (2022). Isolation and Characterization of Plant Growth-Promoting Rhizobacteria from Coffee Plantation Soils and Its Influence on Maize Growth. Applied and Environmental Soil Science, 2022, 5115875. </w:t>
      </w:r>
      <w:hyperlink r:id="rId59" w:history="1">
        <w:r w:rsidRPr="00EE5CA3">
          <w:rPr>
            <w:rStyle w:val="Hyperlink"/>
            <w:rFonts w:ascii="Arial" w:hAnsi="Arial" w:cs="Arial"/>
            <w:sz w:val="20"/>
            <w:szCs w:val="20"/>
          </w:rPr>
          <w:t>https://doi.org/10.1155/2022/5115875</w:t>
        </w:r>
      </w:hyperlink>
      <w:r w:rsidRPr="00EE5CA3">
        <w:rPr>
          <w:rFonts w:ascii="Arial" w:hAnsi="Arial" w:cs="Arial"/>
          <w:sz w:val="20"/>
          <w:szCs w:val="20"/>
        </w:rPr>
        <w:t xml:space="preserve"> </w:t>
      </w:r>
    </w:p>
    <w:sectPr w:rsidR="00957D96" w:rsidRPr="00EE5CA3" w:rsidSect="003665FA">
      <w:headerReference w:type="even" r:id="rId60"/>
      <w:headerReference w:type="default" r:id="rId61"/>
      <w:footerReference w:type="even" r:id="rId62"/>
      <w:footerReference w:type="default" r:id="rId63"/>
      <w:headerReference w:type="first" r:id="rId64"/>
      <w:footerReference w:type="first" r:id="rId6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B91AC" w14:textId="77777777" w:rsidR="001D5F6D" w:rsidRDefault="001D5F6D" w:rsidP="002662DD">
      <w:pPr>
        <w:spacing w:after="0" w:line="240" w:lineRule="auto"/>
      </w:pPr>
      <w:r>
        <w:separator/>
      </w:r>
    </w:p>
  </w:endnote>
  <w:endnote w:type="continuationSeparator" w:id="0">
    <w:p w14:paraId="3B348EDB" w14:textId="77777777" w:rsidR="001D5F6D" w:rsidRDefault="001D5F6D" w:rsidP="00266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F487" w14:textId="77777777" w:rsidR="000927A5" w:rsidRDefault="000927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56DCB" w14:textId="77777777" w:rsidR="000927A5" w:rsidRDefault="000927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8903" w14:textId="77777777" w:rsidR="000927A5" w:rsidRDefault="00092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87E19" w14:textId="77777777" w:rsidR="001D5F6D" w:rsidRDefault="001D5F6D" w:rsidP="002662DD">
      <w:pPr>
        <w:spacing w:after="0" w:line="240" w:lineRule="auto"/>
      </w:pPr>
      <w:r>
        <w:separator/>
      </w:r>
    </w:p>
  </w:footnote>
  <w:footnote w:type="continuationSeparator" w:id="0">
    <w:p w14:paraId="183CC11F" w14:textId="77777777" w:rsidR="001D5F6D" w:rsidRDefault="001D5F6D" w:rsidP="002662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C9CCB" w14:textId="24141872" w:rsidR="000927A5" w:rsidRDefault="00000000">
    <w:pPr>
      <w:pStyle w:val="Header"/>
    </w:pPr>
    <w:r>
      <w:rPr>
        <w:noProof/>
      </w:rPr>
      <w:pict w14:anchorId="7C640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067360"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722BD" w14:textId="09AE806D" w:rsidR="000927A5" w:rsidRDefault="00000000">
    <w:pPr>
      <w:pStyle w:val="Header"/>
    </w:pPr>
    <w:r>
      <w:rPr>
        <w:noProof/>
      </w:rPr>
      <w:pict w14:anchorId="7E75D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067361"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57DE" w14:textId="769E1301" w:rsidR="000927A5" w:rsidRDefault="00000000">
    <w:pPr>
      <w:pStyle w:val="Header"/>
    </w:pPr>
    <w:r>
      <w:rPr>
        <w:noProof/>
      </w:rPr>
      <w:pict w14:anchorId="4F512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067359"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BE6A37"/>
    <w:multiLevelType w:val="multilevel"/>
    <w:tmpl w:val="00947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A46F3E"/>
    <w:multiLevelType w:val="hybridMultilevel"/>
    <w:tmpl w:val="6DBE7F44"/>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ADF3D91"/>
    <w:multiLevelType w:val="hybridMultilevel"/>
    <w:tmpl w:val="EEF83AEE"/>
    <w:lvl w:ilvl="0" w:tplc="7C08C52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8743CE4"/>
    <w:multiLevelType w:val="hybridMultilevel"/>
    <w:tmpl w:val="8E40A4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5EA3EFA"/>
    <w:multiLevelType w:val="hybridMultilevel"/>
    <w:tmpl w:val="9216F244"/>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B97083B"/>
    <w:multiLevelType w:val="multilevel"/>
    <w:tmpl w:val="CF86C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AC2919"/>
    <w:multiLevelType w:val="hybridMultilevel"/>
    <w:tmpl w:val="BC7A05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E7A6609"/>
    <w:multiLevelType w:val="multilevel"/>
    <w:tmpl w:val="78B2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1060959">
    <w:abstractNumId w:val="7"/>
  </w:num>
  <w:num w:numId="2" w16cid:durableId="1061637643">
    <w:abstractNumId w:val="6"/>
  </w:num>
  <w:num w:numId="3" w16cid:durableId="806553590">
    <w:abstractNumId w:val="3"/>
  </w:num>
  <w:num w:numId="4" w16cid:durableId="1651207539">
    <w:abstractNumId w:val="4"/>
  </w:num>
  <w:num w:numId="5" w16cid:durableId="1152719147">
    <w:abstractNumId w:val="2"/>
  </w:num>
  <w:num w:numId="6" w16cid:durableId="1591113310">
    <w:abstractNumId w:val="1"/>
  </w:num>
  <w:num w:numId="7" w16cid:durableId="703989164">
    <w:abstractNumId w:val="5"/>
  </w:num>
  <w:num w:numId="8" w16cid:durableId="2127044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5BC"/>
    <w:rsid w:val="0000318C"/>
    <w:rsid w:val="00014B6F"/>
    <w:rsid w:val="00014B73"/>
    <w:rsid w:val="000202C8"/>
    <w:rsid w:val="00027035"/>
    <w:rsid w:val="00045AB9"/>
    <w:rsid w:val="00050C81"/>
    <w:rsid w:val="0005432C"/>
    <w:rsid w:val="00065330"/>
    <w:rsid w:val="00077D9E"/>
    <w:rsid w:val="000827D9"/>
    <w:rsid w:val="00082A08"/>
    <w:rsid w:val="00084D1B"/>
    <w:rsid w:val="000851E4"/>
    <w:rsid w:val="000866F9"/>
    <w:rsid w:val="00091F0C"/>
    <w:rsid w:val="000927A5"/>
    <w:rsid w:val="000A2194"/>
    <w:rsid w:val="000A2DE2"/>
    <w:rsid w:val="000B6919"/>
    <w:rsid w:val="000C2094"/>
    <w:rsid w:val="000D5368"/>
    <w:rsid w:val="000E2E96"/>
    <w:rsid w:val="001146F5"/>
    <w:rsid w:val="001213E2"/>
    <w:rsid w:val="00122693"/>
    <w:rsid w:val="001228F0"/>
    <w:rsid w:val="00123245"/>
    <w:rsid w:val="00124642"/>
    <w:rsid w:val="0012628E"/>
    <w:rsid w:val="00131B2F"/>
    <w:rsid w:val="001743A0"/>
    <w:rsid w:val="001821F1"/>
    <w:rsid w:val="00182D61"/>
    <w:rsid w:val="001876DD"/>
    <w:rsid w:val="00194794"/>
    <w:rsid w:val="001A021F"/>
    <w:rsid w:val="001A449E"/>
    <w:rsid w:val="001A48E1"/>
    <w:rsid w:val="001C3081"/>
    <w:rsid w:val="001D5F6D"/>
    <w:rsid w:val="001E5527"/>
    <w:rsid w:val="001E7162"/>
    <w:rsid w:val="001F4BA7"/>
    <w:rsid w:val="00206278"/>
    <w:rsid w:val="00214D73"/>
    <w:rsid w:val="002229F6"/>
    <w:rsid w:val="002269F0"/>
    <w:rsid w:val="00226B54"/>
    <w:rsid w:val="002326AF"/>
    <w:rsid w:val="002359A6"/>
    <w:rsid w:val="00265273"/>
    <w:rsid w:val="00265C13"/>
    <w:rsid w:val="002662DD"/>
    <w:rsid w:val="0028084E"/>
    <w:rsid w:val="0029221F"/>
    <w:rsid w:val="002A054B"/>
    <w:rsid w:val="002A71A3"/>
    <w:rsid w:val="002B000B"/>
    <w:rsid w:val="002B01C6"/>
    <w:rsid w:val="002B612D"/>
    <w:rsid w:val="002C7202"/>
    <w:rsid w:val="002D08BD"/>
    <w:rsid w:val="002E0215"/>
    <w:rsid w:val="002E1D97"/>
    <w:rsid w:val="002E75B6"/>
    <w:rsid w:val="002F7CD9"/>
    <w:rsid w:val="003103D9"/>
    <w:rsid w:val="003156F1"/>
    <w:rsid w:val="003157F0"/>
    <w:rsid w:val="00324D0D"/>
    <w:rsid w:val="00333F22"/>
    <w:rsid w:val="00334CD1"/>
    <w:rsid w:val="003665FA"/>
    <w:rsid w:val="00383CF3"/>
    <w:rsid w:val="00387AD6"/>
    <w:rsid w:val="003A685B"/>
    <w:rsid w:val="003B0F8B"/>
    <w:rsid w:val="003B7606"/>
    <w:rsid w:val="003B78C5"/>
    <w:rsid w:val="003C6008"/>
    <w:rsid w:val="003E7444"/>
    <w:rsid w:val="003F0680"/>
    <w:rsid w:val="003F59EA"/>
    <w:rsid w:val="00403FEE"/>
    <w:rsid w:val="00421AB0"/>
    <w:rsid w:val="00432130"/>
    <w:rsid w:val="004462B1"/>
    <w:rsid w:val="00456264"/>
    <w:rsid w:val="0048066F"/>
    <w:rsid w:val="00482169"/>
    <w:rsid w:val="00486C0A"/>
    <w:rsid w:val="0049774C"/>
    <w:rsid w:val="004A1863"/>
    <w:rsid w:val="004A4E94"/>
    <w:rsid w:val="004A5C1E"/>
    <w:rsid w:val="004C11DD"/>
    <w:rsid w:val="004C17AC"/>
    <w:rsid w:val="004C1CC1"/>
    <w:rsid w:val="004C2989"/>
    <w:rsid w:val="004D6E2C"/>
    <w:rsid w:val="004E4E4E"/>
    <w:rsid w:val="004F1FA8"/>
    <w:rsid w:val="004F710D"/>
    <w:rsid w:val="00500541"/>
    <w:rsid w:val="00502BD4"/>
    <w:rsid w:val="005172F4"/>
    <w:rsid w:val="00580198"/>
    <w:rsid w:val="00582FC9"/>
    <w:rsid w:val="00584822"/>
    <w:rsid w:val="005A67D8"/>
    <w:rsid w:val="005B313F"/>
    <w:rsid w:val="005B796B"/>
    <w:rsid w:val="005C0FE7"/>
    <w:rsid w:val="005E785C"/>
    <w:rsid w:val="005F0540"/>
    <w:rsid w:val="005F2EC7"/>
    <w:rsid w:val="005F75B8"/>
    <w:rsid w:val="0060108D"/>
    <w:rsid w:val="00621A4E"/>
    <w:rsid w:val="006307BC"/>
    <w:rsid w:val="0063703A"/>
    <w:rsid w:val="0066230D"/>
    <w:rsid w:val="0066543C"/>
    <w:rsid w:val="00681064"/>
    <w:rsid w:val="00684B25"/>
    <w:rsid w:val="00684BCC"/>
    <w:rsid w:val="0068722A"/>
    <w:rsid w:val="006914D4"/>
    <w:rsid w:val="006939F7"/>
    <w:rsid w:val="006A1CA1"/>
    <w:rsid w:val="006B5E07"/>
    <w:rsid w:val="006C23A6"/>
    <w:rsid w:val="006C5C50"/>
    <w:rsid w:val="006C61FE"/>
    <w:rsid w:val="006C7981"/>
    <w:rsid w:val="006D7DAB"/>
    <w:rsid w:val="006E1419"/>
    <w:rsid w:val="006E1CF1"/>
    <w:rsid w:val="006E5B68"/>
    <w:rsid w:val="006F0897"/>
    <w:rsid w:val="006F1E7C"/>
    <w:rsid w:val="0071397E"/>
    <w:rsid w:val="007220FE"/>
    <w:rsid w:val="00725C49"/>
    <w:rsid w:val="00727B69"/>
    <w:rsid w:val="007417CF"/>
    <w:rsid w:val="0074604F"/>
    <w:rsid w:val="0075378A"/>
    <w:rsid w:val="00763855"/>
    <w:rsid w:val="00765405"/>
    <w:rsid w:val="0076684C"/>
    <w:rsid w:val="00773EAA"/>
    <w:rsid w:val="007758F2"/>
    <w:rsid w:val="00780C62"/>
    <w:rsid w:val="0078354A"/>
    <w:rsid w:val="007A5AD7"/>
    <w:rsid w:val="007B64E9"/>
    <w:rsid w:val="007C400F"/>
    <w:rsid w:val="007E1B27"/>
    <w:rsid w:val="007F5DD7"/>
    <w:rsid w:val="007F7D7C"/>
    <w:rsid w:val="00805BEA"/>
    <w:rsid w:val="008205BC"/>
    <w:rsid w:val="00826078"/>
    <w:rsid w:val="008360D7"/>
    <w:rsid w:val="0086290F"/>
    <w:rsid w:val="00874F15"/>
    <w:rsid w:val="008852CC"/>
    <w:rsid w:val="00892AD1"/>
    <w:rsid w:val="008956DF"/>
    <w:rsid w:val="00896F35"/>
    <w:rsid w:val="008A2CAF"/>
    <w:rsid w:val="008A4D48"/>
    <w:rsid w:val="008A65FB"/>
    <w:rsid w:val="008B5AC6"/>
    <w:rsid w:val="008C6F8F"/>
    <w:rsid w:val="008D2061"/>
    <w:rsid w:val="008D2578"/>
    <w:rsid w:val="008D6B3A"/>
    <w:rsid w:val="008E794A"/>
    <w:rsid w:val="009204B6"/>
    <w:rsid w:val="00934F17"/>
    <w:rsid w:val="00941FCF"/>
    <w:rsid w:val="00943732"/>
    <w:rsid w:val="00946D8D"/>
    <w:rsid w:val="0095236C"/>
    <w:rsid w:val="00957D96"/>
    <w:rsid w:val="00960FCD"/>
    <w:rsid w:val="00963186"/>
    <w:rsid w:val="00972B2B"/>
    <w:rsid w:val="00977496"/>
    <w:rsid w:val="00980E4B"/>
    <w:rsid w:val="00994C6A"/>
    <w:rsid w:val="009960C1"/>
    <w:rsid w:val="009A2A85"/>
    <w:rsid w:val="009A7E4E"/>
    <w:rsid w:val="009B38A5"/>
    <w:rsid w:val="009C39F9"/>
    <w:rsid w:val="009C61DA"/>
    <w:rsid w:val="009D23B8"/>
    <w:rsid w:val="009E00C4"/>
    <w:rsid w:val="009E02AB"/>
    <w:rsid w:val="00A04E8E"/>
    <w:rsid w:val="00A07621"/>
    <w:rsid w:val="00A24BE3"/>
    <w:rsid w:val="00A459A2"/>
    <w:rsid w:val="00A50235"/>
    <w:rsid w:val="00A5413A"/>
    <w:rsid w:val="00A72765"/>
    <w:rsid w:val="00A77BFB"/>
    <w:rsid w:val="00AA46BC"/>
    <w:rsid w:val="00AF1CD6"/>
    <w:rsid w:val="00B03354"/>
    <w:rsid w:val="00B24143"/>
    <w:rsid w:val="00B249EF"/>
    <w:rsid w:val="00B301BF"/>
    <w:rsid w:val="00B31E33"/>
    <w:rsid w:val="00B427A6"/>
    <w:rsid w:val="00B62FE2"/>
    <w:rsid w:val="00B7093F"/>
    <w:rsid w:val="00B87BCA"/>
    <w:rsid w:val="00B964DF"/>
    <w:rsid w:val="00BA2217"/>
    <w:rsid w:val="00BA2550"/>
    <w:rsid w:val="00BC12FD"/>
    <w:rsid w:val="00BC46E2"/>
    <w:rsid w:val="00BC5504"/>
    <w:rsid w:val="00BE37A1"/>
    <w:rsid w:val="00BF0225"/>
    <w:rsid w:val="00BF7189"/>
    <w:rsid w:val="00BF729B"/>
    <w:rsid w:val="00C001CD"/>
    <w:rsid w:val="00C11BAE"/>
    <w:rsid w:val="00C35615"/>
    <w:rsid w:val="00C43B80"/>
    <w:rsid w:val="00C54557"/>
    <w:rsid w:val="00C54EB5"/>
    <w:rsid w:val="00C56601"/>
    <w:rsid w:val="00C56E5E"/>
    <w:rsid w:val="00C61DE8"/>
    <w:rsid w:val="00C66A8C"/>
    <w:rsid w:val="00C67BF7"/>
    <w:rsid w:val="00C71054"/>
    <w:rsid w:val="00C85574"/>
    <w:rsid w:val="00C86C88"/>
    <w:rsid w:val="00C870D9"/>
    <w:rsid w:val="00C92866"/>
    <w:rsid w:val="00C95279"/>
    <w:rsid w:val="00C96C2D"/>
    <w:rsid w:val="00CA0D60"/>
    <w:rsid w:val="00CA4C59"/>
    <w:rsid w:val="00CB024A"/>
    <w:rsid w:val="00CC29B6"/>
    <w:rsid w:val="00CE4601"/>
    <w:rsid w:val="00CE49CA"/>
    <w:rsid w:val="00D01C0D"/>
    <w:rsid w:val="00D04E26"/>
    <w:rsid w:val="00D06191"/>
    <w:rsid w:val="00D0753C"/>
    <w:rsid w:val="00D07AB2"/>
    <w:rsid w:val="00D1743C"/>
    <w:rsid w:val="00D25820"/>
    <w:rsid w:val="00D313BA"/>
    <w:rsid w:val="00D40F90"/>
    <w:rsid w:val="00D47FD6"/>
    <w:rsid w:val="00D531AB"/>
    <w:rsid w:val="00D53536"/>
    <w:rsid w:val="00D63AF5"/>
    <w:rsid w:val="00D73130"/>
    <w:rsid w:val="00D825AD"/>
    <w:rsid w:val="00D9152C"/>
    <w:rsid w:val="00DB4D30"/>
    <w:rsid w:val="00DC062C"/>
    <w:rsid w:val="00DC5C5F"/>
    <w:rsid w:val="00DD2845"/>
    <w:rsid w:val="00DD32CE"/>
    <w:rsid w:val="00DE1A5B"/>
    <w:rsid w:val="00DF2DA0"/>
    <w:rsid w:val="00E0433A"/>
    <w:rsid w:val="00E1083D"/>
    <w:rsid w:val="00E20DF9"/>
    <w:rsid w:val="00E3244A"/>
    <w:rsid w:val="00E355AA"/>
    <w:rsid w:val="00E41F31"/>
    <w:rsid w:val="00E45698"/>
    <w:rsid w:val="00E51D07"/>
    <w:rsid w:val="00E67B8C"/>
    <w:rsid w:val="00E77655"/>
    <w:rsid w:val="00E810EE"/>
    <w:rsid w:val="00E81345"/>
    <w:rsid w:val="00E818C9"/>
    <w:rsid w:val="00E8513B"/>
    <w:rsid w:val="00E966C3"/>
    <w:rsid w:val="00EA15AA"/>
    <w:rsid w:val="00EA4A7A"/>
    <w:rsid w:val="00EB4826"/>
    <w:rsid w:val="00ED758D"/>
    <w:rsid w:val="00EE49D4"/>
    <w:rsid w:val="00EE5CA3"/>
    <w:rsid w:val="00EE7F03"/>
    <w:rsid w:val="00F16019"/>
    <w:rsid w:val="00F17225"/>
    <w:rsid w:val="00F3112A"/>
    <w:rsid w:val="00F311E9"/>
    <w:rsid w:val="00F330C7"/>
    <w:rsid w:val="00F41FEE"/>
    <w:rsid w:val="00F532C8"/>
    <w:rsid w:val="00F660D2"/>
    <w:rsid w:val="00F66AA6"/>
    <w:rsid w:val="00F732BB"/>
    <w:rsid w:val="00F907E2"/>
    <w:rsid w:val="00F92401"/>
    <w:rsid w:val="00F94E63"/>
    <w:rsid w:val="00F9709E"/>
    <w:rsid w:val="00FA7FDF"/>
    <w:rsid w:val="00FC3FFB"/>
    <w:rsid w:val="00FD041B"/>
    <w:rsid w:val="00FD6B97"/>
    <w:rsid w:val="00FF374E"/>
    <w:rsid w:val="00FF4530"/>
    <w:rsid w:val="00FF597F"/>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9C4396"/>
  <w15:docId w15:val="{040ABC98-E483-46C3-806C-C7BAC6A7F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05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205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205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05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205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205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05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05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05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05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205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205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205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205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205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05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05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05BC"/>
    <w:rPr>
      <w:rFonts w:eastAsiaTheme="majorEastAsia" w:cstheme="majorBidi"/>
      <w:color w:val="272727" w:themeColor="text1" w:themeTint="D8"/>
    </w:rPr>
  </w:style>
  <w:style w:type="paragraph" w:styleId="Title">
    <w:name w:val="Title"/>
    <w:basedOn w:val="Normal"/>
    <w:next w:val="Normal"/>
    <w:link w:val="TitleChar"/>
    <w:uiPriority w:val="10"/>
    <w:qFormat/>
    <w:rsid w:val="008205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05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05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05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05BC"/>
    <w:pPr>
      <w:spacing w:before="160"/>
      <w:jc w:val="center"/>
    </w:pPr>
    <w:rPr>
      <w:i/>
      <w:iCs/>
      <w:color w:val="404040" w:themeColor="text1" w:themeTint="BF"/>
    </w:rPr>
  </w:style>
  <w:style w:type="character" w:customStyle="1" w:styleId="QuoteChar">
    <w:name w:val="Quote Char"/>
    <w:basedOn w:val="DefaultParagraphFont"/>
    <w:link w:val="Quote"/>
    <w:uiPriority w:val="29"/>
    <w:rsid w:val="008205BC"/>
    <w:rPr>
      <w:i/>
      <w:iCs/>
      <w:color w:val="404040" w:themeColor="text1" w:themeTint="BF"/>
    </w:rPr>
  </w:style>
  <w:style w:type="paragraph" w:styleId="ListParagraph">
    <w:name w:val="List Paragraph"/>
    <w:basedOn w:val="Normal"/>
    <w:uiPriority w:val="34"/>
    <w:qFormat/>
    <w:rsid w:val="008205BC"/>
    <w:pPr>
      <w:ind w:left="720"/>
      <w:contextualSpacing/>
    </w:pPr>
  </w:style>
  <w:style w:type="character" w:styleId="IntenseEmphasis">
    <w:name w:val="Intense Emphasis"/>
    <w:basedOn w:val="DefaultParagraphFont"/>
    <w:uiPriority w:val="21"/>
    <w:qFormat/>
    <w:rsid w:val="008205BC"/>
    <w:rPr>
      <w:i/>
      <w:iCs/>
      <w:color w:val="2F5496" w:themeColor="accent1" w:themeShade="BF"/>
    </w:rPr>
  </w:style>
  <w:style w:type="paragraph" w:styleId="IntenseQuote">
    <w:name w:val="Intense Quote"/>
    <w:basedOn w:val="Normal"/>
    <w:next w:val="Normal"/>
    <w:link w:val="IntenseQuoteChar"/>
    <w:uiPriority w:val="30"/>
    <w:qFormat/>
    <w:rsid w:val="008205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05BC"/>
    <w:rPr>
      <w:i/>
      <w:iCs/>
      <w:color w:val="2F5496" w:themeColor="accent1" w:themeShade="BF"/>
    </w:rPr>
  </w:style>
  <w:style w:type="character" w:styleId="IntenseReference">
    <w:name w:val="Intense Reference"/>
    <w:basedOn w:val="DefaultParagraphFont"/>
    <w:uiPriority w:val="32"/>
    <w:qFormat/>
    <w:rsid w:val="008205BC"/>
    <w:rPr>
      <w:b/>
      <w:bCs/>
      <w:smallCaps/>
      <w:color w:val="2F5496" w:themeColor="accent1" w:themeShade="BF"/>
      <w:spacing w:val="5"/>
    </w:rPr>
  </w:style>
  <w:style w:type="character" w:styleId="Hyperlink">
    <w:name w:val="Hyperlink"/>
    <w:basedOn w:val="DefaultParagraphFont"/>
    <w:uiPriority w:val="99"/>
    <w:unhideWhenUsed/>
    <w:rsid w:val="008205BC"/>
    <w:rPr>
      <w:color w:val="0563C1" w:themeColor="hyperlink"/>
      <w:u w:val="single"/>
    </w:rPr>
  </w:style>
  <w:style w:type="table" w:styleId="TableGrid">
    <w:name w:val="Table Grid"/>
    <w:basedOn w:val="TableNormal"/>
    <w:uiPriority w:val="39"/>
    <w:rsid w:val="002B612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E75B6"/>
    <w:rPr>
      <w:color w:val="605E5C"/>
      <w:shd w:val="clear" w:color="auto" w:fill="E1DFDD"/>
    </w:rPr>
  </w:style>
  <w:style w:type="paragraph" w:styleId="NormalWeb">
    <w:name w:val="Normal (Web)"/>
    <w:basedOn w:val="Normal"/>
    <w:uiPriority w:val="99"/>
    <w:semiHidden/>
    <w:unhideWhenUsed/>
    <w:rsid w:val="000B6919"/>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07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53C"/>
    <w:rPr>
      <w:rFonts w:ascii="Tahoma" w:hAnsi="Tahoma" w:cs="Tahoma"/>
      <w:sz w:val="16"/>
      <w:szCs w:val="16"/>
    </w:rPr>
  </w:style>
  <w:style w:type="paragraph" w:styleId="Header">
    <w:name w:val="header"/>
    <w:basedOn w:val="Normal"/>
    <w:link w:val="HeaderChar"/>
    <w:uiPriority w:val="99"/>
    <w:unhideWhenUsed/>
    <w:rsid w:val="002662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2DD"/>
  </w:style>
  <w:style w:type="paragraph" w:styleId="Footer">
    <w:name w:val="footer"/>
    <w:basedOn w:val="Normal"/>
    <w:link w:val="FooterChar"/>
    <w:uiPriority w:val="99"/>
    <w:unhideWhenUsed/>
    <w:rsid w:val="002662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2DD"/>
  </w:style>
  <w:style w:type="character" w:customStyle="1" w:styleId="UnresolvedMention2">
    <w:name w:val="Unresolved Mention2"/>
    <w:basedOn w:val="DefaultParagraphFont"/>
    <w:uiPriority w:val="99"/>
    <w:semiHidden/>
    <w:unhideWhenUsed/>
    <w:rsid w:val="002662DD"/>
    <w:rPr>
      <w:color w:val="605E5C"/>
      <w:shd w:val="clear" w:color="auto" w:fill="E1DFDD"/>
    </w:rPr>
  </w:style>
  <w:style w:type="character" w:customStyle="1" w:styleId="cf01">
    <w:name w:val="cf01"/>
    <w:basedOn w:val="DefaultParagraphFont"/>
    <w:rsid w:val="00A50235"/>
    <w:rPr>
      <w:rFonts w:ascii="Consolas" w:hAnsi="Consolas" w:hint="default"/>
      <w:sz w:val="22"/>
      <w:szCs w:val="22"/>
    </w:rPr>
  </w:style>
  <w:style w:type="character" w:styleId="UnresolvedMention">
    <w:name w:val="Unresolved Mention"/>
    <w:basedOn w:val="DefaultParagraphFont"/>
    <w:uiPriority w:val="99"/>
    <w:semiHidden/>
    <w:unhideWhenUsed/>
    <w:rsid w:val="00A24BE3"/>
    <w:rPr>
      <w:color w:val="605E5C"/>
      <w:shd w:val="clear" w:color="auto" w:fill="E1DFDD"/>
    </w:rPr>
  </w:style>
  <w:style w:type="paragraph" w:styleId="CommentText">
    <w:name w:val="annotation text"/>
    <w:basedOn w:val="Normal"/>
    <w:link w:val="CommentTextChar"/>
    <w:uiPriority w:val="99"/>
    <w:semiHidden/>
    <w:unhideWhenUsed/>
    <w:rsid w:val="00DE1A5B"/>
    <w:pPr>
      <w:spacing w:line="240" w:lineRule="auto"/>
    </w:pPr>
    <w:rPr>
      <w:sz w:val="20"/>
      <w:szCs w:val="20"/>
    </w:rPr>
  </w:style>
  <w:style w:type="character" w:customStyle="1" w:styleId="CommentTextChar">
    <w:name w:val="Comment Text Char"/>
    <w:basedOn w:val="DefaultParagraphFont"/>
    <w:link w:val="CommentText"/>
    <w:uiPriority w:val="99"/>
    <w:semiHidden/>
    <w:rsid w:val="00DE1A5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chart" Target="charts/chart1.xml"/><Relationship Id="rId34" Type="http://schemas.openxmlformats.org/officeDocument/2006/relationships/hyperlink" Target="https://doi.org/10.3126/ijls.v9i3.12463" TargetMode="External"/><Relationship Id="rId42" Type="http://schemas.openxmlformats.org/officeDocument/2006/relationships/hyperlink" Target="https://doi.org/10.1186/s40643-022-00515-5" TargetMode="External"/><Relationship Id="rId47" Type="http://schemas.openxmlformats.org/officeDocument/2006/relationships/hyperlink" Target="https://doi.org/10.1007/s12088-016-0585-2" TargetMode="External"/><Relationship Id="rId50" Type="http://schemas.openxmlformats.org/officeDocument/2006/relationships/hyperlink" Target="https://www.wjpr.net/download/article/1425090923.pdf" TargetMode="External"/><Relationship Id="rId55" Type="http://schemas.openxmlformats.org/officeDocument/2006/relationships/hyperlink" Target="https://dx.doi.org/10.26650/EurJBiol.2024.1484519" TargetMode="External"/><Relationship Id="rId63"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n.wikipedia.org/wiki/Cyanophyceae" TargetMode="External"/><Relationship Id="rId29" Type="http://schemas.openxmlformats.org/officeDocument/2006/relationships/image" Target="media/image15.jpeg"/><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hyperlink" Target="https://doi.org/10.3390/molecules27031141" TargetMode="External"/><Relationship Id="rId40" Type="http://schemas.openxmlformats.org/officeDocument/2006/relationships/hyperlink" Target="https://doi.org/10.1111/lam.12311" TargetMode="External"/><Relationship Id="rId45" Type="http://schemas.openxmlformats.org/officeDocument/2006/relationships/hyperlink" Target="https://doi.org/10.3389/fmicb.2025.1581725" TargetMode="External"/><Relationship Id="rId53" Type="http://schemas.openxmlformats.org/officeDocument/2006/relationships/hyperlink" Target="https://doi.org/10.3389/fmicb.2016.00529" TargetMode="External"/><Relationship Id="rId58" Type="http://schemas.openxmlformats.org/officeDocument/2006/relationships/hyperlink" Target="https://doi.org/10.1080/00207233.2020.1739391"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image" Target="media/image7.png"/><Relationship Id="rId14" Type="http://schemas.openxmlformats.org/officeDocument/2006/relationships/hyperlink" Target="https://en.wikipedia.org/wiki/Bacteria"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doi.org/10.20546/ijcmas.2018.706.351" TargetMode="External"/><Relationship Id="rId43" Type="http://schemas.openxmlformats.org/officeDocument/2006/relationships/hyperlink" Target="https://doi.org/10.4236/ajps.2020.116055" TargetMode="External"/><Relationship Id="rId48" Type="http://schemas.openxmlformats.org/officeDocument/2006/relationships/hyperlink" Target="https://doi.org/10.1007/s11104-023-06217-x" TargetMode="External"/><Relationship Id="rId56" Type="http://schemas.openxmlformats.org/officeDocument/2006/relationships/hyperlink" Target="https://doi.org/10.3390/toxics12060402" TargetMode="External"/><Relationship Id="rId64"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hyperlink" Target="https://doi.org/10.1016/B978-0-12-819311-2.00010-3"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en.wikipedia.org/wiki/Synechococcales" TargetMode="External"/><Relationship Id="rId25" Type="http://schemas.openxmlformats.org/officeDocument/2006/relationships/chart" Target="charts/chart2.xml"/><Relationship Id="rId33" Type="http://schemas.openxmlformats.org/officeDocument/2006/relationships/hyperlink" Target="https://doi.org/10.15414/jmbfs.2016/17.6.3.956-960" TargetMode="External"/><Relationship Id="rId38" Type="http://schemas.openxmlformats.org/officeDocument/2006/relationships/hyperlink" Target="https://doi.org/10.1186/s12302-014-0029-y" TargetMode="External"/><Relationship Id="rId46" Type="http://schemas.openxmlformats.org/officeDocument/2006/relationships/hyperlink" Target="https://doi.org/10.1016/j.soilbio.2013.05.001" TargetMode="External"/><Relationship Id="rId59" Type="http://schemas.openxmlformats.org/officeDocument/2006/relationships/hyperlink" Target="https://doi.org/10.1155/2022/5115875" TargetMode="External"/><Relationship Id="rId67" Type="http://schemas.openxmlformats.org/officeDocument/2006/relationships/theme" Target="theme/theme1.xml"/><Relationship Id="rId20" Type="http://schemas.openxmlformats.org/officeDocument/2006/relationships/image" Target="media/image8.svg"/><Relationship Id="rId41" Type="http://schemas.openxmlformats.org/officeDocument/2006/relationships/hyperlink" Target="https://doi.org/10.1016/S1002-0160(18)60017-7" TargetMode="External"/><Relationship Id="rId54" Type="http://schemas.openxmlformats.org/officeDocument/2006/relationships/hyperlink" Target="https://doi.org/10.1007/s10646-015-1458-0"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Cyanobacteria"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yperlink" Target="https://he02.tci-thaijo.org/index.php/TIJSAT/article/view/39000" TargetMode="External"/><Relationship Id="rId49" Type="http://schemas.openxmlformats.org/officeDocument/2006/relationships/hyperlink" Target="https://doi.org/10.3390/plants10040643" TargetMode="External"/><Relationship Id="rId57" Type="http://schemas.openxmlformats.org/officeDocument/2006/relationships/hyperlink" Target="https://www.researchgate.net/publication/337300000_Isolation_and_Identification_of_Culturable_Cyanobacteria_from_Paddy_Soils_of_the_Intermediate_Zone_of_Sri_Lanka" TargetMode="External"/><Relationship Id="rId10" Type="http://schemas.openxmlformats.org/officeDocument/2006/relationships/image" Target="media/image4.jpeg"/><Relationship Id="rId31" Type="http://schemas.openxmlformats.org/officeDocument/2006/relationships/image" Target="media/image17.jpeg"/><Relationship Id="rId44" Type="http://schemas.openxmlformats.org/officeDocument/2006/relationships/hyperlink" Target="https://doi.org/10.20546/ijcmas.2020.906.402" TargetMode="External"/><Relationship Id="rId52" Type="http://schemas.openxmlformats.org/officeDocument/2006/relationships/hyperlink" Target="https://doi.org/10.1007/s10661-011-2107-1"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en.wikipedia.org/wiki/Bacteria" TargetMode="External"/><Relationship Id="rId18" Type="http://schemas.openxmlformats.org/officeDocument/2006/relationships/hyperlink" Target="https://en.wikipedia.org/wiki/Leptolyngbyaceae" TargetMode="External"/><Relationship Id="rId39" Type="http://schemas.openxmlformats.org/officeDocument/2006/relationships/hyperlink" Target="https://doi.org/10.1155/2014/39268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Nishant%20Burade\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ishant\Downloads\DP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c:f>
              <c:strCache>
                <c:ptCount val="1"/>
                <c:pt idx="0">
                  <c:v>Control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Sheet1!$C$1:$G$1</c:f>
              <c:strCache>
                <c:ptCount val="5"/>
                <c:pt idx="0">
                  <c:v>Day 0</c:v>
                </c:pt>
                <c:pt idx="1">
                  <c:v>Day 5</c:v>
                </c:pt>
                <c:pt idx="2">
                  <c:v>Day 10</c:v>
                </c:pt>
                <c:pt idx="3">
                  <c:v>Day 15</c:v>
                </c:pt>
                <c:pt idx="4">
                  <c:v>Day 20</c:v>
                </c:pt>
              </c:strCache>
            </c:strRef>
          </c:cat>
          <c:val>
            <c:numRef>
              <c:f>Sheet1!$C$2:$G$2</c:f>
              <c:numCache>
                <c:formatCode>General</c:formatCode>
                <c:ptCount val="5"/>
                <c:pt idx="0">
                  <c:v>7.8E-2</c:v>
                </c:pt>
                <c:pt idx="1">
                  <c:v>8.7999999999999995E-2</c:v>
                </c:pt>
                <c:pt idx="2">
                  <c:v>9.1999999999999998E-2</c:v>
                </c:pt>
                <c:pt idx="3">
                  <c:v>7.3999999999999996E-2</c:v>
                </c:pt>
                <c:pt idx="4">
                  <c:v>7.0000000000000007E-2</c:v>
                </c:pt>
              </c:numCache>
            </c:numRef>
          </c:val>
          <c:smooth val="0"/>
          <c:extLst>
            <c:ext xmlns:c16="http://schemas.microsoft.com/office/drawing/2014/chart" uri="{C3380CC4-5D6E-409C-BE32-E72D297353CC}">
              <c16:uniqueId val="{00000000-E15D-4EE2-BE5C-FC4A4CAE260E}"/>
            </c:ext>
          </c:extLst>
        </c:ser>
        <c:ser>
          <c:idx val="1"/>
          <c:order val="1"/>
          <c:tx>
            <c:strRef>
              <c:f>Sheet1!$B$3</c:f>
              <c:strCache>
                <c:ptCount val="1"/>
                <c:pt idx="0">
                  <c:v>5 ppm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Sheet1!$C$1:$G$1</c:f>
              <c:strCache>
                <c:ptCount val="5"/>
                <c:pt idx="0">
                  <c:v>Day 0</c:v>
                </c:pt>
                <c:pt idx="1">
                  <c:v>Day 5</c:v>
                </c:pt>
                <c:pt idx="2">
                  <c:v>Day 10</c:v>
                </c:pt>
                <c:pt idx="3">
                  <c:v>Day 15</c:v>
                </c:pt>
                <c:pt idx="4">
                  <c:v>Day 20</c:v>
                </c:pt>
              </c:strCache>
            </c:strRef>
          </c:cat>
          <c:val>
            <c:numRef>
              <c:f>Sheet1!$C$3:$G$3</c:f>
              <c:numCache>
                <c:formatCode>General</c:formatCode>
                <c:ptCount val="5"/>
                <c:pt idx="0">
                  <c:v>0.08</c:v>
                </c:pt>
                <c:pt idx="1">
                  <c:v>0.09</c:v>
                </c:pt>
                <c:pt idx="2">
                  <c:v>9.2999999999999999E-2</c:v>
                </c:pt>
                <c:pt idx="3">
                  <c:v>8.7999999999999995E-2</c:v>
                </c:pt>
                <c:pt idx="4">
                  <c:v>6.5000000000000002E-2</c:v>
                </c:pt>
              </c:numCache>
            </c:numRef>
          </c:val>
          <c:smooth val="0"/>
          <c:extLst>
            <c:ext xmlns:c16="http://schemas.microsoft.com/office/drawing/2014/chart" uri="{C3380CC4-5D6E-409C-BE32-E72D297353CC}">
              <c16:uniqueId val="{00000001-E15D-4EE2-BE5C-FC4A4CAE260E}"/>
            </c:ext>
          </c:extLst>
        </c:ser>
        <c:ser>
          <c:idx val="2"/>
          <c:order val="2"/>
          <c:tx>
            <c:strRef>
              <c:f>Sheet1!$B$4</c:f>
              <c:strCache>
                <c:ptCount val="1"/>
                <c:pt idx="0">
                  <c:v>10ppm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Sheet1!$C$1:$G$1</c:f>
              <c:strCache>
                <c:ptCount val="5"/>
                <c:pt idx="0">
                  <c:v>Day 0</c:v>
                </c:pt>
                <c:pt idx="1">
                  <c:v>Day 5</c:v>
                </c:pt>
                <c:pt idx="2">
                  <c:v>Day 10</c:v>
                </c:pt>
                <c:pt idx="3">
                  <c:v>Day 15</c:v>
                </c:pt>
                <c:pt idx="4">
                  <c:v>Day 20</c:v>
                </c:pt>
              </c:strCache>
            </c:strRef>
          </c:cat>
          <c:val>
            <c:numRef>
              <c:f>Sheet1!$C$4:$G$4</c:f>
              <c:numCache>
                <c:formatCode>General</c:formatCode>
                <c:ptCount val="5"/>
                <c:pt idx="0">
                  <c:v>6.9000000000000006E-2</c:v>
                </c:pt>
                <c:pt idx="1">
                  <c:v>7.0000000000000007E-2</c:v>
                </c:pt>
                <c:pt idx="2">
                  <c:v>7.2999999999999995E-2</c:v>
                </c:pt>
                <c:pt idx="3">
                  <c:v>0.09</c:v>
                </c:pt>
                <c:pt idx="4">
                  <c:v>0.10100000000000001</c:v>
                </c:pt>
              </c:numCache>
            </c:numRef>
          </c:val>
          <c:smooth val="0"/>
          <c:extLst>
            <c:ext xmlns:c16="http://schemas.microsoft.com/office/drawing/2014/chart" uri="{C3380CC4-5D6E-409C-BE32-E72D297353CC}">
              <c16:uniqueId val="{00000002-E15D-4EE2-BE5C-FC4A4CAE260E}"/>
            </c:ext>
          </c:extLst>
        </c:ser>
        <c:ser>
          <c:idx val="3"/>
          <c:order val="3"/>
          <c:tx>
            <c:strRef>
              <c:f>Sheet1!$B$5</c:f>
              <c:strCache>
                <c:ptCount val="1"/>
                <c:pt idx="0">
                  <c:v>15 ppm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Sheet1!$C$1:$G$1</c:f>
              <c:strCache>
                <c:ptCount val="5"/>
                <c:pt idx="0">
                  <c:v>Day 0</c:v>
                </c:pt>
                <c:pt idx="1">
                  <c:v>Day 5</c:v>
                </c:pt>
                <c:pt idx="2">
                  <c:v>Day 10</c:v>
                </c:pt>
                <c:pt idx="3">
                  <c:v>Day 15</c:v>
                </c:pt>
                <c:pt idx="4">
                  <c:v>Day 20</c:v>
                </c:pt>
              </c:strCache>
            </c:strRef>
          </c:cat>
          <c:val>
            <c:numRef>
              <c:f>Sheet1!$C$5:$G$5</c:f>
              <c:numCache>
                <c:formatCode>General</c:formatCode>
                <c:ptCount val="5"/>
                <c:pt idx="0">
                  <c:v>0.08</c:v>
                </c:pt>
                <c:pt idx="1">
                  <c:v>0.08</c:v>
                </c:pt>
                <c:pt idx="2">
                  <c:v>0.105</c:v>
                </c:pt>
                <c:pt idx="3">
                  <c:v>7.2999999999999995E-2</c:v>
                </c:pt>
                <c:pt idx="4">
                  <c:v>6.4000000000000001E-2</c:v>
                </c:pt>
              </c:numCache>
            </c:numRef>
          </c:val>
          <c:smooth val="0"/>
          <c:extLst>
            <c:ext xmlns:c16="http://schemas.microsoft.com/office/drawing/2014/chart" uri="{C3380CC4-5D6E-409C-BE32-E72D297353CC}">
              <c16:uniqueId val="{00000003-E15D-4EE2-BE5C-FC4A4CAE260E}"/>
            </c:ext>
          </c:extLst>
        </c:ser>
        <c:ser>
          <c:idx val="4"/>
          <c:order val="4"/>
          <c:tx>
            <c:strRef>
              <c:f>Sheet1!$B$6</c:f>
              <c:strCache>
                <c:ptCount val="1"/>
                <c:pt idx="0">
                  <c:v>20 ppm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Sheet1!$C$1:$G$1</c:f>
              <c:strCache>
                <c:ptCount val="5"/>
                <c:pt idx="0">
                  <c:v>Day 0</c:v>
                </c:pt>
                <c:pt idx="1">
                  <c:v>Day 5</c:v>
                </c:pt>
                <c:pt idx="2">
                  <c:v>Day 10</c:v>
                </c:pt>
                <c:pt idx="3">
                  <c:v>Day 15</c:v>
                </c:pt>
                <c:pt idx="4">
                  <c:v>Day 20</c:v>
                </c:pt>
              </c:strCache>
            </c:strRef>
          </c:cat>
          <c:val>
            <c:numRef>
              <c:f>Sheet1!$C$6:$G$6</c:f>
              <c:numCache>
                <c:formatCode>General</c:formatCode>
                <c:ptCount val="5"/>
                <c:pt idx="0">
                  <c:v>6.4000000000000001E-2</c:v>
                </c:pt>
                <c:pt idx="1">
                  <c:v>6.6000000000000003E-2</c:v>
                </c:pt>
                <c:pt idx="2">
                  <c:v>0.105</c:v>
                </c:pt>
                <c:pt idx="3">
                  <c:v>9.7000000000000003E-2</c:v>
                </c:pt>
                <c:pt idx="4">
                  <c:v>0.126</c:v>
                </c:pt>
              </c:numCache>
            </c:numRef>
          </c:val>
          <c:smooth val="0"/>
          <c:extLst>
            <c:ext xmlns:c16="http://schemas.microsoft.com/office/drawing/2014/chart" uri="{C3380CC4-5D6E-409C-BE32-E72D297353CC}">
              <c16:uniqueId val="{00000004-E15D-4EE2-BE5C-FC4A4CAE260E}"/>
            </c:ext>
          </c:extLst>
        </c:ser>
        <c:dLbls>
          <c:showLegendKey val="0"/>
          <c:showVal val="0"/>
          <c:showCatName val="0"/>
          <c:showSerName val="0"/>
          <c:showPercent val="0"/>
          <c:showBubbleSize val="0"/>
        </c:dLbls>
        <c:marker val="1"/>
        <c:smooth val="0"/>
        <c:axId val="363821312"/>
        <c:axId val="364455424"/>
      </c:lineChart>
      <c:catAx>
        <c:axId val="363821312"/>
        <c:scaling>
          <c:orientation val="minMax"/>
        </c:scaling>
        <c:delete val="0"/>
        <c:axPos val="b"/>
        <c:numFmt formatCode="General" sourceLinked="1"/>
        <c:majorTickMark val="none"/>
        <c:minorTickMark val="none"/>
        <c:tickLblPos val="nextTo"/>
        <c:spPr>
          <a:noFill/>
          <a:ln w="12700"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455424"/>
        <c:crosses val="autoZero"/>
        <c:auto val="1"/>
        <c:lblAlgn val="ctr"/>
        <c:lblOffset val="100"/>
        <c:noMultiLvlLbl val="0"/>
      </c:catAx>
      <c:valAx>
        <c:axId val="364455424"/>
        <c:scaling>
          <c:orientation val="minMax"/>
        </c:scaling>
        <c:delete val="0"/>
        <c:axPos val="l"/>
        <c:numFmt formatCode="General" sourceLinked="1"/>
        <c:majorTickMark val="none"/>
        <c:minorTickMark val="none"/>
        <c:tickLblPos val="nextTo"/>
        <c:spPr>
          <a:noFill/>
          <a:ln w="12700">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821312"/>
        <c:crosses val="autoZero"/>
        <c:crossBetween val="between"/>
      </c:valAx>
      <c:spPr>
        <a:noFill/>
        <a:ln>
          <a:noFill/>
        </a:ln>
        <a:effectLst/>
      </c:spPr>
    </c:plotArea>
    <c:legend>
      <c:legendPos val="b"/>
      <c:layout>
        <c:manualLayout>
          <c:xMode val="edge"/>
          <c:yMode val="edge"/>
          <c:x val="7.466907261592301E-2"/>
          <c:y val="1.4467045785943431E-2"/>
          <c:w val="0.18121741032370953"/>
          <c:h val="0.295718139399241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2537182852144"/>
          <c:y val="5.128205128205128E-2"/>
          <c:w val="0.84684930008748915"/>
          <c:h val="0.74499642090193274"/>
        </c:manualLayout>
      </c:layout>
      <c:lineChart>
        <c:grouping val="standard"/>
        <c:varyColors val="0"/>
        <c:ser>
          <c:idx val="3"/>
          <c:order val="0"/>
          <c:tx>
            <c:strRef>
              <c:f>Sheet1!$E$2</c:f>
              <c:strCache>
                <c:ptCount val="1"/>
                <c:pt idx="0">
                  <c:v>%RSA</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numRef>
              <c:f>Sheet1!$B$3:$B$7</c:f>
              <c:numCache>
                <c:formatCode>General</c:formatCode>
                <c:ptCount val="5"/>
                <c:pt idx="0">
                  <c:v>25</c:v>
                </c:pt>
                <c:pt idx="1">
                  <c:v>50</c:v>
                </c:pt>
                <c:pt idx="2">
                  <c:v>75</c:v>
                </c:pt>
                <c:pt idx="3">
                  <c:v>100</c:v>
                </c:pt>
                <c:pt idx="4">
                  <c:v>125</c:v>
                </c:pt>
              </c:numCache>
            </c:numRef>
          </c:cat>
          <c:val>
            <c:numRef>
              <c:f>Sheet1!$E$3:$E$8</c:f>
              <c:numCache>
                <c:formatCode>General</c:formatCode>
                <c:ptCount val="6"/>
                <c:pt idx="0">
                  <c:v>8.4166666666666607</c:v>
                </c:pt>
                <c:pt idx="1">
                  <c:v>51.5</c:v>
                </c:pt>
                <c:pt idx="2">
                  <c:v>53.0625</c:v>
                </c:pt>
                <c:pt idx="3">
                  <c:v>56.1875</c:v>
                </c:pt>
                <c:pt idx="4">
                  <c:v>59.3125</c:v>
                </c:pt>
              </c:numCache>
            </c:numRef>
          </c:val>
          <c:smooth val="0"/>
          <c:extLst>
            <c:ext xmlns:c16="http://schemas.microsoft.com/office/drawing/2014/chart" uri="{C3380CC4-5D6E-409C-BE32-E72D297353CC}">
              <c16:uniqueId val="{00000000-AD30-4E7A-AB17-4A783FEA31CD}"/>
            </c:ext>
          </c:extLst>
        </c:ser>
        <c:dLbls>
          <c:showLegendKey val="0"/>
          <c:showVal val="0"/>
          <c:showCatName val="0"/>
          <c:showSerName val="0"/>
          <c:showPercent val="0"/>
          <c:showBubbleSize val="0"/>
        </c:dLbls>
        <c:marker val="1"/>
        <c:smooth val="0"/>
        <c:axId val="240719360"/>
        <c:axId val="240726016"/>
      </c:lineChart>
      <c:catAx>
        <c:axId val="240719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dirty="0">
                    <a:solidFill>
                      <a:schemeClr val="tx1"/>
                    </a:solidFill>
                    <a:latin typeface="Arial" panose="020B0604020202020204" pitchFamily="34" charset="0"/>
                    <a:cs typeface="Arial" panose="020B0604020202020204" pitchFamily="34" charset="0"/>
                  </a:rPr>
                  <a:t>Conc.</a:t>
                </a:r>
                <a:r>
                  <a:rPr lang="en-IN" baseline="0" dirty="0">
                    <a:solidFill>
                      <a:schemeClr val="tx1"/>
                    </a:solidFill>
                    <a:latin typeface="Arial" panose="020B0604020202020204" pitchFamily="34" charset="0"/>
                    <a:cs typeface="Arial" panose="020B0604020202020204" pitchFamily="34" charset="0"/>
                  </a:rPr>
                  <a:t> (</a:t>
                </a:r>
                <a:r>
                  <a:rPr lang="en-IN" sz="1000" b="0" i="0" u="none" strike="noStrike" baseline="0" dirty="0">
                    <a:solidFill>
                      <a:schemeClr val="tx1"/>
                    </a:solidFill>
                    <a:effectLst/>
                    <a:latin typeface="Arial" panose="020B0604020202020204" pitchFamily="34" charset="0"/>
                    <a:cs typeface="Arial" panose="020B0604020202020204" pitchFamily="34" charset="0"/>
                  </a:rPr>
                  <a:t>µgml</a:t>
                </a:r>
                <a:r>
                  <a:rPr lang="en-IN" sz="1000" b="0" i="0" u="none" strike="noStrike" baseline="30000" dirty="0">
                    <a:solidFill>
                      <a:schemeClr val="tx1"/>
                    </a:solidFill>
                    <a:effectLst/>
                    <a:latin typeface="Arial" panose="020B0604020202020204" pitchFamily="34" charset="0"/>
                    <a:cs typeface="Arial" panose="020B0604020202020204" pitchFamily="34" charset="0"/>
                  </a:rPr>
                  <a:t>-1</a:t>
                </a:r>
                <a:r>
                  <a:rPr lang="en-IN" baseline="0" dirty="0">
                    <a:solidFill>
                      <a:schemeClr val="tx1"/>
                    </a:solidFill>
                    <a:latin typeface="Arial" panose="020B0604020202020204" pitchFamily="34" charset="0"/>
                    <a:cs typeface="Arial" panose="020B0604020202020204" pitchFamily="34" charset="0"/>
                  </a:rPr>
                  <a:t>)</a:t>
                </a:r>
                <a:endParaRPr lang="en-IN" dirty="0">
                  <a:solidFill>
                    <a:schemeClr val="tx1"/>
                  </a:solidFill>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726016"/>
        <c:crosses val="autoZero"/>
        <c:auto val="1"/>
        <c:lblAlgn val="ctr"/>
        <c:lblOffset val="100"/>
        <c:noMultiLvlLbl val="0"/>
      </c:catAx>
      <c:valAx>
        <c:axId val="2407260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dirty="0">
                    <a:solidFill>
                      <a:schemeClr val="tx1"/>
                    </a:solidFill>
                    <a:latin typeface="Arial" panose="020B0604020202020204" pitchFamily="34" charset="0"/>
                    <a:cs typeface="Arial" panose="020B0604020202020204" pitchFamily="34" charset="0"/>
                  </a:rPr>
                  <a:t>DPPH</a:t>
                </a:r>
                <a:r>
                  <a:rPr lang="en-IN" baseline="0" dirty="0">
                    <a:solidFill>
                      <a:schemeClr val="tx1"/>
                    </a:solidFill>
                    <a:latin typeface="Arial" panose="020B0604020202020204" pitchFamily="34" charset="0"/>
                    <a:cs typeface="Arial" panose="020B0604020202020204" pitchFamily="34" charset="0"/>
                  </a:rPr>
                  <a:t> Scavenging %</a:t>
                </a:r>
                <a:endParaRPr lang="en-IN" dirty="0">
                  <a:solidFill>
                    <a:schemeClr val="tx1"/>
                  </a:solidFill>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719360"/>
        <c:crosses val="autoZero"/>
        <c:crossBetween val="between"/>
      </c:valAx>
      <c:spPr>
        <a:noFill/>
        <a:ln>
          <a:noFill/>
        </a:ln>
        <a:effectLst/>
      </c:spPr>
    </c:plotArea>
    <c:legend>
      <c:legendPos val="r"/>
      <c:layout>
        <c:manualLayout>
          <c:xMode val="edge"/>
          <c:yMode val="edge"/>
          <c:x val="0.6450467539576954"/>
          <c:y val="0.53780717706538195"/>
          <c:w val="0.30217531620188542"/>
          <c:h val="0.211319254682040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6807</Words>
  <Characters>38805</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Nishant Burade</dc:creator>
  <cp:lastModifiedBy>ALOK RAI</cp:lastModifiedBy>
  <cp:revision>2</cp:revision>
  <dcterms:created xsi:type="dcterms:W3CDTF">2025-12-13T16:48:00Z</dcterms:created>
  <dcterms:modified xsi:type="dcterms:W3CDTF">2025-12-13T16:48:00Z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acedaa98-e093-41b4-a686-c245e3493e07</vt:lpwstr>
  </property>
</Properties>
</file>