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2982C" w14:textId="77777777" w:rsidR="00585812" w:rsidRPr="00585812" w:rsidRDefault="00585812" w:rsidP="00585812">
      <w:pPr>
        <w:pStyle w:val="Title"/>
        <w:jc w:val="both"/>
        <w:rPr>
          <w:rFonts w:ascii="Arial" w:hAnsi="Arial" w:cs="Arial"/>
          <w:bCs/>
          <w:i/>
          <w:iCs/>
          <w:color w:val="000000" w:themeColor="text1"/>
          <w:u w:val="single"/>
        </w:rPr>
      </w:pPr>
      <w:r w:rsidRPr="00585812">
        <w:rPr>
          <w:rFonts w:ascii="Arial" w:hAnsi="Arial" w:cs="Arial"/>
          <w:bCs/>
          <w:i/>
          <w:iCs/>
          <w:color w:val="000000" w:themeColor="text1"/>
          <w:u w:val="single"/>
        </w:rPr>
        <w:t>Original Research Article</w:t>
      </w:r>
    </w:p>
    <w:p w14:paraId="158062AE" w14:textId="77777777" w:rsidR="00754C9A" w:rsidRPr="00616CB0" w:rsidRDefault="00754C9A" w:rsidP="00441B6F">
      <w:pPr>
        <w:pStyle w:val="Title"/>
        <w:spacing w:after="0"/>
        <w:jc w:val="both"/>
        <w:rPr>
          <w:rFonts w:ascii="Arial" w:hAnsi="Arial" w:cs="Arial"/>
          <w:color w:val="000000" w:themeColor="text1"/>
        </w:rPr>
      </w:pPr>
    </w:p>
    <w:p w14:paraId="64B520E7" w14:textId="000B6898" w:rsidR="00FE1731" w:rsidRPr="00616CB0" w:rsidRDefault="00FE1731" w:rsidP="00FE1731">
      <w:pPr>
        <w:spacing w:line="360" w:lineRule="auto"/>
        <w:jc w:val="both"/>
        <w:rPr>
          <w:rFonts w:ascii="Arial" w:hAnsi="Arial" w:cs="Arial"/>
          <w:b/>
          <w:bCs/>
          <w:color w:val="000000" w:themeColor="text1"/>
        </w:rPr>
      </w:pPr>
      <w:bookmarkStart w:id="0" w:name="_Hlk216172238"/>
      <w:r w:rsidRPr="00616CB0">
        <w:rPr>
          <w:rFonts w:ascii="Arial" w:hAnsi="Arial" w:cs="Arial"/>
          <w:bCs/>
          <w:iCs/>
          <w:color w:val="000000" w:themeColor="text1"/>
          <w:kern w:val="28"/>
          <w:sz w:val="36"/>
        </w:rPr>
        <w:t xml:space="preserve">Bioactivity of </w:t>
      </w:r>
      <w:r w:rsidRPr="00616CB0">
        <w:rPr>
          <w:rFonts w:ascii="Arial" w:hAnsi="Arial" w:cs="Arial"/>
          <w:bCs/>
          <w:i/>
          <w:color w:val="000000" w:themeColor="text1"/>
          <w:kern w:val="28"/>
          <w:sz w:val="36"/>
        </w:rPr>
        <w:t xml:space="preserve">Cymbopogon </w:t>
      </w:r>
      <w:proofErr w:type="spellStart"/>
      <w:r w:rsidRPr="00616CB0">
        <w:rPr>
          <w:rFonts w:ascii="Arial" w:hAnsi="Arial" w:cs="Arial"/>
          <w:bCs/>
          <w:i/>
          <w:color w:val="000000" w:themeColor="text1"/>
          <w:kern w:val="28"/>
          <w:sz w:val="36"/>
        </w:rPr>
        <w:t>nardus</w:t>
      </w:r>
      <w:proofErr w:type="spellEnd"/>
      <w:r w:rsidRPr="00616CB0">
        <w:rPr>
          <w:rFonts w:ascii="Arial" w:hAnsi="Arial" w:cs="Arial"/>
          <w:bCs/>
          <w:iCs/>
          <w:color w:val="000000" w:themeColor="text1"/>
          <w:kern w:val="28"/>
          <w:sz w:val="36"/>
        </w:rPr>
        <w:t xml:space="preserve"> (L.) Rendle essential oil against rice weevil </w:t>
      </w:r>
      <w:r w:rsidRPr="00616CB0">
        <w:rPr>
          <w:rFonts w:ascii="Arial" w:hAnsi="Arial" w:cs="Arial"/>
          <w:bCs/>
          <w:i/>
          <w:color w:val="000000" w:themeColor="text1"/>
          <w:kern w:val="28"/>
          <w:sz w:val="36"/>
        </w:rPr>
        <w:t>Sitophilus oryzae</w:t>
      </w:r>
      <w:r w:rsidRPr="00616CB0">
        <w:rPr>
          <w:rFonts w:ascii="Arial" w:hAnsi="Arial" w:cs="Arial"/>
          <w:bCs/>
          <w:iCs/>
          <w:color w:val="000000" w:themeColor="text1"/>
          <w:kern w:val="28"/>
          <w:sz w:val="36"/>
        </w:rPr>
        <w:t xml:space="preserve"> (Linnaeus)</w:t>
      </w:r>
      <w:bookmarkStart w:id="1" w:name="_GoBack"/>
      <w:bookmarkEnd w:id="1"/>
    </w:p>
    <w:bookmarkEnd w:id="0"/>
    <w:p w14:paraId="79565931" w14:textId="13BC2DCA" w:rsidR="00163BC4" w:rsidRPr="00616CB0" w:rsidRDefault="00231920" w:rsidP="00441B6F">
      <w:pPr>
        <w:pStyle w:val="Author"/>
        <w:spacing w:line="240" w:lineRule="auto"/>
        <w:rPr>
          <w:rFonts w:ascii="Arial" w:hAnsi="Arial" w:cs="Arial"/>
          <w:bCs/>
          <w:iCs/>
          <w:color w:val="000000" w:themeColor="text1"/>
          <w:kern w:val="28"/>
          <w:sz w:val="36"/>
        </w:rPr>
      </w:pPr>
      <w:r w:rsidRPr="00616CB0">
        <w:rPr>
          <w:rFonts w:ascii="Arial" w:hAnsi="Arial" w:cs="Arial"/>
          <w:bCs/>
          <w:iCs/>
          <w:color w:val="000000" w:themeColor="text1"/>
          <w:kern w:val="28"/>
          <w:sz w:val="36"/>
        </w:rPr>
        <w:t xml:space="preserve"> </w:t>
      </w:r>
    </w:p>
    <w:p w14:paraId="00A89E8C" w14:textId="77777777" w:rsidR="00A258C3" w:rsidRPr="00616CB0" w:rsidRDefault="00A258C3" w:rsidP="00441B6F">
      <w:pPr>
        <w:pStyle w:val="Author"/>
        <w:spacing w:line="240" w:lineRule="auto"/>
        <w:jc w:val="both"/>
        <w:rPr>
          <w:rFonts w:ascii="Arial" w:hAnsi="Arial" w:cs="Arial"/>
          <w:color w:val="000000" w:themeColor="text1"/>
          <w:sz w:val="36"/>
        </w:rPr>
      </w:pPr>
    </w:p>
    <w:p w14:paraId="6BA5819A" w14:textId="77777777" w:rsidR="00B01FCD" w:rsidRPr="00616CB0" w:rsidRDefault="0060083F" w:rsidP="00441B6F">
      <w:pPr>
        <w:pStyle w:val="Copyright"/>
        <w:spacing w:after="0" w:line="240" w:lineRule="auto"/>
        <w:jc w:val="both"/>
        <w:rPr>
          <w:rFonts w:ascii="Arial" w:hAnsi="Arial" w:cs="Arial"/>
          <w:color w:val="000000" w:themeColor="text1"/>
        </w:rPr>
        <w:sectPr w:rsidR="00B01FCD" w:rsidRPr="00616CB0" w:rsidSect="007449F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w14:anchorId="1106BC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16CB0">
        <w:rPr>
          <w:rFonts w:ascii="Arial" w:hAnsi="Arial" w:cs="Arial"/>
          <w:color w:val="000000" w:themeColor="text1"/>
        </w:rPr>
        <w:t>.</w:t>
      </w:r>
    </w:p>
    <w:p w14:paraId="4769E1B6" w14:textId="58577BCE" w:rsidR="00B01FCD" w:rsidRPr="00616CB0" w:rsidRDefault="00B01FCD" w:rsidP="00441B6F">
      <w:pPr>
        <w:pStyle w:val="AbstHead"/>
        <w:spacing w:after="0"/>
        <w:jc w:val="both"/>
        <w:rPr>
          <w:rFonts w:ascii="Arial" w:hAnsi="Arial" w:cs="Arial"/>
          <w:color w:val="000000" w:themeColor="text1"/>
        </w:rPr>
      </w:pPr>
      <w:r w:rsidRPr="00616CB0">
        <w:rPr>
          <w:rFonts w:ascii="Arial" w:hAnsi="Arial" w:cs="Arial"/>
          <w:color w:val="000000" w:themeColor="text1"/>
        </w:rPr>
        <w:t>ABSTRACT</w:t>
      </w:r>
      <w:r w:rsidR="0066510A" w:rsidRPr="00616CB0">
        <w:rPr>
          <w:rFonts w:ascii="Arial" w:hAnsi="Arial" w:cs="Arial"/>
          <w:color w:val="000000" w:themeColor="text1"/>
        </w:rPr>
        <w:t xml:space="preserve"> </w:t>
      </w:r>
    </w:p>
    <w:p w14:paraId="4404EB31" w14:textId="77777777" w:rsidR="00790ADA" w:rsidRPr="00616CB0"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616CB0" w14:paraId="3A6235D0" w14:textId="77777777" w:rsidTr="001E44FE">
        <w:tc>
          <w:tcPr>
            <w:tcW w:w="9576" w:type="dxa"/>
            <w:shd w:val="clear" w:color="auto" w:fill="F2F2F2"/>
          </w:tcPr>
          <w:p w14:paraId="5B508098" w14:textId="7098B380" w:rsidR="00505F06" w:rsidRPr="00616CB0" w:rsidRDefault="008B33E7" w:rsidP="008B33E7">
            <w:pPr>
              <w:spacing w:line="360" w:lineRule="auto"/>
              <w:jc w:val="both"/>
              <w:rPr>
                <w:rFonts w:ascii="Arial" w:hAnsi="Arial" w:cs="Arial"/>
                <w:color w:val="000000" w:themeColor="text1"/>
              </w:rPr>
            </w:pPr>
            <w:r w:rsidRPr="00616CB0">
              <w:rPr>
                <w:rFonts w:ascii="Arial" w:hAnsi="Arial" w:cs="Arial"/>
                <w:color w:val="000000" w:themeColor="text1"/>
              </w:rPr>
              <w:t xml:space="preserve">The rice weevil </w:t>
            </w:r>
            <w:r w:rsidRPr="00616CB0">
              <w:rPr>
                <w:rFonts w:ascii="Arial" w:hAnsi="Arial" w:cs="Arial"/>
                <w:i/>
                <w:iCs/>
                <w:color w:val="000000" w:themeColor="text1"/>
              </w:rPr>
              <w:t>Sitophilus oryzae</w:t>
            </w:r>
            <w:r w:rsidRPr="00616CB0">
              <w:rPr>
                <w:rFonts w:ascii="Arial" w:hAnsi="Arial" w:cs="Arial"/>
                <w:color w:val="000000" w:themeColor="text1"/>
              </w:rPr>
              <w:t xml:space="preserve"> causes direct damage to stored grains of economic importance, resulting in large economic losses. Essential oils can be employed as a safe alternative to harmful chemical pesticides to manage rice weevils, since the chemical constituents of essential oils present a wide range of biological activities. The aim of this work was to evaluate the insecticidal activity of essential oil from </w:t>
            </w:r>
            <w:r w:rsidRPr="00616CB0">
              <w:rPr>
                <w:rFonts w:ascii="Arial" w:hAnsi="Arial" w:cs="Arial"/>
                <w:iCs/>
                <w:color w:val="000000" w:themeColor="text1"/>
              </w:rPr>
              <w:t>citronella</w:t>
            </w:r>
            <w:r w:rsidRPr="00616CB0">
              <w:rPr>
                <w:rFonts w:ascii="Arial" w:hAnsi="Arial" w:cs="Arial"/>
                <w:color w:val="000000" w:themeColor="text1"/>
              </w:rPr>
              <w:t xml:space="preserve">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i/>
                <w:color w:val="000000" w:themeColor="text1"/>
              </w:rPr>
              <w:t>)</w:t>
            </w:r>
            <w:r w:rsidRPr="00616CB0">
              <w:rPr>
                <w:rFonts w:ascii="Arial" w:hAnsi="Arial" w:cs="Arial"/>
                <w:color w:val="000000" w:themeColor="text1"/>
              </w:rPr>
              <w:t xml:space="preserve"> on </w:t>
            </w:r>
            <w:r w:rsidRPr="00616CB0">
              <w:rPr>
                <w:rFonts w:ascii="Arial" w:hAnsi="Arial" w:cs="Arial"/>
                <w:i/>
                <w:iCs/>
                <w:color w:val="000000" w:themeColor="text1"/>
              </w:rPr>
              <w:t xml:space="preserve">S. oryzae </w:t>
            </w:r>
            <w:r w:rsidRPr="00616CB0">
              <w:rPr>
                <w:rFonts w:ascii="Arial" w:hAnsi="Arial" w:cs="Arial"/>
                <w:color w:val="000000" w:themeColor="text1"/>
              </w:rPr>
              <w:t xml:space="preserve">by contact, fumigant and repellent bioassays. This study was conducted at 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iCs/>
                <w:color w:val="000000" w:themeColor="text1"/>
              </w:rPr>
              <w:t>Thiruvananthapuram, Kerala, India</w:t>
            </w:r>
            <w:r w:rsidRPr="00616CB0">
              <w:rPr>
                <w:rFonts w:ascii="Arial" w:hAnsi="Arial" w:cs="Arial"/>
                <w:i/>
                <w:color w:val="000000" w:themeColor="text1"/>
              </w:rPr>
              <w:t xml:space="preserve"> </w:t>
            </w:r>
            <w:r w:rsidRPr="00616CB0">
              <w:rPr>
                <w:rFonts w:ascii="Arial" w:hAnsi="Arial" w:cs="Arial"/>
                <w:color w:val="000000" w:themeColor="text1"/>
              </w:rPr>
              <w:t>during 2024-2025. The essential oil of </w:t>
            </w:r>
            <w:r w:rsidRPr="00616CB0">
              <w:rPr>
                <w:rFonts w:ascii="Arial" w:hAnsi="Arial" w:cs="Arial"/>
                <w:i/>
                <w:color w:val="000000" w:themeColor="text1"/>
              </w:rPr>
              <w:t xml:space="preserve">C.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exhibited acute toxicity against </w:t>
            </w:r>
            <w:r w:rsidRPr="00616CB0">
              <w:rPr>
                <w:rFonts w:ascii="Arial" w:hAnsi="Arial" w:cs="Arial"/>
                <w:i/>
                <w:iCs/>
                <w:color w:val="000000" w:themeColor="text1"/>
              </w:rPr>
              <w:t>S. oryzae</w:t>
            </w:r>
            <w:r w:rsidRPr="00616CB0">
              <w:rPr>
                <w:rFonts w:ascii="Arial" w:hAnsi="Arial" w:cs="Arial"/>
                <w:color w:val="000000" w:themeColor="text1"/>
              </w:rPr>
              <w:t xml:space="preserve"> adults with an LC</w:t>
            </w:r>
            <w:r w:rsidRPr="00616CB0">
              <w:rPr>
                <w:rFonts w:ascii="Arial" w:hAnsi="Arial" w:cs="Arial"/>
                <w:color w:val="000000" w:themeColor="text1"/>
                <w:vertAlign w:val="subscript"/>
              </w:rPr>
              <w:t>50</w:t>
            </w:r>
            <w:r w:rsidRPr="00616CB0">
              <w:rPr>
                <w:rFonts w:ascii="Arial" w:hAnsi="Arial" w:cs="Arial"/>
                <w:color w:val="000000" w:themeColor="text1"/>
              </w:rPr>
              <w:t> value of 116.05 ppm (0.9 µg/cm</w:t>
            </w:r>
            <w:r w:rsidRPr="00616CB0">
              <w:rPr>
                <w:rFonts w:ascii="Arial" w:hAnsi="Arial" w:cs="Arial"/>
                <w:color w:val="000000" w:themeColor="text1"/>
                <w:vertAlign w:val="superscript"/>
              </w:rPr>
              <w:t>2</w:t>
            </w:r>
            <w:r w:rsidRPr="00616CB0">
              <w:rPr>
                <w:rFonts w:ascii="Arial" w:hAnsi="Arial" w:cs="Arial"/>
                <w:color w:val="000000" w:themeColor="text1"/>
              </w:rPr>
              <w:t>), 16.40 ppm (0.1 µg/cm</w:t>
            </w:r>
            <w:r w:rsidRPr="00616CB0">
              <w:rPr>
                <w:rFonts w:ascii="Arial" w:hAnsi="Arial" w:cs="Arial"/>
                <w:color w:val="000000" w:themeColor="text1"/>
                <w:vertAlign w:val="superscript"/>
              </w:rPr>
              <w:t>2</w:t>
            </w:r>
            <w:r w:rsidRPr="00616CB0">
              <w:rPr>
                <w:rFonts w:ascii="Arial" w:hAnsi="Arial" w:cs="Arial"/>
                <w:color w:val="000000" w:themeColor="text1"/>
              </w:rPr>
              <w:t>), and 4.24 ppm (0.034 µg/cm</w:t>
            </w:r>
            <w:r w:rsidRPr="00616CB0">
              <w:rPr>
                <w:rFonts w:ascii="Arial" w:hAnsi="Arial" w:cs="Arial"/>
                <w:color w:val="000000" w:themeColor="text1"/>
                <w:vertAlign w:val="superscript"/>
              </w:rPr>
              <w:t>2</w:t>
            </w:r>
            <w:r w:rsidRPr="00616CB0">
              <w:rPr>
                <w:rFonts w:ascii="Arial" w:hAnsi="Arial" w:cs="Arial"/>
                <w:color w:val="000000" w:themeColor="text1"/>
              </w:rPr>
              <w:t>) after 12, 24, and 48 hours in the contact toxicity bioassay. Whereas the essential oil showed a good fumigant effect with an LC</w:t>
            </w:r>
            <w:r w:rsidRPr="00616CB0">
              <w:rPr>
                <w:rFonts w:ascii="Arial" w:hAnsi="Arial" w:cs="Arial"/>
                <w:color w:val="000000" w:themeColor="text1"/>
                <w:vertAlign w:val="subscript"/>
              </w:rPr>
              <w:t>50</w:t>
            </w:r>
            <w:r w:rsidRPr="00616CB0">
              <w:rPr>
                <w:rFonts w:ascii="Arial" w:hAnsi="Arial" w:cs="Arial"/>
                <w:color w:val="000000" w:themeColor="text1"/>
              </w:rPr>
              <w:t> value of 154.86, 71.97, and 19.18 µLL</w:t>
            </w:r>
            <w:r w:rsidRPr="00616CB0">
              <w:rPr>
                <w:rFonts w:ascii="Arial" w:hAnsi="Arial" w:cs="Arial"/>
                <w:color w:val="000000" w:themeColor="text1"/>
                <w:vertAlign w:val="superscript"/>
              </w:rPr>
              <w:t>-1</w:t>
            </w:r>
            <w:r w:rsidRPr="00616CB0">
              <w:rPr>
                <w:rFonts w:ascii="Arial" w:hAnsi="Arial" w:cs="Arial"/>
                <w:color w:val="000000" w:themeColor="text1"/>
              </w:rPr>
              <w:t xml:space="preserve"> air after 12, 24, and 48 hours. The essential oil exhibited strong repellent activity against the test insect at a concentration of 300 ppm after 15 minutes. The obtained results indicate that the citronella essential oil has the potential to be developed as a safe and effective alternative for controlling rice weevils, which will decrease the harmful effects and risk of synthetic insecticides on human beings.</w:t>
            </w:r>
          </w:p>
        </w:tc>
      </w:tr>
    </w:tbl>
    <w:p w14:paraId="64B74A4C" w14:textId="77777777" w:rsidR="00636EB2" w:rsidRPr="00616CB0" w:rsidRDefault="00636EB2" w:rsidP="00441B6F">
      <w:pPr>
        <w:pStyle w:val="Body"/>
        <w:spacing w:after="0"/>
        <w:rPr>
          <w:rFonts w:ascii="Arial" w:hAnsi="Arial" w:cs="Arial"/>
          <w:i/>
          <w:color w:val="000000" w:themeColor="text1"/>
        </w:rPr>
      </w:pPr>
    </w:p>
    <w:p w14:paraId="66AA285D" w14:textId="0502D834" w:rsidR="00A24E7E" w:rsidRPr="00616CB0" w:rsidRDefault="00A24E7E" w:rsidP="00441B6F">
      <w:pPr>
        <w:pStyle w:val="Body"/>
        <w:spacing w:after="0"/>
        <w:rPr>
          <w:rFonts w:ascii="Arial" w:hAnsi="Arial" w:cs="Arial"/>
          <w:i/>
          <w:color w:val="000000" w:themeColor="text1"/>
        </w:rPr>
      </w:pPr>
      <w:r w:rsidRPr="00616CB0">
        <w:rPr>
          <w:rFonts w:ascii="Arial" w:hAnsi="Arial" w:cs="Arial"/>
          <w:i/>
          <w:color w:val="000000" w:themeColor="text1"/>
        </w:rPr>
        <w:t xml:space="preserve">Keywords: </w:t>
      </w:r>
      <w:r w:rsidR="006D62B9" w:rsidRPr="00616CB0">
        <w:rPr>
          <w:rFonts w:ascii="Arial" w:hAnsi="Arial" w:cs="Arial"/>
          <w:i/>
          <w:iCs/>
          <w:color w:val="000000" w:themeColor="text1"/>
        </w:rPr>
        <w:t>Essential oil; citronella; mortality; LC</w:t>
      </w:r>
      <w:r w:rsidR="006D62B9" w:rsidRPr="00616CB0">
        <w:rPr>
          <w:rFonts w:ascii="Arial" w:hAnsi="Arial" w:cs="Arial"/>
          <w:i/>
          <w:iCs/>
          <w:color w:val="000000" w:themeColor="text1"/>
          <w:vertAlign w:val="subscript"/>
        </w:rPr>
        <w:t>50</w:t>
      </w:r>
      <w:r w:rsidR="006D62B9" w:rsidRPr="00616CB0">
        <w:rPr>
          <w:rFonts w:ascii="Arial" w:hAnsi="Arial" w:cs="Arial"/>
          <w:i/>
          <w:iCs/>
          <w:color w:val="000000" w:themeColor="text1"/>
        </w:rPr>
        <w:t>; repellency; rice weevil</w:t>
      </w:r>
      <w:r w:rsidR="006D62B9" w:rsidRPr="00616CB0">
        <w:rPr>
          <w:rFonts w:ascii="Arial" w:hAnsi="Arial" w:cs="Arial"/>
          <w:i/>
          <w:color w:val="000000" w:themeColor="text1"/>
        </w:rPr>
        <w:t xml:space="preserve"> </w:t>
      </w:r>
    </w:p>
    <w:p w14:paraId="28DB6110" w14:textId="77777777" w:rsidR="00790ADA" w:rsidRPr="00616CB0" w:rsidRDefault="00790ADA" w:rsidP="00441B6F">
      <w:pPr>
        <w:pStyle w:val="Body"/>
        <w:spacing w:after="0"/>
        <w:rPr>
          <w:rFonts w:ascii="Arial" w:hAnsi="Arial" w:cs="Arial"/>
          <w:i/>
          <w:color w:val="000000" w:themeColor="text1"/>
        </w:rPr>
      </w:pPr>
    </w:p>
    <w:p w14:paraId="1853F8FA" w14:textId="39114835" w:rsidR="00B52896" w:rsidRPr="00616CB0" w:rsidRDefault="00B52896" w:rsidP="00D90D41">
      <w:pPr>
        <w:pStyle w:val="Body"/>
        <w:spacing w:after="0"/>
        <w:rPr>
          <w:rFonts w:ascii="Arial" w:hAnsi="Arial" w:cs="Arial"/>
          <w:i/>
          <w:color w:val="000000" w:themeColor="text1"/>
          <w:sz w:val="18"/>
        </w:rPr>
      </w:pPr>
    </w:p>
    <w:p w14:paraId="12A6B758" w14:textId="77777777" w:rsidR="0024282C" w:rsidRPr="00616CB0" w:rsidRDefault="0024282C" w:rsidP="00441B6F">
      <w:pPr>
        <w:pStyle w:val="Body"/>
        <w:spacing w:after="0"/>
        <w:rPr>
          <w:rFonts w:ascii="Arial" w:hAnsi="Arial" w:cs="Arial"/>
          <w:i/>
          <w:color w:val="000000" w:themeColor="text1"/>
          <w:sz w:val="18"/>
        </w:rPr>
      </w:pPr>
    </w:p>
    <w:p w14:paraId="20D45528" w14:textId="77777777" w:rsidR="00505F06" w:rsidRPr="00616CB0" w:rsidRDefault="00505F06" w:rsidP="00441B6F">
      <w:pPr>
        <w:pStyle w:val="Body"/>
        <w:spacing w:after="0"/>
        <w:rPr>
          <w:rFonts w:ascii="Arial" w:hAnsi="Arial" w:cs="Arial"/>
          <w:i/>
          <w:color w:val="000000" w:themeColor="text1"/>
        </w:rPr>
      </w:pPr>
    </w:p>
    <w:p w14:paraId="0CD39D20" w14:textId="74D29137" w:rsidR="007F7B32" w:rsidRPr="00616CB0" w:rsidRDefault="00902823" w:rsidP="00441B6F">
      <w:pPr>
        <w:pStyle w:val="AbstHead"/>
        <w:spacing w:after="0"/>
        <w:jc w:val="both"/>
        <w:rPr>
          <w:rFonts w:ascii="Arial" w:hAnsi="Arial" w:cs="Arial"/>
          <w:color w:val="000000" w:themeColor="text1"/>
        </w:rPr>
      </w:pPr>
      <w:r w:rsidRPr="00616CB0">
        <w:rPr>
          <w:rFonts w:ascii="Arial" w:hAnsi="Arial" w:cs="Arial"/>
          <w:color w:val="000000" w:themeColor="text1"/>
        </w:rPr>
        <w:t xml:space="preserve">1. </w:t>
      </w:r>
      <w:r w:rsidR="00B01FCD" w:rsidRPr="00616CB0">
        <w:rPr>
          <w:rFonts w:ascii="Arial" w:hAnsi="Arial" w:cs="Arial"/>
          <w:color w:val="000000" w:themeColor="text1"/>
        </w:rPr>
        <w:t>INTRODUCTION</w:t>
      </w:r>
      <w:r w:rsidR="007F7B32" w:rsidRPr="00616CB0">
        <w:rPr>
          <w:rFonts w:ascii="Arial" w:hAnsi="Arial" w:cs="Arial"/>
          <w:color w:val="000000" w:themeColor="text1"/>
        </w:rPr>
        <w:t xml:space="preserve"> </w:t>
      </w:r>
    </w:p>
    <w:p w14:paraId="2D3F93F1" w14:textId="77777777" w:rsidR="00790ADA" w:rsidRPr="00616CB0" w:rsidRDefault="00790ADA" w:rsidP="00441B6F">
      <w:pPr>
        <w:pStyle w:val="AbstHead"/>
        <w:spacing w:after="0"/>
        <w:jc w:val="both"/>
        <w:rPr>
          <w:rFonts w:ascii="Arial" w:hAnsi="Arial" w:cs="Arial"/>
          <w:color w:val="000000" w:themeColor="text1"/>
        </w:rPr>
      </w:pPr>
    </w:p>
    <w:p w14:paraId="6B7D1793" w14:textId="03CDCA61"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Rice (</w:t>
      </w:r>
      <w:r w:rsidRPr="00616CB0">
        <w:rPr>
          <w:rFonts w:ascii="Arial" w:hAnsi="Arial" w:cs="Arial"/>
          <w:i/>
          <w:iCs/>
          <w:color w:val="000000" w:themeColor="text1"/>
        </w:rPr>
        <w:t>Oryza sativa</w:t>
      </w:r>
      <w:r w:rsidRPr="00616CB0">
        <w:rPr>
          <w:rFonts w:ascii="Arial" w:hAnsi="Arial" w:cs="Arial"/>
          <w:color w:val="000000" w:themeColor="text1"/>
        </w:rPr>
        <w:t xml:space="preserve">) is a vital crop that provides food for almost half the globe and also serves as a staple food for around 3.5 billion people. Rice provides around 21% of human calorie needs overall, while it meets 76% of the calorie requirements of the Southeast Asian population (Zhao et al., 2020). </w:t>
      </w:r>
    </w:p>
    <w:p w14:paraId="38FE6394"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lastRenderedPageBreak/>
        <w:t xml:space="preserve">The human population is projected to reach 9 billion by 2050. The population explosion leads to more food demand; agricultural production will need to increase up to 70-100% by 2050 to meet this. However, around 30% of global food production, which equates to 1.3 billion </w:t>
      </w:r>
      <w:proofErr w:type="spellStart"/>
      <w:r w:rsidRPr="00616CB0">
        <w:rPr>
          <w:rFonts w:ascii="Arial" w:hAnsi="Arial" w:cs="Arial"/>
          <w:color w:val="000000" w:themeColor="text1"/>
        </w:rPr>
        <w:t>tonnes</w:t>
      </w:r>
      <w:proofErr w:type="spellEnd"/>
      <w:r w:rsidRPr="00616CB0">
        <w:rPr>
          <w:rFonts w:ascii="Arial" w:hAnsi="Arial" w:cs="Arial"/>
          <w:color w:val="000000" w:themeColor="text1"/>
        </w:rPr>
        <w:t xml:space="preserve"> of food, is lost due to post-harvest loss (FAO, 2016; FAO 2017). </w:t>
      </w:r>
    </w:p>
    <w:p w14:paraId="123F044D"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Post-harvest losses can be caused by biotic factors like insects, fungi, rodents and abiotic factors like moisture, temperature, humidity, etc. One of the major post-harvest losses is due to insect damage. The insect pests caused 21.3 per cent damage to cereal crops after the Green Revolution in India, which was a 15.9 per cent increase in loss compared to the pre-Green Revolution era (Kumar and Jakhar, 2018). Preventing the losses due to insect damage is essential for food security. Greater emphasis must be placed on the identification and proper management of the stored product insects to achieve the goal of reducing post-harvest losses.</w:t>
      </w:r>
    </w:p>
    <w:p w14:paraId="1694C828"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 xml:space="preserve">Among the insect orders that infest stored rice, Coleoptera, encompassing beetles and weevils, is important. Both the larval and adult stages of them attack stored products, thus making them the most damaging insects. These insects will cause a reduction in the quality of the stored products through the deposition of dead bodies, cast skins, excreta and webbings, which further leads to foul smell, </w:t>
      </w:r>
      <w:proofErr w:type="spellStart"/>
      <w:r w:rsidRPr="00616CB0">
        <w:rPr>
          <w:rFonts w:ascii="Arial" w:hAnsi="Arial" w:cs="Arial"/>
          <w:color w:val="000000" w:themeColor="text1"/>
        </w:rPr>
        <w:t>discolouration</w:t>
      </w:r>
      <w:proofErr w:type="spellEnd"/>
      <w:r w:rsidRPr="00616CB0">
        <w:rPr>
          <w:rFonts w:ascii="Arial" w:hAnsi="Arial" w:cs="Arial"/>
          <w:color w:val="000000" w:themeColor="text1"/>
        </w:rPr>
        <w:t>, and altered taste, along with loss in quantity of stored products. Severely infested grains will become unfit for consumption. A significant stored product pest, the rice weevil, infests the grains from the field and is followed by storage (Patil et al., 2019).</w:t>
      </w:r>
    </w:p>
    <w:p w14:paraId="64CF5343" w14:textId="3EE0B0DD"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The rice weevil</w:t>
      </w:r>
      <w:r w:rsidRPr="00616CB0">
        <w:rPr>
          <w:rFonts w:ascii="Arial" w:hAnsi="Arial" w:cs="Arial"/>
          <w:i/>
          <w:color w:val="000000" w:themeColor="text1"/>
        </w:rPr>
        <w:t xml:space="preserve"> Sitophilus oryzae</w:t>
      </w:r>
      <w:r w:rsidRPr="00616CB0">
        <w:rPr>
          <w:rFonts w:ascii="Arial" w:hAnsi="Arial" w:cs="Arial"/>
          <w:color w:val="000000" w:themeColor="text1"/>
        </w:rPr>
        <w:t xml:space="preserve"> </w:t>
      </w:r>
      <w:r w:rsidRPr="00616CB0">
        <w:rPr>
          <w:rFonts w:ascii="Arial" w:hAnsi="Arial" w:cs="Arial"/>
          <w:color w:val="000000" w:themeColor="text1"/>
          <w:shd w:val="clear" w:color="auto" w:fill="FAFAFA"/>
        </w:rPr>
        <w:t>(Linnaeus)</w:t>
      </w:r>
      <w:r w:rsidRPr="00616CB0">
        <w:rPr>
          <w:rFonts w:ascii="Arial" w:hAnsi="Arial" w:cs="Arial"/>
          <w:color w:val="000000" w:themeColor="text1"/>
        </w:rPr>
        <w:t xml:space="preserve"> (Curculionidae: Coleoptera) is one of the primary insects that infest stored grains (insect that damage sound grains as internal feeders) which causes both quantitative and qualitative losses. Rice weevils are small, reddish brown to chocolate-colored weevils having characteristic snout with slightly clubbed elbowed antennae. Symptoms and Nature of damage of rice weevil include presence of irregular holes of 1 to 1.5 mm diameter on rice kernels. </w:t>
      </w:r>
      <w:r w:rsidR="00D442D7">
        <w:rPr>
          <w:rFonts w:ascii="Arial" w:hAnsi="Arial" w:cs="Arial"/>
          <w:color w:val="000000" w:themeColor="text1"/>
        </w:rPr>
        <w:t>“</w:t>
      </w:r>
      <w:r w:rsidRPr="00616CB0">
        <w:rPr>
          <w:rFonts w:ascii="Arial" w:hAnsi="Arial" w:cs="Arial"/>
          <w:color w:val="000000" w:themeColor="text1"/>
        </w:rPr>
        <w:t>Grains are hollowed out; kernels are reduced to mere powder. Adults cut circular holes. Heating takes place during heavy infestation, which is known as 'dry heating'</w:t>
      </w:r>
      <w:r w:rsidR="00D442D7">
        <w:rPr>
          <w:rFonts w:ascii="Arial" w:hAnsi="Arial" w:cs="Arial"/>
          <w:color w:val="000000" w:themeColor="text1"/>
        </w:rPr>
        <w:t>”</w:t>
      </w:r>
      <w:r w:rsidRPr="00616CB0">
        <w:rPr>
          <w:rFonts w:ascii="Arial" w:hAnsi="Arial" w:cs="Arial"/>
          <w:color w:val="000000" w:themeColor="text1"/>
        </w:rPr>
        <w:t xml:space="preserve"> (Patil et al., 2019).</w:t>
      </w:r>
    </w:p>
    <w:p w14:paraId="7ED27848" w14:textId="7E07AAF1" w:rsidR="00016B12" w:rsidRPr="00616CB0" w:rsidRDefault="00D442D7" w:rsidP="00DC5BA2">
      <w:pPr>
        <w:spacing w:after="240"/>
        <w:jc w:val="both"/>
        <w:rPr>
          <w:rFonts w:ascii="Arial" w:hAnsi="Arial" w:cs="Arial"/>
          <w:color w:val="000000" w:themeColor="text1"/>
        </w:rPr>
      </w:pPr>
      <w:r>
        <w:rPr>
          <w:rFonts w:ascii="Arial" w:hAnsi="Arial" w:cs="Arial"/>
          <w:color w:val="000000" w:themeColor="text1"/>
        </w:rPr>
        <w:t>“</w:t>
      </w:r>
      <w:r w:rsidR="00016B12" w:rsidRPr="00616CB0">
        <w:rPr>
          <w:rFonts w:ascii="Arial" w:hAnsi="Arial" w:cs="Arial"/>
          <w:color w:val="000000" w:themeColor="text1"/>
        </w:rPr>
        <w:t>From ancient times to the present day, the use of pesticides such as insecticides has become an essential and strictly necessary agricultural component in order to minimize post-harvest losses</w:t>
      </w:r>
      <w:r>
        <w:rPr>
          <w:rFonts w:ascii="Arial" w:hAnsi="Arial" w:cs="Arial"/>
          <w:color w:val="000000" w:themeColor="text1"/>
        </w:rPr>
        <w:t>”</w:t>
      </w:r>
      <w:r w:rsidR="00016B12" w:rsidRPr="00616CB0">
        <w:rPr>
          <w:rFonts w:ascii="Arial" w:hAnsi="Arial" w:cs="Arial"/>
          <w:color w:val="000000" w:themeColor="text1"/>
        </w:rPr>
        <w:t xml:space="preserve"> (</w:t>
      </w:r>
      <w:proofErr w:type="spellStart"/>
      <w:r w:rsidR="00016B12" w:rsidRPr="00616CB0">
        <w:rPr>
          <w:rFonts w:ascii="Arial" w:hAnsi="Arial" w:cs="Arial"/>
          <w:color w:val="000000" w:themeColor="text1"/>
        </w:rPr>
        <w:t>Rano</w:t>
      </w:r>
      <w:proofErr w:type="spellEnd"/>
      <w:r w:rsidR="00016B12" w:rsidRPr="00616CB0">
        <w:rPr>
          <w:rFonts w:ascii="Arial" w:hAnsi="Arial" w:cs="Arial"/>
          <w:color w:val="000000" w:themeColor="text1"/>
        </w:rPr>
        <w:t xml:space="preserve"> and Singh, 2020).</w:t>
      </w:r>
      <w:r w:rsidR="00DC5BA2" w:rsidRPr="00616CB0">
        <w:rPr>
          <w:rFonts w:ascii="Arial" w:hAnsi="Arial" w:cs="Arial"/>
          <w:color w:val="000000" w:themeColor="text1"/>
        </w:rPr>
        <w:t xml:space="preserve"> </w:t>
      </w:r>
      <w:r>
        <w:rPr>
          <w:rFonts w:ascii="Arial" w:hAnsi="Arial" w:cs="Arial"/>
          <w:color w:val="000000" w:themeColor="text1"/>
        </w:rPr>
        <w:t>“</w:t>
      </w:r>
      <w:r w:rsidR="00016B12" w:rsidRPr="00616CB0">
        <w:rPr>
          <w:rFonts w:ascii="Arial" w:hAnsi="Arial" w:cs="Arial"/>
          <w:color w:val="000000" w:themeColor="text1"/>
        </w:rPr>
        <w:t>The extensive use of synthetic insecticides has led to the emergence of several problems like ecosystem disruption, water contamination, biodiversity deterioration, and insect resistance</w:t>
      </w:r>
      <w:r>
        <w:rPr>
          <w:rFonts w:ascii="Arial" w:hAnsi="Arial" w:cs="Arial"/>
          <w:color w:val="000000" w:themeColor="text1"/>
        </w:rPr>
        <w:t>”</w:t>
      </w:r>
      <w:r w:rsidR="00016B12" w:rsidRPr="00616CB0">
        <w:rPr>
          <w:rFonts w:ascii="Arial" w:hAnsi="Arial" w:cs="Arial"/>
          <w:color w:val="000000" w:themeColor="text1"/>
        </w:rPr>
        <w:t xml:space="preserve"> (</w:t>
      </w:r>
      <w:proofErr w:type="spellStart"/>
      <w:r w:rsidR="00016B12" w:rsidRPr="00616CB0">
        <w:rPr>
          <w:rFonts w:ascii="Arial" w:hAnsi="Arial" w:cs="Arial"/>
          <w:color w:val="000000" w:themeColor="text1"/>
        </w:rPr>
        <w:t>Chagnon</w:t>
      </w:r>
      <w:proofErr w:type="spellEnd"/>
      <w:r w:rsidR="00016B12" w:rsidRPr="00616CB0">
        <w:rPr>
          <w:rFonts w:ascii="Arial" w:hAnsi="Arial" w:cs="Arial"/>
          <w:color w:val="000000" w:themeColor="text1"/>
        </w:rPr>
        <w:t xml:space="preserve"> et al., 2014; Stehle and Schulz., 2015; Omar et al., 2024). </w:t>
      </w:r>
      <w:r>
        <w:rPr>
          <w:rFonts w:ascii="Arial" w:hAnsi="Arial" w:cs="Arial"/>
          <w:color w:val="000000" w:themeColor="text1"/>
        </w:rPr>
        <w:t>“</w:t>
      </w:r>
      <w:r w:rsidR="00016B12" w:rsidRPr="00616CB0">
        <w:rPr>
          <w:rFonts w:ascii="Arial" w:hAnsi="Arial" w:cs="Arial"/>
          <w:color w:val="000000" w:themeColor="text1"/>
        </w:rPr>
        <w:t>Consumers demand for synthetic chemical-free products and due to severely restrictive government regulatory on synthetic insecticides, researchers turn back to botanical methods for pests’ management. Among these rising insects-controlling agents, biopesticide has been considered as a promising alternative to synthetic pesticides, for its generally more-selective and less-polluting properties</w:t>
      </w:r>
      <w:r>
        <w:rPr>
          <w:rFonts w:ascii="Arial" w:hAnsi="Arial" w:cs="Arial"/>
          <w:color w:val="000000" w:themeColor="text1"/>
        </w:rPr>
        <w:t>”</w:t>
      </w:r>
      <w:r w:rsidR="00016B12" w:rsidRPr="00616CB0">
        <w:rPr>
          <w:rFonts w:ascii="Arial" w:hAnsi="Arial" w:cs="Arial"/>
          <w:color w:val="000000" w:themeColor="text1"/>
        </w:rPr>
        <w:t xml:space="preserve"> (</w:t>
      </w:r>
      <w:proofErr w:type="spellStart"/>
      <w:r w:rsidR="00016B12" w:rsidRPr="00616CB0">
        <w:rPr>
          <w:rFonts w:ascii="Arial" w:hAnsi="Arial" w:cs="Arial"/>
          <w:color w:val="000000" w:themeColor="text1"/>
        </w:rPr>
        <w:t>Isman</w:t>
      </w:r>
      <w:proofErr w:type="spellEnd"/>
      <w:r w:rsidR="00016B12" w:rsidRPr="00616CB0">
        <w:rPr>
          <w:rFonts w:ascii="Arial" w:hAnsi="Arial" w:cs="Arial"/>
          <w:color w:val="000000" w:themeColor="text1"/>
        </w:rPr>
        <w:t>, 2006; Cantrell et al.</w:t>
      </w:r>
      <w:r w:rsidR="00016B12" w:rsidRPr="00616CB0">
        <w:rPr>
          <w:rFonts w:ascii="Arial" w:hAnsi="Arial" w:cs="Arial"/>
          <w:i/>
          <w:iCs/>
          <w:color w:val="000000" w:themeColor="text1"/>
        </w:rPr>
        <w:t>,</w:t>
      </w:r>
      <w:r w:rsidR="00016B12" w:rsidRPr="00616CB0">
        <w:rPr>
          <w:rFonts w:ascii="Arial" w:hAnsi="Arial" w:cs="Arial"/>
          <w:color w:val="000000" w:themeColor="text1"/>
        </w:rPr>
        <w:t> 2012)</w:t>
      </w:r>
    </w:p>
    <w:p w14:paraId="6B5D5B64" w14:textId="0DB0375B" w:rsidR="00016B12" w:rsidRPr="00616CB0" w:rsidRDefault="00D442D7" w:rsidP="00DC5BA2">
      <w:pPr>
        <w:spacing w:after="240"/>
        <w:jc w:val="both"/>
        <w:rPr>
          <w:rFonts w:ascii="Arial" w:hAnsi="Arial" w:cs="Arial"/>
          <w:color w:val="000000" w:themeColor="text1"/>
        </w:rPr>
      </w:pPr>
      <w:r>
        <w:rPr>
          <w:rFonts w:ascii="Arial" w:hAnsi="Arial" w:cs="Arial"/>
          <w:color w:val="000000" w:themeColor="text1"/>
        </w:rPr>
        <w:t>“</w:t>
      </w:r>
      <w:r w:rsidR="00016B12" w:rsidRPr="00616CB0">
        <w:rPr>
          <w:rFonts w:ascii="Arial" w:hAnsi="Arial" w:cs="Arial"/>
          <w:color w:val="000000" w:themeColor="text1"/>
        </w:rPr>
        <w:t>Among the botanicals, essential oils are gaining popularity as pest control agents. Evidence now exists that essential oils alter the nervous and locomotor activities of insects. They are target specific and may affect the various systems of the insect pests. This may generally do no or less harm to mammals including humans when compared to chemical insect pests, therefore they can be deployed as relatively safer molecules to reign in the devastating pests and reduce economic losses. They are cost-effective, available throughout the year, non-persistent in the environment, and vertebrate or non-target toxicity is minimal in comparison with chemical pesticides</w:t>
      </w:r>
      <w:r>
        <w:rPr>
          <w:rFonts w:ascii="Arial" w:hAnsi="Arial" w:cs="Arial"/>
          <w:color w:val="000000" w:themeColor="text1"/>
        </w:rPr>
        <w:t>”</w:t>
      </w:r>
      <w:r w:rsidR="00016B12" w:rsidRPr="00616CB0">
        <w:rPr>
          <w:rFonts w:ascii="Arial" w:hAnsi="Arial" w:cs="Arial"/>
          <w:color w:val="000000" w:themeColor="text1"/>
        </w:rPr>
        <w:t xml:space="preserve"> (Jyotsna et al., 2024).  </w:t>
      </w:r>
    </w:p>
    <w:p w14:paraId="7787ECA8" w14:textId="143AA3D1" w:rsidR="00016B12" w:rsidRPr="00616CB0" w:rsidRDefault="00D442D7" w:rsidP="00DC5BA2">
      <w:pPr>
        <w:spacing w:after="240"/>
        <w:jc w:val="both"/>
        <w:rPr>
          <w:rFonts w:ascii="Arial" w:hAnsi="Arial" w:cs="Arial"/>
          <w:b/>
          <w:bCs/>
          <w:color w:val="000000" w:themeColor="text1"/>
        </w:rPr>
      </w:pPr>
      <w:r>
        <w:rPr>
          <w:rFonts w:ascii="Arial" w:hAnsi="Arial" w:cs="Arial"/>
          <w:color w:val="000000" w:themeColor="text1"/>
        </w:rPr>
        <w:t>“</w:t>
      </w:r>
      <w:r w:rsidR="00016B12" w:rsidRPr="00616CB0">
        <w:rPr>
          <w:rFonts w:ascii="Arial" w:hAnsi="Arial" w:cs="Arial"/>
          <w:color w:val="000000" w:themeColor="text1"/>
        </w:rPr>
        <w:t xml:space="preserve">Citronella grass </w:t>
      </w:r>
      <w:r w:rsidR="00016B12" w:rsidRPr="00616CB0">
        <w:rPr>
          <w:rFonts w:ascii="Arial" w:hAnsi="Arial" w:cs="Arial"/>
          <w:i/>
          <w:iCs/>
          <w:color w:val="000000" w:themeColor="text1"/>
        </w:rPr>
        <w:t xml:space="preserve">Cymbopogon </w:t>
      </w:r>
      <w:proofErr w:type="spellStart"/>
      <w:r w:rsidR="00016B12" w:rsidRPr="00616CB0">
        <w:rPr>
          <w:rFonts w:ascii="Arial" w:hAnsi="Arial" w:cs="Arial"/>
          <w:i/>
          <w:iCs/>
          <w:color w:val="000000" w:themeColor="text1"/>
        </w:rPr>
        <w:t>nardus</w:t>
      </w:r>
      <w:proofErr w:type="spellEnd"/>
      <w:r w:rsidR="00016B12" w:rsidRPr="00616CB0">
        <w:rPr>
          <w:rFonts w:ascii="Arial" w:hAnsi="Arial" w:cs="Arial"/>
          <w:color w:val="000000" w:themeColor="text1"/>
        </w:rPr>
        <w:t xml:space="preserve"> grow to about 2 m (6.6 ft) and have magenta-colored base stems. They are used for the production of Citronella essential oil, which is used in soaps, as an insect repellent (especially mosquitoes) in insect sprays and candles, and in aromatherapy. Citronella essential oil is an effective and toxic botanical which can be employed against stored-product insects</w:t>
      </w:r>
      <w:r>
        <w:rPr>
          <w:rFonts w:ascii="Arial" w:hAnsi="Arial" w:cs="Arial"/>
          <w:color w:val="000000" w:themeColor="text1"/>
        </w:rPr>
        <w:t>”</w:t>
      </w:r>
      <w:r w:rsidR="00016B12" w:rsidRPr="00616CB0">
        <w:rPr>
          <w:rFonts w:ascii="Arial" w:hAnsi="Arial" w:cs="Arial"/>
          <w:color w:val="000000" w:themeColor="text1"/>
        </w:rPr>
        <w:t xml:space="preserve"> (</w:t>
      </w:r>
      <w:bookmarkStart w:id="2" w:name="bbib13"/>
      <w:proofErr w:type="spellStart"/>
      <w:r w:rsidR="00016B12" w:rsidRPr="00616CB0">
        <w:rPr>
          <w:rFonts w:ascii="Arial" w:hAnsi="Arial" w:cs="Arial"/>
          <w:color w:val="000000" w:themeColor="text1"/>
        </w:rPr>
        <w:t>Papulwar</w:t>
      </w:r>
      <w:proofErr w:type="spellEnd"/>
      <w:r w:rsidR="00016B12" w:rsidRPr="00616CB0">
        <w:rPr>
          <w:rFonts w:ascii="Arial" w:hAnsi="Arial" w:cs="Arial"/>
          <w:color w:val="000000" w:themeColor="text1"/>
        </w:rPr>
        <w:t xml:space="preserve"> et al., 2018; </w:t>
      </w:r>
      <w:proofErr w:type="spellStart"/>
      <w:r w:rsidR="00016B12" w:rsidRPr="00616CB0">
        <w:rPr>
          <w:rFonts w:ascii="Arial" w:hAnsi="Arial" w:cs="Arial"/>
          <w:color w:val="000000" w:themeColor="text1"/>
        </w:rPr>
        <w:t>Francikowski</w:t>
      </w:r>
      <w:proofErr w:type="spellEnd"/>
      <w:r w:rsidR="00016B12" w:rsidRPr="00616CB0">
        <w:rPr>
          <w:rFonts w:ascii="Arial" w:hAnsi="Arial" w:cs="Arial"/>
          <w:color w:val="000000" w:themeColor="text1"/>
        </w:rPr>
        <w:t xml:space="preserve"> et al., 2019</w:t>
      </w:r>
      <w:bookmarkEnd w:id="2"/>
      <w:r w:rsidR="00016B12" w:rsidRPr="00616CB0">
        <w:rPr>
          <w:rFonts w:ascii="Arial" w:hAnsi="Arial" w:cs="Arial"/>
          <w:color w:val="000000" w:themeColor="text1"/>
        </w:rPr>
        <w:t>).</w:t>
      </w:r>
      <w:r w:rsidR="00016B12" w:rsidRPr="00616CB0">
        <w:rPr>
          <w:rFonts w:ascii="Arial" w:hAnsi="Arial" w:cs="Arial"/>
          <w:color w:val="000000" w:themeColor="text1"/>
          <w:shd w:val="clear" w:color="auto" w:fill="FFFFFF"/>
        </w:rPr>
        <w:t xml:space="preserve"> </w:t>
      </w:r>
    </w:p>
    <w:p w14:paraId="348EE770" w14:textId="77777777" w:rsidR="00016B12" w:rsidRPr="00616CB0" w:rsidRDefault="00016B12" w:rsidP="00DC5BA2">
      <w:pPr>
        <w:spacing w:after="240"/>
        <w:jc w:val="both"/>
        <w:rPr>
          <w:rFonts w:ascii="Arial" w:hAnsi="Arial" w:cs="Arial"/>
          <w:color w:val="000000" w:themeColor="text1"/>
        </w:rPr>
      </w:pPr>
      <w:r w:rsidRPr="00616CB0">
        <w:rPr>
          <w:rFonts w:ascii="Arial" w:hAnsi="Arial" w:cs="Arial"/>
          <w:color w:val="000000" w:themeColor="text1"/>
        </w:rPr>
        <w:t xml:space="preserve">In the present investigation, the effectiveness of </w:t>
      </w:r>
      <w:r w:rsidRPr="00616CB0">
        <w:rPr>
          <w:rFonts w:ascii="Arial" w:hAnsi="Arial" w:cs="Arial"/>
          <w:iCs/>
          <w:color w:val="000000" w:themeColor="text1"/>
        </w:rPr>
        <w:t>citronella</w:t>
      </w:r>
      <w:r w:rsidRPr="00616CB0">
        <w:rPr>
          <w:rFonts w:ascii="Arial" w:hAnsi="Arial" w:cs="Arial"/>
          <w:color w:val="000000" w:themeColor="text1"/>
        </w:rPr>
        <w:t xml:space="preserve"> essential oil was evaluated as an ecofriendly insecticide for controlling the rice weevil by contact, fumigant and repellent bioassays at three different times intervals. </w:t>
      </w:r>
    </w:p>
    <w:p w14:paraId="387CAE19" w14:textId="77777777" w:rsidR="00790ADA" w:rsidRPr="00616CB0" w:rsidRDefault="00790ADA" w:rsidP="00441B6F">
      <w:pPr>
        <w:pStyle w:val="Body"/>
        <w:spacing w:after="0"/>
        <w:rPr>
          <w:rFonts w:ascii="Arial" w:hAnsi="Arial" w:cs="Arial"/>
          <w:color w:val="000000" w:themeColor="text1"/>
        </w:rPr>
      </w:pPr>
    </w:p>
    <w:p w14:paraId="1C958F29" w14:textId="39BB4DFA" w:rsidR="00790ADA" w:rsidRPr="00616CB0" w:rsidRDefault="00902823" w:rsidP="002C5D95">
      <w:pPr>
        <w:pStyle w:val="AbstHead"/>
        <w:spacing w:after="0"/>
        <w:jc w:val="both"/>
        <w:rPr>
          <w:rFonts w:ascii="Arial" w:hAnsi="Arial" w:cs="Arial"/>
          <w:color w:val="000000" w:themeColor="text1"/>
        </w:rPr>
      </w:pPr>
      <w:r w:rsidRPr="00616CB0">
        <w:rPr>
          <w:rFonts w:ascii="Arial" w:hAnsi="Arial" w:cs="Arial"/>
          <w:color w:val="000000" w:themeColor="text1"/>
        </w:rPr>
        <w:t>2. material and method</w:t>
      </w:r>
      <w:r w:rsidR="00000F8F" w:rsidRPr="00616CB0">
        <w:rPr>
          <w:rFonts w:ascii="Arial" w:hAnsi="Arial" w:cs="Arial"/>
          <w:color w:val="000000" w:themeColor="text1"/>
        </w:rPr>
        <w:t xml:space="preserve">s </w:t>
      </w:r>
    </w:p>
    <w:p w14:paraId="04F8DC5F" w14:textId="77777777" w:rsidR="001212E4" w:rsidRPr="00616CB0" w:rsidRDefault="00AA74E0" w:rsidP="001212E4">
      <w:pPr>
        <w:pStyle w:val="Body"/>
        <w:spacing w:after="0" w:line="360" w:lineRule="auto"/>
        <w:rPr>
          <w:rFonts w:ascii="Arial" w:eastAsia="Arial" w:hAnsi="Arial" w:cs="Arial"/>
          <w:b/>
          <w:color w:val="000000" w:themeColor="text1"/>
          <w:sz w:val="22"/>
          <w:szCs w:val="22"/>
          <w:u w:color="000000"/>
          <w:bdr w:val="nil"/>
          <w:lang w:eastAsia="en-IN"/>
        </w:rPr>
      </w:pPr>
      <w:r w:rsidRPr="00616CB0">
        <w:rPr>
          <w:rFonts w:ascii="Arial" w:hAnsi="Arial" w:cs="Arial"/>
          <w:b/>
          <w:caps/>
          <w:color w:val="000000" w:themeColor="text1"/>
          <w:sz w:val="22"/>
          <w:szCs w:val="22"/>
        </w:rPr>
        <w:t xml:space="preserve">2.1 </w:t>
      </w:r>
      <w:r w:rsidR="001212E4" w:rsidRPr="00616CB0">
        <w:rPr>
          <w:rFonts w:ascii="Arial" w:eastAsia="Arial Unicode MS" w:hAnsi="Arial" w:cs="Arial"/>
          <w:b/>
          <w:color w:val="000000" w:themeColor="text1"/>
          <w:sz w:val="22"/>
          <w:szCs w:val="22"/>
          <w:u w:color="000000"/>
          <w:bdr w:val="nil"/>
          <w:lang w:eastAsia="en-IN"/>
        </w:rPr>
        <w:t>Procurement and Maintenance of Essential oil and Test insect</w:t>
      </w:r>
    </w:p>
    <w:p w14:paraId="003BD888" w14:textId="26EFCE2B" w:rsidR="001212E4" w:rsidRPr="00616CB0" w:rsidRDefault="00D30CF4" w:rsidP="00E52D8B">
      <w:pPr>
        <w:spacing w:after="240"/>
        <w:jc w:val="both"/>
        <w:rPr>
          <w:rFonts w:ascii="Arial" w:hAnsi="Arial" w:cs="Arial"/>
          <w:color w:val="000000" w:themeColor="text1"/>
        </w:rPr>
      </w:pPr>
      <w:r w:rsidRPr="00616CB0">
        <w:rPr>
          <w:rFonts w:ascii="Arial" w:hAnsi="Arial" w:cs="Arial"/>
          <w:color w:val="000000" w:themeColor="text1"/>
        </w:rPr>
        <w:t xml:space="preserve">Steam distilled </w:t>
      </w:r>
      <w:r w:rsidRPr="00616CB0">
        <w:rPr>
          <w:rFonts w:ascii="Arial" w:hAnsi="Arial" w:cs="Arial"/>
          <w:iCs/>
          <w:color w:val="000000" w:themeColor="text1"/>
        </w:rPr>
        <w:t xml:space="preserve">Citronella </w:t>
      </w:r>
      <w:r w:rsidRPr="00616CB0">
        <w:rPr>
          <w:rFonts w:ascii="Arial" w:hAnsi="Arial" w:cs="Arial"/>
          <w:color w:val="000000" w:themeColor="text1"/>
        </w:rPr>
        <w:t>oil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i/>
          <w:color w:val="000000" w:themeColor="text1"/>
        </w:rPr>
        <w:t>)</w:t>
      </w:r>
      <w:r w:rsidRPr="00616CB0">
        <w:rPr>
          <w:rFonts w:ascii="Arial" w:hAnsi="Arial" w:cs="Arial"/>
          <w:color w:val="000000" w:themeColor="text1"/>
        </w:rPr>
        <w:t xml:space="preserve"> was sourced from </w:t>
      </w:r>
      <w:proofErr w:type="spellStart"/>
      <w:r w:rsidRPr="00616CB0">
        <w:rPr>
          <w:rFonts w:ascii="Arial" w:hAnsi="Arial" w:cs="Arial"/>
          <w:color w:val="000000" w:themeColor="text1"/>
        </w:rPr>
        <w:t>Synthite</w:t>
      </w:r>
      <w:proofErr w:type="spellEnd"/>
      <w:r w:rsidRPr="00616CB0">
        <w:rPr>
          <w:rFonts w:ascii="Arial" w:hAnsi="Arial" w:cs="Arial"/>
          <w:color w:val="000000" w:themeColor="text1"/>
        </w:rPr>
        <w:t xml:space="preserve"> Industries Private Limited (Cochin, Kerala, India). Essential oil was stored at 4ºC. Lab culture of the test insect</w:t>
      </w:r>
      <w:r w:rsidRPr="00616CB0">
        <w:rPr>
          <w:rFonts w:ascii="Arial" w:hAnsi="Arial" w:cs="Arial"/>
          <w:i/>
          <w:color w:val="000000" w:themeColor="text1"/>
        </w:rPr>
        <w:t xml:space="preserve"> </w:t>
      </w:r>
      <w:r w:rsidRPr="00616CB0">
        <w:rPr>
          <w:rFonts w:ascii="Arial" w:hAnsi="Arial" w:cs="Arial"/>
          <w:color w:val="000000" w:themeColor="text1"/>
        </w:rPr>
        <w:t xml:space="preserve">rice weevil </w:t>
      </w:r>
      <w:r w:rsidRPr="00616CB0">
        <w:rPr>
          <w:rFonts w:ascii="Arial" w:hAnsi="Arial" w:cs="Arial"/>
          <w:i/>
          <w:color w:val="000000" w:themeColor="text1"/>
        </w:rPr>
        <w:t>S. oryzae</w:t>
      </w:r>
      <w:r w:rsidRPr="00616CB0">
        <w:rPr>
          <w:rFonts w:ascii="Arial" w:hAnsi="Arial" w:cs="Arial"/>
          <w:color w:val="000000" w:themeColor="text1"/>
        </w:rPr>
        <w:t xml:space="preserve"> was obtained from the Department of Agricultural Entomology, College of Agriculture, </w:t>
      </w:r>
      <w:proofErr w:type="spellStart"/>
      <w:r w:rsidRPr="00616CB0">
        <w:rPr>
          <w:rFonts w:ascii="Arial" w:hAnsi="Arial" w:cs="Arial"/>
          <w:color w:val="000000" w:themeColor="text1"/>
        </w:rPr>
        <w:t>Vellayani</w:t>
      </w:r>
      <w:proofErr w:type="spellEnd"/>
      <w:r w:rsidRPr="00616CB0">
        <w:rPr>
          <w:rFonts w:ascii="Arial" w:hAnsi="Arial" w:cs="Arial"/>
          <w:i/>
          <w:color w:val="000000" w:themeColor="text1"/>
        </w:rPr>
        <w:t xml:space="preserve">. </w:t>
      </w:r>
      <w:r w:rsidRPr="00616CB0">
        <w:rPr>
          <w:rFonts w:ascii="Arial" w:hAnsi="Arial" w:cs="Arial"/>
          <w:color w:val="000000" w:themeColor="text1"/>
        </w:rPr>
        <w:t>The test insects were reared on rice grains in large plastic containers covered with muslin cloth for aeration. The insect culture was kept without exposure to pesticides and was maintained at 27 ± 5</w:t>
      </w:r>
      <w:r w:rsidRPr="00616CB0">
        <w:rPr>
          <w:rFonts w:ascii="Cambria Math" w:hAnsi="Cambria Math" w:cs="Cambria Math"/>
          <w:color w:val="000000" w:themeColor="text1"/>
        </w:rPr>
        <w:t>℃</w:t>
      </w:r>
      <w:r w:rsidRPr="00616CB0">
        <w:rPr>
          <w:rFonts w:ascii="Arial" w:hAnsi="Arial" w:cs="Arial"/>
          <w:color w:val="000000" w:themeColor="text1"/>
        </w:rPr>
        <w:t xml:space="preserve"> and 60 ± 5% relative humidity under laboratory conditions. Adult insects of mixed age were used in the experiments and were separated by picking by using a point tip brush before each experiment.</w:t>
      </w:r>
    </w:p>
    <w:p w14:paraId="592FBFB7" w14:textId="778D5980" w:rsidR="001212E4" w:rsidRPr="00616CB0" w:rsidRDefault="001212E4" w:rsidP="002C5D95">
      <w:pPr>
        <w:pStyle w:val="Body"/>
        <w:spacing w:after="0"/>
        <w:rPr>
          <w:rFonts w:ascii="Arial" w:hAnsi="Arial" w:cs="Arial"/>
          <w:b/>
          <w:caps/>
          <w:color w:val="000000" w:themeColor="text1"/>
        </w:rPr>
      </w:pPr>
      <w:r w:rsidRPr="00616CB0">
        <w:rPr>
          <w:rFonts w:ascii="Arial" w:hAnsi="Arial" w:cs="Arial"/>
          <w:b/>
          <w:caps/>
          <w:color w:val="000000" w:themeColor="text1"/>
          <w:sz w:val="22"/>
        </w:rPr>
        <w:lastRenderedPageBreak/>
        <w:t xml:space="preserve">2.2 </w:t>
      </w:r>
      <w:r w:rsidRPr="00616CB0">
        <w:rPr>
          <w:rFonts w:ascii="Arial" w:hAnsi="Arial" w:cs="Arial"/>
          <w:b/>
          <w:bCs/>
          <w:color w:val="000000" w:themeColor="text1"/>
          <w:sz w:val="22"/>
          <w:szCs w:val="22"/>
        </w:rPr>
        <w:t>Fumigant Toxicity Bioassay</w:t>
      </w:r>
      <w:r w:rsidRPr="00616CB0">
        <w:rPr>
          <w:rFonts w:ascii="Arial" w:hAnsi="Arial" w:cs="Arial"/>
          <w:b/>
          <w:color w:val="000000" w:themeColor="text1"/>
          <w:sz w:val="22"/>
        </w:rPr>
        <w:t xml:space="preserve"> </w:t>
      </w:r>
    </w:p>
    <w:p w14:paraId="12FAADBE" w14:textId="35D37950" w:rsidR="001212E4" w:rsidRPr="00616CB0" w:rsidRDefault="00D30CF4" w:rsidP="002C5D95">
      <w:pPr>
        <w:spacing w:before="240"/>
        <w:ind w:right="120"/>
        <w:jc w:val="both"/>
        <w:rPr>
          <w:rFonts w:ascii="Arial" w:hAnsi="Arial" w:cs="Arial"/>
          <w:color w:val="000000" w:themeColor="text1"/>
        </w:rPr>
      </w:pPr>
      <w:r w:rsidRPr="00616CB0">
        <w:rPr>
          <w:rFonts w:ascii="Arial" w:hAnsi="Arial" w:cs="Arial"/>
          <w:color w:val="000000" w:themeColor="text1"/>
        </w:rPr>
        <w:t xml:space="preserve">Fumigant activity of the essential oils was done based on the method reported by Kim and Ahn (2001). The test insects were released into the exposure chambers i.e., 1 L plastic containers containing EO treated filter paper disc attached to the inner surface of the screw lid. The neck region of the bottles was lined with petroleum jelly to restrict the contact of test insects to the treated surface and to exclude the effect of contact toxicity.  20 adult insects of mixed age insect cultures were released into the plastic containers and the screw lid were closed. Five concentrations of the essential oil were fixed based on the preliminary range tests causing 20 to 80 % mortality. </w:t>
      </w:r>
      <w:r w:rsidR="005B30E3" w:rsidRPr="00616CB0">
        <w:rPr>
          <w:rFonts w:ascii="Arial" w:hAnsi="Arial" w:cs="Arial"/>
          <w:color w:val="000000" w:themeColor="text1"/>
        </w:rPr>
        <w:t xml:space="preserve">1 mL </w:t>
      </w:r>
      <w:r w:rsidR="006659B9" w:rsidRPr="00616CB0">
        <w:rPr>
          <w:rFonts w:ascii="Arial" w:hAnsi="Arial" w:cs="Arial"/>
          <w:color w:val="000000" w:themeColor="text1"/>
        </w:rPr>
        <w:t xml:space="preserve">of </w:t>
      </w:r>
      <w:r w:rsidR="005B30E3" w:rsidRPr="00616CB0">
        <w:rPr>
          <w:rFonts w:ascii="Arial" w:hAnsi="Arial" w:cs="Arial"/>
          <w:color w:val="000000" w:themeColor="text1"/>
        </w:rPr>
        <w:t xml:space="preserve">solution of each concentration was applied to individual </w:t>
      </w:r>
      <w:proofErr w:type="spellStart"/>
      <w:r w:rsidR="005B30E3" w:rsidRPr="00616CB0">
        <w:rPr>
          <w:rFonts w:ascii="Arial" w:hAnsi="Arial" w:cs="Arial"/>
          <w:color w:val="000000" w:themeColor="text1"/>
        </w:rPr>
        <w:t>filterpapers</w:t>
      </w:r>
      <w:proofErr w:type="spellEnd"/>
      <w:r w:rsidR="005B30E3" w:rsidRPr="00616CB0">
        <w:rPr>
          <w:rFonts w:ascii="Arial" w:hAnsi="Arial" w:cs="Arial"/>
          <w:color w:val="000000" w:themeColor="text1"/>
        </w:rPr>
        <w:t xml:space="preserve"> in each bottle. </w:t>
      </w:r>
      <w:r w:rsidRPr="00616CB0">
        <w:rPr>
          <w:rFonts w:ascii="Arial" w:hAnsi="Arial" w:cs="Arial"/>
          <w:color w:val="000000" w:themeColor="text1"/>
        </w:rPr>
        <w:t>Each treatment was replicated four times. Test insects were considered dead if appendages did not move when podded with brush. Mortality of insects were observed at specific time intervals.</w:t>
      </w:r>
    </w:p>
    <w:p w14:paraId="483E757B" w14:textId="01AB5D3C" w:rsidR="001212E4" w:rsidRPr="00616CB0" w:rsidRDefault="001212E4" w:rsidP="002C5D95">
      <w:pPr>
        <w:spacing w:before="240"/>
        <w:ind w:right="120"/>
        <w:jc w:val="both"/>
        <w:rPr>
          <w:rFonts w:ascii="Arial" w:hAnsi="Arial" w:cs="Arial"/>
          <w:b/>
          <w:bCs/>
          <w:color w:val="000000" w:themeColor="text1"/>
        </w:rPr>
      </w:pPr>
      <w:r w:rsidRPr="00616CB0">
        <w:rPr>
          <w:rFonts w:ascii="Arial" w:hAnsi="Arial" w:cs="Arial"/>
          <w:b/>
          <w:caps/>
          <w:color w:val="000000" w:themeColor="text1"/>
          <w:sz w:val="22"/>
        </w:rPr>
        <w:t xml:space="preserve">2.3 </w:t>
      </w:r>
      <w:r w:rsidRPr="00616CB0">
        <w:rPr>
          <w:rFonts w:ascii="Arial" w:hAnsi="Arial" w:cs="Arial"/>
          <w:b/>
          <w:bCs/>
          <w:color w:val="000000" w:themeColor="text1"/>
          <w:sz w:val="22"/>
          <w:szCs w:val="22"/>
        </w:rPr>
        <w:t>Contact Toxicity Bioassay</w:t>
      </w:r>
      <w:r w:rsidRPr="00616CB0">
        <w:rPr>
          <w:rFonts w:ascii="Arial" w:hAnsi="Arial" w:cs="Arial"/>
          <w:b/>
          <w:color w:val="000000" w:themeColor="text1"/>
          <w:sz w:val="22"/>
        </w:rPr>
        <w:t xml:space="preserve"> </w:t>
      </w:r>
    </w:p>
    <w:p w14:paraId="30625A9A" w14:textId="29145F50" w:rsidR="001212E4" w:rsidRPr="00616CB0" w:rsidRDefault="00D30CF4" w:rsidP="002C5D95">
      <w:pPr>
        <w:jc w:val="both"/>
        <w:rPr>
          <w:rFonts w:ascii="Arial" w:hAnsi="Arial" w:cs="Arial"/>
          <w:color w:val="000000" w:themeColor="text1"/>
        </w:rPr>
      </w:pPr>
      <w:r w:rsidRPr="00616CB0">
        <w:rPr>
          <w:rFonts w:ascii="Arial" w:hAnsi="Arial" w:cs="Arial"/>
          <w:color w:val="000000" w:themeColor="text1"/>
        </w:rPr>
        <w:t xml:space="preserve">The contact toxicity of the essential oils was evaluated by the residual film method reported by Bagade </w:t>
      </w:r>
      <w:r w:rsidRPr="00616CB0">
        <w:rPr>
          <w:rFonts w:ascii="Arial" w:hAnsi="Arial" w:cs="Arial"/>
          <w:i/>
          <w:color w:val="000000" w:themeColor="text1"/>
        </w:rPr>
        <w:t>et al</w:t>
      </w:r>
      <w:r w:rsidRPr="00616CB0">
        <w:rPr>
          <w:rFonts w:ascii="Arial" w:hAnsi="Arial" w:cs="Arial"/>
          <w:color w:val="000000" w:themeColor="text1"/>
        </w:rPr>
        <w:t xml:space="preserve">. (2021) with suitable modifications. The </w:t>
      </w:r>
      <w:proofErr w:type="spellStart"/>
      <w:r w:rsidRPr="00616CB0">
        <w:rPr>
          <w:rFonts w:ascii="Arial" w:hAnsi="Arial" w:cs="Arial"/>
          <w:color w:val="000000" w:themeColor="text1"/>
        </w:rPr>
        <w:t>petriplate</w:t>
      </w:r>
      <w:proofErr w:type="spellEnd"/>
      <w:r w:rsidRPr="00616CB0">
        <w:rPr>
          <w:rFonts w:ascii="Arial" w:hAnsi="Arial" w:cs="Arial"/>
          <w:color w:val="000000" w:themeColor="text1"/>
        </w:rPr>
        <w:t xml:space="preserve"> with 15 cm diameter was taken. The sides and inner side of the lid of petri plate was lined with petroleum jelly. 5 concentrations of essential oil and control were maintained. Five concentrations of the essential oil were fixed based on the preliminary repellency range tests. Each treatment was replicated 4 times. 1.5 ml of each test concentration (acetonic solution) were taken with a micropipette and loaded in Petri plates, and then the plates were slowly and carefully swirled for uniform spreading. 20 adult insects of mixed age insect cultures were released in treated surface of each petri plate and test insects were considered dead if appendages did not move when podded with brush at specific intervals. </w:t>
      </w:r>
    </w:p>
    <w:p w14:paraId="6328D922" w14:textId="0790123C" w:rsidR="001212E4" w:rsidRPr="00616CB0" w:rsidRDefault="001212E4" w:rsidP="002C5D95">
      <w:pPr>
        <w:spacing w:before="240"/>
        <w:ind w:right="120"/>
        <w:jc w:val="both"/>
        <w:rPr>
          <w:rFonts w:ascii="Arial" w:hAnsi="Arial" w:cs="Arial"/>
          <w:b/>
          <w:bCs/>
          <w:color w:val="000000" w:themeColor="text1"/>
        </w:rPr>
      </w:pPr>
      <w:r w:rsidRPr="00616CB0">
        <w:rPr>
          <w:rFonts w:ascii="Arial" w:hAnsi="Arial" w:cs="Arial"/>
          <w:b/>
          <w:caps/>
          <w:color w:val="000000" w:themeColor="text1"/>
          <w:sz w:val="22"/>
        </w:rPr>
        <w:t>2.</w:t>
      </w:r>
      <w:r w:rsidR="00142783" w:rsidRPr="00616CB0">
        <w:rPr>
          <w:rFonts w:ascii="Arial" w:hAnsi="Arial" w:cs="Arial"/>
          <w:b/>
          <w:caps/>
          <w:color w:val="000000" w:themeColor="text1"/>
          <w:sz w:val="22"/>
        </w:rPr>
        <w:t>4</w:t>
      </w:r>
      <w:r w:rsidRPr="00616CB0">
        <w:rPr>
          <w:rFonts w:ascii="Arial" w:hAnsi="Arial" w:cs="Arial"/>
          <w:b/>
          <w:caps/>
          <w:color w:val="000000" w:themeColor="text1"/>
          <w:sz w:val="22"/>
        </w:rPr>
        <w:t xml:space="preserve"> </w:t>
      </w:r>
      <w:r w:rsidR="00142783" w:rsidRPr="00616CB0">
        <w:rPr>
          <w:rFonts w:ascii="Arial" w:hAnsi="Arial" w:cs="Arial"/>
          <w:b/>
          <w:bCs/>
          <w:color w:val="000000" w:themeColor="text1"/>
          <w:sz w:val="22"/>
          <w:szCs w:val="22"/>
        </w:rPr>
        <w:t>Repellency Bioassay</w:t>
      </w:r>
      <w:r w:rsidRPr="00616CB0">
        <w:rPr>
          <w:rFonts w:ascii="Arial" w:hAnsi="Arial" w:cs="Arial"/>
          <w:b/>
          <w:color w:val="000000" w:themeColor="text1"/>
          <w:sz w:val="24"/>
          <w:szCs w:val="22"/>
        </w:rPr>
        <w:t xml:space="preserve"> </w:t>
      </w:r>
    </w:p>
    <w:p w14:paraId="465010BF" w14:textId="119AFE44" w:rsidR="00A34ED2" w:rsidRPr="00616CB0" w:rsidRDefault="00A34ED2" w:rsidP="002C5D95">
      <w:pPr>
        <w:widowControl w:val="0"/>
        <w:spacing w:before="200"/>
        <w:ind w:firstLine="360"/>
        <w:jc w:val="both"/>
        <w:rPr>
          <w:rFonts w:ascii="Arial" w:hAnsi="Arial" w:cs="Arial"/>
          <w:color w:val="000000" w:themeColor="text1"/>
        </w:rPr>
      </w:pPr>
      <w:r w:rsidRPr="00616CB0">
        <w:rPr>
          <w:rFonts w:ascii="Arial" w:hAnsi="Arial" w:cs="Arial"/>
          <w:color w:val="000000" w:themeColor="text1"/>
        </w:rPr>
        <w:t xml:space="preserve">The repellency test was done based on </w:t>
      </w:r>
      <w:r w:rsidR="000E1E8F">
        <w:rPr>
          <w:rFonts w:ascii="Arial" w:hAnsi="Arial" w:cs="Arial"/>
          <w:color w:val="000000" w:themeColor="text1"/>
        </w:rPr>
        <w:t xml:space="preserve">area preference </w:t>
      </w:r>
      <w:r w:rsidRPr="00616CB0">
        <w:rPr>
          <w:rFonts w:ascii="Arial" w:hAnsi="Arial" w:cs="Arial"/>
          <w:color w:val="000000" w:themeColor="text1"/>
        </w:rPr>
        <w:t>method reported by McDonald</w:t>
      </w:r>
      <w:r w:rsidRPr="00616CB0">
        <w:rPr>
          <w:rFonts w:ascii="Arial" w:hAnsi="Arial" w:cs="Arial"/>
          <w:i/>
          <w:color w:val="000000" w:themeColor="text1"/>
        </w:rPr>
        <w:t xml:space="preserve"> et al</w:t>
      </w:r>
      <w:r w:rsidRPr="00616CB0">
        <w:rPr>
          <w:rFonts w:ascii="Arial" w:hAnsi="Arial" w:cs="Arial"/>
          <w:color w:val="000000" w:themeColor="text1"/>
        </w:rPr>
        <w:t xml:space="preserve">., 1970; Talukder and Howse, 1993. Filter papers were cut into two equal halves; one half was treated with </w:t>
      </w:r>
      <w:r w:rsidR="00AC4EA0" w:rsidRPr="00616CB0">
        <w:rPr>
          <w:rFonts w:ascii="Arial" w:hAnsi="Arial" w:cs="Arial"/>
          <w:color w:val="000000" w:themeColor="text1"/>
        </w:rPr>
        <w:t xml:space="preserve">1 mL </w:t>
      </w:r>
      <w:r w:rsidRPr="00616CB0">
        <w:rPr>
          <w:rFonts w:ascii="Arial" w:hAnsi="Arial" w:cs="Arial"/>
          <w:color w:val="000000" w:themeColor="text1"/>
        </w:rPr>
        <w:t>acetonic solution of essential oil as uniformly as possible by using micropipette. The other half of the filter paper will be treated with acetone alone. Five concentrations of the essential oil were fixed based on the preliminary repellency range tests. Each treatment was replicated four times. Essential oil treated and untreated half was then attached lengthwise, edge-to edge and placed at the bottom of the petri plate. 20 adult insects were released at the center of the petri dishes and then petri dishes were covered with lids and kept in dark. The lid of the Petri dish was smeared with petroleum jelly to make sure the insects stayed at the bottom part of the Petri dish. Number of insects repelled at 15 min, 30 min, 45 min, 1 h, and 2h after treatment were observed.</w:t>
      </w:r>
    </w:p>
    <w:p w14:paraId="089F3825" w14:textId="77777777" w:rsidR="00A34ED2" w:rsidRPr="00616CB0" w:rsidRDefault="00A34ED2" w:rsidP="002C5D95">
      <w:pPr>
        <w:pStyle w:val="Body"/>
        <w:spacing w:after="0"/>
        <w:rPr>
          <w:rFonts w:ascii="Arial" w:eastAsia="Arial" w:hAnsi="Arial" w:cs="Arial"/>
          <w:color w:val="000000" w:themeColor="text1"/>
        </w:rPr>
      </w:pPr>
      <w:r w:rsidRPr="00616CB0">
        <w:rPr>
          <w:rFonts w:ascii="Arial" w:hAnsi="Arial" w:cs="Arial"/>
          <w:color w:val="000000" w:themeColor="text1"/>
        </w:rPr>
        <w:t>Percent repellency was calculated using the formula,</w:t>
      </w:r>
    </w:p>
    <w:p w14:paraId="5F39A53A" w14:textId="77777777" w:rsidR="00A34ED2" w:rsidRPr="00616CB0" w:rsidRDefault="00A34ED2" w:rsidP="002C5D95">
      <w:pPr>
        <w:pStyle w:val="Body"/>
        <w:spacing w:after="0"/>
        <w:rPr>
          <w:rFonts w:ascii="Arial" w:hAnsi="Arial" w:cs="Arial"/>
          <w:color w:val="000000" w:themeColor="text1"/>
        </w:rPr>
      </w:pPr>
      <m:oMath>
        <m:r>
          <w:rPr>
            <w:rFonts w:ascii="Cambria Math" w:hAnsi="Cambria Math" w:cs="Arial"/>
            <w:color w:val="000000" w:themeColor="text1"/>
          </w:rPr>
          <m:t>PR(%)=((Nc-Nt)/(Nc+Nt))×100</m:t>
        </m:r>
      </m:oMath>
      <w:r w:rsidRPr="00616CB0">
        <w:rPr>
          <w:rFonts w:ascii="Arial" w:hAnsi="Arial" w:cs="Arial"/>
          <w:color w:val="000000" w:themeColor="text1"/>
        </w:rPr>
        <w:t xml:space="preserve"> </w:t>
      </w:r>
    </w:p>
    <w:p w14:paraId="7F94F2E8" w14:textId="11688936" w:rsidR="001212E4" w:rsidRPr="00616CB0" w:rsidRDefault="00A34ED2" w:rsidP="00E52D8B">
      <w:pPr>
        <w:pStyle w:val="Body"/>
        <w:rPr>
          <w:rFonts w:ascii="Arial" w:eastAsia="Arial" w:hAnsi="Arial" w:cs="Arial"/>
          <w:color w:val="000000" w:themeColor="text1"/>
        </w:rPr>
      </w:pPr>
      <w:r w:rsidRPr="00616CB0">
        <w:rPr>
          <w:rFonts w:ascii="Arial" w:hAnsi="Arial" w:cs="Arial"/>
          <w:color w:val="000000" w:themeColor="text1"/>
        </w:rPr>
        <w:t xml:space="preserve">wherein PR = percent repellency (%), Nc = number of insects in the control half, </w:t>
      </w:r>
      <w:proofErr w:type="spellStart"/>
      <w:r w:rsidRPr="00616CB0">
        <w:rPr>
          <w:rFonts w:ascii="Arial" w:hAnsi="Arial" w:cs="Arial"/>
          <w:color w:val="000000" w:themeColor="text1"/>
        </w:rPr>
        <w:t>Nt</w:t>
      </w:r>
      <w:proofErr w:type="spellEnd"/>
      <w:r w:rsidRPr="00616CB0">
        <w:rPr>
          <w:rFonts w:ascii="Arial" w:hAnsi="Arial" w:cs="Arial"/>
          <w:color w:val="000000" w:themeColor="text1"/>
        </w:rPr>
        <w:t xml:space="preserve"> = number of insects in the treated half.</w:t>
      </w:r>
    </w:p>
    <w:p w14:paraId="2057A396" w14:textId="4F407CDB" w:rsidR="001212E4" w:rsidRPr="00616CB0" w:rsidRDefault="001212E4" w:rsidP="002C5D95">
      <w:pPr>
        <w:pStyle w:val="Body"/>
        <w:pBdr>
          <w:top w:val="nil"/>
          <w:left w:val="nil"/>
          <w:bottom w:val="nil"/>
          <w:right w:val="nil"/>
          <w:between w:val="nil"/>
          <w:bar w:val="nil"/>
        </w:pBdr>
        <w:spacing w:after="0"/>
        <w:rPr>
          <w:rFonts w:ascii="Arial" w:hAnsi="Arial" w:cs="Arial"/>
          <w:b/>
          <w:color w:val="000000" w:themeColor="text1"/>
          <w:sz w:val="22"/>
        </w:rPr>
      </w:pPr>
      <w:r w:rsidRPr="00616CB0">
        <w:rPr>
          <w:rFonts w:ascii="Arial" w:hAnsi="Arial" w:cs="Arial"/>
          <w:b/>
          <w:caps/>
          <w:color w:val="000000" w:themeColor="text1"/>
          <w:sz w:val="22"/>
          <w:szCs w:val="22"/>
        </w:rPr>
        <w:t>2.</w:t>
      </w:r>
      <w:r w:rsidR="00DE6FE1" w:rsidRPr="00616CB0">
        <w:rPr>
          <w:rFonts w:ascii="Arial" w:hAnsi="Arial" w:cs="Arial"/>
          <w:b/>
          <w:caps/>
          <w:color w:val="000000" w:themeColor="text1"/>
          <w:sz w:val="22"/>
          <w:szCs w:val="22"/>
        </w:rPr>
        <w:t>5</w:t>
      </w:r>
      <w:r w:rsidRPr="00616CB0">
        <w:rPr>
          <w:rFonts w:ascii="Arial" w:hAnsi="Arial" w:cs="Arial"/>
          <w:b/>
          <w:caps/>
          <w:color w:val="000000" w:themeColor="text1"/>
          <w:sz w:val="22"/>
          <w:szCs w:val="22"/>
        </w:rPr>
        <w:t xml:space="preserve"> </w:t>
      </w:r>
      <w:r w:rsidR="00DE6FE1" w:rsidRPr="00616CB0">
        <w:rPr>
          <w:rFonts w:ascii="Arial" w:hAnsi="Arial" w:cs="Arial"/>
          <w:b/>
          <w:bCs/>
          <w:color w:val="000000" w:themeColor="text1"/>
          <w:sz w:val="22"/>
          <w:szCs w:val="22"/>
        </w:rPr>
        <w:t>Statistical Analysis</w:t>
      </w:r>
      <w:r w:rsidRPr="00616CB0">
        <w:rPr>
          <w:rFonts w:ascii="Arial" w:hAnsi="Arial" w:cs="Arial"/>
          <w:b/>
          <w:color w:val="000000" w:themeColor="text1"/>
          <w:sz w:val="22"/>
        </w:rPr>
        <w:t xml:space="preserve"> </w:t>
      </w:r>
    </w:p>
    <w:p w14:paraId="493AC597" w14:textId="169B2AD0" w:rsidR="00790ADA" w:rsidRPr="00616CB0" w:rsidRDefault="002C5D95" w:rsidP="008D129F">
      <w:pPr>
        <w:pStyle w:val="Body"/>
        <w:rPr>
          <w:rFonts w:ascii="Arial" w:hAnsi="Arial" w:cs="Arial"/>
          <w:color w:val="000000" w:themeColor="text1"/>
        </w:rPr>
      </w:pPr>
      <w:r w:rsidRPr="00616CB0">
        <w:rPr>
          <w:rFonts w:ascii="Arial" w:hAnsi="Arial" w:cs="Arial"/>
          <w:color w:val="000000" w:themeColor="text1"/>
        </w:rPr>
        <w:t>Data on percent mortality was analyzed by ANOVA (Analysis of Variance) after arcsine transformation. The analysis was done in GRAPES software.  Probit analysis (Finney, 1971) was performed to calculate LC</w:t>
      </w:r>
      <w:r w:rsidRPr="00616CB0">
        <w:rPr>
          <w:rFonts w:ascii="Arial" w:hAnsi="Arial" w:cs="Arial"/>
          <w:color w:val="000000" w:themeColor="text1"/>
          <w:vertAlign w:val="subscript"/>
        </w:rPr>
        <w:t>50</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values (and their fiducial limits) of oils against the test insect and for comparisons p &gt; 0.05 level was considered as not significant.</w:t>
      </w:r>
    </w:p>
    <w:p w14:paraId="4DCF53DD" w14:textId="66CAF9E3" w:rsidR="00863BD3" w:rsidRPr="00616CB0" w:rsidRDefault="00000F8F" w:rsidP="00EF2EF1">
      <w:pPr>
        <w:pStyle w:val="Head1"/>
        <w:jc w:val="both"/>
        <w:rPr>
          <w:rFonts w:ascii="Arial" w:hAnsi="Arial" w:cs="Arial"/>
          <w:color w:val="000000" w:themeColor="text1"/>
        </w:rPr>
      </w:pPr>
      <w:r w:rsidRPr="00616CB0">
        <w:rPr>
          <w:rFonts w:ascii="Arial" w:hAnsi="Arial" w:cs="Arial"/>
          <w:color w:val="000000" w:themeColor="text1"/>
        </w:rPr>
        <w:t>3</w:t>
      </w:r>
      <w:r w:rsidR="00902823" w:rsidRPr="00616CB0">
        <w:rPr>
          <w:rFonts w:ascii="Arial" w:hAnsi="Arial" w:cs="Arial"/>
          <w:color w:val="000000" w:themeColor="text1"/>
        </w:rPr>
        <w:t xml:space="preserve">. </w:t>
      </w:r>
      <w:r w:rsidRPr="00616CB0">
        <w:rPr>
          <w:rFonts w:ascii="Arial" w:hAnsi="Arial" w:cs="Arial"/>
          <w:color w:val="000000" w:themeColor="text1"/>
        </w:rPr>
        <w:t>results and discussion</w:t>
      </w:r>
    </w:p>
    <w:p w14:paraId="2F39C821" w14:textId="3563F85E" w:rsidR="009E5594" w:rsidRPr="00616CB0" w:rsidRDefault="00C30A0F" w:rsidP="009E5594">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r w:rsidRPr="00616CB0">
        <w:rPr>
          <w:rFonts w:ascii="Arial" w:hAnsi="Arial" w:cs="Arial"/>
          <w:b/>
          <w:caps/>
          <w:color w:val="000000" w:themeColor="text1"/>
          <w:sz w:val="22"/>
        </w:rPr>
        <w:t xml:space="preserve">3.1 </w:t>
      </w:r>
      <w:r w:rsidR="009E5594" w:rsidRPr="00616CB0">
        <w:rPr>
          <w:rFonts w:ascii="Arial" w:hAnsi="Arial" w:cs="Arial"/>
          <w:b/>
          <w:bCs/>
          <w:color w:val="000000" w:themeColor="text1"/>
          <w:kern w:val="2"/>
          <w:sz w:val="22"/>
          <w:szCs w:val="22"/>
        </w:rPr>
        <w:t>Fumigant toxicity</w:t>
      </w:r>
    </w:p>
    <w:p w14:paraId="18834536" w14:textId="77777777" w:rsidR="004E60B9" w:rsidRPr="00616CB0" w:rsidRDefault="004E60B9" w:rsidP="004E60B9">
      <w:pPr>
        <w:pStyle w:val="Body"/>
        <w:spacing w:after="0"/>
        <w:rPr>
          <w:rFonts w:ascii="Arial" w:hAnsi="Arial" w:cs="Arial"/>
          <w:color w:val="000000" w:themeColor="text1"/>
        </w:rPr>
      </w:pPr>
      <w:r w:rsidRPr="00616CB0">
        <w:rPr>
          <w:rFonts w:ascii="Arial" w:hAnsi="Arial" w:cs="Arial"/>
          <w:color w:val="000000" w:themeColor="text1"/>
        </w:rPr>
        <w:t xml:space="preserve">In the current study of fumigant toxicity of </w:t>
      </w:r>
      <w:r w:rsidRPr="00616CB0">
        <w:rPr>
          <w:rFonts w:ascii="Arial" w:hAnsi="Arial" w:cs="Arial"/>
          <w:i/>
          <w:color w:val="000000" w:themeColor="text1"/>
        </w:rPr>
        <w:t xml:space="preserve">Cymbopogon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xml:space="preserve"> essential oil against rice weevil; </w:t>
      </w:r>
      <w:r w:rsidRPr="00616CB0">
        <w:rPr>
          <w:rFonts w:ascii="Arial" w:hAnsi="Arial" w:cs="Arial"/>
          <w:color w:val="000000" w:themeColor="text1"/>
          <w:kern w:val="2"/>
        </w:rPr>
        <w:t xml:space="preserve">The treatments (dose range) fixed based on preliminary range tests </w:t>
      </w:r>
      <w:r w:rsidRPr="00616CB0">
        <w:rPr>
          <w:rFonts w:ascii="Arial" w:hAnsi="Arial" w:cs="Arial"/>
          <w:color w:val="000000" w:themeColor="text1"/>
        </w:rPr>
        <w:t xml:space="preserve">are 50, 150, 200, 250, 300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The average per cent mortality recorded for 50, 150, 200, 250, 300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were 20.00, 37.50, 56.25, 70.00, 77.5 per cent respectively 12 HAT; 40.00, 67.50, 82.50, 83.75, 92.5 per cent respectively 24 HAT; 77.5, 91.25, 93.75, 97.50, 100 per cent respectively 48 HAT. The higher concentration of essential oil resulted in increase in per cent mortality of insects gradually along with the time (Fig. 1.).</w:t>
      </w:r>
    </w:p>
    <w:p w14:paraId="7F02F737" w14:textId="77777777" w:rsidR="004E60B9" w:rsidRPr="00616CB0" w:rsidRDefault="004E60B9" w:rsidP="004E60B9">
      <w:pPr>
        <w:pStyle w:val="Body"/>
        <w:spacing w:after="0"/>
        <w:ind w:firstLine="720"/>
        <w:rPr>
          <w:rFonts w:ascii="Arial" w:hAnsi="Arial" w:cs="Arial"/>
          <w:color w:val="000000" w:themeColor="text1"/>
        </w:rPr>
      </w:pPr>
    </w:p>
    <w:p w14:paraId="2FD2E793" w14:textId="77777777" w:rsidR="004E60B9" w:rsidRPr="00616CB0" w:rsidRDefault="004E60B9" w:rsidP="004E60B9">
      <w:pPr>
        <w:pStyle w:val="Body"/>
        <w:rPr>
          <w:rFonts w:ascii="Arial" w:hAnsi="Arial" w:cs="Arial"/>
          <w:color w:val="000000" w:themeColor="text1"/>
          <w:lang w:val="en-IN"/>
        </w:rPr>
      </w:pPr>
      <w:r w:rsidRPr="00616CB0">
        <w:rPr>
          <w:rFonts w:ascii="Arial" w:hAnsi="Arial" w:cs="Arial"/>
          <w:color w:val="000000" w:themeColor="text1"/>
        </w:rPr>
        <w:t xml:space="preserve">A study conducted by </w:t>
      </w:r>
      <w:proofErr w:type="spellStart"/>
      <w:r w:rsidRPr="00616CB0">
        <w:rPr>
          <w:rFonts w:ascii="Arial" w:hAnsi="Arial" w:cs="Arial"/>
          <w:color w:val="000000" w:themeColor="text1"/>
          <w:lang w:val="en-IN"/>
        </w:rPr>
        <w:t>Hariani</w:t>
      </w:r>
      <w:proofErr w:type="spellEnd"/>
      <w:r w:rsidRPr="00616CB0">
        <w:rPr>
          <w:rFonts w:ascii="Arial" w:hAnsi="Arial" w:cs="Arial"/>
          <w:color w:val="000000" w:themeColor="text1"/>
          <w:lang w:val="en-IN"/>
        </w:rPr>
        <w:t xml:space="preserve"> et al., (2024)</w:t>
      </w:r>
      <w:r w:rsidRPr="00616CB0">
        <w:rPr>
          <w:rFonts w:ascii="Arial" w:hAnsi="Arial" w:cs="Arial"/>
          <w:color w:val="000000" w:themeColor="text1"/>
        </w:rPr>
        <w:t xml:space="preserve"> proved that the citronella essential oil can cause mortality of adult </w:t>
      </w:r>
      <w:r w:rsidRPr="00616CB0">
        <w:rPr>
          <w:rFonts w:ascii="Arial" w:hAnsi="Arial" w:cs="Arial"/>
          <w:i/>
          <w:iCs/>
          <w:color w:val="000000" w:themeColor="text1"/>
        </w:rPr>
        <w:t>S. oryzae</w:t>
      </w:r>
      <w:r w:rsidRPr="00616CB0">
        <w:rPr>
          <w:rFonts w:ascii="Arial" w:hAnsi="Arial" w:cs="Arial"/>
          <w:color w:val="000000" w:themeColor="text1"/>
        </w:rPr>
        <w:t xml:space="preserve">. Fumigation with </w:t>
      </w:r>
      <w:proofErr w:type="spellStart"/>
      <w:r w:rsidRPr="00616CB0">
        <w:rPr>
          <w:rFonts w:ascii="Arial" w:hAnsi="Arial" w:cs="Arial"/>
          <w:color w:val="000000" w:themeColor="text1"/>
        </w:rPr>
        <w:t>filterpaper</w:t>
      </w:r>
      <w:proofErr w:type="spellEnd"/>
      <w:r w:rsidRPr="00616CB0">
        <w:rPr>
          <w:rFonts w:ascii="Arial" w:hAnsi="Arial" w:cs="Arial"/>
          <w:color w:val="000000" w:themeColor="text1"/>
        </w:rPr>
        <w:t xml:space="preserve"> treatment of 0.5 mL solution of each concentration of 0.5, 1, and 2 g/L in a container with volume 100 mL resulted in mortality rates of 18%, 36%, and 41%, respectively 72 hours after treatment. In our study, we have taken a 10 times higher doses than this study which resulted in higher mortality per centages at 12 HAT itself. This justifies the efficacy of citronella essential oil as a potent fumigant to manage </w:t>
      </w:r>
      <w:r w:rsidRPr="00616CB0">
        <w:rPr>
          <w:rFonts w:ascii="Arial" w:hAnsi="Arial" w:cs="Arial"/>
          <w:i/>
          <w:iCs/>
          <w:color w:val="000000" w:themeColor="text1"/>
        </w:rPr>
        <w:t>S. oryzae</w:t>
      </w:r>
      <w:r w:rsidRPr="00616CB0">
        <w:rPr>
          <w:rFonts w:ascii="Arial" w:hAnsi="Arial" w:cs="Arial"/>
          <w:color w:val="000000" w:themeColor="text1"/>
        </w:rPr>
        <w:t>.</w:t>
      </w:r>
    </w:p>
    <w:p w14:paraId="490AD023" w14:textId="77777777" w:rsidR="004E60B9" w:rsidRPr="00616CB0" w:rsidRDefault="004E60B9" w:rsidP="004E60B9">
      <w:pPr>
        <w:pStyle w:val="Body"/>
        <w:rPr>
          <w:rFonts w:ascii="Arial" w:hAnsi="Arial" w:cs="Arial"/>
          <w:color w:val="000000" w:themeColor="text1"/>
        </w:rPr>
      </w:pPr>
      <w:r w:rsidRPr="00616CB0">
        <w:rPr>
          <w:rFonts w:ascii="Arial" w:hAnsi="Arial" w:cs="Arial"/>
          <w:color w:val="000000" w:themeColor="text1"/>
        </w:rPr>
        <w:lastRenderedPageBreak/>
        <w:t>The Lethal Concentration of citronella essential oil required to kill 50 per cent population (LC</w:t>
      </w:r>
      <w:r w:rsidRPr="00616CB0">
        <w:rPr>
          <w:rFonts w:ascii="Arial" w:hAnsi="Arial" w:cs="Arial"/>
          <w:color w:val="000000" w:themeColor="text1"/>
          <w:vertAlign w:val="subscript"/>
        </w:rPr>
        <w:t>50</w:t>
      </w:r>
      <w:r w:rsidRPr="00616CB0">
        <w:rPr>
          <w:rFonts w:ascii="Arial" w:hAnsi="Arial" w:cs="Arial"/>
          <w:color w:val="000000" w:themeColor="text1"/>
        </w:rPr>
        <w:t xml:space="preserve">) of </w:t>
      </w:r>
      <w:r w:rsidRPr="00616CB0">
        <w:rPr>
          <w:rFonts w:ascii="Arial" w:hAnsi="Arial" w:cs="Arial"/>
          <w:i/>
          <w:iCs/>
          <w:color w:val="000000" w:themeColor="text1"/>
        </w:rPr>
        <w:t>S. oryzae</w:t>
      </w:r>
      <w:r w:rsidRPr="00616CB0">
        <w:rPr>
          <w:rFonts w:ascii="Arial" w:hAnsi="Arial" w:cs="Arial"/>
          <w:color w:val="000000" w:themeColor="text1"/>
        </w:rPr>
        <w:t xml:space="preserve"> was 154.86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 xml:space="preserve">was 661.51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12 HAT (Hours After Treatment). The LC</w:t>
      </w:r>
      <w:r w:rsidRPr="00616CB0">
        <w:rPr>
          <w:rFonts w:ascii="Arial" w:hAnsi="Arial" w:cs="Arial"/>
          <w:color w:val="000000" w:themeColor="text1"/>
          <w:vertAlign w:val="subscript"/>
        </w:rPr>
        <w:t>50</w:t>
      </w:r>
      <w:r w:rsidRPr="00616CB0">
        <w:rPr>
          <w:rFonts w:ascii="Arial" w:hAnsi="Arial" w:cs="Arial"/>
          <w:color w:val="000000" w:themeColor="text1"/>
        </w:rPr>
        <w:t xml:space="preserve"> was 71.97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322.90</w:t>
      </w:r>
      <w:r w:rsidRPr="00616CB0">
        <w:rPr>
          <w:rFonts w:ascii="Arial" w:hAnsi="Arial" w:cs="Arial"/>
          <w:bCs/>
          <w:color w:val="000000" w:themeColor="text1"/>
        </w:rPr>
        <w:t xml:space="preserve"> 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24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 xml:space="preserve">was 19.18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 and</w:t>
      </w:r>
      <w:r w:rsidRPr="00616CB0">
        <w:rPr>
          <w:rFonts w:ascii="Arial" w:hAnsi="Arial" w:cs="Arial"/>
          <w:color w:val="000000" w:themeColor="text1"/>
        </w:rPr>
        <w:t xml:space="preserve"> LC</w:t>
      </w:r>
      <w:r w:rsidRPr="00616CB0">
        <w:rPr>
          <w:rFonts w:ascii="Arial" w:hAnsi="Arial" w:cs="Arial"/>
          <w:color w:val="000000" w:themeColor="text1"/>
          <w:vertAlign w:val="subscript"/>
        </w:rPr>
        <w:t xml:space="preserve">90 </w:t>
      </w:r>
      <w:r w:rsidRPr="00616CB0">
        <w:rPr>
          <w:rFonts w:ascii="Arial" w:hAnsi="Arial" w:cs="Arial"/>
          <w:color w:val="000000" w:themeColor="text1"/>
        </w:rPr>
        <w:t xml:space="preserve">was 109.75 </w:t>
      </w:r>
      <w:r w:rsidRPr="00616CB0">
        <w:rPr>
          <w:rFonts w:ascii="Arial" w:hAnsi="Arial" w:cs="Arial"/>
          <w:bCs/>
          <w:color w:val="000000" w:themeColor="text1"/>
        </w:rPr>
        <w:t>µLL</w:t>
      </w:r>
      <w:r w:rsidRPr="00616CB0">
        <w:rPr>
          <w:rFonts w:ascii="Arial" w:hAnsi="Arial" w:cs="Arial"/>
          <w:bCs/>
          <w:color w:val="000000" w:themeColor="text1"/>
          <w:vertAlign w:val="superscript"/>
        </w:rPr>
        <w:t>-1</w:t>
      </w:r>
      <w:r w:rsidRPr="00616CB0">
        <w:rPr>
          <w:rFonts w:ascii="Arial" w:hAnsi="Arial" w:cs="Arial"/>
          <w:bCs/>
          <w:color w:val="000000" w:themeColor="text1"/>
        </w:rPr>
        <w:t xml:space="preserve"> air</w:t>
      </w:r>
      <w:r w:rsidRPr="00616CB0">
        <w:rPr>
          <w:rFonts w:ascii="Arial" w:hAnsi="Arial" w:cs="Arial"/>
          <w:color w:val="000000" w:themeColor="text1"/>
        </w:rPr>
        <w:t xml:space="preserve"> at 48 HAT (Table 1). </w:t>
      </w:r>
    </w:p>
    <w:p w14:paraId="26A831DF" w14:textId="25400ED9" w:rsidR="004E60B9" w:rsidRPr="00BB4964" w:rsidRDefault="004E60B9" w:rsidP="00BB4964">
      <w:pPr>
        <w:jc w:val="both"/>
        <w:rPr>
          <w:rFonts w:ascii="Arial" w:hAnsi="Arial" w:cs="Arial"/>
        </w:rPr>
      </w:pPr>
      <w:r w:rsidRPr="00616CB0">
        <w:rPr>
          <w:rFonts w:ascii="Arial" w:hAnsi="Arial" w:cs="Arial"/>
          <w:color w:val="000000" w:themeColor="text1"/>
        </w:rPr>
        <w:t xml:space="preserve">These results are consistent with the study of Devi et al. (2020) who evaluated </w:t>
      </w:r>
      <w:r w:rsidR="00D442D7">
        <w:rPr>
          <w:rFonts w:ascii="Arial" w:hAnsi="Arial" w:cs="Arial"/>
          <w:color w:val="000000" w:themeColor="text1"/>
        </w:rPr>
        <w:t>“</w:t>
      </w:r>
      <w:r w:rsidRPr="00616CB0">
        <w:rPr>
          <w:rFonts w:ascii="Arial" w:hAnsi="Arial" w:cs="Arial"/>
          <w:color w:val="000000" w:themeColor="text1"/>
        </w:rPr>
        <w:t>the fumigant activity of essential oils of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flexuosus</w:t>
      </w:r>
      <w:proofErr w:type="spellEnd"/>
      <w:r w:rsidRPr="00616CB0">
        <w:rPr>
          <w:rFonts w:ascii="Arial" w:hAnsi="Arial" w:cs="Arial"/>
          <w:i/>
          <w:iCs/>
          <w:color w:val="000000" w:themeColor="text1"/>
        </w:rPr>
        <w:t xml:space="preserve">, C. </w:t>
      </w:r>
      <w:proofErr w:type="spellStart"/>
      <w:r w:rsidRPr="00616CB0">
        <w:rPr>
          <w:rFonts w:ascii="Arial" w:hAnsi="Arial" w:cs="Arial"/>
          <w:i/>
          <w:iCs/>
          <w:color w:val="000000" w:themeColor="text1"/>
        </w:rPr>
        <w:t>winterianus</w:t>
      </w:r>
      <w:proofErr w:type="spellEnd"/>
      <w:r w:rsidRPr="00616CB0">
        <w:rPr>
          <w:rFonts w:ascii="Arial" w:hAnsi="Arial" w:cs="Arial"/>
          <w:i/>
          <w:iCs/>
          <w:color w:val="000000" w:themeColor="text1"/>
        </w:rPr>
        <w:t xml:space="preserve">, C. martini.  </w:t>
      </w:r>
      <w:r w:rsidRPr="00616CB0">
        <w:rPr>
          <w:rFonts w:ascii="Arial" w:hAnsi="Arial" w:cs="Arial"/>
          <w:color w:val="000000" w:themeColor="text1"/>
        </w:rPr>
        <w:t xml:space="preserve"> LC</w:t>
      </w:r>
      <w:r w:rsidRPr="00616CB0">
        <w:rPr>
          <w:rFonts w:ascii="Arial" w:hAnsi="Arial" w:cs="Arial"/>
          <w:color w:val="000000" w:themeColor="text1"/>
          <w:vertAlign w:val="subscript"/>
        </w:rPr>
        <w:t>50</w:t>
      </w:r>
      <w:r w:rsidRPr="00616CB0">
        <w:rPr>
          <w:rFonts w:ascii="Arial" w:hAnsi="Arial" w:cs="Arial"/>
          <w:color w:val="000000" w:themeColor="text1"/>
        </w:rPr>
        <w:t> values are 44.5 and 26.1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flexuosus</w:t>
      </w:r>
      <w:proofErr w:type="spellEnd"/>
      <w:r w:rsidRPr="00616CB0">
        <w:rPr>
          <w:rFonts w:ascii="Arial" w:hAnsi="Arial" w:cs="Arial"/>
          <w:i/>
          <w:iCs/>
          <w:color w:val="000000" w:themeColor="text1"/>
        </w:rPr>
        <w:t>)</w:t>
      </w:r>
      <w:r w:rsidRPr="00616CB0">
        <w:rPr>
          <w:rFonts w:ascii="Arial" w:hAnsi="Arial" w:cs="Arial"/>
          <w:color w:val="000000" w:themeColor="text1"/>
        </w:rPr>
        <w:t>, 84.5 and 54.4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158.5 and 137.5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/L air (</w:t>
      </w:r>
      <w:r w:rsidRPr="00616CB0">
        <w:rPr>
          <w:rFonts w:ascii="Arial" w:hAnsi="Arial" w:cs="Arial"/>
          <w:i/>
          <w:iCs/>
          <w:color w:val="000000" w:themeColor="text1"/>
        </w:rPr>
        <w:t>C. martini</w:t>
      </w:r>
      <w:r w:rsidRPr="00616CB0">
        <w:rPr>
          <w:rFonts w:ascii="Arial" w:hAnsi="Arial" w:cs="Arial"/>
          <w:color w:val="000000" w:themeColor="text1"/>
        </w:rPr>
        <w:t>) after 24 and 48 h exposure</w:t>
      </w:r>
      <w:r w:rsidR="00D442D7">
        <w:rPr>
          <w:rFonts w:ascii="Arial" w:hAnsi="Arial" w:cs="Arial"/>
          <w:color w:val="000000" w:themeColor="text1"/>
        </w:rPr>
        <w:t>”</w:t>
      </w:r>
      <w:r w:rsidRPr="00616CB0">
        <w:rPr>
          <w:rFonts w:ascii="Arial" w:hAnsi="Arial" w:cs="Arial"/>
          <w:color w:val="000000" w:themeColor="text1"/>
        </w:rPr>
        <w:t xml:space="preserve">. This study corroborates our results since the essential oils from similar species of plants are having similar LC </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in both the studies. Another study by Jayakumar et al. (2017) evaluated the fumigant toxicity of citronella essential oil against adult rice weevils, the results revealed that LC </w:t>
      </w:r>
      <w:r w:rsidRPr="00616CB0">
        <w:rPr>
          <w:rFonts w:ascii="Arial" w:hAnsi="Arial" w:cs="Arial"/>
          <w:color w:val="000000" w:themeColor="text1"/>
          <w:vertAlign w:val="subscript"/>
        </w:rPr>
        <w:t>50</w:t>
      </w:r>
      <w:r w:rsidRPr="00616CB0">
        <w:rPr>
          <w:rFonts w:ascii="Arial" w:hAnsi="Arial" w:cs="Arial"/>
          <w:color w:val="000000" w:themeColor="text1"/>
        </w:rPr>
        <w:t xml:space="preserve"> was </w:t>
      </w:r>
      <w:r w:rsidRPr="00616CB0">
        <w:rPr>
          <w:rFonts w:ascii="Arial" w:hAnsi="Arial" w:cs="Arial"/>
          <w:color w:val="000000" w:themeColor="text1"/>
          <w:lang w:val="en-IN"/>
        </w:rPr>
        <w:t>106.27</w:t>
      </w:r>
      <w:r w:rsidRPr="00616CB0">
        <w:rPr>
          <w:rFonts w:ascii="Arial" w:hAnsi="Arial" w:cs="Arial"/>
          <w:color w:val="000000" w:themeColor="text1"/>
        </w:rPr>
        <w:t xml:space="preserve">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w:t>
      </w:r>
      <w:r w:rsidRPr="00616CB0">
        <w:rPr>
          <w:rFonts w:ascii="Arial" w:hAnsi="Arial" w:cs="Arial"/>
          <w:color w:val="000000" w:themeColor="text1"/>
        </w:rPr>
        <w:t>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w:t>
      </w:r>
      <w:r w:rsidRPr="00616CB0">
        <w:rPr>
          <w:rFonts w:ascii="Arial" w:hAnsi="Arial" w:cs="Arial"/>
          <w:color w:val="000000" w:themeColor="text1"/>
          <w:lang w:val="en-IN"/>
        </w:rPr>
        <w:t xml:space="preserve"> 163.30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after 24 </w:t>
      </w:r>
      <w:r w:rsidRPr="00616CB0">
        <w:rPr>
          <w:rFonts w:ascii="Arial" w:hAnsi="Arial" w:cs="Arial"/>
          <w:color w:val="000000" w:themeColor="text1"/>
        </w:rPr>
        <w:t xml:space="preserve">HAT. LC </w:t>
      </w:r>
      <w:r w:rsidRPr="00616CB0">
        <w:rPr>
          <w:rFonts w:ascii="Arial" w:hAnsi="Arial" w:cs="Arial"/>
          <w:color w:val="000000" w:themeColor="text1"/>
          <w:vertAlign w:val="subscript"/>
        </w:rPr>
        <w:t>50</w:t>
      </w:r>
      <w:r w:rsidRPr="00616CB0">
        <w:rPr>
          <w:rFonts w:ascii="Arial" w:hAnsi="Arial" w:cs="Arial"/>
          <w:color w:val="000000" w:themeColor="text1"/>
        </w:rPr>
        <w:t xml:space="preserve"> was 81.31μL/ 70 mL air</w:t>
      </w:r>
      <w:r w:rsidRPr="00616CB0">
        <w:rPr>
          <w:rFonts w:ascii="Arial" w:hAnsi="Arial" w:cs="Arial"/>
          <w:color w:val="000000" w:themeColor="text1"/>
          <w:lang w:val="en-IN"/>
        </w:rPr>
        <w:t xml:space="preserve"> </w:t>
      </w:r>
      <w:r w:rsidRPr="00616CB0">
        <w:rPr>
          <w:rFonts w:ascii="Arial" w:hAnsi="Arial" w:cs="Arial"/>
          <w:color w:val="000000" w:themeColor="text1"/>
        </w:rPr>
        <w:t>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w:t>
      </w:r>
      <w:r w:rsidRPr="00616CB0">
        <w:rPr>
          <w:rFonts w:ascii="Arial" w:hAnsi="Arial" w:cs="Arial"/>
          <w:color w:val="000000" w:themeColor="text1"/>
          <w:lang w:val="en-IN"/>
        </w:rPr>
        <w:t xml:space="preserve"> </w:t>
      </w:r>
      <w:r w:rsidRPr="00616CB0">
        <w:rPr>
          <w:rFonts w:ascii="Arial" w:hAnsi="Arial" w:cs="Arial"/>
          <w:color w:val="000000" w:themeColor="text1"/>
        </w:rPr>
        <w:t xml:space="preserve">125.82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 70 mL air</w:t>
      </w:r>
      <w:r w:rsidRPr="00616CB0">
        <w:rPr>
          <w:rFonts w:ascii="Arial" w:hAnsi="Arial" w:cs="Arial"/>
          <w:color w:val="000000" w:themeColor="text1"/>
          <w:lang w:val="en-IN"/>
        </w:rPr>
        <w:t xml:space="preserve"> after 4</w:t>
      </w:r>
      <w:r w:rsidRPr="00616CB0">
        <w:rPr>
          <w:rFonts w:ascii="Arial" w:hAnsi="Arial" w:cs="Arial"/>
          <w:color w:val="000000" w:themeColor="text1"/>
        </w:rPr>
        <w:t>8</w:t>
      </w:r>
      <w:r w:rsidRPr="00616CB0">
        <w:rPr>
          <w:rFonts w:ascii="Arial" w:hAnsi="Arial" w:cs="Arial"/>
          <w:color w:val="000000" w:themeColor="text1"/>
          <w:lang w:val="en-IN"/>
        </w:rPr>
        <w:t xml:space="preserve"> </w:t>
      </w:r>
      <w:r w:rsidRPr="00616CB0">
        <w:rPr>
          <w:rFonts w:ascii="Arial" w:hAnsi="Arial" w:cs="Arial"/>
          <w:color w:val="000000" w:themeColor="text1"/>
        </w:rPr>
        <w:t>HAT. In all the cases, citronella essential oil showed substantial fumigant toxicity against rice weevil.</w:t>
      </w:r>
      <w:r w:rsidR="00BB4964">
        <w:rPr>
          <w:rFonts w:ascii="Arial" w:hAnsi="Arial" w:cs="Arial"/>
          <w:color w:val="000000" w:themeColor="text1"/>
        </w:rPr>
        <w:t xml:space="preserve"> </w:t>
      </w:r>
      <w:r w:rsidR="00D442D7">
        <w:rPr>
          <w:rFonts w:ascii="Arial" w:hAnsi="Arial" w:cs="Arial"/>
          <w:color w:val="000000" w:themeColor="text1"/>
        </w:rPr>
        <w:t>“</w:t>
      </w:r>
      <w:r w:rsidR="00BB4964" w:rsidRPr="00965056">
        <w:rPr>
          <w:rFonts w:ascii="Arial" w:hAnsi="Arial" w:cs="Arial"/>
        </w:rPr>
        <w:t xml:space="preserve">Essential oil of </w:t>
      </w:r>
      <w:r w:rsidR="00BB4964" w:rsidRPr="00965056">
        <w:rPr>
          <w:rFonts w:ascii="Arial" w:hAnsi="Arial" w:cs="Arial"/>
          <w:i/>
          <w:iCs/>
        </w:rPr>
        <w:t xml:space="preserve">C. </w:t>
      </w:r>
      <w:proofErr w:type="spellStart"/>
      <w:r w:rsidR="00BB4964" w:rsidRPr="00965056">
        <w:rPr>
          <w:rFonts w:ascii="Arial" w:hAnsi="Arial" w:cs="Arial"/>
          <w:i/>
          <w:iCs/>
        </w:rPr>
        <w:t>nardus</w:t>
      </w:r>
      <w:proofErr w:type="spellEnd"/>
      <w:r w:rsidR="00BB4964" w:rsidRPr="00965056">
        <w:rPr>
          <w:rFonts w:ascii="Arial" w:hAnsi="Arial" w:cs="Arial"/>
        </w:rPr>
        <w:t xml:space="preserve"> leaves showed high fumigant activity against</w:t>
      </w:r>
      <w:r w:rsidR="00BB4964" w:rsidRPr="003653B9">
        <w:rPr>
          <w:rFonts w:ascii="Arial" w:hAnsi="Arial" w:cs="Arial"/>
          <w:i/>
          <w:iCs/>
        </w:rPr>
        <w:t xml:space="preserve"> </w:t>
      </w:r>
      <w:proofErr w:type="spellStart"/>
      <w:r w:rsidR="00BB4964" w:rsidRPr="003653B9">
        <w:rPr>
          <w:rFonts w:ascii="Arial" w:hAnsi="Arial" w:cs="Arial"/>
          <w:i/>
          <w:iCs/>
        </w:rPr>
        <w:t>Dinoderus</w:t>
      </w:r>
      <w:proofErr w:type="spellEnd"/>
      <w:r w:rsidR="00BB4964" w:rsidRPr="00965056">
        <w:rPr>
          <w:rFonts w:ascii="Arial" w:hAnsi="Arial" w:cs="Arial"/>
          <w:i/>
          <w:iCs/>
        </w:rPr>
        <w:t xml:space="preserve"> </w:t>
      </w:r>
      <w:proofErr w:type="spellStart"/>
      <w:r w:rsidR="00BB4964" w:rsidRPr="00965056">
        <w:rPr>
          <w:rFonts w:ascii="Arial" w:hAnsi="Arial" w:cs="Arial"/>
          <w:i/>
          <w:iCs/>
        </w:rPr>
        <w:t>porcellus</w:t>
      </w:r>
      <w:proofErr w:type="spellEnd"/>
      <w:r w:rsidR="00BB4964" w:rsidRPr="00965056">
        <w:rPr>
          <w:rFonts w:ascii="Arial" w:hAnsi="Arial" w:cs="Arial"/>
        </w:rPr>
        <w:t xml:space="preserve"> adults at different concentrations and exposure times. </w:t>
      </w:r>
      <w:r w:rsidR="00BB4964">
        <w:rPr>
          <w:rFonts w:ascii="Arial" w:hAnsi="Arial" w:cs="Arial"/>
        </w:rPr>
        <w:t xml:space="preserve">Doses ranging from </w:t>
      </w:r>
      <w:r w:rsidR="00BB4964" w:rsidRPr="00965056">
        <w:rPr>
          <w:rFonts w:ascii="Arial" w:hAnsi="Arial" w:cs="Arial"/>
        </w:rPr>
        <w:t xml:space="preserve">20 </w:t>
      </w:r>
      <w:proofErr w:type="spellStart"/>
      <w:r w:rsidR="00BB4964" w:rsidRPr="00965056">
        <w:rPr>
          <w:rFonts w:ascii="Arial" w:hAnsi="Arial" w:cs="Arial"/>
        </w:rPr>
        <w:t>μL</w:t>
      </w:r>
      <w:proofErr w:type="spellEnd"/>
      <w:r w:rsidR="00BB4964" w:rsidRPr="00965056">
        <w:rPr>
          <w:rFonts w:ascii="Arial" w:hAnsi="Arial" w:cs="Arial"/>
        </w:rPr>
        <w:t xml:space="preserve">/L air to 160 </w:t>
      </w:r>
      <w:proofErr w:type="spellStart"/>
      <w:r w:rsidR="00BB4964" w:rsidRPr="00965056">
        <w:rPr>
          <w:rFonts w:ascii="Arial" w:hAnsi="Arial" w:cs="Arial"/>
        </w:rPr>
        <w:t>μL</w:t>
      </w:r>
      <w:proofErr w:type="spellEnd"/>
      <w:r w:rsidR="00BB4964" w:rsidRPr="00965056">
        <w:rPr>
          <w:rFonts w:ascii="Arial" w:hAnsi="Arial" w:cs="Arial"/>
        </w:rPr>
        <w:t xml:space="preserve">/L air were </w:t>
      </w:r>
      <w:r w:rsidR="00BB4964">
        <w:rPr>
          <w:rFonts w:ascii="Arial" w:hAnsi="Arial" w:cs="Arial"/>
        </w:rPr>
        <w:t>appli</w:t>
      </w:r>
      <w:r w:rsidR="00BB4964" w:rsidRPr="00965056">
        <w:rPr>
          <w:rFonts w:ascii="Arial" w:hAnsi="Arial" w:cs="Arial"/>
        </w:rPr>
        <w:t>ed, result</w:t>
      </w:r>
      <w:r w:rsidR="00BB4964">
        <w:rPr>
          <w:rFonts w:ascii="Arial" w:hAnsi="Arial" w:cs="Arial"/>
        </w:rPr>
        <w:t>ing</w:t>
      </w:r>
      <w:r w:rsidR="00BB4964" w:rsidRPr="00965056">
        <w:rPr>
          <w:rFonts w:ascii="Arial" w:hAnsi="Arial" w:cs="Arial"/>
        </w:rPr>
        <w:t xml:space="preserve"> in </w:t>
      </w:r>
      <w:r w:rsidR="00BB4964">
        <w:rPr>
          <w:rFonts w:ascii="Arial" w:hAnsi="Arial" w:cs="Arial"/>
        </w:rPr>
        <w:t xml:space="preserve">an </w:t>
      </w:r>
      <w:r w:rsidR="00BB4964" w:rsidRPr="00965056">
        <w:rPr>
          <w:rFonts w:ascii="Arial" w:hAnsi="Arial" w:cs="Arial"/>
        </w:rPr>
        <w:t>increase in per cent mortality as the doses and exposure days increased</w:t>
      </w:r>
      <w:r w:rsidR="00D442D7">
        <w:rPr>
          <w:rFonts w:ascii="Arial" w:hAnsi="Arial" w:cs="Arial"/>
        </w:rPr>
        <w:t>”</w:t>
      </w:r>
      <w:r w:rsidR="00BB4964">
        <w:rPr>
          <w:rFonts w:ascii="Arial" w:hAnsi="Arial" w:cs="Arial"/>
        </w:rPr>
        <w:t xml:space="preserve"> </w:t>
      </w:r>
      <w:r w:rsidR="00BB4964" w:rsidRPr="00965056">
        <w:rPr>
          <w:rFonts w:ascii="Arial" w:hAnsi="Arial" w:cs="Arial"/>
        </w:rPr>
        <w:t>(</w:t>
      </w:r>
      <w:proofErr w:type="spellStart"/>
      <w:r w:rsidR="00BB4964" w:rsidRPr="00965056">
        <w:rPr>
          <w:rFonts w:ascii="Arial" w:hAnsi="Arial" w:cs="Arial"/>
        </w:rPr>
        <w:t>Loko</w:t>
      </w:r>
      <w:proofErr w:type="spellEnd"/>
      <w:r w:rsidR="00BB4964" w:rsidRPr="00965056">
        <w:rPr>
          <w:rFonts w:ascii="Arial" w:hAnsi="Arial" w:cs="Arial"/>
        </w:rPr>
        <w:t xml:space="preserve"> et al., 2021)</w:t>
      </w:r>
      <w:r w:rsidR="00BB4964">
        <w:rPr>
          <w:rFonts w:ascii="Arial" w:hAnsi="Arial" w:cs="Arial"/>
        </w:rPr>
        <w:t>.</w:t>
      </w:r>
      <w:r w:rsidRPr="00616CB0">
        <w:rPr>
          <w:rFonts w:ascii="Arial" w:hAnsi="Arial" w:cs="Arial"/>
          <w:color w:val="000000" w:themeColor="text1"/>
        </w:rPr>
        <w:t xml:space="preserve"> Essential oils can act as insecticidal compounds by the inhibition of the acetylcholinesterase enzyme, which is a neurotransmitter in the insect nervous system and the most studied enzyme in stored-product insects. Essential oils can cause paralysis in insects by acting as neurotoxins and may be followed by mortality</w:t>
      </w:r>
      <w:r w:rsidR="000824C9">
        <w:rPr>
          <w:rFonts w:ascii="Arial" w:hAnsi="Arial" w:cs="Arial"/>
          <w:color w:val="000000" w:themeColor="text1"/>
        </w:rPr>
        <w:t xml:space="preserve"> </w:t>
      </w:r>
      <w:r w:rsidRPr="00616CB0">
        <w:rPr>
          <w:rFonts w:ascii="Arial" w:hAnsi="Arial" w:cs="Arial"/>
          <w:color w:val="000000" w:themeColor="text1"/>
        </w:rPr>
        <w:t>(</w:t>
      </w:r>
      <w:bookmarkStart w:id="3" w:name="bbib9"/>
      <w:r w:rsidRPr="00616CB0">
        <w:rPr>
          <w:rFonts w:ascii="Arial" w:hAnsi="Arial" w:cs="Arial"/>
          <w:color w:val="000000" w:themeColor="text1"/>
        </w:rPr>
        <w:t>Campolo et al., 2018</w:t>
      </w:r>
      <w:bookmarkEnd w:id="3"/>
      <w:r w:rsidRPr="00616CB0">
        <w:rPr>
          <w:rFonts w:ascii="Arial" w:hAnsi="Arial" w:cs="Arial"/>
          <w:color w:val="000000" w:themeColor="text1"/>
        </w:rPr>
        <w:t>).</w:t>
      </w:r>
    </w:p>
    <w:p w14:paraId="76ED6F99" w14:textId="77777777" w:rsidR="004E60B9" w:rsidRPr="00616CB0" w:rsidRDefault="004E60B9" w:rsidP="009E5594">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p>
    <w:p w14:paraId="4262D0D9" w14:textId="77777777" w:rsidR="00E63C57" w:rsidRPr="00616CB0" w:rsidRDefault="00E63C57" w:rsidP="00E63C57">
      <w:pPr>
        <w:widowControl w:val="0"/>
        <w:jc w:val="center"/>
        <w:rPr>
          <w:rFonts w:ascii="Arial" w:hAnsi="Arial" w:cs="Arial"/>
          <w:color w:val="000000" w:themeColor="text1"/>
        </w:rPr>
      </w:pPr>
      <w:r w:rsidRPr="00616CB0">
        <w:rPr>
          <w:noProof/>
          <w:color w:val="000000" w:themeColor="text1"/>
        </w:rPr>
        <w:drawing>
          <wp:inline distT="0" distB="0" distL="0" distR="0" wp14:anchorId="41A01DA7" wp14:editId="369E62EA">
            <wp:extent cx="4572000" cy="2743200"/>
            <wp:effectExtent l="0" t="0" r="0" b="0"/>
            <wp:docPr id="348590322" name="Chart 1">
              <a:extLst xmlns:a="http://schemas.openxmlformats.org/drawingml/2006/main">
                <a:ext uri="{FF2B5EF4-FFF2-40B4-BE49-F238E27FC236}">
                  <a16:creationId xmlns:a16="http://schemas.microsoft.com/office/drawing/2014/main" id="{95DAD4BD-27FD-7DD5-756C-A6334504E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2E800" w14:textId="77777777" w:rsidR="00E63C57" w:rsidRPr="00616CB0" w:rsidRDefault="00E63C57" w:rsidP="00E63C57">
      <w:pPr>
        <w:widowControl w:val="0"/>
        <w:jc w:val="center"/>
        <w:rPr>
          <w:rFonts w:ascii="Arial" w:hAnsi="Arial" w:cs="Arial"/>
          <w:b/>
          <w:bCs/>
          <w:color w:val="000000" w:themeColor="text1"/>
        </w:rPr>
      </w:pPr>
    </w:p>
    <w:p w14:paraId="138F25DE" w14:textId="7E331ADC" w:rsidR="00176B97" w:rsidRPr="00616CB0" w:rsidRDefault="00E63C57" w:rsidP="00176B97">
      <w:pPr>
        <w:widowControl w:val="0"/>
        <w:spacing w:after="240"/>
        <w:jc w:val="center"/>
        <w:rPr>
          <w:rFonts w:ascii="Arial" w:hAnsi="Arial" w:cs="Arial"/>
          <w:b/>
          <w:bCs/>
          <w:color w:val="000000" w:themeColor="text1"/>
        </w:rPr>
      </w:pPr>
      <w:r w:rsidRPr="00616CB0">
        <w:rPr>
          <w:rFonts w:ascii="Arial" w:hAnsi="Arial" w:cs="Arial"/>
          <w:b/>
          <w:bCs/>
          <w:color w:val="000000" w:themeColor="text1"/>
        </w:rPr>
        <w:t>Fig. 1.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 fumigant bioassay with Citronella essential oil</w:t>
      </w:r>
    </w:p>
    <w:p w14:paraId="339BAD57" w14:textId="16F32F92" w:rsidR="006061A6" w:rsidRPr="00616CB0" w:rsidRDefault="00716BA0" w:rsidP="004E60B9">
      <w:pPr>
        <w:pStyle w:val="Body"/>
        <w:ind w:firstLine="720"/>
        <w:jc w:val="center"/>
        <w:rPr>
          <w:rFonts w:ascii="Arial" w:hAnsi="Arial" w:cs="Arial"/>
          <w:i/>
          <w:iCs/>
          <w:color w:val="000000" w:themeColor="text1"/>
          <w:vertAlign w:val="superscript"/>
        </w:rPr>
      </w:pPr>
      <w:r w:rsidRPr="00616CB0">
        <w:rPr>
          <w:rFonts w:ascii="Arial" w:hAnsi="Arial" w:cs="Arial"/>
          <w:i/>
          <w:iCs/>
          <w:color w:val="000000" w:themeColor="text1"/>
          <w:vertAlign w:val="superscript"/>
        </w:rPr>
        <w:t xml:space="preserve">Error bar indicates </w:t>
      </w:r>
      <w:r w:rsidR="00176B97" w:rsidRPr="00616CB0">
        <w:rPr>
          <w:rFonts w:ascii="Arial" w:hAnsi="Arial" w:cs="Arial"/>
          <w:i/>
          <w:iCs/>
          <w:color w:val="000000" w:themeColor="text1"/>
          <w:vertAlign w:val="superscript"/>
        </w:rPr>
        <w:t>s</w:t>
      </w:r>
      <w:r w:rsidRPr="00616CB0">
        <w:rPr>
          <w:rFonts w:ascii="Arial" w:hAnsi="Arial" w:cs="Arial"/>
          <w:i/>
          <w:iCs/>
          <w:color w:val="000000" w:themeColor="text1"/>
          <w:vertAlign w:val="superscript"/>
        </w:rPr>
        <w:t xml:space="preserve">tandard </w:t>
      </w:r>
      <w:r w:rsidR="00176B97" w:rsidRPr="00616CB0">
        <w:rPr>
          <w:rFonts w:ascii="Arial" w:hAnsi="Arial" w:cs="Arial"/>
          <w:i/>
          <w:iCs/>
          <w:color w:val="000000" w:themeColor="text1"/>
          <w:vertAlign w:val="superscript"/>
        </w:rPr>
        <w:t>deviation of each treatment</w:t>
      </w:r>
    </w:p>
    <w:p w14:paraId="00B613C9" w14:textId="34D6E854" w:rsidR="006061A6" w:rsidRPr="00616CB0" w:rsidRDefault="006061A6" w:rsidP="006061A6">
      <w:pPr>
        <w:widowControl w:val="0"/>
        <w:jc w:val="both"/>
        <w:rPr>
          <w:rFonts w:ascii="Arial" w:hAnsi="Arial" w:cs="Arial"/>
          <w:b/>
          <w:bCs/>
          <w:color w:val="000000" w:themeColor="text1"/>
          <w:vertAlign w:val="subscript"/>
        </w:rPr>
      </w:pPr>
      <w:r w:rsidRPr="00616CB0">
        <w:rPr>
          <w:rFonts w:ascii="Arial" w:hAnsi="Arial" w:cs="Arial"/>
          <w:b/>
          <w:bCs/>
          <w:color w:val="000000" w:themeColor="text1"/>
        </w:rPr>
        <w:t>Table 1. Fumigant toxicity of citronella essential oil against rice weevil</w:t>
      </w:r>
    </w:p>
    <w:tbl>
      <w:tblPr>
        <w:tblStyle w:val="TableGrid"/>
        <w:tblW w:w="104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
        <w:gridCol w:w="719"/>
        <w:gridCol w:w="567"/>
        <w:gridCol w:w="1407"/>
        <w:gridCol w:w="850"/>
        <w:gridCol w:w="1129"/>
        <w:gridCol w:w="1281"/>
        <w:gridCol w:w="851"/>
        <w:gridCol w:w="1134"/>
        <w:gridCol w:w="1559"/>
      </w:tblGrid>
      <w:tr w:rsidR="00616CB0" w:rsidRPr="00616CB0" w14:paraId="57C6D0A9" w14:textId="77777777" w:rsidTr="0087166B">
        <w:trPr>
          <w:trHeight w:val="1120"/>
          <w:jc w:val="center"/>
        </w:trPr>
        <w:tc>
          <w:tcPr>
            <w:tcW w:w="988" w:type="dxa"/>
            <w:vMerge w:val="restart"/>
            <w:tcBorders>
              <w:top w:val="single" w:sz="4" w:space="0" w:color="auto"/>
              <w:bottom w:val="single" w:sz="4" w:space="0" w:color="auto"/>
            </w:tcBorders>
            <w:vAlign w:val="center"/>
          </w:tcPr>
          <w:p w14:paraId="6421C2C9"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HAT</w:t>
            </w:r>
          </w:p>
        </w:tc>
        <w:tc>
          <w:tcPr>
            <w:tcW w:w="719" w:type="dxa"/>
            <w:vMerge w:val="restart"/>
            <w:tcBorders>
              <w:top w:val="single" w:sz="4" w:space="0" w:color="auto"/>
              <w:bottom w:val="single" w:sz="4" w:space="0" w:color="auto"/>
            </w:tcBorders>
            <w:vAlign w:val="center"/>
          </w:tcPr>
          <w:p w14:paraId="7E3A7EC5" w14:textId="77777777" w:rsidR="006061A6" w:rsidRPr="00616CB0" w:rsidRDefault="006061A6" w:rsidP="0087166B">
            <w:pPr>
              <w:jc w:val="center"/>
              <w:rPr>
                <w:rFonts w:ascii="Arial" w:hAnsi="Arial" w:cs="Arial"/>
                <w:color w:val="000000" w:themeColor="text1"/>
                <w:sz w:val="20"/>
                <w:szCs w:val="20"/>
              </w:rPr>
            </w:pPr>
            <w:r w:rsidRPr="00616CB0">
              <w:rPr>
                <w:rFonts w:ascii="Cambria Math" w:eastAsia="Times New Roman" w:hAnsi="Cambria Math" w:cs="Cambria Math"/>
                <w:b/>
                <w:color w:val="000000" w:themeColor="text1"/>
                <w:sz w:val="20"/>
                <w:szCs w:val="20"/>
              </w:rPr>
              <w:t>𝝌</w:t>
            </w:r>
            <w:r w:rsidRPr="00616CB0">
              <w:rPr>
                <w:rFonts w:ascii="Arial" w:eastAsia="Times New Roman" w:hAnsi="Arial" w:cs="Arial"/>
                <w:b/>
                <w:color w:val="000000" w:themeColor="text1"/>
                <w:sz w:val="20"/>
                <w:szCs w:val="20"/>
                <w:vertAlign w:val="superscript"/>
              </w:rPr>
              <w:t>2</w:t>
            </w:r>
          </w:p>
        </w:tc>
        <w:tc>
          <w:tcPr>
            <w:tcW w:w="567" w:type="dxa"/>
            <w:vMerge w:val="restart"/>
            <w:tcBorders>
              <w:top w:val="single" w:sz="4" w:space="0" w:color="auto"/>
              <w:bottom w:val="single" w:sz="4" w:space="0" w:color="auto"/>
            </w:tcBorders>
            <w:vAlign w:val="center"/>
          </w:tcPr>
          <w:p w14:paraId="251E4A7F" w14:textId="77777777" w:rsidR="006061A6" w:rsidRPr="00616CB0" w:rsidRDefault="006061A6" w:rsidP="0087166B">
            <w:pPr>
              <w:jc w:val="center"/>
              <w:rPr>
                <w:rFonts w:ascii="Arial" w:hAnsi="Arial" w:cs="Arial"/>
                <w:color w:val="000000" w:themeColor="text1"/>
                <w:sz w:val="20"/>
                <w:szCs w:val="20"/>
              </w:rPr>
            </w:pPr>
            <w:proofErr w:type="spellStart"/>
            <w:r w:rsidRPr="00616CB0">
              <w:rPr>
                <w:rFonts w:ascii="Arial" w:eastAsia="Times New Roman" w:hAnsi="Arial" w:cs="Arial"/>
                <w:b/>
                <w:color w:val="000000" w:themeColor="text1"/>
                <w:sz w:val="20"/>
                <w:szCs w:val="20"/>
              </w:rPr>
              <w:t>d.f.</w:t>
            </w:r>
            <w:proofErr w:type="spellEnd"/>
          </w:p>
        </w:tc>
        <w:tc>
          <w:tcPr>
            <w:tcW w:w="1407" w:type="dxa"/>
            <w:vMerge w:val="restart"/>
            <w:tcBorders>
              <w:top w:val="single" w:sz="4" w:space="0" w:color="auto"/>
              <w:bottom w:val="single" w:sz="4" w:space="0" w:color="auto"/>
            </w:tcBorders>
            <w:vAlign w:val="center"/>
          </w:tcPr>
          <w:p w14:paraId="161CB897" w14:textId="77777777" w:rsidR="006061A6" w:rsidRPr="00616CB0" w:rsidRDefault="006061A6"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50</w:t>
            </w:r>
          </w:p>
          <w:p w14:paraId="66E23326"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(µLL</w:t>
            </w:r>
            <w:r w:rsidRPr="00616CB0">
              <w:rPr>
                <w:rFonts w:ascii="Arial" w:eastAsia="Times New Roman" w:hAnsi="Arial" w:cs="Arial"/>
                <w:b/>
                <w:color w:val="000000" w:themeColor="text1"/>
                <w:sz w:val="20"/>
                <w:szCs w:val="20"/>
                <w:vertAlign w:val="superscript"/>
              </w:rPr>
              <w:t>-1</w:t>
            </w:r>
            <w:r w:rsidRPr="00616CB0">
              <w:rPr>
                <w:rFonts w:ascii="Arial" w:eastAsia="Times New Roman" w:hAnsi="Arial" w:cs="Arial"/>
                <w:b/>
                <w:color w:val="000000" w:themeColor="text1"/>
                <w:sz w:val="20"/>
                <w:szCs w:val="20"/>
              </w:rPr>
              <w:t xml:space="preserve"> air)</w:t>
            </w:r>
          </w:p>
          <w:p w14:paraId="0ED11EC9"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(95% CL)</w:t>
            </w:r>
          </w:p>
        </w:tc>
        <w:tc>
          <w:tcPr>
            <w:tcW w:w="1979" w:type="dxa"/>
            <w:gridSpan w:val="2"/>
            <w:tcBorders>
              <w:top w:val="single" w:sz="4" w:space="0" w:color="auto"/>
              <w:bottom w:val="single" w:sz="4" w:space="0" w:color="auto"/>
            </w:tcBorders>
          </w:tcPr>
          <w:p w14:paraId="0796C0AB" w14:textId="77777777" w:rsidR="006061A6" w:rsidRPr="00616CB0" w:rsidRDefault="006061A6" w:rsidP="0087166B">
            <w:pPr>
              <w:widowControl w:val="0"/>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    Fiducial limit </w:t>
            </w:r>
          </w:p>
          <w:p w14:paraId="3D6A03B6"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281" w:type="dxa"/>
            <w:vMerge w:val="restart"/>
            <w:tcBorders>
              <w:top w:val="single" w:sz="4" w:space="0" w:color="auto"/>
              <w:bottom w:val="single" w:sz="4" w:space="0" w:color="auto"/>
            </w:tcBorders>
            <w:vAlign w:val="center"/>
          </w:tcPr>
          <w:p w14:paraId="271D41AC" w14:textId="77777777" w:rsidR="006061A6" w:rsidRPr="00616CB0" w:rsidRDefault="006061A6"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90</w:t>
            </w:r>
          </w:p>
          <w:p w14:paraId="286D342F"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(µLL</w:t>
            </w:r>
            <w:r w:rsidRPr="00616CB0">
              <w:rPr>
                <w:rFonts w:ascii="Arial" w:eastAsia="Times New Roman" w:hAnsi="Arial" w:cs="Arial"/>
                <w:b/>
                <w:color w:val="000000" w:themeColor="text1"/>
                <w:sz w:val="20"/>
                <w:szCs w:val="20"/>
                <w:vertAlign w:val="superscript"/>
              </w:rPr>
              <w:t>-1</w:t>
            </w:r>
            <w:r w:rsidRPr="00616CB0">
              <w:rPr>
                <w:rFonts w:ascii="Arial" w:eastAsia="Times New Roman" w:hAnsi="Arial" w:cs="Arial"/>
                <w:b/>
                <w:color w:val="000000" w:themeColor="text1"/>
                <w:sz w:val="20"/>
                <w:szCs w:val="20"/>
              </w:rPr>
              <w:t xml:space="preserve"> air)</w:t>
            </w:r>
          </w:p>
          <w:p w14:paraId="0077BA9B"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(95% CL)</w:t>
            </w:r>
          </w:p>
        </w:tc>
        <w:tc>
          <w:tcPr>
            <w:tcW w:w="1985" w:type="dxa"/>
            <w:gridSpan w:val="2"/>
            <w:tcBorders>
              <w:top w:val="single" w:sz="4" w:space="0" w:color="auto"/>
              <w:bottom w:val="single" w:sz="4" w:space="0" w:color="auto"/>
            </w:tcBorders>
          </w:tcPr>
          <w:p w14:paraId="0C3E8362"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Fiducial limit</w:t>
            </w:r>
          </w:p>
          <w:p w14:paraId="55430D7C"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p w14:paraId="08692CF3" w14:textId="77777777" w:rsidR="006061A6" w:rsidRPr="00616CB0" w:rsidRDefault="006061A6" w:rsidP="0087166B">
            <w:pPr>
              <w:jc w:val="center"/>
              <w:rPr>
                <w:rFonts w:ascii="Arial" w:eastAsia="Times New Roman" w:hAnsi="Arial" w:cs="Arial"/>
                <w:b/>
                <w:color w:val="000000" w:themeColor="text1"/>
                <w:sz w:val="20"/>
                <w:szCs w:val="20"/>
              </w:rPr>
            </w:pPr>
          </w:p>
        </w:tc>
        <w:tc>
          <w:tcPr>
            <w:tcW w:w="1559" w:type="dxa"/>
            <w:vMerge w:val="restart"/>
            <w:tcBorders>
              <w:top w:val="single" w:sz="4" w:space="0" w:color="auto"/>
              <w:bottom w:val="single" w:sz="4" w:space="0" w:color="auto"/>
            </w:tcBorders>
            <w:vAlign w:val="center"/>
          </w:tcPr>
          <w:p w14:paraId="45EE0872" w14:textId="77777777" w:rsidR="006061A6" w:rsidRPr="00616CB0" w:rsidRDefault="006061A6"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Slope ± SE</w:t>
            </w:r>
          </w:p>
        </w:tc>
      </w:tr>
      <w:tr w:rsidR="00616CB0" w:rsidRPr="00616CB0" w14:paraId="74716FD6" w14:textId="77777777" w:rsidTr="0087166B">
        <w:trPr>
          <w:trHeight w:val="570"/>
          <w:jc w:val="center"/>
        </w:trPr>
        <w:tc>
          <w:tcPr>
            <w:tcW w:w="988" w:type="dxa"/>
            <w:vMerge/>
            <w:tcBorders>
              <w:top w:val="single" w:sz="4" w:space="0" w:color="auto"/>
              <w:bottom w:val="single" w:sz="4" w:space="0" w:color="auto"/>
            </w:tcBorders>
            <w:vAlign w:val="center"/>
          </w:tcPr>
          <w:p w14:paraId="013FB5AC" w14:textId="77777777" w:rsidR="006061A6" w:rsidRPr="00616CB0" w:rsidRDefault="006061A6" w:rsidP="0087166B">
            <w:pPr>
              <w:jc w:val="center"/>
              <w:rPr>
                <w:rFonts w:ascii="Arial" w:eastAsia="Times New Roman" w:hAnsi="Arial" w:cs="Arial"/>
                <w:b/>
                <w:color w:val="000000" w:themeColor="text1"/>
                <w:sz w:val="20"/>
                <w:szCs w:val="20"/>
              </w:rPr>
            </w:pPr>
          </w:p>
        </w:tc>
        <w:tc>
          <w:tcPr>
            <w:tcW w:w="719" w:type="dxa"/>
            <w:vMerge/>
            <w:tcBorders>
              <w:top w:val="single" w:sz="4" w:space="0" w:color="auto"/>
              <w:bottom w:val="single" w:sz="4" w:space="0" w:color="auto"/>
            </w:tcBorders>
            <w:vAlign w:val="center"/>
          </w:tcPr>
          <w:p w14:paraId="04292589" w14:textId="77777777" w:rsidR="006061A6" w:rsidRPr="00616CB0" w:rsidRDefault="006061A6" w:rsidP="0087166B">
            <w:pPr>
              <w:jc w:val="center"/>
              <w:rPr>
                <w:rFonts w:ascii="Arial" w:eastAsia="Times New Roman" w:hAnsi="Arial" w:cs="Arial"/>
                <w:b/>
                <w:color w:val="000000" w:themeColor="text1"/>
                <w:sz w:val="20"/>
                <w:szCs w:val="20"/>
              </w:rPr>
            </w:pPr>
          </w:p>
        </w:tc>
        <w:tc>
          <w:tcPr>
            <w:tcW w:w="567" w:type="dxa"/>
            <w:vMerge/>
            <w:tcBorders>
              <w:top w:val="single" w:sz="4" w:space="0" w:color="auto"/>
              <w:bottom w:val="single" w:sz="4" w:space="0" w:color="auto"/>
            </w:tcBorders>
            <w:vAlign w:val="center"/>
          </w:tcPr>
          <w:p w14:paraId="3991A607" w14:textId="77777777" w:rsidR="006061A6" w:rsidRPr="00616CB0" w:rsidRDefault="006061A6" w:rsidP="0087166B">
            <w:pPr>
              <w:jc w:val="center"/>
              <w:rPr>
                <w:rFonts w:ascii="Arial" w:eastAsia="Times New Roman" w:hAnsi="Arial" w:cs="Arial"/>
                <w:b/>
                <w:color w:val="000000" w:themeColor="text1"/>
                <w:sz w:val="20"/>
                <w:szCs w:val="20"/>
              </w:rPr>
            </w:pPr>
          </w:p>
        </w:tc>
        <w:tc>
          <w:tcPr>
            <w:tcW w:w="1407" w:type="dxa"/>
            <w:vMerge/>
            <w:tcBorders>
              <w:top w:val="single" w:sz="4" w:space="0" w:color="auto"/>
              <w:bottom w:val="single" w:sz="4" w:space="0" w:color="auto"/>
            </w:tcBorders>
            <w:vAlign w:val="center"/>
          </w:tcPr>
          <w:p w14:paraId="239B34CB" w14:textId="77777777" w:rsidR="006061A6" w:rsidRPr="00616CB0" w:rsidRDefault="006061A6" w:rsidP="0087166B">
            <w:pPr>
              <w:widowControl w:val="0"/>
              <w:jc w:val="center"/>
              <w:rPr>
                <w:rFonts w:ascii="Arial" w:eastAsia="Times New Roman" w:hAnsi="Arial" w:cs="Arial"/>
                <w:b/>
                <w:color w:val="000000" w:themeColor="text1"/>
                <w:sz w:val="20"/>
                <w:szCs w:val="20"/>
              </w:rPr>
            </w:pPr>
          </w:p>
        </w:tc>
        <w:tc>
          <w:tcPr>
            <w:tcW w:w="850" w:type="dxa"/>
            <w:tcBorders>
              <w:top w:val="single" w:sz="4" w:space="0" w:color="auto"/>
              <w:bottom w:val="single" w:sz="4" w:space="0" w:color="auto"/>
            </w:tcBorders>
          </w:tcPr>
          <w:p w14:paraId="14450699"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129" w:type="dxa"/>
            <w:tcBorders>
              <w:top w:val="single" w:sz="4" w:space="0" w:color="auto"/>
              <w:bottom w:val="single" w:sz="4" w:space="0" w:color="auto"/>
            </w:tcBorders>
          </w:tcPr>
          <w:p w14:paraId="371ACD8F" w14:textId="77777777" w:rsidR="006061A6" w:rsidRPr="00616CB0" w:rsidRDefault="006061A6"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281" w:type="dxa"/>
            <w:vMerge/>
            <w:tcBorders>
              <w:top w:val="single" w:sz="4" w:space="0" w:color="auto"/>
              <w:bottom w:val="single" w:sz="4" w:space="0" w:color="auto"/>
            </w:tcBorders>
            <w:vAlign w:val="center"/>
          </w:tcPr>
          <w:p w14:paraId="1A4CC6B6" w14:textId="77777777" w:rsidR="006061A6" w:rsidRPr="00616CB0" w:rsidRDefault="006061A6" w:rsidP="0087166B">
            <w:pPr>
              <w:widowControl w:val="0"/>
              <w:jc w:val="center"/>
              <w:rPr>
                <w:rFonts w:ascii="Arial" w:eastAsia="Times New Roman" w:hAnsi="Arial" w:cs="Arial"/>
                <w:b/>
                <w:color w:val="000000" w:themeColor="text1"/>
                <w:sz w:val="20"/>
                <w:szCs w:val="20"/>
              </w:rPr>
            </w:pPr>
          </w:p>
        </w:tc>
        <w:tc>
          <w:tcPr>
            <w:tcW w:w="851" w:type="dxa"/>
            <w:tcBorders>
              <w:top w:val="single" w:sz="4" w:space="0" w:color="auto"/>
              <w:bottom w:val="single" w:sz="4" w:space="0" w:color="auto"/>
            </w:tcBorders>
          </w:tcPr>
          <w:p w14:paraId="0E6FECD7" w14:textId="77777777" w:rsidR="006061A6" w:rsidRPr="00616CB0" w:rsidRDefault="006061A6"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134" w:type="dxa"/>
            <w:tcBorders>
              <w:top w:val="single" w:sz="4" w:space="0" w:color="auto"/>
              <w:bottom w:val="single" w:sz="4" w:space="0" w:color="auto"/>
            </w:tcBorders>
          </w:tcPr>
          <w:p w14:paraId="76DDBAD6" w14:textId="77777777" w:rsidR="006061A6" w:rsidRPr="00616CB0" w:rsidRDefault="006061A6"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559" w:type="dxa"/>
            <w:vMerge/>
            <w:tcBorders>
              <w:top w:val="single" w:sz="4" w:space="0" w:color="auto"/>
              <w:bottom w:val="single" w:sz="4" w:space="0" w:color="auto"/>
            </w:tcBorders>
            <w:vAlign w:val="center"/>
          </w:tcPr>
          <w:p w14:paraId="33558F91" w14:textId="77777777" w:rsidR="006061A6" w:rsidRPr="00616CB0" w:rsidRDefault="006061A6" w:rsidP="0087166B">
            <w:pPr>
              <w:jc w:val="center"/>
              <w:rPr>
                <w:rFonts w:ascii="Arial" w:eastAsia="Times New Roman" w:hAnsi="Arial" w:cs="Arial"/>
                <w:b/>
                <w:color w:val="000000" w:themeColor="text1"/>
                <w:sz w:val="20"/>
                <w:szCs w:val="20"/>
              </w:rPr>
            </w:pPr>
          </w:p>
        </w:tc>
      </w:tr>
      <w:tr w:rsidR="00616CB0" w:rsidRPr="00616CB0" w14:paraId="03846CF8" w14:textId="77777777" w:rsidTr="0087166B">
        <w:trPr>
          <w:trHeight w:val="706"/>
          <w:jc w:val="center"/>
        </w:trPr>
        <w:tc>
          <w:tcPr>
            <w:tcW w:w="988" w:type="dxa"/>
            <w:tcBorders>
              <w:top w:val="single" w:sz="4" w:space="0" w:color="auto"/>
              <w:bottom w:val="single" w:sz="4" w:space="0" w:color="auto"/>
            </w:tcBorders>
          </w:tcPr>
          <w:p w14:paraId="3EDC4D7E"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12 HAT</w:t>
            </w:r>
          </w:p>
        </w:tc>
        <w:tc>
          <w:tcPr>
            <w:tcW w:w="719" w:type="dxa"/>
            <w:tcBorders>
              <w:top w:val="single" w:sz="4" w:space="0" w:color="auto"/>
              <w:bottom w:val="single" w:sz="4" w:space="0" w:color="auto"/>
            </w:tcBorders>
          </w:tcPr>
          <w:p w14:paraId="2495B23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7.04</w:t>
            </w:r>
          </w:p>
        </w:tc>
        <w:tc>
          <w:tcPr>
            <w:tcW w:w="567" w:type="dxa"/>
            <w:tcBorders>
              <w:top w:val="single" w:sz="4" w:space="0" w:color="auto"/>
              <w:bottom w:val="single" w:sz="4" w:space="0" w:color="auto"/>
            </w:tcBorders>
          </w:tcPr>
          <w:p w14:paraId="1DE2C0D9"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407" w:type="dxa"/>
            <w:tcBorders>
              <w:top w:val="single" w:sz="4" w:space="0" w:color="auto"/>
              <w:bottom w:val="single" w:sz="4" w:space="0" w:color="auto"/>
            </w:tcBorders>
          </w:tcPr>
          <w:p w14:paraId="1F0D08A5"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154.86    </w:t>
            </w:r>
          </w:p>
          <w:p w14:paraId="5211642D" w14:textId="77777777" w:rsidR="006061A6" w:rsidRPr="00616CB0" w:rsidRDefault="006061A6" w:rsidP="0087166B">
            <w:pPr>
              <w:jc w:val="center"/>
              <w:rPr>
                <w:rFonts w:ascii="Arial" w:hAnsi="Arial" w:cs="Arial"/>
                <w:color w:val="000000" w:themeColor="text1"/>
                <w:sz w:val="20"/>
                <w:szCs w:val="20"/>
              </w:rPr>
            </w:pPr>
          </w:p>
        </w:tc>
        <w:tc>
          <w:tcPr>
            <w:tcW w:w="850" w:type="dxa"/>
            <w:tcBorders>
              <w:top w:val="single" w:sz="4" w:space="0" w:color="auto"/>
              <w:bottom w:val="single" w:sz="4" w:space="0" w:color="auto"/>
            </w:tcBorders>
          </w:tcPr>
          <w:p w14:paraId="003D021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90.41</w:t>
            </w:r>
          </w:p>
        </w:tc>
        <w:tc>
          <w:tcPr>
            <w:tcW w:w="1129" w:type="dxa"/>
            <w:tcBorders>
              <w:top w:val="single" w:sz="4" w:space="0" w:color="auto"/>
              <w:bottom w:val="single" w:sz="4" w:space="0" w:color="auto"/>
            </w:tcBorders>
          </w:tcPr>
          <w:p w14:paraId="3F851959"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235.12</w:t>
            </w:r>
          </w:p>
        </w:tc>
        <w:tc>
          <w:tcPr>
            <w:tcW w:w="1281" w:type="dxa"/>
            <w:tcBorders>
              <w:top w:val="single" w:sz="4" w:space="0" w:color="auto"/>
              <w:bottom w:val="single" w:sz="4" w:space="0" w:color="auto"/>
            </w:tcBorders>
          </w:tcPr>
          <w:p w14:paraId="702A36A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661.51    </w:t>
            </w:r>
          </w:p>
        </w:tc>
        <w:tc>
          <w:tcPr>
            <w:tcW w:w="851" w:type="dxa"/>
            <w:tcBorders>
              <w:top w:val="single" w:sz="4" w:space="0" w:color="auto"/>
              <w:bottom w:val="single" w:sz="4" w:space="0" w:color="auto"/>
            </w:tcBorders>
          </w:tcPr>
          <w:p w14:paraId="1E7EE22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363.44 </w:t>
            </w:r>
          </w:p>
        </w:tc>
        <w:tc>
          <w:tcPr>
            <w:tcW w:w="1134" w:type="dxa"/>
            <w:tcBorders>
              <w:top w:val="single" w:sz="4" w:space="0" w:color="auto"/>
              <w:bottom w:val="single" w:sz="4" w:space="0" w:color="auto"/>
            </w:tcBorders>
          </w:tcPr>
          <w:p w14:paraId="04B600C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6880.92</w:t>
            </w:r>
          </w:p>
        </w:tc>
        <w:tc>
          <w:tcPr>
            <w:tcW w:w="1559" w:type="dxa"/>
            <w:tcBorders>
              <w:top w:val="single" w:sz="4" w:space="0" w:color="auto"/>
              <w:bottom w:val="single" w:sz="4" w:space="0" w:color="auto"/>
            </w:tcBorders>
          </w:tcPr>
          <w:p w14:paraId="55499921" w14:textId="77777777" w:rsidR="006061A6" w:rsidRPr="00616CB0" w:rsidRDefault="006061A6" w:rsidP="0087166B">
            <w:pPr>
              <w:jc w:val="center"/>
              <w:rPr>
                <w:rFonts w:ascii="Arial" w:eastAsia="Times New Roman" w:hAnsi="Arial" w:cs="Arial"/>
                <w:color w:val="000000" w:themeColor="text1"/>
                <w:sz w:val="20"/>
                <w:szCs w:val="20"/>
              </w:rPr>
            </w:pPr>
            <w:r w:rsidRPr="00616CB0">
              <w:rPr>
                <w:rFonts w:ascii="Arial" w:hAnsi="Arial" w:cs="Arial"/>
                <w:color w:val="000000" w:themeColor="text1"/>
                <w:sz w:val="20"/>
                <w:szCs w:val="20"/>
              </w:rPr>
              <w:t xml:space="preserve">2.03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0.26</w:t>
            </w:r>
          </w:p>
        </w:tc>
      </w:tr>
      <w:tr w:rsidR="00616CB0" w:rsidRPr="00616CB0" w14:paraId="347C9D3C" w14:textId="77777777" w:rsidTr="0087166B">
        <w:trPr>
          <w:trHeight w:val="776"/>
          <w:jc w:val="center"/>
        </w:trPr>
        <w:tc>
          <w:tcPr>
            <w:tcW w:w="988" w:type="dxa"/>
            <w:tcBorders>
              <w:top w:val="single" w:sz="4" w:space="0" w:color="auto"/>
              <w:bottom w:val="single" w:sz="4" w:space="0" w:color="auto"/>
            </w:tcBorders>
            <w:vAlign w:val="center"/>
          </w:tcPr>
          <w:p w14:paraId="0A5521BE"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24 HAT</w:t>
            </w:r>
          </w:p>
        </w:tc>
        <w:tc>
          <w:tcPr>
            <w:tcW w:w="719" w:type="dxa"/>
            <w:tcBorders>
              <w:top w:val="single" w:sz="4" w:space="0" w:color="auto"/>
              <w:bottom w:val="single" w:sz="4" w:space="0" w:color="auto"/>
            </w:tcBorders>
          </w:tcPr>
          <w:p w14:paraId="7EFC199C"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3.07</w:t>
            </w:r>
          </w:p>
        </w:tc>
        <w:tc>
          <w:tcPr>
            <w:tcW w:w="567" w:type="dxa"/>
            <w:tcBorders>
              <w:top w:val="single" w:sz="4" w:space="0" w:color="auto"/>
              <w:bottom w:val="single" w:sz="4" w:space="0" w:color="auto"/>
            </w:tcBorders>
          </w:tcPr>
          <w:p w14:paraId="286F809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     </w:t>
            </w:r>
          </w:p>
        </w:tc>
        <w:tc>
          <w:tcPr>
            <w:tcW w:w="1407" w:type="dxa"/>
            <w:tcBorders>
              <w:top w:val="single" w:sz="4" w:space="0" w:color="auto"/>
              <w:bottom w:val="single" w:sz="4" w:space="0" w:color="auto"/>
            </w:tcBorders>
          </w:tcPr>
          <w:p w14:paraId="58A4F1B4"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71.97    </w:t>
            </w:r>
          </w:p>
        </w:tc>
        <w:tc>
          <w:tcPr>
            <w:tcW w:w="850" w:type="dxa"/>
            <w:tcBorders>
              <w:top w:val="single" w:sz="4" w:space="0" w:color="auto"/>
              <w:bottom w:val="single" w:sz="4" w:space="0" w:color="auto"/>
            </w:tcBorders>
          </w:tcPr>
          <w:p w14:paraId="4AD95FDB"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39.70</w:t>
            </w:r>
          </w:p>
        </w:tc>
        <w:tc>
          <w:tcPr>
            <w:tcW w:w="1129" w:type="dxa"/>
            <w:tcBorders>
              <w:top w:val="single" w:sz="4" w:space="0" w:color="auto"/>
              <w:bottom w:val="single" w:sz="4" w:space="0" w:color="auto"/>
            </w:tcBorders>
          </w:tcPr>
          <w:p w14:paraId="103F29C1"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98.44</w:t>
            </w:r>
          </w:p>
        </w:tc>
        <w:tc>
          <w:tcPr>
            <w:tcW w:w="1281" w:type="dxa"/>
            <w:tcBorders>
              <w:top w:val="single" w:sz="4" w:space="0" w:color="auto"/>
              <w:bottom w:val="single" w:sz="4" w:space="0" w:color="auto"/>
            </w:tcBorders>
          </w:tcPr>
          <w:p w14:paraId="623198B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322.90    </w:t>
            </w:r>
          </w:p>
        </w:tc>
        <w:tc>
          <w:tcPr>
            <w:tcW w:w="851" w:type="dxa"/>
            <w:tcBorders>
              <w:top w:val="single" w:sz="4" w:space="0" w:color="auto"/>
              <w:bottom w:val="single" w:sz="4" w:space="0" w:color="auto"/>
            </w:tcBorders>
          </w:tcPr>
          <w:p w14:paraId="23BDA3B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231.71 </w:t>
            </w:r>
          </w:p>
        </w:tc>
        <w:tc>
          <w:tcPr>
            <w:tcW w:w="1134" w:type="dxa"/>
            <w:tcBorders>
              <w:top w:val="single" w:sz="4" w:space="0" w:color="auto"/>
              <w:bottom w:val="single" w:sz="4" w:space="0" w:color="auto"/>
            </w:tcBorders>
          </w:tcPr>
          <w:p w14:paraId="3D3F6705"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621.63</w:t>
            </w:r>
          </w:p>
        </w:tc>
        <w:tc>
          <w:tcPr>
            <w:tcW w:w="1559" w:type="dxa"/>
            <w:tcBorders>
              <w:top w:val="single" w:sz="4" w:space="0" w:color="auto"/>
              <w:bottom w:val="single" w:sz="4" w:space="0" w:color="auto"/>
            </w:tcBorders>
          </w:tcPr>
          <w:p w14:paraId="44601118"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1.97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0.25</w:t>
            </w:r>
          </w:p>
        </w:tc>
      </w:tr>
      <w:tr w:rsidR="006061A6" w:rsidRPr="00616CB0" w14:paraId="3C3477B9" w14:textId="77777777" w:rsidTr="0087166B">
        <w:trPr>
          <w:trHeight w:val="589"/>
          <w:jc w:val="center"/>
        </w:trPr>
        <w:tc>
          <w:tcPr>
            <w:tcW w:w="988" w:type="dxa"/>
            <w:tcBorders>
              <w:top w:val="single" w:sz="4" w:space="0" w:color="auto"/>
              <w:bottom w:val="single" w:sz="4" w:space="0" w:color="auto"/>
            </w:tcBorders>
            <w:vAlign w:val="center"/>
          </w:tcPr>
          <w:p w14:paraId="2BA8E6A2" w14:textId="77777777" w:rsidR="006061A6" w:rsidRPr="00616CB0" w:rsidRDefault="006061A6"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48 HAT</w:t>
            </w:r>
          </w:p>
        </w:tc>
        <w:tc>
          <w:tcPr>
            <w:tcW w:w="719" w:type="dxa"/>
            <w:tcBorders>
              <w:top w:val="single" w:sz="4" w:space="0" w:color="auto"/>
              <w:bottom w:val="single" w:sz="4" w:space="0" w:color="auto"/>
            </w:tcBorders>
          </w:tcPr>
          <w:p w14:paraId="09A4948B"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3.37</w:t>
            </w:r>
          </w:p>
        </w:tc>
        <w:tc>
          <w:tcPr>
            <w:tcW w:w="567" w:type="dxa"/>
            <w:tcBorders>
              <w:top w:val="single" w:sz="4" w:space="0" w:color="auto"/>
              <w:bottom w:val="single" w:sz="4" w:space="0" w:color="auto"/>
            </w:tcBorders>
          </w:tcPr>
          <w:p w14:paraId="09E35B1C"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407" w:type="dxa"/>
            <w:tcBorders>
              <w:top w:val="single" w:sz="4" w:space="0" w:color="auto"/>
              <w:bottom w:val="single" w:sz="4" w:space="0" w:color="auto"/>
            </w:tcBorders>
          </w:tcPr>
          <w:p w14:paraId="722B0701"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19.18    </w:t>
            </w:r>
          </w:p>
          <w:p w14:paraId="77B8964A" w14:textId="77777777" w:rsidR="006061A6" w:rsidRPr="00616CB0" w:rsidRDefault="006061A6" w:rsidP="0087166B">
            <w:pPr>
              <w:jc w:val="center"/>
              <w:rPr>
                <w:rFonts w:ascii="Arial" w:hAnsi="Arial" w:cs="Arial"/>
                <w:color w:val="000000" w:themeColor="text1"/>
                <w:sz w:val="20"/>
                <w:szCs w:val="20"/>
              </w:rPr>
            </w:pPr>
          </w:p>
        </w:tc>
        <w:tc>
          <w:tcPr>
            <w:tcW w:w="850" w:type="dxa"/>
            <w:tcBorders>
              <w:top w:val="single" w:sz="4" w:space="0" w:color="auto"/>
              <w:bottom w:val="single" w:sz="4" w:space="0" w:color="auto"/>
            </w:tcBorders>
          </w:tcPr>
          <w:p w14:paraId="7F6A887E"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0.75 </w:t>
            </w:r>
          </w:p>
        </w:tc>
        <w:tc>
          <w:tcPr>
            <w:tcW w:w="1129" w:type="dxa"/>
            <w:tcBorders>
              <w:top w:val="single" w:sz="4" w:space="0" w:color="auto"/>
              <w:bottom w:val="single" w:sz="4" w:space="0" w:color="auto"/>
            </w:tcBorders>
          </w:tcPr>
          <w:p w14:paraId="35035477"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41.88</w:t>
            </w:r>
          </w:p>
        </w:tc>
        <w:tc>
          <w:tcPr>
            <w:tcW w:w="1281" w:type="dxa"/>
            <w:tcBorders>
              <w:top w:val="single" w:sz="4" w:space="0" w:color="auto"/>
              <w:bottom w:val="single" w:sz="4" w:space="0" w:color="auto"/>
            </w:tcBorders>
          </w:tcPr>
          <w:p w14:paraId="5BCC3B76"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109.75    </w:t>
            </w:r>
          </w:p>
        </w:tc>
        <w:tc>
          <w:tcPr>
            <w:tcW w:w="851" w:type="dxa"/>
            <w:tcBorders>
              <w:top w:val="single" w:sz="4" w:space="0" w:color="auto"/>
              <w:bottom w:val="single" w:sz="4" w:space="0" w:color="auto"/>
            </w:tcBorders>
          </w:tcPr>
          <w:p w14:paraId="4511FCBA"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59.53 </w:t>
            </w:r>
          </w:p>
        </w:tc>
        <w:tc>
          <w:tcPr>
            <w:tcW w:w="1134" w:type="dxa"/>
            <w:tcBorders>
              <w:top w:val="single" w:sz="4" w:space="0" w:color="auto"/>
              <w:bottom w:val="single" w:sz="4" w:space="0" w:color="auto"/>
            </w:tcBorders>
          </w:tcPr>
          <w:p w14:paraId="5E1943C2"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193.67</w:t>
            </w:r>
          </w:p>
        </w:tc>
        <w:tc>
          <w:tcPr>
            <w:tcW w:w="1559" w:type="dxa"/>
            <w:tcBorders>
              <w:top w:val="single" w:sz="4" w:space="0" w:color="auto"/>
              <w:bottom w:val="single" w:sz="4" w:space="0" w:color="auto"/>
            </w:tcBorders>
          </w:tcPr>
          <w:p w14:paraId="0A4961AA" w14:textId="77777777" w:rsidR="006061A6" w:rsidRPr="00616CB0" w:rsidRDefault="006061A6"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1.69 </w:t>
            </w:r>
            <w:r w:rsidRPr="00616CB0">
              <w:rPr>
                <w:rFonts w:ascii="Arial" w:eastAsia="Times New Roman" w:hAnsi="Arial" w:cs="Arial"/>
                <w:b/>
                <w:color w:val="000000" w:themeColor="text1"/>
                <w:sz w:val="20"/>
                <w:szCs w:val="20"/>
              </w:rPr>
              <w:t xml:space="preserve">± </w:t>
            </w:r>
            <w:r w:rsidRPr="00616CB0">
              <w:rPr>
                <w:rFonts w:ascii="Arial" w:eastAsia="Times New Roman" w:hAnsi="Arial" w:cs="Arial"/>
                <w:bCs/>
                <w:color w:val="000000" w:themeColor="text1"/>
                <w:sz w:val="20"/>
                <w:szCs w:val="20"/>
              </w:rPr>
              <w:t>0.32</w:t>
            </w:r>
          </w:p>
        </w:tc>
      </w:tr>
    </w:tbl>
    <w:p w14:paraId="43E1BA31" w14:textId="77777777" w:rsidR="006061A6" w:rsidRPr="00616CB0" w:rsidRDefault="006061A6" w:rsidP="006061A6">
      <w:pPr>
        <w:rPr>
          <w:rFonts w:ascii="Arial" w:hAnsi="Arial" w:cs="Arial"/>
          <w:i/>
          <w:iCs/>
          <w:color w:val="000000" w:themeColor="text1"/>
        </w:rPr>
      </w:pPr>
    </w:p>
    <w:p w14:paraId="45B0B64D" w14:textId="77777777" w:rsidR="006061A6" w:rsidRPr="00616CB0" w:rsidRDefault="006061A6" w:rsidP="006061A6">
      <w:pPr>
        <w:widowControl w:val="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 xml:space="preserve">Table value of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 xml:space="preserve">2 at 3 df = 7.81 at α = 0.05,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2 is non-significant at: P &lt; 0.05</w:t>
      </w:r>
    </w:p>
    <w:p w14:paraId="4F404B07" w14:textId="2C7E4523" w:rsidR="004721EF" w:rsidRPr="00616CB0" w:rsidRDefault="006061A6" w:rsidP="006061A6">
      <w:pPr>
        <w:widowControl w:val="0"/>
        <w:spacing w:after="24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LC50- Lethal concentration causing 50 per cent mortality; LC90-Lethal concentration causing 90 per cent mortality; CL-Confidence Limit; SE- Standard Error.</w:t>
      </w:r>
      <w:r w:rsidR="004721EF" w:rsidRPr="00616CB0">
        <w:rPr>
          <w:rFonts w:ascii="Arial" w:hAnsi="Arial" w:cs="Arial"/>
          <w:color w:val="000000" w:themeColor="text1"/>
        </w:rPr>
        <w:t xml:space="preserve">  </w:t>
      </w:r>
    </w:p>
    <w:p w14:paraId="0FDBC2D5" w14:textId="07D912C1" w:rsidR="004721EF" w:rsidRPr="00616CB0" w:rsidRDefault="004721EF" w:rsidP="004721EF">
      <w:pPr>
        <w:pStyle w:val="Body"/>
        <w:pBdr>
          <w:top w:val="nil"/>
          <w:left w:val="nil"/>
          <w:bottom w:val="nil"/>
          <w:right w:val="nil"/>
          <w:between w:val="nil"/>
          <w:bar w:val="nil"/>
        </w:pBdr>
        <w:spacing w:after="0" w:line="360" w:lineRule="auto"/>
        <w:rPr>
          <w:rFonts w:ascii="Arial" w:hAnsi="Arial" w:cs="Arial"/>
          <w:b/>
          <w:bCs/>
          <w:color w:val="000000" w:themeColor="text1"/>
          <w:kern w:val="2"/>
          <w:sz w:val="22"/>
          <w:szCs w:val="22"/>
        </w:rPr>
      </w:pPr>
      <w:r w:rsidRPr="00616CB0">
        <w:rPr>
          <w:rFonts w:ascii="Arial" w:hAnsi="Arial" w:cs="Arial"/>
          <w:b/>
          <w:caps/>
          <w:color w:val="000000" w:themeColor="text1"/>
          <w:sz w:val="22"/>
        </w:rPr>
        <w:t xml:space="preserve">3.2 </w:t>
      </w:r>
      <w:r w:rsidR="00C84785" w:rsidRPr="00616CB0">
        <w:rPr>
          <w:rFonts w:ascii="Arial" w:hAnsi="Arial" w:cs="Arial"/>
          <w:b/>
          <w:bCs/>
          <w:color w:val="000000" w:themeColor="text1"/>
          <w:kern w:val="2"/>
          <w:sz w:val="22"/>
          <w:szCs w:val="22"/>
        </w:rPr>
        <w:t xml:space="preserve">Contact toxicity </w:t>
      </w:r>
    </w:p>
    <w:p w14:paraId="6E84CF9F" w14:textId="77777777" w:rsidR="00782D7D" w:rsidRPr="00616CB0" w:rsidRDefault="00782D7D" w:rsidP="00782D7D">
      <w:pPr>
        <w:pStyle w:val="Body"/>
        <w:rPr>
          <w:rFonts w:ascii="Arial" w:hAnsi="Arial" w:cs="Arial"/>
          <w:color w:val="000000" w:themeColor="text1"/>
        </w:rPr>
      </w:pPr>
      <w:r w:rsidRPr="00616CB0">
        <w:rPr>
          <w:rFonts w:ascii="Arial" w:hAnsi="Arial" w:cs="Arial"/>
          <w:color w:val="000000" w:themeColor="text1"/>
        </w:rPr>
        <w:t xml:space="preserve">The </w:t>
      </w:r>
      <w:r w:rsidRPr="00616CB0">
        <w:rPr>
          <w:rFonts w:ascii="Arial" w:hAnsi="Arial" w:cs="Arial"/>
          <w:color w:val="000000" w:themeColor="text1"/>
          <w:kern w:val="2"/>
        </w:rPr>
        <w:t xml:space="preserve">dose range fixed for contact toxicity bioassay of </w:t>
      </w:r>
      <w:r w:rsidRPr="00616CB0">
        <w:rPr>
          <w:rFonts w:ascii="Arial" w:hAnsi="Arial" w:cs="Arial"/>
          <w:i/>
          <w:color w:val="000000" w:themeColor="text1"/>
        </w:rPr>
        <w:t xml:space="preserve">C. </w:t>
      </w:r>
      <w:proofErr w:type="spellStart"/>
      <w:r w:rsidRPr="00616CB0">
        <w:rPr>
          <w:rFonts w:ascii="Arial" w:hAnsi="Arial" w:cs="Arial"/>
          <w:i/>
          <w:color w:val="000000" w:themeColor="text1"/>
        </w:rPr>
        <w:t>nardus</w:t>
      </w:r>
      <w:proofErr w:type="spellEnd"/>
      <w:r w:rsidRPr="00616CB0">
        <w:rPr>
          <w:rFonts w:ascii="Arial" w:hAnsi="Arial" w:cs="Arial"/>
          <w:color w:val="000000" w:themeColor="text1"/>
        </w:rPr>
        <w:t xml:space="preserve"> essential oil against rice weevil</w:t>
      </w:r>
      <w:r w:rsidRPr="00616CB0">
        <w:rPr>
          <w:rFonts w:ascii="Arial" w:hAnsi="Arial" w:cs="Arial"/>
          <w:color w:val="000000" w:themeColor="text1"/>
          <w:kern w:val="2"/>
        </w:rPr>
        <w:t xml:space="preserve">, based on preliminary range tests </w:t>
      </w:r>
      <w:r w:rsidRPr="00616CB0">
        <w:rPr>
          <w:rFonts w:ascii="Arial" w:hAnsi="Arial" w:cs="Arial"/>
          <w:color w:val="000000" w:themeColor="text1"/>
        </w:rPr>
        <w:t>are 100, 500,1000, 5000,10000 ppm which is equivalent to 0.8, 4, 8, 40, 80 µg/cm</w:t>
      </w:r>
      <w:r w:rsidRPr="00616CB0">
        <w:rPr>
          <w:rFonts w:ascii="Arial" w:hAnsi="Arial" w:cs="Arial"/>
          <w:color w:val="000000" w:themeColor="text1"/>
          <w:vertAlign w:val="superscript"/>
        </w:rPr>
        <w:t>2</w:t>
      </w:r>
      <w:r w:rsidRPr="00616CB0">
        <w:rPr>
          <w:rFonts w:ascii="Arial" w:hAnsi="Arial" w:cs="Arial"/>
          <w:color w:val="000000" w:themeColor="text1"/>
        </w:rPr>
        <w:t xml:space="preserve">. The average per cent mortality recorded for 100, 500,1000, 5000,10000 ppm were 47.50, 67.50, 72.50, 83.75, 90.00 per cent respectively 12 HAT; 68.75, 80.00, 90.00, 92.50, 96.25 per cent respectively 24 HAT; 78.75, 85.00, 91.25, 95.00, 97.50 per cent respectively 48 HAT. The per cent mortality due to citronella essential oil in contact toxicity bioassay was dose and time dependent, as the dose and time increased; the mortality also increased gradually (Fig. 2.). </w:t>
      </w:r>
    </w:p>
    <w:p w14:paraId="781DF3DB" w14:textId="77777777" w:rsidR="00782D7D" w:rsidRPr="00616CB0" w:rsidRDefault="00782D7D" w:rsidP="00782D7D">
      <w:pPr>
        <w:pStyle w:val="Body"/>
        <w:rPr>
          <w:rFonts w:ascii="Arial" w:hAnsi="Arial" w:cs="Arial"/>
          <w:color w:val="000000" w:themeColor="text1"/>
        </w:rPr>
      </w:pPr>
      <w:r w:rsidRPr="00616CB0">
        <w:rPr>
          <w:rFonts w:ascii="Arial" w:hAnsi="Arial" w:cs="Arial"/>
          <w:color w:val="000000" w:themeColor="text1"/>
        </w:rPr>
        <w:t>Mahfuz et al. (2019) evaluated the contact toxicity of citronella essential oil against S. oryzae, and the results show that as the dose of essential oil was increased, the per cent mortality also increased. When 0.038, 0.076, 0.089, and 0.102 µg/cm</w:t>
      </w:r>
      <w:r w:rsidRPr="00616CB0">
        <w:rPr>
          <w:rFonts w:ascii="Arial" w:hAnsi="Arial" w:cs="Arial"/>
          <w:color w:val="000000" w:themeColor="text1"/>
          <w:vertAlign w:val="superscript"/>
        </w:rPr>
        <w:t xml:space="preserve">2 </w:t>
      </w:r>
      <w:r w:rsidRPr="00616CB0">
        <w:rPr>
          <w:rFonts w:ascii="Arial" w:hAnsi="Arial" w:cs="Arial"/>
          <w:color w:val="000000" w:themeColor="text1"/>
        </w:rPr>
        <w:t xml:space="preserve">doses were applied the per cent mortality of insects was 23, 37, 50, and 60 per cent respectively, after 24 hours and 37, 43, 60, and 77 per cent respectively, after 48 hours. The dose taken is much lower in this study compared to our study, which justifies the lower mortality rate of insects in this study at the same time interval. </w:t>
      </w:r>
    </w:p>
    <w:p w14:paraId="30210462" w14:textId="77777777" w:rsidR="00782D7D" w:rsidRPr="00616CB0" w:rsidRDefault="00782D7D" w:rsidP="00782D7D">
      <w:pPr>
        <w:spacing w:after="240"/>
        <w:jc w:val="both"/>
        <w:rPr>
          <w:rFonts w:ascii="Arial" w:hAnsi="Arial" w:cs="Arial"/>
          <w:color w:val="000000" w:themeColor="text1"/>
        </w:rPr>
      </w:pPr>
      <w:r w:rsidRPr="00616CB0">
        <w:rPr>
          <w:rFonts w:ascii="Arial" w:hAnsi="Arial" w:cs="Arial"/>
          <w:color w:val="000000" w:themeColor="text1"/>
        </w:rPr>
        <w:t>In our study,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of Citronella EO in contact toxicity bioassay was 116.05 ppm (0.9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11586.02 ppm (92.7 µg/cm</w:t>
      </w:r>
      <w:r w:rsidRPr="00616CB0">
        <w:rPr>
          <w:rFonts w:ascii="Arial" w:hAnsi="Arial" w:cs="Arial"/>
          <w:color w:val="000000" w:themeColor="text1"/>
          <w:vertAlign w:val="superscript"/>
        </w:rPr>
        <w:t>2</w:t>
      </w:r>
      <w:r w:rsidRPr="00616CB0">
        <w:rPr>
          <w:rFonts w:ascii="Arial" w:hAnsi="Arial" w:cs="Arial"/>
          <w:color w:val="000000" w:themeColor="text1"/>
        </w:rPr>
        <w:t>) at 12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was 16.40 ppm (0.1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1869.26 ppm (14.9 µg/cm</w:t>
      </w:r>
      <w:r w:rsidRPr="00616CB0">
        <w:rPr>
          <w:rFonts w:ascii="Arial" w:hAnsi="Arial" w:cs="Arial"/>
          <w:color w:val="000000" w:themeColor="text1"/>
          <w:vertAlign w:val="superscript"/>
        </w:rPr>
        <w:t>2</w:t>
      </w:r>
      <w:r w:rsidRPr="00616CB0">
        <w:rPr>
          <w:rFonts w:ascii="Arial" w:hAnsi="Arial" w:cs="Arial"/>
          <w:color w:val="000000" w:themeColor="text1"/>
        </w:rPr>
        <w:t>) at 24 HAT. The LC</w:t>
      </w:r>
      <w:r w:rsidRPr="00616CB0">
        <w:rPr>
          <w:rFonts w:ascii="Arial" w:hAnsi="Arial" w:cs="Arial"/>
          <w:color w:val="000000" w:themeColor="text1"/>
          <w:vertAlign w:val="subscript"/>
        </w:rPr>
        <w:t xml:space="preserve">50 </w:t>
      </w:r>
      <w:r w:rsidRPr="00616CB0">
        <w:rPr>
          <w:rFonts w:ascii="Arial" w:hAnsi="Arial" w:cs="Arial"/>
          <w:color w:val="000000" w:themeColor="text1"/>
        </w:rPr>
        <w:t>was 4.24 ppm (0.034 µg/cm</w:t>
      </w:r>
      <w:r w:rsidRPr="00616CB0">
        <w:rPr>
          <w:rFonts w:ascii="Arial" w:hAnsi="Arial" w:cs="Arial"/>
          <w:color w:val="000000" w:themeColor="text1"/>
          <w:vertAlign w:val="superscript"/>
        </w:rPr>
        <w:t>2</w:t>
      </w:r>
      <w:r w:rsidRPr="00616CB0">
        <w:rPr>
          <w:rFonts w:ascii="Arial" w:hAnsi="Arial" w:cs="Arial"/>
          <w:color w:val="000000" w:themeColor="text1"/>
        </w:rPr>
        <w:t>) and LC</w:t>
      </w:r>
      <w:r w:rsidRPr="00616CB0">
        <w:rPr>
          <w:rFonts w:ascii="Arial" w:hAnsi="Arial" w:cs="Arial"/>
          <w:color w:val="000000" w:themeColor="text1"/>
          <w:vertAlign w:val="subscript"/>
        </w:rPr>
        <w:t xml:space="preserve">90 </w:t>
      </w:r>
      <w:r w:rsidRPr="00616CB0">
        <w:rPr>
          <w:rFonts w:ascii="Arial" w:hAnsi="Arial" w:cs="Arial"/>
          <w:color w:val="000000" w:themeColor="text1"/>
        </w:rPr>
        <w:t>was 902.37 ppm (7.2 µg/cm</w:t>
      </w:r>
      <w:r w:rsidRPr="00616CB0">
        <w:rPr>
          <w:rFonts w:ascii="Arial" w:hAnsi="Arial" w:cs="Arial"/>
          <w:color w:val="000000" w:themeColor="text1"/>
          <w:vertAlign w:val="superscript"/>
        </w:rPr>
        <w:t>2</w:t>
      </w:r>
      <w:r w:rsidRPr="00616CB0">
        <w:rPr>
          <w:rFonts w:ascii="Arial" w:hAnsi="Arial" w:cs="Arial"/>
          <w:color w:val="000000" w:themeColor="text1"/>
        </w:rPr>
        <w:t xml:space="preserve">) at 48 HAT (Table 2).     </w:t>
      </w:r>
    </w:p>
    <w:p w14:paraId="7DB1E5C3" w14:textId="32AA4272" w:rsidR="00782D7D" w:rsidRPr="00616CB0" w:rsidRDefault="00782D7D" w:rsidP="00782D7D">
      <w:pPr>
        <w:spacing w:after="240"/>
        <w:jc w:val="both"/>
        <w:rPr>
          <w:rFonts w:ascii="Arial" w:hAnsi="Arial" w:cs="Arial"/>
          <w:color w:val="000000" w:themeColor="text1"/>
        </w:rPr>
      </w:pPr>
      <w:r w:rsidRPr="00616CB0">
        <w:rPr>
          <w:rFonts w:ascii="Arial" w:hAnsi="Arial" w:cs="Arial"/>
          <w:color w:val="000000" w:themeColor="text1"/>
        </w:rPr>
        <w:t xml:space="preserve">Devi et al. (2020) evaluated </w:t>
      </w:r>
      <w:r w:rsidR="00D442D7">
        <w:rPr>
          <w:rFonts w:ascii="Arial" w:hAnsi="Arial" w:cs="Arial"/>
          <w:color w:val="000000" w:themeColor="text1"/>
        </w:rPr>
        <w:t>“</w:t>
      </w:r>
      <w:r w:rsidRPr="00616CB0">
        <w:rPr>
          <w:rFonts w:ascii="Arial" w:hAnsi="Arial" w:cs="Arial"/>
          <w:color w:val="000000" w:themeColor="text1"/>
        </w:rPr>
        <w:t xml:space="preserve">the insecticidal activity of </w:t>
      </w:r>
      <w:r w:rsidRPr="00616CB0">
        <w:rPr>
          <w:rFonts w:ascii="Arial" w:hAnsi="Arial" w:cs="Arial"/>
          <w:i/>
          <w:iCs/>
          <w:color w:val="000000" w:themeColor="text1"/>
        </w:rPr>
        <w:t>C. flexuous</w:t>
      </w:r>
      <w:r w:rsidRPr="00616CB0">
        <w:rPr>
          <w:rFonts w:ascii="Arial" w:hAnsi="Arial" w:cs="Arial"/>
          <w:color w:val="000000" w:themeColor="text1"/>
        </w:rPr>
        <w:t xml:space="preserve">,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xml:space="preserve"> and </w:t>
      </w:r>
      <w:r w:rsidRPr="00616CB0">
        <w:rPr>
          <w:rFonts w:ascii="Arial" w:hAnsi="Arial" w:cs="Arial"/>
          <w:i/>
          <w:iCs/>
          <w:color w:val="000000" w:themeColor="text1"/>
        </w:rPr>
        <w:t>C. martini</w:t>
      </w:r>
      <w:r w:rsidRPr="00616CB0">
        <w:rPr>
          <w:rFonts w:ascii="Arial" w:hAnsi="Arial" w:cs="Arial"/>
          <w:color w:val="000000" w:themeColor="text1"/>
        </w:rPr>
        <w:t xml:space="preserve"> by contact toxicity by filter paper diffusion method against </w:t>
      </w:r>
      <w:r w:rsidRPr="00616CB0">
        <w:rPr>
          <w:rFonts w:ascii="Arial" w:hAnsi="Arial" w:cs="Arial"/>
          <w:i/>
          <w:iCs/>
          <w:color w:val="000000" w:themeColor="text1"/>
        </w:rPr>
        <w:t>S. oryzae</w:t>
      </w:r>
      <w:r w:rsidRPr="00616CB0">
        <w:rPr>
          <w:rFonts w:ascii="Arial" w:hAnsi="Arial" w:cs="Arial"/>
          <w:color w:val="000000" w:themeColor="text1"/>
        </w:rPr>
        <w:t> adults. LC</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essential oils were 5.0 and 3.8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C. flexuous</w:t>
      </w:r>
      <w:r w:rsidRPr="00616CB0">
        <w:rPr>
          <w:rFonts w:ascii="Arial" w:hAnsi="Arial" w:cs="Arial"/>
          <w:color w:val="000000" w:themeColor="text1"/>
        </w:rPr>
        <w:t xml:space="preserve">), 11.4 and 5.3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 xml:space="preserve">C. </w:t>
      </w:r>
      <w:proofErr w:type="spellStart"/>
      <w:r w:rsidRPr="00616CB0">
        <w:rPr>
          <w:rFonts w:ascii="Arial" w:hAnsi="Arial" w:cs="Arial"/>
          <w:i/>
          <w:iCs/>
          <w:color w:val="000000" w:themeColor="text1"/>
        </w:rPr>
        <w:t>winterianus</w:t>
      </w:r>
      <w:proofErr w:type="spellEnd"/>
      <w:r w:rsidRPr="00616CB0">
        <w:rPr>
          <w:rFonts w:ascii="Arial" w:hAnsi="Arial" w:cs="Arial"/>
          <w:color w:val="000000" w:themeColor="text1"/>
        </w:rPr>
        <w:t xml:space="preserve">), 2.6 and 1.8 </w:t>
      </w:r>
      <w:proofErr w:type="spellStart"/>
      <w:r w:rsidRPr="00616CB0">
        <w:rPr>
          <w:rFonts w:ascii="Arial" w:hAnsi="Arial" w:cs="Arial"/>
          <w:color w:val="000000" w:themeColor="text1"/>
        </w:rPr>
        <w:t>μl</w:t>
      </w:r>
      <w:proofErr w:type="spellEnd"/>
      <w:r w:rsidRPr="00616CB0">
        <w:rPr>
          <w:rFonts w:ascii="Arial" w:hAnsi="Arial" w:cs="Arial"/>
          <w:color w:val="000000" w:themeColor="text1"/>
        </w:rPr>
        <w:t>/cm</w:t>
      </w:r>
      <w:r w:rsidRPr="00616CB0">
        <w:rPr>
          <w:rFonts w:ascii="Arial" w:hAnsi="Arial" w:cs="Arial"/>
          <w:color w:val="000000" w:themeColor="text1"/>
          <w:vertAlign w:val="superscript"/>
        </w:rPr>
        <w:t>2</w:t>
      </w:r>
      <w:r w:rsidRPr="00616CB0">
        <w:rPr>
          <w:rFonts w:ascii="Arial" w:hAnsi="Arial" w:cs="Arial"/>
          <w:color w:val="000000" w:themeColor="text1"/>
        </w:rPr>
        <w:t xml:space="preserve"> (</w:t>
      </w:r>
      <w:r w:rsidRPr="00616CB0">
        <w:rPr>
          <w:rFonts w:ascii="Arial" w:hAnsi="Arial" w:cs="Arial"/>
          <w:i/>
          <w:iCs/>
          <w:color w:val="000000" w:themeColor="text1"/>
        </w:rPr>
        <w:t>C. martini</w:t>
      </w:r>
      <w:r w:rsidRPr="00616CB0">
        <w:rPr>
          <w:rFonts w:ascii="Arial" w:hAnsi="Arial" w:cs="Arial"/>
          <w:color w:val="000000" w:themeColor="text1"/>
        </w:rPr>
        <w:t xml:space="preserve">) against </w:t>
      </w:r>
      <w:r w:rsidRPr="00616CB0">
        <w:rPr>
          <w:rFonts w:ascii="Arial" w:hAnsi="Arial" w:cs="Arial"/>
          <w:i/>
          <w:iCs/>
          <w:color w:val="000000" w:themeColor="text1"/>
        </w:rPr>
        <w:t>S. oryzae</w:t>
      </w:r>
      <w:r w:rsidRPr="00616CB0">
        <w:rPr>
          <w:rFonts w:ascii="Arial" w:hAnsi="Arial" w:cs="Arial"/>
          <w:color w:val="000000" w:themeColor="text1"/>
        </w:rPr>
        <w:t xml:space="preserve"> adults after 24 and 48 h exposure, respectively</w:t>
      </w:r>
      <w:r w:rsidR="00D442D7">
        <w:rPr>
          <w:rFonts w:ascii="Arial" w:hAnsi="Arial" w:cs="Arial"/>
          <w:color w:val="000000" w:themeColor="text1"/>
        </w:rPr>
        <w:t>”</w:t>
      </w:r>
      <w:r w:rsidRPr="00616CB0">
        <w:rPr>
          <w:rFonts w:ascii="Arial" w:hAnsi="Arial" w:cs="Arial"/>
          <w:color w:val="000000" w:themeColor="text1"/>
        </w:rPr>
        <w:t xml:space="preserve">. The higher doses requirement in this study than our study may be due to a different protocol called filter paper impregnation method and the difference in citronella species used. Mahfuz et al. (2019) evaluated contact toxicity of citronella essential oil against </w:t>
      </w:r>
      <w:r w:rsidRPr="00616CB0">
        <w:rPr>
          <w:rFonts w:ascii="Arial" w:hAnsi="Arial" w:cs="Arial"/>
          <w:i/>
          <w:iCs/>
          <w:color w:val="000000" w:themeColor="text1"/>
        </w:rPr>
        <w:t>S. oryzae</w:t>
      </w:r>
      <w:r w:rsidRPr="00616CB0">
        <w:rPr>
          <w:rFonts w:ascii="Arial" w:hAnsi="Arial" w:cs="Arial"/>
          <w:color w:val="000000" w:themeColor="text1"/>
        </w:rPr>
        <w:t xml:space="preserve">. Contact bioassay on </w:t>
      </w:r>
      <w:r w:rsidRPr="00616CB0">
        <w:rPr>
          <w:rFonts w:ascii="Arial" w:hAnsi="Arial" w:cs="Arial"/>
          <w:i/>
          <w:iCs/>
          <w:color w:val="000000" w:themeColor="text1"/>
        </w:rPr>
        <w:t>S. oryzae</w:t>
      </w:r>
      <w:r w:rsidRPr="00616CB0">
        <w:rPr>
          <w:rFonts w:ascii="Arial" w:hAnsi="Arial" w:cs="Arial"/>
          <w:color w:val="000000" w:themeColor="text1"/>
        </w:rPr>
        <w:t xml:space="preserve"> showed LD</w:t>
      </w:r>
      <w:r w:rsidRPr="00616CB0">
        <w:rPr>
          <w:rFonts w:ascii="Arial" w:hAnsi="Arial" w:cs="Arial"/>
          <w:color w:val="000000" w:themeColor="text1"/>
          <w:vertAlign w:val="subscript"/>
        </w:rPr>
        <w:t>50</w:t>
      </w:r>
      <w:r w:rsidRPr="00616CB0">
        <w:rPr>
          <w:rFonts w:ascii="Arial" w:hAnsi="Arial" w:cs="Arial"/>
          <w:color w:val="000000" w:themeColor="text1"/>
        </w:rPr>
        <w:t xml:space="preserve"> values of 0.089, 0.064, and 0.650 µg/cm</w:t>
      </w:r>
      <w:r w:rsidRPr="00616CB0">
        <w:rPr>
          <w:rFonts w:ascii="Arial" w:hAnsi="Arial" w:cs="Arial"/>
          <w:color w:val="000000" w:themeColor="text1"/>
          <w:vertAlign w:val="superscript"/>
        </w:rPr>
        <w:t>2</w:t>
      </w:r>
      <w:r w:rsidRPr="00616CB0">
        <w:rPr>
          <w:rFonts w:ascii="Arial" w:hAnsi="Arial" w:cs="Arial"/>
          <w:color w:val="000000" w:themeColor="text1"/>
        </w:rPr>
        <w:t>, after 24, 48, and 72 hours of exposure, respectively. Our present study results exhibit similar results at the concentration range in µg/cm</w:t>
      </w:r>
      <w:r w:rsidRPr="00616CB0">
        <w:rPr>
          <w:rFonts w:ascii="Arial" w:hAnsi="Arial" w:cs="Arial"/>
          <w:color w:val="000000" w:themeColor="text1"/>
          <w:vertAlign w:val="superscript"/>
        </w:rPr>
        <w:t>2</w:t>
      </w:r>
      <w:r w:rsidRPr="00616CB0">
        <w:rPr>
          <w:rFonts w:ascii="Arial" w:hAnsi="Arial" w:cs="Arial"/>
          <w:color w:val="000000" w:themeColor="text1"/>
        </w:rPr>
        <w:t>. The potential of citronella essential oil as a potent contact toxin is evident from these studies as well. The insecticidal properties of citronella essential oil may be attributed to its chemical compounds, most of them are terpenoid compounds which has toxic effect on the structure and function of cell membranes (Plata-Rueda et al., 2020).</w:t>
      </w:r>
    </w:p>
    <w:p w14:paraId="00C7BC70" w14:textId="77777777" w:rsidR="00782D7D" w:rsidRPr="00616CB0" w:rsidRDefault="00782D7D" w:rsidP="004721EF">
      <w:pPr>
        <w:pStyle w:val="Body"/>
        <w:pBdr>
          <w:top w:val="nil"/>
          <w:left w:val="nil"/>
          <w:bottom w:val="nil"/>
          <w:right w:val="nil"/>
          <w:between w:val="nil"/>
          <w:bar w:val="nil"/>
        </w:pBdr>
        <w:spacing w:after="0" w:line="360" w:lineRule="auto"/>
        <w:rPr>
          <w:rFonts w:ascii="Arial" w:hAnsi="Arial" w:cs="Arial"/>
          <w:color w:val="000000" w:themeColor="text1"/>
          <w:kern w:val="2"/>
          <w:sz w:val="24"/>
          <w:szCs w:val="24"/>
        </w:rPr>
      </w:pPr>
    </w:p>
    <w:p w14:paraId="1D632C7F" w14:textId="77777777" w:rsidR="00E63C57" w:rsidRPr="00616CB0" w:rsidRDefault="00E63C57" w:rsidP="00E63C57">
      <w:pPr>
        <w:widowControl w:val="0"/>
        <w:jc w:val="center"/>
        <w:rPr>
          <w:rFonts w:ascii="Arial" w:hAnsi="Arial" w:cs="Arial"/>
          <w:color w:val="000000" w:themeColor="text1"/>
        </w:rPr>
      </w:pPr>
      <w:r w:rsidRPr="00616CB0">
        <w:rPr>
          <w:noProof/>
          <w:color w:val="000000" w:themeColor="text1"/>
        </w:rPr>
        <w:drawing>
          <wp:inline distT="0" distB="0" distL="0" distR="0" wp14:anchorId="31FF670C" wp14:editId="2E211638">
            <wp:extent cx="4572000" cy="2743200"/>
            <wp:effectExtent l="0" t="0" r="0" b="0"/>
            <wp:docPr id="1233834918" name="Chart 1">
              <a:extLst xmlns:a="http://schemas.openxmlformats.org/drawingml/2006/main">
                <a:ext uri="{FF2B5EF4-FFF2-40B4-BE49-F238E27FC236}">
                  <a16:creationId xmlns:a16="http://schemas.microsoft.com/office/drawing/2014/main" id="{89AB9AC3-F710-0E45-7666-13085A4F15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AECFAB" w14:textId="77777777" w:rsidR="00E63C57" w:rsidRPr="00616CB0" w:rsidRDefault="00E63C57" w:rsidP="00176B97">
      <w:pPr>
        <w:spacing w:after="240"/>
        <w:rPr>
          <w:rFonts w:ascii="Arial" w:hAnsi="Arial" w:cs="Arial"/>
          <w:color w:val="000000" w:themeColor="text1"/>
        </w:rPr>
      </w:pPr>
    </w:p>
    <w:p w14:paraId="4D618A31" w14:textId="77777777" w:rsidR="00E63C57" w:rsidRPr="00616CB0" w:rsidRDefault="00E63C57" w:rsidP="00176B97">
      <w:pPr>
        <w:widowControl w:val="0"/>
        <w:spacing w:after="240"/>
        <w:jc w:val="center"/>
        <w:rPr>
          <w:rFonts w:ascii="Arial" w:hAnsi="Arial" w:cs="Arial"/>
          <w:b/>
          <w:bCs/>
          <w:color w:val="000000" w:themeColor="text1"/>
          <w:vertAlign w:val="subscript"/>
        </w:rPr>
      </w:pPr>
      <w:r w:rsidRPr="00616CB0">
        <w:rPr>
          <w:rFonts w:ascii="Arial" w:hAnsi="Arial" w:cs="Arial"/>
          <w:b/>
          <w:bCs/>
          <w:color w:val="000000" w:themeColor="text1"/>
        </w:rPr>
        <w:t>Fig. 2. Percent mortality of rice weevil</w:t>
      </w:r>
      <w:r w:rsidRPr="00616CB0">
        <w:rPr>
          <w:rFonts w:ascii="Arial" w:hAnsi="Arial" w:cs="Arial"/>
          <w:b/>
          <w:bCs/>
          <w:color w:val="000000" w:themeColor="text1"/>
          <w:vertAlign w:val="subscript"/>
        </w:rPr>
        <w:t xml:space="preserve"> </w:t>
      </w:r>
      <w:r w:rsidRPr="00616CB0">
        <w:rPr>
          <w:rFonts w:ascii="Arial" w:hAnsi="Arial" w:cs="Arial"/>
          <w:b/>
          <w:bCs/>
          <w:color w:val="000000" w:themeColor="text1"/>
        </w:rPr>
        <w:t>in contact bioassay with Citronella essential oil</w:t>
      </w:r>
    </w:p>
    <w:p w14:paraId="4866A043" w14:textId="268012A6" w:rsidR="00E63C57" w:rsidRPr="00616CB0" w:rsidRDefault="00176B97" w:rsidP="00782D7D">
      <w:pPr>
        <w:pStyle w:val="Body"/>
        <w:ind w:firstLine="720"/>
        <w:jc w:val="center"/>
        <w:rPr>
          <w:rFonts w:ascii="Arial" w:hAnsi="Arial" w:cs="Arial"/>
          <w:i/>
          <w:iCs/>
          <w:color w:val="000000" w:themeColor="text1"/>
          <w:vertAlign w:val="superscript"/>
        </w:rPr>
      </w:pPr>
      <w:r w:rsidRPr="00616CB0">
        <w:rPr>
          <w:rFonts w:ascii="Arial" w:hAnsi="Arial" w:cs="Arial"/>
          <w:i/>
          <w:iCs/>
          <w:color w:val="000000" w:themeColor="text1"/>
          <w:vertAlign w:val="superscript"/>
        </w:rPr>
        <w:t>Error bar indicates standard deviation of each treatment</w:t>
      </w:r>
    </w:p>
    <w:p w14:paraId="4C03DEA7" w14:textId="77777777" w:rsidR="00205628" w:rsidRPr="00616CB0" w:rsidRDefault="00205628" w:rsidP="00205628">
      <w:pPr>
        <w:widowControl w:val="0"/>
        <w:jc w:val="both"/>
        <w:rPr>
          <w:rFonts w:ascii="Arial" w:hAnsi="Arial" w:cs="Arial"/>
          <w:b/>
          <w:bCs/>
          <w:color w:val="000000" w:themeColor="text1"/>
          <w:vertAlign w:val="subscript"/>
        </w:rPr>
      </w:pPr>
      <w:r w:rsidRPr="00616CB0">
        <w:rPr>
          <w:rFonts w:ascii="Arial" w:hAnsi="Arial" w:cs="Arial"/>
          <w:b/>
          <w:bCs/>
          <w:color w:val="000000" w:themeColor="text1"/>
        </w:rPr>
        <w:lastRenderedPageBreak/>
        <w:t>Table 2. Contact toxicity of citronella essential oil against rice weevil</w:t>
      </w:r>
    </w:p>
    <w:tbl>
      <w:tblPr>
        <w:tblStyle w:val="TableGrid"/>
        <w:tblW w:w="10212" w:type="dxa"/>
        <w:jc w:val="center"/>
        <w:tblLook w:val="04A0" w:firstRow="1" w:lastRow="0" w:firstColumn="1" w:lastColumn="0" w:noHBand="0" w:noVBand="1"/>
      </w:tblPr>
      <w:tblGrid>
        <w:gridCol w:w="974"/>
        <w:gridCol w:w="841"/>
        <w:gridCol w:w="702"/>
        <w:gridCol w:w="1122"/>
        <w:gridCol w:w="845"/>
        <w:gridCol w:w="855"/>
        <w:gridCol w:w="1267"/>
        <w:gridCol w:w="985"/>
        <w:gridCol w:w="1051"/>
        <w:gridCol w:w="1570"/>
      </w:tblGrid>
      <w:tr w:rsidR="00616CB0" w:rsidRPr="00616CB0" w14:paraId="41D760BB" w14:textId="77777777" w:rsidTr="0087166B">
        <w:trPr>
          <w:trHeight w:val="835"/>
          <w:jc w:val="center"/>
        </w:trPr>
        <w:tc>
          <w:tcPr>
            <w:tcW w:w="974" w:type="dxa"/>
            <w:vMerge w:val="restart"/>
            <w:tcBorders>
              <w:top w:val="single" w:sz="4" w:space="0" w:color="auto"/>
              <w:left w:val="nil"/>
              <w:bottom w:val="single" w:sz="4" w:space="0" w:color="auto"/>
              <w:right w:val="nil"/>
            </w:tcBorders>
            <w:vAlign w:val="center"/>
          </w:tcPr>
          <w:p w14:paraId="4B818F20" w14:textId="77777777" w:rsidR="00205628" w:rsidRPr="00616CB0" w:rsidRDefault="00205628"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HAT</w:t>
            </w:r>
          </w:p>
        </w:tc>
        <w:tc>
          <w:tcPr>
            <w:tcW w:w="841" w:type="dxa"/>
            <w:vMerge w:val="restart"/>
            <w:tcBorders>
              <w:top w:val="single" w:sz="4" w:space="0" w:color="auto"/>
              <w:left w:val="nil"/>
              <w:bottom w:val="single" w:sz="4" w:space="0" w:color="auto"/>
              <w:right w:val="nil"/>
            </w:tcBorders>
            <w:vAlign w:val="center"/>
          </w:tcPr>
          <w:p w14:paraId="445C8C07" w14:textId="77777777" w:rsidR="00205628" w:rsidRPr="00616CB0" w:rsidRDefault="00205628" w:rsidP="0087166B">
            <w:pPr>
              <w:jc w:val="center"/>
              <w:rPr>
                <w:rFonts w:ascii="Arial" w:hAnsi="Arial" w:cs="Arial"/>
                <w:color w:val="000000" w:themeColor="text1"/>
                <w:sz w:val="20"/>
                <w:szCs w:val="20"/>
              </w:rPr>
            </w:pPr>
            <w:r w:rsidRPr="00616CB0">
              <w:rPr>
                <w:rFonts w:ascii="Cambria Math" w:eastAsia="Times New Roman" w:hAnsi="Cambria Math" w:cs="Cambria Math"/>
                <w:b/>
                <w:color w:val="000000" w:themeColor="text1"/>
                <w:sz w:val="20"/>
                <w:szCs w:val="20"/>
              </w:rPr>
              <w:t>𝝌</w:t>
            </w:r>
            <w:r w:rsidRPr="00616CB0">
              <w:rPr>
                <w:rFonts w:ascii="Arial" w:eastAsia="Times New Roman" w:hAnsi="Arial" w:cs="Arial"/>
                <w:b/>
                <w:color w:val="000000" w:themeColor="text1"/>
                <w:sz w:val="20"/>
                <w:szCs w:val="20"/>
                <w:vertAlign w:val="superscript"/>
              </w:rPr>
              <w:t>2</w:t>
            </w:r>
          </w:p>
        </w:tc>
        <w:tc>
          <w:tcPr>
            <w:tcW w:w="702" w:type="dxa"/>
            <w:vMerge w:val="restart"/>
            <w:tcBorders>
              <w:top w:val="single" w:sz="4" w:space="0" w:color="auto"/>
              <w:left w:val="nil"/>
              <w:bottom w:val="single" w:sz="4" w:space="0" w:color="auto"/>
              <w:right w:val="nil"/>
            </w:tcBorders>
            <w:vAlign w:val="center"/>
          </w:tcPr>
          <w:p w14:paraId="2D74B45F" w14:textId="77777777" w:rsidR="00205628" w:rsidRPr="00616CB0" w:rsidRDefault="00205628" w:rsidP="0087166B">
            <w:pPr>
              <w:jc w:val="center"/>
              <w:rPr>
                <w:rFonts w:ascii="Arial" w:hAnsi="Arial" w:cs="Arial"/>
                <w:color w:val="000000" w:themeColor="text1"/>
                <w:sz w:val="20"/>
                <w:szCs w:val="20"/>
              </w:rPr>
            </w:pPr>
            <w:proofErr w:type="spellStart"/>
            <w:r w:rsidRPr="00616CB0">
              <w:rPr>
                <w:rFonts w:ascii="Arial" w:eastAsia="Times New Roman" w:hAnsi="Arial" w:cs="Arial"/>
                <w:b/>
                <w:color w:val="000000" w:themeColor="text1"/>
                <w:sz w:val="20"/>
                <w:szCs w:val="20"/>
              </w:rPr>
              <w:t>d.f.</w:t>
            </w:r>
            <w:proofErr w:type="spellEnd"/>
          </w:p>
        </w:tc>
        <w:tc>
          <w:tcPr>
            <w:tcW w:w="1122" w:type="dxa"/>
            <w:vMerge w:val="restart"/>
            <w:tcBorders>
              <w:top w:val="single" w:sz="4" w:space="0" w:color="auto"/>
              <w:left w:val="nil"/>
              <w:bottom w:val="single" w:sz="4" w:space="0" w:color="auto"/>
              <w:right w:val="nil"/>
            </w:tcBorders>
            <w:vAlign w:val="center"/>
          </w:tcPr>
          <w:p w14:paraId="71387374" w14:textId="77777777" w:rsidR="00205628" w:rsidRPr="00616CB0" w:rsidRDefault="00205628"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50</w:t>
            </w:r>
          </w:p>
          <w:p w14:paraId="1DB22C44"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(ppm)</w:t>
            </w:r>
          </w:p>
        </w:tc>
        <w:tc>
          <w:tcPr>
            <w:tcW w:w="1700" w:type="dxa"/>
            <w:gridSpan w:val="2"/>
            <w:tcBorders>
              <w:top w:val="single" w:sz="4" w:space="0" w:color="auto"/>
              <w:left w:val="nil"/>
              <w:bottom w:val="single" w:sz="4" w:space="0" w:color="auto"/>
              <w:right w:val="nil"/>
            </w:tcBorders>
          </w:tcPr>
          <w:p w14:paraId="575901BF"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Fiducial limit </w:t>
            </w:r>
          </w:p>
          <w:p w14:paraId="0CA4DC73"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267" w:type="dxa"/>
            <w:vMerge w:val="restart"/>
            <w:tcBorders>
              <w:top w:val="single" w:sz="4" w:space="0" w:color="auto"/>
              <w:left w:val="nil"/>
              <w:bottom w:val="single" w:sz="4" w:space="0" w:color="auto"/>
              <w:right w:val="nil"/>
            </w:tcBorders>
            <w:vAlign w:val="center"/>
          </w:tcPr>
          <w:p w14:paraId="2BA9D602" w14:textId="77777777" w:rsidR="00205628" w:rsidRPr="00616CB0" w:rsidRDefault="00205628" w:rsidP="0087166B">
            <w:pPr>
              <w:widowControl w:val="0"/>
              <w:jc w:val="center"/>
              <w:rPr>
                <w:rFonts w:ascii="Arial" w:eastAsia="Times New Roman" w:hAnsi="Arial" w:cs="Arial"/>
                <w:b/>
                <w:color w:val="000000" w:themeColor="text1"/>
                <w:sz w:val="20"/>
                <w:szCs w:val="20"/>
                <w:vertAlign w:val="subscript"/>
              </w:rPr>
            </w:pPr>
            <w:r w:rsidRPr="00616CB0">
              <w:rPr>
                <w:rFonts w:ascii="Arial" w:eastAsia="Times New Roman" w:hAnsi="Arial" w:cs="Arial"/>
                <w:b/>
                <w:color w:val="000000" w:themeColor="text1"/>
                <w:sz w:val="20"/>
                <w:szCs w:val="20"/>
              </w:rPr>
              <w:t>LC</w:t>
            </w:r>
            <w:r w:rsidRPr="00616CB0">
              <w:rPr>
                <w:rFonts w:ascii="Arial" w:eastAsia="Times New Roman" w:hAnsi="Arial" w:cs="Arial"/>
                <w:b/>
                <w:color w:val="000000" w:themeColor="text1"/>
                <w:sz w:val="20"/>
                <w:szCs w:val="20"/>
                <w:vertAlign w:val="subscript"/>
              </w:rPr>
              <w:t>90</w:t>
            </w:r>
          </w:p>
          <w:p w14:paraId="2D83E757"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(ppm)</w:t>
            </w:r>
          </w:p>
        </w:tc>
        <w:tc>
          <w:tcPr>
            <w:tcW w:w="2036" w:type="dxa"/>
            <w:gridSpan w:val="2"/>
            <w:tcBorders>
              <w:top w:val="single" w:sz="4" w:space="0" w:color="auto"/>
              <w:left w:val="nil"/>
              <w:bottom w:val="single" w:sz="4" w:space="0" w:color="auto"/>
              <w:right w:val="nil"/>
            </w:tcBorders>
          </w:tcPr>
          <w:p w14:paraId="384EBB90"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 xml:space="preserve">Fiducial limit </w:t>
            </w:r>
          </w:p>
          <w:p w14:paraId="3F7E5DAD"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(95% CL)</w:t>
            </w:r>
          </w:p>
        </w:tc>
        <w:tc>
          <w:tcPr>
            <w:tcW w:w="1570" w:type="dxa"/>
            <w:vMerge w:val="restart"/>
            <w:tcBorders>
              <w:top w:val="single" w:sz="4" w:space="0" w:color="auto"/>
              <w:left w:val="nil"/>
              <w:bottom w:val="single" w:sz="4" w:space="0" w:color="auto"/>
              <w:right w:val="nil"/>
            </w:tcBorders>
            <w:vAlign w:val="center"/>
          </w:tcPr>
          <w:p w14:paraId="6DDC91EF" w14:textId="77777777" w:rsidR="00205628" w:rsidRPr="00616CB0" w:rsidRDefault="00205628" w:rsidP="0087166B">
            <w:pPr>
              <w:jc w:val="center"/>
              <w:rPr>
                <w:rFonts w:ascii="Arial" w:hAnsi="Arial" w:cs="Arial"/>
                <w:color w:val="000000" w:themeColor="text1"/>
                <w:sz w:val="20"/>
                <w:szCs w:val="20"/>
              </w:rPr>
            </w:pPr>
            <w:r w:rsidRPr="00616CB0">
              <w:rPr>
                <w:rFonts w:ascii="Arial" w:eastAsia="Times New Roman" w:hAnsi="Arial" w:cs="Arial"/>
                <w:b/>
                <w:color w:val="000000" w:themeColor="text1"/>
                <w:sz w:val="20"/>
                <w:szCs w:val="20"/>
              </w:rPr>
              <w:t>Slope ± SE</w:t>
            </w:r>
          </w:p>
        </w:tc>
      </w:tr>
      <w:tr w:rsidR="00616CB0" w:rsidRPr="00616CB0" w14:paraId="4F48F7E8" w14:textId="77777777" w:rsidTr="0087166B">
        <w:trPr>
          <w:trHeight w:val="560"/>
          <w:jc w:val="center"/>
        </w:trPr>
        <w:tc>
          <w:tcPr>
            <w:tcW w:w="974" w:type="dxa"/>
            <w:vMerge/>
            <w:tcBorders>
              <w:top w:val="single" w:sz="4" w:space="0" w:color="auto"/>
              <w:left w:val="nil"/>
              <w:bottom w:val="single" w:sz="4" w:space="0" w:color="auto"/>
              <w:right w:val="nil"/>
            </w:tcBorders>
            <w:vAlign w:val="center"/>
          </w:tcPr>
          <w:p w14:paraId="7EA6B6C7" w14:textId="77777777" w:rsidR="00205628" w:rsidRPr="00616CB0" w:rsidRDefault="00205628" w:rsidP="0087166B">
            <w:pPr>
              <w:jc w:val="center"/>
              <w:rPr>
                <w:rFonts w:ascii="Arial" w:eastAsia="Times New Roman" w:hAnsi="Arial" w:cs="Arial"/>
                <w:b/>
                <w:color w:val="000000" w:themeColor="text1"/>
                <w:sz w:val="20"/>
                <w:szCs w:val="20"/>
              </w:rPr>
            </w:pPr>
          </w:p>
        </w:tc>
        <w:tc>
          <w:tcPr>
            <w:tcW w:w="841" w:type="dxa"/>
            <w:vMerge/>
            <w:tcBorders>
              <w:top w:val="single" w:sz="4" w:space="0" w:color="auto"/>
              <w:left w:val="nil"/>
              <w:bottom w:val="single" w:sz="4" w:space="0" w:color="auto"/>
              <w:right w:val="nil"/>
            </w:tcBorders>
            <w:vAlign w:val="center"/>
          </w:tcPr>
          <w:p w14:paraId="5CBEF01F" w14:textId="77777777" w:rsidR="00205628" w:rsidRPr="00616CB0" w:rsidRDefault="00205628" w:rsidP="0087166B">
            <w:pPr>
              <w:jc w:val="center"/>
              <w:rPr>
                <w:rFonts w:ascii="Arial" w:eastAsia="Times New Roman" w:hAnsi="Arial" w:cs="Arial"/>
                <w:b/>
                <w:color w:val="000000" w:themeColor="text1"/>
                <w:sz w:val="20"/>
                <w:szCs w:val="20"/>
              </w:rPr>
            </w:pPr>
          </w:p>
        </w:tc>
        <w:tc>
          <w:tcPr>
            <w:tcW w:w="702" w:type="dxa"/>
            <w:vMerge/>
            <w:tcBorders>
              <w:top w:val="single" w:sz="4" w:space="0" w:color="auto"/>
              <w:left w:val="nil"/>
              <w:bottom w:val="single" w:sz="4" w:space="0" w:color="auto"/>
              <w:right w:val="nil"/>
            </w:tcBorders>
            <w:vAlign w:val="center"/>
          </w:tcPr>
          <w:p w14:paraId="240EAA9B" w14:textId="77777777" w:rsidR="00205628" w:rsidRPr="00616CB0" w:rsidRDefault="00205628" w:rsidP="0087166B">
            <w:pPr>
              <w:jc w:val="center"/>
              <w:rPr>
                <w:rFonts w:ascii="Arial" w:eastAsia="Times New Roman" w:hAnsi="Arial" w:cs="Arial"/>
                <w:b/>
                <w:color w:val="000000" w:themeColor="text1"/>
                <w:sz w:val="20"/>
                <w:szCs w:val="20"/>
              </w:rPr>
            </w:pPr>
          </w:p>
        </w:tc>
        <w:tc>
          <w:tcPr>
            <w:tcW w:w="1122" w:type="dxa"/>
            <w:vMerge/>
            <w:tcBorders>
              <w:top w:val="single" w:sz="4" w:space="0" w:color="auto"/>
              <w:left w:val="nil"/>
              <w:bottom w:val="single" w:sz="4" w:space="0" w:color="auto"/>
              <w:right w:val="nil"/>
            </w:tcBorders>
            <w:vAlign w:val="center"/>
          </w:tcPr>
          <w:p w14:paraId="61B3D1E0" w14:textId="77777777" w:rsidR="00205628" w:rsidRPr="00616CB0" w:rsidRDefault="00205628" w:rsidP="0087166B">
            <w:pPr>
              <w:widowControl w:val="0"/>
              <w:jc w:val="center"/>
              <w:rPr>
                <w:rFonts w:ascii="Arial" w:eastAsia="Times New Roman" w:hAnsi="Arial" w:cs="Arial"/>
                <w:b/>
                <w:color w:val="000000" w:themeColor="text1"/>
                <w:sz w:val="20"/>
                <w:szCs w:val="20"/>
              </w:rPr>
            </w:pPr>
          </w:p>
        </w:tc>
        <w:tc>
          <w:tcPr>
            <w:tcW w:w="845" w:type="dxa"/>
            <w:tcBorders>
              <w:top w:val="single" w:sz="4" w:space="0" w:color="auto"/>
              <w:left w:val="nil"/>
              <w:bottom w:val="single" w:sz="4" w:space="0" w:color="auto"/>
              <w:right w:val="nil"/>
            </w:tcBorders>
          </w:tcPr>
          <w:p w14:paraId="4A8768D9"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855" w:type="dxa"/>
            <w:tcBorders>
              <w:top w:val="single" w:sz="4" w:space="0" w:color="auto"/>
              <w:left w:val="nil"/>
              <w:bottom w:val="single" w:sz="4" w:space="0" w:color="auto"/>
              <w:right w:val="nil"/>
            </w:tcBorders>
          </w:tcPr>
          <w:p w14:paraId="47CE2AF1" w14:textId="77777777" w:rsidR="00205628" w:rsidRPr="00616CB0" w:rsidRDefault="00205628" w:rsidP="0087166B">
            <w:pPr>
              <w:widowControl w:val="0"/>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267" w:type="dxa"/>
            <w:vMerge/>
            <w:tcBorders>
              <w:top w:val="single" w:sz="4" w:space="0" w:color="auto"/>
              <w:left w:val="nil"/>
              <w:bottom w:val="single" w:sz="4" w:space="0" w:color="auto"/>
              <w:right w:val="nil"/>
            </w:tcBorders>
            <w:vAlign w:val="center"/>
          </w:tcPr>
          <w:p w14:paraId="4B523EC9" w14:textId="77777777" w:rsidR="00205628" w:rsidRPr="00616CB0" w:rsidRDefault="00205628" w:rsidP="0087166B">
            <w:pPr>
              <w:widowControl w:val="0"/>
              <w:jc w:val="center"/>
              <w:rPr>
                <w:rFonts w:ascii="Arial" w:eastAsia="Times New Roman" w:hAnsi="Arial" w:cs="Arial"/>
                <w:b/>
                <w:color w:val="000000" w:themeColor="text1"/>
                <w:sz w:val="20"/>
                <w:szCs w:val="20"/>
              </w:rPr>
            </w:pPr>
          </w:p>
        </w:tc>
        <w:tc>
          <w:tcPr>
            <w:tcW w:w="985" w:type="dxa"/>
            <w:tcBorders>
              <w:top w:val="single" w:sz="4" w:space="0" w:color="auto"/>
              <w:left w:val="nil"/>
              <w:bottom w:val="single" w:sz="4" w:space="0" w:color="auto"/>
              <w:right w:val="nil"/>
            </w:tcBorders>
          </w:tcPr>
          <w:p w14:paraId="2D3F79B1"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LL</w:t>
            </w:r>
          </w:p>
        </w:tc>
        <w:tc>
          <w:tcPr>
            <w:tcW w:w="1051" w:type="dxa"/>
            <w:tcBorders>
              <w:top w:val="single" w:sz="4" w:space="0" w:color="auto"/>
              <w:left w:val="nil"/>
              <w:bottom w:val="single" w:sz="4" w:space="0" w:color="auto"/>
              <w:right w:val="nil"/>
            </w:tcBorders>
          </w:tcPr>
          <w:p w14:paraId="772C3884" w14:textId="77777777" w:rsidR="00205628" w:rsidRPr="00616CB0" w:rsidRDefault="00205628" w:rsidP="0087166B">
            <w:pPr>
              <w:jc w:val="center"/>
              <w:rPr>
                <w:rFonts w:ascii="Arial" w:eastAsia="Times New Roman" w:hAnsi="Arial" w:cs="Arial"/>
                <w:b/>
                <w:color w:val="000000" w:themeColor="text1"/>
                <w:sz w:val="20"/>
                <w:szCs w:val="20"/>
              </w:rPr>
            </w:pPr>
            <w:r w:rsidRPr="00616CB0">
              <w:rPr>
                <w:rFonts w:ascii="Arial" w:eastAsia="Times New Roman" w:hAnsi="Arial" w:cs="Arial"/>
                <w:b/>
                <w:color w:val="000000" w:themeColor="text1"/>
                <w:sz w:val="20"/>
                <w:szCs w:val="20"/>
              </w:rPr>
              <w:t>UL</w:t>
            </w:r>
          </w:p>
        </w:tc>
        <w:tc>
          <w:tcPr>
            <w:tcW w:w="1570" w:type="dxa"/>
            <w:vMerge/>
            <w:tcBorders>
              <w:top w:val="single" w:sz="4" w:space="0" w:color="auto"/>
              <w:left w:val="nil"/>
              <w:bottom w:val="single" w:sz="4" w:space="0" w:color="auto"/>
              <w:right w:val="nil"/>
            </w:tcBorders>
            <w:vAlign w:val="center"/>
          </w:tcPr>
          <w:p w14:paraId="76810926" w14:textId="77777777" w:rsidR="00205628" w:rsidRPr="00616CB0" w:rsidRDefault="00205628" w:rsidP="0087166B">
            <w:pPr>
              <w:jc w:val="center"/>
              <w:rPr>
                <w:rFonts w:ascii="Arial" w:eastAsia="Times New Roman" w:hAnsi="Arial" w:cs="Arial"/>
                <w:b/>
                <w:color w:val="000000" w:themeColor="text1"/>
                <w:sz w:val="20"/>
                <w:szCs w:val="20"/>
              </w:rPr>
            </w:pPr>
          </w:p>
        </w:tc>
      </w:tr>
      <w:tr w:rsidR="00616CB0" w:rsidRPr="00616CB0" w14:paraId="0BCBE28E" w14:textId="77777777" w:rsidTr="0087166B">
        <w:trPr>
          <w:trHeight w:val="698"/>
          <w:jc w:val="center"/>
        </w:trPr>
        <w:tc>
          <w:tcPr>
            <w:tcW w:w="974" w:type="dxa"/>
            <w:tcBorders>
              <w:top w:val="single" w:sz="4" w:space="0" w:color="auto"/>
              <w:left w:val="nil"/>
              <w:bottom w:val="single" w:sz="4" w:space="0" w:color="auto"/>
              <w:right w:val="nil"/>
            </w:tcBorders>
          </w:tcPr>
          <w:p w14:paraId="3D5B57EC" w14:textId="77777777" w:rsidR="00205628" w:rsidRPr="00616CB0" w:rsidRDefault="00205628" w:rsidP="0087166B">
            <w:pPr>
              <w:rPr>
                <w:rFonts w:ascii="Arial" w:eastAsia="Times New Roman" w:hAnsi="Arial" w:cs="Arial"/>
                <w:color w:val="000000" w:themeColor="text1"/>
                <w:sz w:val="20"/>
                <w:szCs w:val="20"/>
              </w:rPr>
            </w:pPr>
            <w:bookmarkStart w:id="4" w:name="_Hlk209772626"/>
            <w:r w:rsidRPr="00616CB0">
              <w:rPr>
                <w:rFonts w:ascii="Arial" w:eastAsia="Times New Roman" w:hAnsi="Arial" w:cs="Arial"/>
                <w:color w:val="000000" w:themeColor="text1"/>
                <w:sz w:val="20"/>
                <w:szCs w:val="20"/>
              </w:rPr>
              <w:t>12 HAT</w:t>
            </w:r>
          </w:p>
        </w:tc>
        <w:tc>
          <w:tcPr>
            <w:tcW w:w="841" w:type="dxa"/>
            <w:tcBorders>
              <w:top w:val="single" w:sz="4" w:space="0" w:color="auto"/>
              <w:left w:val="nil"/>
              <w:bottom w:val="single" w:sz="4" w:space="0" w:color="auto"/>
              <w:right w:val="nil"/>
            </w:tcBorders>
          </w:tcPr>
          <w:p w14:paraId="7448CE0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0.32</w:t>
            </w:r>
          </w:p>
        </w:tc>
        <w:tc>
          <w:tcPr>
            <w:tcW w:w="702" w:type="dxa"/>
            <w:tcBorders>
              <w:top w:val="single" w:sz="4" w:space="0" w:color="auto"/>
              <w:left w:val="nil"/>
              <w:bottom w:val="single" w:sz="4" w:space="0" w:color="auto"/>
              <w:right w:val="nil"/>
            </w:tcBorders>
          </w:tcPr>
          <w:p w14:paraId="2813CAF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bottom w:val="single" w:sz="4" w:space="0" w:color="auto"/>
              <w:right w:val="nil"/>
            </w:tcBorders>
          </w:tcPr>
          <w:p w14:paraId="1A5E2E0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116.05</w:t>
            </w:r>
          </w:p>
        </w:tc>
        <w:tc>
          <w:tcPr>
            <w:tcW w:w="845" w:type="dxa"/>
            <w:tcBorders>
              <w:top w:val="single" w:sz="4" w:space="0" w:color="auto"/>
              <w:left w:val="nil"/>
              <w:bottom w:val="single" w:sz="4" w:space="0" w:color="auto"/>
              <w:right w:val="nil"/>
            </w:tcBorders>
          </w:tcPr>
          <w:p w14:paraId="2A18F3F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40.13 </w:t>
            </w:r>
          </w:p>
        </w:tc>
        <w:tc>
          <w:tcPr>
            <w:tcW w:w="855" w:type="dxa"/>
            <w:tcBorders>
              <w:top w:val="single" w:sz="4" w:space="0" w:color="auto"/>
              <w:left w:val="nil"/>
              <w:bottom w:val="single" w:sz="4" w:space="0" w:color="auto"/>
              <w:right w:val="nil"/>
            </w:tcBorders>
          </w:tcPr>
          <w:p w14:paraId="1A547618"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221.13</w:t>
            </w:r>
          </w:p>
        </w:tc>
        <w:tc>
          <w:tcPr>
            <w:tcW w:w="1267" w:type="dxa"/>
            <w:tcBorders>
              <w:top w:val="single" w:sz="4" w:space="0" w:color="auto"/>
              <w:left w:val="nil"/>
              <w:bottom w:val="single" w:sz="4" w:space="0" w:color="auto"/>
              <w:right w:val="nil"/>
            </w:tcBorders>
          </w:tcPr>
          <w:p w14:paraId="35433A01"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11586.02</w:t>
            </w:r>
          </w:p>
          <w:p w14:paraId="6F15168C"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bottom w:val="single" w:sz="4" w:space="0" w:color="auto"/>
              <w:right w:val="nil"/>
            </w:tcBorders>
          </w:tcPr>
          <w:p w14:paraId="170EDF1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5475.99 </w:t>
            </w:r>
          </w:p>
        </w:tc>
        <w:tc>
          <w:tcPr>
            <w:tcW w:w="1051" w:type="dxa"/>
            <w:tcBorders>
              <w:top w:val="single" w:sz="4" w:space="0" w:color="auto"/>
              <w:left w:val="nil"/>
              <w:bottom w:val="single" w:sz="4" w:space="0" w:color="auto"/>
              <w:right w:val="nil"/>
            </w:tcBorders>
          </w:tcPr>
          <w:p w14:paraId="3090395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42033.55</w:t>
            </w:r>
          </w:p>
        </w:tc>
        <w:tc>
          <w:tcPr>
            <w:tcW w:w="1570" w:type="dxa"/>
            <w:tcBorders>
              <w:left w:val="nil"/>
              <w:bottom w:val="single" w:sz="4" w:space="0" w:color="auto"/>
              <w:right w:val="nil"/>
            </w:tcBorders>
          </w:tcPr>
          <w:p w14:paraId="27F56261" w14:textId="77777777" w:rsidR="00205628" w:rsidRPr="00616CB0" w:rsidRDefault="00205628" w:rsidP="0087166B">
            <w:pPr>
              <w:jc w:val="center"/>
              <w:rPr>
                <w:rFonts w:ascii="Arial" w:eastAsia="Times New Roman" w:hAnsi="Arial" w:cs="Arial"/>
                <w:color w:val="000000" w:themeColor="text1"/>
                <w:sz w:val="20"/>
                <w:szCs w:val="20"/>
              </w:rPr>
            </w:pPr>
            <w:r w:rsidRPr="00616CB0">
              <w:rPr>
                <w:rFonts w:ascii="Arial" w:hAnsi="Arial" w:cs="Arial"/>
                <w:color w:val="000000" w:themeColor="text1"/>
                <w:sz w:val="20"/>
                <w:szCs w:val="20"/>
              </w:rPr>
              <w:t xml:space="preserve">0.64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0.10</w:t>
            </w:r>
          </w:p>
        </w:tc>
      </w:tr>
      <w:bookmarkEnd w:id="4"/>
      <w:tr w:rsidR="00616CB0" w:rsidRPr="00616CB0" w14:paraId="0FF8F023" w14:textId="77777777" w:rsidTr="0087166B">
        <w:trPr>
          <w:trHeight w:val="695"/>
          <w:jc w:val="center"/>
        </w:trPr>
        <w:tc>
          <w:tcPr>
            <w:tcW w:w="974" w:type="dxa"/>
            <w:tcBorders>
              <w:top w:val="single" w:sz="4" w:space="0" w:color="auto"/>
              <w:left w:val="nil"/>
              <w:bottom w:val="single" w:sz="4" w:space="0" w:color="auto"/>
              <w:right w:val="nil"/>
            </w:tcBorders>
            <w:vAlign w:val="center"/>
          </w:tcPr>
          <w:p w14:paraId="27BF27B8" w14:textId="77777777" w:rsidR="00205628" w:rsidRPr="00616CB0" w:rsidRDefault="00205628" w:rsidP="0087166B">
            <w:pP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24 HAT</w:t>
            </w:r>
          </w:p>
        </w:tc>
        <w:tc>
          <w:tcPr>
            <w:tcW w:w="841" w:type="dxa"/>
            <w:tcBorders>
              <w:top w:val="single" w:sz="4" w:space="0" w:color="auto"/>
              <w:left w:val="nil"/>
              <w:bottom w:val="single" w:sz="4" w:space="0" w:color="auto"/>
              <w:right w:val="nil"/>
            </w:tcBorders>
          </w:tcPr>
          <w:p w14:paraId="6B639848"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1.34</w:t>
            </w:r>
          </w:p>
        </w:tc>
        <w:tc>
          <w:tcPr>
            <w:tcW w:w="702" w:type="dxa"/>
            <w:tcBorders>
              <w:top w:val="single" w:sz="4" w:space="0" w:color="auto"/>
              <w:left w:val="nil"/>
              <w:bottom w:val="single" w:sz="4" w:space="0" w:color="auto"/>
              <w:right w:val="nil"/>
            </w:tcBorders>
          </w:tcPr>
          <w:p w14:paraId="66D5E536"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bottom w:val="single" w:sz="4" w:space="0" w:color="auto"/>
              <w:right w:val="nil"/>
            </w:tcBorders>
          </w:tcPr>
          <w:p w14:paraId="36C7278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16.40</w:t>
            </w:r>
          </w:p>
          <w:p w14:paraId="11452B62" w14:textId="77777777" w:rsidR="00205628" w:rsidRPr="00616CB0" w:rsidRDefault="00205628" w:rsidP="0087166B">
            <w:pPr>
              <w:jc w:val="center"/>
              <w:rPr>
                <w:rFonts w:ascii="Arial" w:hAnsi="Arial" w:cs="Arial"/>
                <w:color w:val="000000" w:themeColor="text1"/>
                <w:sz w:val="20"/>
                <w:szCs w:val="20"/>
              </w:rPr>
            </w:pPr>
          </w:p>
        </w:tc>
        <w:tc>
          <w:tcPr>
            <w:tcW w:w="845" w:type="dxa"/>
            <w:tcBorders>
              <w:top w:val="single" w:sz="4" w:space="0" w:color="auto"/>
              <w:left w:val="nil"/>
              <w:bottom w:val="single" w:sz="4" w:space="0" w:color="auto"/>
              <w:right w:val="nil"/>
            </w:tcBorders>
          </w:tcPr>
          <w:p w14:paraId="259E1C4E"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1.61 </w:t>
            </w:r>
          </w:p>
        </w:tc>
        <w:tc>
          <w:tcPr>
            <w:tcW w:w="855" w:type="dxa"/>
            <w:tcBorders>
              <w:top w:val="single" w:sz="4" w:space="0" w:color="auto"/>
              <w:left w:val="nil"/>
              <w:bottom w:val="single" w:sz="4" w:space="0" w:color="auto"/>
              <w:right w:val="nil"/>
            </w:tcBorders>
          </w:tcPr>
          <w:p w14:paraId="3DB09DA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50.48</w:t>
            </w:r>
          </w:p>
        </w:tc>
        <w:tc>
          <w:tcPr>
            <w:tcW w:w="1267" w:type="dxa"/>
            <w:tcBorders>
              <w:top w:val="single" w:sz="4" w:space="0" w:color="auto"/>
              <w:left w:val="nil"/>
              <w:bottom w:val="single" w:sz="4" w:space="0" w:color="auto"/>
              <w:right w:val="nil"/>
            </w:tcBorders>
          </w:tcPr>
          <w:p w14:paraId="3B9DB84F"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1869.26</w:t>
            </w:r>
          </w:p>
          <w:p w14:paraId="2CB48CF6"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bottom w:val="single" w:sz="4" w:space="0" w:color="auto"/>
              <w:right w:val="nil"/>
            </w:tcBorders>
          </w:tcPr>
          <w:p w14:paraId="2590802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1015.73 </w:t>
            </w:r>
          </w:p>
        </w:tc>
        <w:tc>
          <w:tcPr>
            <w:tcW w:w="1051" w:type="dxa"/>
            <w:tcBorders>
              <w:top w:val="single" w:sz="4" w:space="0" w:color="auto"/>
              <w:left w:val="nil"/>
              <w:bottom w:val="single" w:sz="4" w:space="0" w:color="auto"/>
              <w:right w:val="nil"/>
            </w:tcBorders>
          </w:tcPr>
          <w:p w14:paraId="33920AC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4830.25</w:t>
            </w:r>
          </w:p>
        </w:tc>
        <w:tc>
          <w:tcPr>
            <w:tcW w:w="1570" w:type="dxa"/>
            <w:tcBorders>
              <w:top w:val="single" w:sz="4" w:space="0" w:color="auto"/>
              <w:left w:val="nil"/>
              <w:bottom w:val="single" w:sz="4" w:space="0" w:color="auto"/>
              <w:right w:val="nil"/>
            </w:tcBorders>
          </w:tcPr>
          <w:p w14:paraId="04B43243"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0.62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0.12</w:t>
            </w:r>
          </w:p>
        </w:tc>
      </w:tr>
      <w:tr w:rsidR="00205628" w:rsidRPr="00616CB0" w14:paraId="7E70E417" w14:textId="77777777" w:rsidTr="0087166B">
        <w:trPr>
          <w:trHeight w:val="558"/>
          <w:jc w:val="center"/>
        </w:trPr>
        <w:tc>
          <w:tcPr>
            <w:tcW w:w="974" w:type="dxa"/>
            <w:tcBorders>
              <w:top w:val="single" w:sz="4" w:space="0" w:color="auto"/>
              <w:left w:val="nil"/>
              <w:right w:val="nil"/>
            </w:tcBorders>
            <w:vAlign w:val="center"/>
          </w:tcPr>
          <w:p w14:paraId="5C21203E" w14:textId="77777777" w:rsidR="00205628" w:rsidRPr="00616CB0" w:rsidRDefault="00205628" w:rsidP="0087166B">
            <w:pPr>
              <w:jc w:val="center"/>
              <w:rPr>
                <w:rFonts w:ascii="Arial" w:eastAsia="Times New Roman" w:hAnsi="Arial" w:cs="Arial"/>
                <w:color w:val="000000" w:themeColor="text1"/>
                <w:sz w:val="20"/>
                <w:szCs w:val="20"/>
              </w:rPr>
            </w:pPr>
            <w:r w:rsidRPr="00616CB0">
              <w:rPr>
                <w:rFonts w:ascii="Arial" w:eastAsia="Times New Roman" w:hAnsi="Arial" w:cs="Arial"/>
                <w:color w:val="000000" w:themeColor="text1"/>
                <w:sz w:val="20"/>
                <w:szCs w:val="20"/>
              </w:rPr>
              <w:t>48 HAT</w:t>
            </w:r>
          </w:p>
        </w:tc>
        <w:tc>
          <w:tcPr>
            <w:tcW w:w="841" w:type="dxa"/>
            <w:tcBorders>
              <w:top w:val="single" w:sz="4" w:space="0" w:color="auto"/>
              <w:left w:val="nil"/>
              <w:right w:val="nil"/>
            </w:tcBorders>
          </w:tcPr>
          <w:p w14:paraId="7DDEC6D5"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0.67</w:t>
            </w:r>
          </w:p>
        </w:tc>
        <w:tc>
          <w:tcPr>
            <w:tcW w:w="702" w:type="dxa"/>
            <w:tcBorders>
              <w:top w:val="single" w:sz="4" w:space="0" w:color="auto"/>
              <w:left w:val="nil"/>
              <w:right w:val="nil"/>
            </w:tcBorders>
          </w:tcPr>
          <w:p w14:paraId="667ED13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3</w:t>
            </w:r>
          </w:p>
        </w:tc>
        <w:tc>
          <w:tcPr>
            <w:tcW w:w="1122" w:type="dxa"/>
            <w:tcBorders>
              <w:top w:val="single" w:sz="4" w:space="0" w:color="auto"/>
              <w:left w:val="nil"/>
              <w:right w:val="nil"/>
            </w:tcBorders>
          </w:tcPr>
          <w:p w14:paraId="2A2C095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4.24</w:t>
            </w:r>
          </w:p>
          <w:p w14:paraId="766FEFFA" w14:textId="77777777" w:rsidR="00205628" w:rsidRPr="00616CB0" w:rsidRDefault="00205628" w:rsidP="0087166B">
            <w:pPr>
              <w:jc w:val="center"/>
              <w:rPr>
                <w:rFonts w:ascii="Arial" w:hAnsi="Arial" w:cs="Arial"/>
                <w:color w:val="000000" w:themeColor="text1"/>
                <w:sz w:val="20"/>
                <w:szCs w:val="20"/>
              </w:rPr>
            </w:pPr>
          </w:p>
        </w:tc>
        <w:tc>
          <w:tcPr>
            <w:tcW w:w="845" w:type="dxa"/>
            <w:tcBorders>
              <w:top w:val="single" w:sz="4" w:space="0" w:color="auto"/>
              <w:left w:val="nil"/>
              <w:right w:val="nil"/>
            </w:tcBorders>
          </w:tcPr>
          <w:p w14:paraId="3F5636B1"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0.05 </w:t>
            </w:r>
          </w:p>
        </w:tc>
        <w:tc>
          <w:tcPr>
            <w:tcW w:w="855" w:type="dxa"/>
            <w:tcBorders>
              <w:top w:val="single" w:sz="4" w:space="0" w:color="auto"/>
              <w:left w:val="nil"/>
              <w:right w:val="nil"/>
            </w:tcBorders>
          </w:tcPr>
          <w:p w14:paraId="697CFB4A"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22.93</w:t>
            </w:r>
          </w:p>
        </w:tc>
        <w:tc>
          <w:tcPr>
            <w:tcW w:w="1267" w:type="dxa"/>
            <w:tcBorders>
              <w:top w:val="single" w:sz="4" w:space="0" w:color="auto"/>
              <w:left w:val="nil"/>
              <w:right w:val="nil"/>
            </w:tcBorders>
          </w:tcPr>
          <w:p w14:paraId="7AC141A9"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902.37</w:t>
            </w:r>
          </w:p>
          <w:p w14:paraId="6300F34B" w14:textId="77777777" w:rsidR="00205628" w:rsidRPr="00616CB0" w:rsidRDefault="00205628" w:rsidP="0087166B">
            <w:pPr>
              <w:jc w:val="center"/>
              <w:rPr>
                <w:rFonts w:ascii="Arial" w:hAnsi="Arial" w:cs="Arial"/>
                <w:color w:val="000000" w:themeColor="text1"/>
                <w:sz w:val="20"/>
                <w:szCs w:val="20"/>
              </w:rPr>
            </w:pPr>
          </w:p>
        </w:tc>
        <w:tc>
          <w:tcPr>
            <w:tcW w:w="985" w:type="dxa"/>
            <w:tcBorders>
              <w:top w:val="single" w:sz="4" w:space="0" w:color="auto"/>
              <w:left w:val="nil"/>
              <w:right w:val="nil"/>
            </w:tcBorders>
          </w:tcPr>
          <w:p w14:paraId="36826AAD"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429.59 </w:t>
            </w:r>
          </w:p>
        </w:tc>
        <w:tc>
          <w:tcPr>
            <w:tcW w:w="1051" w:type="dxa"/>
            <w:tcBorders>
              <w:top w:val="single" w:sz="4" w:space="0" w:color="auto"/>
              <w:left w:val="nil"/>
              <w:right w:val="nil"/>
            </w:tcBorders>
          </w:tcPr>
          <w:p w14:paraId="44432DF0"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2297.10</w:t>
            </w:r>
          </w:p>
        </w:tc>
        <w:tc>
          <w:tcPr>
            <w:tcW w:w="1570" w:type="dxa"/>
            <w:tcBorders>
              <w:top w:val="single" w:sz="4" w:space="0" w:color="auto"/>
              <w:left w:val="nil"/>
              <w:right w:val="nil"/>
            </w:tcBorders>
          </w:tcPr>
          <w:p w14:paraId="604627C7" w14:textId="77777777" w:rsidR="00205628" w:rsidRPr="00616CB0" w:rsidRDefault="00205628" w:rsidP="0087166B">
            <w:pPr>
              <w:jc w:val="center"/>
              <w:rPr>
                <w:rFonts w:ascii="Arial" w:hAnsi="Arial" w:cs="Arial"/>
                <w:color w:val="000000" w:themeColor="text1"/>
                <w:sz w:val="20"/>
                <w:szCs w:val="20"/>
              </w:rPr>
            </w:pPr>
            <w:r w:rsidRPr="00616CB0">
              <w:rPr>
                <w:rFonts w:ascii="Arial" w:hAnsi="Arial" w:cs="Arial"/>
                <w:color w:val="000000" w:themeColor="text1"/>
                <w:sz w:val="20"/>
                <w:szCs w:val="20"/>
              </w:rPr>
              <w:t xml:space="preserve">0.55 </w:t>
            </w:r>
            <w:r w:rsidRPr="00616CB0">
              <w:rPr>
                <w:rFonts w:ascii="Arial" w:eastAsia="Times New Roman" w:hAnsi="Arial" w:cs="Arial"/>
                <w:b/>
                <w:color w:val="000000" w:themeColor="text1"/>
                <w:sz w:val="20"/>
                <w:szCs w:val="20"/>
              </w:rPr>
              <w:t xml:space="preserve">± </w:t>
            </w:r>
            <w:r w:rsidRPr="00616CB0">
              <w:rPr>
                <w:rFonts w:ascii="Arial" w:hAnsi="Arial" w:cs="Arial"/>
                <w:color w:val="000000" w:themeColor="text1"/>
                <w:sz w:val="20"/>
                <w:szCs w:val="20"/>
              </w:rPr>
              <w:t>0.13</w:t>
            </w:r>
          </w:p>
        </w:tc>
      </w:tr>
    </w:tbl>
    <w:p w14:paraId="4BEB4EA6" w14:textId="77777777" w:rsidR="00205628" w:rsidRPr="00616CB0" w:rsidRDefault="00205628" w:rsidP="00205628">
      <w:pPr>
        <w:rPr>
          <w:rFonts w:ascii="Arial" w:hAnsi="Arial" w:cs="Arial"/>
          <w:color w:val="000000" w:themeColor="text1"/>
        </w:rPr>
      </w:pPr>
    </w:p>
    <w:p w14:paraId="1D351FBB" w14:textId="77777777" w:rsidR="00205628" w:rsidRPr="00616CB0" w:rsidRDefault="00205628" w:rsidP="00205628">
      <w:pPr>
        <w:widowControl w:val="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 xml:space="preserve">Table value of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 xml:space="preserve">2 at 3 df = 7.81 at α = 0.05, </w:t>
      </w:r>
      <w:r w:rsidRPr="00616CB0">
        <w:rPr>
          <w:rFonts w:ascii="Cambria Math" w:hAnsi="Cambria Math" w:cs="Cambria Math"/>
          <w:i/>
          <w:iCs/>
          <w:color w:val="000000" w:themeColor="text1"/>
          <w:vertAlign w:val="superscript"/>
        </w:rPr>
        <w:t>𝝌</w:t>
      </w:r>
      <w:r w:rsidRPr="00616CB0">
        <w:rPr>
          <w:rFonts w:ascii="Arial" w:hAnsi="Arial" w:cs="Arial"/>
          <w:i/>
          <w:iCs/>
          <w:color w:val="000000" w:themeColor="text1"/>
          <w:vertAlign w:val="superscript"/>
        </w:rPr>
        <w:t>2 is non-significant at: P &lt; 0.05</w:t>
      </w:r>
    </w:p>
    <w:p w14:paraId="3A1A0FD3" w14:textId="541B34E1" w:rsidR="00205628" w:rsidRPr="00616CB0" w:rsidRDefault="00205628" w:rsidP="00205628">
      <w:pPr>
        <w:widowControl w:val="0"/>
        <w:spacing w:after="240"/>
        <w:jc w:val="both"/>
        <w:rPr>
          <w:rFonts w:ascii="Arial" w:hAnsi="Arial" w:cs="Arial"/>
          <w:i/>
          <w:iCs/>
          <w:color w:val="000000" w:themeColor="text1"/>
          <w:vertAlign w:val="superscript"/>
        </w:rPr>
      </w:pPr>
      <w:r w:rsidRPr="00616CB0">
        <w:rPr>
          <w:rFonts w:ascii="Arial" w:hAnsi="Arial" w:cs="Arial"/>
          <w:i/>
          <w:iCs/>
          <w:color w:val="000000" w:themeColor="text1"/>
          <w:vertAlign w:val="superscript"/>
        </w:rPr>
        <w:t>LC50- Lethal concentration causing 50 per cent mortality; LC90-Lethal concentration causing 90 per cent mortality; CL-Confidence Limit; SE- Standard Error.</w:t>
      </w:r>
    </w:p>
    <w:p w14:paraId="499F06A1" w14:textId="12E78847" w:rsidR="004721EF" w:rsidRPr="00616CB0" w:rsidRDefault="004721EF" w:rsidP="004721EF">
      <w:pPr>
        <w:pStyle w:val="Body"/>
        <w:pBdr>
          <w:top w:val="nil"/>
          <w:left w:val="nil"/>
          <w:bottom w:val="nil"/>
          <w:right w:val="nil"/>
          <w:between w:val="nil"/>
          <w:bar w:val="nil"/>
        </w:pBdr>
        <w:spacing w:after="0" w:line="360" w:lineRule="auto"/>
        <w:rPr>
          <w:rFonts w:ascii="Arial" w:hAnsi="Arial" w:cs="Arial"/>
          <w:b/>
          <w:bCs/>
          <w:color w:val="000000" w:themeColor="text1"/>
          <w:sz w:val="22"/>
          <w:szCs w:val="22"/>
        </w:rPr>
      </w:pPr>
      <w:r w:rsidRPr="00616CB0">
        <w:rPr>
          <w:rFonts w:ascii="Arial" w:hAnsi="Arial" w:cs="Arial"/>
          <w:b/>
          <w:caps/>
          <w:color w:val="000000" w:themeColor="text1"/>
          <w:sz w:val="22"/>
        </w:rPr>
        <w:t xml:space="preserve">3.3 </w:t>
      </w:r>
      <w:r w:rsidR="001D3A78" w:rsidRPr="00616CB0">
        <w:rPr>
          <w:rFonts w:ascii="Arial" w:hAnsi="Arial" w:cs="Arial"/>
          <w:b/>
          <w:bCs/>
          <w:color w:val="000000" w:themeColor="text1"/>
          <w:kern w:val="2"/>
          <w:sz w:val="22"/>
          <w:szCs w:val="22"/>
        </w:rPr>
        <w:t>Repellency</w:t>
      </w:r>
      <w:r w:rsidR="001D3A78" w:rsidRPr="00616CB0">
        <w:rPr>
          <w:rFonts w:ascii="Arial" w:hAnsi="Arial" w:cs="Arial"/>
          <w:b/>
          <w:bCs/>
          <w:color w:val="000000" w:themeColor="text1"/>
          <w:kern w:val="2"/>
        </w:rPr>
        <w:t xml:space="preserve"> </w:t>
      </w:r>
      <w:r w:rsidR="001D3A78" w:rsidRPr="00616CB0">
        <w:rPr>
          <w:rFonts w:ascii="Arial" w:hAnsi="Arial" w:cs="Arial"/>
          <w:b/>
          <w:bCs/>
          <w:color w:val="000000" w:themeColor="text1"/>
          <w:sz w:val="22"/>
          <w:szCs w:val="22"/>
        </w:rPr>
        <w:t>Bioassay</w:t>
      </w:r>
    </w:p>
    <w:p w14:paraId="63191982" w14:textId="77777777" w:rsidR="008444C6" w:rsidRPr="00616CB0" w:rsidRDefault="008444C6" w:rsidP="008444C6">
      <w:pPr>
        <w:pStyle w:val="Body"/>
        <w:ind w:firstLine="360"/>
        <w:rPr>
          <w:rFonts w:ascii="Arial" w:hAnsi="Arial" w:cs="Arial"/>
          <w:color w:val="000000" w:themeColor="text1"/>
          <w:kern w:val="2"/>
        </w:rPr>
      </w:pPr>
      <w:r w:rsidRPr="00616CB0">
        <w:rPr>
          <w:rFonts w:ascii="Arial" w:hAnsi="Arial" w:cs="Arial"/>
          <w:color w:val="000000" w:themeColor="text1"/>
        </w:rPr>
        <w:t>The Five treatments of the essential oil were fixed based on the preliminary repellency range tests. The doses fixed for repellency bioassay were 10, 50, 100, 300, 500 ppm (0.11, 0.55, 1.1, 3.3, 5.5 µg/cm</w:t>
      </w:r>
      <w:r w:rsidRPr="00616CB0">
        <w:rPr>
          <w:rFonts w:ascii="Arial" w:hAnsi="Arial" w:cs="Arial"/>
          <w:color w:val="000000" w:themeColor="text1"/>
          <w:vertAlign w:val="superscript"/>
        </w:rPr>
        <w:t>2</w:t>
      </w:r>
      <w:r w:rsidRPr="00616CB0">
        <w:rPr>
          <w:rFonts w:ascii="Arial" w:hAnsi="Arial" w:cs="Arial"/>
          <w:color w:val="000000" w:themeColor="text1"/>
        </w:rPr>
        <w:t>).</w:t>
      </w:r>
      <w:r w:rsidRPr="00616CB0">
        <w:rPr>
          <w:rFonts w:ascii="Arial" w:hAnsi="Arial" w:cs="Arial"/>
          <w:color w:val="000000" w:themeColor="text1"/>
          <w:kern w:val="2"/>
        </w:rPr>
        <w:t xml:space="preserve"> At 10 ppm, </w:t>
      </w:r>
      <w:r w:rsidRPr="00616CB0">
        <w:rPr>
          <w:rFonts w:ascii="Arial" w:hAnsi="Arial" w:cs="Arial"/>
          <w:color w:val="000000" w:themeColor="text1"/>
        </w:rPr>
        <w:t>percent repellency ranged from 22.5 to 77.5 % from 15 to 120 Minutes After Treatment (MAT).</w:t>
      </w:r>
      <w:r w:rsidRPr="00616CB0">
        <w:rPr>
          <w:rFonts w:ascii="Arial" w:hAnsi="Arial" w:cs="Arial"/>
          <w:color w:val="000000" w:themeColor="text1"/>
          <w:kern w:val="2"/>
        </w:rPr>
        <w:t xml:space="preserve"> At 50 ppm, </w:t>
      </w:r>
      <w:r w:rsidRPr="00616CB0">
        <w:rPr>
          <w:rFonts w:ascii="Arial" w:hAnsi="Arial" w:cs="Arial"/>
          <w:color w:val="000000" w:themeColor="text1"/>
        </w:rPr>
        <w:t xml:space="preserve">percent repellency ranged from 32.5 to 82.5 % from 15 to 120 MAT. </w:t>
      </w:r>
      <w:r w:rsidRPr="00616CB0">
        <w:rPr>
          <w:rFonts w:ascii="Arial" w:hAnsi="Arial" w:cs="Arial"/>
          <w:color w:val="000000" w:themeColor="text1"/>
          <w:kern w:val="2"/>
        </w:rPr>
        <w:t xml:space="preserve">At 100 ppm, </w:t>
      </w:r>
      <w:r w:rsidRPr="00616CB0">
        <w:rPr>
          <w:rFonts w:ascii="Arial" w:hAnsi="Arial" w:cs="Arial"/>
          <w:color w:val="000000" w:themeColor="text1"/>
        </w:rPr>
        <w:t xml:space="preserve">percent repellency ranged from 47.5 to 87.5 % from 15 to 120 MAT. </w:t>
      </w:r>
      <w:r w:rsidRPr="00616CB0">
        <w:rPr>
          <w:rFonts w:ascii="Arial" w:hAnsi="Arial" w:cs="Arial"/>
          <w:color w:val="000000" w:themeColor="text1"/>
          <w:kern w:val="2"/>
        </w:rPr>
        <w:t xml:space="preserve">At 300 ppm, </w:t>
      </w:r>
      <w:r w:rsidRPr="00616CB0">
        <w:rPr>
          <w:rFonts w:ascii="Arial" w:hAnsi="Arial" w:cs="Arial"/>
          <w:color w:val="000000" w:themeColor="text1"/>
        </w:rPr>
        <w:t xml:space="preserve">percent repellency ranged from 65 to 92.5 % from 15 to 120 MAT. </w:t>
      </w:r>
      <w:r w:rsidRPr="00616CB0">
        <w:rPr>
          <w:rFonts w:ascii="Arial" w:hAnsi="Arial" w:cs="Arial"/>
          <w:color w:val="000000" w:themeColor="text1"/>
          <w:kern w:val="2"/>
        </w:rPr>
        <w:t xml:space="preserve">At 500 ppm, </w:t>
      </w:r>
      <w:r w:rsidRPr="00616CB0">
        <w:rPr>
          <w:rFonts w:ascii="Arial" w:hAnsi="Arial" w:cs="Arial"/>
          <w:color w:val="000000" w:themeColor="text1"/>
        </w:rPr>
        <w:t xml:space="preserve">percent repellency ranged from 77.5 to 97.5 % from 15 to 120 MAT. The percent repellency at </w:t>
      </w:r>
      <w:r w:rsidRPr="00616CB0">
        <w:rPr>
          <w:rFonts w:ascii="Arial" w:hAnsi="Arial" w:cs="Arial"/>
          <w:color w:val="000000" w:themeColor="text1"/>
          <w:kern w:val="2"/>
        </w:rPr>
        <w:t>300 and 500 ppm were statistically superior and on par 15 MAT (Table 3).</w:t>
      </w:r>
    </w:p>
    <w:p w14:paraId="57BC1FB5" w14:textId="115A1DA3" w:rsidR="0066205B" w:rsidRDefault="008444C6" w:rsidP="0066205B">
      <w:pPr>
        <w:spacing w:after="240"/>
        <w:jc w:val="both"/>
        <w:rPr>
          <w:rFonts w:ascii="Arial" w:hAnsi="Arial" w:cs="Arial"/>
          <w:color w:val="000000" w:themeColor="text1"/>
        </w:rPr>
      </w:pPr>
      <w:r w:rsidRPr="00616CB0">
        <w:rPr>
          <w:rFonts w:ascii="Arial" w:hAnsi="Arial" w:cs="Arial"/>
          <w:color w:val="000000" w:themeColor="text1"/>
          <w:kern w:val="2"/>
          <w:lang w:val="en-IN"/>
        </w:rPr>
        <w:t xml:space="preserve">The percent </w:t>
      </w:r>
      <w:proofErr w:type="spellStart"/>
      <w:r w:rsidRPr="00616CB0">
        <w:rPr>
          <w:rFonts w:ascii="Arial" w:hAnsi="Arial" w:cs="Arial"/>
          <w:color w:val="000000" w:themeColor="text1"/>
          <w:kern w:val="2"/>
          <w:lang w:val="en-IN"/>
        </w:rPr>
        <w:t>repellency</w:t>
      </w:r>
      <w:proofErr w:type="spellEnd"/>
      <w:r w:rsidRPr="00616CB0">
        <w:rPr>
          <w:rFonts w:ascii="Arial" w:hAnsi="Arial" w:cs="Arial"/>
          <w:color w:val="000000" w:themeColor="text1"/>
          <w:kern w:val="2"/>
          <w:lang w:val="en-IN"/>
        </w:rPr>
        <w:t xml:space="preserve"> </w:t>
      </w:r>
      <w:r w:rsidRPr="00616CB0">
        <w:rPr>
          <w:rFonts w:ascii="Arial" w:hAnsi="Arial" w:cs="Arial"/>
          <w:color w:val="000000" w:themeColor="text1"/>
        </w:rPr>
        <w:t xml:space="preserve">of </w:t>
      </w:r>
      <w:r w:rsidRPr="00616CB0">
        <w:rPr>
          <w:rFonts w:ascii="Arial" w:hAnsi="Arial" w:cs="Arial"/>
          <w:color w:val="000000" w:themeColor="text1"/>
          <w:kern w:val="2"/>
          <w:lang w:val="en-IN"/>
        </w:rPr>
        <w:t xml:space="preserve">citronella essential oil </w:t>
      </w:r>
      <w:r w:rsidRPr="00616CB0">
        <w:rPr>
          <w:rFonts w:ascii="Arial" w:hAnsi="Arial" w:cs="Arial"/>
          <w:color w:val="000000" w:themeColor="text1"/>
        </w:rPr>
        <w:t xml:space="preserve">against </w:t>
      </w:r>
      <w:r w:rsidRPr="00616CB0">
        <w:rPr>
          <w:rFonts w:ascii="Arial" w:hAnsi="Arial" w:cs="Arial"/>
          <w:i/>
          <w:iCs/>
          <w:color w:val="000000" w:themeColor="text1"/>
        </w:rPr>
        <w:t>S. oryzae</w:t>
      </w:r>
      <w:r w:rsidRPr="00616CB0">
        <w:rPr>
          <w:rFonts w:ascii="Arial" w:hAnsi="Arial" w:cs="Arial"/>
          <w:color w:val="000000" w:themeColor="text1"/>
        </w:rPr>
        <w:t xml:space="preserve"> in area preference method </w:t>
      </w:r>
      <w:r w:rsidRPr="00616CB0">
        <w:rPr>
          <w:rFonts w:ascii="Arial" w:hAnsi="Arial" w:cs="Arial"/>
          <w:color w:val="000000" w:themeColor="text1"/>
          <w:kern w:val="2"/>
          <w:lang w:val="en-IN"/>
        </w:rPr>
        <w:t xml:space="preserve">was found to be the highest against the doses of 0.157 and 0.062 </w:t>
      </w:r>
      <w:proofErr w:type="spellStart"/>
      <w:r w:rsidRPr="00616CB0">
        <w:rPr>
          <w:rFonts w:ascii="Arial" w:hAnsi="Arial" w:cs="Arial"/>
          <w:color w:val="000000" w:themeColor="text1"/>
          <w:kern w:val="2"/>
          <w:lang w:val="en-IN"/>
        </w:rPr>
        <w:t>μg</w:t>
      </w:r>
      <w:proofErr w:type="spellEnd"/>
      <w:r w:rsidRPr="00616CB0">
        <w:rPr>
          <w:rFonts w:ascii="Arial" w:hAnsi="Arial" w:cs="Arial"/>
          <w:color w:val="000000" w:themeColor="text1"/>
          <w:kern w:val="2"/>
          <w:lang w:val="en-IN"/>
        </w:rPr>
        <w:t>/cm</w:t>
      </w:r>
      <w:r w:rsidRPr="00616CB0">
        <w:rPr>
          <w:rFonts w:ascii="Arial" w:hAnsi="Arial" w:cs="Arial"/>
          <w:color w:val="000000" w:themeColor="text1"/>
          <w:kern w:val="2"/>
          <w:vertAlign w:val="superscript"/>
          <w:lang w:val="en-IN"/>
        </w:rPr>
        <w:t>2</w:t>
      </w:r>
      <w:r w:rsidRPr="00616CB0">
        <w:rPr>
          <w:rFonts w:ascii="Arial" w:hAnsi="Arial" w:cs="Arial"/>
          <w:color w:val="000000" w:themeColor="text1"/>
        </w:rPr>
        <w:t xml:space="preserve"> (</w:t>
      </w:r>
      <w:proofErr w:type="spellStart"/>
      <w:r w:rsidRPr="00616CB0">
        <w:rPr>
          <w:rFonts w:ascii="Arial" w:hAnsi="Arial" w:cs="Arial"/>
          <w:color w:val="000000" w:themeColor="text1"/>
        </w:rPr>
        <w:t>Mahfuz</w:t>
      </w:r>
      <w:proofErr w:type="spellEnd"/>
      <w:r w:rsidRPr="00616CB0">
        <w:rPr>
          <w:rFonts w:ascii="Arial" w:hAnsi="Arial" w:cs="Arial"/>
          <w:color w:val="000000" w:themeColor="text1"/>
        </w:rPr>
        <w:t xml:space="preserve"> et al., 2019). This result is consistent with the findings of our current study. Wong et al., (2005) found that </w:t>
      </w:r>
      <w:r w:rsidR="00D442D7">
        <w:rPr>
          <w:rFonts w:ascii="Arial" w:hAnsi="Arial" w:cs="Arial"/>
          <w:color w:val="000000" w:themeColor="text1"/>
        </w:rPr>
        <w:t>“</w:t>
      </w:r>
      <w:r w:rsidRPr="00616CB0">
        <w:rPr>
          <w:rFonts w:ascii="Arial" w:hAnsi="Arial" w:cs="Arial"/>
          <w:color w:val="000000" w:themeColor="text1"/>
        </w:rPr>
        <w:t>citronella essential oil was effective in deterring the infestation of cartons containing muesli and wheat germ by red flour beetles. The chemical components were applied as part of a coating on the carton board. In an experimental set up that accelerates infestation over a 2-week period, citronella-treated cartons (0.2 g/m</w:t>
      </w:r>
      <w:r w:rsidRPr="00616CB0">
        <w:rPr>
          <w:rFonts w:ascii="Arial" w:hAnsi="Arial" w:cs="Arial"/>
          <w:color w:val="000000" w:themeColor="text1"/>
          <w:vertAlign w:val="superscript"/>
        </w:rPr>
        <w:t>2</w:t>
      </w:r>
      <w:r w:rsidRPr="00616CB0">
        <w:rPr>
          <w:rFonts w:ascii="Arial" w:hAnsi="Arial" w:cs="Arial"/>
          <w:color w:val="000000" w:themeColor="text1"/>
        </w:rPr>
        <w:t> of carton board) reduced beetle infestation to approximately 50% of the level observed in control cartons</w:t>
      </w:r>
      <w:r w:rsidR="00D442D7">
        <w:rPr>
          <w:rFonts w:ascii="Arial" w:hAnsi="Arial" w:cs="Arial"/>
          <w:color w:val="000000" w:themeColor="text1"/>
        </w:rPr>
        <w:t>”</w:t>
      </w:r>
      <w:r w:rsidRPr="00616CB0">
        <w:rPr>
          <w:rFonts w:ascii="Arial" w:hAnsi="Arial" w:cs="Arial"/>
          <w:color w:val="000000" w:themeColor="text1"/>
        </w:rPr>
        <w:t xml:space="preserve">. </w:t>
      </w:r>
    </w:p>
    <w:p w14:paraId="3A01252D" w14:textId="77777777" w:rsidR="000464F3" w:rsidRDefault="0066205B" w:rsidP="003E687B">
      <w:pPr>
        <w:spacing w:after="240"/>
        <w:jc w:val="both"/>
        <w:rPr>
          <w:rFonts w:ascii="Arial" w:hAnsi="Arial" w:cs="Arial"/>
        </w:rPr>
      </w:pPr>
      <w:r w:rsidRPr="000412F8">
        <w:rPr>
          <w:rFonts w:ascii="Arial" w:hAnsi="Arial" w:cs="Arial"/>
        </w:rPr>
        <w:t xml:space="preserve">The </w:t>
      </w:r>
      <w:r w:rsidRPr="000412F8">
        <w:rPr>
          <w:rFonts w:ascii="Arial" w:hAnsi="Arial" w:cs="Arial"/>
          <w:i/>
          <w:iCs/>
        </w:rPr>
        <w:t xml:space="preserve">Cymbopogon </w:t>
      </w:r>
      <w:proofErr w:type="spellStart"/>
      <w:r w:rsidRPr="000412F8">
        <w:rPr>
          <w:rFonts w:ascii="Arial" w:hAnsi="Arial" w:cs="Arial"/>
          <w:i/>
          <w:iCs/>
        </w:rPr>
        <w:t>citratus</w:t>
      </w:r>
      <w:proofErr w:type="spellEnd"/>
      <w:r w:rsidRPr="000412F8">
        <w:rPr>
          <w:rFonts w:ascii="Arial" w:hAnsi="Arial" w:cs="Arial"/>
        </w:rPr>
        <w:t xml:space="preserve"> EO exhibited the Class III repellent activity against </w:t>
      </w:r>
      <w:r w:rsidRPr="000412F8">
        <w:rPr>
          <w:rFonts w:ascii="Arial" w:hAnsi="Arial" w:cs="Arial"/>
          <w:i/>
          <w:iCs/>
        </w:rPr>
        <w:t xml:space="preserve">Plodia </w:t>
      </w:r>
      <w:proofErr w:type="spellStart"/>
      <w:r w:rsidRPr="000412F8">
        <w:rPr>
          <w:rFonts w:ascii="Arial" w:hAnsi="Arial" w:cs="Arial"/>
          <w:i/>
          <w:iCs/>
        </w:rPr>
        <w:t>interpunctella</w:t>
      </w:r>
      <w:proofErr w:type="spellEnd"/>
      <w:r w:rsidRPr="000412F8">
        <w:rPr>
          <w:rFonts w:ascii="Arial" w:hAnsi="Arial" w:cs="Arial"/>
        </w:rPr>
        <w:t xml:space="preserve"> larvae at the highest concentration (0.5%). The lemongrass EO </w:t>
      </w:r>
      <w:r w:rsidR="002E2BEA">
        <w:rPr>
          <w:rFonts w:ascii="Arial" w:hAnsi="Arial" w:cs="Arial"/>
        </w:rPr>
        <w:t xml:space="preserve">also </w:t>
      </w:r>
      <w:r w:rsidRPr="000412F8">
        <w:rPr>
          <w:rFonts w:ascii="Arial" w:hAnsi="Arial" w:cs="Arial"/>
        </w:rPr>
        <w:t xml:space="preserve">showed strong repellency (Class IV) against </w:t>
      </w:r>
      <w:r w:rsidRPr="000412F8">
        <w:rPr>
          <w:rFonts w:ascii="Arial" w:hAnsi="Arial" w:cs="Arial"/>
          <w:i/>
          <w:iCs/>
        </w:rPr>
        <w:t>S. oryzae</w:t>
      </w:r>
      <w:r w:rsidRPr="000412F8">
        <w:rPr>
          <w:rFonts w:ascii="Arial" w:hAnsi="Arial" w:cs="Arial"/>
        </w:rPr>
        <w:t xml:space="preserve"> (0.2% and 0.5% of EO), </w:t>
      </w:r>
      <w:proofErr w:type="spellStart"/>
      <w:r w:rsidRPr="000412F8">
        <w:rPr>
          <w:rFonts w:ascii="Arial" w:hAnsi="Arial" w:cs="Arial"/>
          <w:i/>
          <w:iCs/>
        </w:rPr>
        <w:t>Acanthoscelides</w:t>
      </w:r>
      <w:proofErr w:type="spellEnd"/>
      <w:r w:rsidRPr="000412F8">
        <w:rPr>
          <w:rFonts w:ascii="Arial" w:hAnsi="Arial" w:cs="Arial"/>
          <w:i/>
          <w:iCs/>
        </w:rPr>
        <w:t xml:space="preserve"> </w:t>
      </w:r>
      <w:proofErr w:type="spellStart"/>
      <w:r w:rsidRPr="000412F8">
        <w:rPr>
          <w:rFonts w:ascii="Arial" w:hAnsi="Arial" w:cs="Arial"/>
          <w:i/>
          <w:iCs/>
        </w:rPr>
        <w:t>obtectus</w:t>
      </w:r>
      <w:proofErr w:type="spellEnd"/>
      <w:r w:rsidRPr="000412F8">
        <w:rPr>
          <w:rFonts w:ascii="Arial" w:hAnsi="Arial" w:cs="Arial"/>
        </w:rPr>
        <w:t xml:space="preserve"> (0.1% and 0.2%), and </w:t>
      </w:r>
      <w:proofErr w:type="spellStart"/>
      <w:r w:rsidRPr="000412F8">
        <w:rPr>
          <w:rFonts w:ascii="Arial" w:hAnsi="Arial" w:cs="Arial"/>
          <w:i/>
          <w:iCs/>
        </w:rPr>
        <w:t>Tribolium</w:t>
      </w:r>
      <w:proofErr w:type="spellEnd"/>
      <w:r w:rsidRPr="000412F8">
        <w:rPr>
          <w:rFonts w:ascii="Arial" w:hAnsi="Arial" w:cs="Arial"/>
          <w:i/>
          <w:iCs/>
        </w:rPr>
        <w:t xml:space="preserve"> </w:t>
      </w:r>
      <w:proofErr w:type="spellStart"/>
      <w:r w:rsidRPr="000412F8">
        <w:rPr>
          <w:rFonts w:ascii="Arial" w:hAnsi="Arial" w:cs="Arial"/>
          <w:i/>
          <w:iCs/>
        </w:rPr>
        <w:t>castaneum</w:t>
      </w:r>
      <w:proofErr w:type="spellEnd"/>
      <w:r w:rsidRPr="000412F8">
        <w:rPr>
          <w:rFonts w:ascii="Arial" w:hAnsi="Arial" w:cs="Arial"/>
        </w:rPr>
        <w:t xml:space="preserve"> (0.05-0.1%). Higher lemongrass EO concentrations (0.5%) exhibited higher repellency (Class V) against </w:t>
      </w:r>
      <w:r w:rsidRPr="000412F8">
        <w:rPr>
          <w:rFonts w:ascii="Arial" w:hAnsi="Arial" w:cs="Arial"/>
          <w:i/>
          <w:iCs/>
        </w:rPr>
        <w:t xml:space="preserve">A. </w:t>
      </w:r>
      <w:proofErr w:type="spellStart"/>
      <w:r w:rsidRPr="000412F8">
        <w:rPr>
          <w:rFonts w:ascii="Arial" w:hAnsi="Arial" w:cs="Arial"/>
          <w:i/>
          <w:iCs/>
        </w:rPr>
        <w:t>obtectus</w:t>
      </w:r>
      <w:proofErr w:type="spellEnd"/>
      <w:r w:rsidRPr="000412F8">
        <w:rPr>
          <w:rFonts w:ascii="Arial" w:hAnsi="Arial" w:cs="Arial"/>
        </w:rPr>
        <w:t xml:space="preserve"> and </w:t>
      </w:r>
      <w:r w:rsidRPr="000412F8">
        <w:rPr>
          <w:rFonts w:ascii="Arial" w:hAnsi="Arial" w:cs="Arial"/>
          <w:i/>
          <w:iCs/>
        </w:rPr>
        <w:t xml:space="preserve">T. </w:t>
      </w:r>
      <w:proofErr w:type="spellStart"/>
      <w:r w:rsidRPr="000412F8">
        <w:rPr>
          <w:rFonts w:ascii="Arial" w:hAnsi="Arial" w:cs="Arial"/>
          <w:i/>
          <w:iCs/>
        </w:rPr>
        <w:t>castaneum</w:t>
      </w:r>
      <w:proofErr w:type="spellEnd"/>
      <w:r>
        <w:rPr>
          <w:rFonts w:ascii="Arial" w:hAnsi="Arial" w:cs="Arial"/>
        </w:rPr>
        <w:t xml:space="preserve"> (</w:t>
      </w:r>
      <w:proofErr w:type="spellStart"/>
      <w:r w:rsidRPr="000412F8">
        <w:rPr>
          <w:rFonts w:ascii="Arial" w:hAnsi="Arial" w:cs="Arial"/>
        </w:rPr>
        <w:t>Gvozdenac</w:t>
      </w:r>
      <w:proofErr w:type="spellEnd"/>
      <w:r>
        <w:rPr>
          <w:rFonts w:ascii="Arial" w:hAnsi="Arial" w:cs="Arial"/>
        </w:rPr>
        <w:t xml:space="preserve"> et al</w:t>
      </w:r>
      <w:r w:rsidRPr="000412F8">
        <w:rPr>
          <w:rFonts w:ascii="Arial" w:hAnsi="Arial" w:cs="Arial"/>
        </w:rPr>
        <w:t>., 2021</w:t>
      </w:r>
      <w:r>
        <w:rPr>
          <w:rFonts w:ascii="Arial" w:hAnsi="Arial" w:cs="Arial"/>
        </w:rPr>
        <w:t>).</w:t>
      </w:r>
      <w:r w:rsidR="002A0009">
        <w:rPr>
          <w:rFonts w:ascii="Arial" w:hAnsi="Arial" w:cs="Arial"/>
        </w:rPr>
        <w:t xml:space="preserve"> </w:t>
      </w:r>
      <w:r w:rsidR="00871E87" w:rsidRPr="00536833">
        <w:rPr>
          <w:rFonts w:ascii="Arial" w:hAnsi="Arial" w:cs="Arial"/>
          <w:i/>
          <w:iCs/>
        </w:rPr>
        <w:t xml:space="preserve">C. </w:t>
      </w:r>
      <w:proofErr w:type="spellStart"/>
      <w:r w:rsidR="00871E87" w:rsidRPr="00536833">
        <w:rPr>
          <w:rFonts w:ascii="Arial" w:hAnsi="Arial" w:cs="Arial"/>
          <w:i/>
          <w:iCs/>
        </w:rPr>
        <w:t>nardus</w:t>
      </w:r>
      <w:proofErr w:type="spellEnd"/>
      <w:r w:rsidR="00871E87" w:rsidRPr="00536833">
        <w:rPr>
          <w:rFonts w:ascii="Arial" w:hAnsi="Arial" w:cs="Arial"/>
        </w:rPr>
        <w:t xml:space="preserve"> essential oil at 20 µLcm</w:t>
      </w:r>
      <w:r w:rsidR="00871E87" w:rsidRPr="00536833">
        <w:rPr>
          <w:rFonts w:ascii="Arial" w:hAnsi="Arial" w:cs="Arial"/>
          <w:vertAlign w:val="superscript"/>
        </w:rPr>
        <w:t>− 2</w:t>
      </w:r>
      <w:r w:rsidR="00871E87" w:rsidRPr="00536833">
        <w:rPr>
          <w:rFonts w:ascii="Arial" w:hAnsi="Arial" w:cs="Arial"/>
        </w:rPr>
        <w:t xml:space="preserve"> showed the highest repellent activity against </w:t>
      </w:r>
      <w:r w:rsidR="00871E87" w:rsidRPr="00A50F46">
        <w:rPr>
          <w:rFonts w:ascii="Arial" w:hAnsi="Arial" w:cs="Arial"/>
          <w:i/>
          <w:iCs/>
        </w:rPr>
        <w:t>D</w:t>
      </w:r>
      <w:r w:rsidR="000A05BF">
        <w:rPr>
          <w:rFonts w:ascii="Arial" w:hAnsi="Arial" w:cs="Arial"/>
          <w:i/>
          <w:iCs/>
        </w:rPr>
        <w:t>.</w:t>
      </w:r>
      <w:r w:rsidR="00871E87" w:rsidRPr="00A50F46">
        <w:rPr>
          <w:rFonts w:ascii="Arial" w:hAnsi="Arial" w:cs="Arial"/>
          <w:i/>
          <w:iCs/>
        </w:rPr>
        <w:t xml:space="preserve"> </w:t>
      </w:r>
      <w:r w:rsidR="00871E87" w:rsidRPr="00536833">
        <w:rPr>
          <w:rFonts w:ascii="Arial" w:hAnsi="Arial" w:cs="Arial"/>
          <w:i/>
          <w:iCs/>
        </w:rPr>
        <w:t>porcellus</w:t>
      </w:r>
      <w:r w:rsidR="00871E87" w:rsidRPr="00536833">
        <w:rPr>
          <w:rFonts w:ascii="Arial" w:hAnsi="Arial" w:cs="Arial"/>
        </w:rPr>
        <w:t xml:space="preserve"> adults after 30 min of </w:t>
      </w:r>
      <w:r w:rsidR="00871E87" w:rsidRPr="00B10087">
        <w:rPr>
          <w:rFonts w:ascii="Arial" w:hAnsi="Arial" w:cs="Arial"/>
        </w:rPr>
        <w:t>exposure time</w:t>
      </w:r>
      <w:r w:rsidR="00871E87">
        <w:rPr>
          <w:rFonts w:ascii="Arial" w:hAnsi="Arial" w:cs="Arial"/>
        </w:rPr>
        <w:t xml:space="preserve">. </w:t>
      </w:r>
      <w:r w:rsidR="00871E87" w:rsidRPr="00D10F28">
        <w:rPr>
          <w:rFonts w:ascii="Arial" w:hAnsi="Arial" w:cs="Arial"/>
        </w:rPr>
        <w:t>RD</w:t>
      </w:r>
      <w:r w:rsidR="00871E87" w:rsidRPr="00D10F28">
        <w:rPr>
          <w:rFonts w:ascii="Arial" w:hAnsi="Arial" w:cs="Arial"/>
          <w:vertAlign w:val="subscript"/>
        </w:rPr>
        <w:t>50</w:t>
      </w:r>
      <w:r w:rsidR="00871E87" w:rsidRPr="00D10F28">
        <w:rPr>
          <w:rFonts w:ascii="Arial" w:hAnsi="Arial" w:cs="Arial"/>
        </w:rPr>
        <w:t xml:space="preserve"> </w:t>
      </w:r>
      <w:r w:rsidR="00871E87">
        <w:rPr>
          <w:rFonts w:ascii="Arial" w:hAnsi="Arial" w:cs="Arial"/>
        </w:rPr>
        <w:t xml:space="preserve">of </w:t>
      </w:r>
      <w:r w:rsidR="00871E87" w:rsidRPr="00536833">
        <w:rPr>
          <w:rFonts w:ascii="Arial" w:hAnsi="Arial" w:cs="Arial"/>
          <w:i/>
          <w:iCs/>
        </w:rPr>
        <w:t xml:space="preserve">C. </w:t>
      </w:r>
      <w:proofErr w:type="spellStart"/>
      <w:r w:rsidR="00871E87" w:rsidRPr="00536833">
        <w:rPr>
          <w:rFonts w:ascii="Arial" w:hAnsi="Arial" w:cs="Arial"/>
          <w:i/>
          <w:iCs/>
        </w:rPr>
        <w:t>nardus</w:t>
      </w:r>
      <w:proofErr w:type="spellEnd"/>
      <w:r w:rsidR="00871E87">
        <w:rPr>
          <w:rFonts w:ascii="Arial" w:hAnsi="Arial" w:cs="Arial"/>
        </w:rPr>
        <w:t xml:space="preserve"> after 30 minutes and 1 hour were 9.1 and 5.6</w:t>
      </w:r>
      <w:r w:rsidR="00871E87" w:rsidRPr="00093B2C">
        <w:rPr>
          <w:rFonts w:ascii="Arial" w:hAnsi="Arial" w:cs="Arial"/>
        </w:rPr>
        <w:t xml:space="preserve"> </w:t>
      </w:r>
      <w:r w:rsidR="00871E87" w:rsidRPr="00536833">
        <w:rPr>
          <w:rFonts w:ascii="Arial" w:hAnsi="Arial" w:cs="Arial"/>
        </w:rPr>
        <w:t>µLcm</w:t>
      </w:r>
      <w:r w:rsidR="00871E87" w:rsidRPr="00536833">
        <w:rPr>
          <w:rFonts w:ascii="Arial" w:hAnsi="Arial" w:cs="Arial"/>
          <w:vertAlign w:val="superscript"/>
        </w:rPr>
        <w:t>− 2</w:t>
      </w:r>
      <w:r w:rsidR="0040426F">
        <w:rPr>
          <w:rFonts w:ascii="Arial" w:hAnsi="Arial" w:cs="Arial"/>
        </w:rPr>
        <w:t xml:space="preserve"> respectively.</w:t>
      </w:r>
      <w:r w:rsidR="00871E87">
        <w:rPr>
          <w:rFonts w:ascii="Arial" w:hAnsi="Arial" w:cs="Arial"/>
        </w:rPr>
        <w:t xml:space="preserve"> The</w:t>
      </w:r>
      <w:r w:rsidR="00871E87" w:rsidRPr="006363B5">
        <w:rPr>
          <w:rFonts w:ascii="Arial" w:hAnsi="Arial" w:cs="Arial"/>
        </w:rPr>
        <w:t xml:space="preserve"> RD</w:t>
      </w:r>
      <w:r w:rsidR="00871E87" w:rsidRPr="00871E87">
        <w:rPr>
          <w:rFonts w:ascii="Arial" w:hAnsi="Arial" w:cs="Arial"/>
          <w:vertAlign w:val="subscript"/>
        </w:rPr>
        <w:t>50</w:t>
      </w:r>
      <w:r w:rsidR="00871E87" w:rsidRPr="006363B5">
        <w:rPr>
          <w:rFonts w:ascii="Arial" w:hAnsi="Arial" w:cs="Arial"/>
        </w:rPr>
        <w:t xml:space="preserve"> values indicated that </w:t>
      </w:r>
      <w:r w:rsidR="00871E87">
        <w:rPr>
          <w:rFonts w:ascii="Arial" w:hAnsi="Arial" w:cs="Arial"/>
        </w:rPr>
        <w:t xml:space="preserve">the </w:t>
      </w:r>
      <w:r w:rsidR="00871E87" w:rsidRPr="006363B5">
        <w:rPr>
          <w:rFonts w:ascii="Arial" w:hAnsi="Arial" w:cs="Arial"/>
        </w:rPr>
        <w:t xml:space="preserve">essential oil of </w:t>
      </w:r>
      <w:r w:rsidR="00871E87" w:rsidRPr="006363B5">
        <w:rPr>
          <w:rFonts w:ascii="Arial" w:hAnsi="Arial" w:cs="Arial"/>
          <w:i/>
          <w:iCs/>
        </w:rPr>
        <w:t xml:space="preserve">C. </w:t>
      </w:r>
      <w:proofErr w:type="spellStart"/>
      <w:r w:rsidR="00871E87" w:rsidRPr="006363B5">
        <w:rPr>
          <w:rFonts w:ascii="Arial" w:hAnsi="Arial" w:cs="Arial"/>
          <w:i/>
          <w:iCs/>
        </w:rPr>
        <w:t>nardus</w:t>
      </w:r>
      <w:proofErr w:type="spellEnd"/>
      <w:r w:rsidR="00871E87" w:rsidRPr="006363B5">
        <w:rPr>
          <w:rFonts w:ascii="Arial" w:hAnsi="Arial" w:cs="Arial"/>
        </w:rPr>
        <w:t xml:space="preserve"> </w:t>
      </w:r>
      <w:r w:rsidR="00871E87">
        <w:rPr>
          <w:rFonts w:ascii="Arial" w:hAnsi="Arial" w:cs="Arial"/>
        </w:rPr>
        <w:t>is having significant repellent action (</w:t>
      </w:r>
      <w:r w:rsidR="00871E87" w:rsidRPr="00B10087">
        <w:rPr>
          <w:rFonts w:ascii="Arial" w:hAnsi="Arial" w:cs="Arial"/>
        </w:rPr>
        <w:t xml:space="preserve">Loko </w:t>
      </w:r>
      <w:r w:rsidR="00871E87">
        <w:rPr>
          <w:rFonts w:ascii="Arial" w:hAnsi="Arial" w:cs="Arial"/>
        </w:rPr>
        <w:t xml:space="preserve">et al., </w:t>
      </w:r>
      <w:r w:rsidR="00871E87" w:rsidRPr="00B10087">
        <w:rPr>
          <w:rFonts w:ascii="Arial" w:hAnsi="Arial" w:cs="Arial"/>
        </w:rPr>
        <w:t>2021</w:t>
      </w:r>
      <w:r w:rsidR="00871E87">
        <w:rPr>
          <w:rFonts w:ascii="Arial" w:hAnsi="Arial" w:cs="Arial"/>
        </w:rPr>
        <w:t>)</w:t>
      </w:r>
      <w:r w:rsidR="00C219FD">
        <w:rPr>
          <w:rFonts w:ascii="Arial" w:hAnsi="Arial" w:cs="Arial"/>
        </w:rPr>
        <w:t xml:space="preserve">. </w:t>
      </w:r>
      <w:r w:rsidR="008444C6" w:rsidRPr="00616CB0">
        <w:rPr>
          <w:rFonts w:ascii="Arial" w:hAnsi="Arial" w:cs="Arial"/>
          <w:color w:val="000000" w:themeColor="text1"/>
        </w:rPr>
        <w:t xml:space="preserve">Also, many reports have cited the insect repellent activity of citronella essential oil. In our study citronella essential oil was proved as a strong repellent against </w:t>
      </w:r>
      <w:r w:rsidR="008444C6" w:rsidRPr="00616CB0">
        <w:rPr>
          <w:rFonts w:ascii="Arial" w:hAnsi="Arial" w:cs="Arial"/>
          <w:i/>
          <w:iCs/>
          <w:color w:val="000000" w:themeColor="text1"/>
        </w:rPr>
        <w:t>S. oryzae</w:t>
      </w:r>
      <w:r w:rsidR="008444C6" w:rsidRPr="00616CB0">
        <w:rPr>
          <w:rFonts w:ascii="Arial" w:hAnsi="Arial" w:cs="Arial"/>
          <w:color w:val="000000" w:themeColor="text1"/>
        </w:rPr>
        <w:t xml:space="preserve">. Repellent activity of essential oils may be due to the monoterpenes and sesquiterpenes which cause death of insects by inhibiting </w:t>
      </w:r>
      <w:proofErr w:type="spellStart"/>
      <w:r w:rsidR="008444C6" w:rsidRPr="00616CB0">
        <w:rPr>
          <w:rFonts w:ascii="Arial" w:hAnsi="Arial" w:cs="Arial"/>
          <w:color w:val="000000" w:themeColor="text1"/>
        </w:rPr>
        <w:t>AChE</w:t>
      </w:r>
      <w:proofErr w:type="spellEnd"/>
      <w:r w:rsidR="008444C6" w:rsidRPr="00616CB0">
        <w:rPr>
          <w:rFonts w:ascii="Arial" w:hAnsi="Arial" w:cs="Arial"/>
          <w:color w:val="000000" w:themeColor="text1"/>
        </w:rPr>
        <w:t xml:space="preserve"> activity in the nervous system (Houghton et al., 2006).</w:t>
      </w:r>
      <w:r w:rsidR="00446702">
        <w:rPr>
          <w:rFonts w:ascii="Arial" w:hAnsi="Arial" w:cs="Arial"/>
        </w:rPr>
        <w:t xml:space="preserve"> </w:t>
      </w:r>
    </w:p>
    <w:p w14:paraId="3A39A207" w14:textId="12073822" w:rsidR="008444C6" w:rsidRPr="00446702" w:rsidRDefault="00EA29A2" w:rsidP="003E687B">
      <w:pPr>
        <w:spacing w:after="240"/>
        <w:jc w:val="both"/>
        <w:rPr>
          <w:rFonts w:ascii="Arial" w:hAnsi="Arial" w:cs="Arial"/>
        </w:rPr>
      </w:pPr>
      <w:r w:rsidRPr="00DC37D2">
        <w:rPr>
          <w:rFonts w:ascii="Arial" w:hAnsi="Arial" w:cs="Arial"/>
        </w:rPr>
        <w:t xml:space="preserve">Cymbopogon essential oil is considered safe for humans, non-target organisms, and the environment. </w:t>
      </w:r>
      <w:r>
        <w:rPr>
          <w:rFonts w:ascii="Arial" w:hAnsi="Arial" w:cs="Arial"/>
        </w:rPr>
        <w:t>It is c</w:t>
      </w:r>
      <w:r w:rsidRPr="00DC37D2">
        <w:rPr>
          <w:rFonts w:ascii="Arial" w:hAnsi="Arial" w:cs="Arial"/>
        </w:rPr>
        <w:t xml:space="preserve">lassified as Generally Recognized as Safe (GRAS) for use as a food additive </w:t>
      </w:r>
      <w:r>
        <w:rPr>
          <w:rFonts w:ascii="Arial" w:hAnsi="Arial" w:cs="Arial"/>
        </w:rPr>
        <w:t xml:space="preserve">and </w:t>
      </w:r>
      <w:r w:rsidRPr="00DC37D2">
        <w:rPr>
          <w:rFonts w:ascii="Arial" w:hAnsi="Arial" w:cs="Arial"/>
        </w:rPr>
        <w:t>it also meets regulatory standards for applications in perfumery, beverages, pharmaceuticals, and pesticides (Sen et al., 2023)</w:t>
      </w:r>
      <w:r>
        <w:rPr>
          <w:rFonts w:ascii="Arial" w:hAnsi="Arial" w:cs="Arial"/>
        </w:rPr>
        <w:t xml:space="preserve">. </w:t>
      </w:r>
      <w:r w:rsidR="008444C6" w:rsidRPr="00616CB0">
        <w:rPr>
          <w:rFonts w:ascii="Arial" w:hAnsi="Arial" w:cs="Arial"/>
          <w:color w:val="000000" w:themeColor="text1"/>
        </w:rPr>
        <w:t>It is evident that the citronella essential oil can be a potential alternative for toxic synthetic pesticides since the lower dose is enough to cause a detrimental effect to the target pest</w:t>
      </w:r>
      <w:r w:rsidR="00CE5F2F">
        <w:rPr>
          <w:rFonts w:ascii="Arial" w:hAnsi="Arial" w:cs="Arial"/>
          <w:color w:val="000000" w:themeColor="text1"/>
        </w:rPr>
        <w:t xml:space="preserve"> without causing a non-target effect.</w:t>
      </w:r>
    </w:p>
    <w:p w14:paraId="435EE0FD" w14:textId="77777777" w:rsidR="00DC1D6E" w:rsidRPr="00616CB0" w:rsidRDefault="00DC1D6E" w:rsidP="00DC1D6E">
      <w:pPr>
        <w:widowControl w:val="0"/>
        <w:jc w:val="both"/>
        <w:rPr>
          <w:rFonts w:ascii="Arial" w:hAnsi="Arial" w:cs="Arial"/>
          <w:b/>
          <w:bCs/>
          <w:color w:val="000000" w:themeColor="text1"/>
        </w:rPr>
      </w:pPr>
      <w:r w:rsidRPr="00616CB0">
        <w:rPr>
          <w:rFonts w:ascii="Arial" w:hAnsi="Arial" w:cs="Arial"/>
          <w:b/>
          <w:bCs/>
          <w:color w:val="000000" w:themeColor="text1"/>
        </w:rPr>
        <w:t>Table 3. Repellent activity of Citronella essential oil against rice weevil</w:t>
      </w:r>
    </w:p>
    <w:tbl>
      <w:tblPr>
        <w:tblW w:w="9067" w:type="dxa"/>
        <w:jc w:val="center"/>
        <w:tblLayout w:type="fixed"/>
        <w:tblLook w:val="0600" w:firstRow="0" w:lastRow="0" w:firstColumn="0" w:lastColumn="0" w:noHBand="1" w:noVBand="1"/>
      </w:tblPr>
      <w:tblGrid>
        <w:gridCol w:w="1980"/>
        <w:gridCol w:w="1559"/>
        <w:gridCol w:w="1418"/>
        <w:gridCol w:w="1417"/>
        <w:gridCol w:w="1418"/>
        <w:gridCol w:w="1275"/>
      </w:tblGrid>
      <w:tr w:rsidR="00616CB0" w:rsidRPr="00616CB0" w14:paraId="366A1D71" w14:textId="77777777" w:rsidTr="0087166B">
        <w:trPr>
          <w:trHeight w:val="369"/>
          <w:jc w:val="center"/>
        </w:trPr>
        <w:tc>
          <w:tcPr>
            <w:tcW w:w="1980" w:type="dxa"/>
            <w:vMerge w:val="restart"/>
            <w:tcBorders>
              <w:top w:val="single" w:sz="4" w:space="0" w:color="auto"/>
            </w:tcBorders>
            <w:tcMar>
              <w:top w:w="140" w:type="dxa"/>
              <w:left w:w="140" w:type="dxa"/>
              <w:bottom w:w="140" w:type="dxa"/>
              <w:right w:w="140" w:type="dxa"/>
            </w:tcMar>
          </w:tcPr>
          <w:p w14:paraId="29EA2A0B"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EO concentration (ppm)</w:t>
            </w:r>
          </w:p>
        </w:tc>
        <w:tc>
          <w:tcPr>
            <w:tcW w:w="7087" w:type="dxa"/>
            <w:gridSpan w:val="5"/>
            <w:tcBorders>
              <w:top w:val="single" w:sz="4" w:space="0" w:color="auto"/>
              <w:bottom w:val="single" w:sz="4" w:space="0" w:color="auto"/>
            </w:tcBorders>
            <w:tcMar>
              <w:top w:w="140" w:type="dxa"/>
              <w:left w:w="140" w:type="dxa"/>
              <w:bottom w:w="140" w:type="dxa"/>
              <w:right w:w="140" w:type="dxa"/>
            </w:tcMar>
          </w:tcPr>
          <w:p w14:paraId="175BC390"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Per cent Repellence</w:t>
            </w:r>
          </w:p>
        </w:tc>
      </w:tr>
      <w:tr w:rsidR="00616CB0" w:rsidRPr="00616CB0" w14:paraId="76542B1E" w14:textId="77777777" w:rsidTr="0087166B">
        <w:trPr>
          <w:trHeight w:val="293"/>
          <w:jc w:val="center"/>
        </w:trPr>
        <w:tc>
          <w:tcPr>
            <w:tcW w:w="1980" w:type="dxa"/>
            <w:vMerge/>
            <w:tcBorders>
              <w:bottom w:val="single" w:sz="4" w:space="0" w:color="auto"/>
            </w:tcBorders>
            <w:tcMar>
              <w:top w:w="140" w:type="dxa"/>
              <w:left w:w="140" w:type="dxa"/>
              <w:bottom w:w="140" w:type="dxa"/>
              <w:right w:w="140" w:type="dxa"/>
            </w:tcMar>
          </w:tcPr>
          <w:p w14:paraId="1FF83F63" w14:textId="77777777" w:rsidR="00DC1D6E" w:rsidRPr="00616CB0" w:rsidRDefault="00DC1D6E" w:rsidP="0087166B">
            <w:pPr>
              <w:widowControl w:val="0"/>
              <w:pBdr>
                <w:top w:val="nil"/>
                <w:left w:val="nil"/>
                <w:bottom w:val="nil"/>
                <w:right w:val="nil"/>
                <w:between w:val="nil"/>
              </w:pBdr>
              <w:jc w:val="center"/>
              <w:rPr>
                <w:rFonts w:ascii="Arial" w:hAnsi="Arial" w:cs="Arial"/>
                <w:b/>
                <w:bCs/>
                <w:color w:val="000000" w:themeColor="text1"/>
              </w:rPr>
            </w:pPr>
          </w:p>
        </w:tc>
        <w:tc>
          <w:tcPr>
            <w:tcW w:w="1559" w:type="dxa"/>
            <w:tcBorders>
              <w:top w:val="single" w:sz="4" w:space="0" w:color="auto"/>
              <w:bottom w:val="single" w:sz="4" w:space="0" w:color="auto"/>
            </w:tcBorders>
            <w:tcMar>
              <w:top w:w="140" w:type="dxa"/>
              <w:left w:w="140" w:type="dxa"/>
              <w:bottom w:w="140" w:type="dxa"/>
              <w:right w:w="140" w:type="dxa"/>
            </w:tcMar>
          </w:tcPr>
          <w:p w14:paraId="11A46972"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15 MAT</w:t>
            </w:r>
          </w:p>
        </w:tc>
        <w:tc>
          <w:tcPr>
            <w:tcW w:w="1418" w:type="dxa"/>
            <w:tcBorders>
              <w:top w:val="single" w:sz="4" w:space="0" w:color="auto"/>
              <w:bottom w:val="single" w:sz="4" w:space="0" w:color="auto"/>
            </w:tcBorders>
            <w:tcMar>
              <w:top w:w="140" w:type="dxa"/>
              <w:left w:w="140" w:type="dxa"/>
              <w:bottom w:w="140" w:type="dxa"/>
              <w:right w:w="140" w:type="dxa"/>
            </w:tcMar>
          </w:tcPr>
          <w:p w14:paraId="6B6E01E5"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30 MAT</w:t>
            </w:r>
          </w:p>
        </w:tc>
        <w:tc>
          <w:tcPr>
            <w:tcW w:w="1417" w:type="dxa"/>
            <w:tcBorders>
              <w:top w:val="single" w:sz="4" w:space="0" w:color="auto"/>
              <w:bottom w:val="single" w:sz="4" w:space="0" w:color="auto"/>
            </w:tcBorders>
            <w:tcMar>
              <w:top w:w="140" w:type="dxa"/>
              <w:left w:w="140" w:type="dxa"/>
              <w:bottom w:w="140" w:type="dxa"/>
              <w:right w:w="140" w:type="dxa"/>
            </w:tcMar>
          </w:tcPr>
          <w:p w14:paraId="764B92F8"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45 MAT</w:t>
            </w:r>
          </w:p>
        </w:tc>
        <w:tc>
          <w:tcPr>
            <w:tcW w:w="1418" w:type="dxa"/>
            <w:tcBorders>
              <w:top w:val="single" w:sz="4" w:space="0" w:color="auto"/>
              <w:bottom w:val="single" w:sz="4" w:space="0" w:color="auto"/>
            </w:tcBorders>
            <w:tcMar>
              <w:top w:w="140" w:type="dxa"/>
              <w:left w:w="140" w:type="dxa"/>
              <w:bottom w:w="140" w:type="dxa"/>
              <w:right w:w="140" w:type="dxa"/>
            </w:tcMar>
          </w:tcPr>
          <w:p w14:paraId="4C5219C5"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60 MAT</w:t>
            </w:r>
          </w:p>
        </w:tc>
        <w:tc>
          <w:tcPr>
            <w:tcW w:w="1275" w:type="dxa"/>
            <w:tcBorders>
              <w:top w:val="single" w:sz="4" w:space="0" w:color="auto"/>
              <w:bottom w:val="single" w:sz="4" w:space="0" w:color="auto"/>
            </w:tcBorders>
            <w:tcMar>
              <w:top w:w="140" w:type="dxa"/>
              <w:left w:w="140" w:type="dxa"/>
              <w:bottom w:w="140" w:type="dxa"/>
              <w:right w:w="140" w:type="dxa"/>
            </w:tcMar>
          </w:tcPr>
          <w:p w14:paraId="04B38724" w14:textId="77777777" w:rsidR="00DC1D6E" w:rsidRPr="00616CB0" w:rsidRDefault="00DC1D6E" w:rsidP="0087166B">
            <w:pPr>
              <w:widowControl w:val="0"/>
              <w:jc w:val="center"/>
              <w:rPr>
                <w:rFonts w:ascii="Arial" w:hAnsi="Arial" w:cs="Arial"/>
                <w:b/>
                <w:bCs/>
                <w:color w:val="000000" w:themeColor="text1"/>
              </w:rPr>
            </w:pPr>
            <w:r w:rsidRPr="00616CB0">
              <w:rPr>
                <w:rFonts w:ascii="Arial" w:hAnsi="Arial" w:cs="Arial"/>
                <w:b/>
                <w:bCs/>
                <w:color w:val="000000" w:themeColor="text1"/>
              </w:rPr>
              <w:t>120 MAT</w:t>
            </w:r>
          </w:p>
        </w:tc>
      </w:tr>
      <w:tr w:rsidR="00616CB0" w:rsidRPr="00616CB0" w14:paraId="1D43BB0B" w14:textId="77777777" w:rsidTr="0087166B">
        <w:trPr>
          <w:trHeight w:val="628"/>
          <w:jc w:val="center"/>
        </w:trPr>
        <w:tc>
          <w:tcPr>
            <w:tcW w:w="1980" w:type="dxa"/>
            <w:tcBorders>
              <w:top w:val="single" w:sz="4" w:space="0" w:color="auto"/>
            </w:tcBorders>
            <w:tcMar>
              <w:top w:w="140" w:type="dxa"/>
              <w:left w:w="140" w:type="dxa"/>
              <w:bottom w:w="140" w:type="dxa"/>
              <w:right w:w="140" w:type="dxa"/>
            </w:tcMar>
          </w:tcPr>
          <w:p w14:paraId="1607233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lastRenderedPageBreak/>
              <w:t>10</w:t>
            </w:r>
          </w:p>
        </w:tc>
        <w:tc>
          <w:tcPr>
            <w:tcW w:w="1559" w:type="dxa"/>
            <w:tcBorders>
              <w:top w:val="single" w:sz="4" w:space="0" w:color="auto"/>
            </w:tcBorders>
            <w:tcMar>
              <w:top w:w="40" w:type="dxa"/>
              <w:left w:w="40" w:type="dxa"/>
              <w:bottom w:w="40" w:type="dxa"/>
              <w:right w:w="40" w:type="dxa"/>
            </w:tcMar>
            <w:vAlign w:val="bottom"/>
          </w:tcPr>
          <w:p w14:paraId="2ADE146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22.5</w:t>
            </w:r>
          </w:p>
          <w:p w14:paraId="24C161BA"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(27.855) </w:t>
            </w:r>
            <w:r w:rsidRPr="00616CB0">
              <w:rPr>
                <w:rFonts w:ascii="Arial" w:hAnsi="Arial" w:cs="Arial"/>
                <w:color w:val="000000" w:themeColor="text1"/>
                <w:vertAlign w:val="superscript"/>
              </w:rPr>
              <w:t>c</w:t>
            </w:r>
          </w:p>
        </w:tc>
        <w:tc>
          <w:tcPr>
            <w:tcW w:w="1418" w:type="dxa"/>
            <w:tcBorders>
              <w:top w:val="single" w:sz="4" w:space="0" w:color="auto"/>
            </w:tcBorders>
            <w:tcMar>
              <w:top w:w="40" w:type="dxa"/>
              <w:left w:w="40" w:type="dxa"/>
              <w:bottom w:w="40" w:type="dxa"/>
              <w:right w:w="40" w:type="dxa"/>
            </w:tcMar>
            <w:vAlign w:val="bottom"/>
          </w:tcPr>
          <w:p w14:paraId="29CED9CA"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47.5</w:t>
            </w:r>
          </w:p>
          <w:p w14:paraId="7F85DD37"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(43.558) </w:t>
            </w:r>
            <w:r w:rsidRPr="00616CB0">
              <w:rPr>
                <w:rFonts w:ascii="Arial" w:hAnsi="Arial" w:cs="Arial"/>
                <w:color w:val="000000" w:themeColor="text1"/>
                <w:vertAlign w:val="superscript"/>
              </w:rPr>
              <w:t>d</w:t>
            </w:r>
          </w:p>
        </w:tc>
        <w:tc>
          <w:tcPr>
            <w:tcW w:w="1417" w:type="dxa"/>
            <w:tcBorders>
              <w:top w:val="single" w:sz="4" w:space="0" w:color="auto"/>
            </w:tcBorders>
            <w:tcMar>
              <w:top w:w="40" w:type="dxa"/>
              <w:left w:w="40" w:type="dxa"/>
              <w:bottom w:w="40" w:type="dxa"/>
              <w:right w:w="40" w:type="dxa"/>
            </w:tcMar>
            <w:vAlign w:val="bottom"/>
          </w:tcPr>
          <w:p w14:paraId="4D84881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55</w:t>
            </w:r>
          </w:p>
          <w:p w14:paraId="70656644"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(47.884)</w:t>
            </w:r>
            <w:r w:rsidRPr="00616CB0">
              <w:rPr>
                <w:rFonts w:ascii="Arial" w:hAnsi="Arial" w:cs="Arial"/>
                <w:color w:val="000000" w:themeColor="text1"/>
                <w:vertAlign w:val="superscript"/>
              </w:rPr>
              <w:t xml:space="preserve"> c</w:t>
            </w:r>
          </w:p>
        </w:tc>
        <w:tc>
          <w:tcPr>
            <w:tcW w:w="1418" w:type="dxa"/>
            <w:tcBorders>
              <w:top w:val="single" w:sz="4" w:space="0" w:color="auto"/>
            </w:tcBorders>
            <w:tcMar>
              <w:top w:w="40" w:type="dxa"/>
              <w:left w:w="40" w:type="dxa"/>
              <w:bottom w:w="40" w:type="dxa"/>
              <w:right w:w="40" w:type="dxa"/>
            </w:tcMar>
            <w:vAlign w:val="bottom"/>
          </w:tcPr>
          <w:p w14:paraId="7D113A5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72.5</w:t>
            </w:r>
          </w:p>
          <w:p w14:paraId="18F7C3FF"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(58.451) </w:t>
            </w:r>
            <w:r w:rsidRPr="00616CB0">
              <w:rPr>
                <w:rFonts w:ascii="Arial" w:hAnsi="Arial" w:cs="Arial"/>
                <w:color w:val="000000" w:themeColor="text1"/>
                <w:vertAlign w:val="superscript"/>
              </w:rPr>
              <w:t>c</w:t>
            </w:r>
          </w:p>
        </w:tc>
        <w:tc>
          <w:tcPr>
            <w:tcW w:w="1275" w:type="dxa"/>
            <w:tcBorders>
              <w:top w:val="single" w:sz="4" w:space="0" w:color="auto"/>
            </w:tcBorders>
            <w:tcMar>
              <w:top w:w="40" w:type="dxa"/>
              <w:left w:w="40" w:type="dxa"/>
              <w:bottom w:w="40" w:type="dxa"/>
              <w:right w:w="40" w:type="dxa"/>
            </w:tcMar>
          </w:tcPr>
          <w:p w14:paraId="7426BD8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77.5</w:t>
            </w:r>
          </w:p>
          <w:p w14:paraId="0D414D6B"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(61.773) </w:t>
            </w:r>
            <w:r w:rsidRPr="00616CB0">
              <w:rPr>
                <w:rFonts w:ascii="Arial" w:hAnsi="Arial" w:cs="Arial"/>
                <w:color w:val="000000" w:themeColor="text1"/>
                <w:vertAlign w:val="superscript"/>
              </w:rPr>
              <w:t>c</w:t>
            </w:r>
          </w:p>
        </w:tc>
      </w:tr>
      <w:tr w:rsidR="00616CB0" w:rsidRPr="00616CB0" w14:paraId="524C23A3" w14:textId="77777777" w:rsidTr="0087166B">
        <w:trPr>
          <w:trHeight w:val="572"/>
          <w:jc w:val="center"/>
        </w:trPr>
        <w:tc>
          <w:tcPr>
            <w:tcW w:w="1980" w:type="dxa"/>
            <w:tcMar>
              <w:top w:w="140" w:type="dxa"/>
              <w:left w:w="140" w:type="dxa"/>
              <w:bottom w:w="140" w:type="dxa"/>
              <w:right w:w="140" w:type="dxa"/>
            </w:tcMar>
          </w:tcPr>
          <w:p w14:paraId="4A6B5F2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50</w:t>
            </w:r>
          </w:p>
        </w:tc>
        <w:tc>
          <w:tcPr>
            <w:tcW w:w="1559" w:type="dxa"/>
            <w:tcMar>
              <w:top w:w="40" w:type="dxa"/>
              <w:left w:w="40" w:type="dxa"/>
              <w:bottom w:w="40" w:type="dxa"/>
              <w:right w:w="40" w:type="dxa"/>
            </w:tcMar>
            <w:vAlign w:val="bottom"/>
          </w:tcPr>
          <w:p w14:paraId="142F1472"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32.5</w:t>
            </w:r>
          </w:p>
          <w:p w14:paraId="6D301DBF"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(34.560) </w:t>
            </w:r>
            <w:r w:rsidRPr="00616CB0">
              <w:rPr>
                <w:rFonts w:ascii="Arial" w:hAnsi="Arial" w:cs="Arial"/>
                <w:color w:val="000000" w:themeColor="text1"/>
                <w:vertAlign w:val="superscript"/>
              </w:rPr>
              <w:t>c</w:t>
            </w:r>
          </w:p>
        </w:tc>
        <w:tc>
          <w:tcPr>
            <w:tcW w:w="1418" w:type="dxa"/>
            <w:tcMar>
              <w:top w:w="40" w:type="dxa"/>
              <w:left w:w="40" w:type="dxa"/>
              <w:bottom w:w="40" w:type="dxa"/>
              <w:right w:w="40" w:type="dxa"/>
            </w:tcMar>
            <w:vAlign w:val="bottom"/>
          </w:tcPr>
          <w:p w14:paraId="69F21B6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55</w:t>
            </w:r>
          </w:p>
          <w:p w14:paraId="0812115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(47.884) </w:t>
            </w:r>
            <w:r w:rsidRPr="00616CB0">
              <w:rPr>
                <w:rFonts w:ascii="Arial" w:hAnsi="Arial" w:cs="Arial"/>
                <w:color w:val="000000" w:themeColor="text1"/>
                <w:vertAlign w:val="superscript"/>
              </w:rPr>
              <w:t>cd</w:t>
            </w:r>
          </w:p>
        </w:tc>
        <w:tc>
          <w:tcPr>
            <w:tcW w:w="1417" w:type="dxa"/>
            <w:tcMar>
              <w:top w:w="40" w:type="dxa"/>
              <w:left w:w="40" w:type="dxa"/>
              <w:bottom w:w="40" w:type="dxa"/>
              <w:right w:w="40" w:type="dxa"/>
            </w:tcMar>
            <w:vAlign w:val="bottom"/>
          </w:tcPr>
          <w:p w14:paraId="3830F98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65</w:t>
            </w:r>
          </w:p>
          <w:p w14:paraId="49E244C1"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(53.779)</w:t>
            </w:r>
            <w:r w:rsidRPr="00616CB0">
              <w:rPr>
                <w:rFonts w:ascii="Arial" w:hAnsi="Arial" w:cs="Arial"/>
                <w:color w:val="000000" w:themeColor="text1"/>
                <w:vertAlign w:val="superscript"/>
              </w:rPr>
              <w:t xml:space="preserve"> c</w:t>
            </w:r>
          </w:p>
        </w:tc>
        <w:tc>
          <w:tcPr>
            <w:tcW w:w="1418" w:type="dxa"/>
            <w:tcMar>
              <w:top w:w="40" w:type="dxa"/>
              <w:left w:w="40" w:type="dxa"/>
              <w:bottom w:w="40" w:type="dxa"/>
              <w:right w:w="40" w:type="dxa"/>
            </w:tcMar>
            <w:vAlign w:val="bottom"/>
          </w:tcPr>
          <w:p w14:paraId="0874723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82.5</w:t>
            </w:r>
          </w:p>
          <w:p w14:paraId="764F44A1"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(65.467) </w:t>
            </w:r>
            <w:proofErr w:type="spellStart"/>
            <w:r w:rsidRPr="00616CB0">
              <w:rPr>
                <w:rFonts w:ascii="Arial" w:hAnsi="Arial" w:cs="Arial"/>
                <w:color w:val="000000" w:themeColor="text1"/>
                <w:vertAlign w:val="superscript"/>
              </w:rPr>
              <w:t>bc</w:t>
            </w:r>
            <w:proofErr w:type="spellEnd"/>
          </w:p>
        </w:tc>
        <w:tc>
          <w:tcPr>
            <w:tcW w:w="1275" w:type="dxa"/>
            <w:tcMar>
              <w:top w:w="40" w:type="dxa"/>
              <w:left w:w="40" w:type="dxa"/>
              <w:bottom w:w="40" w:type="dxa"/>
              <w:right w:w="40" w:type="dxa"/>
            </w:tcMar>
          </w:tcPr>
          <w:p w14:paraId="5A08D6B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82.5</w:t>
            </w:r>
          </w:p>
          <w:p w14:paraId="2021F8A2"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(65.467) </w:t>
            </w:r>
            <w:proofErr w:type="spellStart"/>
            <w:r w:rsidRPr="00616CB0">
              <w:rPr>
                <w:rFonts w:ascii="Arial" w:hAnsi="Arial" w:cs="Arial"/>
                <w:color w:val="000000" w:themeColor="text1"/>
                <w:vertAlign w:val="superscript"/>
              </w:rPr>
              <w:t>bc</w:t>
            </w:r>
            <w:proofErr w:type="spellEnd"/>
          </w:p>
        </w:tc>
      </w:tr>
      <w:tr w:rsidR="00616CB0" w:rsidRPr="00616CB0" w14:paraId="609C8A05" w14:textId="77777777" w:rsidTr="0087166B">
        <w:trPr>
          <w:trHeight w:val="602"/>
          <w:jc w:val="center"/>
        </w:trPr>
        <w:tc>
          <w:tcPr>
            <w:tcW w:w="1980" w:type="dxa"/>
            <w:tcMar>
              <w:top w:w="140" w:type="dxa"/>
              <w:left w:w="140" w:type="dxa"/>
              <w:bottom w:w="140" w:type="dxa"/>
              <w:right w:w="140" w:type="dxa"/>
            </w:tcMar>
          </w:tcPr>
          <w:p w14:paraId="4DFFF45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100</w:t>
            </w:r>
          </w:p>
        </w:tc>
        <w:tc>
          <w:tcPr>
            <w:tcW w:w="1559" w:type="dxa"/>
            <w:tcMar>
              <w:top w:w="40" w:type="dxa"/>
              <w:left w:w="40" w:type="dxa"/>
              <w:bottom w:w="40" w:type="dxa"/>
              <w:right w:w="40" w:type="dxa"/>
            </w:tcMar>
            <w:vAlign w:val="bottom"/>
          </w:tcPr>
          <w:p w14:paraId="6F4C8191"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47.5</w:t>
            </w:r>
          </w:p>
          <w:p w14:paraId="65139614"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(43.558) </w:t>
            </w:r>
            <w:r w:rsidRPr="00616CB0">
              <w:rPr>
                <w:rFonts w:ascii="Arial" w:hAnsi="Arial" w:cs="Arial"/>
                <w:color w:val="000000" w:themeColor="text1"/>
                <w:vertAlign w:val="superscript"/>
              </w:rPr>
              <w:t>b</w:t>
            </w:r>
          </w:p>
        </w:tc>
        <w:tc>
          <w:tcPr>
            <w:tcW w:w="1418" w:type="dxa"/>
            <w:tcMar>
              <w:top w:w="40" w:type="dxa"/>
              <w:left w:w="40" w:type="dxa"/>
              <w:bottom w:w="40" w:type="dxa"/>
              <w:right w:w="40" w:type="dxa"/>
            </w:tcMar>
            <w:vAlign w:val="bottom"/>
          </w:tcPr>
          <w:p w14:paraId="3B716797"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60</w:t>
            </w:r>
          </w:p>
          <w:p w14:paraId="089FDC0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(50.832)</w:t>
            </w:r>
            <w:r w:rsidRPr="00616CB0">
              <w:rPr>
                <w:rFonts w:ascii="Arial" w:hAnsi="Arial" w:cs="Arial"/>
                <w:color w:val="000000" w:themeColor="text1"/>
                <w:vertAlign w:val="superscript"/>
              </w:rPr>
              <w:t xml:space="preserve"> c</w:t>
            </w:r>
          </w:p>
        </w:tc>
        <w:tc>
          <w:tcPr>
            <w:tcW w:w="1417" w:type="dxa"/>
            <w:tcMar>
              <w:top w:w="40" w:type="dxa"/>
              <w:left w:w="40" w:type="dxa"/>
              <w:bottom w:w="40" w:type="dxa"/>
              <w:right w:w="40" w:type="dxa"/>
            </w:tcMar>
            <w:vAlign w:val="bottom"/>
          </w:tcPr>
          <w:p w14:paraId="77C8E004"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72.5</w:t>
            </w:r>
          </w:p>
          <w:p w14:paraId="7046F3BC"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(58.607) </w:t>
            </w:r>
            <w:proofErr w:type="spellStart"/>
            <w:r w:rsidRPr="00616CB0">
              <w:rPr>
                <w:rFonts w:ascii="Arial" w:hAnsi="Arial" w:cs="Arial"/>
                <w:color w:val="000000" w:themeColor="text1"/>
                <w:vertAlign w:val="superscript"/>
              </w:rPr>
              <w:t>bc</w:t>
            </w:r>
            <w:proofErr w:type="spellEnd"/>
            <w:r w:rsidRPr="00616CB0">
              <w:rPr>
                <w:rFonts w:ascii="Arial" w:hAnsi="Arial" w:cs="Arial"/>
                <w:color w:val="000000" w:themeColor="text1"/>
              </w:rPr>
              <w:t xml:space="preserve"> </w:t>
            </w:r>
          </w:p>
        </w:tc>
        <w:tc>
          <w:tcPr>
            <w:tcW w:w="1418" w:type="dxa"/>
            <w:tcMar>
              <w:top w:w="40" w:type="dxa"/>
              <w:left w:w="40" w:type="dxa"/>
              <w:bottom w:w="40" w:type="dxa"/>
              <w:right w:w="40" w:type="dxa"/>
            </w:tcMar>
            <w:vAlign w:val="bottom"/>
          </w:tcPr>
          <w:p w14:paraId="6D015DE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687CEC7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(72.109) </w:t>
            </w:r>
            <w:proofErr w:type="spellStart"/>
            <w:r w:rsidRPr="00616CB0">
              <w:rPr>
                <w:rFonts w:ascii="Arial" w:hAnsi="Arial" w:cs="Arial"/>
                <w:color w:val="000000" w:themeColor="text1"/>
                <w:vertAlign w:val="superscript"/>
              </w:rPr>
              <w:t>abc</w:t>
            </w:r>
            <w:proofErr w:type="spellEnd"/>
          </w:p>
        </w:tc>
        <w:tc>
          <w:tcPr>
            <w:tcW w:w="1275" w:type="dxa"/>
            <w:tcMar>
              <w:top w:w="40" w:type="dxa"/>
              <w:left w:w="40" w:type="dxa"/>
              <w:bottom w:w="40" w:type="dxa"/>
              <w:right w:w="40" w:type="dxa"/>
            </w:tcMar>
          </w:tcPr>
          <w:p w14:paraId="1B897BD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045F8C7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(72.109) </w:t>
            </w:r>
            <w:proofErr w:type="spellStart"/>
            <w:r w:rsidRPr="00616CB0">
              <w:rPr>
                <w:rFonts w:ascii="Arial" w:hAnsi="Arial" w:cs="Arial"/>
                <w:color w:val="000000" w:themeColor="text1"/>
                <w:vertAlign w:val="superscript"/>
              </w:rPr>
              <w:t>abc</w:t>
            </w:r>
            <w:proofErr w:type="spellEnd"/>
          </w:p>
        </w:tc>
      </w:tr>
      <w:tr w:rsidR="00616CB0" w:rsidRPr="00616CB0" w14:paraId="63204C2B" w14:textId="77777777" w:rsidTr="0087166B">
        <w:trPr>
          <w:trHeight w:val="588"/>
          <w:jc w:val="center"/>
        </w:trPr>
        <w:tc>
          <w:tcPr>
            <w:tcW w:w="1980" w:type="dxa"/>
            <w:tcMar>
              <w:top w:w="140" w:type="dxa"/>
              <w:left w:w="140" w:type="dxa"/>
              <w:bottom w:w="140" w:type="dxa"/>
              <w:right w:w="140" w:type="dxa"/>
            </w:tcMar>
          </w:tcPr>
          <w:p w14:paraId="7067C505"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300</w:t>
            </w:r>
          </w:p>
        </w:tc>
        <w:tc>
          <w:tcPr>
            <w:tcW w:w="1559" w:type="dxa"/>
            <w:tcMar>
              <w:top w:w="40" w:type="dxa"/>
              <w:left w:w="40" w:type="dxa"/>
              <w:bottom w:w="40" w:type="dxa"/>
              <w:right w:w="40" w:type="dxa"/>
            </w:tcMar>
            <w:vAlign w:val="bottom"/>
          </w:tcPr>
          <w:p w14:paraId="57FE3D8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65</w:t>
            </w:r>
          </w:p>
          <w:p w14:paraId="4F8BA030"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(53.779) </w:t>
            </w:r>
            <w:r w:rsidRPr="00616CB0">
              <w:rPr>
                <w:rFonts w:ascii="Arial" w:hAnsi="Arial" w:cs="Arial"/>
                <w:color w:val="000000" w:themeColor="text1"/>
                <w:vertAlign w:val="superscript"/>
              </w:rPr>
              <w:t>a</w:t>
            </w:r>
          </w:p>
        </w:tc>
        <w:tc>
          <w:tcPr>
            <w:tcW w:w="1418" w:type="dxa"/>
            <w:tcMar>
              <w:top w:w="40" w:type="dxa"/>
              <w:left w:w="40" w:type="dxa"/>
              <w:bottom w:w="40" w:type="dxa"/>
              <w:right w:w="40" w:type="dxa"/>
            </w:tcMar>
            <w:vAlign w:val="bottom"/>
          </w:tcPr>
          <w:p w14:paraId="3A8D2F1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75</w:t>
            </w:r>
          </w:p>
          <w:p w14:paraId="5554ADD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(60.112) </w:t>
            </w:r>
            <w:r w:rsidRPr="00616CB0">
              <w:rPr>
                <w:rFonts w:ascii="Arial" w:hAnsi="Arial" w:cs="Arial"/>
                <w:color w:val="000000" w:themeColor="text1"/>
                <w:vertAlign w:val="superscript"/>
              </w:rPr>
              <w:t xml:space="preserve">b </w:t>
            </w:r>
          </w:p>
        </w:tc>
        <w:tc>
          <w:tcPr>
            <w:tcW w:w="1417" w:type="dxa"/>
            <w:tcMar>
              <w:top w:w="40" w:type="dxa"/>
              <w:left w:w="40" w:type="dxa"/>
              <w:bottom w:w="40" w:type="dxa"/>
              <w:right w:w="40" w:type="dxa"/>
            </w:tcMar>
            <w:vAlign w:val="bottom"/>
          </w:tcPr>
          <w:p w14:paraId="2C9F0B0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85</w:t>
            </w:r>
          </w:p>
          <w:p w14:paraId="6C77865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(67.500) </w:t>
            </w:r>
            <w:r w:rsidRPr="00616CB0">
              <w:rPr>
                <w:rFonts w:ascii="Arial" w:hAnsi="Arial" w:cs="Arial"/>
                <w:color w:val="000000" w:themeColor="text1"/>
                <w:vertAlign w:val="superscript"/>
              </w:rPr>
              <w:t>b</w:t>
            </w:r>
          </w:p>
        </w:tc>
        <w:tc>
          <w:tcPr>
            <w:tcW w:w="1418" w:type="dxa"/>
            <w:tcMar>
              <w:top w:w="40" w:type="dxa"/>
              <w:left w:w="40" w:type="dxa"/>
              <w:bottom w:w="40" w:type="dxa"/>
              <w:right w:w="40" w:type="dxa"/>
            </w:tcMar>
            <w:vAlign w:val="bottom"/>
          </w:tcPr>
          <w:p w14:paraId="40691C7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1B767E1E"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(76.174) </w:t>
            </w:r>
            <w:r w:rsidRPr="00616CB0">
              <w:rPr>
                <w:rFonts w:ascii="Arial" w:hAnsi="Arial" w:cs="Arial"/>
                <w:color w:val="000000" w:themeColor="text1"/>
                <w:vertAlign w:val="superscript"/>
              </w:rPr>
              <w:t xml:space="preserve">ab </w:t>
            </w:r>
          </w:p>
        </w:tc>
        <w:tc>
          <w:tcPr>
            <w:tcW w:w="1275" w:type="dxa"/>
            <w:tcMar>
              <w:top w:w="40" w:type="dxa"/>
              <w:left w:w="40" w:type="dxa"/>
              <w:bottom w:w="40" w:type="dxa"/>
              <w:right w:w="40" w:type="dxa"/>
            </w:tcMar>
          </w:tcPr>
          <w:p w14:paraId="2BD0F9C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0B0BEA18"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(78.750) </w:t>
            </w:r>
            <w:r w:rsidRPr="00616CB0">
              <w:rPr>
                <w:rFonts w:ascii="Arial" w:hAnsi="Arial" w:cs="Arial"/>
                <w:color w:val="000000" w:themeColor="text1"/>
                <w:vertAlign w:val="superscript"/>
              </w:rPr>
              <w:t>ab</w:t>
            </w:r>
          </w:p>
        </w:tc>
      </w:tr>
      <w:tr w:rsidR="00616CB0" w:rsidRPr="00616CB0" w14:paraId="5FC13CCF" w14:textId="77777777" w:rsidTr="0087166B">
        <w:trPr>
          <w:trHeight w:val="616"/>
          <w:jc w:val="center"/>
        </w:trPr>
        <w:tc>
          <w:tcPr>
            <w:tcW w:w="1980" w:type="dxa"/>
            <w:tcBorders>
              <w:bottom w:val="single" w:sz="4" w:space="0" w:color="auto"/>
            </w:tcBorders>
            <w:tcMar>
              <w:top w:w="140" w:type="dxa"/>
              <w:left w:w="140" w:type="dxa"/>
              <w:bottom w:w="140" w:type="dxa"/>
              <w:right w:w="140" w:type="dxa"/>
            </w:tcMar>
          </w:tcPr>
          <w:p w14:paraId="69170953"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500</w:t>
            </w:r>
          </w:p>
        </w:tc>
        <w:tc>
          <w:tcPr>
            <w:tcW w:w="1559" w:type="dxa"/>
            <w:tcBorders>
              <w:bottom w:val="single" w:sz="4" w:space="0" w:color="auto"/>
            </w:tcBorders>
            <w:tcMar>
              <w:top w:w="40" w:type="dxa"/>
              <w:left w:w="40" w:type="dxa"/>
              <w:bottom w:w="40" w:type="dxa"/>
              <w:right w:w="40" w:type="dxa"/>
            </w:tcMar>
            <w:vAlign w:val="bottom"/>
          </w:tcPr>
          <w:p w14:paraId="33CDB11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77.5</w:t>
            </w:r>
          </w:p>
          <w:p w14:paraId="750F5D19"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(62.145) </w:t>
            </w:r>
            <w:r w:rsidRPr="00616CB0">
              <w:rPr>
                <w:rFonts w:ascii="Arial" w:hAnsi="Arial" w:cs="Arial"/>
                <w:color w:val="000000" w:themeColor="text1"/>
                <w:vertAlign w:val="superscript"/>
              </w:rPr>
              <w:t>a</w:t>
            </w:r>
          </w:p>
        </w:tc>
        <w:tc>
          <w:tcPr>
            <w:tcW w:w="1418" w:type="dxa"/>
            <w:tcBorders>
              <w:bottom w:val="single" w:sz="4" w:space="0" w:color="auto"/>
            </w:tcBorders>
            <w:tcMar>
              <w:top w:w="40" w:type="dxa"/>
              <w:left w:w="40" w:type="dxa"/>
              <w:bottom w:w="40" w:type="dxa"/>
              <w:right w:w="40" w:type="dxa"/>
            </w:tcMar>
            <w:vAlign w:val="bottom"/>
          </w:tcPr>
          <w:p w14:paraId="69738C8E"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87.5</w:t>
            </w:r>
          </w:p>
          <w:p w14:paraId="10E402D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(69.533) </w:t>
            </w:r>
            <w:r w:rsidRPr="00616CB0">
              <w:rPr>
                <w:rFonts w:ascii="Arial" w:hAnsi="Arial" w:cs="Arial"/>
                <w:color w:val="000000" w:themeColor="text1"/>
                <w:vertAlign w:val="superscript"/>
              </w:rPr>
              <w:t>a</w:t>
            </w:r>
          </w:p>
        </w:tc>
        <w:tc>
          <w:tcPr>
            <w:tcW w:w="1417" w:type="dxa"/>
            <w:tcBorders>
              <w:bottom w:val="single" w:sz="4" w:space="0" w:color="auto"/>
            </w:tcBorders>
            <w:tcMar>
              <w:top w:w="40" w:type="dxa"/>
              <w:left w:w="40" w:type="dxa"/>
              <w:bottom w:w="40" w:type="dxa"/>
              <w:right w:w="40" w:type="dxa"/>
            </w:tcMar>
            <w:vAlign w:val="bottom"/>
          </w:tcPr>
          <w:p w14:paraId="164D06F6"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92.5</w:t>
            </w:r>
          </w:p>
          <w:p w14:paraId="2410C896"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(78.750) </w:t>
            </w:r>
            <w:r w:rsidRPr="00616CB0">
              <w:rPr>
                <w:rFonts w:ascii="Arial" w:hAnsi="Arial" w:cs="Arial"/>
                <w:color w:val="000000" w:themeColor="text1"/>
                <w:vertAlign w:val="superscript"/>
              </w:rPr>
              <w:t>a</w:t>
            </w:r>
          </w:p>
        </w:tc>
        <w:tc>
          <w:tcPr>
            <w:tcW w:w="1418" w:type="dxa"/>
            <w:tcBorders>
              <w:bottom w:val="single" w:sz="4" w:space="0" w:color="auto"/>
            </w:tcBorders>
            <w:tcMar>
              <w:top w:w="40" w:type="dxa"/>
              <w:left w:w="40" w:type="dxa"/>
              <w:bottom w:w="40" w:type="dxa"/>
              <w:right w:w="40" w:type="dxa"/>
            </w:tcMar>
            <w:vAlign w:val="bottom"/>
          </w:tcPr>
          <w:p w14:paraId="32EBE554"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95</w:t>
            </w:r>
          </w:p>
          <w:p w14:paraId="1EC9A242"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(83.359) </w:t>
            </w:r>
            <w:r w:rsidRPr="00616CB0">
              <w:rPr>
                <w:rFonts w:ascii="Arial" w:hAnsi="Arial" w:cs="Arial"/>
                <w:color w:val="000000" w:themeColor="text1"/>
                <w:vertAlign w:val="superscript"/>
              </w:rPr>
              <w:t>a</w:t>
            </w:r>
          </w:p>
        </w:tc>
        <w:tc>
          <w:tcPr>
            <w:tcW w:w="1275" w:type="dxa"/>
            <w:tcBorders>
              <w:bottom w:val="single" w:sz="4" w:space="0" w:color="auto"/>
            </w:tcBorders>
            <w:tcMar>
              <w:top w:w="40" w:type="dxa"/>
              <w:left w:w="40" w:type="dxa"/>
              <w:bottom w:w="40" w:type="dxa"/>
              <w:right w:w="40" w:type="dxa"/>
            </w:tcMar>
          </w:tcPr>
          <w:p w14:paraId="3862702E"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97.5</w:t>
            </w:r>
          </w:p>
          <w:p w14:paraId="33766303" w14:textId="77777777" w:rsidR="00DC1D6E" w:rsidRPr="00616CB0" w:rsidRDefault="00DC1D6E" w:rsidP="0087166B">
            <w:pPr>
              <w:widowControl w:val="0"/>
              <w:jc w:val="center"/>
              <w:rPr>
                <w:rFonts w:ascii="Arial" w:hAnsi="Arial" w:cs="Arial"/>
                <w:color w:val="000000" w:themeColor="text1"/>
                <w:vertAlign w:val="superscript"/>
              </w:rPr>
            </w:pPr>
            <w:r w:rsidRPr="00616CB0">
              <w:rPr>
                <w:rFonts w:ascii="Arial" w:hAnsi="Arial" w:cs="Arial"/>
                <w:color w:val="000000" w:themeColor="text1"/>
              </w:rPr>
              <w:t xml:space="preserve">(85.391) </w:t>
            </w:r>
            <w:r w:rsidRPr="00616CB0">
              <w:rPr>
                <w:rFonts w:ascii="Arial" w:hAnsi="Arial" w:cs="Arial"/>
                <w:color w:val="000000" w:themeColor="text1"/>
                <w:vertAlign w:val="superscript"/>
              </w:rPr>
              <w:t>a</w:t>
            </w:r>
          </w:p>
        </w:tc>
      </w:tr>
      <w:tr w:rsidR="00616CB0" w:rsidRPr="00616CB0" w14:paraId="12F0063D" w14:textId="77777777" w:rsidTr="0087166B">
        <w:trPr>
          <w:trHeight w:val="438"/>
          <w:jc w:val="center"/>
        </w:trPr>
        <w:tc>
          <w:tcPr>
            <w:tcW w:w="1980" w:type="dxa"/>
            <w:tcBorders>
              <w:top w:val="single" w:sz="4" w:space="0" w:color="auto"/>
              <w:bottom w:val="single" w:sz="4" w:space="0" w:color="auto"/>
            </w:tcBorders>
            <w:tcMar>
              <w:top w:w="140" w:type="dxa"/>
              <w:left w:w="140" w:type="dxa"/>
              <w:bottom w:w="140" w:type="dxa"/>
              <w:right w:w="140" w:type="dxa"/>
            </w:tcMar>
          </w:tcPr>
          <w:p w14:paraId="1346BF6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SE(m)</w:t>
            </w:r>
          </w:p>
        </w:tc>
        <w:tc>
          <w:tcPr>
            <w:tcW w:w="1559" w:type="dxa"/>
            <w:tcBorders>
              <w:top w:val="single" w:sz="4" w:space="0" w:color="auto"/>
              <w:bottom w:val="single" w:sz="4" w:space="0" w:color="auto"/>
            </w:tcBorders>
            <w:tcMar>
              <w:top w:w="40" w:type="dxa"/>
              <w:left w:w="40" w:type="dxa"/>
              <w:bottom w:w="40" w:type="dxa"/>
              <w:right w:w="40" w:type="dxa"/>
            </w:tcMar>
            <w:vAlign w:val="bottom"/>
          </w:tcPr>
          <w:p w14:paraId="1C2A4D21"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2.787</w:t>
            </w:r>
          </w:p>
        </w:tc>
        <w:tc>
          <w:tcPr>
            <w:tcW w:w="1418" w:type="dxa"/>
            <w:tcBorders>
              <w:top w:val="single" w:sz="4" w:space="0" w:color="auto"/>
              <w:bottom w:val="single" w:sz="4" w:space="0" w:color="auto"/>
            </w:tcBorders>
            <w:tcMar>
              <w:top w:w="40" w:type="dxa"/>
              <w:left w:w="40" w:type="dxa"/>
              <w:bottom w:w="40" w:type="dxa"/>
              <w:right w:w="40" w:type="dxa"/>
            </w:tcMar>
            <w:vAlign w:val="bottom"/>
          </w:tcPr>
          <w:p w14:paraId="1DDDBBFD"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1.921</w:t>
            </w:r>
          </w:p>
        </w:tc>
        <w:tc>
          <w:tcPr>
            <w:tcW w:w="1417" w:type="dxa"/>
            <w:tcBorders>
              <w:top w:val="single" w:sz="4" w:space="0" w:color="auto"/>
              <w:bottom w:val="single" w:sz="4" w:space="0" w:color="auto"/>
            </w:tcBorders>
            <w:tcMar>
              <w:top w:w="40" w:type="dxa"/>
              <w:left w:w="40" w:type="dxa"/>
              <w:bottom w:w="40" w:type="dxa"/>
              <w:right w:w="40" w:type="dxa"/>
            </w:tcMar>
            <w:vAlign w:val="bottom"/>
          </w:tcPr>
          <w:p w14:paraId="5E8199F2"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3.62</w:t>
            </w:r>
          </w:p>
        </w:tc>
        <w:tc>
          <w:tcPr>
            <w:tcW w:w="1418" w:type="dxa"/>
            <w:tcBorders>
              <w:top w:val="single" w:sz="4" w:space="0" w:color="auto"/>
              <w:bottom w:val="single" w:sz="4" w:space="0" w:color="auto"/>
            </w:tcBorders>
            <w:tcMar>
              <w:top w:w="40" w:type="dxa"/>
              <w:left w:w="40" w:type="dxa"/>
              <w:bottom w:w="40" w:type="dxa"/>
              <w:right w:w="40" w:type="dxa"/>
            </w:tcMar>
            <w:vAlign w:val="bottom"/>
          </w:tcPr>
          <w:p w14:paraId="2CFBCC3B"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4.722</w:t>
            </w:r>
          </w:p>
        </w:tc>
        <w:tc>
          <w:tcPr>
            <w:tcW w:w="1275" w:type="dxa"/>
            <w:tcBorders>
              <w:top w:val="single" w:sz="4" w:space="0" w:color="auto"/>
              <w:bottom w:val="single" w:sz="4" w:space="0" w:color="auto"/>
            </w:tcBorders>
            <w:tcMar>
              <w:top w:w="40" w:type="dxa"/>
              <w:left w:w="40" w:type="dxa"/>
              <w:bottom w:w="40" w:type="dxa"/>
              <w:right w:w="40" w:type="dxa"/>
            </w:tcMar>
            <w:vAlign w:val="bottom"/>
          </w:tcPr>
          <w:p w14:paraId="52D6BBD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4.739</w:t>
            </w:r>
          </w:p>
        </w:tc>
      </w:tr>
      <w:tr w:rsidR="00616CB0" w:rsidRPr="00616CB0" w14:paraId="70D702B3" w14:textId="77777777" w:rsidTr="0087166B">
        <w:trPr>
          <w:trHeight w:val="265"/>
          <w:jc w:val="center"/>
        </w:trPr>
        <w:tc>
          <w:tcPr>
            <w:tcW w:w="1980" w:type="dxa"/>
            <w:tcBorders>
              <w:top w:val="single" w:sz="4" w:space="0" w:color="auto"/>
              <w:bottom w:val="single" w:sz="4" w:space="0" w:color="auto"/>
            </w:tcBorders>
            <w:tcMar>
              <w:top w:w="140" w:type="dxa"/>
              <w:left w:w="140" w:type="dxa"/>
              <w:bottom w:w="140" w:type="dxa"/>
              <w:right w:w="140" w:type="dxa"/>
            </w:tcMar>
          </w:tcPr>
          <w:p w14:paraId="1D2C065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CD (0.05)</w:t>
            </w:r>
          </w:p>
        </w:tc>
        <w:tc>
          <w:tcPr>
            <w:tcW w:w="1559" w:type="dxa"/>
            <w:tcBorders>
              <w:top w:val="single" w:sz="4" w:space="0" w:color="auto"/>
              <w:bottom w:val="single" w:sz="4" w:space="0" w:color="auto"/>
            </w:tcBorders>
            <w:tcMar>
              <w:top w:w="140" w:type="dxa"/>
              <w:left w:w="140" w:type="dxa"/>
              <w:bottom w:w="140" w:type="dxa"/>
              <w:right w:w="140" w:type="dxa"/>
            </w:tcMar>
          </w:tcPr>
          <w:p w14:paraId="3CFAEEB9"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8.402</w:t>
            </w:r>
          </w:p>
        </w:tc>
        <w:tc>
          <w:tcPr>
            <w:tcW w:w="1418" w:type="dxa"/>
            <w:tcBorders>
              <w:top w:val="single" w:sz="4" w:space="0" w:color="auto"/>
              <w:bottom w:val="single" w:sz="4" w:space="0" w:color="auto"/>
            </w:tcBorders>
            <w:tcMar>
              <w:top w:w="140" w:type="dxa"/>
              <w:left w:w="140" w:type="dxa"/>
              <w:bottom w:w="140" w:type="dxa"/>
              <w:right w:w="140" w:type="dxa"/>
            </w:tcMar>
          </w:tcPr>
          <w:p w14:paraId="01A509E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5.791</w:t>
            </w:r>
          </w:p>
        </w:tc>
        <w:tc>
          <w:tcPr>
            <w:tcW w:w="1417" w:type="dxa"/>
            <w:tcBorders>
              <w:top w:val="single" w:sz="4" w:space="0" w:color="auto"/>
              <w:bottom w:val="single" w:sz="4" w:space="0" w:color="auto"/>
            </w:tcBorders>
            <w:tcMar>
              <w:top w:w="140" w:type="dxa"/>
              <w:left w:w="140" w:type="dxa"/>
              <w:bottom w:w="140" w:type="dxa"/>
              <w:right w:w="140" w:type="dxa"/>
            </w:tcMar>
          </w:tcPr>
          <w:p w14:paraId="3378819C"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10.912</w:t>
            </w:r>
          </w:p>
        </w:tc>
        <w:tc>
          <w:tcPr>
            <w:tcW w:w="1418" w:type="dxa"/>
            <w:tcBorders>
              <w:top w:val="single" w:sz="4" w:space="0" w:color="auto"/>
              <w:bottom w:val="single" w:sz="4" w:space="0" w:color="auto"/>
            </w:tcBorders>
            <w:tcMar>
              <w:top w:w="140" w:type="dxa"/>
              <w:left w:w="140" w:type="dxa"/>
              <w:bottom w:w="140" w:type="dxa"/>
              <w:right w:w="140" w:type="dxa"/>
            </w:tcMar>
          </w:tcPr>
          <w:p w14:paraId="31111018"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14.233</w:t>
            </w:r>
          </w:p>
        </w:tc>
        <w:tc>
          <w:tcPr>
            <w:tcW w:w="1275" w:type="dxa"/>
            <w:tcBorders>
              <w:top w:val="single" w:sz="4" w:space="0" w:color="auto"/>
              <w:bottom w:val="single" w:sz="4" w:space="0" w:color="auto"/>
            </w:tcBorders>
            <w:tcMar>
              <w:top w:w="140" w:type="dxa"/>
              <w:left w:w="140" w:type="dxa"/>
              <w:bottom w:w="140" w:type="dxa"/>
              <w:right w:w="140" w:type="dxa"/>
            </w:tcMar>
          </w:tcPr>
          <w:p w14:paraId="76A34690" w14:textId="77777777" w:rsidR="00DC1D6E" w:rsidRPr="00616CB0" w:rsidRDefault="00DC1D6E" w:rsidP="0087166B">
            <w:pPr>
              <w:widowControl w:val="0"/>
              <w:jc w:val="center"/>
              <w:rPr>
                <w:rFonts w:ascii="Arial" w:hAnsi="Arial" w:cs="Arial"/>
                <w:color w:val="000000" w:themeColor="text1"/>
              </w:rPr>
            </w:pPr>
            <w:r w:rsidRPr="00616CB0">
              <w:rPr>
                <w:rFonts w:ascii="Arial" w:hAnsi="Arial" w:cs="Arial"/>
                <w:color w:val="000000" w:themeColor="text1"/>
              </w:rPr>
              <w:t>14.286</w:t>
            </w:r>
          </w:p>
        </w:tc>
      </w:tr>
    </w:tbl>
    <w:p w14:paraId="46884580" w14:textId="78444DBF" w:rsidR="00DC1D6E" w:rsidRPr="00616CB0" w:rsidRDefault="00DC1D6E" w:rsidP="00DC1D6E">
      <w:pPr>
        <w:widowControl w:val="0"/>
        <w:rPr>
          <w:rFonts w:ascii="Arial" w:hAnsi="Arial" w:cs="Arial"/>
          <w:i/>
          <w:iCs/>
          <w:color w:val="000000" w:themeColor="text1"/>
          <w:vertAlign w:val="superscript"/>
        </w:rPr>
      </w:pPr>
      <w:r w:rsidRPr="00616CB0">
        <w:rPr>
          <w:rFonts w:ascii="Arial" w:hAnsi="Arial" w:cs="Arial"/>
          <w:i/>
          <w:iCs/>
          <w:color w:val="000000" w:themeColor="text1"/>
          <w:vertAlign w:val="superscript"/>
        </w:rPr>
        <w:t>Values in parenthesis were subjected to arcsine transformation; MAT - Minutes After Treatment.</w:t>
      </w:r>
    </w:p>
    <w:p w14:paraId="1B7E6A86" w14:textId="37A8BEE1" w:rsidR="00DC1D6E" w:rsidRPr="00616CB0" w:rsidRDefault="00DC1D6E" w:rsidP="00C955BF">
      <w:pPr>
        <w:spacing w:after="240"/>
        <w:rPr>
          <w:rFonts w:ascii="Arial" w:hAnsi="Arial" w:cs="Arial"/>
          <w:i/>
          <w:iCs/>
          <w:color w:val="000000" w:themeColor="text1"/>
          <w:vertAlign w:val="superscript"/>
        </w:rPr>
      </w:pPr>
      <w:r w:rsidRPr="00616CB0">
        <w:rPr>
          <w:rFonts w:ascii="Arial" w:hAnsi="Arial" w:cs="Arial"/>
          <w:i/>
          <w:iCs/>
          <w:color w:val="000000" w:themeColor="text1"/>
          <w:vertAlign w:val="superscript"/>
        </w:rPr>
        <w:t>Treatments with same letters are not significantly different</w:t>
      </w:r>
    </w:p>
    <w:p w14:paraId="2A60B8C4" w14:textId="60381C3E" w:rsidR="00790ADA" w:rsidRPr="00616CB0" w:rsidRDefault="00000F8F" w:rsidP="00222F92">
      <w:pPr>
        <w:pStyle w:val="ConcHead"/>
        <w:jc w:val="both"/>
        <w:rPr>
          <w:rFonts w:ascii="Arial" w:hAnsi="Arial" w:cs="Arial"/>
          <w:color w:val="000000" w:themeColor="text1"/>
        </w:rPr>
      </w:pPr>
      <w:r w:rsidRPr="00616CB0">
        <w:rPr>
          <w:rFonts w:ascii="Arial" w:hAnsi="Arial" w:cs="Arial"/>
          <w:color w:val="000000" w:themeColor="text1"/>
        </w:rPr>
        <w:t xml:space="preserve">4. </w:t>
      </w:r>
      <w:r w:rsidR="00B01FCD" w:rsidRPr="00616CB0">
        <w:rPr>
          <w:rFonts w:ascii="Arial" w:hAnsi="Arial" w:cs="Arial"/>
          <w:color w:val="000000" w:themeColor="text1"/>
        </w:rPr>
        <w:t>Conclusion</w:t>
      </w:r>
    </w:p>
    <w:p w14:paraId="3039CBFC" w14:textId="6132D67C" w:rsidR="00790ADA" w:rsidRDefault="00B216AB" w:rsidP="00222F92">
      <w:pPr>
        <w:spacing w:after="240"/>
        <w:jc w:val="both"/>
        <w:rPr>
          <w:rFonts w:ascii="Arial" w:hAnsi="Arial" w:cs="Arial"/>
          <w:color w:val="000000" w:themeColor="text1"/>
        </w:rPr>
      </w:pPr>
      <w:r w:rsidRPr="00616CB0">
        <w:rPr>
          <w:rFonts w:ascii="Arial" w:hAnsi="Arial" w:cs="Arial"/>
          <w:color w:val="000000" w:themeColor="text1"/>
        </w:rPr>
        <w:t>The unjudicial use of synthetic insecticides to control stored product pests has resulted in the development of resistance, ecosystem disruption, residue issues and, more importantly, health deterioration. As synthetic pesticides remain a reliable control measure for pest management of postharvest produce, it is inevitable to search for reliable, efficient and non-detrimental pest management solutions. Plant-based botanicals offer an efficient alternative in this regard. Among the botanicals, essential oil-based pest management is gaining popularity due to its efficacy and safety for non-target organisms. Management of rice weevils under storage conditions is a major problem faced by farmers and sellers, as this pest can turn rice grains to dust in a matter of a few days if severely infested. The current study addresses the issue by offering a promising eco-friendly pesticidal alternative. The study proves that citronella essential oil can be developed as a management strategy for rice weevils since it shows strong contact, fumigant and repellent activities against the menacing pest</w:t>
      </w:r>
      <w:r w:rsidR="00351193" w:rsidRPr="00616CB0">
        <w:rPr>
          <w:rFonts w:ascii="Arial" w:hAnsi="Arial" w:cs="Arial"/>
          <w:color w:val="000000" w:themeColor="text1"/>
        </w:rPr>
        <w:t xml:space="preserve"> rice weevil</w:t>
      </w:r>
      <w:r w:rsidRPr="00616CB0">
        <w:rPr>
          <w:rFonts w:ascii="Arial" w:hAnsi="Arial" w:cs="Arial"/>
          <w:color w:val="000000" w:themeColor="text1"/>
        </w:rPr>
        <w:t xml:space="preserve">. </w:t>
      </w:r>
    </w:p>
    <w:p w14:paraId="765B44DC" w14:textId="266DA8C1" w:rsidR="00B26A2F" w:rsidRDefault="00B26A2F" w:rsidP="008A2496">
      <w:pPr>
        <w:spacing w:after="240"/>
        <w:jc w:val="both"/>
        <w:rPr>
          <w:rFonts w:ascii="Arial" w:hAnsi="Arial" w:cs="Arial"/>
          <w:color w:val="000000" w:themeColor="text1"/>
        </w:rPr>
      </w:pPr>
    </w:p>
    <w:p w14:paraId="238974AA" w14:textId="77777777" w:rsidR="00B26A2F" w:rsidRPr="00D85092" w:rsidRDefault="00B26A2F" w:rsidP="008A2496">
      <w:pPr>
        <w:jc w:val="both"/>
        <w:rPr>
          <w:rFonts w:ascii="Arial" w:eastAsia="Calibri" w:hAnsi="Arial" w:cs="Arial"/>
          <w:b/>
          <w:bCs/>
          <w:kern w:val="2"/>
        </w:rPr>
      </w:pPr>
      <w:bookmarkStart w:id="5" w:name="_Hlk204003461"/>
      <w:bookmarkStart w:id="6" w:name="_Hlk213070710"/>
      <w:r w:rsidRPr="00D85092">
        <w:rPr>
          <w:rFonts w:ascii="Arial" w:eastAsia="Calibri" w:hAnsi="Arial" w:cs="Arial"/>
          <w:b/>
          <w:bCs/>
          <w:kern w:val="2"/>
        </w:rPr>
        <w:t>Disclaimer (Artificial intelligence)</w:t>
      </w:r>
    </w:p>
    <w:p w14:paraId="739F8725" w14:textId="77777777" w:rsidR="00662FE7" w:rsidRPr="00D85092" w:rsidRDefault="00662FE7" w:rsidP="008A2496">
      <w:pPr>
        <w:jc w:val="both"/>
        <w:rPr>
          <w:rFonts w:ascii="Arial" w:eastAsia="Calibri" w:hAnsi="Arial" w:cs="Arial"/>
          <w:kern w:val="2"/>
        </w:rPr>
      </w:pPr>
    </w:p>
    <w:p w14:paraId="107179A0" w14:textId="292EE26B" w:rsidR="00B26A2F" w:rsidRPr="00D85092" w:rsidRDefault="00B26A2F" w:rsidP="008A2496">
      <w:pPr>
        <w:jc w:val="both"/>
        <w:rPr>
          <w:rFonts w:ascii="Arial" w:eastAsia="Calibri" w:hAnsi="Arial" w:cs="Arial"/>
          <w:kern w:val="2"/>
        </w:rPr>
      </w:pPr>
      <w:r w:rsidRPr="00D85092">
        <w:rPr>
          <w:rFonts w:ascii="Arial" w:eastAsia="Calibri" w:hAnsi="Arial" w:cs="Arial"/>
          <w:kern w:val="2"/>
        </w:rPr>
        <w:t xml:space="preserve">Author(s) hereby </w:t>
      </w:r>
      <w:r w:rsidR="00662FE7" w:rsidRPr="00D85092">
        <w:rPr>
          <w:rFonts w:ascii="Arial" w:eastAsia="Calibri" w:hAnsi="Arial" w:cs="Arial"/>
          <w:kern w:val="2"/>
        </w:rPr>
        <w:t>declares</w:t>
      </w:r>
      <w:r w:rsidRPr="00D85092">
        <w:rPr>
          <w:rFonts w:ascii="Arial" w:eastAsia="Calibri" w:hAnsi="Arial" w:cs="Arial"/>
          <w:kern w:val="2"/>
        </w:rPr>
        <w:t xml:space="preserve"> that NO generative AI technologies such as Large Language Models (ChatGPT, COPILOT, etc.) and text-to-image generators have been used during the writing or editing of this manuscript. </w:t>
      </w:r>
    </w:p>
    <w:bookmarkEnd w:id="5"/>
    <w:bookmarkEnd w:id="6"/>
    <w:p w14:paraId="57EFBF44" w14:textId="77777777" w:rsidR="00B26A2F" w:rsidRPr="00616CB0" w:rsidRDefault="00B26A2F" w:rsidP="00222F92">
      <w:pPr>
        <w:spacing w:after="240"/>
        <w:jc w:val="both"/>
        <w:rPr>
          <w:rFonts w:ascii="Arial" w:hAnsi="Arial" w:cs="Arial"/>
          <w:color w:val="000000" w:themeColor="text1"/>
        </w:rPr>
      </w:pPr>
    </w:p>
    <w:p w14:paraId="7AE6E00E" w14:textId="77777777" w:rsidR="004A1FA1" w:rsidRPr="00616CB0" w:rsidRDefault="004A1FA1" w:rsidP="00441B6F">
      <w:pPr>
        <w:pStyle w:val="ReferHead"/>
        <w:spacing w:after="0"/>
        <w:jc w:val="both"/>
        <w:rPr>
          <w:rFonts w:ascii="Arial" w:hAnsi="Arial" w:cs="Arial"/>
          <w:b w:val="0"/>
          <w:bCs/>
          <w:caps w:val="0"/>
          <w:color w:val="000000" w:themeColor="text1"/>
          <w:sz w:val="20"/>
        </w:rPr>
      </w:pPr>
    </w:p>
    <w:p w14:paraId="0785E3EE" w14:textId="0DAA5E83" w:rsidR="00E769F6" w:rsidRPr="00616CB0" w:rsidRDefault="00B01FCD" w:rsidP="00EF6AD4">
      <w:pPr>
        <w:pStyle w:val="ReferHead"/>
        <w:jc w:val="both"/>
        <w:rPr>
          <w:rFonts w:ascii="Arial" w:hAnsi="Arial" w:cs="Arial"/>
          <w:color w:val="000000" w:themeColor="text1"/>
        </w:rPr>
      </w:pPr>
      <w:r w:rsidRPr="00616CB0">
        <w:rPr>
          <w:rFonts w:ascii="Arial" w:hAnsi="Arial" w:cs="Arial"/>
          <w:color w:val="000000" w:themeColor="text1"/>
        </w:rPr>
        <w:t>References</w:t>
      </w:r>
    </w:p>
    <w:p w14:paraId="71B0914C"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Bagade, R. P., Jadhav, A. D., &amp; Chavan, R. V. (2021). Toxicity and </w:t>
      </w:r>
      <w:proofErr w:type="spellStart"/>
      <w:r w:rsidRPr="005B4090">
        <w:rPr>
          <w:rFonts w:ascii="Arial" w:hAnsi="Arial" w:cs="Arial"/>
          <w:color w:val="000000" w:themeColor="text1"/>
          <w:sz w:val="20"/>
          <w:szCs w:val="20"/>
        </w:rPr>
        <w:t>repellency</w:t>
      </w:r>
      <w:proofErr w:type="spellEnd"/>
      <w:r w:rsidRPr="005B4090">
        <w:rPr>
          <w:rFonts w:ascii="Arial" w:hAnsi="Arial" w:cs="Arial"/>
          <w:color w:val="000000" w:themeColor="text1"/>
          <w:sz w:val="20"/>
          <w:szCs w:val="20"/>
        </w:rPr>
        <w:t xml:space="preserve"> of four plant essential oils against </w:t>
      </w:r>
      <w:proofErr w:type="spellStart"/>
      <w:r w:rsidRPr="005B4090">
        <w:rPr>
          <w:rFonts w:ascii="Arial" w:hAnsi="Arial" w:cs="Arial"/>
          <w:color w:val="000000" w:themeColor="text1"/>
          <w:sz w:val="20"/>
          <w:szCs w:val="20"/>
        </w:rPr>
        <w:t>Tribolium</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castaneum</w:t>
      </w:r>
      <w:proofErr w:type="spellEnd"/>
      <w:r w:rsidRPr="005B4090">
        <w:rPr>
          <w:rFonts w:ascii="Arial" w:hAnsi="Arial" w:cs="Arial"/>
          <w:color w:val="000000" w:themeColor="text1"/>
          <w:sz w:val="20"/>
          <w:szCs w:val="20"/>
        </w:rPr>
        <w:t xml:space="preserve"> (Herbst) (Coleoptera: </w:t>
      </w:r>
      <w:proofErr w:type="spellStart"/>
      <w:r w:rsidRPr="005B4090">
        <w:rPr>
          <w:rFonts w:ascii="Arial" w:hAnsi="Arial" w:cs="Arial"/>
          <w:color w:val="000000" w:themeColor="text1"/>
          <w:sz w:val="20"/>
          <w:szCs w:val="20"/>
        </w:rPr>
        <w:t>Tenebrionidae</w:t>
      </w:r>
      <w:proofErr w:type="spellEnd"/>
      <w:r w:rsidRPr="005B4090">
        <w:rPr>
          <w:rFonts w:ascii="Arial" w:hAnsi="Arial" w:cs="Arial"/>
          <w:color w:val="000000" w:themeColor="text1"/>
          <w:sz w:val="20"/>
          <w:szCs w:val="20"/>
        </w:rPr>
        <w:t xml:space="preserve">). International Journal of Tropical Insect Science, 41(2), 1505–1512. </w:t>
      </w:r>
      <w:hyperlink r:id="rId16" w:history="1">
        <w:r w:rsidRPr="005B4090">
          <w:rPr>
            <w:rStyle w:val="Hyperlink"/>
            <w:rFonts w:ascii="Arial" w:hAnsi="Arial" w:cs="Arial"/>
            <w:sz w:val="20"/>
            <w:szCs w:val="20"/>
          </w:rPr>
          <w:t>https://doi.org/10.1007/s42690-020-00348-9</w:t>
        </w:r>
      </w:hyperlink>
      <w:r w:rsidRPr="005B4090">
        <w:rPr>
          <w:rFonts w:ascii="Arial" w:hAnsi="Arial" w:cs="Arial"/>
          <w:color w:val="000000" w:themeColor="text1"/>
          <w:sz w:val="20"/>
          <w:szCs w:val="20"/>
        </w:rPr>
        <w:t xml:space="preserve"> </w:t>
      </w:r>
    </w:p>
    <w:p w14:paraId="20BF9EF3"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Campolo, O., Giunti, G., Russo, A., Palmeri, V., &amp; </w:t>
      </w:r>
      <w:proofErr w:type="spellStart"/>
      <w:r w:rsidRPr="005B4090">
        <w:rPr>
          <w:rFonts w:ascii="Arial" w:hAnsi="Arial" w:cs="Arial"/>
          <w:color w:val="000000" w:themeColor="text1"/>
          <w:sz w:val="20"/>
          <w:szCs w:val="20"/>
        </w:rPr>
        <w:t>Zappalà</w:t>
      </w:r>
      <w:proofErr w:type="spellEnd"/>
      <w:r w:rsidRPr="005B4090">
        <w:rPr>
          <w:rFonts w:ascii="Arial" w:hAnsi="Arial" w:cs="Arial"/>
          <w:color w:val="000000" w:themeColor="text1"/>
          <w:sz w:val="20"/>
          <w:szCs w:val="20"/>
        </w:rPr>
        <w:t xml:space="preserve">, L. (2018). Essential oils in stored product insect pest control. Journal of Food Quality, 2018, Article ID 6906105. </w:t>
      </w:r>
      <w:hyperlink r:id="rId17" w:history="1">
        <w:r w:rsidRPr="005B4090">
          <w:rPr>
            <w:rStyle w:val="Hyperlink"/>
            <w:rFonts w:ascii="Arial" w:hAnsi="Arial" w:cs="Arial"/>
            <w:sz w:val="20"/>
            <w:szCs w:val="20"/>
          </w:rPr>
          <w:t>https://doi.org/10.1155/2018/6906105</w:t>
        </w:r>
      </w:hyperlink>
      <w:r w:rsidRPr="005B4090">
        <w:rPr>
          <w:rFonts w:ascii="Arial" w:hAnsi="Arial" w:cs="Arial"/>
          <w:color w:val="000000" w:themeColor="text1"/>
          <w:sz w:val="20"/>
          <w:szCs w:val="20"/>
        </w:rPr>
        <w:t xml:space="preserve"> </w:t>
      </w:r>
    </w:p>
    <w:p w14:paraId="32854935"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bookmarkStart w:id="7" w:name="_Hlk215295986"/>
      <w:r w:rsidRPr="005B4090">
        <w:rPr>
          <w:rFonts w:ascii="Arial" w:hAnsi="Arial" w:cs="Arial"/>
          <w:color w:val="000000" w:themeColor="text1"/>
          <w:sz w:val="20"/>
          <w:szCs w:val="20"/>
        </w:rPr>
        <w:t xml:space="preserve">Cantrell, C. L., Dayan, F. E., &amp; Duke, S. O. (2012). Natural Products </w:t>
      </w:r>
      <w:proofErr w:type="gramStart"/>
      <w:r w:rsidRPr="005B4090">
        <w:rPr>
          <w:rFonts w:ascii="Arial" w:hAnsi="Arial" w:cs="Arial"/>
          <w:color w:val="000000" w:themeColor="text1"/>
          <w:sz w:val="20"/>
          <w:szCs w:val="20"/>
        </w:rPr>
        <w:t>As</w:t>
      </w:r>
      <w:proofErr w:type="gramEnd"/>
      <w:r w:rsidRPr="005B4090">
        <w:rPr>
          <w:rFonts w:ascii="Arial" w:hAnsi="Arial" w:cs="Arial"/>
          <w:color w:val="000000" w:themeColor="text1"/>
          <w:sz w:val="20"/>
          <w:szCs w:val="20"/>
        </w:rPr>
        <w:t xml:space="preserve"> Sources for New Pesticides. Journal of Natural Products. </w:t>
      </w:r>
      <w:hyperlink r:id="rId18" w:history="1">
        <w:r w:rsidRPr="005B4090">
          <w:rPr>
            <w:rStyle w:val="Hyperlink"/>
            <w:rFonts w:ascii="Arial" w:hAnsi="Arial" w:cs="Arial"/>
            <w:sz w:val="20"/>
            <w:szCs w:val="20"/>
          </w:rPr>
          <w:t>https://doi.org/10.1021/np300024u</w:t>
        </w:r>
      </w:hyperlink>
      <w:r w:rsidRPr="005B4090">
        <w:rPr>
          <w:rFonts w:ascii="Arial" w:hAnsi="Arial" w:cs="Arial"/>
          <w:color w:val="000000" w:themeColor="text1"/>
          <w:sz w:val="20"/>
          <w:szCs w:val="20"/>
        </w:rPr>
        <w:t xml:space="preserve"> </w:t>
      </w:r>
    </w:p>
    <w:p w14:paraId="42EBAA32"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lastRenderedPageBreak/>
        <w:t xml:space="preserve">Chagnon, M., </w:t>
      </w:r>
      <w:proofErr w:type="spellStart"/>
      <w:r w:rsidRPr="005B4090">
        <w:rPr>
          <w:rFonts w:ascii="Arial" w:hAnsi="Arial" w:cs="Arial"/>
          <w:color w:val="000000" w:themeColor="text1"/>
          <w:sz w:val="20"/>
          <w:szCs w:val="20"/>
        </w:rPr>
        <w:t>Kreutzweiser</w:t>
      </w:r>
      <w:proofErr w:type="spellEnd"/>
      <w:r w:rsidRPr="005B4090">
        <w:rPr>
          <w:rFonts w:ascii="Arial" w:hAnsi="Arial" w:cs="Arial"/>
          <w:color w:val="000000" w:themeColor="text1"/>
          <w:sz w:val="20"/>
          <w:szCs w:val="20"/>
        </w:rPr>
        <w:t xml:space="preserve">, D. P., Mitchell, E. A. D., Morrissey, C. A., </w:t>
      </w:r>
      <w:proofErr w:type="spellStart"/>
      <w:r w:rsidRPr="005B4090">
        <w:rPr>
          <w:rFonts w:ascii="Arial" w:hAnsi="Arial" w:cs="Arial"/>
          <w:color w:val="000000" w:themeColor="text1"/>
          <w:sz w:val="20"/>
          <w:szCs w:val="20"/>
        </w:rPr>
        <w:t>Noome</w:t>
      </w:r>
      <w:proofErr w:type="spellEnd"/>
      <w:r w:rsidRPr="005B4090">
        <w:rPr>
          <w:rFonts w:ascii="Arial" w:hAnsi="Arial" w:cs="Arial"/>
          <w:color w:val="000000" w:themeColor="text1"/>
          <w:sz w:val="20"/>
          <w:szCs w:val="20"/>
        </w:rPr>
        <w:t xml:space="preserve">, D. A., &amp; van der Sluijs, J. P. (2014). Risks of large-scale use of systemic insecticides to ecosystem functioning and services. Environmental Science and Pollution Research, 22(1), 119–134. </w:t>
      </w:r>
      <w:hyperlink r:id="rId19" w:history="1">
        <w:r w:rsidRPr="005B4090">
          <w:rPr>
            <w:rStyle w:val="Hyperlink"/>
            <w:rFonts w:ascii="Arial" w:hAnsi="Arial" w:cs="Arial"/>
            <w:sz w:val="20"/>
            <w:szCs w:val="20"/>
          </w:rPr>
          <w:t>https://doi.org/10.1007/s11356-014-3277-x</w:t>
        </w:r>
      </w:hyperlink>
      <w:r w:rsidRPr="005B4090">
        <w:rPr>
          <w:rFonts w:ascii="Arial" w:hAnsi="Arial" w:cs="Arial"/>
          <w:color w:val="000000" w:themeColor="text1"/>
          <w:sz w:val="20"/>
          <w:szCs w:val="20"/>
        </w:rPr>
        <w:t xml:space="preserve"> </w:t>
      </w:r>
    </w:p>
    <w:p w14:paraId="6CB3359C" w14:textId="77777777" w:rsidR="004B1904" w:rsidRPr="005B4090" w:rsidRDefault="004B1904" w:rsidP="00D77EE8">
      <w:pPr>
        <w:pStyle w:val="ListParagraph"/>
        <w:numPr>
          <w:ilvl w:val="0"/>
          <w:numId w:val="33"/>
        </w:numPr>
        <w:spacing w:before="240"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Devi, M. A., </w:t>
      </w:r>
      <w:proofErr w:type="spellStart"/>
      <w:r w:rsidRPr="005B4090">
        <w:rPr>
          <w:rFonts w:ascii="Arial" w:hAnsi="Arial" w:cs="Arial"/>
          <w:color w:val="000000" w:themeColor="text1"/>
          <w:sz w:val="20"/>
          <w:szCs w:val="20"/>
        </w:rPr>
        <w:t>Nameirakpam</w:t>
      </w:r>
      <w:proofErr w:type="spellEnd"/>
      <w:r w:rsidRPr="005B4090">
        <w:rPr>
          <w:rFonts w:ascii="Arial" w:hAnsi="Arial" w:cs="Arial"/>
          <w:color w:val="000000" w:themeColor="text1"/>
          <w:sz w:val="20"/>
          <w:szCs w:val="20"/>
        </w:rPr>
        <w:t xml:space="preserve">, B., Devi, T. B., </w:t>
      </w:r>
      <w:proofErr w:type="spellStart"/>
      <w:r w:rsidRPr="005B4090">
        <w:rPr>
          <w:rFonts w:ascii="Arial" w:hAnsi="Arial" w:cs="Arial"/>
          <w:color w:val="000000" w:themeColor="text1"/>
          <w:sz w:val="20"/>
          <w:szCs w:val="20"/>
        </w:rPr>
        <w:t>Mayanglambam</w:t>
      </w:r>
      <w:proofErr w:type="spellEnd"/>
      <w:r w:rsidRPr="005B4090">
        <w:rPr>
          <w:rFonts w:ascii="Arial" w:hAnsi="Arial" w:cs="Arial"/>
          <w:color w:val="000000" w:themeColor="text1"/>
          <w:sz w:val="20"/>
          <w:szCs w:val="20"/>
        </w:rPr>
        <w:t xml:space="preserve">, S., Singh, K. D., </w:t>
      </w:r>
      <w:proofErr w:type="spellStart"/>
      <w:r w:rsidRPr="005B4090">
        <w:rPr>
          <w:rFonts w:ascii="Arial" w:hAnsi="Arial" w:cs="Arial"/>
          <w:color w:val="000000" w:themeColor="text1"/>
          <w:sz w:val="20"/>
          <w:szCs w:val="20"/>
        </w:rPr>
        <w:t>Sougrakpam</w:t>
      </w:r>
      <w:proofErr w:type="spellEnd"/>
      <w:r w:rsidRPr="005B4090">
        <w:rPr>
          <w:rFonts w:ascii="Arial" w:hAnsi="Arial" w:cs="Arial"/>
          <w:color w:val="000000" w:themeColor="text1"/>
          <w:sz w:val="20"/>
          <w:szCs w:val="20"/>
        </w:rPr>
        <w:t xml:space="preserve">, S., Shadia, S., </w:t>
      </w:r>
      <w:proofErr w:type="spellStart"/>
      <w:r w:rsidRPr="005B4090">
        <w:rPr>
          <w:rFonts w:ascii="Arial" w:hAnsi="Arial" w:cs="Arial"/>
          <w:color w:val="000000" w:themeColor="text1"/>
          <w:sz w:val="20"/>
          <w:szCs w:val="20"/>
        </w:rPr>
        <w:t>Tongbram</w:t>
      </w:r>
      <w:proofErr w:type="spellEnd"/>
      <w:r w:rsidRPr="005B4090">
        <w:rPr>
          <w:rFonts w:ascii="Arial" w:hAnsi="Arial" w:cs="Arial"/>
          <w:color w:val="000000" w:themeColor="text1"/>
          <w:sz w:val="20"/>
          <w:szCs w:val="20"/>
        </w:rPr>
        <w:t xml:space="preserve">, M., Singh, S. D., Sahoo, D., &amp; Rajashekar, Y. (2020). Chemical compositions and insecticidal efficacies of four aromatic essential oils on rice weevil Sitophilus oryzae L. International Journal of Tropical Insect Science, 40(3), 549-559. </w:t>
      </w:r>
      <w:hyperlink r:id="rId20" w:history="1">
        <w:r w:rsidRPr="005B4090">
          <w:rPr>
            <w:rStyle w:val="Hyperlink"/>
            <w:rFonts w:ascii="Arial" w:hAnsi="Arial" w:cs="Arial"/>
            <w:sz w:val="20"/>
            <w:szCs w:val="20"/>
          </w:rPr>
          <w:t>https://doi.org/10.1007/s42690-020-00102-1</w:t>
        </w:r>
      </w:hyperlink>
      <w:r w:rsidRPr="005B4090">
        <w:rPr>
          <w:rFonts w:ascii="Arial" w:hAnsi="Arial" w:cs="Arial"/>
          <w:color w:val="000000" w:themeColor="text1"/>
          <w:sz w:val="20"/>
          <w:szCs w:val="20"/>
        </w:rPr>
        <w:t xml:space="preserve"> </w:t>
      </w:r>
    </w:p>
    <w:p w14:paraId="23978BD6" w14:textId="7DF3F078"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Finney, D. J. (1971). Probit Analysis. University Press, Cambridge. </w:t>
      </w:r>
      <w:hyperlink r:id="rId21" w:history="1">
        <w:r w:rsidRPr="005B4090">
          <w:rPr>
            <w:rStyle w:val="Hyperlink"/>
            <w:rFonts w:ascii="Arial" w:hAnsi="Arial" w:cs="Arial"/>
            <w:sz w:val="20"/>
            <w:szCs w:val="20"/>
          </w:rPr>
          <w:t>https://www.ncbi.nlm.nih.gov/nlmcatalog/1277125</w:t>
        </w:r>
      </w:hyperlink>
    </w:p>
    <w:p w14:paraId="6635E255"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sz w:val="20"/>
          <w:szCs w:val="20"/>
        </w:rPr>
        <w:t xml:space="preserve">Food and Agriculture Organization of the United Nations. (2016). FAO Policy Portal. Food and Agriculture Organization of the United Nations. </w:t>
      </w:r>
      <w:hyperlink r:id="rId22" w:history="1">
        <w:r w:rsidRPr="005B4090">
          <w:rPr>
            <w:rStyle w:val="Hyperlink"/>
            <w:rFonts w:ascii="Arial" w:hAnsi="Arial" w:cs="Arial"/>
            <w:sz w:val="20"/>
            <w:szCs w:val="20"/>
          </w:rPr>
          <w:t>https://www.fao.org/policy-support</w:t>
        </w:r>
      </w:hyperlink>
      <w:r w:rsidRPr="005B4090">
        <w:rPr>
          <w:rFonts w:ascii="Arial" w:hAnsi="Arial" w:cs="Arial"/>
          <w:sz w:val="20"/>
          <w:szCs w:val="20"/>
        </w:rPr>
        <w:t xml:space="preserve"> </w:t>
      </w:r>
    </w:p>
    <w:bookmarkEnd w:id="7"/>
    <w:p w14:paraId="1DA5FA0C"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Food and Agriculture Organization of the United Nations. (2017). The future of food and agriculture – Trends and challenges. Food and Agriculture Organization of the United Nations. </w:t>
      </w:r>
      <w:hyperlink r:id="rId23" w:history="1">
        <w:r w:rsidRPr="005B4090">
          <w:rPr>
            <w:rStyle w:val="Hyperlink"/>
            <w:rFonts w:ascii="Arial" w:hAnsi="Arial" w:cs="Arial"/>
            <w:sz w:val="20"/>
            <w:szCs w:val="20"/>
          </w:rPr>
          <w:t>http://www.fao.org/publications/fofa/en/</w:t>
        </w:r>
      </w:hyperlink>
      <w:r w:rsidRPr="005B4090">
        <w:rPr>
          <w:rFonts w:ascii="Arial" w:hAnsi="Arial" w:cs="Arial"/>
          <w:color w:val="000000" w:themeColor="text1"/>
          <w:sz w:val="20"/>
          <w:szCs w:val="20"/>
        </w:rPr>
        <w:t xml:space="preserve"> </w:t>
      </w:r>
    </w:p>
    <w:p w14:paraId="2327D6D7" w14:textId="77777777" w:rsidR="004B1904" w:rsidRDefault="004B1904" w:rsidP="00D77EE8">
      <w:pPr>
        <w:pStyle w:val="ListParagraph"/>
        <w:numPr>
          <w:ilvl w:val="0"/>
          <w:numId w:val="33"/>
        </w:numPr>
        <w:spacing w:after="240"/>
        <w:jc w:val="both"/>
        <w:rPr>
          <w:rFonts w:ascii="Arial" w:hAnsi="Arial" w:cs="Arial"/>
          <w:color w:val="000000" w:themeColor="text1"/>
          <w:sz w:val="20"/>
          <w:szCs w:val="20"/>
        </w:rPr>
      </w:pPr>
      <w:proofErr w:type="spellStart"/>
      <w:r w:rsidRPr="005B4090">
        <w:rPr>
          <w:rFonts w:ascii="Arial" w:hAnsi="Arial" w:cs="Arial"/>
          <w:color w:val="000000" w:themeColor="text1"/>
          <w:sz w:val="20"/>
          <w:szCs w:val="20"/>
        </w:rPr>
        <w:t>Francikowski</w:t>
      </w:r>
      <w:proofErr w:type="spellEnd"/>
      <w:r w:rsidRPr="005B4090">
        <w:rPr>
          <w:rFonts w:ascii="Arial" w:hAnsi="Arial" w:cs="Arial"/>
          <w:color w:val="000000" w:themeColor="text1"/>
          <w:sz w:val="20"/>
          <w:szCs w:val="20"/>
        </w:rPr>
        <w:t xml:space="preserve">, J., Baran, B., Cup, M., Janiec, J., &amp; </w:t>
      </w:r>
      <w:proofErr w:type="spellStart"/>
      <w:r w:rsidRPr="005B4090">
        <w:rPr>
          <w:rFonts w:ascii="Arial" w:hAnsi="Arial" w:cs="Arial"/>
          <w:color w:val="000000" w:themeColor="text1"/>
          <w:sz w:val="20"/>
          <w:szCs w:val="20"/>
        </w:rPr>
        <w:t>Krzyżowski</w:t>
      </w:r>
      <w:proofErr w:type="spellEnd"/>
      <w:r w:rsidRPr="005B4090">
        <w:rPr>
          <w:rFonts w:ascii="Arial" w:hAnsi="Arial" w:cs="Arial"/>
          <w:color w:val="000000" w:themeColor="text1"/>
          <w:sz w:val="20"/>
          <w:szCs w:val="20"/>
        </w:rPr>
        <w:t xml:space="preserve">, M. (2019). Commercially available essential oil formulas as repellents against the stored-product pest </w:t>
      </w:r>
      <w:proofErr w:type="spellStart"/>
      <w:r w:rsidRPr="005B4090">
        <w:rPr>
          <w:rFonts w:ascii="Arial" w:hAnsi="Arial" w:cs="Arial"/>
          <w:color w:val="000000" w:themeColor="text1"/>
          <w:sz w:val="20"/>
          <w:szCs w:val="20"/>
        </w:rPr>
        <w:t>Alphitobius</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diaperinus</w:t>
      </w:r>
      <w:proofErr w:type="spellEnd"/>
      <w:r w:rsidRPr="005B4090">
        <w:rPr>
          <w:rFonts w:ascii="Arial" w:hAnsi="Arial" w:cs="Arial"/>
          <w:color w:val="000000" w:themeColor="text1"/>
          <w:sz w:val="20"/>
          <w:szCs w:val="20"/>
        </w:rPr>
        <w:t xml:space="preserve">. Insects, 10(4), 96. </w:t>
      </w:r>
      <w:hyperlink r:id="rId24" w:history="1">
        <w:r w:rsidRPr="005B4090">
          <w:rPr>
            <w:rStyle w:val="Hyperlink"/>
            <w:rFonts w:ascii="Arial" w:hAnsi="Arial" w:cs="Arial"/>
            <w:sz w:val="20"/>
            <w:szCs w:val="20"/>
          </w:rPr>
          <w:t>https://doi.org/10.3390/insects10040096</w:t>
        </w:r>
      </w:hyperlink>
      <w:r w:rsidRPr="005B4090">
        <w:rPr>
          <w:rFonts w:ascii="Arial" w:hAnsi="Arial" w:cs="Arial"/>
          <w:color w:val="000000" w:themeColor="text1"/>
          <w:sz w:val="20"/>
          <w:szCs w:val="20"/>
        </w:rPr>
        <w:t xml:space="preserve"> </w:t>
      </w:r>
    </w:p>
    <w:p w14:paraId="78F67EDF" w14:textId="13697C82" w:rsidR="0007736E" w:rsidRPr="0007736E" w:rsidRDefault="0007736E" w:rsidP="0007736E">
      <w:pPr>
        <w:pStyle w:val="ListParagraph"/>
        <w:numPr>
          <w:ilvl w:val="0"/>
          <w:numId w:val="33"/>
        </w:numPr>
        <w:jc w:val="both"/>
        <w:rPr>
          <w:rFonts w:ascii="Arial" w:hAnsi="Arial" w:cs="Arial"/>
          <w:sz w:val="20"/>
          <w:szCs w:val="20"/>
        </w:rPr>
      </w:pPr>
      <w:proofErr w:type="spellStart"/>
      <w:r w:rsidRPr="0007736E">
        <w:rPr>
          <w:rFonts w:ascii="Arial" w:hAnsi="Arial" w:cs="Arial"/>
          <w:sz w:val="20"/>
          <w:szCs w:val="20"/>
        </w:rPr>
        <w:t>Gvozdenac</w:t>
      </w:r>
      <w:proofErr w:type="spellEnd"/>
      <w:r w:rsidRPr="0007736E">
        <w:rPr>
          <w:rFonts w:ascii="Arial" w:hAnsi="Arial" w:cs="Arial"/>
          <w:sz w:val="20"/>
          <w:szCs w:val="20"/>
        </w:rPr>
        <w:t xml:space="preserve">, S., Kiprovski, B., Aćimović, M., Stanković Jeremić, J., Cvetković, M., Bursić, V. and </w:t>
      </w:r>
      <w:proofErr w:type="spellStart"/>
      <w:r w:rsidRPr="0007736E">
        <w:rPr>
          <w:rFonts w:ascii="Arial" w:hAnsi="Arial" w:cs="Arial"/>
          <w:sz w:val="20"/>
          <w:szCs w:val="20"/>
        </w:rPr>
        <w:t>Ovuka</w:t>
      </w:r>
      <w:proofErr w:type="spellEnd"/>
      <w:r w:rsidRPr="0007736E">
        <w:rPr>
          <w:rFonts w:ascii="Arial" w:hAnsi="Arial" w:cs="Arial"/>
          <w:sz w:val="20"/>
          <w:szCs w:val="20"/>
        </w:rPr>
        <w:t xml:space="preserve">, J., (2021). Repellent activity of Cymbopogon </w:t>
      </w:r>
      <w:proofErr w:type="spellStart"/>
      <w:r w:rsidRPr="0007736E">
        <w:rPr>
          <w:rFonts w:ascii="Arial" w:hAnsi="Arial" w:cs="Arial"/>
          <w:sz w:val="20"/>
          <w:szCs w:val="20"/>
        </w:rPr>
        <w:t>citratus</w:t>
      </w:r>
      <w:proofErr w:type="spellEnd"/>
      <w:r w:rsidRPr="0007736E">
        <w:rPr>
          <w:rFonts w:ascii="Arial" w:hAnsi="Arial" w:cs="Arial"/>
          <w:sz w:val="20"/>
          <w:szCs w:val="20"/>
        </w:rPr>
        <w:t xml:space="preserve"> essential oil against four major stored product pests: Plodia </w:t>
      </w:r>
      <w:proofErr w:type="spellStart"/>
      <w:r w:rsidRPr="0007736E">
        <w:rPr>
          <w:rFonts w:ascii="Arial" w:hAnsi="Arial" w:cs="Arial"/>
          <w:sz w:val="20"/>
          <w:szCs w:val="20"/>
        </w:rPr>
        <w:t>interpunctella</w:t>
      </w:r>
      <w:proofErr w:type="spellEnd"/>
      <w:r w:rsidRPr="0007736E">
        <w:rPr>
          <w:rFonts w:ascii="Arial" w:hAnsi="Arial" w:cs="Arial"/>
          <w:sz w:val="20"/>
          <w:szCs w:val="20"/>
        </w:rPr>
        <w:t xml:space="preserve">, Sitophilus </w:t>
      </w:r>
      <w:proofErr w:type="spellStart"/>
      <w:r w:rsidRPr="0007736E">
        <w:rPr>
          <w:rFonts w:ascii="Arial" w:hAnsi="Arial" w:cs="Arial"/>
          <w:sz w:val="20"/>
          <w:szCs w:val="20"/>
        </w:rPr>
        <w:t>oryzae</w:t>
      </w:r>
      <w:proofErr w:type="spellEnd"/>
      <w:r w:rsidRPr="0007736E">
        <w:rPr>
          <w:rFonts w:ascii="Arial" w:hAnsi="Arial" w:cs="Arial"/>
          <w:sz w:val="20"/>
          <w:szCs w:val="20"/>
        </w:rPr>
        <w:t xml:space="preserve">, </w:t>
      </w:r>
      <w:proofErr w:type="spellStart"/>
      <w:r w:rsidRPr="0007736E">
        <w:rPr>
          <w:rFonts w:ascii="Arial" w:hAnsi="Arial" w:cs="Arial"/>
          <w:sz w:val="20"/>
          <w:szCs w:val="20"/>
        </w:rPr>
        <w:t>Acanthoscelides</w:t>
      </w:r>
      <w:proofErr w:type="spellEnd"/>
      <w:r w:rsidRPr="0007736E">
        <w:rPr>
          <w:rFonts w:ascii="Arial" w:hAnsi="Arial" w:cs="Arial"/>
          <w:sz w:val="20"/>
          <w:szCs w:val="20"/>
        </w:rPr>
        <w:t xml:space="preserve"> </w:t>
      </w:r>
      <w:proofErr w:type="spellStart"/>
      <w:r w:rsidRPr="0007736E">
        <w:rPr>
          <w:rFonts w:ascii="Arial" w:hAnsi="Arial" w:cs="Arial"/>
          <w:sz w:val="20"/>
          <w:szCs w:val="20"/>
        </w:rPr>
        <w:t>obtectus</w:t>
      </w:r>
      <w:proofErr w:type="spellEnd"/>
      <w:r w:rsidRPr="0007736E">
        <w:rPr>
          <w:rFonts w:ascii="Arial" w:hAnsi="Arial" w:cs="Arial"/>
          <w:sz w:val="20"/>
          <w:szCs w:val="20"/>
        </w:rPr>
        <w:t xml:space="preserve"> and </w:t>
      </w:r>
      <w:proofErr w:type="spellStart"/>
      <w:r w:rsidRPr="0007736E">
        <w:rPr>
          <w:rFonts w:ascii="Arial" w:hAnsi="Arial" w:cs="Arial"/>
          <w:sz w:val="20"/>
          <w:szCs w:val="20"/>
        </w:rPr>
        <w:t>Tribolium</w:t>
      </w:r>
      <w:proofErr w:type="spellEnd"/>
      <w:r w:rsidRPr="0007736E">
        <w:rPr>
          <w:rFonts w:ascii="Arial" w:hAnsi="Arial" w:cs="Arial"/>
          <w:sz w:val="20"/>
          <w:szCs w:val="20"/>
        </w:rPr>
        <w:t xml:space="preserve"> </w:t>
      </w:r>
      <w:proofErr w:type="spellStart"/>
      <w:r w:rsidRPr="0007736E">
        <w:rPr>
          <w:rFonts w:ascii="Arial" w:hAnsi="Arial" w:cs="Arial"/>
          <w:sz w:val="20"/>
          <w:szCs w:val="20"/>
        </w:rPr>
        <w:t>castaneum</w:t>
      </w:r>
      <w:proofErr w:type="spellEnd"/>
      <w:r w:rsidRPr="0007736E">
        <w:rPr>
          <w:rFonts w:ascii="Arial" w:hAnsi="Arial" w:cs="Arial"/>
          <w:sz w:val="20"/>
          <w:szCs w:val="20"/>
        </w:rPr>
        <w:t>. </w:t>
      </w:r>
      <w:r w:rsidRPr="0007736E">
        <w:rPr>
          <w:rFonts w:ascii="Arial" w:hAnsi="Arial" w:cs="Arial"/>
          <w:i/>
          <w:iCs/>
          <w:sz w:val="20"/>
          <w:szCs w:val="20"/>
        </w:rPr>
        <w:t>Contemporary Agriculture</w:t>
      </w:r>
      <w:r w:rsidRPr="0007736E">
        <w:rPr>
          <w:rFonts w:ascii="Arial" w:hAnsi="Arial" w:cs="Arial"/>
          <w:sz w:val="20"/>
          <w:szCs w:val="20"/>
        </w:rPr>
        <w:t>, </w:t>
      </w:r>
      <w:r w:rsidRPr="0007736E">
        <w:rPr>
          <w:rFonts w:ascii="Arial" w:hAnsi="Arial" w:cs="Arial"/>
          <w:i/>
          <w:iCs/>
          <w:sz w:val="20"/>
          <w:szCs w:val="20"/>
        </w:rPr>
        <w:t>70</w:t>
      </w:r>
      <w:r w:rsidRPr="0007736E">
        <w:rPr>
          <w:rFonts w:ascii="Arial" w:hAnsi="Arial" w:cs="Arial"/>
          <w:sz w:val="20"/>
          <w:szCs w:val="20"/>
        </w:rPr>
        <w:t>(3-4), 140-148.</w:t>
      </w:r>
      <w:hyperlink r:id="rId25" w:history="1">
        <w:r w:rsidR="008D37BD" w:rsidRPr="00FB3B9C">
          <w:rPr>
            <w:rStyle w:val="Hyperlink"/>
            <w:rFonts w:ascii="Arial" w:hAnsi="Arial" w:cs="Arial"/>
            <w:sz w:val="20"/>
            <w:szCs w:val="20"/>
          </w:rPr>
          <w:t>https://scholar.google.com/scholar_lookup?title=Repellent+Activity+of+Cymbopogon+citratus+Essential+Oil+Against+Four+Major+Stored+Product+Pests:+Plodia+interpunctella,+Sitophilus+oryzae,+Acanthoscelides+obtectus+and+Tribolium+castaneum&amp;author=Gvozdenac,+S.&amp;author=Kiprovski,+B.&amp;author=A%C4%87imovi%C4%87,+M.&amp;author=Jeremi%C4%87,+J.S.&amp;author=Cvetkovi%C4%87,+M.&amp;author=Bursi%C4%87,+V.&amp;author=Ovuka,+J.&amp;publication_year=2021&amp;journal=Contemp.+Agric.&amp;volume=70&amp;pages=140%E2%80%93148&amp;doi=10.2478/contagri-2021-0020</w:t>
        </w:r>
      </w:hyperlink>
    </w:p>
    <w:p w14:paraId="094A06C8"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Hariani, N., Lestari, R., &amp; </w:t>
      </w:r>
      <w:proofErr w:type="spellStart"/>
      <w:r w:rsidRPr="005B4090">
        <w:rPr>
          <w:rFonts w:ascii="Arial" w:hAnsi="Arial" w:cs="Arial"/>
          <w:color w:val="000000" w:themeColor="text1"/>
          <w:sz w:val="20"/>
          <w:szCs w:val="20"/>
        </w:rPr>
        <w:t>Zulfitri</w:t>
      </w:r>
      <w:proofErr w:type="spellEnd"/>
      <w:r w:rsidRPr="005B4090">
        <w:rPr>
          <w:rFonts w:ascii="Arial" w:hAnsi="Arial" w:cs="Arial"/>
          <w:color w:val="000000" w:themeColor="text1"/>
          <w:sz w:val="20"/>
          <w:szCs w:val="20"/>
        </w:rPr>
        <w:t xml:space="preserve">, A. (2024). Evaluating the efficacy of citronella essential oil (Cymbopogon </w:t>
      </w:r>
      <w:proofErr w:type="spellStart"/>
      <w:r w:rsidRPr="005B4090">
        <w:rPr>
          <w:rFonts w:ascii="Arial" w:hAnsi="Arial" w:cs="Arial"/>
          <w:color w:val="000000" w:themeColor="text1"/>
          <w:sz w:val="20"/>
          <w:szCs w:val="20"/>
        </w:rPr>
        <w:t>nardus</w:t>
      </w:r>
      <w:proofErr w:type="spellEnd"/>
      <w:r w:rsidRPr="005B4090">
        <w:rPr>
          <w:rFonts w:ascii="Arial" w:hAnsi="Arial" w:cs="Arial"/>
          <w:color w:val="000000" w:themeColor="text1"/>
          <w:sz w:val="20"/>
          <w:szCs w:val="20"/>
        </w:rPr>
        <w:t xml:space="preserve">) as a control agent for warehouse rice weevil (Sitophilus oryzae). </w:t>
      </w:r>
      <w:proofErr w:type="spellStart"/>
      <w:r w:rsidRPr="005B4090">
        <w:rPr>
          <w:rFonts w:ascii="Arial" w:hAnsi="Arial" w:cs="Arial"/>
          <w:color w:val="000000" w:themeColor="text1"/>
          <w:sz w:val="20"/>
          <w:szCs w:val="20"/>
        </w:rPr>
        <w:t>Jurnal</w:t>
      </w:r>
      <w:proofErr w:type="spellEnd"/>
      <w:r w:rsidRPr="005B4090">
        <w:rPr>
          <w:rFonts w:ascii="Arial" w:hAnsi="Arial" w:cs="Arial"/>
          <w:color w:val="000000" w:themeColor="text1"/>
          <w:sz w:val="20"/>
          <w:szCs w:val="20"/>
        </w:rPr>
        <w:t xml:space="preserve"> Pendidikan </w:t>
      </w:r>
      <w:proofErr w:type="spellStart"/>
      <w:r w:rsidRPr="005B4090">
        <w:rPr>
          <w:rFonts w:ascii="Arial" w:hAnsi="Arial" w:cs="Arial"/>
          <w:color w:val="000000" w:themeColor="text1"/>
          <w:sz w:val="20"/>
          <w:szCs w:val="20"/>
        </w:rPr>
        <w:t>Matematika</w:t>
      </w:r>
      <w:proofErr w:type="spellEnd"/>
      <w:r w:rsidRPr="005B4090">
        <w:rPr>
          <w:rFonts w:ascii="Arial" w:hAnsi="Arial" w:cs="Arial"/>
          <w:color w:val="000000" w:themeColor="text1"/>
          <w:sz w:val="20"/>
          <w:szCs w:val="20"/>
        </w:rPr>
        <w:t xml:space="preserve"> dan IPA, 15(3), 346-354. </w:t>
      </w:r>
      <w:hyperlink r:id="rId26" w:history="1">
        <w:r w:rsidRPr="005B4090">
          <w:rPr>
            <w:rStyle w:val="Hyperlink"/>
            <w:rFonts w:ascii="Arial" w:hAnsi="Arial" w:cs="Arial"/>
            <w:sz w:val="20"/>
            <w:szCs w:val="20"/>
          </w:rPr>
          <w:t>https://doi.org/10.26418/jpmipa.v15i3.80589</w:t>
        </w:r>
      </w:hyperlink>
      <w:r w:rsidRPr="005B4090">
        <w:rPr>
          <w:rFonts w:ascii="Arial" w:hAnsi="Arial" w:cs="Arial"/>
          <w:color w:val="000000" w:themeColor="text1"/>
          <w:sz w:val="20"/>
          <w:szCs w:val="20"/>
        </w:rPr>
        <w:t xml:space="preserve"> </w:t>
      </w:r>
    </w:p>
    <w:p w14:paraId="676E14C8" w14:textId="77777777" w:rsidR="004B1904" w:rsidRPr="005B4090" w:rsidRDefault="004B1904" w:rsidP="00D77EE8">
      <w:pPr>
        <w:pStyle w:val="ListParagraph"/>
        <w:numPr>
          <w:ilvl w:val="0"/>
          <w:numId w:val="33"/>
        </w:numPr>
        <w:spacing w:after="240"/>
        <w:rPr>
          <w:rFonts w:ascii="Arial" w:hAnsi="Arial" w:cs="Arial"/>
          <w:color w:val="000000" w:themeColor="text1"/>
          <w:sz w:val="20"/>
          <w:szCs w:val="20"/>
        </w:rPr>
      </w:pPr>
      <w:r w:rsidRPr="005B4090">
        <w:rPr>
          <w:rFonts w:ascii="Arial" w:hAnsi="Arial" w:cs="Arial"/>
          <w:color w:val="000000" w:themeColor="text1"/>
          <w:sz w:val="20"/>
          <w:szCs w:val="20"/>
        </w:rPr>
        <w:t xml:space="preserve">Isman, M. B. (2006). Botanical Insecticides, Deterrents, and Repellents in Modern Agriculture and an Increasingly Regulated World. Annual Review of Entomology, 51, 45–66. </w:t>
      </w:r>
      <w:hyperlink r:id="rId27" w:history="1">
        <w:r w:rsidRPr="005B4090">
          <w:rPr>
            <w:rStyle w:val="Hyperlink"/>
            <w:rFonts w:ascii="Arial" w:hAnsi="Arial" w:cs="Arial"/>
            <w:sz w:val="20"/>
            <w:szCs w:val="20"/>
          </w:rPr>
          <w:t>https://doi.org/10.1146/annurev.ento.51.110104.151146</w:t>
        </w:r>
      </w:hyperlink>
      <w:r w:rsidRPr="005B4090">
        <w:rPr>
          <w:rFonts w:ascii="Arial" w:hAnsi="Arial" w:cs="Arial"/>
          <w:color w:val="000000" w:themeColor="text1"/>
          <w:sz w:val="20"/>
          <w:szCs w:val="20"/>
        </w:rPr>
        <w:t xml:space="preserve"> </w:t>
      </w:r>
    </w:p>
    <w:p w14:paraId="5D1A8C11" w14:textId="77777777"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Houghton, P. J., Ren, Y., &amp; Howes, M. J. (2006). Acetylcholinesterase inhibitors from plants and fungi. Natural Product Reports, 23(2), 181-199. </w:t>
      </w:r>
      <w:hyperlink r:id="rId28" w:history="1">
        <w:r w:rsidRPr="005B4090">
          <w:rPr>
            <w:rStyle w:val="Hyperlink"/>
            <w:rFonts w:ascii="Arial" w:hAnsi="Arial" w:cs="Arial"/>
            <w:sz w:val="20"/>
            <w:szCs w:val="20"/>
          </w:rPr>
          <w:t>https://doi.org/10.1039/b508966m</w:t>
        </w:r>
      </w:hyperlink>
      <w:r w:rsidRPr="005B4090">
        <w:rPr>
          <w:rFonts w:ascii="Arial" w:hAnsi="Arial" w:cs="Arial"/>
          <w:color w:val="000000" w:themeColor="text1"/>
          <w:sz w:val="20"/>
          <w:szCs w:val="20"/>
        </w:rPr>
        <w:t xml:space="preserve"> </w:t>
      </w:r>
    </w:p>
    <w:p w14:paraId="1D751DA6" w14:textId="4D2C6858"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Jayakumar, M., Arivoli, S., Raveen, R., &amp; Tennyson, S. (2017). Repellent activity and fumigant toxicity of a few plant oils against the adult rice weevil Sitophilus oryzae Linnaeus 1763 (Coleoptera: Curculionidae). *Journal of Entomology and Zoology Studies*, *5*(2), 324–335. </w:t>
      </w:r>
      <w:hyperlink r:id="rId29" w:history="1">
        <w:r w:rsidRPr="005B4090">
          <w:rPr>
            <w:rStyle w:val="Hyperlink"/>
            <w:rFonts w:ascii="Arial" w:hAnsi="Arial" w:cs="Arial"/>
            <w:sz w:val="20"/>
            <w:szCs w:val="20"/>
          </w:rPr>
          <w:t>http://www.entomoljournal.com/archives/2017/vol5issue2/5-2-10-100.pdf</w:t>
        </w:r>
      </w:hyperlink>
    </w:p>
    <w:p w14:paraId="044B2112" w14:textId="77777777" w:rsidR="004B1904" w:rsidRPr="005B4090" w:rsidRDefault="004B1904" w:rsidP="00D77EE8">
      <w:pPr>
        <w:pStyle w:val="ListParagraph"/>
        <w:numPr>
          <w:ilvl w:val="0"/>
          <w:numId w:val="33"/>
        </w:numPr>
        <w:spacing w:before="240"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Jyotsna, B., Patil, S., Prakash, Y. S., </w:t>
      </w:r>
      <w:proofErr w:type="spellStart"/>
      <w:r w:rsidRPr="005B4090">
        <w:rPr>
          <w:rFonts w:ascii="Arial" w:hAnsi="Arial" w:cs="Arial"/>
          <w:color w:val="000000" w:themeColor="text1"/>
          <w:sz w:val="20"/>
          <w:szCs w:val="20"/>
        </w:rPr>
        <w:t>Rathnagiri</w:t>
      </w:r>
      <w:proofErr w:type="spellEnd"/>
      <w:r w:rsidRPr="005B4090">
        <w:rPr>
          <w:rFonts w:ascii="Arial" w:hAnsi="Arial" w:cs="Arial"/>
          <w:color w:val="000000" w:themeColor="text1"/>
          <w:sz w:val="20"/>
          <w:szCs w:val="20"/>
        </w:rPr>
        <w:t xml:space="preserve">, P., Kavi Kishor, P. B., &amp; Jalaja, N. (2024). Essential oils from plant resources as potent insecticides and repellents: Current status and future perspectives. Biocatalysis and Agricultural Biotechnology, 61, 103395. </w:t>
      </w:r>
      <w:hyperlink r:id="rId30" w:history="1">
        <w:r w:rsidRPr="005B4090">
          <w:rPr>
            <w:rStyle w:val="Hyperlink"/>
            <w:rFonts w:ascii="Arial" w:hAnsi="Arial" w:cs="Arial"/>
            <w:sz w:val="20"/>
            <w:szCs w:val="20"/>
          </w:rPr>
          <w:t>https://doi.org/10.1016/j.bcab.2024.103395</w:t>
        </w:r>
      </w:hyperlink>
      <w:r w:rsidRPr="005B4090">
        <w:rPr>
          <w:rFonts w:ascii="Arial" w:hAnsi="Arial" w:cs="Arial"/>
          <w:color w:val="000000" w:themeColor="text1"/>
          <w:sz w:val="20"/>
          <w:szCs w:val="20"/>
        </w:rPr>
        <w:t xml:space="preserve"> </w:t>
      </w:r>
    </w:p>
    <w:p w14:paraId="76E6A5D0" w14:textId="7C242BF9" w:rsidR="004B1904" w:rsidRPr="005B4090" w:rsidRDefault="004B1904"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Kim, D. H., &amp; Ahn, Y. J. (2001). Contact and fumigant activities of constituents of Foeniculum vulgare fruit against three coleopteran stored-product insects. Pest Management Science, 57(3), 301-306. </w:t>
      </w:r>
      <w:hyperlink r:id="rId31" w:history="1">
        <w:r w:rsidRPr="005B4090">
          <w:rPr>
            <w:rStyle w:val="Hyperlink"/>
            <w:rFonts w:ascii="Arial" w:hAnsi="Arial" w:cs="Arial"/>
            <w:sz w:val="20"/>
            <w:szCs w:val="20"/>
          </w:rPr>
          <w:t>https://doi.org/10.1002/ps.274</w:t>
        </w:r>
      </w:hyperlink>
    </w:p>
    <w:p w14:paraId="5B39E0DC" w14:textId="3CD29D3B" w:rsidR="00CD17EF" w:rsidRPr="003F77C9" w:rsidRDefault="00CD17EF" w:rsidP="00D77EE8">
      <w:pPr>
        <w:pStyle w:val="ListParagraph"/>
        <w:numPr>
          <w:ilvl w:val="0"/>
          <w:numId w:val="33"/>
        </w:numPr>
        <w:spacing w:after="240"/>
        <w:jc w:val="both"/>
        <w:rPr>
          <w:rFonts w:ascii="Arial" w:hAnsi="Arial" w:cs="Arial"/>
          <w:color w:val="000000" w:themeColor="text1"/>
          <w:sz w:val="20"/>
          <w:szCs w:val="20"/>
        </w:rPr>
      </w:pPr>
      <w:r w:rsidRPr="003F77C9">
        <w:rPr>
          <w:rFonts w:ascii="Arial" w:hAnsi="Arial" w:cs="Arial"/>
          <w:sz w:val="20"/>
          <w:szCs w:val="20"/>
        </w:rPr>
        <w:t>Kumar</w:t>
      </w:r>
      <w:r w:rsidRPr="003F77C9">
        <w:rPr>
          <w:rFonts w:ascii="Arial" w:hAnsi="Arial" w:cs="Arial"/>
          <w:color w:val="000000" w:themeColor="text1"/>
          <w:sz w:val="20"/>
          <w:szCs w:val="20"/>
        </w:rPr>
        <w:t>, H. and Jakhar, A., (2018). Recent trends in insect-pests management of cereals crops. </w:t>
      </w:r>
      <w:r w:rsidRPr="003F77C9">
        <w:rPr>
          <w:rFonts w:ascii="Arial" w:hAnsi="Arial" w:cs="Arial"/>
          <w:i/>
          <w:iCs/>
          <w:color w:val="000000" w:themeColor="text1"/>
          <w:sz w:val="20"/>
          <w:szCs w:val="20"/>
        </w:rPr>
        <w:t xml:space="preserve">Proceedings of the Advanced Training Course on “Recent Trends in Pests Status, </w:t>
      </w:r>
      <w:proofErr w:type="spellStart"/>
      <w:r w:rsidRPr="003F77C9">
        <w:rPr>
          <w:rFonts w:ascii="Arial" w:hAnsi="Arial" w:cs="Arial"/>
          <w:i/>
          <w:iCs/>
          <w:color w:val="000000" w:themeColor="text1"/>
          <w:sz w:val="20"/>
          <w:szCs w:val="20"/>
        </w:rPr>
        <w:t>Pescide</w:t>
      </w:r>
      <w:proofErr w:type="spellEnd"/>
      <w:r w:rsidRPr="003F77C9">
        <w:rPr>
          <w:rFonts w:ascii="Arial" w:hAnsi="Arial" w:cs="Arial"/>
          <w:i/>
          <w:iCs/>
          <w:color w:val="000000" w:themeColor="text1"/>
          <w:sz w:val="20"/>
          <w:szCs w:val="20"/>
        </w:rPr>
        <w:t xml:space="preserve"> Usage and Pest Management Strategies in </w:t>
      </w:r>
      <w:proofErr w:type="gramStart"/>
      <w:r w:rsidRPr="003F77C9">
        <w:rPr>
          <w:rFonts w:ascii="Arial" w:hAnsi="Arial" w:cs="Arial"/>
          <w:i/>
          <w:iCs/>
          <w:color w:val="000000" w:themeColor="text1"/>
          <w:sz w:val="20"/>
          <w:szCs w:val="20"/>
        </w:rPr>
        <w:t>Agriculture”(</w:t>
      </w:r>
      <w:proofErr w:type="gramEnd"/>
      <w:r w:rsidRPr="003F77C9">
        <w:rPr>
          <w:rFonts w:ascii="Arial" w:hAnsi="Arial" w:cs="Arial"/>
          <w:i/>
          <w:iCs/>
          <w:color w:val="000000" w:themeColor="text1"/>
          <w:sz w:val="20"/>
          <w:szCs w:val="20"/>
        </w:rPr>
        <w:t>SS Yadav, H. Kumar, eds). CAFT, Department of Entomology, CCS HAU, Hisar, India</w:t>
      </w:r>
      <w:r w:rsidRPr="003F77C9">
        <w:rPr>
          <w:rFonts w:ascii="Arial" w:hAnsi="Arial" w:cs="Arial"/>
          <w:color w:val="000000" w:themeColor="text1"/>
          <w:sz w:val="20"/>
          <w:szCs w:val="20"/>
        </w:rPr>
        <w:t>, pp.265-276.</w:t>
      </w:r>
    </w:p>
    <w:p w14:paraId="5A574C58" w14:textId="1F0A8EA4" w:rsidR="00510BA4" w:rsidRPr="00510BA4" w:rsidRDefault="00510BA4" w:rsidP="00510BA4">
      <w:pPr>
        <w:pStyle w:val="ListParagraph"/>
        <w:numPr>
          <w:ilvl w:val="0"/>
          <w:numId w:val="33"/>
        </w:numPr>
        <w:jc w:val="both"/>
        <w:rPr>
          <w:rFonts w:ascii="Arial" w:hAnsi="Arial" w:cs="Arial"/>
          <w:sz w:val="20"/>
          <w:szCs w:val="20"/>
        </w:rPr>
      </w:pPr>
      <w:proofErr w:type="spellStart"/>
      <w:r w:rsidRPr="00510BA4">
        <w:rPr>
          <w:rFonts w:ascii="Arial" w:hAnsi="Arial" w:cs="Arial"/>
          <w:sz w:val="20"/>
          <w:szCs w:val="20"/>
        </w:rPr>
        <w:t>Loko</w:t>
      </w:r>
      <w:proofErr w:type="spellEnd"/>
      <w:r w:rsidRPr="00510BA4">
        <w:rPr>
          <w:rFonts w:ascii="Arial" w:hAnsi="Arial" w:cs="Arial"/>
          <w:sz w:val="20"/>
          <w:szCs w:val="20"/>
        </w:rPr>
        <w:t xml:space="preserve">, Y.L.E., </w:t>
      </w:r>
      <w:proofErr w:type="spellStart"/>
      <w:r w:rsidRPr="00510BA4">
        <w:rPr>
          <w:rFonts w:ascii="Arial" w:hAnsi="Arial" w:cs="Arial"/>
          <w:sz w:val="20"/>
          <w:szCs w:val="20"/>
        </w:rPr>
        <w:t>Medegan</w:t>
      </w:r>
      <w:proofErr w:type="spellEnd"/>
      <w:r w:rsidRPr="00510BA4">
        <w:rPr>
          <w:rFonts w:ascii="Arial" w:hAnsi="Arial" w:cs="Arial"/>
          <w:sz w:val="20"/>
          <w:szCs w:val="20"/>
        </w:rPr>
        <w:t xml:space="preserve"> </w:t>
      </w:r>
      <w:proofErr w:type="spellStart"/>
      <w:r w:rsidRPr="00510BA4">
        <w:rPr>
          <w:rFonts w:ascii="Arial" w:hAnsi="Arial" w:cs="Arial"/>
          <w:sz w:val="20"/>
          <w:szCs w:val="20"/>
        </w:rPr>
        <w:t>Fagla</w:t>
      </w:r>
      <w:proofErr w:type="spellEnd"/>
      <w:r w:rsidRPr="00510BA4">
        <w:rPr>
          <w:rFonts w:ascii="Arial" w:hAnsi="Arial" w:cs="Arial"/>
          <w:sz w:val="20"/>
          <w:szCs w:val="20"/>
        </w:rPr>
        <w:t xml:space="preserve">, S., Kassa, P., </w:t>
      </w:r>
      <w:proofErr w:type="spellStart"/>
      <w:r w:rsidRPr="00510BA4">
        <w:rPr>
          <w:rFonts w:ascii="Arial" w:hAnsi="Arial" w:cs="Arial"/>
          <w:sz w:val="20"/>
          <w:szCs w:val="20"/>
        </w:rPr>
        <w:t>Ahouansou</w:t>
      </w:r>
      <w:proofErr w:type="spellEnd"/>
      <w:r w:rsidRPr="00510BA4">
        <w:rPr>
          <w:rFonts w:ascii="Arial" w:hAnsi="Arial" w:cs="Arial"/>
          <w:sz w:val="20"/>
          <w:szCs w:val="20"/>
        </w:rPr>
        <w:t xml:space="preserve">, C.A., </w:t>
      </w:r>
      <w:proofErr w:type="spellStart"/>
      <w:r w:rsidRPr="00510BA4">
        <w:rPr>
          <w:rFonts w:ascii="Arial" w:hAnsi="Arial" w:cs="Arial"/>
          <w:sz w:val="20"/>
          <w:szCs w:val="20"/>
        </w:rPr>
        <w:t>Toffa</w:t>
      </w:r>
      <w:proofErr w:type="spellEnd"/>
      <w:r w:rsidRPr="00510BA4">
        <w:rPr>
          <w:rFonts w:ascii="Arial" w:hAnsi="Arial" w:cs="Arial"/>
          <w:sz w:val="20"/>
          <w:szCs w:val="20"/>
        </w:rPr>
        <w:t xml:space="preserve">, J., </w:t>
      </w:r>
      <w:proofErr w:type="spellStart"/>
      <w:r w:rsidRPr="00510BA4">
        <w:rPr>
          <w:rFonts w:ascii="Arial" w:hAnsi="Arial" w:cs="Arial"/>
          <w:sz w:val="20"/>
          <w:szCs w:val="20"/>
        </w:rPr>
        <w:t>Glinma</w:t>
      </w:r>
      <w:proofErr w:type="spellEnd"/>
      <w:r w:rsidRPr="00510BA4">
        <w:rPr>
          <w:rFonts w:ascii="Arial" w:hAnsi="Arial" w:cs="Arial"/>
          <w:sz w:val="20"/>
          <w:szCs w:val="20"/>
        </w:rPr>
        <w:t xml:space="preserve">, B., </w:t>
      </w:r>
      <w:proofErr w:type="spellStart"/>
      <w:r w:rsidRPr="00510BA4">
        <w:rPr>
          <w:rFonts w:ascii="Arial" w:hAnsi="Arial" w:cs="Arial"/>
          <w:sz w:val="20"/>
          <w:szCs w:val="20"/>
        </w:rPr>
        <w:t>Dougnon</w:t>
      </w:r>
      <w:proofErr w:type="spellEnd"/>
      <w:r w:rsidRPr="00510BA4">
        <w:rPr>
          <w:rFonts w:ascii="Arial" w:hAnsi="Arial" w:cs="Arial"/>
          <w:sz w:val="20"/>
          <w:szCs w:val="20"/>
        </w:rPr>
        <w:t xml:space="preserve">, V., Koukoui, O., </w:t>
      </w:r>
      <w:proofErr w:type="spellStart"/>
      <w:r w:rsidRPr="00510BA4">
        <w:rPr>
          <w:rFonts w:ascii="Arial" w:hAnsi="Arial" w:cs="Arial"/>
          <w:sz w:val="20"/>
          <w:szCs w:val="20"/>
        </w:rPr>
        <w:t>Djogbenou</w:t>
      </w:r>
      <w:proofErr w:type="spellEnd"/>
      <w:r w:rsidRPr="00510BA4">
        <w:rPr>
          <w:rFonts w:ascii="Arial" w:hAnsi="Arial" w:cs="Arial"/>
          <w:sz w:val="20"/>
          <w:szCs w:val="20"/>
        </w:rPr>
        <w:t xml:space="preserve">, S.L., </w:t>
      </w:r>
      <w:proofErr w:type="spellStart"/>
      <w:r w:rsidRPr="00510BA4">
        <w:rPr>
          <w:rFonts w:ascii="Arial" w:hAnsi="Arial" w:cs="Arial"/>
          <w:sz w:val="20"/>
          <w:szCs w:val="20"/>
        </w:rPr>
        <w:t>Tamò</w:t>
      </w:r>
      <w:proofErr w:type="spellEnd"/>
      <w:r w:rsidRPr="00510BA4">
        <w:rPr>
          <w:rFonts w:ascii="Arial" w:hAnsi="Arial" w:cs="Arial"/>
          <w:sz w:val="20"/>
          <w:szCs w:val="20"/>
        </w:rPr>
        <w:t xml:space="preserve">, M., &amp; </w:t>
      </w:r>
      <w:proofErr w:type="spellStart"/>
      <w:r w:rsidRPr="00510BA4">
        <w:rPr>
          <w:rFonts w:ascii="Arial" w:hAnsi="Arial" w:cs="Arial"/>
          <w:sz w:val="20"/>
          <w:szCs w:val="20"/>
        </w:rPr>
        <w:t>Gbaguidi</w:t>
      </w:r>
      <w:proofErr w:type="spellEnd"/>
      <w:r w:rsidRPr="00510BA4">
        <w:rPr>
          <w:rFonts w:ascii="Arial" w:hAnsi="Arial" w:cs="Arial"/>
          <w:sz w:val="20"/>
          <w:szCs w:val="20"/>
        </w:rPr>
        <w:t xml:space="preserve">, F. (2021). Bioactivity of essential oils of Cymbopogon </w:t>
      </w:r>
      <w:proofErr w:type="spellStart"/>
      <w:r w:rsidRPr="00510BA4">
        <w:rPr>
          <w:rFonts w:ascii="Arial" w:hAnsi="Arial" w:cs="Arial"/>
          <w:sz w:val="20"/>
          <w:szCs w:val="20"/>
        </w:rPr>
        <w:t>citratus</w:t>
      </w:r>
      <w:proofErr w:type="spellEnd"/>
      <w:r w:rsidRPr="00510BA4">
        <w:rPr>
          <w:rFonts w:ascii="Arial" w:hAnsi="Arial" w:cs="Arial"/>
          <w:sz w:val="20"/>
          <w:szCs w:val="20"/>
        </w:rPr>
        <w:t xml:space="preserve"> (DC) </w:t>
      </w:r>
      <w:proofErr w:type="spellStart"/>
      <w:r w:rsidRPr="00510BA4">
        <w:rPr>
          <w:rFonts w:ascii="Arial" w:hAnsi="Arial" w:cs="Arial"/>
          <w:sz w:val="20"/>
          <w:szCs w:val="20"/>
        </w:rPr>
        <w:t>Stapf</w:t>
      </w:r>
      <w:proofErr w:type="spellEnd"/>
      <w:r w:rsidRPr="00510BA4">
        <w:rPr>
          <w:rFonts w:ascii="Arial" w:hAnsi="Arial" w:cs="Arial"/>
          <w:sz w:val="20"/>
          <w:szCs w:val="20"/>
        </w:rPr>
        <w:t xml:space="preserve"> and Cymbopogon </w:t>
      </w:r>
      <w:proofErr w:type="spellStart"/>
      <w:r w:rsidRPr="00510BA4">
        <w:rPr>
          <w:rFonts w:ascii="Arial" w:hAnsi="Arial" w:cs="Arial"/>
          <w:sz w:val="20"/>
          <w:szCs w:val="20"/>
        </w:rPr>
        <w:t>nardus</w:t>
      </w:r>
      <w:proofErr w:type="spellEnd"/>
      <w:r w:rsidRPr="00510BA4">
        <w:rPr>
          <w:rFonts w:ascii="Arial" w:hAnsi="Arial" w:cs="Arial"/>
          <w:sz w:val="20"/>
          <w:szCs w:val="20"/>
        </w:rPr>
        <w:t xml:space="preserve"> (L.) W. Watson from Benin against </w:t>
      </w:r>
      <w:proofErr w:type="spellStart"/>
      <w:r w:rsidRPr="00510BA4">
        <w:rPr>
          <w:rFonts w:ascii="Arial" w:hAnsi="Arial" w:cs="Arial"/>
          <w:sz w:val="20"/>
          <w:szCs w:val="20"/>
        </w:rPr>
        <w:t>Dinoderus</w:t>
      </w:r>
      <w:proofErr w:type="spellEnd"/>
      <w:r w:rsidRPr="00510BA4">
        <w:rPr>
          <w:rFonts w:ascii="Arial" w:hAnsi="Arial" w:cs="Arial"/>
          <w:sz w:val="20"/>
          <w:szCs w:val="20"/>
        </w:rPr>
        <w:t xml:space="preserve"> </w:t>
      </w:r>
      <w:proofErr w:type="spellStart"/>
      <w:r w:rsidRPr="00510BA4">
        <w:rPr>
          <w:rFonts w:ascii="Arial" w:hAnsi="Arial" w:cs="Arial"/>
          <w:sz w:val="20"/>
          <w:szCs w:val="20"/>
        </w:rPr>
        <w:t>porcellus</w:t>
      </w:r>
      <w:proofErr w:type="spellEnd"/>
      <w:r w:rsidRPr="00510BA4">
        <w:rPr>
          <w:rFonts w:ascii="Arial" w:hAnsi="Arial" w:cs="Arial"/>
          <w:sz w:val="20"/>
          <w:szCs w:val="20"/>
        </w:rPr>
        <w:t xml:space="preserve"> </w:t>
      </w:r>
      <w:proofErr w:type="spellStart"/>
      <w:r w:rsidRPr="00510BA4">
        <w:rPr>
          <w:rFonts w:ascii="Arial" w:hAnsi="Arial" w:cs="Arial"/>
          <w:sz w:val="20"/>
          <w:szCs w:val="20"/>
        </w:rPr>
        <w:t>Lesne</w:t>
      </w:r>
      <w:proofErr w:type="spellEnd"/>
      <w:r w:rsidRPr="00510BA4">
        <w:rPr>
          <w:rFonts w:ascii="Arial" w:hAnsi="Arial" w:cs="Arial"/>
          <w:sz w:val="20"/>
          <w:szCs w:val="20"/>
        </w:rPr>
        <w:t xml:space="preserve"> (Coleoptera: Bostrichidae) infesting yam chips. International journal of tropical insect science, 41(1), 511-524.</w:t>
      </w:r>
      <w:hyperlink r:id="rId32" w:history="1">
        <w:r w:rsidR="008D37BD" w:rsidRPr="00FB3B9C">
          <w:rPr>
            <w:rStyle w:val="Hyperlink"/>
            <w:rFonts w:ascii="Arial" w:hAnsi="Arial" w:cs="Arial"/>
            <w:sz w:val="20"/>
            <w:szCs w:val="20"/>
          </w:rPr>
          <w:t>https://doi.org/10.1007/s42690-020-00235-3</w:t>
        </w:r>
      </w:hyperlink>
    </w:p>
    <w:p w14:paraId="56742BD7" w14:textId="77777777" w:rsidR="00CD17EF" w:rsidRPr="003F77C9" w:rsidRDefault="00CD17EF" w:rsidP="00D77EE8">
      <w:pPr>
        <w:pStyle w:val="ListParagraph"/>
        <w:numPr>
          <w:ilvl w:val="0"/>
          <w:numId w:val="33"/>
        </w:numPr>
        <w:spacing w:after="240"/>
        <w:jc w:val="both"/>
        <w:rPr>
          <w:rFonts w:ascii="Arial" w:hAnsi="Arial" w:cs="Arial"/>
          <w:color w:val="000000" w:themeColor="text1"/>
          <w:sz w:val="20"/>
          <w:szCs w:val="20"/>
        </w:rPr>
      </w:pPr>
      <w:r w:rsidRPr="003F77C9">
        <w:rPr>
          <w:rFonts w:ascii="Arial" w:hAnsi="Arial" w:cs="Arial"/>
          <w:color w:val="000000" w:themeColor="text1"/>
          <w:sz w:val="20"/>
          <w:szCs w:val="20"/>
        </w:rPr>
        <w:lastRenderedPageBreak/>
        <w:t xml:space="preserve">Mahfuz, I., Afrin, S., Khatun, B. and Mahdi, S.H., (2019). Toxic and repellent effect of citronella essential oil against Sitophilus </w:t>
      </w:r>
      <w:proofErr w:type="spellStart"/>
      <w:r w:rsidRPr="003F77C9">
        <w:rPr>
          <w:rFonts w:ascii="Arial" w:hAnsi="Arial" w:cs="Arial"/>
          <w:color w:val="000000" w:themeColor="text1"/>
          <w:sz w:val="20"/>
          <w:szCs w:val="20"/>
        </w:rPr>
        <w:t>oryzae</w:t>
      </w:r>
      <w:proofErr w:type="spellEnd"/>
      <w:r w:rsidRPr="003F77C9">
        <w:rPr>
          <w:rFonts w:ascii="Arial" w:hAnsi="Arial" w:cs="Arial"/>
          <w:color w:val="000000" w:themeColor="text1"/>
          <w:sz w:val="20"/>
          <w:szCs w:val="20"/>
        </w:rPr>
        <w:t xml:space="preserve"> and </w:t>
      </w:r>
      <w:proofErr w:type="spellStart"/>
      <w:r w:rsidRPr="003F77C9">
        <w:rPr>
          <w:rFonts w:ascii="Arial" w:hAnsi="Arial" w:cs="Arial"/>
          <w:color w:val="000000" w:themeColor="text1"/>
          <w:sz w:val="20"/>
          <w:szCs w:val="20"/>
        </w:rPr>
        <w:t>Tribolium</w:t>
      </w:r>
      <w:proofErr w:type="spellEnd"/>
      <w:r w:rsidRPr="003F77C9">
        <w:rPr>
          <w:rFonts w:ascii="Arial" w:hAnsi="Arial" w:cs="Arial"/>
          <w:color w:val="000000" w:themeColor="text1"/>
          <w:sz w:val="20"/>
          <w:szCs w:val="20"/>
        </w:rPr>
        <w:t xml:space="preserve"> </w:t>
      </w:r>
      <w:proofErr w:type="spellStart"/>
      <w:r w:rsidRPr="003F77C9">
        <w:rPr>
          <w:rFonts w:ascii="Arial" w:hAnsi="Arial" w:cs="Arial"/>
          <w:color w:val="000000" w:themeColor="text1"/>
          <w:sz w:val="20"/>
          <w:szCs w:val="20"/>
        </w:rPr>
        <w:t>castaneum</w:t>
      </w:r>
      <w:proofErr w:type="spellEnd"/>
      <w:r w:rsidRPr="003F77C9">
        <w:rPr>
          <w:rFonts w:ascii="Arial" w:hAnsi="Arial" w:cs="Arial"/>
          <w:color w:val="000000" w:themeColor="text1"/>
          <w:sz w:val="20"/>
          <w:szCs w:val="20"/>
        </w:rPr>
        <w:t xml:space="preserve"> Herbst. </w:t>
      </w:r>
      <w:r w:rsidRPr="003F77C9">
        <w:rPr>
          <w:rFonts w:ascii="Arial" w:hAnsi="Arial" w:cs="Arial"/>
          <w:i/>
          <w:iCs/>
          <w:color w:val="000000" w:themeColor="text1"/>
          <w:sz w:val="20"/>
          <w:szCs w:val="20"/>
        </w:rPr>
        <w:t xml:space="preserve">Univ. J. Zool. </w:t>
      </w:r>
      <w:proofErr w:type="spellStart"/>
      <w:r w:rsidRPr="003F77C9">
        <w:rPr>
          <w:rFonts w:ascii="Arial" w:hAnsi="Arial" w:cs="Arial"/>
          <w:i/>
          <w:iCs/>
          <w:color w:val="000000" w:themeColor="text1"/>
          <w:sz w:val="20"/>
          <w:szCs w:val="20"/>
        </w:rPr>
        <w:t>Rajshahi</w:t>
      </w:r>
      <w:proofErr w:type="spellEnd"/>
      <w:r w:rsidRPr="003F77C9">
        <w:rPr>
          <w:rFonts w:ascii="Arial" w:hAnsi="Arial" w:cs="Arial"/>
          <w:i/>
          <w:iCs/>
          <w:color w:val="000000" w:themeColor="text1"/>
          <w:sz w:val="20"/>
          <w:szCs w:val="20"/>
        </w:rPr>
        <w:t xml:space="preserve"> </w:t>
      </w:r>
      <w:proofErr w:type="spellStart"/>
      <w:r w:rsidRPr="003F77C9">
        <w:rPr>
          <w:rFonts w:ascii="Arial" w:hAnsi="Arial" w:cs="Arial"/>
          <w:i/>
          <w:iCs/>
          <w:color w:val="000000" w:themeColor="text1"/>
          <w:sz w:val="20"/>
          <w:szCs w:val="20"/>
        </w:rPr>
        <w:t>Univ</w:t>
      </w:r>
      <w:proofErr w:type="spellEnd"/>
      <w:r w:rsidRPr="003F77C9">
        <w:rPr>
          <w:rFonts w:ascii="Arial" w:hAnsi="Arial" w:cs="Arial"/>
          <w:color w:val="000000" w:themeColor="text1"/>
          <w:sz w:val="20"/>
          <w:szCs w:val="20"/>
        </w:rPr>
        <w:t>, </w:t>
      </w:r>
      <w:r w:rsidRPr="003F77C9">
        <w:rPr>
          <w:rFonts w:ascii="Arial" w:hAnsi="Arial" w:cs="Arial"/>
          <w:i/>
          <w:iCs/>
          <w:color w:val="000000" w:themeColor="text1"/>
          <w:sz w:val="20"/>
          <w:szCs w:val="20"/>
        </w:rPr>
        <w:t>38</w:t>
      </w:r>
      <w:r w:rsidRPr="003F77C9">
        <w:rPr>
          <w:rFonts w:ascii="Arial" w:hAnsi="Arial" w:cs="Arial"/>
          <w:color w:val="000000" w:themeColor="text1"/>
          <w:sz w:val="20"/>
          <w:szCs w:val="20"/>
        </w:rPr>
        <w:t>, pp.37-46.</w:t>
      </w:r>
    </w:p>
    <w:p w14:paraId="1BD6777D" w14:textId="77777777" w:rsidR="000671E9" w:rsidRPr="005B4090" w:rsidRDefault="000671E9"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McDonald, L. L., Guy, R. H., &amp; Speirs, R. D. (1970). Preliminary evaluation of new candidate materials as toxicants, repellents, and attractants against stored-product insects—I (Marketing Research Report No. 882). U.S. Department of Agriculture, Agricultural Research Service. </w:t>
      </w:r>
      <w:hyperlink r:id="rId33" w:history="1">
        <w:r w:rsidRPr="005B4090">
          <w:rPr>
            <w:rStyle w:val="Hyperlink"/>
            <w:rFonts w:ascii="Arial" w:hAnsi="Arial" w:cs="Arial"/>
            <w:sz w:val="20"/>
            <w:szCs w:val="20"/>
          </w:rPr>
          <w:t>https://doi.org/10.22004/ag.econ.312345</w:t>
        </w:r>
      </w:hyperlink>
      <w:r w:rsidRPr="005B4090">
        <w:rPr>
          <w:rFonts w:ascii="Arial" w:hAnsi="Arial" w:cs="Arial"/>
          <w:color w:val="000000" w:themeColor="text1"/>
          <w:sz w:val="20"/>
          <w:szCs w:val="20"/>
        </w:rPr>
        <w:t xml:space="preserve"> </w:t>
      </w:r>
    </w:p>
    <w:p w14:paraId="2F59B668" w14:textId="77777777" w:rsidR="000671E9" w:rsidRPr="005B4090" w:rsidRDefault="000671E9"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Omar, A. F., Khalil, F. M. A., </w:t>
      </w:r>
      <w:proofErr w:type="spellStart"/>
      <w:r w:rsidRPr="005B4090">
        <w:rPr>
          <w:rFonts w:ascii="Arial" w:hAnsi="Arial" w:cs="Arial"/>
          <w:color w:val="000000" w:themeColor="text1"/>
          <w:sz w:val="20"/>
          <w:szCs w:val="20"/>
        </w:rPr>
        <w:t>Alomran</w:t>
      </w:r>
      <w:proofErr w:type="spellEnd"/>
      <w:r w:rsidRPr="005B4090">
        <w:rPr>
          <w:rFonts w:ascii="Arial" w:hAnsi="Arial" w:cs="Arial"/>
          <w:color w:val="000000" w:themeColor="text1"/>
          <w:sz w:val="20"/>
          <w:szCs w:val="20"/>
        </w:rPr>
        <w:t>, M. M., Ismail, T., El-</w:t>
      </w:r>
      <w:proofErr w:type="spellStart"/>
      <w:r w:rsidRPr="005B4090">
        <w:rPr>
          <w:rFonts w:ascii="Arial" w:hAnsi="Arial" w:cs="Arial"/>
          <w:color w:val="000000" w:themeColor="text1"/>
          <w:sz w:val="20"/>
          <w:szCs w:val="20"/>
        </w:rPr>
        <w:t>Tokhy</w:t>
      </w:r>
      <w:proofErr w:type="spellEnd"/>
      <w:r w:rsidRPr="005B4090">
        <w:rPr>
          <w:rFonts w:ascii="Arial" w:hAnsi="Arial" w:cs="Arial"/>
          <w:color w:val="000000" w:themeColor="text1"/>
          <w:sz w:val="20"/>
          <w:szCs w:val="20"/>
        </w:rPr>
        <w:t xml:space="preserve">, A. I., Abdelaal, K., </w:t>
      </w:r>
      <w:proofErr w:type="spellStart"/>
      <w:r w:rsidRPr="005B4090">
        <w:rPr>
          <w:rFonts w:ascii="Arial" w:hAnsi="Arial" w:cs="Arial"/>
          <w:color w:val="000000" w:themeColor="text1"/>
          <w:sz w:val="20"/>
          <w:szCs w:val="20"/>
        </w:rPr>
        <w:t>Gharsan</w:t>
      </w:r>
      <w:proofErr w:type="spellEnd"/>
      <w:r w:rsidRPr="005B4090">
        <w:rPr>
          <w:rFonts w:ascii="Arial" w:hAnsi="Arial" w:cs="Arial"/>
          <w:color w:val="000000" w:themeColor="text1"/>
          <w:sz w:val="20"/>
          <w:szCs w:val="20"/>
        </w:rPr>
        <w:t xml:space="preserve">, F. N., </w:t>
      </w:r>
      <w:proofErr w:type="spellStart"/>
      <w:r w:rsidRPr="005B4090">
        <w:rPr>
          <w:rFonts w:ascii="Arial" w:hAnsi="Arial" w:cs="Arial"/>
          <w:color w:val="000000" w:themeColor="text1"/>
          <w:sz w:val="20"/>
          <w:szCs w:val="20"/>
        </w:rPr>
        <w:t>Almozini</w:t>
      </w:r>
      <w:proofErr w:type="spellEnd"/>
      <w:r w:rsidRPr="005B4090">
        <w:rPr>
          <w:rFonts w:ascii="Arial" w:hAnsi="Arial" w:cs="Arial"/>
          <w:color w:val="000000" w:themeColor="text1"/>
          <w:sz w:val="20"/>
          <w:szCs w:val="20"/>
        </w:rPr>
        <w:t xml:space="preserve">, R. N., &amp; </w:t>
      </w:r>
      <w:proofErr w:type="spellStart"/>
      <w:r w:rsidRPr="005B4090">
        <w:rPr>
          <w:rFonts w:ascii="Arial" w:hAnsi="Arial" w:cs="Arial"/>
          <w:color w:val="000000" w:themeColor="text1"/>
          <w:sz w:val="20"/>
          <w:szCs w:val="20"/>
        </w:rPr>
        <w:t>Abouelatta</w:t>
      </w:r>
      <w:proofErr w:type="spellEnd"/>
      <w:r w:rsidRPr="005B4090">
        <w:rPr>
          <w:rFonts w:ascii="Arial" w:hAnsi="Arial" w:cs="Arial"/>
          <w:color w:val="000000" w:themeColor="text1"/>
          <w:sz w:val="20"/>
          <w:szCs w:val="20"/>
        </w:rPr>
        <w:t>, A. M. (2024). Toxicity and enzymatic activity changes in rice weevil (Sitophilus oryzae) induced by basil (</w:t>
      </w:r>
      <w:proofErr w:type="spellStart"/>
      <w:r w:rsidRPr="005B4090">
        <w:rPr>
          <w:rFonts w:ascii="Arial" w:hAnsi="Arial" w:cs="Arial"/>
          <w:color w:val="000000" w:themeColor="text1"/>
          <w:sz w:val="20"/>
          <w:szCs w:val="20"/>
        </w:rPr>
        <w:t>Ocimum</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basilicum</w:t>
      </w:r>
      <w:proofErr w:type="spellEnd"/>
      <w:r w:rsidRPr="005B4090">
        <w:rPr>
          <w:rFonts w:ascii="Arial" w:hAnsi="Arial" w:cs="Arial"/>
          <w:color w:val="000000" w:themeColor="text1"/>
          <w:sz w:val="20"/>
          <w:szCs w:val="20"/>
        </w:rPr>
        <w:t>) and cumin (</w:t>
      </w:r>
      <w:proofErr w:type="spellStart"/>
      <w:r w:rsidRPr="005B4090">
        <w:rPr>
          <w:rFonts w:ascii="Arial" w:hAnsi="Arial" w:cs="Arial"/>
          <w:color w:val="000000" w:themeColor="text1"/>
          <w:sz w:val="20"/>
          <w:szCs w:val="20"/>
        </w:rPr>
        <w:t>Cuminum</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cyminum</w:t>
      </w:r>
      <w:proofErr w:type="spellEnd"/>
      <w:r w:rsidRPr="005B4090">
        <w:rPr>
          <w:rFonts w:ascii="Arial" w:hAnsi="Arial" w:cs="Arial"/>
          <w:color w:val="000000" w:themeColor="text1"/>
          <w:sz w:val="20"/>
          <w:szCs w:val="20"/>
        </w:rPr>
        <w:t xml:space="preserve">) essential oils. Scientific Reports, 14(1), 28684. </w:t>
      </w:r>
      <w:hyperlink r:id="rId34" w:history="1">
        <w:r w:rsidRPr="005B4090">
          <w:rPr>
            <w:rStyle w:val="Hyperlink"/>
            <w:rFonts w:ascii="Arial" w:hAnsi="Arial" w:cs="Arial"/>
            <w:sz w:val="20"/>
            <w:szCs w:val="20"/>
          </w:rPr>
          <w:t>https://doi.org/10.1038/s41598-024-80329-x</w:t>
        </w:r>
      </w:hyperlink>
      <w:r w:rsidRPr="005B4090">
        <w:rPr>
          <w:rFonts w:ascii="Arial" w:hAnsi="Arial" w:cs="Arial"/>
          <w:color w:val="000000" w:themeColor="text1"/>
          <w:sz w:val="20"/>
          <w:szCs w:val="20"/>
        </w:rPr>
        <w:t xml:space="preserve"> </w:t>
      </w:r>
    </w:p>
    <w:p w14:paraId="707ECC63" w14:textId="5652537D" w:rsidR="00CD17EF" w:rsidRPr="003F77C9" w:rsidRDefault="00CD17EF" w:rsidP="00D77EE8">
      <w:pPr>
        <w:pStyle w:val="ListParagraph"/>
        <w:numPr>
          <w:ilvl w:val="0"/>
          <w:numId w:val="33"/>
        </w:numPr>
        <w:spacing w:after="240"/>
        <w:jc w:val="both"/>
        <w:rPr>
          <w:rFonts w:ascii="Arial" w:hAnsi="Arial" w:cs="Arial"/>
          <w:color w:val="000000" w:themeColor="text1"/>
          <w:sz w:val="20"/>
          <w:szCs w:val="20"/>
        </w:rPr>
      </w:pPr>
      <w:proofErr w:type="spellStart"/>
      <w:r w:rsidRPr="003F77C9">
        <w:rPr>
          <w:rFonts w:ascii="Arial" w:hAnsi="Arial" w:cs="Arial"/>
          <w:color w:val="000000" w:themeColor="text1"/>
          <w:sz w:val="20"/>
          <w:szCs w:val="20"/>
        </w:rPr>
        <w:t>Papulwar</w:t>
      </w:r>
      <w:proofErr w:type="spellEnd"/>
      <w:r w:rsidRPr="003F77C9">
        <w:rPr>
          <w:rFonts w:ascii="Arial" w:hAnsi="Arial" w:cs="Arial"/>
          <w:color w:val="000000" w:themeColor="text1"/>
          <w:sz w:val="20"/>
          <w:szCs w:val="20"/>
        </w:rPr>
        <w:t xml:space="preserve">, P.P., Rathod, B.U. and </w:t>
      </w:r>
      <w:proofErr w:type="spellStart"/>
      <w:r w:rsidRPr="003F77C9">
        <w:rPr>
          <w:rFonts w:ascii="Arial" w:hAnsi="Arial" w:cs="Arial"/>
          <w:color w:val="000000" w:themeColor="text1"/>
          <w:sz w:val="20"/>
          <w:szCs w:val="20"/>
        </w:rPr>
        <w:t>Dattagonde</w:t>
      </w:r>
      <w:proofErr w:type="spellEnd"/>
      <w:r w:rsidRPr="003F77C9">
        <w:rPr>
          <w:rFonts w:ascii="Arial" w:hAnsi="Arial" w:cs="Arial"/>
          <w:color w:val="000000" w:themeColor="text1"/>
          <w:sz w:val="20"/>
          <w:szCs w:val="20"/>
        </w:rPr>
        <w:t>, N.R., (2018). Studies on insecticidal properties of citronella grass (lemon grass) essential oils against gram pod borer (Helicoverpa armigera). International Journal of Chemistry Studies, </w:t>
      </w:r>
      <w:r w:rsidRPr="003F77C9">
        <w:rPr>
          <w:rFonts w:ascii="Arial" w:hAnsi="Arial" w:cs="Arial"/>
          <w:i/>
          <w:iCs/>
          <w:color w:val="000000" w:themeColor="text1"/>
          <w:sz w:val="20"/>
          <w:szCs w:val="20"/>
        </w:rPr>
        <w:t>2</w:t>
      </w:r>
      <w:r w:rsidRPr="003F77C9">
        <w:rPr>
          <w:rFonts w:ascii="Arial" w:hAnsi="Arial" w:cs="Arial"/>
          <w:color w:val="000000" w:themeColor="text1"/>
          <w:sz w:val="20"/>
          <w:szCs w:val="20"/>
        </w:rPr>
        <w:t>(1), 44-46.</w:t>
      </w:r>
    </w:p>
    <w:p w14:paraId="38AB7586" w14:textId="77777777" w:rsidR="000671E9" w:rsidRPr="005B4090" w:rsidRDefault="000671E9"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Patil, N. B., Gowda G, B., Adak, T., </w:t>
      </w:r>
      <w:proofErr w:type="spellStart"/>
      <w:r w:rsidRPr="005B4090">
        <w:rPr>
          <w:rFonts w:ascii="Arial" w:hAnsi="Arial" w:cs="Arial"/>
          <w:color w:val="000000" w:themeColor="text1"/>
          <w:sz w:val="20"/>
          <w:szCs w:val="20"/>
        </w:rPr>
        <w:t>Govindharaj</w:t>
      </w:r>
      <w:proofErr w:type="spellEnd"/>
      <w:r w:rsidRPr="005B4090">
        <w:rPr>
          <w:rFonts w:ascii="Arial" w:hAnsi="Arial" w:cs="Arial"/>
          <w:color w:val="000000" w:themeColor="text1"/>
          <w:sz w:val="20"/>
          <w:szCs w:val="20"/>
        </w:rPr>
        <w:t xml:space="preserve">, G. P. P., Annamalai, M., Prasanthi, G., Rath, P., &amp; Jena, M. (2019). Stored grain insect pests of rice and their management. </w:t>
      </w:r>
      <w:hyperlink r:id="rId35" w:history="1">
        <w:r w:rsidRPr="005B4090">
          <w:rPr>
            <w:rStyle w:val="Hyperlink"/>
            <w:rFonts w:ascii="Arial" w:hAnsi="Arial" w:cs="Arial"/>
            <w:sz w:val="20"/>
            <w:szCs w:val="20"/>
          </w:rPr>
          <w:t>https://doi.org/10.13140/RG.2.2.24735.71845</w:t>
        </w:r>
      </w:hyperlink>
      <w:r w:rsidRPr="005B4090">
        <w:rPr>
          <w:rFonts w:ascii="Arial" w:hAnsi="Arial" w:cs="Arial"/>
          <w:color w:val="000000" w:themeColor="text1"/>
          <w:sz w:val="20"/>
          <w:szCs w:val="20"/>
        </w:rPr>
        <w:t xml:space="preserve"> </w:t>
      </w:r>
    </w:p>
    <w:p w14:paraId="61730F9E" w14:textId="77777777" w:rsidR="000671E9" w:rsidRPr="005B4090" w:rsidRDefault="000671E9"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Plata-Rueda, A., Rolim, G. D. S., Wilcken, C. F., Zanuncio, J. C., </w:t>
      </w:r>
      <w:proofErr w:type="spellStart"/>
      <w:r w:rsidRPr="005B4090">
        <w:rPr>
          <w:rFonts w:ascii="Arial" w:hAnsi="Arial" w:cs="Arial"/>
          <w:color w:val="000000" w:themeColor="text1"/>
          <w:sz w:val="20"/>
          <w:szCs w:val="20"/>
        </w:rPr>
        <w:t>Serrão</w:t>
      </w:r>
      <w:proofErr w:type="spellEnd"/>
      <w:r w:rsidRPr="005B4090">
        <w:rPr>
          <w:rFonts w:ascii="Arial" w:hAnsi="Arial" w:cs="Arial"/>
          <w:color w:val="000000" w:themeColor="text1"/>
          <w:sz w:val="20"/>
          <w:szCs w:val="20"/>
        </w:rPr>
        <w:t xml:space="preserve">, J. E., &amp; Martínez, L. C. (2020). Acute toxicity and sublethal effects of lemongrass essential oil and their components against the granary weevil, Sitophilus </w:t>
      </w:r>
      <w:proofErr w:type="spellStart"/>
      <w:r w:rsidRPr="005B4090">
        <w:rPr>
          <w:rFonts w:ascii="Arial" w:hAnsi="Arial" w:cs="Arial"/>
          <w:color w:val="000000" w:themeColor="text1"/>
          <w:sz w:val="20"/>
          <w:szCs w:val="20"/>
        </w:rPr>
        <w:t>granarius</w:t>
      </w:r>
      <w:proofErr w:type="spellEnd"/>
      <w:r w:rsidRPr="005B4090">
        <w:rPr>
          <w:rFonts w:ascii="Arial" w:hAnsi="Arial" w:cs="Arial"/>
          <w:color w:val="000000" w:themeColor="text1"/>
          <w:sz w:val="20"/>
          <w:szCs w:val="20"/>
        </w:rPr>
        <w:t xml:space="preserve">. Insects, 11(6), 379. </w:t>
      </w:r>
      <w:hyperlink r:id="rId36" w:history="1">
        <w:r w:rsidRPr="005B4090">
          <w:rPr>
            <w:rStyle w:val="Hyperlink"/>
            <w:rFonts w:ascii="Arial" w:hAnsi="Arial" w:cs="Arial"/>
            <w:sz w:val="20"/>
            <w:szCs w:val="20"/>
          </w:rPr>
          <w:t>https://doi.org/10.3390/insects11060379</w:t>
        </w:r>
      </w:hyperlink>
      <w:r w:rsidRPr="005B4090">
        <w:rPr>
          <w:rFonts w:ascii="Arial" w:hAnsi="Arial" w:cs="Arial"/>
          <w:color w:val="000000" w:themeColor="text1"/>
          <w:sz w:val="20"/>
          <w:szCs w:val="20"/>
        </w:rPr>
        <w:t xml:space="preserve"> </w:t>
      </w:r>
    </w:p>
    <w:p w14:paraId="1B5C7FD1" w14:textId="77777777" w:rsidR="000671E9" w:rsidRPr="00FE223C" w:rsidRDefault="000671E9" w:rsidP="00D77EE8">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Rano, S., &amp; Singh, M. (2020). Strategy for the Inspection of Pesticide Residues in Food and Agriculture. In A. M. I. </w:t>
      </w:r>
      <w:proofErr w:type="spellStart"/>
      <w:r w:rsidRPr="005B4090">
        <w:rPr>
          <w:rFonts w:ascii="Arial" w:hAnsi="Arial" w:cs="Arial"/>
          <w:color w:val="000000" w:themeColor="text1"/>
          <w:sz w:val="20"/>
          <w:szCs w:val="20"/>
        </w:rPr>
        <w:t>Inamuddin</w:t>
      </w:r>
      <w:proofErr w:type="spellEnd"/>
      <w:r w:rsidRPr="005B4090">
        <w:rPr>
          <w:rFonts w:ascii="Arial" w:hAnsi="Arial" w:cs="Arial"/>
          <w:color w:val="000000" w:themeColor="text1"/>
          <w:sz w:val="20"/>
          <w:szCs w:val="20"/>
        </w:rPr>
        <w:t xml:space="preserve"> &amp; E. </w:t>
      </w:r>
      <w:proofErr w:type="spellStart"/>
      <w:r w:rsidRPr="005B4090">
        <w:rPr>
          <w:rFonts w:ascii="Arial" w:hAnsi="Arial" w:cs="Arial"/>
          <w:color w:val="000000" w:themeColor="text1"/>
          <w:sz w:val="20"/>
          <w:szCs w:val="20"/>
        </w:rPr>
        <w:t>Lichtfouse</w:t>
      </w:r>
      <w:proofErr w:type="spellEnd"/>
      <w:r w:rsidRPr="005B4090">
        <w:rPr>
          <w:rFonts w:ascii="Arial" w:hAnsi="Arial" w:cs="Arial"/>
          <w:color w:val="000000" w:themeColor="text1"/>
          <w:sz w:val="20"/>
          <w:szCs w:val="20"/>
        </w:rPr>
        <w:t xml:space="preserve"> (Eds.), Sustainable Agriculture Reviews 47 (pp. 309–333). Springer. </w:t>
      </w:r>
      <w:hyperlink r:id="rId37" w:history="1">
        <w:r w:rsidRPr="00FE223C">
          <w:rPr>
            <w:rStyle w:val="Hyperlink"/>
            <w:rFonts w:ascii="Arial" w:hAnsi="Arial" w:cs="Arial"/>
            <w:sz w:val="20"/>
            <w:szCs w:val="20"/>
          </w:rPr>
          <w:t>https://doi.org/10.1007/978-3-030-54712-7_9</w:t>
        </w:r>
      </w:hyperlink>
      <w:r w:rsidRPr="00FE223C">
        <w:rPr>
          <w:rFonts w:ascii="Arial" w:hAnsi="Arial" w:cs="Arial"/>
          <w:color w:val="000000" w:themeColor="text1"/>
          <w:sz w:val="20"/>
          <w:szCs w:val="20"/>
        </w:rPr>
        <w:t xml:space="preserve"> </w:t>
      </w:r>
    </w:p>
    <w:p w14:paraId="74BC6FD0" w14:textId="38DDA21C" w:rsidR="00AA5DB0" w:rsidRPr="00FE223C" w:rsidRDefault="00AA5DB0" w:rsidP="00AA5DB0">
      <w:pPr>
        <w:pStyle w:val="ListParagraph"/>
        <w:numPr>
          <w:ilvl w:val="0"/>
          <w:numId w:val="33"/>
        </w:numPr>
        <w:jc w:val="both"/>
        <w:rPr>
          <w:rFonts w:ascii="Arial" w:hAnsi="Arial" w:cs="Arial"/>
          <w:sz w:val="20"/>
          <w:szCs w:val="20"/>
        </w:rPr>
      </w:pPr>
      <w:r w:rsidRPr="00FE223C">
        <w:rPr>
          <w:rFonts w:ascii="Arial" w:hAnsi="Arial" w:cs="Arial"/>
          <w:sz w:val="20"/>
          <w:szCs w:val="20"/>
        </w:rPr>
        <w:t xml:space="preserve">Sen, S., Israr, M., Singh, S., Singh, M.K., Verma, R.S. and </w:t>
      </w:r>
      <w:proofErr w:type="spellStart"/>
      <w:r w:rsidRPr="00FE223C">
        <w:rPr>
          <w:rFonts w:ascii="Arial" w:hAnsi="Arial" w:cs="Arial"/>
          <w:sz w:val="20"/>
          <w:szCs w:val="20"/>
        </w:rPr>
        <w:t>Bawankule</w:t>
      </w:r>
      <w:proofErr w:type="spellEnd"/>
      <w:r w:rsidRPr="00FE223C">
        <w:rPr>
          <w:rFonts w:ascii="Arial" w:hAnsi="Arial" w:cs="Arial"/>
          <w:sz w:val="20"/>
          <w:szCs w:val="20"/>
        </w:rPr>
        <w:t>, D.U., (2023). Pharmaceutical, cosmeceutical, food additive and agricultural perspectives of Cymbopogon martini: A potential industrial aromatic crop. </w:t>
      </w:r>
      <w:r w:rsidRPr="00FE223C">
        <w:rPr>
          <w:rFonts w:ascii="Arial" w:hAnsi="Arial" w:cs="Arial"/>
          <w:i/>
          <w:iCs/>
          <w:sz w:val="20"/>
          <w:szCs w:val="20"/>
        </w:rPr>
        <w:t>South African Journal of Botany</w:t>
      </w:r>
      <w:r w:rsidRPr="00FE223C">
        <w:rPr>
          <w:rFonts w:ascii="Arial" w:hAnsi="Arial" w:cs="Arial"/>
          <w:sz w:val="20"/>
          <w:szCs w:val="20"/>
        </w:rPr>
        <w:t>, </w:t>
      </w:r>
      <w:r w:rsidRPr="00FE223C">
        <w:rPr>
          <w:rFonts w:ascii="Arial" w:hAnsi="Arial" w:cs="Arial"/>
          <w:i/>
          <w:iCs/>
          <w:sz w:val="20"/>
          <w:szCs w:val="20"/>
        </w:rPr>
        <w:t>158</w:t>
      </w:r>
      <w:r w:rsidRPr="00FE223C">
        <w:rPr>
          <w:rFonts w:ascii="Arial" w:hAnsi="Arial" w:cs="Arial"/>
          <w:sz w:val="20"/>
          <w:szCs w:val="20"/>
        </w:rPr>
        <w:t xml:space="preserve">, 277-291. </w:t>
      </w:r>
      <w:hyperlink r:id="rId38" w:history="1">
        <w:r w:rsidRPr="00FE223C">
          <w:rPr>
            <w:rStyle w:val="Hyperlink"/>
            <w:rFonts w:ascii="Arial" w:hAnsi="Arial" w:cs="Arial"/>
            <w:sz w:val="20"/>
            <w:szCs w:val="20"/>
          </w:rPr>
          <w:t>https://doi.org/10.1016/j.sajb.2023.05.007</w:t>
        </w:r>
      </w:hyperlink>
      <w:r w:rsidRPr="00FE223C">
        <w:rPr>
          <w:rFonts w:ascii="Arial" w:hAnsi="Arial" w:cs="Arial"/>
          <w:sz w:val="20"/>
          <w:szCs w:val="20"/>
        </w:rPr>
        <w:t xml:space="preserve"> </w:t>
      </w:r>
    </w:p>
    <w:p w14:paraId="7A41D09C" w14:textId="77777777" w:rsidR="000671E9" w:rsidRPr="005B4090" w:rsidRDefault="000671E9" w:rsidP="00D77EE8">
      <w:pPr>
        <w:pStyle w:val="ListParagraph"/>
        <w:numPr>
          <w:ilvl w:val="0"/>
          <w:numId w:val="33"/>
        </w:numPr>
        <w:spacing w:before="240"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Stehle, S., &amp; Schulz, R. (2015). Agricultural insecticides threaten surface waters at the global scale. P. Natl. Acad. Sci., 112(18), 5750–5755. </w:t>
      </w:r>
      <w:hyperlink r:id="rId39" w:history="1">
        <w:r w:rsidRPr="005B4090">
          <w:rPr>
            <w:rStyle w:val="Hyperlink"/>
            <w:rFonts w:ascii="Arial" w:hAnsi="Arial" w:cs="Arial"/>
            <w:sz w:val="20"/>
            <w:szCs w:val="20"/>
          </w:rPr>
          <w:t>https://doi.org/10.1073/pnas.1500232112</w:t>
        </w:r>
      </w:hyperlink>
      <w:r w:rsidRPr="005B4090">
        <w:rPr>
          <w:rFonts w:ascii="Arial" w:hAnsi="Arial" w:cs="Arial"/>
          <w:color w:val="000000" w:themeColor="text1"/>
          <w:sz w:val="20"/>
          <w:szCs w:val="20"/>
        </w:rPr>
        <w:t xml:space="preserve"> </w:t>
      </w:r>
    </w:p>
    <w:p w14:paraId="2B45C84E" w14:textId="3AFF2A6F" w:rsidR="000671E9" w:rsidRPr="005B4090" w:rsidRDefault="000671E9" w:rsidP="00D77EE8">
      <w:pPr>
        <w:pStyle w:val="ListParagraph"/>
        <w:widowControl w:val="0"/>
        <w:numPr>
          <w:ilvl w:val="0"/>
          <w:numId w:val="33"/>
        </w:numPr>
        <w:spacing w:after="240"/>
        <w:jc w:val="both"/>
        <w:rPr>
          <w:rFonts w:ascii="Arial" w:hAnsi="Arial" w:cs="Arial"/>
          <w:color w:val="000000" w:themeColor="text1"/>
          <w:sz w:val="20"/>
          <w:szCs w:val="20"/>
        </w:rPr>
      </w:pPr>
      <w:bookmarkStart w:id="8" w:name="_Hlk215296068"/>
      <w:r w:rsidRPr="005B4090">
        <w:rPr>
          <w:rFonts w:ascii="Arial" w:hAnsi="Arial" w:cs="Arial"/>
          <w:color w:val="000000" w:themeColor="text1"/>
          <w:sz w:val="20"/>
          <w:szCs w:val="20"/>
        </w:rPr>
        <w:t xml:space="preserve">Talukder, F. A., &amp; Howse, P. E. (1993). Deterrent and insecticidal effects of extracts of </w:t>
      </w:r>
      <w:proofErr w:type="spellStart"/>
      <w:r w:rsidRPr="005B4090">
        <w:rPr>
          <w:rFonts w:ascii="Arial" w:hAnsi="Arial" w:cs="Arial"/>
          <w:color w:val="000000" w:themeColor="text1"/>
          <w:sz w:val="20"/>
          <w:szCs w:val="20"/>
        </w:rPr>
        <w:t>pithraj</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Aphanamixis</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polystachya</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Meliaceae</w:t>
      </w:r>
      <w:proofErr w:type="spellEnd"/>
      <w:r w:rsidRPr="005B4090">
        <w:rPr>
          <w:rFonts w:ascii="Arial" w:hAnsi="Arial" w:cs="Arial"/>
          <w:color w:val="000000" w:themeColor="text1"/>
          <w:sz w:val="20"/>
          <w:szCs w:val="20"/>
        </w:rPr>
        <w:t xml:space="preserve">), against </w:t>
      </w:r>
      <w:proofErr w:type="spellStart"/>
      <w:r w:rsidRPr="005B4090">
        <w:rPr>
          <w:rFonts w:ascii="Arial" w:hAnsi="Arial" w:cs="Arial"/>
          <w:color w:val="000000" w:themeColor="text1"/>
          <w:sz w:val="20"/>
          <w:szCs w:val="20"/>
        </w:rPr>
        <w:t>Tribolium</w:t>
      </w:r>
      <w:proofErr w:type="spellEnd"/>
      <w:r w:rsidRPr="005B4090">
        <w:rPr>
          <w:rFonts w:ascii="Arial" w:hAnsi="Arial" w:cs="Arial"/>
          <w:color w:val="000000" w:themeColor="text1"/>
          <w:sz w:val="20"/>
          <w:szCs w:val="20"/>
        </w:rPr>
        <w:t xml:space="preserve"> </w:t>
      </w:r>
      <w:proofErr w:type="spellStart"/>
      <w:r w:rsidRPr="005B4090">
        <w:rPr>
          <w:rFonts w:ascii="Arial" w:hAnsi="Arial" w:cs="Arial"/>
          <w:color w:val="000000" w:themeColor="text1"/>
          <w:sz w:val="20"/>
          <w:szCs w:val="20"/>
        </w:rPr>
        <w:t>castaneum</w:t>
      </w:r>
      <w:proofErr w:type="spellEnd"/>
      <w:r w:rsidRPr="005B4090">
        <w:rPr>
          <w:rFonts w:ascii="Arial" w:hAnsi="Arial" w:cs="Arial"/>
          <w:color w:val="000000" w:themeColor="text1"/>
          <w:sz w:val="20"/>
          <w:szCs w:val="20"/>
        </w:rPr>
        <w:t xml:space="preserve"> in storage. Journal of Chemical Ecology, 19(11), 2463–2471. </w:t>
      </w:r>
      <w:hyperlink r:id="rId40" w:history="1">
        <w:r w:rsidRPr="005B4090">
          <w:rPr>
            <w:rStyle w:val="Hyperlink"/>
            <w:rFonts w:ascii="Arial" w:hAnsi="Arial" w:cs="Arial"/>
            <w:sz w:val="20"/>
            <w:szCs w:val="20"/>
          </w:rPr>
          <w:t>https://doi.org/10.1007/BF00980683</w:t>
        </w:r>
      </w:hyperlink>
    </w:p>
    <w:bookmarkEnd w:id="8"/>
    <w:p w14:paraId="0CDC8852" w14:textId="77777777" w:rsidR="000671E9" w:rsidRPr="005B4090" w:rsidRDefault="000671E9" w:rsidP="00EF6AD4">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sz w:val="20"/>
          <w:szCs w:val="20"/>
        </w:rPr>
        <w:t xml:space="preserve">Wong, K. K. Y., Signal, F. A., Campion, S. H., &amp; Motion, R. L. (2005). Citronella as an insect repellent in food packaging. Journal of Agricultural and Food Chemistry, 53(11), 4633-4636. </w:t>
      </w:r>
      <w:hyperlink r:id="rId41" w:history="1">
        <w:r w:rsidRPr="005B4090">
          <w:rPr>
            <w:rStyle w:val="Hyperlink"/>
            <w:rFonts w:ascii="Arial" w:hAnsi="Arial" w:cs="Arial"/>
            <w:sz w:val="20"/>
            <w:szCs w:val="20"/>
          </w:rPr>
          <w:t>https://doi.org/10.1021/jf050096m</w:t>
        </w:r>
      </w:hyperlink>
      <w:r w:rsidRPr="005B4090">
        <w:rPr>
          <w:rFonts w:ascii="Arial" w:hAnsi="Arial" w:cs="Arial"/>
          <w:sz w:val="20"/>
          <w:szCs w:val="20"/>
        </w:rPr>
        <w:t xml:space="preserve"> </w:t>
      </w:r>
    </w:p>
    <w:p w14:paraId="5C13F78E" w14:textId="499FA728" w:rsidR="00EF6AD4" w:rsidRPr="005B4090" w:rsidRDefault="000671E9" w:rsidP="00EF6AD4">
      <w:pPr>
        <w:pStyle w:val="ListParagraph"/>
        <w:numPr>
          <w:ilvl w:val="0"/>
          <w:numId w:val="33"/>
        </w:numPr>
        <w:spacing w:after="240"/>
        <w:jc w:val="both"/>
        <w:rPr>
          <w:rFonts w:ascii="Arial" w:hAnsi="Arial" w:cs="Arial"/>
          <w:color w:val="000000" w:themeColor="text1"/>
          <w:sz w:val="20"/>
          <w:szCs w:val="20"/>
        </w:rPr>
      </w:pPr>
      <w:r w:rsidRPr="005B4090">
        <w:rPr>
          <w:rFonts w:ascii="Arial" w:hAnsi="Arial" w:cs="Arial"/>
          <w:color w:val="000000" w:themeColor="text1"/>
          <w:sz w:val="20"/>
          <w:szCs w:val="20"/>
        </w:rPr>
        <w:t xml:space="preserve">Zhao, M., Lin, Y., &amp; Chen, H. (2020). Improving nutritional quality of rice for human health. Theoretical and Applied Genetics, 133(5), 1397-1413. </w:t>
      </w:r>
      <w:hyperlink r:id="rId42" w:history="1">
        <w:r w:rsidRPr="005B4090">
          <w:rPr>
            <w:rStyle w:val="Hyperlink"/>
            <w:rFonts w:ascii="Arial" w:hAnsi="Arial" w:cs="Arial"/>
            <w:sz w:val="20"/>
            <w:szCs w:val="20"/>
          </w:rPr>
          <w:t>https://doi.org/10.1007/s00122-019-03530-x</w:t>
        </w:r>
      </w:hyperlink>
      <w:r w:rsidRPr="005B4090">
        <w:rPr>
          <w:rFonts w:ascii="Arial" w:hAnsi="Arial" w:cs="Arial"/>
          <w:color w:val="000000" w:themeColor="text1"/>
          <w:sz w:val="20"/>
          <w:szCs w:val="20"/>
        </w:rPr>
        <w:t xml:space="preserve"> </w:t>
      </w:r>
    </w:p>
    <w:p w14:paraId="16B0B266" w14:textId="77777777" w:rsidR="000671E9" w:rsidRPr="00616CB0" w:rsidRDefault="000671E9" w:rsidP="00EF6AD4">
      <w:pPr>
        <w:spacing w:after="240"/>
        <w:rPr>
          <w:color w:val="000000" w:themeColor="text1"/>
        </w:rPr>
      </w:pPr>
    </w:p>
    <w:p w14:paraId="1FC5D360" w14:textId="77777777" w:rsidR="00441B6F" w:rsidRPr="00616CB0" w:rsidRDefault="00441B6F" w:rsidP="00441B6F">
      <w:pPr>
        <w:pStyle w:val="Body"/>
        <w:spacing w:after="0"/>
        <w:jc w:val="left"/>
        <w:rPr>
          <w:color w:val="000000" w:themeColor="text1"/>
        </w:rPr>
      </w:pPr>
    </w:p>
    <w:p w14:paraId="034ABC9B" w14:textId="77777777" w:rsidR="00441B6F" w:rsidRPr="00616CB0" w:rsidRDefault="00441B6F" w:rsidP="00441B6F">
      <w:pPr>
        <w:pStyle w:val="Body"/>
        <w:spacing w:after="0"/>
        <w:jc w:val="left"/>
        <w:rPr>
          <w:rFonts w:ascii="Arial" w:hAnsi="Arial" w:cs="Arial"/>
          <w:color w:val="000000" w:themeColor="text1"/>
        </w:rPr>
      </w:pPr>
    </w:p>
    <w:p w14:paraId="653238A9" w14:textId="77777777" w:rsidR="00B01FCD" w:rsidRPr="00616CB0" w:rsidRDefault="00B01FCD" w:rsidP="00441B6F">
      <w:pPr>
        <w:pStyle w:val="Reference"/>
        <w:numPr>
          <w:ilvl w:val="0"/>
          <w:numId w:val="0"/>
        </w:numPr>
        <w:spacing w:line="240" w:lineRule="auto"/>
        <w:rPr>
          <w:rFonts w:ascii="Arial" w:hAnsi="Arial" w:cs="Arial"/>
          <w:color w:val="000000" w:themeColor="text1"/>
        </w:rPr>
      </w:pPr>
    </w:p>
    <w:p w14:paraId="4439B8B2" w14:textId="77777777" w:rsidR="00790ADA" w:rsidRPr="00616CB0" w:rsidRDefault="00790ADA" w:rsidP="00441B6F">
      <w:pPr>
        <w:pStyle w:val="Body"/>
        <w:spacing w:after="0"/>
        <w:rPr>
          <w:rFonts w:ascii="Arial" w:hAnsi="Arial" w:cs="Arial"/>
          <w:color w:val="000000" w:themeColor="text1"/>
        </w:rPr>
      </w:pPr>
    </w:p>
    <w:p w14:paraId="4AC8E0B6" w14:textId="77777777" w:rsidR="00B01FCD" w:rsidRPr="00616CB0" w:rsidRDefault="00B01FCD" w:rsidP="00441B6F">
      <w:pPr>
        <w:pStyle w:val="Appendix"/>
        <w:spacing w:after="0"/>
        <w:jc w:val="both"/>
        <w:rPr>
          <w:rFonts w:ascii="Arial" w:hAnsi="Arial" w:cs="Arial"/>
          <w:b w:val="0"/>
          <w:color w:val="000000" w:themeColor="text1"/>
        </w:rPr>
      </w:pPr>
    </w:p>
    <w:sectPr w:rsidR="00B01FCD" w:rsidRPr="00616CB0" w:rsidSect="007449FF">
      <w:headerReference w:type="even" r:id="rId43"/>
      <w:headerReference w:type="default" r:id="rId44"/>
      <w:footerReference w:type="default" r:id="rId45"/>
      <w:headerReference w:type="first" r:id="rId4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95A12" w14:textId="77777777" w:rsidR="0060083F" w:rsidRDefault="0060083F" w:rsidP="00C37E61">
      <w:r>
        <w:separator/>
      </w:r>
    </w:p>
  </w:endnote>
  <w:endnote w:type="continuationSeparator" w:id="0">
    <w:p w14:paraId="17D5A193" w14:textId="77777777" w:rsidR="0060083F" w:rsidRDefault="0060083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5565F" w14:textId="77777777" w:rsidR="007449FF" w:rsidRDefault="00744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A5C5" w14:textId="77777777" w:rsidR="007449FF" w:rsidRDefault="00744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F3C88" w14:textId="5A9DF002" w:rsidR="00754C9A" w:rsidRPr="00224A01" w:rsidRDefault="00754C9A" w:rsidP="00224A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C55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3013" w14:textId="77777777" w:rsidR="0060083F" w:rsidRDefault="0060083F" w:rsidP="00C37E61">
      <w:r>
        <w:separator/>
      </w:r>
    </w:p>
  </w:footnote>
  <w:footnote w:type="continuationSeparator" w:id="0">
    <w:p w14:paraId="2EC5E2D4" w14:textId="77777777" w:rsidR="0060083F" w:rsidRDefault="0060083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59DF9" w14:textId="44FE79EB" w:rsidR="007449FF" w:rsidRDefault="0060083F">
    <w:pPr>
      <w:pStyle w:val="Header"/>
    </w:pPr>
    <w:r>
      <w:rPr>
        <w:noProof/>
      </w:rPr>
      <w:pict w14:anchorId="19EA1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8"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1456" w14:textId="6F395219" w:rsidR="007449FF" w:rsidRDefault="0060083F">
    <w:pPr>
      <w:pStyle w:val="Header"/>
    </w:pPr>
    <w:r>
      <w:rPr>
        <w:noProof/>
      </w:rPr>
      <w:pict w14:anchorId="6128A4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9"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3C1B" w14:textId="6D70AB32" w:rsidR="00296529" w:rsidRPr="00296529" w:rsidRDefault="0060083F" w:rsidP="00296529">
    <w:pPr>
      <w:ind w:left="2160"/>
      <w:jc w:val="center"/>
      <w:rPr>
        <w:rFonts w:ascii="Times New Roman" w:eastAsia="Calibri" w:hAnsi="Times New Roman"/>
        <w:i/>
        <w:sz w:val="18"/>
        <w:szCs w:val="22"/>
      </w:rPr>
    </w:pPr>
    <w:r>
      <w:rPr>
        <w:noProof/>
      </w:rPr>
      <w:pict w14:anchorId="2CD7C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37"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24CD71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8E53E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D9467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5AC8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DC998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F9A1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A90C" w14:textId="73FA5EE5" w:rsidR="007449FF" w:rsidRDefault="0060083F">
    <w:pPr>
      <w:pStyle w:val="Header"/>
    </w:pPr>
    <w:r>
      <w:rPr>
        <w:noProof/>
      </w:rPr>
      <w:pict w14:anchorId="4ACB4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1"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121DC" w14:textId="15C76103" w:rsidR="007449FF" w:rsidRDefault="0060083F">
    <w:pPr>
      <w:pStyle w:val="Header"/>
    </w:pPr>
    <w:r>
      <w:rPr>
        <w:noProof/>
      </w:rPr>
      <w:pict w14:anchorId="31C2B5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2"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33FC9" w14:textId="35916B03" w:rsidR="007449FF" w:rsidRDefault="0060083F">
    <w:pPr>
      <w:pStyle w:val="Header"/>
    </w:pPr>
    <w:r>
      <w:rPr>
        <w:noProof/>
      </w:rPr>
      <w:pict w14:anchorId="63906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945440"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6A783B"/>
    <w:multiLevelType w:val="multilevel"/>
    <w:tmpl w:val="90C0C3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3949B4"/>
    <w:multiLevelType w:val="multilevel"/>
    <w:tmpl w:val="76C8323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2B0433"/>
    <w:multiLevelType w:val="hybridMultilevel"/>
    <w:tmpl w:val="85745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1"/>
  </w:num>
  <w:num w:numId="20">
    <w:abstractNumId w:val="12"/>
  </w:num>
  <w:num w:numId="21">
    <w:abstractNumId w:val="10"/>
  </w:num>
  <w:num w:numId="22">
    <w:abstractNumId w:val="14"/>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16"/>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6DA"/>
    <w:rsid w:val="00016B12"/>
    <w:rsid w:val="00030174"/>
    <w:rsid w:val="0004579C"/>
    <w:rsid w:val="000464F3"/>
    <w:rsid w:val="00055756"/>
    <w:rsid w:val="000671E9"/>
    <w:rsid w:val="00073E8B"/>
    <w:rsid w:val="0007736E"/>
    <w:rsid w:val="000824C9"/>
    <w:rsid w:val="00086D1B"/>
    <w:rsid w:val="000A05BF"/>
    <w:rsid w:val="000A47FA"/>
    <w:rsid w:val="000A65D3"/>
    <w:rsid w:val="000B1E33"/>
    <w:rsid w:val="000D689F"/>
    <w:rsid w:val="000E1E8F"/>
    <w:rsid w:val="000E7B7B"/>
    <w:rsid w:val="000E7D62"/>
    <w:rsid w:val="000F17D3"/>
    <w:rsid w:val="000F4C0F"/>
    <w:rsid w:val="00103357"/>
    <w:rsid w:val="001212E4"/>
    <w:rsid w:val="00123C9F"/>
    <w:rsid w:val="00126190"/>
    <w:rsid w:val="00126400"/>
    <w:rsid w:val="00126838"/>
    <w:rsid w:val="00130F17"/>
    <w:rsid w:val="001320BF"/>
    <w:rsid w:val="00142783"/>
    <w:rsid w:val="00163BC4"/>
    <w:rsid w:val="00176B97"/>
    <w:rsid w:val="00191062"/>
    <w:rsid w:val="00192B72"/>
    <w:rsid w:val="001A29D8"/>
    <w:rsid w:val="001A5CAA"/>
    <w:rsid w:val="001B0427"/>
    <w:rsid w:val="001B27A5"/>
    <w:rsid w:val="001D3A51"/>
    <w:rsid w:val="001D3A78"/>
    <w:rsid w:val="001E10D2"/>
    <w:rsid w:val="001E25B4"/>
    <w:rsid w:val="001E44FE"/>
    <w:rsid w:val="00200595"/>
    <w:rsid w:val="0020404F"/>
    <w:rsid w:val="00204835"/>
    <w:rsid w:val="00205628"/>
    <w:rsid w:val="00222F92"/>
    <w:rsid w:val="00224A01"/>
    <w:rsid w:val="00231920"/>
    <w:rsid w:val="0023195C"/>
    <w:rsid w:val="002342A9"/>
    <w:rsid w:val="0024282C"/>
    <w:rsid w:val="002460DC"/>
    <w:rsid w:val="00250985"/>
    <w:rsid w:val="002556F6"/>
    <w:rsid w:val="00255D30"/>
    <w:rsid w:val="0026548D"/>
    <w:rsid w:val="00283105"/>
    <w:rsid w:val="00284C4C"/>
    <w:rsid w:val="00287E68"/>
    <w:rsid w:val="00296529"/>
    <w:rsid w:val="002A0009"/>
    <w:rsid w:val="002B27FB"/>
    <w:rsid w:val="002B685A"/>
    <w:rsid w:val="002C12E4"/>
    <w:rsid w:val="002C20E5"/>
    <w:rsid w:val="002C57D2"/>
    <w:rsid w:val="002C5D95"/>
    <w:rsid w:val="002E0D56"/>
    <w:rsid w:val="002E2BEA"/>
    <w:rsid w:val="002F6B87"/>
    <w:rsid w:val="00315186"/>
    <w:rsid w:val="0033343E"/>
    <w:rsid w:val="00351193"/>
    <w:rsid w:val="003512C2"/>
    <w:rsid w:val="00371FB6"/>
    <w:rsid w:val="003763C1"/>
    <w:rsid w:val="00376BBE"/>
    <w:rsid w:val="003846BB"/>
    <w:rsid w:val="003909D6"/>
    <w:rsid w:val="0039224F"/>
    <w:rsid w:val="003A43A4"/>
    <w:rsid w:val="003A7E18"/>
    <w:rsid w:val="003C32BB"/>
    <w:rsid w:val="003C4C86"/>
    <w:rsid w:val="003C6258"/>
    <w:rsid w:val="003E2904"/>
    <w:rsid w:val="003E687B"/>
    <w:rsid w:val="003F712B"/>
    <w:rsid w:val="003F77C9"/>
    <w:rsid w:val="00401927"/>
    <w:rsid w:val="0040426F"/>
    <w:rsid w:val="0041027F"/>
    <w:rsid w:val="00412475"/>
    <w:rsid w:val="004213AD"/>
    <w:rsid w:val="00423789"/>
    <w:rsid w:val="00425202"/>
    <w:rsid w:val="00440F43"/>
    <w:rsid w:val="00441B6F"/>
    <w:rsid w:val="00446221"/>
    <w:rsid w:val="00446702"/>
    <w:rsid w:val="00450E62"/>
    <w:rsid w:val="004539DB"/>
    <w:rsid w:val="004627ED"/>
    <w:rsid w:val="00471A80"/>
    <w:rsid w:val="004721EF"/>
    <w:rsid w:val="00496E3C"/>
    <w:rsid w:val="004975B5"/>
    <w:rsid w:val="004A1FA1"/>
    <w:rsid w:val="004B1904"/>
    <w:rsid w:val="004C052F"/>
    <w:rsid w:val="004D305E"/>
    <w:rsid w:val="004D4277"/>
    <w:rsid w:val="004D7F58"/>
    <w:rsid w:val="004E60B9"/>
    <w:rsid w:val="00502516"/>
    <w:rsid w:val="00505F06"/>
    <w:rsid w:val="00506828"/>
    <w:rsid w:val="00510BA4"/>
    <w:rsid w:val="005112C2"/>
    <w:rsid w:val="00520EE8"/>
    <w:rsid w:val="00525D27"/>
    <w:rsid w:val="0053056E"/>
    <w:rsid w:val="00535A6E"/>
    <w:rsid w:val="00554FDA"/>
    <w:rsid w:val="00564BDA"/>
    <w:rsid w:val="00580CA3"/>
    <w:rsid w:val="00585812"/>
    <w:rsid w:val="005A29A4"/>
    <w:rsid w:val="005B30E3"/>
    <w:rsid w:val="005B4090"/>
    <w:rsid w:val="005B6F71"/>
    <w:rsid w:val="005C784C"/>
    <w:rsid w:val="005D17F6"/>
    <w:rsid w:val="005E5329"/>
    <w:rsid w:val="005E5539"/>
    <w:rsid w:val="0060083F"/>
    <w:rsid w:val="00602BF5"/>
    <w:rsid w:val="006061A6"/>
    <w:rsid w:val="00616CB0"/>
    <w:rsid w:val="00617FDD"/>
    <w:rsid w:val="00622315"/>
    <w:rsid w:val="0063019D"/>
    <w:rsid w:val="00633614"/>
    <w:rsid w:val="00633F68"/>
    <w:rsid w:val="00636EB2"/>
    <w:rsid w:val="006375B8"/>
    <w:rsid w:val="00651399"/>
    <w:rsid w:val="0066205B"/>
    <w:rsid w:val="00662FE7"/>
    <w:rsid w:val="00663620"/>
    <w:rsid w:val="0066510A"/>
    <w:rsid w:val="006659B9"/>
    <w:rsid w:val="00665B3A"/>
    <w:rsid w:val="00673F9F"/>
    <w:rsid w:val="006768F5"/>
    <w:rsid w:val="00686953"/>
    <w:rsid w:val="00687DEA"/>
    <w:rsid w:val="00687E67"/>
    <w:rsid w:val="00695402"/>
    <w:rsid w:val="006967F7"/>
    <w:rsid w:val="006A250C"/>
    <w:rsid w:val="006B21D3"/>
    <w:rsid w:val="006B57D0"/>
    <w:rsid w:val="006D30FF"/>
    <w:rsid w:val="006D427D"/>
    <w:rsid w:val="006D62B9"/>
    <w:rsid w:val="006D6940"/>
    <w:rsid w:val="006E57EC"/>
    <w:rsid w:val="006F11EC"/>
    <w:rsid w:val="0070082C"/>
    <w:rsid w:val="00716641"/>
    <w:rsid w:val="00716BA0"/>
    <w:rsid w:val="00733217"/>
    <w:rsid w:val="007369E6"/>
    <w:rsid w:val="007449FF"/>
    <w:rsid w:val="00746E59"/>
    <w:rsid w:val="00754C9A"/>
    <w:rsid w:val="0075599A"/>
    <w:rsid w:val="00761D52"/>
    <w:rsid w:val="007729DF"/>
    <w:rsid w:val="0077749E"/>
    <w:rsid w:val="00782D7D"/>
    <w:rsid w:val="00790ADA"/>
    <w:rsid w:val="007D2288"/>
    <w:rsid w:val="007D564B"/>
    <w:rsid w:val="007E088F"/>
    <w:rsid w:val="007F7B32"/>
    <w:rsid w:val="008013FF"/>
    <w:rsid w:val="00804BC2"/>
    <w:rsid w:val="0081431A"/>
    <w:rsid w:val="008229D6"/>
    <w:rsid w:val="00825BDB"/>
    <w:rsid w:val="0083216F"/>
    <w:rsid w:val="008444C6"/>
    <w:rsid w:val="00860000"/>
    <w:rsid w:val="00863BD3"/>
    <w:rsid w:val="008641ED"/>
    <w:rsid w:val="00866D66"/>
    <w:rsid w:val="008671C6"/>
    <w:rsid w:val="00871E87"/>
    <w:rsid w:val="00875803"/>
    <w:rsid w:val="00876574"/>
    <w:rsid w:val="00893C56"/>
    <w:rsid w:val="008A2496"/>
    <w:rsid w:val="008B33E7"/>
    <w:rsid w:val="008B459E"/>
    <w:rsid w:val="008C1FE5"/>
    <w:rsid w:val="008D129F"/>
    <w:rsid w:val="008D37BD"/>
    <w:rsid w:val="008D696E"/>
    <w:rsid w:val="008E13AE"/>
    <w:rsid w:val="008E1506"/>
    <w:rsid w:val="008E710C"/>
    <w:rsid w:val="008F69D6"/>
    <w:rsid w:val="00902823"/>
    <w:rsid w:val="0090380C"/>
    <w:rsid w:val="00904624"/>
    <w:rsid w:val="00915CA6"/>
    <w:rsid w:val="00927834"/>
    <w:rsid w:val="00947883"/>
    <w:rsid w:val="009500A6"/>
    <w:rsid w:val="00957B0B"/>
    <w:rsid w:val="00957C18"/>
    <w:rsid w:val="009659BA"/>
    <w:rsid w:val="00983040"/>
    <w:rsid w:val="009833D3"/>
    <w:rsid w:val="00985405"/>
    <w:rsid w:val="009976A7"/>
    <w:rsid w:val="009A7C11"/>
    <w:rsid w:val="009B19C3"/>
    <w:rsid w:val="009B3FB9"/>
    <w:rsid w:val="009C2465"/>
    <w:rsid w:val="009C5633"/>
    <w:rsid w:val="009D35A0"/>
    <w:rsid w:val="009D7EB7"/>
    <w:rsid w:val="009E048A"/>
    <w:rsid w:val="009E08E9"/>
    <w:rsid w:val="009E3DB9"/>
    <w:rsid w:val="009E5594"/>
    <w:rsid w:val="009E6E35"/>
    <w:rsid w:val="009F0EDA"/>
    <w:rsid w:val="00A03B96"/>
    <w:rsid w:val="00A05B19"/>
    <w:rsid w:val="00A1134E"/>
    <w:rsid w:val="00A14F83"/>
    <w:rsid w:val="00A24E7E"/>
    <w:rsid w:val="00A258C3"/>
    <w:rsid w:val="00A26A39"/>
    <w:rsid w:val="00A347C0"/>
    <w:rsid w:val="00A34ED2"/>
    <w:rsid w:val="00A43D77"/>
    <w:rsid w:val="00A51431"/>
    <w:rsid w:val="00A539AD"/>
    <w:rsid w:val="00A64674"/>
    <w:rsid w:val="00A66490"/>
    <w:rsid w:val="00A728D3"/>
    <w:rsid w:val="00A779F1"/>
    <w:rsid w:val="00A94063"/>
    <w:rsid w:val="00AA5DB0"/>
    <w:rsid w:val="00AA6219"/>
    <w:rsid w:val="00AA74E0"/>
    <w:rsid w:val="00AB703F"/>
    <w:rsid w:val="00AC4BA8"/>
    <w:rsid w:val="00AC4EA0"/>
    <w:rsid w:val="00AC6BB8"/>
    <w:rsid w:val="00AE008F"/>
    <w:rsid w:val="00B01FCD"/>
    <w:rsid w:val="00B1776C"/>
    <w:rsid w:val="00B216AB"/>
    <w:rsid w:val="00B23A3D"/>
    <w:rsid w:val="00B26A2F"/>
    <w:rsid w:val="00B52583"/>
    <w:rsid w:val="00B52896"/>
    <w:rsid w:val="00B83316"/>
    <w:rsid w:val="00B91108"/>
    <w:rsid w:val="00B923C5"/>
    <w:rsid w:val="00B92C36"/>
    <w:rsid w:val="00B95236"/>
    <w:rsid w:val="00B96BD9"/>
    <w:rsid w:val="00BA1B01"/>
    <w:rsid w:val="00BA2641"/>
    <w:rsid w:val="00BA54FD"/>
    <w:rsid w:val="00BB37AA"/>
    <w:rsid w:val="00BB4964"/>
    <w:rsid w:val="00BC06DA"/>
    <w:rsid w:val="00BC53A0"/>
    <w:rsid w:val="00BC624D"/>
    <w:rsid w:val="00BD25B8"/>
    <w:rsid w:val="00BE62AD"/>
    <w:rsid w:val="00BF121F"/>
    <w:rsid w:val="00BF1F80"/>
    <w:rsid w:val="00C0231F"/>
    <w:rsid w:val="00C166EF"/>
    <w:rsid w:val="00C17EB0"/>
    <w:rsid w:val="00C219FD"/>
    <w:rsid w:val="00C27F5F"/>
    <w:rsid w:val="00C30A0F"/>
    <w:rsid w:val="00C37E61"/>
    <w:rsid w:val="00C70F1B"/>
    <w:rsid w:val="00C71A47"/>
    <w:rsid w:val="00C7464C"/>
    <w:rsid w:val="00C84785"/>
    <w:rsid w:val="00C85588"/>
    <w:rsid w:val="00C955BF"/>
    <w:rsid w:val="00CD17EF"/>
    <w:rsid w:val="00CD6755"/>
    <w:rsid w:val="00CD6856"/>
    <w:rsid w:val="00CE0089"/>
    <w:rsid w:val="00CE54B1"/>
    <w:rsid w:val="00CE5F2F"/>
    <w:rsid w:val="00CE793C"/>
    <w:rsid w:val="00CF193C"/>
    <w:rsid w:val="00CF2062"/>
    <w:rsid w:val="00D106DA"/>
    <w:rsid w:val="00D13DB0"/>
    <w:rsid w:val="00D173F1"/>
    <w:rsid w:val="00D30CF4"/>
    <w:rsid w:val="00D442D7"/>
    <w:rsid w:val="00D74CB0"/>
    <w:rsid w:val="00D77EE8"/>
    <w:rsid w:val="00D8295D"/>
    <w:rsid w:val="00D85092"/>
    <w:rsid w:val="00D90D41"/>
    <w:rsid w:val="00DA6FB7"/>
    <w:rsid w:val="00DC1D6E"/>
    <w:rsid w:val="00DC2A65"/>
    <w:rsid w:val="00DC5BA2"/>
    <w:rsid w:val="00DD32CE"/>
    <w:rsid w:val="00DD7964"/>
    <w:rsid w:val="00DE12B5"/>
    <w:rsid w:val="00DE15F0"/>
    <w:rsid w:val="00DE5663"/>
    <w:rsid w:val="00DE6FE1"/>
    <w:rsid w:val="00DE78AA"/>
    <w:rsid w:val="00DF2798"/>
    <w:rsid w:val="00DF7B48"/>
    <w:rsid w:val="00E018E7"/>
    <w:rsid w:val="00E053D0"/>
    <w:rsid w:val="00E15994"/>
    <w:rsid w:val="00E3114E"/>
    <w:rsid w:val="00E31A70"/>
    <w:rsid w:val="00E35B02"/>
    <w:rsid w:val="00E44458"/>
    <w:rsid w:val="00E52D8B"/>
    <w:rsid w:val="00E63C57"/>
    <w:rsid w:val="00E66496"/>
    <w:rsid w:val="00E66B35"/>
    <w:rsid w:val="00E66E10"/>
    <w:rsid w:val="00E74B9E"/>
    <w:rsid w:val="00E769F6"/>
    <w:rsid w:val="00E8407C"/>
    <w:rsid w:val="00E848E0"/>
    <w:rsid w:val="00E84F3C"/>
    <w:rsid w:val="00EA012C"/>
    <w:rsid w:val="00EA294D"/>
    <w:rsid w:val="00EA29A2"/>
    <w:rsid w:val="00EC6A55"/>
    <w:rsid w:val="00ED0288"/>
    <w:rsid w:val="00ED3AEB"/>
    <w:rsid w:val="00EE0EFD"/>
    <w:rsid w:val="00EE52CB"/>
    <w:rsid w:val="00EF2EF1"/>
    <w:rsid w:val="00EF581D"/>
    <w:rsid w:val="00EF6AD4"/>
    <w:rsid w:val="00EF7FD8"/>
    <w:rsid w:val="00F06F59"/>
    <w:rsid w:val="00F17988"/>
    <w:rsid w:val="00F469F0"/>
    <w:rsid w:val="00F47587"/>
    <w:rsid w:val="00F53273"/>
    <w:rsid w:val="00F755E4"/>
    <w:rsid w:val="00F77D02"/>
    <w:rsid w:val="00FB3A86"/>
    <w:rsid w:val="00FC1A21"/>
    <w:rsid w:val="00FC4D13"/>
    <w:rsid w:val="00FD36C8"/>
    <w:rsid w:val="00FE1731"/>
    <w:rsid w:val="00FE223C"/>
    <w:rsid w:val="00FF43E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EEF33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1212E4"/>
    <w:pPr>
      <w:spacing w:after="160" w:line="278" w:lineRule="auto"/>
      <w:ind w:left="720"/>
      <w:contextualSpacing/>
    </w:pPr>
    <w:rPr>
      <w:rFonts w:asciiTheme="minorHAnsi" w:eastAsiaTheme="minorHAnsi" w:hAnsiTheme="minorHAnsi" w:cstheme="minorBidi"/>
      <w:kern w:val="2"/>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21/np300024u" TargetMode="External"/><Relationship Id="rId26" Type="http://schemas.openxmlformats.org/officeDocument/2006/relationships/hyperlink" Target="https://doi.org/10.26418/jpmipa.v15i3.80589" TargetMode="External"/><Relationship Id="rId39" Type="http://schemas.openxmlformats.org/officeDocument/2006/relationships/hyperlink" Target="https://doi.org/10.1073/pnas.1500232112" TargetMode="External"/><Relationship Id="rId21" Type="http://schemas.openxmlformats.org/officeDocument/2006/relationships/hyperlink" Target="https://www.ncbi.nlm.nih.gov/nlmcatalog/1277125" TargetMode="External"/><Relationship Id="rId34" Type="http://schemas.openxmlformats.org/officeDocument/2006/relationships/hyperlink" Target="https://doi.org/10.1038/s41598-024-80329-x" TargetMode="External"/><Relationship Id="rId42" Type="http://schemas.openxmlformats.org/officeDocument/2006/relationships/hyperlink" Target="https://doi.org/10.1007/s00122-019-03530-x"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42690-020-00348-9" TargetMode="External"/><Relationship Id="rId29" Type="http://schemas.openxmlformats.org/officeDocument/2006/relationships/hyperlink" Target="http://www.entomoljournal.com/archives/2017/vol5issue2/5-2-10-1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insects10040096" TargetMode="External"/><Relationship Id="rId32" Type="http://schemas.openxmlformats.org/officeDocument/2006/relationships/hyperlink" Target="https://doi.org/10.1007/s42690-020-00235-3" TargetMode="External"/><Relationship Id="rId37" Type="http://schemas.openxmlformats.org/officeDocument/2006/relationships/hyperlink" Target="https://doi.org/10.1007/978-3-030-54712-7_9" TargetMode="External"/><Relationship Id="rId40" Type="http://schemas.openxmlformats.org/officeDocument/2006/relationships/hyperlink" Target="https://doi.org/10.1007/BF00980683" TargetMode="External"/><Relationship Id="rId45"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www.fao.org/publications/fofa/en/" TargetMode="External"/><Relationship Id="rId28" Type="http://schemas.openxmlformats.org/officeDocument/2006/relationships/hyperlink" Target="https://doi.org/10.1039/b508966m" TargetMode="External"/><Relationship Id="rId36" Type="http://schemas.openxmlformats.org/officeDocument/2006/relationships/hyperlink" Target="https://doi.org/10.3390/insects11060379" TargetMode="External"/><Relationship Id="rId10" Type="http://schemas.openxmlformats.org/officeDocument/2006/relationships/footer" Target="footer1.xml"/><Relationship Id="rId19" Type="http://schemas.openxmlformats.org/officeDocument/2006/relationships/hyperlink" Target="https://doi.org/10.1007/s11356-014-3277-x" TargetMode="External"/><Relationship Id="rId31" Type="http://schemas.openxmlformats.org/officeDocument/2006/relationships/hyperlink" Target="https://doi.org/10.1002/ps.274" TargetMode="External"/><Relationship Id="rId44"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www.fao.org/policy-support" TargetMode="External"/><Relationship Id="rId27" Type="http://schemas.openxmlformats.org/officeDocument/2006/relationships/hyperlink" Target="https://doi.org/10.1146/annurev.ento.51.110104.151146" TargetMode="External"/><Relationship Id="rId30" Type="http://schemas.openxmlformats.org/officeDocument/2006/relationships/hyperlink" Target="https://doi.org/10.1016/j.bcab.2024.103395" TargetMode="External"/><Relationship Id="rId35" Type="http://schemas.openxmlformats.org/officeDocument/2006/relationships/hyperlink" Target="https://doi.org/10.13140/RG.2.2.24735.71845" TargetMode="Externa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155/2018/6906105" TargetMode="External"/><Relationship Id="rId25" Type="http://schemas.openxmlformats.org/officeDocument/2006/relationships/hyperlink" Target="https://scholar.google.com/scholar_lookup?title=Repellent+Activity+of+Cymbopogon+citratus+Essential+Oil+Against+Four+Major+Stored+Product+Pests:+Plodia+interpunctella,+Sitophilus+oryzae,+Acanthoscelides+obtectus+and+Tribolium+castaneum&amp;author=Gvozdenac,+S.&amp;author=Kiprovski,+B.&amp;author=A%C4%87imovi%C4%87,+M.&amp;author=Jeremi%C4%87,+J.S.&amp;author=Cvetkovi%C4%87,+M.&amp;author=Bursi%C4%87,+V.&amp;author=Ovuka,+J.&amp;publication_year=2021&amp;journal=Contemp.+Agric.&amp;volume=70&amp;pages=140%E2%80%93148&amp;doi=10.2478/contagri-2021-0020" TargetMode="External"/><Relationship Id="rId33" Type="http://schemas.openxmlformats.org/officeDocument/2006/relationships/hyperlink" Target="https://doi.org/10.22004/ag.econ.312345" TargetMode="External"/><Relationship Id="rId38" Type="http://schemas.openxmlformats.org/officeDocument/2006/relationships/hyperlink" Target="https://doi.org/10.1016/j.sajb.2023.05.007" TargetMode="External"/><Relationship Id="rId46" Type="http://schemas.openxmlformats.org/officeDocument/2006/relationships/header" Target="header6.xml"/><Relationship Id="rId20" Type="http://schemas.openxmlformats.org/officeDocument/2006/relationships/hyperlink" Target="https://doi.org/10.1007/s42690-020-00102-1" TargetMode="External"/><Relationship Id="rId41" Type="http://schemas.openxmlformats.org/officeDocument/2006/relationships/hyperlink" Target="https://doi.org/10.1021/jf050096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Sheet4!$C$5</c:f>
              <c:strCache>
                <c:ptCount val="1"/>
                <c:pt idx="0">
                  <c:v>12 hr</c:v>
                </c:pt>
              </c:strCache>
            </c:strRef>
          </c:tx>
          <c:spPr>
            <a:solidFill>
              <a:schemeClr val="accent2"/>
            </a:solidFill>
            <a:ln>
              <a:noFill/>
            </a:ln>
            <a:effectLst/>
          </c:spPr>
          <c:invertIfNegative val="0"/>
          <c:errBars>
            <c:errBarType val="both"/>
            <c:errValType val="cust"/>
            <c:noEndCap val="0"/>
            <c:plus>
              <c:numRef>
                <c:f>Sheet4!$C$13:$C$17</c:f>
                <c:numCache>
                  <c:formatCode>General</c:formatCode>
                  <c:ptCount val="5"/>
                  <c:pt idx="0">
                    <c:v>0</c:v>
                  </c:pt>
                  <c:pt idx="1">
                    <c:v>9.574271077563381</c:v>
                  </c:pt>
                  <c:pt idx="2">
                    <c:v>11.814539065631521</c:v>
                  </c:pt>
                  <c:pt idx="3">
                    <c:v>4.0824829046386304</c:v>
                  </c:pt>
                  <c:pt idx="4">
                    <c:v>2.8867513459481291</c:v>
                  </c:pt>
                </c:numCache>
              </c:numRef>
            </c:plus>
            <c:minus>
              <c:numRef>
                <c:f>Sheet4!$C$13:$C$17</c:f>
                <c:numCache>
                  <c:formatCode>General</c:formatCode>
                  <c:ptCount val="5"/>
                  <c:pt idx="0">
                    <c:v>0</c:v>
                  </c:pt>
                  <c:pt idx="1">
                    <c:v>9.574271077563381</c:v>
                  </c:pt>
                  <c:pt idx="2">
                    <c:v>11.814539065631521</c:v>
                  </c:pt>
                  <c:pt idx="3">
                    <c:v>4.0824829046386304</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Sheet4!$C$6:$C$10</c:f>
              <c:numCache>
                <c:formatCode>General</c:formatCode>
                <c:ptCount val="5"/>
                <c:pt idx="0">
                  <c:v>20</c:v>
                </c:pt>
                <c:pt idx="1">
                  <c:v>37.5</c:v>
                </c:pt>
                <c:pt idx="2">
                  <c:v>56.25</c:v>
                </c:pt>
                <c:pt idx="3">
                  <c:v>70</c:v>
                </c:pt>
                <c:pt idx="4">
                  <c:v>77.5</c:v>
                </c:pt>
              </c:numCache>
            </c:numRef>
          </c:val>
          <c:extLst>
            <c:ext xmlns:c16="http://schemas.microsoft.com/office/drawing/2014/chart" uri="{C3380CC4-5D6E-409C-BE32-E72D297353CC}">
              <c16:uniqueId val="{00000000-49D0-471C-A907-0861FC3F6AF5}"/>
            </c:ext>
          </c:extLst>
        </c:ser>
        <c:ser>
          <c:idx val="1"/>
          <c:order val="1"/>
          <c:tx>
            <c:strRef>
              <c:f>Sheet4!$D$5</c:f>
              <c:strCache>
                <c:ptCount val="1"/>
                <c:pt idx="0">
                  <c:v>24 hr</c:v>
                </c:pt>
              </c:strCache>
            </c:strRef>
          </c:tx>
          <c:spPr>
            <a:solidFill>
              <a:schemeClr val="accent4"/>
            </a:solidFill>
            <a:ln>
              <a:noFill/>
            </a:ln>
            <a:effectLst/>
          </c:spPr>
          <c:invertIfNegative val="0"/>
          <c:errBars>
            <c:errBarType val="both"/>
            <c:errValType val="cust"/>
            <c:noEndCap val="0"/>
            <c:plus>
              <c:numRef>
                <c:f>Sheet4!$D$13:$D$17</c:f>
                <c:numCache>
                  <c:formatCode>General</c:formatCode>
                  <c:ptCount val="5"/>
                  <c:pt idx="0">
                    <c:v>14.719601443879744</c:v>
                  </c:pt>
                  <c:pt idx="1">
                    <c:v>6.4549722436790278</c:v>
                  </c:pt>
                  <c:pt idx="2">
                    <c:v>2.8867513459481291</c:v>
                  </c:pt>
                  <c:pt idx="3">
                    <c:v>2.5</c:v>
                  </c:pt>
                  <c:pt idx="4">
                    <c:v>2.8867513459481291</c:v>
                  </c:pt>
                </c:numCache>
              </c:numRef>
            </c:plus>
            <c:minus>
              <c:numRef>
                <c:f>Sheet4!$D$13:$D$17</c:f>
                <c:numCache>
                  <c:formatCode>General</c:formatCode>
                  <c:ptCount val="5"/>
                  <c:pt idx="0">
                    <c:v>14.719601443879744</c:v>
                  </c:pt>
                  <c:pt idx="1">
                    <c:v>6.4549722436790278</c:v>
                  </c:pt>
                  <c:pt idx="2">
                    <c:v>2.8867513459481291</c:v>
                  </c:pt>
                  <c:pt idx="3">
                    <c:v>2.5</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Sheet4!$D$6:$D$10</c:f>
              <c:numCache>
                <c:formatCode>General</c:formatCode>
                <c:ptCount val="5"/>
                <c:pt idx="0">
                  <c:v>40</c:v>
                </c:pt>
                <c:pt idx="1">
                  <c:v>67.5</c:v>
                </c:pt>
                <c:pt idx="2">
                  <c:v>82.5</c:v>
                </c:pt>
                <c:pt idx="3">
                  <c:v>83.75</c:v>
                </c:pt>
                <c:pt idx="4">
                  <c:v>92.5</c:v>
                </c:pt>
              </c:numCache>
            </c:numRef>
          </c:val>
          <c:extLst>
            <c:ext xmlns:c16="http://schemas.microsoft.com/office/drawing/2014/chart" uri="{C3380CC4-5D6E-409C-BE32-E72D297353CC}">
              <c16:uniqueId val="{00000001-49D0-471C-A907-0861FC3F6AF5}"/>
            </c:ext>
          </c:extLst>
        </c:ser>
        <c:ser>
          <c:idx val="2"/>
          <c:order val="2"/>
          <c:tx>
            <c:strRef>
              <c:f>Sheet4!$E$5</c:f>
              <c:strCache>
                <c:ptCount val="1"/>
                <c:pt idx="0">
                  <c:v>48 hr</c:v>
                </c:pt>
              </c:strCache>
            </c:strRef>
          </c:tx>
          <c:spPr>
            <a:solidFill>
              <a:schemeClr val="accent6"/>
            </a:solidFill>
            <a:ln>
              <a:noFill/>
            </a:ln>
            <a:effectLst/>
          </c:spPr>
          <c:invertIfNegative val="0"/>
          <c:errBars>
            <c:errBarType val="both"/>
            <c:errValType val="cust"/>
            <c:noEndCap val="0"/>
            <c:plus>
              <c:numRef>
                <c:f>Sheet4!$E$13:$E$17</c:f>
                <c:numCache>
                  <c:formatCode>General</c:formatCode>
                  <c:ptCount val="5"/>
                  <c:pt idx="0">
                    <c:v>9.574271077563381</c:v>
                  </c:pt>
                  <c:pt idx="1">
                    <c:v>4.7871355387816905</c:v>
                  </c:pt>
                  <c:pt idx="2">
                    <c:v>2.5</c:v>
                  </c:pt>
                  <c:pt idx="3">
                    <c:v>2.8867513459481291</c:v>
                  </c:pt>
                  <c:pt idx="4">
                    <c:v>0</c:v>
                  </c:pt>
                </c:numCache>
              </c:numRef>
            </c:plus>
            <c:minus>
              <c:numRef>
                <c:f>Sheet4!$E$13:$E$17</c:f>
                <c:numCache>
                  <c:formatCode>General</c:formatCode>
                  <c:ptCount val="5"/>
                  <c:pt idx="0">
                    <c:v>9.574271077563381</c:v>
                  </c:pt>
                  <c:pt idx="1">
                    <c:v>4.7871355387816905</c:v>
                  </c:pt>
                  <c:pt idx="2">
                    <c:v>2.5</c:v>
                  </c:pt>
                  <c:pt idx="3">
                    <c:v>2.8867513459481291</c:v>
                  </c:pt>
                  <c:pt idx="4">
                    <c:v>0</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50</c:v>
                </c:pt>
                <c:pt idx="1">
                  <c:v>150</c:v>
                </c:pt>
                <c:pt idx="2">
                  <c:v>200</c:v>
                </c:pt>
                <c:pt idx="3">
                  <c:v>250</c:v>
                </c:pt>
                <c:pt idx="4">
                  <c:v>300</c:v>
                </c:pt>
              </c:numCache>
            </c:numRef>
          </c:cat>
          <c:val>
            <c:numRef>
              <c:f>Sheet4!$E$6:$E$10</c:f>
              <c:numCache>
                <c:formatCode>General</c:formatCode>
                <c:ptCount val="5"/>
                <c:pt idx="0">
                  <c:v>77.5</c:v>
                </c:pt>
                <c:pt idx="1">
                  <c:v>91.25</c:v>
                </c:pt>
                <c:pt idx="2">
                  <c:v>93.75</c:v>
                </c:pt>
                <c:pt idx="3">
                  <c:v>97.5</c:v>
                </c:pt>
                <c:pt idx="4">
                  <c:v>100</c:v>
                </c:pt>
              </c:numCache>
            </c:numRef>
          </c:val>
          <c:extLst>
            <c:ext xmlns:c16="http://schemas.microsoft.com/office/drawing/2014/chart" uri="{C3380CC4-5D6E-409C-BE32-E72D297353CC}">
              <c16:uniqueId val="{00000002-49D0-471C-A907-0861FC3F6AF5}"/>
            </c:ext>
          </c:extLst>
        </c:ser>
        <c:dLbls>
          <c:showLegendKey val="0"/>
          <c:showVal val="0"/>
          <c:showCatName val="0"/>
          <c:showSerName val="0"/>
          <c:showPercent val="0"/>
          <c:showBubbleSize val="0"/>
        </c:dLbls>
        <c:gapWidth val="219"/>
        <c:overlap val="-27"/>
        <c:axId val="1731591359"/>
        <c:axId val="1861234463"/>
      </c:barChart>
      <c:catAx>
        <c:axId val="17315913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0"/>
                  <a:t>Concentration (</a:t>
                </a:r>
                <a:r>
                  <a:rPr lang="en-IN" sz="1000" b="0" i="0" u="none" strike="noStrike" baseline="0">
                    <a:effectLst/>
                  </a:rPr>
                  <a:t>µLL</a:t>
                </a:r>
                <a:r>
                  <a:rPr lang="en-IN" sz="1000" b="0" i="0" u="none" strike="noStrike" baseline="30000">
                    <a:effectLst/>
                  </a:rPr>
                  <a:t>-1</a:t>
                </a:r>
                <a:r>
                  <a:rPr lang="en-IN" sz="1000" b="0" i="0" u="none" strike="noStrike" baseline="0">
                    <a:effectLst/>
                  </a:rPr>
                  <a:t> air)</a:t>
                </a:r>
                <a:r>
                  <a:rPr lang="en-IN" b="0" baseline="0"/>
                  <a:t> </a:t>
                </a:r>
                <a:endParaRPr lang="en-IN" b="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61234463"/>
        <c:crosses val="autoZero"/>
        <c:auto val="1"/>
        <c:lblAlgn val="ctr"/>
        <c:lblOffset val="100"/>
        <c:noMultiLvlLbl val="0"/>
      </c:catAx>
      <c:valAx>
        <c:axId val="1861234463"/>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159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Sheet4!$C$5</c:f>
              <c:strCache>
                <c:ptCount val="1"/>
                <c:pt idx="0">
                  <c:v>12 hr</c:v>
                </c:pt>
              </c:strCache>
            </c:strRef>
          </c:tx>
          <c:spPr>
            <a:solidFill>
              <a:schemeClr val="accent1"/>
            </a:solidFill>
            <a:ln>
              <a:noFill/>
            </a:ln>
            <a:effectLst/>
          </c:spPr>
          <c:invertIfNegative val="0"/>
          <c:errBars>
            <c:errBarType val="both"/>
            <c:errValType val="cust"/>
            <c:noEndCap val="0"/>
            <c:plus>
              <c:numRef>
                <c:f>Sheet4!$C$14:$C$18</c:f>
                <c:numCache>
                  <c:formatCode>General</c:formatCode>
                  <c:ptCount val="5"/>
                  <c:pt idx="0">
                    <c:v>15.545631755148024</c:v>
                  </c:pt>
                  <c:pt idx="1">
                    <c:v>8.6602540378443873</c:v>
                  </c:pt>
                  <c:pt idx="2">
                    <c:v>14.433756729740644</c:v>
                  </c:pt>
                  <c:pt idx="3">
                    <c:v>9.464847243000456</c:v>
                  </c:pt>
                  <c:pt idx="4">
                    <c:v>4.0824829046386304</c:v>
                  </c:pt>
                </c:numCache>
              </c:numRef>
            </c:plus>
            <c:minus>
              <c:numRef>
                <c:f>Sheet4!$C$14:$C$18</c:f>
                <c:numCache>
                  <c:formatCode>General</c:formatCode>
                  <c:ptCount val="5"/>
                  <c:pt idx="0">
                    <c:v>15.545631755148024</c:v>
                  </c:pt>
                  <c:pt idx="1">
                    <c:v>8.6602540378443873</c:v>
                  </c:pt>
                  <c:pt idx="2">
                    <c:v>14.433756729740644</c:v>
                  </c:pt>
                  <c:pt idx="3">
                    <c:v>9.464847243000456</c:v>
                  </c:pt>
                  <c:pt idx="4">
                    <c:v>4.0824829046386304</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Sheet4!$C$6:$C$10</c:f>
              <c:numCache>
                <c:formatCode>General</c:formatCode>
                <c:ptCount val="5"/>
                <c:pt idx="0">
                  <c:v>47.5</c:v>
                </c:pt>
                <c:pt idx="1">
                  <c:v>67.5</c:v>
                </c:pt>
                <c:pt idx="2">
                  <c:v>72.5</c:v>
                </c:pt>
                <c:pt idx="3">
                  <c:v>83.75</c:v>
                </c:pt>
                <c:pt idx="4">
                  <c:v>90</c:v>
                </c:pt>
              </c:numCache>
            </c:numRef>
          </c:val>
          <c:extLst>
            <c:ext xmlns:c16="http://schemas.microsoft.com/office/drawing/2014/chart" uri="{C3380CC4-5D6E-409C-BE32-E72D297353CC}">
              <c16:uniqueId val="{00000000-F3CE-4211-89C8-08F7C94F0295}"/>
            </c:ext>
          </c:extLst>
        </c:ser>
        <c:ser>
          <c:idx val="1"/>
          <c:order val="1"/>
          <c:tx>
            <c:strRef>
              <c:f>Sheet4!$D$5</c:f>
              <c:strCache>
                <c:ptCount val="1"/>
                <c:pt idx="0">
                  <c:v>24 hr</c:v>
                </c:pt>
              </c:strCache>
            </c:strRef>
          </c:tx>
          <c:spPr>
            <a:solidFill>
              <a:schemeClr val="accent2"/>
            </a:solidFill>
            <a:ln>
              <a:noFill/>
            </a:ln>
            <a:effectLst/>
          </c:spPr>
          <c:invertIfNegative val="0"/>
          <c:errBars>
            <c:errBarType val="both"/>
            <c:errValType val="cust"/>
            <c:noEndCap val="0"/>
            <c:plus>
              <c:numRef>
                <c:f>Sheet4!$C$22:$C$26</c:f>
                <c:numCache>
                  <c:formatCode>General</c:formatCode>
                  <c:ptCount val="5"/>
                  <c:pt idx="0">
                    <c:v>19.311050377094112</c:v>
                  </c:pt>
                  <c:pt idx="1">
                    <c:v>11.547005383792516</c:v>
                  </c:pt>
                  <c:pt idx="2">
                    <c:v>7.0710678118654755</c:v>
                  </c:pt>
                  <c:pt idx="3">
                    <c:v>5</c:v>
                  </c:pt>
                  <c:pt idx="4">
                    <c:v>4.7871355387816905</c:v>
                  </c:pt>
                </c:numCache>
              </c:numRef>
            </c:plus>
            <c:minus>
              <c:numRef>
                <c:f>Sheet4!$C$22:$C$26</c:f>
                <c:numCache>
                  <c:formatCode>General</c:formatCode>
                  <c:ptCount val="5"/>
                  <c:pt idx="0">
                    <c:v>19.311050377094112</c:v>
                  </c:pt>
                  <c:pt idx="1">
                    <c:v>11.547005383792516</c:v>
                  </c:pt>
                  <c:pt idx="2">
                    <c:v>7.0710678118654755</c:v>
                  </c:pt>
                  <c:pt idx="3">
                    <c:v>5</c:v>
                  </c:pt>
                  <c:pt idx="4">
                    <c:v>4.7871355387816905</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Sheet4!$D$6:$D$10</c:f>
              <c:numCache>
                <c:formatCode>General</c:formatCode>
                <c:ptCount val="5"/>
                <c:pt idx="0">
                  <c:v>68.75</c:v>
                </c:pt>
                <c:pt idx="1">
                  <c:v>80</c:v>
                </c:pt>
                <c:pt idx="2">
                  <c:v>90</c:v>
                </c:pt>
                <c:pt idx="3">
                  <c:v>92.5</c:v>
                </c:pt>
                <c:pt idx="4">
                  <c:v>96.25</c:v>
                </c:pt>
              </c:numCache>
            </c:numRef>
          </c:val>
          <c:extLst>
            <c:ext xmlns:c16="http://schemas.microsoft.com/office/drawing/2014/chart" uri="{C3380CC4-5D6E-409C-BE32-E72D297353CC}">
              <c16:uniqueId val="{00000001-F3CE-4211-89C8-08F7C94F0295}"/>
            </c:ext>
          </c:extLst>
        </c:ser>
        <c:ser>
          <c:idx val="2"/>
          <c:order val="2"/>
          <c:tx>
            <c:strRef>
              <c:f>Sheet4!$E$5</c:f>
              <c:strCache>
                <c:ptCount val="1"/>
                <c:pt idx="0">
                  <c:v>48 hr</c:v>
                </c:pt>
              </c:strCache>
            </c:strRef>
          </c:tx>
          <c:spPr>
            <a:solidFill>
              <a:schemeClr val="accent3"/>
            </a:solidFill>
            <a:ln>
              <a:noFill/>
            </a:ln>
            <a:effectLst/>
          </c:spPr>
          <c:invertIfNegative val="0"/>
          <c:errBars>
            <c:errBarType val="both"/>
            <c:errValType val="cust"/>
            <c:noEndCap val="0"/>
            <c:plus>
              <c:numRef>
                <c:f>Sheet4!$C$30:$C$34</c:f>
                <c:numCache>
                  <c:formatCode>General</c:formatCode>
                  <c:ptCount val="5"/>
                  <c:pt idx="0">
                    <c:v>19.311050377094112</c:v>
                  </c:pt>
                  <c:pt idx="1">
                    <c:v>7.0710678118654755</c:v>
                  </c:pt>
                  <c:pt idx="2">
                    <c:v>4.7871355387816905</c:v>
                  </c:pt>
                  <c:pt idx="3">
                    <c:v>4.0824829046386304</c:v>
                  </c:pt>
                  <c:pt idx="4">
                    <c:v>2.8867513459481291</c:v>
                  </c:pt>
                </c:numCache>
              </c:numRef>
            </c:plus>
            <c:minus>
              <c:numRef>
                <c:f>Sheet4!$C$30:$C$34</c:f>
                <c:numCache>
                  <c:formatCode>General</c:formatCode>
                  <c:ptCount val="5"/>
                  <c:pt idx="0">
                    <c:v>19.311050377094112</c:v>
                  </c:pt>
                  <c:pt idx="1">
                    <c:v>7.0710678118654755</c:v>
                  </c:pt>
                  <c:pt idx="2">
                    <c:v>4.7871355387816905</c:v>
                  </c:pt>
                  <c:pt idx="3">
                    <c:v>4.0824829046386304</c:v>
                  </c:pt>
                  <c:pt idx="4">
                    <c:v>2.8867513459481291</c:v>
                  </c:pt>
                </c:numCache>
              </c:numRef>
            </c:minus>
            <c:spPr>
              <a:noFill/>
              <a:ln w="9525" cap="flat" cmpd="sng" algn="ctr">
                <a:solidFill>
                  <a:schemeClr val="tx1">
                    <a:lumMod val="65000"/>
                    <a:lumOff val="35000"/>
                  </a:schemeClr>
                </a:solidFill>
                <a:round/>
              </a:ln>
              <a:effectLst/>
            </c:spPr>
          </c:errBars>
          <c:cat>
            <c:numRef>
              <c:f>Sheet4!$B$6:$B$10</c:f>
              <c:numCache>
                <c:formatCode>General</c:formatCode>
                <c:ptCount val="5"/>
                <c:pt idx="0">
                  <c:v>100</c:v>
                </c:pt>
                <c:pt idx="1">
                  <c:v>500</c:v>
                </c:pt>
                <c:pt idx="2">
                  <c:v>1000</c:v>
                </c:pt>
                <c:pt idx="3">
                  <c:v>5000</c:v>
                </c:pt>
                <c:pt idx="4">
                  <c:v>10000</c:v>
                </c:pt>
              </c:numCache>
            </c:numRef>
          </c:cat>
          <c:val>
            <c:numRef>
              <c:f>Sheet4!$E$6:$E$10</c:f>
              <c:numCache>
                <c:formatCode>General</c:formatCode>
                <c:ptCount val="5"/>
                <c:pt idx="0">
                  <c:v>78.75</c:v>
                </c:pt>
                <c:pt idx="1">
                  <c:v>85</c:v>
                </c:pt>
                <c:pt idx="2">
                  <c:v>91.25</c:v>
                </c:pt>
                <c:pt idx="3">
                  <c:v>95</c:v>
                </c:pt>
                <c:pt idx="4">
                  <c:v>97.5</c:v>
                </c:pt>
              </c:numCache>
            </c:numRef>
          </c:val>
          <c:extLst>
            <c:ext xmlns:c16="http://schemas.microsoft.com/office/drawing/2014/chart" uri="{C3380CC4-5D6E-409C-BE32-E72D297353CC}">
              <c16:uniqueId val="{00000002-F3CE-4211-89C8-08F7C94F0295}"/>
            </c:ext>
          </c:extLst>
        </c:ser>
        <c:dLbls>
          <c:showLegendKey val="0"/>
          <c:showVal val="0"/>
          <c:showCatName val="0"/>
          <c:showSerName val="0"/>
          <c:showPercent val="0"/>
          <c:showBubbleSize val="0"/>
        </c:dLbls>
        <c:gapWidth val="219"/>
        <c:overlap val="-27"/>
        <c:axId val="1021044255"/>
        <c:axId val="1021041375"/>
      </c:barChart>
      <c:catAx>
        <c:axId val="10210442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Concentration</a:t>
                </a:r>
                <a:r>
                  <a:rPr lang="en-IN" baseline="0"/>
                  <a:t> (ppm)</a:t>
                </a:r>
                <a:endParaRPr lang="en-IN"/>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041375"/>
        <c:crosses val="autoZero"/>
        <c:auto val="1"/>
        <c:lblAlgn val="ctr"/>
        <c:lblOffset val="100"/>
        <c:noMultiLvlLbl val="0"/>
      </c:catAx>
      <c:valAx>
        <c:axId val="1021041375"/>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Per</a:t>
                </a:r>
                <a:r>
                  <a:rPr lang="en-IN" baseline="0"/>
                  <a:t> cent mortality (%)</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10442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B935-2756-46D9-BC29-B295E9E7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1202</TotalTime>
  <Pages>9</Pages>
  <Words>5156</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150</cp:revision>
  <cp:lastPrinted>1999-07-06T11:00:00Z</cp:lastPrinted>
  <dcterms:created xsi:type="dcterms:W3CDTF">2014-10-25T14:34:00Z</dcterms:created>
  <dcterms:modified xsi:type="dcterms:W3CDTF">2025-12-20T08:25:00Z</dcterms:modified>
</cp:coreProperties>
</file>