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0F8FB6" w14:textId="77777777" w:rsidR="00050422" w:rsidRPr="00050422" w:rsidRDefault="00050422" w:rsidP="00507EE0">
      <w:pPr>
        <w:pStyle w:val="Heading1"/>
        <w:jc w:val="both"/>
        <w:rPr>
          <w:i/>
          <w:iCs/>
          <w:u w:val="single"/>
        </w:rPr>
      </w:pPr>
      <w:bookmarkStart w:id="0" w:name="_GoBack"/>
      <w:bookmarkEnd w:id="0"/>
      <w:r w:rsidRPr="00050422">
        <w:rPr>
          <w:i/>
          <w:iCs/>
          <w:u w:val="single"/>
        </w:rPr>
        <w:t>Review Article</w:t>
      </w:r>
    </w:p>
    <w:p w14:paraId="4602C7E8" w14:textId="77777777" w:rsidR="00133F64" w:rsidRPr="00507EE0" w:rsidRDefault="009148D5" w:rsidP="00507EE0">
      <w:pPr>
        <w:pStyle w:val="Heading1"/>
        <w:jc w:val="both"/>
        <w:rPr>
          <w:sz w:val="36"/>
        </w:rPr>
      </w:pPr>
      <w:bookmarkStart w:id="1" w:name="_Hlk215477843"/>
      <w:r w:rsidRPr="00507EE0">
        <w:rPr>
          <w:rStyle w:val="Strong"/>
          <w:b/>
          <w:bCs/>
          <w:sz w:val="36"/>
        </w:rPr>
        <w:t>Trends and Prospects for Quality Improvement in Turmeric Through Biotechnological Interventions</w:t>
      </w:r>
    </w:p>
    <w:bookmarkEnd w:id="1"/>
    <w:p w14:paraId="73BBF781" w14:textId="77777777" w:rsidR="00B14CED" w:rsidRDefault="00B14CED" w:rsidP="00507EE0">
      <w:pPr>
        <w:pStyle w:val="Heading2"/>
        <w:jc w:val="both"/>
      </w:pPr>
    </w:p>
    <w:p w14:paraId="0D13031B" w14:textId="77777777" w:rsidR="00133F64" w:rsidRDefault="00133F64" w:rsidP="00507EE0">
      <w:pPr>
        <w:pStyle w:val="Heading2"/>
        <w:jc w:val="both"/>
      </w:pPr>
      <w:r>
        <w:t>Abstract</w:t>
      </w:r>
    </w:p>
    <w:p w14:paraId="2D6AE45F" w14:textId="77777777" w:rsidR="00133F64" w:rsidRDefault="00133F64" w:rsidP="00507EE0">
      <w:pPr>
        <w:pStyle w:val="NormalWeb"/>
        <w:jc w:val="both"/>
      </w:pPr>
      <w:r>
        <w:t>Turmeric (</w:t>
      </w:r>
      <w:r w:rsidRPr="009148D5">
        <w:rPr>
          <w:i/>
        </w:rPr>
        <w:t>Curcuma longa</w:t>
      </w:r>
      <w:r>
        <w:t xml:space="preserve"> L.) is a globally important spice and medicinal crop whose economic value is tightly coupled to quality attributes such as curcuminoid content, essential oil profile, and safety from adulteration and contaminants. Conventional breeding and agronomic management have improved yield and adaptability, but gains in quality traits remain constrained by clonal propagation, long crop duration, complex polyploid genome, and strong environmental modulation of phytochemical composition. Over the last two decades, biotechnology has opened new possibilities for precise quality improvement, ranging from tissue culture–based production of uniform, disease-free planting material to </w:t>
      </w:r>
      <w:r w:rsidRPr="00507EE0">
        <w:rPr>
          <w:i/>
        </w:rPr>
        <w:t>in vitro</w:t>
      </w:r>
      <w:r>
        <w:t xml:space="preserve"> and cell-culture–based enhancement of curcuminoids and oils, integration of nanotechnology with micropropagation, and use of rhizobacteria to modulate plant metabolism. Parallel advances in turmeric genomics, transcriptomics, and metabolomics now provide a systems-level view of curcuminoid biosynthesis and other specialized metabolites, enabling the identification of candidate genes and pathways that can be targeted for future marker-assisted selection, metabolic engineering, and, eventually, genome editing. This review synthesizes current knowledge on biotechnological interventions directly or indirectly aimed at turmeric quality improvement, critically assesses their impact and scalability, and highlights how chromosome-scale genome assemblies, widely targeted metabolomics, and functional studies on polyketide synthases are reshaping the conceptual toolbox for quality-focused breeding. Finally, it outlines emerging trends—including CRISPR-based editing, synthetic biology and heterologous production, microbiome engineering, and AI-assisted quality phenotyping—and discusses the opportunities and practical constraints in translating these advances into cultivar development and value chain transformation.</w:t>
      </w:r>
    </w:p>
    <w:p w14:paraId="78C7E7E0" w14:textId="77777777" w:rsidR="00133F64" w:rsidRDefault="00133F64" w:rsidP="00507EE0">
      <w:pPr>
        <w:pStyle w:val="NormalWeb"/>
        <w:jc w:val="both"/>
      </w:pPr>
      <w:r>
        <w:rPr>
          <w:rStyle w:val="Strong"/>
        </w:rPr>
        <w:t>Keywords:</w:t>
      </w:r>
      <w:r>
        <w:t xml:space="preserve"> Curcuma longa; curcuminoids; metabolomics; tissue culture; somatic embryogenesis; genome assembly; </w:t>
      </w:r>
      <w:proofErr w:type="spellStart"/>
      <w:r>
        <w:t>nano-biotecnology</w:t>
      </w:r>
      <w:proofErr w:type="spellEnd"/>
      <w:r>
        <w:t>; rhizobacteria; synthetic biology</w:t>
      </w:r>
    </w:p>
    <w:p w14:paraId="281774A3" w14:textId="77777777" w:rsidR="00133F64" w:rsidRDefault="00133F64" w:rsidP="00507EE0">
      <w:pPr>
        <w:jc w:val="both"/>
      </w:pPr>
    </w:p>
    <w:p w14:paraId="26E25939" w14:textId="77777777" w:rsidR="00A417FA" w:rsidRDefault="00A417FA" w:rsidP="00507EE0">
      <w:pPr>
        <w:jc w:val="both"/>
        <w:rPr>
          <w:rFonts w:ascii="Times New Roman" w:eastAsia="Times New Roman" w:hAnsi="Times New Roman" w:cs="Times New Roman"/>
          <w:b/>
          <w:bCs/>
          <w:sz w:val="36"/>
          <w:szCs w:val="36"/>
          <w:lang w:val="en-US"/>
        </w:rPr>
      </w:pPr>
      <w:r>
        <w:br w:type="page"/>
      </w:r>
    </w:p>
    <w:p w14:paraId="5485A889" w14:textId="77777777" w:rsidR="00133F64" w:rsidRPr="00DE56CE" w:rsidRDefault="00133F64" w:rsidP="00507EE0">
      <w:pPr>
        <w:pStyle w:val="Heading2"/>
        <w:jc w:val="both"/>
      </w:pPr>
      <w:r w:rsidRPr="00DE56CE">
        <w:lastRenderedPageBreak/>
        <w:t>1. Introduction</w:t>
      </w:r>
    </w:p>
    <w:p w14:paraId="269F7EE4" w14:textId="42265808" w:rsidR="00133F64" w:rsidRDefault="00133F64" w:rsidP="00507EE0">
      <w:pPr>
        <w:pStyle w:val="NormalWeb"/>
        <w:jc w:val="both"/>
      </w:pPr>
      <w:r>
        <w:t>Turmeric (</w:t>
      </w:r>
      <w:r w:rsidR="009148D5" w:rsidRPr="009148D5">
        <w:rPr>
          <w:i/>
        </w:rPr>
        <w:t>Curcuma longa</w:t>
      </w:r>
      <w:r>
        <w:t xml:space="preserve"> L.), a rhizomatous perennial herb of the </w:t>
      </w:r>
      <w:proofErr w:type="spellStart"/>
      <w:r>
        <w:t>Zingiberaceae</w:t>
      </w:r>
      <w:proofErr w:type="spellEnd"/>
      <w:r>
        <w:t xml:space="preserve"> family, is globally valued as a food </w:t>
      </w:r>
      <w:proofErr w:type="spellStart"/>
      <w:r>
        <w:t>colourant</w:t>
      </w:r>
      <w:proofErr w:type="spellEnd"/>
      <w:r>
        <w:t xml:space="preserve">, spice and traditional medicine, and is increasingly marketed as a high-value nutraceutical ingredient. Its characteristic yellow </w:t>
      </w:r>
      <w:proofErr w:type="spellStart"/>
      <w:r>
        <w:t>colour</w:t>
      </w:r>
      <w:proofErr w:type="spellEnd"/>
      <w:r>
        <w:t xml:space="preserve"> and much of its bioactivity are attributed to curcuminoids and other phenolic and terpenoid constituents, which together underlie antioxidant, anti-inflammatory and diverse pharmacological effects documented in preclinical and clinical studies (</w:t>
      </w:r>
      <w:proofErr w:type="spellStart"/>
      <w:r>
        <w:t>Amalraj</w:t>
      </w:r>
      <w:proofErr w:type="spellEnd"/>
      <w:r>
        <w:t xml:space="preserve"> et al., 2017). At the same time, a growing functional food and herbal supplement industry has transformed turmeric rhizomes and their extracts into internationally traded commodities, where price premiums are closely linked to quality attributes such as curcuminoid content, volatile oil profile, absence of contaminants and consistency across lots (</w:t>
      </w:r>
      <w:proofErr w:type="spellStart"/>
      <w:r>
        <w:t>Amalraj</w:t>
      </w:r>
      <w:proofErr w:type="spellEnd"/>
      <w:r>
        <w:t xml:space="preserve"> et al., 2017; </w:t>
      </w:r>
      <w:proofErr w:type="spellStart"/>
      <w:r>
        <w:t>Quirós-Fallas</w:t>
      </w:r>
      <w:proofErr w:type="spellEnd"/>
      <w:r>
        <w:t xml:space="preserve"> et al., 2022).</w:t>
      </w:r>
      <w:r w:rsidR="00620122">
        <w:t xml:space="preserve"> </w:t>
      </w:r>
      <w:r w:rsidR="00620122" w:rsidRPr="00607CEC">
        <w:rPr>
          <w:rFonts w:ascii="Arial" w:hAnsi="Arial" w:cs="Arial"/>
          <w:color w:val="222222"/>
          <w:sz w:val="20"/>
          <w:szCs w:val="20"/>
          <w:highlight w:val="yellow"/>
          <w:shd w:val="clear" w:color="auto" w:fill="FFFFFF"/>
        </w:rPr>
        <w:t>The mineral content of soil affects the yield and biochemical content of turmeric. Low productivity due to poor nutrient management has been the major constraint in yield and quality of turmeric. However, the turmeric crop is known to respond well to mineral fertilizer application. Hence, it is necessary to supply adequate doses of proper mineral fertilizers to grow and yield such medicinal and aromatic crops. </w:t>
      </w:r>
      <w:r w:rsidR="00DE49BA" w:rsidRPr="00607CEC">
        <w:rPr>
          <w:rFonts w:ascii="Arial" w:hAnsi="Arial" w:cs="Arial"/>
          <w:color w:val="222222"/>
          <w:sz w:val="20"/>
          <w:szCs w:val="20"/>
          <w:highlight w:val="yellow"/>
          <w:shd w:val="clear" w:color="auto" w:fill="FFFFFF"/>
        </w:rPr>
        <w:t>For good yields and soil fertility, the replenishment of soil fertility is necessary. Soil fertility for turmeric cropping has been based on adding various mineral fertilizers. Nitrogen, phosphorus, and potassium, either individually or in combination, provide the main nutrient elements for the good growth, quality, and yield of crops</w:t>
      </w:r>
      <w:r w:rsidR="00DE49BA">
        <w:rPr>
          <w:rFonts w:ascii="Arial" w:hAnsi="Arial" w:cs="Arial"/>
          <w:color w:val="222222"/>
          <w:sz w:val="20"/>
          <w:szCs w:val="20"/>
          <w:highlight w:val="yellow"/>
          <w:shd w:val="clear" w:color="auto" w:fill="FFFFFF"/>
        </w:rPr>
        <w:t xml:space="preserve"> (</w:t>
      </w:r>
      <w:proofErr w:type="spellStart"/>
      <w:r w:rsidR="00DE49BA" w:rsidRPr="00A71FCB">
        <w:rPr>
          <w:rFonts w:ascii="Arial" w:hAnsi="Arial" w:cs="Arial"/>
          <w:color w:val="222222"/>
          <w:sz w:val="20"/>
          <w:szCs w:val="20"/>
          <w:highlight w:val="yellow"/>
          <w:shd w:val="clear" w:color="auto" w:fill="FFFFFF"/>
        </w:rPr>
        <w:t>Jabborova</w:t>
      </w:r>
      <w:proofErr w:type="spellEnd"/>
      <w:r w:rsidR="00DE49BA">
        <w:rPr>
          <w:rFonts w:ascii="Arial" w:hAnsi="Arial" w:cs="Arial"/>
          <w:color w:val="222222"/>
          <w:sz w:val="20"/>
          <w:szCs w:val="20"/>
          <w:highlight w:val="yellow"/>
          <w:shd w:val="clear" w:color="auto" w:fill="FFFFFF"/>
        </w:rPr>
        <w:t xml:space="preserve"> et al., 2021</w:t>
      </w:r>
      <w:r w:rsidR="002E2F40">
        <w:rPr>
          <w:rFonts w:ascii="Arial" w:hAnsi="Arial" w:cs="Arial"/>
          <w:color w:val="222222"/>
          <w:sz w:val="20"/>
          <w:szCs w:val="20"/>
          <w:highlight w:val="yellow"/>
          <w:shd w:val="clear" w:color="auto" w:fill="FFFFFF"/>
        </w:rPr>
        <w:t xml:space="preserve">; </w:t>
      </w:r>
      <w:proofErr w:type="spellStart"/>
      <w:r w:rsidR="002E2F40" w:rsidRPr="00A71FCB">
        <w:rPr>
          <w:rFonts w:ascii="Arial" w:hAnsi="Arial" w:cs="Arial"/>
          <w:color w:val="333333"/>
          <w:sz w:val="20"/>
          <w:szCs w:val="27"/>
          <w:highlight w:val="yellow"/>
        </w:rPr>
        <w:t>Siya</w:t>
      </w:r>
      <w:proofErr w:type="spellEnd"/>
      <w:r w:rsidR="002E2F40" w:rsidRPr="00A71FCB">
        <w:rPr>
          <w:rFonts w:ascii="Arial" w:hAnsi="Arial" w:cs="Arial"/>
          <w:color w:val="333333"/>
          <w:sz w:val="20"/>
          <w:szCs w:val="27"/>
          <w:highlight w:val="yellow"/>
        </w:rPr>
        <w:t xml:space="preserve"> Ram</w:t>
      </w:r>
      <w:r w:rsidR="002E2F40">
        <w:rPr>
          <w:rFonts w:ascii="Arial" w:hAnsi="Arial" w:cs="Arial"/>
          <w:color w:val="333333"/>
          <w:sz w:val="20"/>
          <w:szCs w:val="27"/>
          <w:highlight w:val="yellow"/>
        </w:rPr>
        <w:t xml:space="preserve"> et al., 2023</w:t>
      </w:r>
      <w:r w:rsidR="00DE49BA">
        <w:rPr>
          <w:rFonts w:ascii="Arial" w:hAnsi="Arial" w:cs="Arial"/>
          <w:color w:val="222222"/>
          <w:sz w:val="20"/>
          <w:szCs w:val="20"/>
          <w:highlight w:val="yellow"/>
          <w:shd w:val="clear" w:color="auto" w:fill="FFFFFF"/>
        </w:rPr>
        <w:t>)</w:t>
      </w:r>
      <w:r w:rsidR="00DE49BA" w:rsidRPr="00607CEC">
        <w:rPr>
          <w:rFonts w:ascii="Arial" w:hAnsi="Arial" w:cs="Arial"/>
          <w:color w:val="222222"/>
          <w:sz w:val="20"/>
          <w:szCs w:val="20"/>
          <w:highlight w:val="yellow"/>
          <w:shd w:val="clear" w:color="auto" w:fill="FFFFFF"/>
        </w:rPr>
        <w:t>.</w:t>
      </w:r>
    </w:p>
    <w:p w14:paraId="4FD3B29D" w14:textId="61B1285B" w:rsidR="00133F64" w:rsidRDefault="008900F5" w:rsidP="00507EE0">
      <w:pPr>
        <w:pStyle w:val="NormalWeb"/>
        <w:jc w:val="both"/>
      </w:pPr>
      <w:r w:rsidRPr="00607CEC">
        <w:rPr>
          <w:rFonts w:ascii="Cambria" w:hAnsi="Cambria"/>
          <w:color w:val="1B1B1B"/>
          <w:sz w:val="22"/>
          <w:szCs w:val="28"/>
          <w:highlight w:val="yellow"/>
          <w:shd w:val="clear" w:color="auto" w:fill="FFFFFF"/>
        </w:rPr>
        <w:t>The most significant curcuminoid, to which the most healing properties of turmeric are attributed, is curcumin, which was first extracted from turmeric in 1815, and its molecular formula was discovered in 1910. Curcumin, with the molecular formula C</w:t>
      </w:r>
      <w:r w:rsidRPr="00607CEC">
        <w:rPr>
          <w:rFonts w:ascii="Cambria" w:hAnsi="Cambria"/>
          <w:color w:val="1B1B1B"/>
          <w:sz w:val="20"/>
          <w:highlight w:val="yellow"/>
          <w:shd w:val="clear" w:color="auto" w:fill="FFFFFF"/>
          <w:vertAlign w:val="subscript"/>
        </w:rPr>
        <w:t>21</w:t>
      </w:r>
      <w:r w:rsidRPr="00607CEC">
        <w:rPr>
          <w:rFonts w:ascii="Cambria" w:hAnsi="Cambria"/>
          <w:color w:val="1B1B1B"/>
          <w:sz w:val="22"/>
          <w:szCs w:val="28"/>
          <w:highlight w:val="yellow"/>
          <w:shd w:val="clear" w:color="auto" w:fill="FFFFFF"/>
        </w:rPr>
        <w:t>H</w:t>
      </w:r>
      <w:r w:rsidRPr="00607CEC">
        <w:rPr>
          <w:rFonts w:ascii="Cambria" w:hAnsi="Cambria"/>
          <w:color w:val="1B1B1B"/>
          <w:sz w:val="20"/>
          <w:highlight w:val="yellow"/>
          <w:shd w:val="clear" w:color="auto" w:fill="FFFFFF"/>
          <w:vertAlign w:val="subscript"/>
        </w:rPr>
        <w:t>20</w:t>
      </w:r>
      <w:r w:rsidRPr="00607CEC">
        <w:rPr>
          <w:rFonts w:ascii="Cambria" w:hAnsi="Cambria"/>
          <w:color w:val="1B1B1B"/>
          <w:sz w:val="22"/>
          <w:szCs w:val="28"/>
          <w:highlight w:val="yellow"/>
          <w:shd w:val="clear" w:color="auto" w:fill="FFFFFF"/>
        </w:rPr>
        <w:t>O</w:t>
      </w:r>
      <w:r w:rsidRPr="00607CEC">
        <w:rPr>
          <w:rFonts w:ascii="Cambria" w:hAnsi="Cambria"/>
          <w:color w:val="1B1B1B"/>
          <w:sz w:val="20"/>
          <w:highlight w:val="yellow"/>
          <w:shd w:val="clear" w:color="auto" w:fill="FFFFFF"/>
          <w:vertAlign w:val="subscript"/>
        </w:rPr>
        <w:t>6</w:t>
      </w:r>
      <w:r w:rsidRPr="00607CEC">
        <w:rPr>
          <w:rFonts w:ascii="Cambria" w:hAnsi="Cambria"/>
          <w:color w:val="1B1B1B"/>
          <w:sz w:val="22"/>
          <w:szCs w:val="28"/>
          <w:highlight w:val="yellow"/>
          <w:shd w:val="clear" w:color="auto" w:fill="FFFFFF"/>
        </w:rPr>
        <w:t> and the chemical name diferuloylmethane, is the most considerable molecule isolated from plants that have been investigated in recent years</w:t>
      </w:r>
      <w:r w:rsidRPr="00607CEC">
        <w:rPr>
          <w:sz w:val="20"/>
          <w:highlight w:val="yellow"/>
        </w:rPr>
        <w:t xml:space="preserve">. </w:t>
      </w:r>
      <w:r w:rsidRPr="00607CEC">
        <w:rPr>
          <w:rFonts w:ascii="Cambria" w:hAnsi="Cambria"/>
          <w:color w:val="1B1B1B"/>
          <w:sz w:val="22"/>
          <w:szCs w:val="28"/>
          <w:highlight w:val="yellow"/>
          <w:shd w:val="clear" w:color="auto" w:fill="FFFFFF"/>
        </w:rPr>
        <w:t>This molecule is inherently hydrophobic and does not dissolve in water but in substances such as dimethyl sulfoxide, acetone, ethanol, and oil (</w:t>
      </w:r>
      <w:proofErr w:type="spellStart"/>
      <w:r w:rsidR="00E05C9F" w:rsidRPr="00A71FCB">
        <w:rPr>
          <w:rFonts w:ascii="Arial" w:hAnsi="Arial" w:cs="Arial"/>
          <w:color w:val="333333"/>
          <w:sz w:val="18"/>
          <w:szCs w:val="27"/>
          <w:highlight w:val="yellow"/>
        </w:rPr>
        <w:t>Abeynayaka</w:t>
      </w:r>
      <w:proofErr w:type="spellEnd"/>
      <w:r w:rsidR="00E05C9F" w:rsidRPr="007451C8">
        <w:rPr>
          <w:rFonts w:ascii="Arial" w:hAnsi="Arial" w:cs="Arial"/>
          <w:color w:val="222222"/>
          <w:sz w:val="20"/>
          <w:szCs w:val="20"/>
          <w:highlight w:val="yellow"/>
          <w:shd w:val="clear" w:color="auto" w:fill="FFFFFF"/>
        </w:rPr>
        <w:t xml:space="preserve"> </w:t>
      </w:r>
      <w:r w:rsidR="00E05C9F">
        <w:rPr>
          <w:rFonts w:ascii="Arial" w:hAnsi="Arial" w:cs="Arial"/>
          <w:color w:val="222222"/>
          <w:sz w:val="20"/>
          <w:szCs w:val="20"/>
          <w:highlight w:val="yellow"/>
          <w:shd w:val="clear" w:color="auto" w:fill="FFFFFF"/>
        </w:rPr>
        <w:t xml:space="preserve">et al., 2020; </w:t>
      </w:r>
      <w:r w:rsidRPr="007451C8">
        <w:rPr>
          <w:rFonts w:ascii="Arial" w:hAnsi="Arial" w:cs="Arial"/>
          <w:color w:val="222222"/>
          <w:sz w:val="20"/>
          <w:szCs w:val="20"/>
          <w:highlight w:val="yellow"/>
          <w:shd w:val="clear" w:color="auto" w:fill="FFFFFF"/>
        </w:rPr>
        <w:t>El-</w:t>
      </w:r>
      <w:proofErr w:type="spellStart"/>
      <w:r w:rsidRPr="007451C8">
        <w:rPr>
          <w:rFonts w:ascii="Arial" w:hAnsi="Arial" w:cs="Arial"/>
          <w:color w:val="222222"/>
          <w:sz w:val="20"/>
          <w:szCs w:val="20"/>
          <w:highlight w:val="yellow"/>
          <w:shd w:val="clear" w:color="auto" w:fill="FFFFFF"/>
        </w:rPr>
        <w:t>Saadony</w:t>
      </w:r>
      <w:proofErr w:type="spellEnd"/>
      <w:r w:rsidRPr="007451C8">
        <w:rPr>
          <w:rFonts w:ascii="Arial" w:hAnsi="Arial" w:cs="Arial"/>
          <w:color w:val="222222"/>
          <w:sz w:val="20"/>
          <w:szCs w:val="20"/>
          <w:highlight w:val="yellow"/>
          <w:shd w:val="clear" w:color="auto" w:fill="FFFFFF"/>
        </w:rPr>
        <w:t xml:space="preserve"> et al., 2023</w:t>
      </w:r>
      <w:r w:rsidRPr="00607CEC">
        <w:rPr>
          <w:rFonts w:ascii="Cambria" w:hAnsi="Cambria"/>
          <w:color w:val="1B1B1B"/>
          <w:sz w:val="22"/>
          <w:szCs w:val="28"/>
          <w:highlight w:val="yellow"/>
          <w:shd w:val="clear" w:color="auto" w:fill="FFFFFF"/>
        </w:rPr>
        <w:t>)</w:t>
      </w:r>
      <w:r w:rsidRPr="00607CEC">
        <w:rPr>
          <w:sz w:val="20"/>
          <w:highlight w:val="yellow"/>
        </w:rPr>
        <w:t>.</w:t>
      </w:r>
      <w:r w:rsidRPr="00607CEC">
        <w:rPr>
          <w:sz w:val="20"/>
        </w:rPr>
        <w:t xml:space="preserve"> </w:t>
      </w:r>
      <w:r w:rsidR="00133F64">
        <w:t xml:space="preserve">From a scientific perspective, “quality” in turmeric is a multidimensional concept that integrates compositional, functional and safety parameters. On the compositional side, curcuminoid concentration and relative proportions, together with profiles of phenolic acids, flavonoids and essential oils, determine </w:t>
      </w:r>
      <w:proofErr w:type="spellStart"/>
      <w:r w:rsidR="00133F64">
        <w:t>colour</w:t>
      </w:r>
      <w:proofErr w:type="spellEnd"/>
      <w:r w:rsidR="00133F64">
        <w:t xml:space="preserve"> intensity, </w:t>
      </w:r>
      <w:proofErr w:type="spellStart"/>
      <w:r w:rsidR="00133F64">
        <w:t>flavour</w:t>
      </w:r>
      <w:proofErr w:type="spellEnd"/>
      <w:r w:rsidR="00133F64">
        <w:t xml:space="preserve">, aroma and pharmacological potential (Ye et al., 2022; </w:t>
      </w:r>
      <w:proofErr w:type="spellStart"/>
      <w:r w:rsidR="00133F64">
        <w:t>Quirós-Fallas</w:t>
      </w:r>
      <w:proofErr w:type="spellEnd"/>
      <w:r w:rsidR="00133F64">
        <w:t xml:space="preserve"> et al., 2022). Functionally, antioxidant capacity, anti-inflammatory potential and other bioactivities measured in vitro or in vivo provide a link between phytochemical composition and putative health benefits (</w:t>
      </w:r>
      <w:proofErr w:type="spellStart"/>
      <w:r w:rsidR="00133F64">
        <w:t>Amalraj</w:t>
      </w:r>
      <w:proofErr w:type="spellEnd"/>
      <w:r w:rsidR="00133F64">
        <w:t xml:space="preserve"> et al., 2017; </w:t>
      </w:r>
      <w:proofErr w:type="spellStart"/>
      <w:r w:rsidR="00133F64">
        <w:t>Quirós-Fallas</w:t>
      </w:r>
      <w:proofErr w:type="spellEnd"/>
      <w:r w:rsidR="00133F64">
        <w:t xml:space="preserve"> et al., 2022). Safety-related attributes such as heavy metals, adulterants, pesticide residues and microbial contamination, which are increasingly monitored in regulatory frameworks and global value chains, further contribute to an operational definition of quality that is relevant for growers, processors and regulators. Ensuring stable performance across these dimensions is challenging because turmeric is clonally propagated, has a complex polyploid genome and is grown across heterogeneous agro-ecological environments, all of which influence secondary metabolism and hence quality traits (Chakraborty et al., 2021; Yin et al., 2022).</w:t>
      </w:r>
    </w:p>
    <w:p w14:paraId="07781D4F" w14:textId="77777777" w:rsidR="00133F64" w:rsidRDefault="00133F64" w:rsidP="00507EE0">
      <w:pPr>
        <w:pStyle w:val="NormalWeb"/>
        <w:jc w:val="both"/>
      </w:pPr>
      <w:r>
        <w:t xml:space="preserve">Recent advances in turmeric genomics and metabolomics are reshaping the framework for quality improvement. The first draft genome sequence and subsequent chromosome-scale assembly have clarified genome size, structure and gene family evolution, and have revealed suites of genes associated with secondary metabolism, phytohormone </w:t>
      </w:r>
      <w:proofErr w:type="spellStart"/>
      <w:r>
        <w:t>signalling</w:t>
      </w:r>
      <w:proofErr w:type="spellEnd"/>
      <w:r>
        <w:t xml:space="preserve"> and stress responses that likely underpin the plant’s phytochemical diversity (Chakraborty et al., 2021; Yin et al., 2022). Widely targeted metabolomics and high-resolution mass spectrometry have, in turn, quantified hundreds of metabolites across Curcuma species, demonstrating pronounced variation in curcuminoids, flavonoids and volatiles that can be linked to both </w:t>
      </w:r>
      <w:r>
        <w:lastRenderedPageBreak/>
        <w:t xml:space="preserve">genetic background and cultivation conditions (Ye et al., 2022; </w:t>
      </w:r>
      <w:proofErr w:type="spellStart"/>
      <w:r>
        <w:t>Quirós-Fallas</w:t>
      </w:r>
      <w:proofErr w:type="spellEnd"/>
      <w:r>
        <w:t xml:space="preserve"> et al., 2022; Zhang et al., 2023). These omics-scale datasets provide a platform for defining quality more precisely in molecular terms and for identifying biomarkers that can be used to guide breeding, agronomy and post-harvest management.</w:t>
      </w:r>
    </w:p>
    <w:p w14:paraId="2609253C" w14:textId="73F5DAEF" w:rsidR="00133F64" w:rsidRDefault="00133F64" w:rsidP="00507EE0">
      <w:pPr>
        <w:pStyle w:val="NormalWeb"/>
        <w:jc w:val="both"/>
      </w:pPr>
      <w:r>
        <w:t xml:space="preserve">Biotechnological interventions now offer options for directing turmeric quality in ways that are difficult to achieve through conventional clonal selection alone. Micropropagation and shoot culture protocols have been developed to generate disease-free, uniform planting material and to support rapid multiplication of elite </w:t>
      </w:r>
      <w:r w:rsidRPr="00607CEC">
        <w:rPr>
          <w:highlight w:val="yellow"/>
        </w:rPr>
        <w:t>quality-type genotypes</w:t>
      </w:r>
      <w:r>
        <w:t xml:space="preserve">, with molecular marker-based fidelity testing ensuring genetic stability of </w:t>
      </w:r>
      <w:r w:rsidRPr="00607CEC">
        <w:rPr>
          <w:highlight w:val="yellow"/>
        </w:rPr>
        <w:t xml:space="preserve">in </w:t>
      </w:r>
      <w:r w:rsidR="00607CEC" w:rsidRPr="00607CEC">
        <w:rPr>
          <w:highlight w:val="yellow"/>
        </w:rPr>
        <w:t>vitro</w:t>
      </w:r>
      <w:r w:rsidR="00607CEC" w:rsidRPr="00607CEC">
        <w:rPr>
          <w:highlight w:val="yellow"/>
        </w:rPr>
        <w:t>-</w:t>
      </w:r>
      <w:r w:rsidRPr="00607CEC">
        <w:rPr>
          <w:highlight w:val="yellow"/>
        </w:rPr>
        <w:t xml:space="preserve">derived plants (Rani et al., 2024). Cell, tissue and organ cultures, combined with elicitation and </w:t>
      </w:r>
      <w:r>
        <w:t xml:space="preserve">controlled bioreactor environments, have been used to enhance curcuminoid yields and to explore scalable production of defined phytochemical profiles for food and pharmaceutical applications (Murthy et al., 2024). Marker-assisted selection, genotyping-by-sequencing and the emerging integration of genome-wide association studies with metabolite profiling are beginning to uncover loci associated with curcuminoid biosynthesis, disease resistance and abiotic stress tolerance, offering levers for simultaneous improvement of quality and resilience (Chakraborty et al., 2021; Yin et al., 2022; Gupta et al., 2024). Complementary work on plant growth-promoting rhizobacteria and endophytes indicates that microbiome-aware biotechnological strategies can further modulate nutrient use efficiency, rhizome yield and quality traits (Iqbal et al., 2024). </w:t>
      </w:r>
    </w:p>
    <w:p w14:paraId="47E637DA" w14:textId="77777777" w:rsidR="000B5083" w:rsidRPr="000B5083" w:rsidRDefault="000B5083" w:rsidP="00507EE0">
      <w:pPr>
        <w:pStyle w:val="Heading3"/>
        <w:jc w:val="both"/>
      </w:pPr>
      <w:r w:rsidRPr="000B5083">
        <w:rPr>
          <w:rStyle w:val="Strong"/>
          <w:b/>
          <w:bCs/>
        </w:rPr>
        <w:t>1.1 Objectives</w:t>
      </w:r>
    </w:p>
    <w:p w14:paraId="30444459" w14:textId="39DCE8A7" w:rsidR="00133F64" w:rsidRDefault="00133F64" w:rsidP="00507EE0">
      <w:pPr>
        <w:pStyle w:val="NormalWeb"/>
        <w:jc w:val="both"/>
      </w:pPr>
      <w:r>
        <w:t xml:space="preserve">The objective of this review is to </w:t>
      </w:r>
      <w:proofErr w:type="spellStart"/>
      <w:r w:rsidR="00607CEC" w:rsidRPr="00607CEC">
        <w:rPr>
          <w:highlight w:val="yellow"/>
        </w:rPr>
        <w:t>synthesi</w:t>
      </w:r>
      <w:r w:rsidR="00607CEC" w:rsidRPr="00607CEC">
        <w:rPr>
          <w:highlight w:val="yellow"/>
        </w:rPr>
        <w:t>s</w:t>
      </w:r>
      <w:r w:rsidR="00607CEC" w:rsidRPr="00607CEC">
        <w:rPr>
          <w:highlight w:val="yellow"/>
        </w:rPr>
        <w:t>e</w:t>
      </w:r>
      <w:proofErr w:type="spellEnd"/>
      <w:r w:rsidR="00607CEC" w:rsidRPr="00607CEC">
        <w:rPr>
          <w:highlight w:val="yellow"/>
        </w:rPr>
        <w:t xml:space="preserve"> </w:t>
      </w:r>
      <w:r w:rsidRPr="00607CEC">
        <w:rPr>
          <w:highlight w:val="yellow"/>
        </w:rPr>
        <w:t xml:space="preserve">and </w:t>
      </w:r>
      <w:r>
        <w:t>critically evaluate current knowledge on biotechnological interventions aimed at improving turmeric quality, with emphasis on traits that are relevant for high-value food and nutraceutical markets. The article examines how genomic resources, metabolomics and other omics tools are redefining quality targets; how micropropagation, cell and organ cultures, and metabolic engineering approaches are being used to enhance curcuminoid and related phytochemical profiles; and how microbiome-based strategies intersect with conventional breeding and agronomic management to deliver quality gains. By integrating these strands, the review seeks to identify cross-cutting trends, methodological advances and knowledge gaps that will shape future research and innovation agendas for turmeric value chains under climate change, sustainability requirements and increasingly stringent regulatory standards.</w:t>
      </w:r>
    </w:p>
    <w:p w14:paraId="45FED15D" w14:textId="275EC9DF" w:rsidR="000B5083" w:rsidRPr="000B5083" w:rsidRDefault="000B5083" w:rsidP="00507EE0">
      <w:pPr>
        <w:pStyle w:val="Heading3"/>
        <w:jc w:val="both"/>
      </w:pPr>
      <w:r w:rsidRPr="000B5083">
        <w:rPr>
          <w:rStyle w:val="Strong"/>
          <w:b/>
          <w:bCs/>
        </w:rPr>
        <w:t>1.2 Method</w:t>
      </w:r>
      <w:r w:rsidR="00507EE0">
        <w:rPr>
          <w:rStyle w:val="Strong"/>
          <w:b/>
          <w:bCs/>
        </w:rPr>
        <w:t>ology</w:t>
      </w:r>
    </w:p>
    <w:p w14:paraId="5BB2BE1E" w14:textId="6C850DE7" w:rsidR="000B5083" w:rsidRDefault="000B5083" w:rsidP="00507EE0">
      <w:pPr>
        <w:pStyle w:val="NormalWeb"/>
        <w:jc w:val="both"/>
      </w:pPr>
      <w:r>
        <w:t>Literature for this review was identified through structured searches in Web of Science, Scopus, PubMed, and Google Scholar, complemented by targeted citation chaining of key articles. Search strings combined terms such as “</w:t>
      </w:r>
      <w:r>
        <w:rPr>
          <w:rStyle w:val="Emphasis"/>
        </w:rPr>
        <w:t>Curcuma longa</w:t>
      </w:r>
      <w:r>
        <w:t xml:space="preserve">” or “turmeric” with “quality,” “curcuminoids,” “essential oil,” “biotechnology,” “micropropagation,” “somatic embryogenesis,” “metabolomics,” “genome,” “genome assembly,” “CRISPR,” “synthetic biology,” and “rhizobacteria.” The primary date range was January 2000 to October 2025, with emphasis on studies published in the last 10–12 years where multiple options existed. Only peer-reviewed articles in English from established scientific journals were included; conference abstracts, theses, </w:t>
      </w:r>
      <w:r w:rsidRPr="00607CEC">
        <w:rPr>
          <w:highlight w:val="yellow"/>
        </w:rPr>
        <w:t>patents, non–</w:t>
      </w:r>
      <w:r w:rsidR="00607CEC" w:rsidRPr="00607CEC">
        <w:rPr>
          <w:highlight w:val="yellow"/>
        </w:rPr>
        <w:t>non-</w:t>
      </w:r>
      <w:r w:rsidRPr="00607CEC">
        <w:rPr>
          <w:highlight w:val="yellow"/>
        </w:rPr>
        <w:t>peer-reviewed reports</w:t>
      </w:r>
      <w:r>
        <w:t xml:space="preserve">, and papers from journals with unclear publishing practices were excluded. Titles and abstracts were screened for relevance to turmeric quality and biotechnological or omics-based interventions, and full texts were examined when quality traits (curcuminoids, essential oils, contaminants, or </w:t>
      </w:r>
      <w:r>
        <w:lastRenderedPageBreak/>
        <w:t>metabolomic profiles) were quantitatively assessed or mechanistically linked to specific biotechnological approaches.</w:t>
      </w:r>
    </w:p>
    <w:p w14:paraId="73345CDD" w14:textId="77777777" w:rsidR="00133F64" w:rsidRDefault="00133F64" w:rsidP="00507EE0">
      <w:pPr>
        <w:jc w:val="both"/>
      </w:pPr>
    </w:p>
    <w:p w14:paraId="3ADB6D91" w14:textId="77777777" w:rsidR="00287638" w:rsidRDefault="00287638" w:rsidP="00507EE0">
      <w:pPr>
        <w:pStyle w:val="Heading2"/>
        <w:jc w:val="both"/>
      </w:pPr>
      <w:r>
        <w:t>2. Turmeric Quality Attributes and Current Constraints</w:t>
      </w:r>
    </w:p>
    <w:p w14:paraId="0F072114" w14:textId="77777777" w:rsidR="00287638" w:rsidRDefault="00287638" w:rsidP="00507EE0">
      <w:pPr>
        <w:pStyle w:val="Heading3"/>
        <w:jc w:val="both"/>
      </w:pPr>
      <w:r>
        <w:t>2.1. Phytochemical and functional quality attributes</w:t>
      </w:r>
    </w:p>
    <w:p w14:paraId="1F8CC818" w14:textId="77777777" w:rsidR="00287638" w:rsidRDefault="00287638" w:rsidP="00507EE0">
      <w:pPr>
        <w:pStyle w:val="NormalWeb"/>
        <w:jc w:val="both"/>
      </w:pPr>
      <w:r>
        <w:t xml:space="preserve">Turmeric quality is fundamentally defined by its phytochemical composition, which underpins both its market value as a spice and its expanding role as a nutraceutical ingredient. The bright yellow </w:t>
      </w:r>
      <w:proofErr w:type="spellStart"/>
      <w:r>
        <w:t>colour</w:t>
      </w:r>
      <w:proofErr w:type="spellEnd"/>
      <w:r>
        <w:t xml:space="preserve"> is largely governed by curcuminoids—principally curcumin, </w:t>
      </w:r>
      <w:proofErr w:type="spellStart"/>
      <w:r>
        <w:t>demethoxycurcumin</w:t>
      </w:r>
      <w:proofErr w:type="spellEnd"/>
      <w:r>
        <w:t xml:space="preserve"> and bisdemethoxycurcumin—which together typically account for 2–8% of rhizome dry weight depending on genotype and growing conditions (Vo et al., 2021). These diarylheptanoids drive many of the antioxidant, anti-inflammatory and </w:t>
      </w:r>
      <w:proofErr w:type="spellStart"/>
      <w:r>
        <w:t>chemopreventive</w:t>
      </w:r>
      <w:proofErr w:type="spellEnd"/>
      <w:r>
        <w:t xml:space="preserve"> claims associated with turmeric-based products, and curcumin content has therefore become the most widely used primary quality parameter in trade and </w:t>
      </w:r>
      <w:proofErr w:type="spellStart"/>
      <w:r>
        <w:t>pharmacopoeial</w:t>
      </w:r>
      <w:proofErr w:type="spellEnd"/>
      <w:r>
        <w:t xml:space="preserve"> specifications (</w:t>
      </w:r>
      <w:proofErr w:type="spellStart"/>
      <w:r>
        <w:t>Iweala</w:t>
      </w:r>
      <w:proofErr w:type="spellEnd"/>
      <w:r>
        <w:t xml:space="preserve"> et al., 2023; Vo et al., 2021).</w:t>
      </w:r>
    </w:p>
    <w:p w14:paraId="76E513A9" w14:textId="77777777" w:rsidR="00287638" w:rsidRDefault="00287638" w:rsidP="00507EE0">
      <w:pPr>
        <w:pStyle w:val="NormalWeb"/>
        <w:jc w:val="both"/>
      </w:pPr>
      <w:r>
        <w:t>Beyond curcuminoids, the essential oil fraction, comprising 3–6% of dried rhizome, is another critical quality determinant. Turmerones (</w:t>
      </w:r>
      <w:proofErr w:type="spellStart"/>
      <w:r>
        <w:t>ar</w:t>
      </w:r>
      <w:proofErr w:type="spellEnd"/>
      <w:r>
        <w:t>-turmerone, α-turmerone and β-turmerone) and related sesquiterpenes confer characteristic aroma and contribute independently to anti-inflammatory, neuroprotective and antimicrobial activities (Orellana-</w:t>
      </w:r>
      <w:proofErr w:type="spellStart"/>
      <w:r>
        <w:t>Paucar</w:t>
      </w:r>
      <w:proofErr w:type="spellEnd"/>
      <w:r>
        <w:t xml:space="preserve"> et al., 2022). In high-value applications such as functional foods and cosmetics, specifications increasingly include both curcuminoid and essential oil profiles rather than relying on total curcumin alone (Orellana-</w:t>
      </w:r>
      <w:proofErr w:type="spellStart"/>
      <w:r>
        <w:t>Paucar</w:t>
      </w:r>
      <w:proofErr w:type="spellEnd"/>
      <w:r>
        <w:t xml:space="preserve"> et al., 2022; Vo et al., 2021).</w:t>
      </w:r>
    </w:p>
    <w:p w14:paraId="4D303D85" w14:textId="77777777" w:rsidR="00287638" w:rsidRDefault="00287638" w:rsidP="00507EE0">
      <w:pPr>
        <w:pStyle w:val="NormalWeb"/>
        <w:jc w:val="both"/>
      </w:pPr>
      <w:r>
        <w:t>Recent high-resolution mass spectrometry and metabolomics studies have shown that turmeric quality is shaped by a broader constellation of phenolic acids, flavonoids, diarylheptanoids and minor terpenoids, many of which differ systematically among cultivars and production regions (</w:t>
      </w:r>
      <w:proofErr w:type="spellStart"/>
      <w:r>
        <w:t>Quirós-Fallas</w:t>
      </w:r>
      <w:proofErr w:type="spellEnd"/>
      <w:r>
        <w:t xml:space="preserve"> et al., 2022; Ye et al., 2022). These “secondary” metabolites influence antioxidant capacity, </w:t>
      </w:r>
      <w:proofErr w:type="spellStart"/>
      <w:r>
        <w:t>colour</w:t>
      </w:r>
      <w:proofErr w:type="spellEnd"/>
      <w:r>
        <w:t xml:space="preserve"> stability and potential synergistic bioactivity, suggesting that simplistic single-analyte standards may underestimate the functional diversity present in well-</w:t>
      </w:r>
      <w:proofErr w:type="spellStart"/>
      <w:r>
        <w:t>characterised</w:t>
      </w:r>
      <w:proofErr w:type="spellEnd"/>
      <w:r>
        <w:t xml:space="preserve"> germplasm (</w:t>
      </w:r>
      <w:proofErr w:type="spellStart"/>
      <w:r>
        <w:t>Quirós-Fallas</w:t>
      </w:r>
      <w:proofErr w:type="spellEnd"/>
      <w:r>
        <w:t xml:space="preserve"> et al., 2022; Ye et al., 2022). For export markets, additional quality attributes include </w:t>
      </w:r>
      <w:proofErr w:type="spellStart"/>
      <w:r>
        <w:t>colour</w:t>
      </w:r>
      <w:proofErr w:type="spellEnd"/>
      <w:r>
        <w:t xml:space="preserve"> value, particle size distribution after grinding, and flow properties, all of which affect consumer acceptance and suitability for formulated foods and supplements.</w:t>
      </w:r>
    </w:p>
    <w:p w14:paraId="4EB4EC5C" w14:textId="77777777" w:rsidR="00287638" w:rsidRDefault="00287638" w:rsidP="00507EE0">
      <w:pPr>
        <w:pStyle w:val="Heading3"/>
        <w:jc w:val="both"/>
      </w:pPr>
      <w:r>
        <w:t>2.2. Variability linked to genetic, environmental and agronomic factors</w:t>
      </w:r>
    </w:p>
    <w:p w14:paraId="0DDC657C" w14:textId="77777777" w:rsidR="00287638" w:rsidRDefault="00287638" w:rsidP="00507EE0">
      <w:pPr>
        <w:pStyle w:val="NormalWeb"/>
        <w:jc w:val="both"/>
      </w:pPr>
      <w:r>
        <w:t>Marked variation in turmeric quality arises from the interaction of genotype, environment and agronomic management. Large-scale evaluations of Indian and international germplasm have documented broad ranges in both rhizome yield and total curcuminoids, even when accessions are grown under comparable conditions (</w:t>
      </w:r>
      <w:proofErr w:type="spellStart"/>
      <w:r>
        <w:t>Dudekula</w:t>
      </w:r>
      <w:proofErr w:type="spellEnd"/>
      <w:r>
        <w:t xml:space="preserve"> et al., 2022). In a panel of 200 Indian accessions, </w:t>
      </w:r>
      <w:proofErr w:type="spellStart"/>
      <w:r>
        <w:t>Dudekula</w:t>
      </w:r>
      <w:proofErr w:type="spellEnd"/>
      <w:r>
        <w:t xml:space="preserve"> et al. (2022) identified clusters that combined high rhizome yield with elevated curcuminoid content, but also many accessions where yield and quality were negatively associated, underscoring a central breeding challenge. Multi-environment trials further demonstrate significant genotype × environment interaction for both yield and </w:t>
      </w:r>
      <w:r>
        <w:lastRenderedPageBreak/>
        <w:t>curcumin percentage, with some cultivars performing consistently across locations while others are highly site-specific (</w:t>
      </w:r>
      <w:proofErr w:type="spellStart"/>
      <w:r>
        <w:t>Anandaraj</w:t>
      </w:r>
      <w:proofErr w:type="spellEnd"/>
      <w:r>
        <w:t xml:space="preserve"> et al., 2014; </w:t>
      </w:r>
      <w:proofErr w:type="spellStart"/>
      <w:r>
        <w:t>Aarthi</w:t>
      </w:r>
      <w:proofErr w:type="spellEnd"/>
      <w:r>
        <w:t xml:space="preserve"> et al., 2020).</w:t>
      </w:r>
    </w:p>
    <w:p w14:paraId="5B2DF447" w14:textId="77777777" w:rsidR="00287638" w:rsidRDefault="00287638" w:rsidP="00507EE0">
      <w:pPr>
        <w:pStyle w:val="NormalWeb"/>
        <w:jc w:val="both"/>
      </w:pPr>
      <w:r>
        <w:t xml:space="preserve">Environmental factors such as temperature, irradiance and soil fertility modulate curcuminoid biosynthesis, essential oil yield and </w:t>
      </w:r>
      <w:proofErr w:type="spellStart"/>
      <w:r>
        <w:t>colour</w:t>
      </w:r>
      <w:proofErr w:type="spellEnd"/>
      <w:r>
        <w:t>. Trials in contrasting agro-ecologies have shown that suboptimal light intensity and poorly managed nutrient availability can substantially depress curcumin content even in genetically superior lines, whereas balanced NPK management and appropriate shade can enhance both yield and quality (</w:t>
      </w:r>
      <w:proofErr w:type="spellStart"/>
      <w:r>
        <w:t>Anandaraj</w:t>
      </w:r>
      <w:proofErr w:type="spellEnd"/>
      <w:r>
        <w:t xml:space="preserve"> et al., 2014; </w:t>
      </w:r>
      <w:proofErr w:type="spellStart"/>
      <w:r>
        <w:t>Dudekula</w:t>
      </w:r>
      <w:proofErr w:type="spellEnd"/>
      <w:r>
        <w:t xml:space="preserve"> et al., 2022). Smallholder production systems often lack access to </w:t>
      </w:r>
      <w:proofErr w:type="spellStart"/>
      <w:r>
        <w:t>optimised</w:t>
      </w:r>
      <w:proofErr w:type="spellEnd"/>
      <w:r>
        <w:t xml:space="preserve"> fertilizer regimes, quality planting material and advisory support, which contributes to heterogeneous quality within and between lots.</w:t>
      </w:r>
    </w:p>
    <w:p w14:paraId="0D012468" w14:textId="77777777" w:rsidR="00287638" w:rsidRDefault="00287638" w:rsidP="00507EE0">
      <w:pPr>
        <w:pStyle w:val="NormalWeb"/>
        <w:jc w:val="both"/>
      </w:pPr>
      <w:r>
        <w:t>Agronomic practices also shape quality outcomes. Variability in planting material (finger vs. mother rhizome), planting density, irrigation scheduling and weed control alter rhizome maturation and metabolite partitioning, thereby affecting curcuminoids, essential oil content and starch accumulation. Review of Ethiopian production systems, for example, highlights that suboptimal planting dates, inadequate nutrient management and poor weed control constrain both yield and curcumin levels, even where suitable cultivars are available (</w:t>
      </w:r>
      <w:proofErr w:type="spellStart"/>
      <w:r>
        <w:t>Hailemichael</w:t>
      </w:r>
      <w:proofErr w:type="spellEnd"/>
      <w:r>
        <w:t xml:space="preserve"> &amp; Zakir, 2021). These agronomic constraints are exacerbated by limited availability of certified seed rhizomes with defined quality traits, resulting in on-farm recycling of heterogeneous planting material.</w:t>
      </w:r>
    </w:p>
    <w:p w14:paraId="7FDE70BC" w14:textId="77777777" w:rsidR="00287638" w:rsidRDefault="00287638" w:rsidP="00507EE0">
      <w:pPr>
        <w:pStyle w:val="Heading3"/>
        <w:jc w:val="both"/>
      </w:pPr>
      <w:r>
        <w:t>2.3. Post-harvest processing, storage and product heterogeneity</w:t>
      </w:r>
    </w:p>
    <w:p w14:paraId="1397DD07" w14:textId="77777777" w:rsidR="00287638" w:rsidRDefault="00287638" w:rsidP="00507EE0">
      <w:pPr>
        <w:pStyle w:val="NormalWeb"/>
        <w:jc w:val="both"/>
      </w:pPr>
      <w:r>
        <w:t>Post-harvest operations introduce a further layer of variability between “farm-gate quality” and the characteristics of powders and extracts reaching consumers. Curing practices (boiling and drying) are known to influence pigment stability, essential oil retention and microbial load. In smallholder systems, non-</w:t>
      </w:r>
      <w:proofErr w:type="spellStart"/>
      <w:r>
        <w:t>standardised</w:t>
      </w:r>
      <w:proofErr w:type="spellEnd"/>
      <w:r>
        <w:t xml:space="preserve"> boiling duration, uneven drying and sun exposure often lead to oxidation and loss of volatile compounds, reducing sensory quality and potentially altering bioactive profiles (</w:t>
      </w:r>
      <w:proofErr w:type="spellStart"/>
      <w:r>
        <w:t>Hailemichael</w:t>
      </w:r>
      <w:proofErr w:type="spellEnd"/>
      <w:r>
        <w:t xml:space="preserve"> &amp; Zakir, 2021). Experimental comparisons of drying technologies show that high-temperature or prolonged drying can significantly reduce curcumin, </w:t>
      </w:r>
      <w:proofErr w:type="spellStart"/>
      <w:r>
        <w:t>demethoxycurcumin</w:t>
      </w:r>
      <w:proofErr w:type="spellEnd"/>
      <w:r>
        <w:t xml:space="preserve"> and volatile constituents, while low-temperature or hybrid solar-assisted methods better preserve </w:t>
      </w:r>
      <w:proofErr w:type="spellStart"/>
      <w:r>
        <w:t>colour</w:t>
      </w:r>
      <w:proofErr w:type="spellEnd"/>
      <w:r>
        <w:t>, aroma and antioxidant capacity (Salem et al., 2022).</w:t>
      </w:r>
    </w:p>
    <w:p w14:paraId="44070B6B" w14:textId="77777777" w:rsidR="00287638" w:rsidRDefault="00287638" w:rsidP="00507EE0">
      <w:pPr>
        <w:pStyle w:val="NormalWeb"/>
        <w:jc w:val="both"/>
      </w:pPr>
      <w:r>
        <w:t>During grinding and storage, exposure to oxygen, light and humidity may lead to curcuminoid degradation and essential oil loss, especially in loosely packaged or unlined jute bags. Metabolomics-based profiling of commercial turmeric powders has revealed substantial differences between branded products and traditional preparations, indicating that industrial processing choices—including grinding temperature, de-oiling and blending of different lots—reshape the chemical fingerprint compared with farm-level rhizomes (Ye et al., 2022). Inadequate control of moisture and microbial contamination during storage also increases the risk of mycotoxin formation, creating additional quality and safety concerns for both spice and herbal-medicine markets.</w:t>
      </w:r>
    </w:p>
    <w:p w14:paraId="5D4DD259" w14:textId="77777777" w:rsidR="00287638" w:rsidRDefault="00287638" w:rsidP="00507EE0">
      <w:pPr>
        <w:pStyle w:val="NormalWeb"/>
        <w:jc w:val="both"/>
      </w:pPr>
      <w:r>
        <w:t xml:space="preserve">These post-harvest and processing influences mean that quality standards defined in terms of raw rhizomes may not reliably predict the composition of finished powders or extracts. For biotechnological improvement </w:t>
      </w:r>
      <w:proofErr w:type="spellStart"/>
      <w:r>
        <w:t>programmes</w:t>
      </w:r>
      <w:proofErr w:type="spellEnd"/>
      <w:r>
        <w:t xml:space="preserve">—whether focused on metabolic engineering or cell-culture-derived ingredients—this disconnect between field phenotypes and product-level quality highlights the need for integrated value-chain </w:t>
      </w:r>
      <w:proofErr w:type="spellStart"/>
      <w:r>
        <w:t>characterisation</w:t>
      </w:r>
      <w:proofErr w:type="spellEnd"/>
      <w:r>
        <w:t>.</w:t>
      </w:r>
    </w:p>
    <w:p w14:paraId="0D8B8F4E" w14:textId="77777777" w:rsidR="00287638" w:rsidRDefault="00287638" w:rsidP="00507EE0">
      <w:pPr>
        <w:pStyle w:val="Heading3"/>
        <w:jc w:val="both"/>
      </w:pPr>
      <w:r>
        <w:lastRenderedPageBreak/>
        <w:t>2.4. Contaminants, adulteration and regulatory pressures</w:t>
      </w:r>
    </w:p>
    <w:p w14:paraId="3E055730" w14:textId="6AD622CF" w:rsidR="00287638" w:rsidRDefault="00287638" w:rsidP="00507EE0">
      <w:pPr>
        <w:pStyle w:val="NormalWeb"/>
        <w:jc w:val="both"/>
      </w:pPr>
      <w:r>
        <w:t xml:space="preserve">Beyond intrinsic phytochemical attributes, contemporary definitions of “quality” in turmeric are increasingly driven by safety, authenticity and regulatory compliance. One of the most pressing constraints is deliberate adulteration with lead chromate and other synthetic </w:t>
      </w:r>
      <w:proofErr w:type="spellStart"/>
      <w:r>
        <w:t>colo</w:t>
      </w:r>
      <w:r w:rsidR="00607CEC">
        <w:t>u</w:t>
      </w:r>
      <w:r>
        <w:t>rants</w:t>
      </w:r>
      <w:proofErr w:type="spellEnd"/>
      <w:r>
        <w:t xml:space="preserve"> to </w:t>
      </w:r>
      <w:r w:rsidRPr="00607CEC">
        <w:rPr>
          <w:highlight w:val="yellow"/>
        </w:rPr>
        <w:t xml:space="preserve">enhance </w:t>
      </w:r>
      <w:r w:rsidR="00607CEC" w:rsidRPr="00607CEC">
        <w:rPr>
          <w:highlight w:val="yellow"/>
        </w:rPr>
        <w:t xml:space="preserve">the </w:t>
      </w:r>
      <w:r w:rsidRPr="00607CEC">
        <w:rPr>
          <w:highlight w:val="yellow"/>
        </w:rPr>
        <w:t>visual appeal of low-grade material</w:t>
      </w:r>
      <w:r>
        <w:t xml:space="preserve">. Recent large-scale surveys across major South Asian turmeric markets demonstrated that approximately 14% of sampled roots and powders contained elevated lead levels, with </w:t>
      </w:r>
      <w:r w:rsidRPr="00607CEC">
        <w:rPr>
          <w:highlight w:val="yellow"/>
        </w:rPr>
        <w:t xml:space="preserve">molar lead-to-chromium ratios indicative of lead chromate adulteration, and some samples </w:t>
      </w:r>
      <w:r w:rsidR="00607CEC" w:rsidRPr="00607CEC">
        <w:rPr>
          <w:highlight w:val="yellow"/>
        </w:rPr>
        <w:t>exceed</w:t>
      </w:r>
      <w:r w:rsidR="00607CEC" w:rsidRPr="00607CEC">
        <w:rPr>
          <w:highlight w:val="yellow"/>
        </w:rPr>
        <w:t>ed</w:t>
      </w:r>
      <w:r w:rsidR="00607CEC" w:rsidRPr="00607CEC">
        <w:rPr>
          <w:highlight w:val="yellow"/>
        </w:rPr>
        <w:t xml:space="preserve"> </w:t>
      </w:r>
      <w:r w:rsidRPr="00607CEC">
        <w:rPr>
          <w:highlight w:val="yellow"/>
        </w:rPr>
        <w:t xml:space="preserve">1000 </w:t>
      </w:r>
      <w:r>
        <w:t>µg/g lead (Forsyth et al., 2024). Such contamination has been directly linked to elevated blood lead levels and public health crises in affected communities, triggering heightened scrutiny from domestic regulators and importing countries.</w:t>
      </w:r>
    </w:p>
    <w:p w14:paraId="6DEE9A96" w14:textId="77777777" w:rsidR="00287638" w:rsidRDefault="00287638" w:rsidP="00507EE0">
      <w:pPr>
        <w:pStyle w:val="NormalWeb"/>
        <w:jc w:val="both"/>
      </w:pPr>
      <w:r>
        <w:t>Analytical work comparing portable X-ray fluorescence and laboratory-based inductively coupled plasma mass spectrometry has shown that rapid field methods can reliably detect lead-adulterated turmeric, supporting enforcement but also revealing the extent of the problem across spice supply chains (Lopez et al., 2022). At the same time, non-permitted azo dyes and industrial solvents have been reported in turmeric powders and compound formulations, prompting stricter maximum residue limits and more frequent border rejections in high-value markets. Meeting evolving regulatory thresholds for heavy metals, pesticides and unauthorized additives now constitutes a central dimension of turmeric quality, especially for nutraceutical and pharmaceutical applications.</w:t>
      </w:r>
    </w:p>
    <w:p w14:paraId="75AD57A3" w14:textId="77777777" w:rsidR="00287638" w:rsidRDefault="00287638" w:rsidP="00507EE0">
      <w:pPr>
        <w:pStyle w:val="NormalWeb"/>
        <w:jc w:val="both"/>
      </w:pPr>
      <w:r>
        <w:t>From a breeding and biotechnological perspective, these external drivers create both constraints and opportunities. While deliberate adulteration is fundamentally a governance issue, the demand for naturally high-</w:t>
      </w:r>
      <w:proofErr w:type="spellStart"/>
      <w:r>
        <w:t>colour</w:t>
      </w:r>
      <w:proofErr w:type="spellEnd"/>
      <w:r>
        <w:t>, high-curcumin cultivars with minimal need for cosmetic enhancement is growing. Moreover, regulatory agencies and buyers are increasingly interested in traceability and cultivar-specific or region-specific fingerprints that can be authenticated using targeted or untargeted metabolomics (</w:t>
      </w:r>
      <w:proofErr w:type="spellStart"/>
      <w:r>
        <w:t>Quirós-Fallas</w:t>
      </w:r>
      <w:proofErr w:type="spellEnd"/>
      <w:r>
        <w:t xml:space="preserve"> et al., 2022; Ye et al., 2022). Such expectations raise the performance bar for quality traits and </w:t>
      </w:r>
      <w:proofErr w:type="spellStart"/>
      <w:r>
        <w:t>incentivise</w:t>
      </w:r>
      <w:proofErr w:type="spellEnd"/>
      <w:r>
        <w:t xml:space="preserve"> development of improved planting material and process controls that can deliver consistently compliant products.</w:t>
      </w:r>
    </w:p>
    <w:p w14:paraId="1607FED4" w14:textId="77777777" w:rsidR="00287638" w:rsidRDefault="00287638" w:rsidP="00507EE0">
      <w:pPr>
        <w:pStyle w:val="Heading3"/>
        <w:jc w:val="both"/>
      </w:pPr>
      <w:r>
        <w:t>2.5. Implications for biotechnological quality improvement</w:t>
      </w:r>
    </w:p>
    <w:p w14:paraId="4BC7D32C" w14:textId="77777777" w:rsidR="00287638" w:rsidRDefault="00287638" w:rsidP="00507EE0">
      <w:pPr>
        <w:pStyle w:val="NormalWeb"/>
        <w:jc w:val="both"/>
      </w:pPr>
      <w:r>
        <w:t>Taken together, these quality attributes and constraints define the problem space within which biotechnological interventions must operate. The strong dependence of curcuminoids and essential oils on genotype, environment and post-harvest handling implies that conventional breeding and agronomy alone may be insufficient to guarantee consistently high-value quality in heterogeneous smallholder landscapes (</w:t>
      </w:r>
      <w:proofErr w:type="spellStart"/>
      <w:r>
        <w:t>Aarthi</w:t>
      </w:r>
      <w:proofErr w:type="spellEnd"/>
      <w:r>
        <w:t xml:space="preserve"> et al., 2020; </w:t>
      </w:r>
      <w:proofErr w:type="spellStart"/>
      <w:r>
        <w:t>Dudekula</w:t>
      </w:r>
      <w:proofErr w:type="spellEnd"/>
      <w:r>
        <w:t xml:space="preserve"> et al., 2022). At the same time, the growing importance of safety, authenticity and traceability repositions turmeric from a generic commodity spice towards a differentiated, information-rich </w:t>
      </w:r>
      <w:proofErr w:type="spellStart"/>
      <w:r>
        <w:t>bioeconomy</w:t>
      </w:r>
      <w:proofErr w:type="spellEnd"/>
      <w:r>
        <w:t xml:space="preserve"> crop.</w:t>
      </w:r>
    </w:p>
    <w:p w14:paraId="4BFD15C0" w14:textId="77777777" w:rsidR="00287638" w:rsidRDefault="00287638" w:rsidP="00507EE0">
      <w:pPr>
        <w:pStyle w:val="NormalWeb"/>
        <w:jc w:val="both"/>
      </w:pPr>
      <w:r>
        <w:t xml:space="preserve">Biotechnological strategies—ranging from marker-assisted selection for high-curcumin genotypes to tissue-culture-based production of standardized phytochemical profiles and metabolomics-guided quality assurance—are therefore being explored as complementary tools to overcome these constraints. However, their eventual impact will depend on how well they address the multi-scalar nature of turmeric quality, encompassing rhizome </w:t>
      </w:r>
      <w:r>
        <w:lastRenderedPageBreak/>
        <w:t>phytochemistry, field management, processing technologies and stringent regulatory expectations in domestic and export markets.</w:t>
      </w:r>
    </w:p>
    <w:p w14:paraId="47384DA0" w14:textId="77777777" w:rsidR="00133F64" w:rsidRDefault="00133F64" w:rsidP="00507EE0">
      <w:pPr>
        <w:jc w:val="both"/>
      </w:pPr>
    </w:p>
    <w:p w14:paraId="5606DC06" w14:textId="77777777" w:rsidR="009566DB" w:rsidRDefault="009566DB" w:rsidP="00507EE0">
      <w:pPr>
        <w:pStyle w:val="Heading2"/>
        <w:jc w:val="both"/>
      </w:pPr>
      <w:r>
        <w:t>3. Biotechnological Interventions for Quality Improvement</w:t>
      </w:r>
    </w:p>
    <w:p w14:paraId="6033B768" w14:textId="77777777" w:rsidR="009566DB" w:rsidRDefault="009566DB" w:rsidP="00507EE0">
      <w:pPr>
        <w:pStyle w:val="NormalWeb"/>
        <w:jc w:val="both"/>
      </w:pPr>
      <w:r>
        <w:t>Biotechnological tools provide a way to decouple turmeric quality from the vagaries of environment, pathogens, and heterogeneous planting material. By manipulating regeneration pathways, secondary metabolism, and the rhizosphere microbiome, it is now possible—at least conceptually—to design turmeric ideotypes where curcuminoids, volatile oils, and safety traits such as low heavy-metal accumulation are more predictable than in conventionally propagated crops. In practice, these approaches range from relatively mature micropropagation technologies to emerging genome-scale interventions enabled by recent turmeric reference genomes (Chakraborty et al., 2021; Yin et al., 2022).</w:t>
      </w:r>
    </w:p>
    <w:p w14:paraId="3B0FF9D5" w14:textId="77777777" w:rsidR="009566DB" w:rsidRDefault="009566DB" w:rsidP="00507EE0">
      <w:pPr>
        <w:pStyle w:val="Heading3"/>
        <w:jc w:val="both"/>
      </w:pPr>
      <w:r>
        <w:t>3.1 Micropropagation and clonal selection of elite genotypes</w:t>
      </w:r>
    </w:p>
    <w:p w14:paraId="6EF02D2E" w14:textId="77777777" w:rsidR="009566DB" w:rsidRDefault="009566DB" w:rsidP="00507EE0">
      <w:pPr>
        <w:pStyle w:val="NormalWeb"/>
        <w:jc w:val="both"/>
      </w:pPr>
      <w:r>
        <w:t xml:space="preserve">Micropropagation is the most widely deployed biotechnological tool in turmeric and remains the foundation for any more advanced intervention. Early work established efficient shoot tip and rhizome bud culture protocols and demonstrated that </w:t>
      </w:r>
      <w:proofErr w:type="spellStart"/>
      <w:r>
        <w:t>micropropagated</w:t>
      </w:r>
      <w:proofErr w:type="spellEnd"/>
      <w:r>
        <w:t xml:space="preserve"> plants could match or exceed conventionally propagated controls under field conditions, particularly in terms of rhizome yield and uniformity (Salvi et al., 2002). Because turmeric is </w:t>
      </w:r>
      <w:proofErr w:type="spellStart"/>
      <w:r>
        <w:t>vegetatively</w:t>
      </w:r>
      <w:proofErr w:type="spellEnd"/>
      <w:r>
        <w:t xml:space="preserve"> propagated and highly heterozygous, such clonal pipelines are particularly powerful for fixing rare elite genotypes with superior curcumin, </w:t>
      </w:r>
      <w:proofErr w:type="spellStart"/>
      <w:r>
        <w:t>demethoxycurcumin</w:t>
      </w:r>
      <w:proofErr w:type="spellEnd"/>
      <w:r>
        <w:t xml:space="preserve"> or essential-oil profiles and then multiplying them rapidly.</w:t>
      </w:r>
    </w:p>
    <w:p w14:paraId="0F021E86" w14:textId="77777777" w:rsidR="009566DB" w:rsidRDefault="009566DB" w:rsidP="00507EE0">
      <w:pPr>
        <w:pStyle w:val="NormalWeb"/>
        <w:jc w:val="both"/>
      </w:pPr>
      <w:r>
        <w:t xml:space="preserve">Recent protocols have significantly improved regeneration frequency and quality control. </w:t>
      </w:r>
      <w:proofErr w:type="spellStart"/>
      <w:r>
        <w:t>Pittampalli</w:t>
      </w:r>
      <w:proofErr w:type="spellEnd"/>
      <w:r>
        <w:t xml:space="preserve"> et al. (2022) reported high-frequency regeneration from multiple explant types coupled with molecular marker-based assessment of clonal fidelity, showing that carefully optimized media and growth regulator combinations can deliver both regeneration efficiency and genetic stability. This type of marker-assisted quality control is crucial because </w:t>
      </w:r>
      <w:proofErr w:type="spellStart"/>
      <w:r>
        <w:t>somaclonal</w:t>
      </w:r>
      <w:proofErr w:type="spellEnd"/>
      <w:r>
        <w:t xml:space="preserve"> variation, while sometimes useful, can also compromise the uniformity required by high-end spice and pharmaceutical markets. A recent synthesis on medicinal plants shows that prolonged culture, indirect organogenesis and high auxin–cytokinin levels can all increase the risk of chromosomal and epigenetic alterations, but also that direct organogenesis from meristematic tissues, limited subculture cycles and early molecular screening can keep variation at acceptable levels (Duta-</w:t>
      </w:r>
      <w:proofErr w:type="spellStart"/>
      <w:r>
        <w:t>Cornescu</w:t>
      </w:r>
      <w:proofErr w:type="spellEnd"/>
      <w:r>
        <w:t xml:space="preserve"> et al., 2023).</w:t>
      </w:r>
    </w:p>
    <w:p w14:paraId="5F59A1DE" w14:textId="77777777" w:rsidR="009566DB" w:rsidRDefault="009566DB" w:rsidP="00507EE0">
      <w:pPr>
        <w:pStyle w:val="NormalWeb"/>
        <w:jc w:val="both"/>
      </w:pPr>
      <w:r>
        <w:t xml:space="preserve">For turmeric quality improvement, the most immediate opportunity is to combine high-stringency clonal pipelines with pre-selection of mother plants based on metabolite profiling. Clones originating from individual plants that consistently show high curcuminoids, </w:t>
      </w:r>
      <w:proofErr w:type="spellStart"/>
      <w:r>
        <w:t>favourable</w:t>
      </w:r>
      <w:proofErr w:type="spellEnd"/>
      <w:r>
        <w:t xml:space="preserve"> volatile-oil composition and low contaminant loads can be propagated in vitro, screened with molecular markers for fidelity, and then deployed in quality-certified production blocks (Salvi et al., 2002; </w:t>
      </w:r>
      <w:proofErr w:type="spellStart"/>
      <w:r>
        <w:t>Pittampalli</w:t>
      </w:r>
      <w:proofErr w:type="spellEnd"/>
      <w:r>
        <w:t xml:space="preserve"> et al., 2022; Duta-</w:t>
      </w:r>
      <w:proofErr w:type="spellStart"/>
      <w:r>
        <w:t>Cornescu</w:t>
      </w:r>
      <w:proofErr w:type="spellEnd"/>
      <w:r>
        <w:t xml:space="preserve"> et al., 2023). Over time, such pipelines can also feed back into breeding programs by providing genetically stable, well-characterized parents for hybridization.</w:t>
      </w:r>
    </w:p>
    <w:p w14:paraId="0CA39B6A" w14:textId="77777777" w:rsidR="009566DB" w:rsidRDefault="009566DB" w:rsidP="00507EE0">
      <w:pPr>
        <w:pStyle w:val="Heading3"/>
        <w:jc w:val="both"/>
      </w:pPr>
      <w:r>
        <w:lastRenderedPageBreak/>
        <w:t>3.2 Somatic embryogenesis, cell suspensions and genetic transformation</w:t>
      </w:r>
    </w:p>
    <w:p w14:paraId="7B8DFC35" w14:textId="77777777" w:rsidR="009566DB" w:rsidRDefault="009566DB" w:rsidP="00507EE0">
      <w:pPr>
        <w:pStyle w:val="NormalWeb"/>
        <w:jc w:val="both"/>
      </w:pPr>
      <w:r>
        <w:t xml:space="preserve">Beyond shoot-based micropropagation, somatic embryogenesis and cell suspension cultures offer more flexible platforms for both mass propagation and genetic manipulation. High-efficiency direct somatic embryogenesis from leaf base explants of turmeric has been established, providing synchronous embryo development with minimal callus phases and thus reduced risk of </w:t>
      </w:r>
      <w:proofErr w:type="spellStart"/>
      <w:r>
        <w:t>somaclonal</w:t>
      </w:r>
      <w:proofErr w:type="spellEnd"/>
      <w:r>
        <w:t xml:space="preserve"> variation (Raju et al., 2015). Such systems are inherently scalable and amenable to liquid culture, which can be exploited for either large-scale plantlet production or for controlled studies of secondary metabolism in undifferentiated cells.</w:t>
      </w:r>
    </w:p>
    <w:p w14:paraId="11118122" w14:textId="77777777" w:rsidR="009566DB" w:rsidRDefault="009566DB" w:rsidP="00507EE0">
      <w:pPr>
        <w:pStyle w:val="NormalWeb"/>
        <w:jc w:val="both"/>
      </w:pPr>
      <w:r>
        <w:t>These regeneration systems underpin the first successful reports of stable genetic transformation in turmeric. He and Gang (2014) developed an Agrobacterium-mediated transformation system via somatic embryos that yielded transgenic plants expressing reporter genes and demonstrated Mendelian inheritance in the T1 generation. Although primarily a proof of concept, this work shows that the major bottleneck is not transformability per se, but rather the identification of suitable target genes and the development of socially and regulatory acceptable applications. In principle, transformation could be used to modulate curcuminoid biosynthesis (for example by over-expressing rate-limiting enzymes or diverting flux from competing pathways), to reduce levels of undesirable constituents, or to introduce traits such as virus resistance that indirectly stabilize quality.</w:t>
      </w:r>
    </w:p>
    <w:p w14:paraId="67939CD6" w14:textId="77777777" w:rsidR="009566DB" w:rsidRDefault="009566DB" w:rsidP="00507EE0">
      <w:pPr>
        <w:pStyle w:val="NormalWeb"/>
        <w:jc w:val="both"/>
      </w:pPr>
      <w:r>
        <w:t>Nevertheless, in a crop primarily consumed as food and used in herbal medicine, the deployment of transgenic turmeric is likely to encounter regulatory and market resistance. This reality shifts emphasis toward using transformation as a research tool to validate gene function—for example, testing the roles of candidate acyltransferases or polyketide synthases in curcuminoid biosynthesis—rather than as a near-term route to commercial cultivars (He &amp; Gang, 2014; Raju et al., 2015).</w:t>
      </w:r>
    </w:p>
    <w:p w14:paraId="24F4B362" w14:textId="77777777" w:rsidR="009566DB" w:rsidRDefault="009566DB" w:rsidP="00507EE0">
      <w:pPr>
        <w:pStyle w:val="Heading3"/>
        <w:jc w:val="both"/>
      </w:pPr>
      <w:r>
        <w:t>3.3 In vitro elicitation, nanotechnology and metabolic engineering of secondary metabolism</w:t>
      </w:r>
    </w:p>
    <w:p w14:paraId="5A9270D2" w14:textId="77777777" w:rsidR="009566DB" w:rsidRDefault="009566DB" w:rsidP="00507EE0">
      <w:pPr>
        <w:pStyle w:val="NormalWeb"/>
        <w:jc w:val="both"/>
      </w:pPr>
      <w:r>
        <w:t xml:space="preserve">Even without stable transgenesis, in vitro systems can be used to manipulate turmeric quality by steering secondary metabolism. Undifferentiated cells, embryogenic cultures and organ cultures respond strongly to environmental and chemical cues, and a large body of work in other medicinal plants shows that </w:t>
      </w:r>
      <w:proofErr w:type="spellStart"/>
      <w:r>
        <w:t>jasmonates</w:t>
      </w:r>
      <w:proofErr w:type="spellEnd"/>
      <w:r>
        <w:t>, salicylic acid, chitosan, UV-B, and various nanoparticles can all act as elicitors that increase the accumulation of specific metabolites (Hussain et al., 2022; Khanam et al., 2022; Xu et al., 2021). Adventitious root cultures and hairy roots are particularly responsive platforms, often combining high growth rates with specialized metabolite profiles that are as rich as, or richer than, those of the native organ (Hussain et al., 2022; Khanam et al., 2022).</w:t>
      </w:r>
    </w:p>
    <w:p w14:paraId="3EFF074C" w14:textId="77777777" w:rsidR="009566DB" w:rsidRDefault="009566DB" w:rsidP="00507EE0">
      <w:pPr>
        <w:pStyle w:val="NormalWeb"/>
        <w:jc w:val="both"/>
      </w:pPr>
      <w:r>
        <w:t xml:space="preserve">For turmeric, relatively few fully optimized </w:t>
      </w:r>
      <w:proofErr w:type="gramStart"/>
      <w:r>
        <w:t>elicitation</w:t>
      </w:r>
      <w:proofErr w:type="gramEnd"/>
      <w:r>
        <w:t xml:space="preserve"> protocols have been reported, but the principles are transferrable. Adventitious or hairy root cultures derived from high-curcumin genotypes could be subjected to systematic elicitor screening—varying </w:t>
      </w:r>
      <w:proofErr w:type="spellStart"/>
      <w:r>
        <w:t>jasmonate</w:t>
      </w:r>
      <w:proofErr w:type="spellEnd"/>
      <w:r>
        <w:t xml:space="preserve"> dose, nutrient composition, light quality or nanomaterial treatments—to identify combinations that maximize curcuminoid and turmerone yields without compromising culture stability. Reviews on root cultures emphasize that appropriate elicitation can increase target metabolite output by several-fold in other species while maintaining batch-to-batch reproducibility that is difficult to achieve in field crops (Hussain et al., 2022; Khanam et al., 2022).</w:t>
      </w:r>
    </w:p>
    <w:p w14:paraId="58C7D4BC" w14:textId="77777777" w:rsidR="009566DB" w:rsidRDefault="009566DB" w:rsidP="00507EE0">
      <w:pPr>
        <w:pStyle w:val="NormalWeb"/>
        <w:jc w:val="both"/>
      </w:pPr>
      <w:r>
        <w:lastRenderedPageBreak/>
        <w:t xml:space="preserve">Nanotechnology adds another layer, both as a tool for elicitation and as a carrier for bioactive compounds. Bioinspired </w:t>
      </w:r>
      <w:proofErr w:type="spellStart"/>
      <w:r>
        <w:t>nano</w:t>
      </w:r>
      <w:proofErr w:type="spellEnd"/>
      <w:r>
        <w:t xml:space="preserve">-modification strategies using biogenic nanoparticles or </w:t>
      </w:r>
      <w:proofErr w:type="spellStart"/>
      <w:r>
        <w:t>nano</w:t>
      </w:r>
      <w:proofErr w:type="spellEnd"/>
      <w:r>
        <w:t xml:space="preserve">-enabled delivery of growth regulators can modulate hormone </w:t>
      </w:r>
      <w:proofErr w:type="spellStart"/>
      <w:r>
        <w:t>signalling</w:t>
      </w:r>
      <w:proofErr w:type="spellEnd"/>
      <w:r>
        <w:t xml:space="preserve"> and oxidative status in cultured tissues, thereby influencing both growth and metabolite profiles (Xu et al., 2021). While careful toxicological assessment is needed, particularly if cultures are eventually used for food or nutraceutical production, such approaches could, in principle, produce turmeric extracts enriched in specific curcuminoid ratios or volatile oils with superior stability or bioavailability, while also reducing solvent and energy inputs in downstream processing.</w:t>
      </w:r>
    </w:p>
    <w:p w14:paraId="0539203E" w14:textId="77777777" w:rsidR="009566DB" w:rsidRDefault="009566DB" w:rsidP="00507EE0">
      <w:pPr>
        <w:pStyle w:val="Heading3"/>
        <w:jc w:val="both"/>
      </w:pPr>
      <w:r>
        <w:t xml:space="preserve">3.4 Root- and organ-culture platforms as </w:t>
      </w:r>
      <w:proofErr w:type="spellStart"/>
      <w:r>
        <w:t>biofactories</w:t>
      </w:r>
      <w:proofErr w:type="spellEnd"/>
      <w:r>
        <w:t xml:space="preserve"> for standardized curcuminoids</w:t>
      </w:r>
    </w:p>
    <w:p w14:paraId="7B96AC3B" w14:textId="34025EBA" w:rsidR="009566DB" w:rsidRDefault="009566DB" w:rsidP="00507EE0">
      <w:pPr>
        <w:pStyle w:val="NormalWeb"/>
        <w:jc w:val="both"/>
      </w:pPr>
      <w:r>
        <w:t xml:space="preserve">Organ cultures—especially roots and rhizome-like structures—are attractive for quality standardization because they retain at least some tissue-specific differentiation, which is often essential for high-level production of specialized metabolites. Comparative analyses of root cultures across medicinal plant species show that they can be scaled in bioreactors, maintained over long periods with stable growth rates, and engineered to respond predictably to elicitors (Hussain et al., 2022). Khanam et al. (2022) summarize how adventitious root cultures can be </w:t>
      </w:r>
      <w:proofErr w:type="spellStart"/>
      <w:r w:rsidR="00607CEC">
        <w:t>optimi</w:t>
      </w:r>
      <w:r w:rsidR="00607CEC">
        <w:t>s</w:t>
      </w:r>
      <w:r w:rsidR="00607CEC">
        <w:t>ed</w:t>
      </w:r>
      <w:proofErr w:type="spellEnd"/>
      <w:r w:rsidR="00607CEC">
        <w:t xml:space="preserve"> </w:t>
      </w:r>
      <w:r>
        <w:t>via medium composition, oxygen transfer rate and bioreactor design to achieve high volumetric productivity of alkaloids, terpenoids and phenolics.</w:t>
      </w:r>
    </w:p>
    <w:p w14:paraId="5E5A5F19" w14:textId="77777777" w:rsidR="009566DB" w:rsidRDefault="009566DB" w:rsidP="00507EE0">
      <w:pPr>
        <w:pStyle w:val="NormalWeb"/>
        <w:jc w:val="both"/>
      </w:pPr>
      <w:r>
        <w:t xml:space="preserve">Translating this framework to turmeric suggests a multi-step strategy. First, root or rhizome explants from elite, high-curcuminoid genotypes identified through field screening would be used to initiate root cultures or rhizome-like organ cultures in vitro. Second, these cultures would be characterized metabolically to confirm that their curcuminoid and turmerone profiles match or surpass those of the source tissue. Third, process optimization—ranging from carbon source and nitrogen form to elicitors and oxygenation regimes—would be used to enhance product </w:t>
      </w:r>
      <w:proofErr w:type="spellStart"/>
      <w:r>
        <w:t>titres</w:t>
      </w:r>
      <w:proofErr w:type="spellEnd"/>
      <w:r>
        <w:t>. Because organ cultures can be maintained in closed, controlled systems, they inherently reduce the risk of pesticide residues, mycotoxins or heavy-metal contamination, thereby improving the safety dimension of turmeric quality.</w:t>
      </w:r>
    </w:p>
    <w:p w14:paraId="4BFF3219" w14:textId="77777777" w:rsidR="009566DB" w:rsidRDefault="009566DB" w:rsidP="00507EE0">
      <w:pPr>
        <w:pStyle w:val="NormalWeb"/>
        <w:jc w:val="both"/>
      </w:pPr>
      <w:r>
        <w:t xml:space="preserve">Furthermore, organ cultures provide excellent platforms for "bioprocess-aware" breeding: genotypes can be evaluated directly for their </w:t>
      </w:r>
      <w:proofErr w:type="spellStart"/>
      <w:r>
        <w:t>behaviour</w:t>
      </w:r>
      <w:proofErr w:type="spellEnd"/>
      <w:r>
        <w:t xml:space="preserve"> in bioreactors rather than solely in the field, and those that show both good agronomic performance and </w:t>
      </w:r>
      <w:proofErr w:type="spellStart"/>
      <w:r>
        <w:t>favourable</w:t>
      </w:r>
      <w:proofErr w:type="spellEnd"/>
      <w:r>
        <w:t xml:space="preserve"> in vitro traits can be prioritized. Over time, this could shift turmeric quality improvement from a purely agronomic/chemical paradigm to an integrated crop-and-bioprocess design framework (Hussain et al., 2022; Khanam et al., 2022).</w:t>
      </w:r>
    </w:p>
    <w:p w14:paraId="1831D821" w14:textId="77777777" w:rsidR="009566DB" w:rsidRDefault="009566DB" w:rsidP="00507EE0">
      <w:pPr>
        <w:pStyle w:val="Heading3"/>
        <w:jc w:val="both"/>
      </w:pPr>
      <w:r>
        <w:t>3.5 Omics-enabled target discovery and marker-assisted breeding</w:t>
      </w:r>
    </w:p>
    <w:p w14:paraId="4B3D24CE" w14:textId="77777777" w:rsidR="009566DB" w:rsidRDefault="009566DB" w:rsidP="00507EE0">
      <w:pPr>
        <w:pStyle w:val="NormalWeb"/>
        <w:jc w:val="both"/>
      </w:pPr>
      <w:r>
        <w:t xml:space="preserve">A major recent inflection point for turmeric biotechnology has been the publication of draft and chromosome-scale genome assemblies (Chakraborty et al., 2021; Yin et al., 2022). These genomes reveal extensive expansion of gene families associated with secondary metabolism, hormone </w:t>
      </w:r>
      <w:proofErr w:type="spellStart"/>
      <w:r>
        <w:t>signalling</w:t>
      </w:r>
      <w:proofErr w:type="spellEnd"/>
      <w:r>
        <w:t>, and abiotic and biotic stress responses, including multiple copies of key enzymes in the phenylpropanoid and curcuminoid biosynthetic pathways. Integrating these structural data with transcriptomic and metabolomic profiles enables the identification of candidate genes whose expression correlates strongly with curcuminoid accumulation or with specific volatile-oil fingerprints.</w:t>
      </w:r>
    </w:p>
    <w:p w14:paraId="03B9E33B" w14:textId="77777777" w:rsidR="009566DB" w:rsidRDefault="009566DB" w:rsidP="00507EE0">
      <w:pPr>
        <w:pStyle w:val="NormalWeb"/>
        <w:jc w:val="both"/>
      </w:pPr>
      <w:r>
        <w:lastRenderedPageBreak/>
        <w:t xml:space="preserve">For example, genome-wide analyses have identified expanded families of </w:t>
      </w:r>
      <w:proofErr w:type="spellStart"/>
      <w:r>
        <w:t>diketide</w:t>
      </w:r>
      <w:proofErr w:type="spellEnd"/>
      <w:r>
        <w:t>-CoA synthases and curcumin synthases, as well as acyltransferases and oxidoreductases likely involved in decorating curcuminoid cores (Chakraborty et al., 2021; Yin et al., 2022). Parallel work in related Curcuma species has functionally characterized individual polyketide synthases, demonstrating their substrate preferences and contributions to distinct curcuminoid analogues (Chen et al., 2022). Such mechanistic information is critical for rational quality improvement, because it clarifies which steps are rate-limiting, which isoforms are associated with desirable or undesirable chemotypes, and where metabolic flux could be re-routed without compromising plant fitness.</w:t>
      </w:r>
    </w:p>
    <w:p w14:paraId="0D4F1399" w14:textId="77777777" w:rsidR="009566DB" w:rsidRDefault="009566DB" w:rsidP="00507EE0">
      <w:pPr>
        <w:pStyle w:val="NormalWeb"/>
        <w:jc w:val="both"/>
      </w:pPr>
      <w:r>
        <w:t xml:space="preserve">In breeding terms, these resources open the door to marker-assisted selection for quality traits. Once polymorphisms in structural or regulatory genes associated with high curcumin or </w:t>
      </w:r>
      <w:proofErr w:type="spellStart"/>
      <w:r>
        <w:t>favourable</w:t>
      </w:r>
      <w:proofErr w:type="spellEnd"/>
      <w:r>
        <w:t xml:space="preserve"> curcuminoid ratios are validated, they can be converted into diagnostic markers for screening segregating populations or landrace collections. Over time, this could enable breeders to assemble superior quality alleles into single genetic backgrounds more efficiently than by relying on phenotypic assays alone, especially for traits with strong genotype-by-environment interactions.</w:t>
      </w:r>
    </w:p>
    <w:p w14:paraId="2DAF7ACC" w14:textId="77777777" w:rsidR="009566DB" w:rsidRDefault="009566DB" w:rsidP="00507EE0">
      <w:pPr>
        <w:pStyle w:val="Heading3"/>
        <w:jc w:val="both"/>
      </w:pPr>
      <w:r>
        <w:t>3.6 Genome editing and synthetic-biology prospects</w:t>
      </w:r>
    </w:p>
    <w:p w14:paraId="4006B003" w14:textId="77777777" w:rsidR="009566DB" w:rsidRDefault="009566DB" w:rsidP="00507EE0">
      <w:pPr>
        <w:pStyle w:val="NormalWeb"/>
        <w:jc w:val="both"/>
      </w:pPr>
      <w:r>
        <w:t>The combination of high-quality genomes, functional characterization of pathway enzymes and increasingly mature genome-editing and synthetic biology toolkits creates a clear conceptual pathway towards engineered turmeric quality. CRISPR/Cas systems could, in principle, be used to knock out competing branches of secondary metabolism, up-regulate rate-limiting steps via promoter editing, or modulate transcription factors that coordinate suites of stress and metabolic responses, thereby shifting the plant’s "default" chemotype toward higher curcuminoid or turmerone levels. Although practical genome editing in turmeric has not yet been widely reported, protocols from other recalcitrant monocots and medicinal plants provide a methodological starting point, and the transformation system of He and Gang (2014) demonstrates that stable genomic modification is feasible.</w:t>
      </w:r>
    </w:p>
    <w:p w14:paraId="5B9B3D01" w14:textId="77777777" w:rsidR="009566DB" w:rsidRDefault="009566DB" w:rsidP="00507EE0">
      <w:pPr>
        <w:pStyle w:val="NormalWeb"/>
        <w:jc w:val="both"/>
      </w:pPr>
      <w:r>
        <w:t>Synthetic biology also offers routes beyond the plant itself. Detailed knowledge of curcuminoid biosynthetic genes from Curcuma species has already enabled functional reconstruction of pathways in microbial hosts, and broader developments in plant metabolic engineering illustrate how multi-gene clusters can be re-assembled and optimized in yeast or bacteria for high-titer production of complex natural products (Chen et al., 2022; Liao et al., 2023). In the long term, such systems could complement plant-derived turmeric by supplying standardized curcuminoid mixtures for pharmaceutical applications, while field-grown turmeric continues to serve culinary and traditional-medicine markets.</w:t>
      </w:r>
    </w:p>
    <w:p w14:paraId="6D802800" w14:textId="77777777" w:rsidR="009566DB" w:rsidRDefault="009566DB" w:rsidP="00507EE0">
      <w:pPr>
        <w:pStyle w:val="NormalWeb"/>
        <w:jc w:val="both"/>
      </w:pPr>
      <w:r>
        <w:t xml:space="preserve">From a quality-improvement perspective, plant-based genome editing might be most attractive for traits that do not trigger consumer resistance, such as reducing allergenicity, lowering cadmium accumulation, or increasing resistance to storage </w:t>
      </w:r>
      <w:proofErr w:type="spellStart"/>
      <w:r>
        <w:t>moulds</w:t>
      </w:r>
      <w:proofErr w:type="spellEnd"/>
      <w:r>
        <w:t xml:space="preserve">, thereby indirectly protecting curcuminoid integrity. Editorials on plant metabolism and synthetic biology emphasize that combining multi-omics target discovery with precise genome editing is likely to be a dominant paradigm for future improvement of specialized metabolites in many crops (Liao et al., 2023). Turmeric is now </w:t>
      </w:r>
      <w:proofErr w:type="spellStart"/>
      <w:r>
        <w:t>genomically</w:t>
      </w:r>
      <w:proofErr w:type="spellEnd"/>
      <w:r>
        <w:t xml:space="preserve"> equipped to participate in this wave, provided that efficient editing and regeneration systems are established.</w:t>
      </w:r>
    </w:p>
    <w:p w14:paraId="688B83A1" w14:textId="77777777" w:rsidR="009566DB" w:rsidRDefault="009566DB" w:rsidP="00507EE0">
      <w:pPr>
        <w:pStyle w:val="Heading3"/>
        <w:jc w:val="both"/>
      </w:pPr>
      <w:r>
        <w:lastRenderedPageBreak/>
        <w:t>3.7 Rhizosphere microbiome and bioinoculants as complementary biotechnological tools</w:t>
      </w:r>
    </w:p>
    <w:p w14:paraId="4B45AC9A" w14:textId="77777777" w:rsidR="009566DB" w:rsidRDefault="009566DB" w:rsidP="00507EE0">
      <w:pPr>
        <w:pStyle w:val="NormalWeb"/>
        <w:jc w:val="both"/>
      </w:pPr>
      <w:r>
        <w:t xml:space="preserve">A final, increasingly important layer of turmeric quality improvement is rhizosphere and </w:t>
      </w:r>
      <w:proofErr w:type="spellStart"/>
      <w:r>
        <w:t>endosphere</w:t>
      </w:r>
      <w:proofErr w:type="spellEnd"/>
      <w:r>
        <w:t xml:space="preserve"> engineering. Plant growth-promoting rhizobacteria (PGPR) and other beneficial microbes can influence not only growth and nutrient uptake but also secondary metabolism, including phenylpropanoid and terpenoid pathways that underpin turmeric’s functional quality. A recent systematic review of rhizobacterial interactions in Curcuma longa synthesizes evidence that consortia including </w:t>
      </w:r>
      <w:proofErr w:type="spellStart"/>
      <w:r>
        <w:t>Azotobacter</w:t>
      </w:r>
      <w:proofErr w:type="spellEnd"/>
      <w:r>
        <w:t>, Bacillus and Pseudomonas strains can enhance biomass, nutrient use efficiency, and, in several studies, curcumin and essential-oil contents of rhizomes (</w:t>
      </w:r>
      <w:r w:rsidR="008A4F04">
        <w:t xml:space="preserve">Kumar et al., 2016; </w:t>
      </w:r>
      <w:r>
        <w:t>Khan et al., 2023).</w:t>
      </w:r>
    </w:p>
    <w:p w14:paraId="4AFB661D" w14:textId="77777777" w:rsidR="009566DB" w:rsidRDefault="009566DB" w:rsidP="00507EE0">
      <w:pPr>
        <w:pStyle w:val="NormalWeb"/>
        <w:jc w:val="both"/>
      </w:pPr>
      <w:r>
        <w:t xml:space="preserve">These effects arise through multiple mechanisms—improved nitrogen and phosphorus acquisition, phytohormone production, induced systemic resistance and altered redox status—all of which intersect with hormonal and metabolic networks known to regulate secondary metabolism (Khan et al., 2023). From a biotechnology standpoint, PGPR and mycorrhizal formulations are attractive because they can be combined with </w:t>
      </w:r>
      <w:proofErr w:type="spellStart"/>
      <w:r>
        <w:t>micropropagated</w:t>
      </w:r>
      <w:proofErr w:type="spellEnd"/>
      <w:r>
        <w:t xml:space="preserve"> elite genotypes, are compatible with organic certification when appropriately formulated, and tend to be more socially acceptable than transgenic approaches.</w:t>
      </w:r>
    </w:p>
    <w:p w14:paraId="29893C08" w14:textId="77777777" w:rsidR="009566DB" w:rsidRDefault="009566DB" w:rsidP="00507EE0">
      <w:pPr>
        <w:pStyle w:val="NormalWeb"/>
        <w:jc w:val="both"/>
      </w:pPr>
      <w:r>
        <w:t xml:space="preserve">A forward-looking strategy would therefore integrate </w:t>
      </w:r>
      <w:proofErr w:type="spellStart"/>
      <w:r>
        <w:t>micropropagated</w:t>
      </w:r>
      <w:proofErr w:type="spellEnd"/>
      <w:r>
        <w:t>, omics-characterized turmeric genotypes with tailored microbial consortia in quality-certified production systems. Such systems could be further refined by using molecular and metabolomic tools to monitor how specific microbial formulations influence curcuminoid and volatile-oil profiles under contrasting soils and climates. In this way, microbiome engineering becomes a complementary biotechnological intervention that stabilizes and enhances quality expression in the field, while laboratory-based interventions—tissue culture, organ cultures and, in the longer term, genome editing—reshape the genetic and cellular context in which these microbes operate.</w:t>
      </w:r>
    </w:p>
    <w:p w14:paraId="10D0BC0D" w14:textId="77777777" w:rsidR="00133F64" w:rsidRDefault="00133F64" w:rsidP="00507EE0">
      <w:pPr>
        <w:jc w:val="both"/>
      </w:pPr>
    </w:p>
    <w:p w14:paraId="32CAFA97" w14:textId="77777777" w:rsidR="005640C1" w:rsidRDefault="005640C1" w:rsidP="00507EE0">
      <w:pPr>
        <w:pStyle w:val="Heading2"/>
        <w:jc w:val="both"/>
      </w:pPr>
      <w:r>
        <w:t>4. Omics-Enabled Dissection of Quality Traits</w:t>
      </w:r>
    </w:p>
    <w:p w14:paraId="2FFC51B7" w14:textId="77777777" w:rsidR="005640C1" w:rsidRDefault="005640C1" w:rsidP="00507EE0">
      <w:pPr>
        <w:pStyle w:val="NormalWeb"/>
        <w:jc w:val="both"/>
      </w:pPr>
      <w:r>
        <w:t xml:space="preserve">The rapid expansion of omics technologies has transformed turmeric from a “black box” medicinal rhizome into a tractable system in which quality traits can be traced from DNA sequence to metabolite profiles. In this section, omics is considered broadly to include genomics, transcriptomics and metabolomics, with particular emphasis on how these tools resolve variation in curcuminoids, essential oils and other </w:t>
      </w:r>
      <w:proofErr w:type="spellStart"/>
      <w:r>
        <w:t>bioactives</w:t>
      </w:r>
      <w:proofErr w:type="spellEnd"/>
      <w:r>
        <w:t xml:space="preserve"> that underpin turmeric quality.</w:t>
      </w:r>
    </w:p>
    <w:p w14:paraId="7DD7B1AB" w14:textId="77777777" w:rsidR="005640C1" w:rsidRDefault="005640C1" w:rsidP="00507EE0">
      <w:pPr>
        <w:pStyle w:val="Heading3"/>
        <w:jc w:val="both"/>
      </w:pPr>
      <w:r>
        <w:t>4.1 Genomic architecture of curcuminoid and aroma pathways</w:t>
      </w:r>
    </w:p>
    <w:p w14:paraId="56C7E54E" w14:textId="77777777" w:rsidR="005640C1" w:rsidRDefault="005640C1" w:rsidP="00507EE0">
      <w:pPr>
        <w:pStyle w:val="NormalWeb"/>
        <w:jc w:val="both"/>
      </w:pPr>
      <w:r>
        <w:t xml:space="preserve">The availability of reference genomes has been a major turning point for turmeric quality research. The first high-quality genome of </w:t>
      </w:r>
      <w:r>
        <w:rPr>
          <w:rStyle w:val="Emphasis"/>
        </w:rPr>
        <w:t>Curcuma longa</w:t>
      </w:r>
      <w:r>
        <w:t xml:space="preserve"> (1.13 Gb; highly repetitive and polyploid) revealed extensive expansion of gene families associated with secondary metabolism, including type III polyketide synthases, cytochrome P450s, and oxidoreductases that are central to curcuminoid biosynthesis (Chakraborty et al., 2021). This assembly, combined with comparative analyses, indicated that repeated whole-genome duplication and </w:t>
      </w:r>
      <w:r>
        <w:lastRenderedPageBreak/>
        <w:t>tandem gene family expansions have created a rich enzymatic toolkit for diarylheptanoid and terpenoid diversification—providing a genomic explanation for the extraordinary phytochemical diversity that underlies differences in color, flavor and pharmacological activity across landraces.</w:t>
      </w:r>
    </w:p>
    <w:p w14:paraId="4DB4C8A9" w14:textId="77777777" w:rsidR="005640C1" w:rsidRDefault="005640C1" w:rsidP="00507EE0">
      <w:pPr>
        <w:pStyle w:val="NormalWeb"/>
        <w:jc w:val="both"/>
      </w:pPr>
      <w:r>
        <w:t xml:space="preserve">A subsequent chromosome-scale assembly refined this picture by anchoring scaffolds into pseudochromosomes and integrating RNA-seq data from rhizome and tuber tissues (Yin et al., 2022). This work mapped candidate loci for curcumin, </w:t>
      </w:r>
      <w:proofErr w:type="spellStart"/>
      <w:r>
        <w:t>demethoxycurcumin</w:t>
      </w:r>
      <w:proofErr w:type="spellEnd"/>
      <w:r>
        <w:t xml:space="preserve"> and bisdemethoxycurcumin biosynthesis, and highlighted lineage-specific duplications in key structural genes such as </w:t>
      </w:r>
      <w:proofErr w:type="spellStart"/>
      <w:r>
        <w:t>diketide</w:t>
      </w:r>
      <w:proofErr w:type="spellEnd"/>
      <w:r>
        <w:t>-CoA synthases and curcumin synthases. Co-expression patterns indicated that genes for curcuminoids, phenolic acids and certain sesquiterpenes form coordinated modules, suggesting that quality traits perceived by processors (color intensity, aroma complexity) may be controlled by relatively tight genomic clusters rather than isolated loci. From a breeding standpoint, these genomic insights open the way to marker-assisted selection for high-curcuminoid and optimized volatile profiles, as well as to genome-editing strategies that fine-tune flux through competing branches of the phenylpropanoid pathway.</w:t>
      </w:r>
    </w:p>
    <w:p w14:paraId="2B82E7BE" w14:textId="77777777" w:rsidR="005640C1" w:rsidRDefault="005640C1" w:rsidP="00507EE0">
      <w:pPr>
        <w:pStyle w:val="Heading3"/>
        <w:jc w:val="both"/>
      </w:pPr>
      <w:r>
        <w:t>4.2 Metabolomics for chemotype definition and process fingerprints</w:t>
      </w:r>
    </w:p>
    <w:p w14:paraId="58013086" w14:textId="77777777" w:rsidR="005640C1" w:rsidRDefault="005640C1" w:rsidP="00507EE0">
      <w:pPr>
        <w:pStyle w:val="NormalWeb"/>
        <w:jc w:val="both"/>
      </w:pPr>
      <w:r>
        <w:t xml:space="preserve">While genomics reveals potential, metabolomics captures realized quality as perceived by end-users. Untargeted LC–MS and NMR metabolomics have been particularly powerful in resolving </w:t>
      </w:r>
      <w:r>
        <w:rPr>
          <w:rStyle w:val="Emphasis"/>
        </w:rPr>
        <w:t>Curcuma</w:t>
      </w:r>
      <w:r>
        <w:t xml:space="preserve"> chemotypes and in quantifying the influence of environment and processing on quality attributes. Early non-targeted NMR work showed that closely related </w:t>
      </w:r>
      <w:r>
        <w:rPr>
          <w:rStyle w:val="Emphasis"/>
        </w:rPr>
        <w:t>Curcuma</w:t>
      </w:r>
      <w:r>
        <w:t xml:space="preserve"> species and accessions could be separated based on their metabolite fingerprints, with diarylheptanoids, phenolic acids and sugars acting as major discriminants (Jung et al., 2012). LC–MS-based analyses further refined this approach by detecting low-abundance curcuminoid derivatives and </w:t>
      </w:r>
      <w:proofErr w:type="spellStart"/>
      <w:r>
        <w:t>terpecurcumins</w:t>
      </w:r>
      <w:proofErr w:type="spellEnd"/>
      <w:r>
        <w:t xml:space="preserve"> that would be missed by conventional quality control focusing on total curcumin alone (He et al., 1998; Jiang et al., 2006; </w:t>
      </w:r>
      <w:proofErr w:type="spellStart"/>
      <w:r>
        <w:t>Herebian</w:t>
      </w:r>
      <w:proofErr w:type="spellEnd"/>
      <w:r>
        <w:t xml:space="preserve"> et al., 2009). </w:t>
      </w:r>
    </w:p>
    <w:p w14:paraId="40AF6FFA" w14:textId="77777777" w:rsidR="005640C1" w:rsidRDefault="005640C1" w:rsidP="00507EE0">
      <w:pPr>
        <w:pStyle w:val="NormalWeb"/>
        <w:jc w:val="both"/>
      </w:pPr>
      <w:r>
        <w:t xml:space="preserve">Widely targeted metabolomics of five </w:t>
      </w:r>
      <w:r>
        <w:rPr>
          <w:rStyle w:val="Emphasis"/>
        </w:rPr>
        <w:t>Curcuma</w:t>
      </w:r>
      <w:r>
        <w:t xml:space="preserve"> species, combining multiple chromatographic modes with high-resolution MS, quantified hundreds of metabolites and showed that pharmacologically important compounds—including curcuminoids, turmerones and polysaccharide-linked phenolics—exhibit strong species- and tissue-specific patterns (Ye et al., 2022). This work demonstrated that the medicinal “quality” of turmeric cannot be reduced to curcumin alone: different chemotypes present distinct constellations of diarylheptanoids, sesquiterpenes and minor phenolics that may modulate bioavailability and biological responses. For food and pharmaceutical industries, such profiles provide a rational basis to define chemotype-specific quality standards and to match source material to intended applications (for example, antioxidant nutraceuticals versus aroma-driven culinary products).</w:t>
      </w:r>
    </w:p>
    <w:p w14:paraId="2567A7DB" w14:textId="77777777" w:rsidR="005640C1" w:rsidRDefault="005640C1" w:rsidP="00507EE0">
      <w:pPr>
        <w:pStyle w:val="NormalWeb"/>
        <w:jc w:val="both"/>
      </w:pPr>
      <w:r>
        <w:t xml:space="preserve">Process-level quality deterioration and improvement can also be quantified by metabolomics. Salem et al. (2022) contrasted fresh and dried rhizomes and showed that drying not only concentrates classical curcuminoids but also reshapes the metabolome, increasing certain organic acids and </w:t>
      </w:r>
      <w:proofErr w:type="spellStart"/>
      <w:r>
        <w:t>terpecurcumins</w:t>
      </w:r>
      <w:proofErr w:type="spellEnd"/>
      <w:r>
        <w:t xml:space="preserve"> while decreasing amino acids and some sesquiterpenes. Chemometric models identified marker metabolites that unambiguously distinguish fresh from dried material and capture subtle over-drying or heat-damage signatures. For quality assurance, such “process fingerprints” can underpin authenticity tests, enabling detection of adulteration with other </w:t>
      </w:r>
      <w:r>
        <w:rPr>
          <w:rStyle w:val="Emphasis"/>
        </w:rPr>
        <w:t>Curcuma</w:t>
      </w:r>
      <w:r>
        <w:t xml:space="preserve"> species or with synthetic colorants, and providing an </w:t>
      </w:r>
      <w:r>
        <w:lastRenderedPageBreak/>
        <w:t>objective tool to optimize drying regimes that balance microbial safety with retention of desirable volatiles and color.</w:t>
      </w:r>
    </w:p>
    <w:p w14:paraId="149F54D4" w14:textId="77777777" w:rsidR="005640C1" w:rsidRDefault="005640C1" w:rsidP="00507EE0">
      <w:pPr>
        <w:pStyle w:val="NormalWeb"/>
        <w:jc w:val="both"/>
      </w:pPr>
      <w:r>
        <w:t xml:space="preserve">Recent HPLC–MS/MS studies employing molecular networking have extended metabolome coverage and clarified structural relationships among diarylheptanoids. Using Global Natural Products Social Molecular Networking, </w:t>
      </w:r>
      <w:proofErr w:type="spellStart"/>
      <w:r>
        <w:t>Budhathoki</w:t>
      </w:r>
      <w:proofErr w:type="spellEnd"/>
      <w:r>
        <w:t xml:space="preserve"> et al. (2023) resolved thirty metabolites in turmeric rhizomes, including several diarylheptanoids reported for the first time in this species and organized them into structurally coherent clusters based on tandem MS fragmentation patterns. This network-based view makes it possible to visualize how specific enzymatic steps—such as differential hydroxylation or </w:t>
      </w:r>
      <w:proofErr w:type="spellStart"/>
      <w:r>
        <w:t>methoxylation</w:t>
      </w:r>
      <w:proofErr w:type="spellEnd"/>
      <w:r>
        <w:t>—translate into distinct sub-families of curcuminoids that contribute to nuanced differences in color tone and antioxidant capacity.</w:t>
      </w:r>
    </w:p>
    <w:p w14:paraId="3F85FB71" w14:textId="77777777" w:rsidR="005640C1" w:rsidRDefault="005640C1" w:rsidP="00507EE0">
      <w:pPr>
        <w:pStyle w:val="Heading3"/>
        <w:jc w:val="both"/>
      </w:pPr>
      <w:r>
        <w:t>4.3 Integrating metabolomics with quality databases and systems biology</w:t>
      </w:r>
    </w:p>
    <w:p w14:paraId="120C0142" w14:textId="77777777" w:rsidR="005640C1" w:rsidRDefault="005640C1" w:rsidP="00507EE0">
      <w:pPr>
        <w:pStyle w:val="NormalWeb"/>
        <w:jc w:val="both"/>
      </w:pPr>
      <w:r>
        <w:t xml:space="preserve">Beyond individual experiments, turmeric quality research is increasingly supported by curated metabolite databases. Gupta et al. (2024) synthesized data from high-performance thin-layer chromatography, LC–MS, GC–MS and NMR studies into a structured metabolite database for </w:t>
      </w:r>
      <w:r>
        <w:rPr>
          <w:rStyle w:val="Emphasis"/>
        </w:rPr>
        <w:t>C. longa</w:t>
      </w:r>
      <w:r>
        <w:t>, linking compounds to extraction methods, environmental conditions and reported bioactivities. Such integrative resources are critical for translating omics data into practical quality tools: they allow analysts to annotate unknown peaks by similarity to known compounds, breeders to query which metabolite combinations define high-value chemotypes, and pharmacologists to prioritize metabolites for mechanistic or clinical follow-up.</w:t>
      </w:r>
    </w:p>
    <w:p w14:paraId="71990755" w14:textId="77777777" w:rsidR="005640C1" w:rsidRDefault="005640C1" w:rsidP="00507EE0">
      <w:pPr>
        <w:pStyle w:val="NormalWeb"/>
        <w:jc w:val="both"/>
      </w:pPr>
      <w:r>
        <w:t>At the methodological level, plant metabolomics has matured into a robust platform with standardized workflows for sample preparation, chromatography, MS acquisition and data processing. Reviews in plant metabolomics emphasize that combining complementary platforms (for example, reversed-phase LC–MS for semi-polar metabolites and GC–MS for volatiles) yields far richer coverage than any single technology, and that rigorous quality control is essential for meaningful biological interpretation (Sumner et al., 2003; Dunn et al., 2005; Dettmer et al., 2007). These principles are directly applicable to turmeric: multi-platform designs are particularly important for capturing both lipophilic curcuminoids and relatively polar degradation products or conjugates, while internal standards and pooled quality-control samples help to distinguish process-related shifts from instrumental drift.</w:t>
      </w:r>
    </w:p>
    <w:p w14:paraId="16BB373A" w14:textId="0DFA30B6" w:rsidR="005640C1" w:rsidRDefault="005640C1" w:rsidP="00507EE0">
      <w:pPr>
        <w:pStyle w:val="NormalWeb"/>
        <w:jc w:val="both"/>
      </w:pPr>
      <w:r>
        <w:t xml:space="preserve">When genomic, transcriptomic and metabolomic datasets are integrated, turmeric quality traits can be dissected at </w:t>
      </w:r>
      <w:r w:rsidR="00607CEC">
        <w:t xml:space="preserve">the </w:t>
      </w:r>
      <w:r>
        <w:t xml:space="preserve">systems level. Genome annotations from </w:t>
      </w:r>
      <w:r>
        <w:rPr>
          <w:rStyle w:val="Emphasis"/>
        </w:rPr>
        <w:t>C. longa</w:t>
      </w:r>
      <w:r>
        <w:t xml:space="preserve"> assemblies provide candidate enzymes and regulatory genes; RNA-seq under different developmental stages or elicitor treatments can identify co-expressed modules enriched for curcuminoid or volatile biosynthesis; and metabolomics offers quantitative phenotypes for network modeling. Initial studies coupling genome data with expression profiles have already pinpointed candidate transcription factors and signaling pathways (for example, </w:t>
      </w:r>
      <w:proofErr w:type="spellStart"/>
      <w:r>
        <w:t>jasmonate</w:t>
      </w:r>
      <w:proofErr w:type="spellEnd"/>
      <w:r>
        <w:t xml:space="preserve"> and </w:t>
      </w:r>
      <w:proofErr w:type="spellStart"/>
      <w:r>
        <w:t>brassinosteroid</w:t>
      </w:r>
      <w:proofErr w:type="spellEnd"/>
      <w:r>
        <w:t xml:space="preserve"> signaling) that modulate secondary metabolism in turmeric, echoing patterns observed in other medicinal plants (Chakraborty et al., 2021; Yin et al., 2022). As these integrative datasets grow, it should become feasible to build predictive models where genomic markers and environmental variables jointly predict metabolite profiles and sensory traits, enabling more precise selection and process control.</w:t>
      </w:r>
    </w:p>
    <w:p w14:paraId="27425C8D" w14:textId="77777777" w:rsidR="005640C1" w:rsidRDefault="005640C1" w:rsidP="00507EE0">
      <w:pPr>
        <w:pStyle w:val="Heading3"/>
        <w:jc w:val="both"/>
      </w:pPr>
      <w:r>
        <w:t>4.4 Implications for precision breeding and biotechnological design</w:t>
      </w:r>
    </w:p>
    <w:p w14:paraId="37E554B4" w14:textId="77777777" w:rsidR="005640C1" w:rsidRDefault="005640C1" w:rsidP="00507EE0">
      <w:pPr>
        <w:pStyle w:val="NormalWeb"/>
        <w:jc w:val="both"/>
      </w:pPr>
      <w:r>
        <w:lastRenderedPageBreak/>
        <w:t xml:space="preserve">The omics-enabled dissection of turmeric quality traits has several practical implications. First, genomic and metabolomic markers can be combined to define quality ideotypes—genotypes that consistently achieve high curcuminoid content, desirable volatile profiles and low levels of contaminants under specified growing conditions. Such ideotypes could guide both conventional and marker-assisted breeding, with metabolomics serving as a high-throughput phenotyping read-out. Second, omics data can inform metabolic engineering strategies in heterologous hosts, such as yeast or </w:t>
      </w:r>
      <w:r>
        <w:rPr>
          <w:rStyle w:val="Emphasis"/>
        </w:rPr>
        <w:t>Nicotiana</w:t>
      </w:r>
      <w:r>
        <w:t xml:space="preserve"> species, where curated gene sets from turmeric can be introduced to produce specific curcuminoids or turmerones at industrial scale. Third, quality control protocols in the spice, herbal and pharmaceutical industries can be redesigned around omics-derived fingerprints rather than single-analyte assays, offering more comprehensive and fraud-resistant standards.</w:t>
      </w:r>
    </w:p>
    <w:p w14:paraId="73EF622B" w14:textId="77777777" w:rsidR="005640C1" w:rsidRDefault="005640C1" w:rsidP="00507EE0">
      <w:pPr>
        <w:pStyle w:val="NormalWeb"/>
        <w:jc w:val="both"/>
      </w:pPr>
      <w:r>
        <w:t>Overall, omics technologies have moved turmeric quality research from descriptive chemistry toward a mechanistic understanding of how genotype, environment and processing interact to shape the phytochemical landscape. Continued investment in high-resolution genomics and metabolomics, coupled with open, curated databases and integrative analysis frameworks, will be essential to fully exploit turmeric’s genetic potential for tailored, high-quality products along the food, nutraceutical and pharmaceutical value chains.</w:t>
      </w:r>
    </w:p>
    <w:p w14:paraId="4195F139" w14:textId="77777777" w:rsidR="00133F64" w:rsidRDefault="00133F64" w:rsidP="00507EE0">
      <w:pPr>
        <w:jc w:val="both"/>
      </w:pPr>
    </w:p>
    <w:p w14:paraId="3053FD3C" w14:textId="77777777" w:rsidR="005640C1" w:rsidRPr="005640C1" w:rsidRDefault="005640C1" w:rsidP="00507EE0">
      <w:pPr>
        <w:pStyle w:val="Heading2"/>
        <w:jc w:val="both"/>
      </w:pPr>
      <w:r w:rsidRPr="005640C1">
        <w:t>5. Case Studies Linking Biotechnological Interventions to Quality Outcomes</w:t>
      </w:r>
    </w:p>
    <w:p w14:paraId="2126C55C" w14:textId="77777777" w:rsidR="005640C1" w:rsidRPr="005640C1" w:rsidRDefault="005640C1" w:rsidP="00507EE0">
      <w:pPr>
        <w:pStyle w:val="Heading3"/>
        <w:jc w:val="both"/>
      </w:pPr>
      <w:r w:rsidRPr="005640C1">
        <w:t xml:space="preserve">5.1 Clonal propagation and </w:t>
      </w:r>
      <w:proofErr w:type="spellStart"/>
      <w:r w:rsidRPr="005640C1">
        <w:t>microrhizome</w:t>
      </w:r>
      <w:proofErr w:type="spellEnd"/>
      <w:r w:rsidRPr="005640C1">
        <w:t xml:space="preserve"> technologies for uniform quality</w:t>
      </w:r>
    </w:p>
    <w:p w14:paraId="676E16BD" w14:textId="59F8E567" w:rsidR="005640C1" w:rsidRPr="005640C1" w:rsidRDefault="005640C1" w:rsidP="00507EE0">
      <w:pPr>
        <w:spacing w:before="100" w:beforeAutospacing="1" w:after="100" w:afterAutospacing="1" w:line="240" w:lineRule="auto"/>
        <w:jc w:val="both"/>
        <w:rPr>
          <w:rFonts w:ascii="Times New Roman" w:eastAsia="Times New Roman" w:hAnsi="Times New Roman" w:cs="Times New Roman"/>
          <w:sz w:val="24"/>
          <w:szCs w:val="24"/>
          <w:lang w:val="en-US"/>
        </w:rPr>
      </w:pPr>
      <w:r w:rsidRPr="005640C1">
        <w:rPr>
          <w:rFonts w:ascii="Times New Roman" w:eastAsia="Times New Roman" w:hAnsi="Times New Roman" w:cs="Times New Roman"/>
          <w:sz w:val="24"/>
          <w:szCs w:val="24"/>
          <w:lang w:val="en-US"/>
        </w:rPr>
        <w:t xml:space="preserve">Some of the clearest links between biotechnology and turmeric quality come from long-term field evaluations of </w:t>
      </w:r>
      <w:proofErr w:type="spellStart"/>
      <w:r w:rsidRPr="005640C1">
        <w:rPr>
          <w:rFonts w:ascii="Times New Roman" w:eastAsia="Times New Roman" w:hAnsi="Times New Roman" w:cs="Times New Roman"/>
          <w:sz w:val="24"/>
          <w:szCs w:val="24"/>
          <w:lang w:val="en-US"/>
        </w:rPr>
        <w:t>micropropagated</w:t>
      </w:r>
      <w:proofErr w:type="spellEnd"/>
      <w:r w:rsidRPr="005640C1">
        <w:rPr>
          <w:rFonts w:ascii="Times New Roman" w:eastAsia="Times New Roman" w:hAnsi="Times New Roman" w:cs="Times New Roman"/>
          <w:sz w:val="24"/>
          <w:szCs w:val="24"/>
          <w:lang w:val="en-US"/>
        </w:rPr>
        <w:t xml:space="preserve"> material. Salvi et al. (2002) developed a robust protocol for clonal propagation of elite turmeric using vegetative buds and demonstrated that </w:t>
      </w:r>
      <w:proofErr w:type="spellStart"/>
      <w:r w:rsidRPr="005640C1">
        <w:rPr>
          <w:rFonts w:ascii="Times New Roman" w:eastAsia="Times New Roman" w:hAnsi="Times New Roman" w:cs="Times New Roman"/>
          <w:sz w:val="24"/>
          <w:szCs w:val="24"/>
          <w:lang w:val="en-US"/>
        </w:rPr>
        <w:t>micropropagated</w:t>
      </w:r>
      <w:proofErr w:type="spellEnd"/>
      <w:r w:rsidRPr="005640C1">
        <w:rPr>
          <w:rFonts w:ascii="Times New Roman" w:eastAsia="Times New Roman" w:hAnsi="Times New Roman" w:cs="Times New Roman"/>
          <w:sz w:val="24"/>
          <w:szCs w:val="24"/>
          <w:lang w:val="en-US"/>
        </w:rPr>
        <w:t xml:space="preserve"> plants not only survived well after </w:t>
      </w:r>
      <w:proofErr w:type="spellStart"/>
      <w:r w:rsidR="00607CEC" w:rsidRPr="00607CEC">
        <w:rPr>
          <w:rFonts w:ascii="Times New Roman" w:eastAsia="Times New Roman" w:hAnsi="Times New Roman" w:cs="Times New Roman"/>
          <w:sz w:val="24"/>
          <w:szCs w:val="24"/>
          <w:highlight w:val="yellow"/>
          <w:lang w:val="en-US"/>
        </w:rPr>
        <w:t>acclimati</w:t>
      </w:r>
      <w:r w:rsidR="00607CEC" w:rsidRPr="00607CEC">
        <w:rPr>
          <w:rFonts w:ascii="Times New Roman" w:eastAsia="Times New Roman" w:hAnsi="Times New Roman" w:cs="Times New Roman"/>
          <w:sz w:val="24"/>
          <w:szCs w:val="24"/>
          <w:highlight w:val="yellow"/>
          <w:lang w:val="en-US"/>
        </w:rPr>
        <w:t>s</w:t>
      </w:r>
      <w:r w:rsidR="00607CEC" w:rsidRPr="00607CEC">
        <w:rPr>
          <w:rFonts w:ascii="Times New Roman" w:eastAsia="Times New Roman" w:hAnsi="Times New Roman" w:cs="Times New Roman"/>
          <w:sz w:val="24"/>
          <w:szCs w:val="24"/>
          <w:highlight w:val="yellow"/>
          <w:lang w:val="en-US"/>
        </w:rPr>
        <w:t>ation</w:t>
      </w:r>
      <w:proofErr w:type="spellEnd"/>
      <w:r w:rsidR="00607CEC" w:rsidRPr="00607CEC">
        <w:rPr>
          <w:rFonts w:ascii="Times New Roman" w:eastAsia="Times New Roman" w:hAnsi="Times New Roman" w:cs="Times New Roman"/>
          <w:sz w:val="24"/>
          <w:szCs w:val="24"/>
          <w:highlight w:val="yellow"/>
          <w:lang w:val="en-US"/>
        </w:rPr>
        <w:t xml:space="preserve"> </w:t>
      </w:r>
      <w:r w:rsidRPr="00607CEC">
        <w:rPr>
          <w:rFonts w:ascii="Times New Roman" w:eastAsia="Times New Roman" w:hAnsi="Times New Roman" w:cs="Times New Roman"/>
          <w:sz w:val="24"/>
          <w:szCs w:val="24"/>
          <w:highlight w:val="yellow"/>
          <w:lang w:val="en-US"/>
        </w:rPr>
        <w:t>but also produced significantly higher rhizome biomass, with increases in number of tillers, leaf area and total fresh rhizome weight compared with conventionally propagated plants (Salvi</w:t>
      </w:r>
      <w:r w:rsidRPr="005640C1">
        <w:rPr>
          <w:rFonts w:ascii="Times New Roman" w:eastAsia="Times New Roman" w:hAnsi="Times New Roman" w:cs="Times New Roman"/>
          <w:sz w:val="24"/>
          <w:szCs w:val="24"/>
          <w:lang w:val="en-US"/>
        </w:rPr>
        <w:t xml:space="preserve"> et al., 2002). Although the study focused primarily on growth traits, the use of a single, carefully selected elite clone implies more uniform curcuminoid and essential-oil profiles in the harvested lot, because field variability arising from heterogeneous planting material is greatly reduced. This work established micropropagation as a practical route to scale up quality-defined germplasm rather than merely increasing plant numbers.</w:t>
      </w:r>
    </w:p>
    <w:p w14:paraId="056B32F8" w14:textId="69849291" w:rsidR="005640C1" w:rsidRPr="005640C1" w:rsidRDefault="005640C1" w:rsidP="00507EE0">
      <w:pPr>
        <w:spacing w:before="100" w:beforeAutospacing="1" w:after="100" w:afterAutospacing="1" w:line="240" w:lineRule="auto"/>
        <w:jc w:val="both"/>
        <w:rPr>
          <w:rFonts w:ascii="Times New Roman" w:eastAsia="Times New Roman" w:hAnsi="Times New Roman" w:cs="Times New Roman"/>
          <w:sz w:val="24"/>
          <w:szCs w:val="24"/>
          <w:lang w:val="en-US"/>
        </w:rPr>
      </w:pPr>
      <w:r w:rsidRPr="005640C1">
        <w:rPr>
          <w:rFonts w:ascii="Times New Roman" w:eastAsia="Times New Roman" w:hAnsi="Times New Roman" w:cs="Times New Roman"/>
          <w:sz w:val="24"/>
          <w:szCs w:val="24"/>
          <w:lang w:val="en-US"/>
        </w:rPr>
        <w:t xml:space="preserve">Subsequent work has extended this principle into bioreactor-based temporary immersion systems (TIS) to further tighten control over plant developmental environments. Marchant et al. (2021) optimized a TIS protocol for Easter Island turmeric, achieving high multiplication rates from rhizome explants </w:t>
      </w:r>
      <w:r w:rsidRPr="00607CEC">
        <w:rPr>
          <w:rFonts w:ascii="Times New Roman" w:eastAsia="Times New Roman" w:hAnsi="Times New Roman" w:cs="Times New Roman"/>
          <w:sz w:val="24"/>
          <w:szCs w:val="24"/>
          <w:highlight w:val="yellow"/>
          <w:lang w:val="en-US"/>
        </w:rPr>
        <w:t xml:space="preserve">and producing uniform plantlets suitable for transplanting (Marchant et al., 2021). By </w:t>
      </w:r>
      <w:proofErr w:type="spellStart"/>
      <w:r w:rsidR="00607CEC" w:rsidRPr="00607CEC">
        <w:rPr>
          <w:rFonts w:ascii="Times New Roman" w:eastAsia="Times New Roman" w:hAnsi="Times New Roman" w:cs="Times New Roman"/>
          <w:sz w:val="24"/>
          <w:szCs w:val="24"/>
          <w:highlight w:val="yellow"/>
          <w:lang w:val="en-US"/>
        </w:rPr>
        <w:t>stabili</w:t>
      </w:r>
      <w:r w:rsidR="00607CEC" w:rsidRPr="00607CEC">
        <w:rPr>
          <w:rFonts w:ascii="Times New Roman" w:eastAsia="Times New Roman" w:hAnsi="Times New Roman" w:cs="Times New Roman"/>
          <w:sz w:val="24"/>
          <w:szCs w:val="24"/>
          <w:highlight w:val="yellow"/>
          <w:lang w:val="en-US"/>
        </w:rPr>
        <w:t>s</w:t>
      </w:r>
      <w:r w:rsidR="00607CEC" w:rsidRPr="00607CEC">
        <w:rPr>
          <w:rFonts w:ascii="Times New Roman" w:eastAsia="Times New Roman" w:hAnsi="Times New Roman" w:cs="Times New Roman"/>
          <w:sz w:val="24"/>
          <w:szCs w:val="24"/>
          <w:highlight w:val="yellow"/>
          <w:lang w:val="en-US"/>
        </w:rPr>
        <w:t>ing</w:t>
      </w:r>
      <w:proofErr w:type="spellEnd"/>
      <w:r w:rsidR="00607CEC" w:rsidRPr="00607CEC">
        <w:rPr>
          <w:rFonts w:ascii="Times New Roman" w:eastAsia="Times New Roman" w:hAnsi="Times New Roman" w:cs="Times New Roman"/>
          <w:sz w:val="24"/>
          <w:szCs w:val="24"/>
          <w:highlight w:val="yellow"/>
          <w:lang w:val="en-US"/>
        </w:rPr>
        <w:t xml:space="preserve"> </w:t>
      </w:r>
      <w:r w:rsidRPr="00607CEC">
        <w:rPr>
          <w:rFonts w:ascii="Times New Roman" w:eastAsia="Times New Roman" w:hAnsi="Times New Roman" w:cs="Times New Roman"/>
          <w:sz w:val="24"/>
          <w:szCs w:val="24"/>
          <w:highlight w:val="yellow"/>
          <w:lang w:val="en-US"/>
        </w:rPr>
        <w:t xml:space="preserve">light, nutrient and hormone supply in the bioreactor, the system </w:t>
      </w:r>
      <w:proofErr w:type="spellStart"/>
      <w:r w:rsidR="00607CEC" w:rsidRPr="00607CEC">
        <w:rPr>
          <w:rFonts w:ascii="Times New Roman" w:eastAsia="Times New Roman" w:hAnsi="Times New Roman" w:cs="Times New Roman"/>
          <w:sz w:val="24"/>
          <w:szCs w:val="24"/>
          <w:highlight w:val="yellow"/>
          <w:lang w:val="en-US"/>
        </w:rPr>
        <w:t>minimi</w:t>
      </w:r>
      <w:r w:rsidR="00607CEC" w:rsidRPr="00607CEC">
        <w:rPr>
          <w:rFonts w:ascii="Times New Roman" w:eastAsia="Times New Roman" w:hAnsi="Times New Roman" w:cs="Times New Roman"/>
          <w:sz w:val="24"/>
          <w:szCs w:val="24"/>
          <w:highlight w:val="yellow"/>
          <w:lang w:val="en-US"/>
        </w:rPr>
        <w:t>s</w:t>
      </w:r>
      <w:r w:rsidR="00607CEC" w:rsidRPr="00607CEC">
        <w:rPr>
          <w:rFonts w:ascii="Times New Roman" w:eastAsia="Times New Roman" w:hAnsi="Times New Roman" w:cs="Times New Roman"/>
          <w:sz w:val="24"/>
          <w:szCs w:val="24"/>
          <w:highlight w:val="yellow"/>
          <w:lang w:val="en-US"/>
        </w:rPr>
        <w:t>es</w:t>
      </w:r>
      <w:proofErr w:type="spellEnd"/>
      <w:r w:rsidR="00607CEC" w:rsidRPr="00607CEC">
        <w:rPr>
          <w:rFonts w:ascii="Times New Roman" w:eastAsia="Times New Roman" w:hAnsi="Times New Roman" w:cs="Times New Roman"/>
          <w:sz w:val="24"/>
          <w:szCs w:val="24"/>
          <w:highlight w:val="yellow"/>
          <w:lang w:val="en-US"/>
        </w:rPr>
        <w:t xml:space="preserve"> </w:t>
      </w:r>
      <w:r w:rsidRPr="00607CEC">
        <w:rPr>
          <w:rFonts w:ascii="Times New Roman" w:eastAsia="Times New Roman" w:hAnsi="Times New Roman" w:cs="Times New Roman"/>
          <w:sz w:val="24"/>
          <w:szCs w:val="24"/>
          <w:highlight w:val="yellow"/>
          <w:lang w:val="en-US"/>
        </w:rPr>
        <w:t>microenvironmental</w:t>
      </w:r>
      <w:r w:rsidRPr="005640C1">
        <w:rPr>
          <w:rFonts w:ascii="Times New Roman" w:eastAsia="Times New Roman" w:hAnsi="Times New Roman" w:cs="Times New Roman"/>
          <w:sz w:val="24"/>
          <w:szCs w:val="24"/>
          <w:lang w:val="en-US"/>
        </w:rPr>
        <w:t xml:space="preserve"> heterogeneity, which is frequently linked to fluctuations in secondary metabolite accumulation in conventional nursery settings. While the study did not explicitly quantify curcuminoid levels, its combination of clonal fidelity, controlled growth conditions and scalable </w:t>
      </w:r>
      <w:proofErr w:type="spellStart"/>
      <w:r w:rsidRPr="005640C1">
        <w:rPr>
          <w:rFonts w:ascii="Times New Roman" w:eastAsia="Times New Roman" w:hAnsi="Times New Roman" w:cs="Times New Roman"/>
          <w:sz w:val="24"/>
          <w:szCs w:val="24"/>
          <w:lang w:val="en-US"/>
        </w:rPr>
        <w:t>microrhizome</w:t>
      </w:r>
      <w:proofErr w:type="spellEnd"/>
      <w:r w:rsidRPr="005640C1">
        <w:rPr>
          <w:rFonts w:ascii="Times New Roman" w:eastAsia="Times New Roman" w:hAnsi="Times New Roman" w:cs="Times New Roman"/>
          <w:sz w:val="24"/>
          <w:szCs w:val="24"/>
          <w:lang w:val="en-US"/>
        </w:rPr>
        <w:t xml:space="preserve"> production is directly compatible with later integration of </w:t>
      </w:r>
      <w:proofErr w:type="spellStart"/>
      <w:r w:rsidRPr="005640C1">
        <w:rPr>
          <w:rFonts w:ascii="Times New Roman" w:eastAsia="Times New Roman" w:hAnsi="Times New Roman" w:cs="Times New Roman"/>
          <w:sz w:val="24"/>
          <w:szCs w:val="24"/>
          <w:lang w:val="en-US"/>
        </w:rPr>
        <w:t>chemoprofiling</w:t>
      </w:r>
      <w:proofErr w:type="spellEnd"/>
      <w:r w:rsidRPr="005640C1">
        <w:rPr>
          <w:rFonts w:ascii="Times New Roman" w:eastAsia="Times New Roman" w:hAnsi="Times New Roman" w:cs="Times New Roman"/>
          <w:sz w:val="24"/>
          <w:szCs w:val="24"/>
          <w:lang w:val="en-US"/>
        </w:rPr>
        <w:t xml:space="preserve"> to certify batches for minimum curcumin and essential-oil content before field planting or contract production.</w:t>
      </w:r>
    </w:p>
    <w:p w14:paraId="7C8F138E" w14:textId="77777777" w:rsidR="005640C1" w:rsidRPr="005640C1" w:rsidRDefault="005640C1" w:rsidP="00507EE0">
      <w:pPr>
        <w:pStyle w:val="Heading3"/>
        <w:jc w:val="both"/>
      </w:pPr>
      <w:r w:rsidRPr="005640C1">
        <w:lastRenderedPageBreak/>
        <w:t xml:space="preserve">5.2 </w:t>
      </w:r>
      <w:proofErr w:type="spellStart"/>
      <w:r w:rsidRPr="005640C1">
        <w:t>Somaclonal</w:t>
      </w:r>
      <w:proofErr w:type="spellEnd"/>
      <w:r w:rsidRPr="005640C1">
        <w:t xml:space="preserve"> variants with enhanced essential-oil yield</w:t>
      </w:r>
    </w:p>
    <w:p w14:paraId="17EE2906" w14:textId="77777777" w:rsidR="005640C1" w:rsidRPr="005640C1" w:rsidRDefault="005640C1" w:rsidP="00507EE0">
      <w:pPr>
        <w:spacing w:before="100" w:beforeAutospacing="1" w:after="100" w:afterAutospacing="1" w:line="240" w:lineRule="auto"/>
        <w:jc w:val="both"/>
        <w:rPr>
          <w:rFonts w:ascii="Times New Roman" w:eastAsia="Times New Roman" w:hAnsi="Times New Roman" w:cs="Times New Roman"/>
          <w:sz w:val="24"/>
          <w:szCs w:val="24"/>
          <w:lang w:val="en-US"/>
        </w:rPr>
      </w:pPr>
      <w:r w:rsidRPr="005640C1">
        <w:rPr>
          <w:rFonts w:ascii="Times New Roman" w:eastAsia="Times New Roman" w:hAnsi="Times New Roman" w:cs="Times New Roman"/>
          <w:sz w:val="24"/>
          <w:szCs w:val="24"/>
          <w:lang w:val="en-US"/>
        </w:rPr>
        <w:t xml:space="preserve">In contrast to clonal approaches focused on maintaining an existing quality profile, </w:t>
      </w:r>
      <w:proofErr w:type="spellStart"/>
      <w:r w:rsidRPr="005640C1">
        <w:rPr>
          <w:rFonts w:ascii="Times New Roman" w:eastAsia="Times New Roman" w:hAnsi="Times New Roman" w:cs="Times New Roman"/>
          <w:sz w:val="24"/>
          <w:szCs w:val="24"/>
          <w:lang w:val="en-US"/>
        </w:rPr>
        <w:t>somaclonal</w:t>
      </w:r>
      <w:proofErr w:type="spellEnd"/>
      <w:r w:rsidRPr="005640C1">
        <w:rPr>
          <w:rFonts w:ascii="Times New Roman" w:eastAsia="Times New Roman" w:hAnsi="Times New Roman" w:cs="Times New Roman"/>
          <w:sz w:val="24"/>
          <w:szCs w:val="24"/>
          <w:lang w:val="en-US"/>
        </w:rPr>
        <w:t xml:space="preserve"> variation exploits the genetic and epigenetic changes that arise during in vitro culture to generate novel chemotypes. A landmark turmeric case is the work of Kar et al. (2014), who induced callus from rhizome explants, regenerated a diverse set of </w:t>
      </w:r>
      <w:proofErr w:type="spellStart"/>
      <w:r w:rsidRPr="005640C1">
        <w:rPr>
          <w:rFonts w:ascii="Times New Roman" w:eastAsia="Times New Roman" w:hAnsi="Times New Roman" w:cs="Times New Roman"/>
          <w:sz w:val="24"/>
          <w:szCs w:val="24"/>
          <w:lang w:val="en-US"/>
        </w:rPr>
        <w:t>somaclones</w:t>
      </w:r>
      <w:proofErr w:type="spellEnd"/>
      <w:r w:rsidRPr="005640C1">
        <w:rPr>
          <w:rFonts w:ascii="Times New Roman" w:eastAsia="Times New Roman" w:hAnsi="Times New Roman" w:cs="Times New Roman"/>
          <w:sz w:val="24"/>
          <w:szCs w:val="24"/>
          <w:lang w:val="en-US"/>
        </w:rPr>
        <w:t xml:space="preserve">, and then systematically screened them for essential-oil yield and composition (Kar et al., 2014). Gas chromatography analysis revealed </w:t>
      </w:r>
      <w:proofErr w:type="spellStart"/>
      <w:r w:rsidRPr="005640C1">
        <w:rPr>
          <w:rFonts w:ascii="Times New Roman" w:eastAsia="Times New Roman" w:hAnsi="Times New Roman" w:cs="Times New Roman"/>
          <w:sz w:val="24"/>
          <w:szCs w:val="24"/>
          <w:lang w:val="en-US"/>
        </w:rPr>
        <w:t>somaclones</w:t>
      </w:r>
      <w:proofErr w:type="spellEnd"/>
      <w:r w:rsidRPr="005640C1">
        <w:rPr>
          <w:rFonts w:ascii="Times New Roman" w:eastAsia="Times New Roman" w:hAnsi="Times New Roman" w:cs="Times New Roman"/>
          <w:sz w:val="24"/>
          <w:szCs w:val="24"/>
          <w:lang w:val="en-US"/>
        </w:rPr>
        <w:t xml:space="preserve"> with significantly higher essential-oil content than the mother line and altered terpene profiles, including elevated levels of key aroma constituents. Importantly, high-oil </w:t>
      </w:r>
      <w:proofErr w:type="spellStart"/>
      <w:r w:rsidRPr="005640C1">
        <w:rPr>
          <w:rFonts w:ascii="Times New Roman" w:eastAsia="Times New Roman" w:hAnsi="Times New Roman" w:cs="Times New Roman"/>
          <w:sz w:val="24"/>
          <w:szCs w:val="24"/>
          <w:lang w:val="en-US"/>
        </w:rPr>
        <w:t>somaclones</w:t>
      </w:r>
      <w:proofErr w:type="spellEnd"/>
      <w:r w:rsidRPr="005640C1">
        <w:rPr>
          <w:rFonts w:ascii="Times New Roman" w:eastAsia="Times New Roman" w:hAnsi="Times New Roman" w:cs="Times New Roman"/>
          <w:sz w:val="24"/>
          <w:szCs w:val="24"/>
          <w:lang w:val="en-US"/>
        </w:rPr>
        <w:t xml:space="preserve"> retained acceptable agronomic performance and stability across clonal generations, demonstrating that in vitro-derived variants can be translated into field-usable planting material rather than remaining curiosities confined to culture tubes (Kar et al., 2014).</w:t>
      </w:r>
    </w:p>
    <w:p w14:paraId="26A8772A" w14:textId="1DF7B0E0" w:rsidR="005640C1" w:rsidRPr="005640C1" w:rsidRDefault="005640C1" w:rsidP="00507EE0">
      <w:pPr>
        <w:spacing w:before="100" w:beforeAutospacing="1" w:after="100" w:afterAutospacing="1" w:line="240" w:lineRule="auto"/>
        <w:jc w:val="both"/>
        <w:rPr>
          <w:rFonts w:ascii="Times New Roman" w:eastAsia="Times New Roman" w:hAnsi="Times New Roman" w:cs="Times New Roman"/>
          <w:sz w:val="24"/>
          <w:szCs w:val="24"/>
          <w:lang w:val="en-US"/>
        </w:rPr>
      </w:pPr>
      <w:r w:rsidRPr="005640C1">
        <w:rPr>
          <w:rFonts w:ascii="Times New Roman" w:eastAsia="Times New Roman" w:hAnsi="Times New Roman" w:cs="Times New Roman"/>
          <w:sz w:val="24"/>
          <w:szCs w:val="24"/>
          <w:lang w:val="en-US"/>
        </w:rPr>
        <w:t>This case exemplifies how tissue-</w:t>
      </w:r>
      <w:r w:rsidR="00607CEC" w:rsidRPr="00607CEC">
        <w:rPr>
          <w:rFonts w:ascii="Times New Roman" w:eastAsia="Times New Roman" w:hAnsi="Times New Roman" w:cs="Times New Roman"/>
          <w:sz w:val="24"/>
          <w:szCs w:val="24"/>
          <w:highlight w:val="yellow"/>
          <w:lang w:val="en-US"/>
        </w:rPr>
        <w:t>culture</w:t>
      </w:r>
      <w:r w:rsidR="00607CEC" w:rsidRPr="00607CEC">
        <w:rPr>
          <w:rFonts w:ascii="Times New Roman" w:eastAsia="Times New Roman" w:hAnsi="Times New Roman" w:cs="Times New Roman"/>
          <w:sz w:val="24"/>
          <w:szCs w:val="24"/>
          <w:highlight w:val="yellow"/>
          <w:lang w:val="en-US"/>
        </w:rPr>
        <w:t>-</w:t>
      </w:r>
      <w:r w:rsidRPr="00607CEC">
        <w:rPr>
          <w:rFonts w:ascii="Times New Roman" w:eastAsia="Times New Roman" w:hAnsi="Times New Roman" w:cs="Times New Roman"/>
          <w:sz w:val="24"/>
          <w:szCs w:val="24"/>
          <w:highlight w:val="yellow"/>
          <w:lang w:val="en-US"/>
        </w:rPr>
        <w:t>derived diversity</w:t>
      </w:r>
      <w:r w:rsidRPr="005640C1">
        <w:rPr>
          <w:rFonts w:ascii="Times New Roman" w:eastAsia="Times New Roman" w:hAnsi="Times New Roman" w:cs="Times New Roman"/>
          <w:sz w:val="24"/>
          <w:szCs w:val="24"/>
          <w:lang w:val="en-US"/>
        </w:rPr>
        <w:t xml:space="preserve"> can be harnessed in a directed manner when coupled with rigorous phenotyping. Rather than relying solely on random mutagenesis or long breeding cycles, </w:t>
      </w:r>
      <w:proofErr w:type="spellStart"/>
      <w:r w:rsidRPr="005640C1">
        <w:rPr>
          <w:rFonts w:ascii="Times New Roman" w:eastAsia="Times New Roman" w:hAnsi="Times New Roman" w:cs="Times New Roman"/>
          <w:sz w:val="24"/>
          <w:szCs w:val="24"/>
          <w:lang w:val="en-US"/>
        </w:rPr>
        <w:t>somaclonal</w:t>
      </w:r>
      <w:proofErr w:type="spellEnd"/>
      <w:r w:rsidRPr="005640C1">
        <w:rPr>
          <w:rFonts w:ascii="Times New Roman" w:eastAsia="Times New Roman" w:hAnsi="Times New Roman" w:cs="Times New Roman"/>
          <w:sz w:val="24"/>
          <w:szCs w:val="24"/>
          <w:lang w:val="en-US"/>
        </w:rPr>
        <w:t xml:space="preserve"> pipelines allow rapid generation and selection of </w:t>
      </w:r>
      <w:proofErr w:type="spellStart"/>
      <w:r w:rsidRPr="005640C1">
        <w:rPr>
          <w:rFonts w:ascii="Times New Roman" w:eastAsia="Times New Roman" w:hAnsi="Times New Roman" w:cs="Times New Roman"/>
          <w:sz w:val="24"/>
          <w:szCs w:val="24"/>
          <w:lang w:val="en-US"/>
        </w:rPr>
        <w:t>chemotypic</w:t>
      </w:r>
      <w:proofErr w:type="spellEnd"/>
      <w:r w:rsidRPr="005640C1">
        <w:rPr>
          <w:rFonts w:ascii="Times New Roman" w:eastAsia="Times New Roman" w:hAnsi="Times New Roman" w:cs="Times New Roman"/>
          <w:sz w:val="24"/>
          <w:szCs w:val="24"/>
          <w:lang w:val="en-US"/>
        </w:rPr>
        <w:t xml:space="preserve"> variants under controlled conditions. For turmeric, where premium markets often value specific fragrance and flavor characteristics alongside curcumin content, such </w:t>
      </w:r>
      <w:proofErr w:type="spellStart"/>
      <w:r w:rsidRPr="005640C1">
        <w:rPr>
          <w:rFonts w:ascii="Times New Roman" w:eastAsia="Times New Roman" w:hAnsi="Times New Roman" w:cs="Times New Roman"/>
          <w:sz w:val="24"/>
          <w:szCs w:val="24"/>
          <w:lang w:val="en-US"/>
        </w:rPr>
        <w:t>somaclones</w:t>
      </w:r>
      <w:proofErr w:type="spellEnd"/>
      <w:r w:rsidRPr="005640C1">
        <w:rPr>
          <w:rFonts w:ascii="Times New Roman" w:eastAsia="Times New Roman" w:hAnsi="Times New Roman" w:cs="Times New Roman"/>
          <w:sz w:val="24"/>
          <w:szCs w:val="24"/>
          <w:lang w:val="en-US"/>
        </w:rPr>
        <w:t xml:space="preserve"> could underpin new “quality-differentiated” cultivars tailored to perfumery, beverage or functional food niches. At the same time, Kar et al. (2014) also highlight the importance of robust molecular characterization to ensure that desirable chemotypes are not associated with hidden defects in disease resistance or yield, reinforcing the need for integrated agronomic and biochemical evaluation.</w:t>
      </w:r>
    </w:p>
    <w:p w14:paraId="27F051A3" w14:textId="77777777" w:rsidR="005640C1" w:rsidRPr="005640C1" w:rsidRDefault="005640C1" w:rsidP="00507EE0">
      <w:pPr>
        <w:pStyle w:val="Heading3"/>
        <w:jc w:val="both"/>
      </w:pPr>
      <w:r w:rsidRPr="005640C1">
        <w:t>5.3 Nano-integrated tissue culture for enhanced curcuminoid accumulation</w:t>
      </w:r>
    </w:p>
    <w:p w14:paraId="4978A9B7" w14:textId="2DED9BE9" w:rsidR="005640C1" w:rsidRPr="005640C1" w:rsidRDefault="005640C1" w:rsidP="00507EE0">
      <w:pPr>
        <w:spacing w:before="100" w:beforeAutospacing="1" w:after="100" w:afterAutospacing="1" w:line="240" w:lineRule="auto"/>
        <w:jc w:val="both"/>
        <w:rPr>
          <w:rFonts w:ascii="Times New Roman" w:eastAsia="Times New Roman" w:hAnsi="Times New Roman" w:cs="Times New Roman"/>
          <w:sz w:val="24"/>
          <w:szCs w:val="24"/>
          <w:lang w:val="en-US"/>
        </w:rPr>
      </w:pPr>
      <w:r w:rsidRPr="005640C1">
        <w:rPr>
          <w:rFonts w:ascii="Times New Roman" w:eastAsia="Times New Roman" w:hAnsi="Times New Roman" w:cs="Times New Roman"/>
          <w:sz w:val="24"/>
          <w:szCs w:val="24"/>
          <w:lang w:val="en-US"/>
        </w:rPr>
        <w:t xml:space="preserve">A newer generation of case studies explicitly links </w:t>
      </w:r>
      <w:proofErr w:type="spellStart"/>
      <w:r w:rsidRPr="005640C1">
        <w:rPr>
          <w:rFonts w:ascii="Times New Roman" w:eastAsia="Times New Roman" w:hAnsi="Times New Roman" w:cs="Times New Roman"/>
          <w:sz w:val="24"/>
          <w:szCs w:val="24"/>
          <w:lang w:val="en-US"/>
        </w:rPr>
        <w:t>nano</w:t>
      </w:r>
      <w:proofErr w:type="spellEnd"/>
      <w:r w:rsidRPr="005640C1">
        <w:rPr>
          <w:rFonts w:ascii="Times New Roman" w:eastAsia="Times New Roman" w:hAnsi="Times New Roman" w:cs="Times New Roman"/>
          <w:sz w:val="24"/>
          <w:szCs w:val="24"/>
          <w:lang w:val="en-US"/>
        </w:rPr>
        <w:t>-enabled interventions to measurable gains in curcuminoid content. Iqbal et al. (2024) developed a “</w:t>
      </w:r>
      <w:proofErr w:type="spellStart"/>
      <w:r w:rsidRPr="005640C1">
        <w:rPr>
          <w:rFonts w:ascii="Times New Roman" w:eastAsia="Times New Roman" w:hAnsi="Times New Roman" w:cs="Times New Roman"/>
          <w:sz w:val="24"/>
          <w:szCs w:val="24"/>
          <w:lang w:val="en-US"/>
        </w:rPr>
        <w:t>nano</w:t>
      </w:r>
      <w:proofErr w:type="spellEnd"/>
      <w:r w:rsidRPr="005640C1">
        <w:rPr>
          <w:rFonts w:ascii="Times New Roman" w:eastAsia="Times New Roman" w:hAnsi="Times New Roman" w:cs="Times New Roman"/>
          <w:sz w:val="24"/>
          <w:szCs w:val="24"/>
          <w:lang w:val="en-US"/>
        </w:rPr>
        <w:t>-integrated” turmeric tissue culture system in which green-synthesized iron oxide (</w:t>
      </w:r>
      <w:proofErr w:type="spellStart"/>
      <w:r w:rsidRPr="005640C1">
        <w:rPr>
          <w:rFonts w:ascii="Times New Roman" w:eastAsia="Times New Roman" w:hAnsi="Times New Roman" w:cs="Times New Roman"/>
          <w:sz w:val="24"/>
          <w:szCs w:val="24"/>
          <w:lang w:val="en-US"/>
        </w:rPr>
        <w:t>Fe₃O</w:t>
      </w:r>
      <w:proofErr w:type="spellEnd"/>
      <w:r w:rsidRPr="005640C1">
        <w:rPr>
          <w:rFonts w:ascii="Times New Roman" w:eastAsia="Times New Roman" w:hAnsi="Times New Roman" w:cs="Times New Roman"/>
          <w:sz w:val="24"/>
          <w:szCs w:val="24"/>
          <w:lang w:val="en-US"/>
        </w:rPr>
        <w:t xml:space="preserve">₄) nanoparticles were incorporated into the </w:t>
      </w:r>
      <w:proofErr w:type="spellStart"/>
      <w:r w:rsidRPr="005640C1">
        <w:rPr>
          <w:rFonts w:ascii="Times New Roman" w:eastAsia="Times New Roman" w:hAnsi="Times New Roman" w:cs="Times New Roman"/>
          <w:sz w:val="24"/>
          <w:szCs w:val="24"/>
          <w:lang w:val="en-US"/>
        </w:rPr>
        <w:t>Murashige</w:t>
      </w:r>
      <w:proofErr w:type="spellEnd"/>
      <w:r w:rsidRPr="005640C1">
        <w:rPr>
          <w:rFonts w:ascii="Times New Roman" w:eastAsia="Times New Roman" w:hAnsi="Times New Roman" w:cs="Times New Roman"/>
          <w:sz w:val="24"/>
          <w:szCs w:val="24"/>
          <w:lang w:val="en-US"/>
        </w:rPr>
        <w:t xml:space="preserve"> and Skoog medium (Iqbal et al., 2024). At 10–15 mg L⁻¹ </w:t>
      </w:r>
      <w:proofErr w:type="spellStart"/>
      <w:r w:rsidRPr="005640C1">
        <w:rPr>
          <w:rFonts w:ascii="Times New Roman" w:eastAsia="Times New Roman" w:hAnsi="Times New Roman" w:cs="Times New Roman"/>
          <w:sz w:val="24"/>
          <w:szCs w:val="24"/>
          <w:lang w:val="en-US"/>
        </w:rPr>
        <w:t>Fe₃O</w:t>
      </w:r>
      <w:proofErr w:type="spellEnd"/>
      <w:r w:rsidRPr="005640C1">
        <w:rPr>
          <w:rFonts w:ascii="Times New Roman" w:eastAsia="Times New Roman" w:hAnsi="Times New Roman" w:cs="Times New Roman"/>
          <w:sz w:val="24"/>
          <w:szCs w:val="24"/>
          <w:lang w:val="en-US"/>
        </w:rPr>
        <w:t xml:space="preserve">₄, callus induction frequency increased from about half </w:t>
      </w:r>
      <w:r w:rsidRPr="00607CEC">
        <w:rPr>
          <w:rFonts w:ascii="Times New Roman" w:eastAsia="Times New Roman" w:hAnsi="Times New Roman" w:cs="Times New Roman"/>
          <w:sz w:val="24"/>
          <w:szCs w:val="24"/>
          <w:highlight w:val="yellow"/>
          <w:lang w:val="en-US"/>
        </w:rPr>
        <w:t xml:space="preserve">of </w:t>
      </w:r>
      <w:r w:rsidR="00607CEC" w:rsidRPr="00607CEC">
        <w:rPr>
          <w:rFonts w:ascii="Times New Roman" w:eastAsia="Times New Roman" w:hAnsi="Times New Roman" w:cs="Times New Roman"/>
          <w:sz w:val="24"/>
          <w:szCs w:val="24"/>
          <w:highlight w:val="yellow"/>
          <w:lang w:val="en-US"/>
        </w:rPr>
        <w:t xml:space="preserve">the </w:t>
      </w:r>
      <w:r w:rsidRPr="00607CEC">
        <w:rPr>
          <w:rFonts w:ascii="Times New Roman" w:eastAsia="Times New Roman" w:hAnsi="Times New Roman" w:cs="Times New Roman"/>
          <w:sz w:val="24"/>
          <w:szCs w:val="24"/>
          <w:highlight w:val="yellow"/>
          <w:lang w:val="en-US"/>
        </w:rPr>
        <w:t>explants in</w:t>
      </w:r>
      <w:r w:rsidRPr="005640C1">
        <w:rPr>
          <w:rFonts w:ascii="Times New Roman" w:eastAsia="Times New Roman" w:hAnsi="Times New Roman" w:cs="Times New Roman"/>
          <w:sz w:val="24"/>
          <w:szCs w:val="24"/>
          <w:lang w:val="en-US"/>
        </w:rPr>
        <w:t xml:space="preserve"> the control to roughly 80%, and shoots regenerated on nanoparticle-supplemented medium showed higher rooting, greater shoot length and biomass. Crucially, HPLC profiling revealed that plantlets cultured with </w:t>
      </w:r>
      <w:proofErr w:type="spellStart"/>
      <w:r w:rsidRPr="005640C1">
        <w:rPr>
          <w:rFonts w:ascii="Times New Roman" w:eastAsia="Times New Roman" w:hAnsi="Times New Roman" w:cs="Times New Roman"/>
          <w:sz w:val="24"/>
          <w:szCs w:val="24"/>
          <w:lang w:val="en-US"/>
        </w:rPr>
        <w:t>Fe₃O</w:t>
      </w:r>
      <w:proofErr w:type="spellEnd"/>
      <w:r w:rsidRPr="005640C1">
        <w:rPr>
          <w:rFonts w:ascii="Times New Roman" w:eastAsia="Times New Roman" w:hAnsi="Times New Roman" w:cs="Times New Roman"/>
          <w:sz w:val="24"/>
          <w:szCs w:val="24"/>
          <w:lang w:val="en-US"/>
        </w:rPr>
        <w:t xml:space="preserve">₄ nanoparticles accumulated appreciably higher levels of curcumin, </w:t>
      </w:r>
      <w:proofErr w:type="spellStart"/>
      <w:r w:rsidRPr="005640C1">
        <w:rPr>
          <w:rFonts w:ascii="Times New Roman" w:eastAsia="Times New Roman" w:hAnsi="Times New Roman" w:cs="Times New Roman"/>
          <w:sz w:val="24"/>
          <w:szCs w:val="24"/>
          <w:lang w:val="en-US"/>
        </w:rPr>
        <w:t>demethoxycurcumin</w:t>
      </w:r>
      <w:proofErr w:type="spellEnd"/>
      <w:r w:rsidRPr="005640C1">
        <w:rPr>
          <w:rFonts w:ascii="Times New Roman" w:eastAsia="Times New Roman" w:hAnsi="Times New Roman" w:cs="Times New Roman"/>
          <w:sz w:val="24"/>
          <w:szCs w:val="24"/>
          <w:lang w:val="en-US"/>
        </w:rPr>
        <w:t xml:space="preserve"> and bisdemethoxycurcumin than controls, with the authors reporting roughly one-third higher total curcuminoid content in nanoparticle-treated tissues (Iqbal et al., 2024).</w:t>
      </w:r>
    </w:p>
    <w:p w14:paraId="3513A09B" w14:textId="77777777" w:rsidR="005640C1" w:rsidRPr="005640C1" w:rsidRDefault="005640C1" w:rsidP="00507EE0">
      <w:pPr>
        <w:spacing w:before="100" w:beforeAutospacing="1" w:after="100" w:afterAutospacing="1" w:line="240" w:lineRule="auto"/>
        <w:jc w:val="both"/>
        <w:rPr>
          <w:rFonts w:ascii="Times New Roman" w:eastAsia="Times New Roman" w:hAnsi="Times New Roman" w:cs="Times New Roman"/>
          <w:sz w:val="24"/>
          <w:szCs w:val="24"/>
          <w:lang w:val="en-US"/>
        </w:rPr>
      </w:pPr>
      <w:r w:rsidRPr="005640C1">
        <w:rPr>
          <w:rFonts w:ascii="Times New Roman" w:eastAsia="Times New Roman" w:hAnsi="Times New Roman" w:cs="Times New Roman"/>
          <w:sz w:val="24"/>
          <w:szCs w:val="24"/>
          <w:lang w:val="en-US"/>
        </w:rPr>
        <w:t>This study provides a rare quantitative demonstration that modifying the physicochemical environment of in vitro cultures can simultaneously accelerate morphogenesis and stimulate secondary metabolite biosynthesis. From a quality perspective, it suggests that tissue-culture laboratories supplying planting material or in vitro biomass could tune nanoparticle type and dose to “pre-prime” turmeric plantlets for higher curcuminoid productivity, provided that such treatments are proven safe and acceptable to regulators and consumers. At the same time, the modest magnitude of curcuminoid increases and the sensitivity of responses to nanoparticle concentration underline the importance of independent replication, metabolomic breadth (to check for unwanted by-products) and careful life-cycle assessment before commercial deployment.</w:t>
      </w:r>
    </w:p>
    <w:p w14:paraId="4D052CF4" w14:textId="77777777" w:rsidR="005640C1" w:rsidRPr="005640C1" w:rsidRDefault="005640C1" w:rsidP="00507EE0">
      <w:pPr>
        <w:spacing w:before="100" w:beforeAutospacing="1" w:after="100" w:afterAutospacing="1" w:line="240" w:lineRule="auto"/>
        <w:jc w:val="both"/>
        <w:rPr>
          <w:rFonts w:ascii="Times New Roman" w:eastAsia="Times New Roman" w:hAnsi="Times New Roman" w:cs="Times New Roman"/>
          <w:sz w:val="24"/>
          <w:szCs w:val="24"/>
          <w:lang w:val="en-US"/>
        </w:rPr>
      </w:pPr>
      <w:r w:rsidRPr="005640C1">
        <w:rPr>
          <w:rFonts w:ascii="Times New Roman" w:eastAsia="Times New Roman" w:hAnsi="Times New Roman" w:cs="Times New Roman"/>
          <w:sz w:val="24"/>
          <w:szCs w:val="24"/>
          <w:lang w:val="en-US"/>
        </w:rPr>
        <w:lastRenderedPageBreak/>
        <w:t>Complementing this single-species case, broader reviews of nanoparticle use as elicitors in plant tissue culture underscore plausible mechanisms relevant to turmeric, including modulation of oxidative status, hormone signaling and nutrient availability, all of which can impinge on phenylpropanoid pathway flux (Murthy et al., 2024). Although many of these studies are still at proof-of-concept stage, the combination of nanomaterials with established turmeric micropropagation protocols provides a flexible platform for systematic exploration of “process-level levers” that could boost quality traits without genetic modification.</w:t>
      </w:r>
    </w:p>
    <w:p w14:paraId="5A9A73E4" w14:textId="77777777" w:rsidR="005640C1" w:rsidRPr="005640C1" w:rsidRDefault="005640C1" w:rsidP="00507EE0">
      <w:pPr>
        <w:pStyle w:val="Heading3"/>
        <w:jc w:val="both"/>
      </w:pPr>
      <w:r w:rsidRPr="005640C1">
        <w:t xml:space="preserve">5.4 Rhizosphere engineering and microbial </w:t>
      </w:r>
      <w:proofErr w:type="spellStart"/>
      <w:r w:rsidRPr="005640C1">
        <w:t>biostimulants</w:t>
      </w:r>
      <w:proofErr w:type="spellEnd"/>
    </w:p>
    <w:p w14:paraId="725CD734" w14:textId="77777777" w:rsidR="005640C1" w:rsidRPr="005640C1" w:rsidRDefault="005640C1" w:rsidP="00507EE0">
      <w:pPr>
        <w:spacing w:before="100" w:beforeAutospacing="1" w:after="100" w:afterAutospacing="1" w:line="240" w:lineRule="auto"/>
        <w:jc w:val="both"/>
        <w:rPr>
          <w:rFonts w:ascii="Times New Roman" w:eastAsia="Times New Roman" w:hAnsi="Times New Roman" w:cs="Times New Roman"/>
          <w:sz w:val="24"/>
          <w:szCs w:val="24"/>
          <w:lang w:val="en-US"/>
        </w:rPr>
      </w:pPr>
      <w:r w:rsidRPr="005640C1">
        <w:rPr>
          <w:rFonts w:ascii="Times New Roman" w:eastAsia="Times New Roman" w:hAnsi="Times New Roman" w:cs="Times New Roman"/>
          <w:sz w:val="24"/>
          <w:szCs w:val="24"/>
          <w:lang w:val="en-US"/>
        </w:rPr>
        <w:t>Biotechnological interventions are not confined to sterile laboratories; several case studies demonstrate that microbial inoculants can enhance turmeric quality under field or controlled-environment conditions. Khan et al. (2023) systematically reviewed plant growth-promoting rhizobacteria (PGPR) and endophyte trials in turmeric and concluded that consortia dominated by Bacillus, Pseudomonas and related taxa frequently increase both rhizome biomass and curcumin content relative to uninoculated controls (Khan et al., 2023). Across the studies synthesized, inoculated plants often showed improved nutrient uptake, higher chlorophyll status and greater activity of antioxidant enzymes, all of which are consistent with a shift in carbon partitioning toward secondary metabolite biosynthesis. In several trials, curcumin and total curcuminoid contents increased alongside yield, indicating that improved quality does not necessarily require trade-offs with productivity when microbial consortia are properly formulated and matched to soil conditions.</w:t>
      </w:r>
    </w:p>
    <w:p w14:paraId="6EB8DCE0" w14:textId="77777777" w:rsidR="005640C1" w:rsidRPr="005640C1" w:rsidRDefault="005640C1" w:rsidP="00507EE0">
      <w:pPr>
        <w:spacing w:before="100" w:beforeAutospacing="1" w:after="100" w:afterAutospacing="1" w:line="240" w:lineRule="auto"/>
        <w:jc w:val="both"/>
        <w:rPr>
          <w:rFonts w:ascii="Times New Roman" w:eastAsia="Times New Roman" w:hAnsi="Times New Roman" w:cs="Times New Roman"/>
          <w:sz w:val="24"/>
          <w:szCs w:val="24"/>
          <w:lang w:val="en-US"/>
        </w:rPr>
      </w:pPr>
      <w:r w:rsidRPr="005640C1">
        <w:rPr>
          <w:rFonts w:ascii="Times New Roman" w:eastAsia="Times New Roman" w:hAnsi="Times New Roman" w:cs="Times New Roman"/>
          <w:sz w:val="24"/>
          <w:szCs w:val="24"/>
          <w:lang w:val="en-US"/>
        </w:rPr>
        <w:t xml:space="preserve">Khan et al. (2023) also highlight cases in which microbial treatments enhanced volatile-oil yield or altered turmerone profiles, suggesting that rhizosphere engineering can be tailored to specific quality targets. However, they emphasize that responses are highly context-dependent, with strong interactions among microbial strain, soil </w:t>
      </w:r>
      <w:proofErr w:type="spellStart"/>
      <w:r w:rsidRPr="005640C1">
        <w:rPr>
          <w:rFonts w:ascii="Times New Roman" w:eastAsia="Times New Roman" w:hAnsi="Times New Roman" w:cs="Times New Roman"/>
          <w:sz w:val="24"/>
          <w:szCs w:val="24"/>
          <w:lang w:val="en-US"/>
        </w:rPr>
        <w:t>physicochemistry</w:t>
      </w:r>
      <w:proofErr w:type="spellEnd"/>
      <w:r w:rsidRPr="005640C1">
        <w:rPr>
          <w:rFonts w:ascii="Times New Roman" w:eastAsia="Times New Roman" w:hAnsi="Times New Roman" w:cs="Times New Roman"/>
          <w:sz w:val="24"/>
          <w:szCs w:val="24"/>
          <w:lang w:val="en-US"/>
        </w:rPr>
        <w:t>, host genotype and management. This variability underscores why mechanistic understanding from omics (e.g., root transcriptomics under PGPR colonization) and standardized phenotyping pipelines are needed to move from “black box” responses to predictable quality outcomes. Importantly, microbial technologies are comparatively low-cost and can be integrated into smallholder systems without major capital investment, making them particularly promising for quality upgrading in traditional turmeric production regions if strain registration and quality-control frameworks are robust.</w:t>
      </w:r>
    </w:p>
    <w:p w14:paraId="44FE684C" w14:textId="77777777" w:rsidR="005640C1" w:rsidRPr="005640C1" w:rsidRDefault="005640C1" w:rsidP="00507EE0">
      <w:pPr>
        <w:pStyle w:val="Heading3"/>
        <w:jc w:val="both"/>
      </w:pPr>
      <w:r w:rsidRPr="005640C1">
        <w:t>5.5 From in vitro organs to standardized curcuminoid ingredients</w:t>
      </w:r>
    </w:p>
    <w:p w14:paraId="6EF40D3D" w14:textId="77777777" w:rsidR="005640C1" w:rsidRPr="005640C1" w:rsidRDefault="005640C1" w:rsidP="00507EE0">
      <w:pPr>
        <w:spacing w:before="100" w:beforeAutospacing="1" w:after="100" w:afterAutospacing="1" w:line="240" w:lineRule="auto"/>
        <w:jc w:val="both"/>
        <w:rPr>
          <w:rFonts w:ascii="Times New Roman" w:eastAsia="Times New Roman" w:hAnsi="Times New Roman" w:cs="Times New Roman"/>
          <w:sz w:val="24"/>
          <w:szCs w:val="24"/>
          <w:lang w:val="en-US"/>
        </w:rPr>
      </w:pPr>
      <w:r w:rsidRPr="005640C1">
        <w:rPr>
          <w:rFonts w:ascii="Times New Roman" w:eastAsia="Times New Roman" w:hAnsi="Times New Roman" w:cs="Times New Roman"/>
          <w:sz w:val="24"/>
          <w:szCs w:val="24"/>
          <w:lang w:val="en-US"/>
        </w:rPr>
        <w:t>Beyond planting material and field management, biotechnological case studies now extend to fully in vitro production of curcuminoids. Murthy et al. (2024) compiled and critically evaluated research on curcuminoid production from turmeric cell suspensions, callus and organ cultures, showing that optimized in vitro systems can achieve curcuminoid yields comparable to, and sometimes exceeding, those of field-grown rhizomes on a biomass basis (Murthy et al., 2024). Strategies such as two-stage culture (growth followed by elicitation), precursor feeding and use of permeabilizing agents have repeatedly enhanced curcuminoid accumulation, while bioreactor technologies—including air-lift and temporary immersion systems—have improved scalability and process control. Although many of these studies focus on productivity metrics, several also report consistent curcuminoid profiles and low batch-to-batch variability, directly addressing quality requirements for food, nutraceutical and pharmaceutical applications.</w:t>
      </w:r>
    </w:p>
    <w:p w14:paraId="23ACD100" w14:textId="77777777" w:rsidR="005640C1" w:rsidRPr="005640C1" w:rsidRDefault="005640C1" w:rsidP="00507EE0">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5640C1">
        <w:rPr>
          <w:rFonts w:ascii="Times New Roman" w:eastAsia="Times New Roman" w:hAnsi="Times New Roman" w:cs="Times New Roman"/>
          <w:sz w:val="24"/>
          <w:szCs w:val="24"/>
          <w:lang w:val="en-US"/>
        </w:rPr>
        <w:lastRenderedPageBreak/>
        <w:t>Pistelli</w:t>
      </w:r>
      <w:proofErr w:type="spellEnd"/>
      <w:r w:rsidRPr="005640C1">
        <w:rPr>
          <w:rFonts w:ascii="Times New Roman" w:eastAsia="Times New Roman" w:hAnsi="Times New Roman" w:cs="Times New Roman"/>
          <w:sz w:val="24"/>
          <w:szCs w:val="24"/>
          <w:lang w:val="en-US"/>
        </w:rPr>
        <w:t xml:space="preserve"> et al. (2012) provided an early demonstration that different turmeric in vitro organs (callus, rhizomes and shoots) can produce distinct curcuminoid spectra and that culture conditions can be tuned to enrich for particular analogues (</w:t>
      </w:r>
      <w:proofErr w:type="spellStart"/>
      <w:r w:rsidRPr="005640C1">
        <w:rPr>
          <w:rFonts w:ascii="Times New Roman" w:eastAsia="Times New Roman" w:hAnsi="Times New Roman" w:cs="Times New Roman"/>
          <w:sz w:val="24"/>
          <w:szCs w:val="24"/>
          <w:lang w:val="en-US"/>
        </w:rPr>
        <w:t>Pistelli</w:t>
      </w:r>
      <w:proofErr w:type="spellEnd"/>
      <w:r w:rsidRPr="005640C1">
        <w:rPr>
          <w:rFonts w:ascii="Times New Roman" w:eastAsia="Times New Roman" w:hAnsi="Times New Roman" w:cs="Times New Roman"/>
          <w:sz w:val="24"/>
          <w:szCs w:val="24"/>
          <w:lang w:val="en-US"/>
        </w:rPr>
        <w:t xml:space="preserve"> et al., 2012). When coupled with analytical quality control, this organ-specific bioproduction allows design of ingredients with predefined ratios of curcumin, </w:t>
      </w:r>
      <w:proofErr w:type="spellStart"/>
      <w:r w:rsidRPr="005640C1">
        <w:rPr>
          <w:rFonts w:ascii="Times New Roman" w:eastAsia="Times New Roman" w:hAnsi="Times New Roman" w:cs="Times New Roman"/>
          <w:sz w:val="24"/>
          <w:szCs w:val="24"/>
          <w:lang w:val="en-US"/>
        </w:rPr>
        <w:t>demethoxycurcumin</w:t>
      </w:r>
      <w:proofErr w:type="spellEnd"/>
      <w:r w:rsidRPr="005640C1">
        <w:rPr>
          <w:rFonts w:ascii="Times New Roman" w:eastAsia="Times New Roman" w:hAnsi="Times New Roman" w:cs="Times New Roman"/>
          <w:sz w:val="24"/>
          <w:szCs w:val="24"/>
          <w:lang w:val="en-US"/>
        </w:rPr>
        <w:t xml:space="preserve"> and bisdemethoxycurcumin for specific functional or regulatory needs. Together with more recent advances summarized by Murthy et al. (2024), these case studies illustrate how plant cell and organ cultures can complement field-grown turmeric: in vitro systems provide highly standardized, contaminant-controlled curcuminoid streams, while field crops continue to supply broader turmeric products where whole-rhizome authenticity and terroir-driven variation are valued.</w:t>
      </w:r>
    </w:p>
    <w:p w14:paraId="37DABFF2" w14:textId="77777777" w:rsidR="005640C1" w:rsidRPr="005640C1" w:rsidRDefault="005640C1" w:rsidP="00507EE0">
      <w:pPr>
        <w:spacing w:before="100" w:beforeAutospacing="1" w:after="100" w:afterAutospacing="1" w:line="240" w:lineRule="auto"/>
        <w:jc w:val="both"/>
        <w:rPr>
          <w:rFonts w:ascii="Times New Roman" w:eastAsia="Times New Roman" w:hAnsi="Times New Roman" w:cs="Times New Roman"/>
          <w:sz w:val="24"/>
          <w:szCs w:val="24"/>
          <w:lang w:val="en-US"/>
        </w:rPr>
      </w:pPr>
      <w:r w:rsidRPr="005640C1">
        <w:rPr>
          <w:rFonts w:ascii="Times New Roman" w:eastAsia="Times New Roman" w:hAnsi="Times New Roman" w:cs="Times New Roman"/>
          <w:sz w:val="24"/>
          <w:szCs w:val="24"/>
          <w:lang w:val="en-US"/>
        </w:rPr>
        <w:t xml:space="preserve">Collectively, these case studies demonstrate that biotechnological interventions—ranging from clonal propagation and </w:t>
      </w:r>
      <w:proofErr w:type="spellStart"/>
      <w:r w:rsidRPr="005640C1">
        <w:rPr>
          <w:rFonts w:ascii="Times New Roman" w:eastAsia="Times New Roman" w:hAnsi="Times New Roman" w:cs="Times New Roman"/>
          <w:sz w:val="24"/>
          <w:szCs w:val="24"/>
          <w:lang w:val="en-US"/>
        </w:rPr>
        <w:t>somaclonal</w:t>
      </w:r>
      <w:proofErr w:type="spellEnd"/>
      <w:r w:rsidRPr="005640C1">
        <w:rPr>
          <w:rFonts w:ascii="Times New Roman" w:eastAsia="Times New Roman" w:hAnsi="Times New Roman" w:cs="Times New Roman"/>
          <w:sz w:val="24"/>
          <w:szCs w:val="24"/>
          <w:lang w:val="en-US"/>
        </w:rPr>
        <w:t xml:space="preserve"> selection to </w:t>
      </w:r>
      <w:proofErr w:type="spellStart"/>
      <w:r w:rsidRPr="005640C1">
        <w:rPr>
          <w:rFonts w:ascii="Times New Roman" w:eastAsia="Times New Roman" w:hAnsi="Times New Roman" w:cs="Times New Roman"/>
          <w:sz w:val="24"/>
          <w:szCs w:val="24"/>
          <w:lang w:val="en-US"/>
        </w:rPr>
        <w:t>nano</w:t>
      </w:r>
      <w:proofErr w:type="spellEnd"/>
      <w:r w:rsidRPr="005640C1">
        <w:rPr>
          <w:rFonts w:ascii="Times New Roman" w:eastAsia="Times New Roman" w:hAnsi="Times New Roman" w:cs="Times New Roman"/>
          <w:sz w:val="24"/>
          <w:szCs w:val="24"/>
          <w:lang w:val="en-US"/>
        </w:rPr>
        <w:t xml:space="preserve">-augmented tissue culture, microbial </w:t>
      </w:r>
      <w:proofErr w:type="spellStart"/>
      <w:r w:rsidRPr="005640C1">
        <w:rPr>
          <w:rFonts w:ascii="Times New Roman" w:eastAsia="Times New Roman" w:hAnsi="Times New Roman" w:cs="Times New Roman"/>
          <w:sz w:val="24"/>
          <w:szCs w:val="24"/>
          <w:lang w:val="en-US"/>
        </w:rPr>
        <w:t>biostimulants</w:t>
      </w:r>
      <w:proofErr w:type="spellEnd"/>
      <w:r w:rsidRPr="005640C1">
        <w:rPr>
          <w:rFonts w:ascii="Times New Roman" w:eastAsia="Times New Roman" w:hAnsi="Times New Roman" w:cs="Times New Roman"/>
          <w:sz w:val="24"/>
          <w:szCs w:val="24"/>
          <w:lang w:val="en-US"/>
        </w:rPr>
        <w:t xml:space="preserve"> and in vitro organ cultures—can be directly linked to measurable improvements in turmeric quality attributes. They also reveal common success factors: careful coupling of biological innovation with quantitative </w:t>
      </w:r>
      <w:proofErr w:type="spellStart"/>
      <w:r w:rsidRPr="005640C1">
        <w:rPr>
          <w:rFonts w:ascii="Times New Roman" w:eastAsia="Times New Roman" w:hAnsi="Times New Roman" w:cs="Times New Roman"/>
          <w:sz w:val="24"/>
          <w:szCs w:val="24"/>
          <w:lang w:val="en-US"/>
        </w:rPr>
        <w:t>chemoprofiling</w:t>
      </w:r>
      <w:proofErr w:type="spellEnd"/>
      <w:r w:rsidRPr="005640C1">
        <w:rPr>
          <w:rFonts w:ascii="Times New Roman" w:eastAsia="Times New Roman" w:hAnsi="Times New Roman" w:cs="Times New Roman"/>
          <w:sz w:val="24"/>
          <w:szCs w:val="24"/>
          <w:lang w:val="en-US"/>
        </w:rPr>
        <w:t>, multi-season validation under realistic conditions, and alignment with regulatory and market expectations for safety and traceability.</w:t>
      </w:r>
    </w:p>
    <w:p w14:paraId="5E0283AC" w14:textId="77777777" w:rsidR="00924E62" w:rsidRDefault="00924E62" w:rsidP="00507EE0">
      <w:pPr>
        <w:pStyle w:val="Heading2"/>
        <w:jc w:val="both"/>
      </w:pPr>
      <w:r>
        <w:t>6. Emerging Trends and Future Outlook</w:t>
      </w:r>
    </w:p>
    <w:p w14:paraId="218258BE" w14:textId="77777777" w:rsidR="00924E62" w:rsidRDefault="00924E62" w:rsidP="00507EE0">
      <w:pPr>
        <w:pStyle w:val="NormalWeb"/>
        <w:jc w:val="both"/>
      </w:pPr>
      <w:r>
        <w:t>Rapid advances in plant biotechnology, systems biology, and data science are reshaping how turmeric quality can be engineered and managed along the value chain. Until now, improvements in curcumin content, essential oil profile, and contaminant reduction have relied largely on conventional clonal selection and empirical agronomy. In the coming decade, however, genome editing, multi-omics integration, synthetic biology platforms, and digital decision-support tools are likely to converge, enabling more precise and predictable manipulation of turmeric quality traits from genome to finished product (Das et al., 2024; Mitra et al., 2023).</w:t>
      </w:r>
    </w:p>
    <w:p w14:paraId="20934326" w14:textId="77777777" w:rsidR="00924E62" w:rsidRDefault="00924E62" w:rsidP="00507EE0">
      <w:pPr>
        <w:pStyle w:val="Heading3"/>
        <w:jc w:val="both"/>
      </w:pPr>
      <w:r>
        <w:t>6.1. Genome editing and new breeding techniques</w:t>
      </w:r>
    </w:p>
    <w:p w14:paraId="4C83BF47" w14:textId="77777777" w:rsidR="00924E62" w:rsidRDefault="00924E62" w:rsidP="00507EE0">
      <w:pPr>
        <w:pStyle w:val="NormalWeb"/>
        <w:jc w:val="both"/>
      </w:pPr>
      <w:r>
        <w:t xml:space="preserve">The emergence of CRISPR/Cas and related genome editing platforms offers a powerful route to overcome limitations of slow, </w:t>
      </w:r>
      <w:proofErr w:type="spellStart"/>
      <w:r>
        <w:t>vegetatively</w:t>
      </w:r>
      <w:proofErr w:type="spellEnd"/>
      <w:r>
        <w:t xml:space="preserve"> propagated turmeric breeding. Recent reviews in medicinal plants show that CRISPR/Cas systems can be used to up-regulate entire specialized metabolite pathways, knock out competing branches, and modify transport or storage processes, thereby increasing the accumulation of pharmacologically important compounds (Das et al., 2024; Guo et al., 2022). For plant-derived natural products more broadly, CRISPR-based strategies have been successfully deployed to enhance the yield and stability of alkaloids, terpenoids, and phenylpropanoids by targeting key biosynthetic enzymes, transcription factors, and transporters (Dey, 2021; Mitra et al., 2023).</w:t>
      </w:r>
    </w:p>
    <w:p w14:paraId="754DE2A7" w14:textId="77777777" w:rsidR="00924E62" w:rsidRDefault="00924E62" w:rsidP="00507EE0">
      <w:pPr>
        <w:pStyle w:val="NormalWeb"/>
        <w:jc w:val="both"/>
      </w:pPr>
      <w:r>
        <w:t xml:space="preserve">In turmeric, the recent chromosome-scale genome assembly provides a foundational resource for rational genome editing by revealing gene families involved in curcumin biosynthesis, redox regulation, and tuber formation (Yin et al., 2022). Once causal loci for high-curcumin genotypes, low-heavy-metal accumulation, or favorable aroma profiles are mapped using association genetics and omics-assisted approaches, CRISPR/Cas tools can, in principle, create “precision alleles” without disturbing the overall clonal background. Polyploidy and </w:t>
      </w:r>
      <w:r>
        <w:lastRenderedPageBreak/>
        <w:t>vegetative propagation pose challenges for complete editing of all genomic copies; nevertheless, experience from other triploid and clonally propagated crops suggests that iterative editing and selection can still yield stable, elite lines (Guo et al., 2022; Mitra et al., 2023). Future work will need to establish efficient transformation and regeneration pipelines in turmeric, optimize delivery formats such as ribonucleoprotein complexes to minimize transgene footprints, and clarify regulatory pathways for genome-edited medicinal crops in major producer countries.</w:t>
      </w:r>
    </w:p>
    <w:p w14:paraId="47FD1508" w14:textId="77777777" w:rsidR="00924E62" w:rsidRDefault="00924E62" w:rsidP="00507EE0">
      <w:pPr>
        <w:pStyle w:val="Heading3"/>
        <w:jc w:val="both"/>
      </w:pPr>
      <w:r>
        <w:t>6.2. Multi-omics and systems-level dissection of quality regulation</w:t>
      </w:r>
    </w:p>
    <w:p w14:paraId="531CB131" w14:textId="77777777" w:rsidR="00924E62" w:rsidRDefault="00924E62" w:rsidP="00507EE0">
      <w:pPr>
        <w:pStyle w:val="NormalWeb"/>
        <w:jc w:val="both"/>
      </w:pPr>
      <w:r>
        <w:t>A major trend shaping turmeric research is the rapid adoption of integrated multi-omics to understand quality traits at the systems level. The turmeric reference genome already highlights extensive expansion of genes linked to oxidative stress management and secondary metabolism, many of which co-localize with variation in curcuminoid content and stress responses (Yin et al., 2022). In medicinal plants generally, integrated genomics, transcriptomics, proteomics, and metabolomics are proving indispensable for identifying biosynthetic gene clusters, regulatory hubs, and transport networks that control spatial and temporal patterns of specialized metabolites (Gupta et al., 2024; Wang et al., 2024).</w:t>
      </w:r>
    </w:p>
    <w:p w14:paraId="0EC6841D" w14:textId="77777777" w:rsidR="00924E62" w:rsidRDefault="00924E62" w:rsidP="00507EE0">
      <w:pPr>
        <w:pStyle w:val="NormalWeb"/>
        <w:jc w:val="both"/>
      </w:pPr>
      <w:r>
        <w:t>For turmeric, future studies are likely to combine genome-wide association mapping with high-resolution metabolomics across diverse landraces and wild relatives to pinpoint allelic variants that confer superior curcuminoid profiles, reduced allergenic compounds, or more stable color under processing. Multi-omics frameworks can also clarify how abiotic stresses, nutrient regimes, or microbial consortia reprogram the curcumin pathway and associated antioxidant networks, thereby enabling “designed environments” that express favorable chemotypes (Wang et al., 2024). As demonstrated in other medicinal species, the integration of omics datasets into predictive network models can guide targeted genome editing, selection indices, and agronomic interventions aimed specifically at quality rather than yield alone (Gupta et al., 2024; Mitra et al., 2023).</w:t>
      </w:r>
    </w:p>
    <w:p w14:paraId="70C701CE" w14:textId="77777777" w:rsidR="00924E62" w:rsidRDefault="00924E62" w:rsidP="00507EE0">
      <w:pPr>
        <w:pStyle w:val="Heading3"/>
        <w:jc w:val="both"/>
      </w:pPr>
      <w:r>
        <w:t>6.3. Synthetic biology and heterologous production of curcuminoids</w:t>
      </w:r>
    </w:p>
    <w:p w14:paraId="1D9D41A9" w14:textId="77777777" w:rsidR="00924E62" w:rsidRDefault="00924E62" w:rsidP="00507EE0">
      <w:pPr>
        <w:pStyle w:val="NormalWeb"/>
        <w:jc w:val="both"/>
      </w:pPr>
      <w:r>
        <w:t>In parallel with crop-focused interventions, synthetic biology is rapidly transforming the way curcumin and related curcuminoids can be produced. Work in microbial hosts has achieved increasingly efficient de novo biosynthesis of curcumin by reconstructing plant phenylpropanoid pathways and optimizing modular enzyme expression. Recent engineering of Escherichia coli, for example, combined dynamic control of pathway enzymes with improved malonyl-CoA supply and by-product detoxification to reach pilot-scale titers of curcumin, demonstrating the feasibility of industrial bio-based production (Chen et al., 2024). Complementary studies have used combinatorial pathway design and module optimization to enhance curcuminoid yields from tyrosine or ferulic acid precursors (Kang et al., 2018; Rodrigues et al., 2020).</w:t>
      </w:r>
    </w:p>
    <w:p w14:paraId="34ECB3C2" w14:textId="77777777" w:rsidR="00924E62" w:rsidRDefault="00924E62" w:rsidP="00507EE0">
      <w:pPr>
        <w:pStyle w:val="NormalWeb"/>
        <w:jc w:val="both"/>
      </w:pPr>
      <w:r>
        <w:t>Yeast-based systems are also advancing quickly. Reconstruction of a plant-like curcumin pathway in Saccharomyces cerevisiae has revealed critical nodes such as caffeoyl-shikimate esterase that control phenylpropanoid flux, suggesting new engineering targets both in microbes and in turmeric itself (</w:t>
      </w:r>
      <w:proofErr w:type="spellStart"/>
      <w:r>
        <w:t>Utomo</w:t>
      </w:r>
      <w:proofErr w:type="spellEnd"/>
      <w:r>
        <w:t xml:space="preserve"> et al., 2024). These synthetic biology platforms have several implications for turmeric quality improvement. First, they offer a route to supply high-purity curcumin, </w:t>
      </w:r>
      <w:proofErr w:type="spellStart"/>
      <w:r>
        <w:t>demethoxycurcumin</w:t>
      </w:r>
      <w:proofErr w:type="spellEnd"/>
      <w:r>
        <w:t xml:space="preserve">, bisdemethoxycurcumin, and novel analogues with precise compositional control, which may alleviate pressure on smallholder producers </w:t>
      </w:r>
      <w:r>
        <w:lastRenderedPageBreak/>
        <w:t>while meeting stringent pharmaceutical specifications (</w:t>
      </w:r>
      <w:proofErr w:type="spellStart"/>
      <w:r>
        <w:t>Utomo</w:t>
      </w:r>
      <w:proofErr w:type="spellEnd"/>
      <w:r>
        <w:t xml:space="preserve"> et al., 2024; Chen et al., 2024). Second, by clarifying pathway kinetics and bottlenecks in heterologous systems, microbial work feeds back into plant breeding and genome editing, highlighting which enzymes or regulatory nodes should be prioritized in turmeric to raise pathway flux or alter metabolite ratios (Mitra et al., 2023).</w:t>
      </w:r>
    </w:p>
    <w:p w14:paraId="77B8D843" w14:textId="77777777" w:rsidR="00924E62" w:rsidRDefault="00924E62" w:rsidP="00507EE0">
      <w:pPr>
        <w:pStyle w:val="NormalWeb"/>
        <w:jc w:val="both"/>
      </w:pPr>
      <w:r>
        <w:t>A realistic outlook is that field-grown turmeric and microbial curcuminoid factories will co-exist. Plant-based production will remain essential for culinary markets, traditional medicine, and terroir-linked premium segments, whereas engineered microbes can supply standardized curcuminoids and derivatives for high-value nutraceutical and pharmaceutical applications. Ensuring traceability and clear labeling will be crucial so that synthetic-biology-derived curcumin complements, rather than undermines, the economic sustainability of turmeric-growing communities.</w:t>
      </w:r>
    </w:p>
    <w:p w14:paraId="094D8ACA" w14:textId="77777777" w:rsidR="00924E62" w:rsidRDefault="00924E62" w:rsidP="00507EE0">
      <w:pPr>
        <w:pStyle w:val="Heading3"/>
        <w:jc w:val="both"/>
      </w:pPr>
      <w:r>
        <w:t>6.4. Digital phenotyping, AI, and microbiome-informed management</w:t>
      </w:r>
    </w:p>
    <w:p w14:paraId="7ED21203" w14:textId="77777777" w:rsidR="00924E62" w:rsidRDefault="00924E62" w:rsidP="00507EE0">
      <w:pPr>
        <w:pStyle w:val="NormalWeb"/>
        <w:jc w:val="both"/>
      </w:pPr>
      <w:r>
        <w:t>Another important frontier is the use of high-throughput phenotyping, remote sensing, and artificial intelligence to accelerate selection for turmeric quality traits. Advances in imaging, spectroscopy, and sensor networks are transforming crop phenotyping, allowing breeders to capture canopy structure, pigment signatures, disease symptoms, and stress responses at high temporal and spatial resolution (Watt et al., 2020). When combined with chemometric models and ground-truth metabolomic data, such platforms could predict curcumin content, color attributes, or disease-related quality losses directly in the field or at processing centers, greatly increasing the scale and objectivity of quality assessment.</w:t>
      </w:r>
    </w:p>
    <w:p w14:paraId="5C0A0ADA" w14:textId="77777777" w:rsidR="00924E62" w:rsidRDefault="00924E62" w:rsidP="00507EE0">
      <w:pPr>
        <w:pStyle w:val="NormalWeb"/>
        <w:jc w:val="both"/>
      </w:pPr>
      <w:r>
        <w:t xml:space="preserve">Machine-learning models trained on multi-omics, phenotypic, and environmental data from turmeric trials could help identify non-intuitive genotype–environment–management combinations that maximize quality stability under climate variability. Integration with decision-support tools would allow growers to adjust planting dates, shade management, irrigation, or bio-input use in real time to steer crops toward desirable quality profiles. At the same time, expanding research on medicinal plant microbiomes suggests that tailored rhizosphere or </w:t>
      </w:r>
      <w:proofErr w:type="spellStart"/>
      <w:r>
        <w:t>endosphere</w:t>
      </w:r>
      <w:proofErr w:type="spellEnd"/>
      <w:r>
        <w:t xml:space="preserve"> consortia may become part of future quality-management packages, both to suppress soil-borne diseases and to modulate secondary metabolism (Wang et al., 2024; Mitra et al., 2023).</w:t>
      </w:r>
    </w:p>
    <w:p w14:paraId="084F4084" w14:textId="77777777" w:rsidR="00924E62" w:rsidRDefault="00924E62" w:rsidP="00507EE0">
      <w:pPr>
        <w:pStyle w:val="Heading3"/>
        <w:jc w:val="both"/>
      </w:pPr>
      <w:r>
        <w:t>6.5. Regulatory alignment and equitable innovation pathways</w:t>
      </w:r>
    </w:p>
    <w:p w14:paraId="636AA9F8" w14:textId="77777777" w:rsidR="00924E62" w:rsidRDefault="00924E62" w:rsidP="00507EE0">
      <w:pPr>
        <w:pStyle w:val="NormalWeb"/>
        <w:jc w:val="both"/>
      </w:pPr>
      <w:r>
        <w:t xml:space="preserve">Realizing the promise of these emerging technologies for turmeric quality will require careful regulatory and socio-economic alignment. Genome-edited turmeric lines with small, targeted modifications are likely to be evaluated differently from transgenic events in several jurisdictions, but regulatory clarity and harmonization are still evolving (Guo et al., 2022; Dey, 2021). Acceptance in export markets will hinge on transparent risk assessments, robust compositional and safety data, and effective communication with stakeholders in both food and herbal medicine sectors. For microbial curcumin, food and drug regulators will need to establish clear guidelines around labeling, purity, and equivalence to plant-derived material, while also tracking environmental and biosecurity safeguards for engineered strains (Chen et al., 2024; </w:t>
      </w:r>
      <w:proofErr w:type="spellStart"/>
      <w:r>
        <w:t>Utomo</w:t>
      </w:r>
      <w:proofErr w:type="spellEnd"/>
      <w:r>
        <w:t xml:space="preserve"> et al., 2024).</w:t>
      </w:r>
    </w:p>
    <w:p w14:paraId="0E077AC5" w14:textId="77777777" w:rsidR="00924E62" w:rsidRDefault="00924E62" w:rsidP="00507EE0">
      <w:pPr>
        <w:pStyle w:val="NormalWeb"/>
        <w:jc w:val="both"/>
      </w:pPr>
      <w:r>
        <w:t xml:space="preserve">Equally important is ensuring that farmers, especially smallholders in major turmeric-producing regions, benefit from biotechnological advances. Open-access genomic resources, </w:t>
      </w:r>
      <w:r>
        <w:lastRenderedPageBreak/>
        <w:t xml:space="preserve">participatory breeding integrating local landraces, and fair licensing models for genome-edited or marker-assisted-derived cultivars can help prevent concentration of benefits upstream in the value chain. Integrated innovation frameworks that couple omics-informed breeding, microbiome-based </w:t>
      </w:r>
      <w:proofErr w:type="spellStart"/>
      <w:r>
        <w:t>bioinputs</w:t>
      </w:r>
      <w:proofErr w:type="spellEnd"/>
      <w:r>
        <w:t>, and digital extension tools could support quality-focused intensification that is both environmentally sustainable and socially inclusive. Overall, the trajectory of turmeric quality improvement is moving from isolated interventions to deeply integrated bio-digital systems. If harnessed responsibly, these systems have the potential to deliver turmeric products that are not only richer in health-promoting constituents and safer from contaminants, but also more traceable, resilient, and equitable across the global value chain.</w:t>
      </w:r>
    </w:p>
    <w:p w14:paraId="4FFD8BB7" w14:textId="77777777" w:rsidR="00133F64" w:rsidRDefault="00133F64" w:rsidP="00507EE0">
      <w:pPr>
        <w:jc w:val="both"/>
      </w:pPr>
    </w:p>
    <w:p w14:paraId="4CE5D581" w14:textId="77777777" w:rsidR="00133F64" w:rsidRPr="009148D5" w:rsidRDefault="00133F64" w:rsidP="00507EE0">
      <w:pPr>
        <w:pStyle w:val="Heading2"/>
        <w:jc w:val="both"/>
      </w:pPr>
      <w:r w:rsidRPr="009148D5">
        <w:t>7. Conclusions</w:t>
      </w:r>
    </w:p>
    <w:p w14:paraId="283C9087" w14:textId="77777777" w:rsidR="00133F64" w:rsidRDefault="00133F64" w:rsidP="00507EE0">
      <w:pPr>
        <w:pStyle w:val="NormalWeb"/>
        <w:jc w:val="both"/>
      </w:pPr>
      <w:r>
        <w:t xml:space="preserve">Biotechnological interventions have begun to reshape the landscape of quality improvement in turmeric, moving beyond yield-centric approaches toward a more nuanced focus on phytochemical composition, stability, and functional performance. Tissue culture–based micropropagation now provides reliable pipelines for multiplying elite, disease-free clones, while somatic embryogenesis offers flexible regeneration systems that can be coupled to transformation and mutagenesis. </w:t>
      </w:r>
      <w:proofErr w:type="spellStart"/>
      <w:r>
        <w:t>Somaclonal</w:t>
      </w:r>
      <w:proofErr w:type="spellEnd"/>
      <w:r>
        <w:t xml:space="preserve"> variation, once seen purely as a nuisance, is increasingly recognized as a source of novel chemotypes that can be stabilized and exploited with the help of genomic and metabolomic tools.</w:t>
      </w:r>
    </w:p>
    <w:p w14:paraId="36815CA4" w14:textId="77777777" w:rsidR="00133F64" w:rsidRDefault="00133F64" w:rsidP="00507EE0">
      <w:pPr>
        <w:pStyle w:val="NormalWeb"/>
        <w:jc w:val="both"/>
      </w:pPr>
      <w:r>
        <w:t xml:space="preserve">The emergence of </w:t>
      </w:r>
      <w:proofErr w:type="spellStart"/>
      <w:r>
        <w:t>nano</w:t>
      </w:r>
      <w:proofErr w:type="spellEnd"/>
      <w:r>
        <w:t xml:space="preserve">-integrated tissue culture, cell and organ cultures, and rhizobacteria-based interventions further expands the toolbox for manipulating curcuminoid and essential oil profiles at different stages of the production cycle. In parallel, the advent of high-quality genome assemblies and rich metabolomic datasets has transformed turmeric from a relatively under-characterized crop into a </w:t>
      </w:r>
      <w:proofErr w:type="spellStart"/>
      <w:r>
        <w:t>genomically</w:t>
      </w:r>
      <w:proofErr w:type="spellEnd"/>
      <w:r>
        <w:t xml:space="preserve"> enabled medicinal plant, where candidate genes and pathways underlying quality traits can be systematically identified and validated.</w:t>
      </w:r>
    </w:p>
    <w:p w14:paraId="1BCBD200" w14:textId="77777777" w:rsidR="00133F64" w:rsidRDefault="00133F64" w:rsidP="00507EE0">
      <w:pPr>
        <w:pStyle w:val="NormalWeb"/>
        <w:jc w:val="both"/>
      </w:pPr>
      <w:r>
        <w:t>Looking forward, genome editing, synthetic biology, microbiome engineering, and AI-assisted phenotyping are likely to converge, enabling multi-scale design of quality—from gene to cell, plant, field, and product. Realizing this potential will require close integration of fundamental biology, breeding, agronomy, regulatory science, and market analytics, as well as participatory engagement with farmers and value-chain actors. If these pieces can be aligned, turmeric offers an archetypal case where biotechnological innovation can deliver not just higher yields, but more standardized, traceable, and health-promoting products tailored to diverse markets and uses.</w:t>
      </w:r>
    </w:p>
    <w:p w14:paraId="75441C58" w14:textId="77777777" w:rsidR="00924E62" w:rsidRPr="009148D5" w:rsidRDefault="00924E62" w:rsidP="00507EE0">
      <w:pPr>
        <w:pStyle w:val="Heading2"/>
        <w:jc w:val="both"/>
      </w:pPr>
      <w:r w:rsidRPr="009148D5">
        <w:rPr>
          <w:rStyle w:val="Strong"/>
          <w:b/>
          <w:bCs/>
        </w:rPr>
        <w:t>8. Limitations</w:t>
      </w:r>
    </w:p>
    <w:p w14:paraId="51004DB6" w14:textId="77777777" w:rsidR="00924E62" w:rsidRDefault="00924E62" w:rsidP="00507EE0">
      <w:pPr>
        <w:pStyle w:val="NormalWeb"/>
        <w:jc w:val="both"/>
      </w:pPr>
      <w:r>
        <w:t xml:space="preserve">This review is constrained by several methodological and evidentiary limitations that need to be acknowledged when interpreting its conclusions. First, the available literature on turmeric biotechnology is uneven across intervention types and often based on small-scale, short-duration experiments conducted under highly controlled conditions. Many tissue culture, nanoparticle, and microbial inoculant studies report promising effects on growth or curcuminoid accumulation in vitro or in pot trials, but very few include multi-season, multi-location validation under realistic production environments. As a result, the extent to which </w:t>
      </w:r>
      <w:r>
        <w:lastRenderedPageBreak/>
        <w:t>these interventions can deliver stable quality gains across diverse agro-ecologies, soil types, and management systems remains uncertain.</w:t>
      </w:r>
    </w:p>
    <w:p w14:paraId="13B20EC5" w14:textId="77777777" w:rsidR="00924E62" w:rsidRDefault="00924E62" w:rsidP="00507EE0">
      <w:pPr>
        <w:pStyle w:val="NormalWeb"/>
        <w:jc w:val="both"/>
      </w:pPr>
      <w:r>
        <w:t>Second, there is substantial heterogeneity in experimental design, quality metrics, and analytical methods. Different studies use varying definitions of “high quality,” rely on different markers such as total curcumin, total curcuminoids, or volatile oil content, and employ a range of chromatographic and spectrometric techniques. This diversity complicates direct comparison across experiments and may bias syntheses toward more easily measured traits, while underrepresenting nuanced aspects of quality such as minor metabolite profiles, bioavailability, or sensory attributes. Publication bias is also likely, with positive results for new techniques more frequently reported than neutral or negative outcomes.</w:t>
      </w:r>
    </w:p>
    <w:p w14:paraId="30ED5244" w14:textId="77777777" w:rsidR="00924E62" w:rsidRDefault="00924E62" w:rsidP="00507EE0">
      <w:pPr>
        <w:pStyle w:val="NormalWeb"/>
        <w:jc w:val="both"/>
      </w:pPr>
      <w:r>
        <w:t xml:space="preserve">Third, although omics resources for turmeric have expanded rapidly, the functional validation of candidate genes, regulatory networks, and metabolites remains limited. Many proposed targets for genome editing, metabolic engineering, or marker-assisted selection are still inferred rather than demonstrated experimentally, and the potential trade-offs with agronomic performance, resilience, or farmer acceptability are largely unknown. Finally, socio-economic and regulatory dimensions are only partially addressed. The costs, intellectual property constraints, and regulatory pathways associated with advanced biotechnologies may limit their accessibility to smallholder producers, and consumer perceptions of genome-edited, </w:t>
      </w:r>
      <w:proofErr w:type="spellStart"/>
      <w:r>
        <w:t>nano</w:t>
      </w:r>
      <w:proofErr w:type="spellEnd"/>
      <w:r>
        <w:t>-enabled, or microbially supplemented turmeric products are not yet well characterized. These gaps underline the need for more integrative, long-term, and transdisciplinary research before biotechnological interventions can be considered mature tools for quality improvement at scale.</w:t>
      </w:r>
    </w:p>
    <w:p w14:paraId="1EBD016F" w14:textId="77777777" w:rsidR="00607CEC" w:rsidRPr="00607CEC" w:rsidRDefault="00607CEC" w:rsidP="00607CEC">
      <w:pPr>
        <w:rPr>
          <w:highlight w:val="yellow"/>
        </w:rPr>
      </w:pPr>
      <w:r w:rsidRPr="00607CEC">
        <w:rPr>
          <w:highlight w:val="yellow"/>
        </w:rPr>
        <w:t>Disclaimer (Artificial intelligence)</w:t>
      </w:r>
    </w:p>
    <w:p w14:paraId="53ECC3F5" w14:textId="77777777" w:rsidR="00607CEC" w:rsidRPr="00607CEC" w:rsidRDefault="00607CEC" w:rsidP="00607CEC">
      <w:pPr>
        <w:rPr>
          <w:highlight w:val="yellow"/>
        </w:rPr>
      </w:pPr>
      <w:r w:rsidRPr="00607CEC">
        <w:rPr>
          <w:highlight w:val="yellow"/>
        </w:rPr>
        <w:t xml:space="preserve">Option 1: </w:t>
      </w:r>
    </w:p>
    <w:p w14:paraId="3D267688" w14:textId="77777777" w:rsidR="00607CEC" w:rsidRPr="00607CEC" w:rsidRDefault="00607CEC" w:rsidP="00607CEC">
      <w:pPr>
        <w:rPr>
          <w:highlight w:val="yellow"/>
        </w:rPr>
      </w:pPr>
      <w:r w:rsidRPr="00607CEC">
        <w:rPr>
          <w:highlight w:val="yellow"/>
        </w:rPr>
        <w:t>Author(s) hereby declare that NO generative AI technologies such as Large Language Models (</w:t>
      </w:r>
      <w:proofErr w:type="spellStart"/>
      <w:r w:rsidRPr="00607CEC">
        <w:rPr>
          <w:highlight w:val="yellow"/>
        </w:rPr>
        <w:t>ChatGPT</w:t>
      </w:r>
      <w:proofErr w:type="spellEnd"/>
      <w:r w:rsidRPr="00607CEC">
        <w:rPr>
          <w:highlight w:val="yellow"/>
        </w:rPr>
        <w:t xml:space="preserve">, COPILOT, etc.) and text-to-image generators have been used during the writing or editing of this manuscript. </w:t>
      </w:r>
    </w:p>
    <w:p w14:paraId="079E01CC" w14:textId="77777777" w:rsidR="00607CEC" w:rsidRPr="00607CEC" w:rsidRDefault="00607CEC" w:rsidP="00607CEC">
      <w:pPr>
        <w:rPr>
          <w:highlight w:val="yellow"/>
        </w:rPr>
      </w:pPr>
      <w:r w:rsidRPr="00607CEC">
        <w:rPr>
          <w:highlight w:val="yellow"/>
        </w:rPr>
        <w:t xml:space="preserve">Option 2: </w:t>
      </w:r>
    </w:p>
    <w:p w14:paraId="53B7A009" w14:textId="77777777" w:rsidR="00607CEC" w:rsidRPr="00607CEC" w:rsidRDefault="00607CEC" w:rsidP="00607CEC">
      <w:pPr>
        <w:rPr>
          <w:highlight w:val="yellow"/>
        </w:rPr>
      </w:pPr>
      <w:r w:rsidRPr="00607CEC">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6836A90" w14:textId="77777777" w:rsidR="00607CEC" w:rsidRPr="00607CEC" w:rsidRDefault="00607CEC" w:rsidP="00607CEC">
      <w:pPr>
        <w:rPr>
          <w:highlight w:val="yellow"/>
        </w:rPr>
      </w:pPr>
      <w:r w:rsidRPr="00607CEC">
        <w:rPr>
          <w:highlight w:val="yellow"/>
        </w:rPr>
        <w:t>Details of the AI usage are given below:</w:t>
      </w:r>
    </w:p>
    <w:p w14:paraId="3A9BE25E" w14:textId="77777777" w:rsidR="00607CEC" w:rsidRPr="00607CEC" w:rsidRDefault="00607CEC" w:rsidP="00607CEC">
      <w:pPr>
        <w:rPr>
          <w:highlight w:val="yellow"/>
        </w:rPr>
      </w:pPr>
      <w:r w:rsidRPr="00607CEC">
        <w:rPr>
          <w:highlight w:val="yellow"/>
        </w:rPr>
        <w:t>1.</w:t>
      </w:r>
    </w:p>
    <w:p w14:paraId="0947F1A4" w14:textId="77777777" w:rsidR="00607CEC" w:rsidRPr="00607CEC" w:rsidRDefault="00607CEC" w:rsidP="00607CEC">
      <w:pPr>
        <w:rPr>
          <w:highlight w:val="yellow"/>
        </w:rPr>
      </w:pPr>
      <w:r w:rsidRPr="00607CEC">
        <w:rPr>
          <w:highlight w:val="yellow"/>
        </w:rPr>
        <w:t>2.</w:t>
      </w:r>
    </w:p>
    <w:p w14:paraId="280DCA9D" w14:textId="77777777" w:rsidR="00607CEC" w:rsidRPr="00D047BB" w:rsidRDefault="00607CEC" w:rsidP="00607CEC">
      <w:r w:rsidRPr="00607CEC">
        <w:rPr>
          <w:highlight w:val="yellow"/>
        </w:rPr>
        <w:t>3.</w:t>
      </w:r>
    </w:p>
    <w:p w14:paraId="1B79C51C" w14:textId="77777777" w:rsidR="00133F64" w:rsidRDefault="00133F64" w:rsidP="00507EE0">
      <w:pPr>
        <w:jc w:val="both"/>
      </w:pPr>
    </w:p>
    <w:p w14:paraId="298B84D0" w14:textId="77777777" w:rsidR="00DE56CE" w:rsidRPr="009148D5" w:rsidRDefault="00133F64" w:rsidP="00507EE0">
      <w:pPr>
        <w:pStyle w:val="Heading2"/>
        <w:jc w:val="both"/>
      </w:pPr>
      <w:r w:rsidRPr="009148D5">
        <w:t>References</w:t>
      </w:r>
    </w:p>
    <w:p w14:paraId="4B4138B0" w14:textId="4FF39B07" w:rsidR="00652156" w:rsidRDefault="00652156" w:rsidP="00507EE0">
      <w:pPr>
        <w:spacing w:before="100" w:beforeAutospacing="1" w:after="100" w:afterAutospacing="1" w:line="240" w:lineRule="auto"/>
        <w:ind w:left="360"/>
        <w:jc w:val="both"/>
        <w:rPr>
          <w:rFonts w:ascii="Times New Roman" w:eastAsia="Times New Roman" w:hAnsi="Times New Roman" w:cs="Times New Roman"/>
          <w:color w:val="222222"/>
          <w:sz w:val="24"/>
          <w:szCs w:val="24"/>
          <w:shd w:val="clear" w:color="auto" w:fill="FFFFFF"/>
          <w:lang w:val="en-US"/>
        </w:rPr>
      </w:pPr>
      <w:proofErr w:type="spellStart"/>
      <w:r w:rsidRPr="00652156">
        <w:rPr>
          <w:rFonts w:ascii="Times New Roman" w:eastAsia="Times New Roman" w:hAnsi="Times New Roman" w:cs="Times New Roman"/>
          <w:color w:val="222222"/>
          <w:sz w:val="24"/>
          <w:szCs w:val="24"/>
          <w:shd w:val="clear" w:color="auto" w:fill="FFFFFF"/>
          <w:lang w:val="en-US"/>
        </w:rPr>
        <w:lastRenderedPageBreak/>
        <w:t>Aarthi</w:t>
      </w:r>
      <w:proofErr w:type="spellEnd"/>
      <w:r w:rsidRPr="00652156">
        <w:rPr>
          <w:rFonts w:ascii="Times New Roman" w:eastAsia="Times New Roman" w:hAnsi="Times New Roman" w:cs="Times New Roman"/>
          <w:color w:val="222222"/>
          <w:sz w:val="24"/>
          <w:szCs w:val="24"/>
          <w:shd w:val="clear" w:color="auto" w:fill="FFFFFF"/>
          <w:lang w:val="en-US"/>
        </w:rPr>
        <w:t xml:space="preserve">, S., Suresh, J., Leela, N. K., &amp; </w:t>
      </w:r>
      <w:proofErr w:type="spellStart"/>
      <w:r w:rsidRPr="00652156">
        <w:rPr>
          <w:rFonts w:ascii="Times New Roman" w:eastAsia="Times New Roman" w:hAnsi="Times New Roman" w:cs="Times New Roman"/>
          <w:color w:val="222222"/>
          <w:sz w:val="24"/>
          <w:szCs w:val="24"/>
          <w:shd w:val="clear" w:color="auto" w:fill="FFFFFF"/>
          <w:lang w:val="en-US"/>
        </w:rPr>
        <w:t>Prasath</w:t>
      </w:r>
      <w:proofErr w:type="spellEnd"/>
      <w:r w:rsidRPr="00652156">
        <w:rPr>
          <w:rFonts w:ascii="Times New Roman" w:eastAsia="Times New Roman" w:hAnsi="Times New Roman" w:cs="Times New Roman"/>
          <w:color w:val="222222"/>
          <w:sz w:val="24"/>
          <w:szCs w:val="24"/>
          <w:shd w:val="clear" w:color="auto" w:fill="FFFFFF"/>
          <w:lang w:val="en-US"/>
        </w:rPr>
        <w:t xml:space="preserve">, D. (2020). Multi environment testing reveals genotype-environment interaction for curcuminoids in turmeric (Curcuma longa L.). Industrial Crops and Products. </w:t>
      </w:r>
      <w:hyperlink r:id="rId8" w:history="1">
        <w:r w:rsidRPr="008E6228">
          <w:rPr>
            <w:rStyle w:val="Hyperlink"/>
            <w:rFonts w:ascii="Times New Roman" w:eastAsia="Times New Roman" w:hAnsi="Times New Roman" w:cs="Times New Roman"/>
            <w:sz w:val="24"/>
            <w:szCs w:val="24"/>
            <w:shd w:val="clear" w:color="auto" w:fill="FFFFFF"/>
            <w:lang w:val="en-US"/>
          </w:rPr>
          <w:t>https://doi.org/10.1016/j.indcrop.2020.112090</w:t>
        </w:r>
      </w:hyperlink>
    </w:p>
    <w:p w14:paraId="49419CDD" w14:textId="79E3BDBF" w:rsidR="00652156" w:rsidRDefault="00652156" w:rsidP="00507EE0">
      <w:pPr>
        <w:spacing w:before="100" w:beforeAutospacing="1" w:after="100" w:afterAutospacing="1" w:line="240" w:lineRule="auto"/>
        <w:ind w:left="360"/>
        <w:jc w:val="both"/>
        <w:rPr>
          <w:rFonts w:ascii="Times New Roman" w:eastAsia="Times New Roman" w:hAnsi="Times New Roman" w:cs="Times New Roman"/>
          <w:color w:val="222222"/>
          <w:sz w:val="24"/>
          <w:szCs w:val="24"/>
          <w:shd w:val="clear" w:color="auto" w:fill="FFFFFF"/>
          <w:lang w:val="en-US"/>
        </w:rPr>
      </w:pPr>
      <w:proofErr w:type="spellStart"/>
      <w:r w:rsidRPr="00652156">
        <w:rPr>
          <w:rFonts w:ascii="Times New Roman" w:eastAsia="Times New Roman" w:hAnsi="Times New Roman" w:cs="Times New Roman"/>
          <w:color w:val="222222"/>
          <w:sz w:val="24"/>
          <w:szCs w:val="24"/>
          <w:shd w:val="clear" w:color="auto" w:fill="FFFFFF"/>
          <w:lang w:val="en-US"/>
        </w:rPr>
        <w:t>Amalraj</w:t>
      </w:r>
      <w:proofErr w:type="spellEnd"/>
      <w:r w:rsidRPr="00652156">
        <w:rPr>
          <w:rFonts w:ascii="Times New Roman" w:eastAsia="Times New Roman" w:hAnsi="Times New Roman" w:cs="Times New Roman"/>
          <w:color w:val="222222"/>
          <w:sz w:val="24"/>
          <w:szCs w:val="24"/>
          <w:shd w:val="clear" w:color="auto" w:fill="FFFFFF"/>
          <w:lang w:val="en-US"/>
        </w:rPr>
        <w:t xml:space="preserve">, A., Pius, A., Gopi, S., &amp; Gopi, S. (2017). Biological activities of curcuminoids, other biomolecules from turmeric and their derivatives – A review. Journal of Traditional and Complementary Medicine. </w:t>
      </w:r>
      <w:hyperlink r:id="rId9" w:history="1">
        <w:r w:rsidRPr="008E6228">
          <w:rPr>
            <w:rStyle w:val="Hyperlink"/>
            <w:rFonts w:ascii="Times New Roman" w:eastAsia="Times New Roman" w:hAnsi="Times New Roman" w:cs="Times New Roman"/>
            <w:sz w:val="24"/>
            <w:szCs w:val="24"/>
            <w:shd w:val="clear" w:color="auto" w:fill="FFFFFF"/>
            <w:lang w:val="en-US"/>
          </w:rPr>
          <w:t>https://doi.org/10.1016/j.jtcme.2016.05.005</w:t>
        </w:r>
      </w:hyperlink>
    </w:p>
    <w:p w14:paraId="1CC1732B" w14:textId="1F5C637F" w:rsidR="00DE56CE" w:rsidRPr="00652156" w:rsidRDefault="00652156" w:rsidP="00507EE0">
      <w:pPr>
        <w:spacing w:before="100" w:beforeAutospacing="1" w:after="100" w:afterAutospacing="1" w:line="240" w:lineRule="auto"/>
        <w:ind w:left="360"/>
        <w:jc w:val="both"/>
        <w:rPr>
          <w:rFonts w:ascii="Times New Roman" w:eastAsia="Times New Roman" w:hAnsi="Times New Roman" w:cs="Times New Roman"/>
          <w:color w:val="222222"/>
          <w:sz w:val="24"/>
          <w:szCs w:val="24"/>
          <w:shd w:val="clear" w:color="auto" w:fill="FFFFFF"/>
          <w:lang w:val="en-US"/>
        </w:rPr>
      </w:pPr>
      <w:proofErr w:type="spellStart"/>
      <w:r w:rsidRPr="00652156">
        <w:rPr>
          <w:rFonts w:ascii="Times New Roman" w:eastAsia="Times New Roman" w:hAnsi="Times New Roman" w:cs="Times New Roman"/>
          <w:color w:val="222222"/>
          <w:sz w:val="24"/>
          <w:szCs w:val="24"/>
          <w:shd w:val="clear" w:color="auto" w:fill="FFFFFF"/>
          <w:lang w:val="en-US"/>
        </w:rPr>
        <w:t>Anandaraj</w:t>
      </w:r>
      <w:proofErr w:type="spellEnd"/>
      <w:r w:rsidRPr="00652156">
        <w:rPr>
          <w:rFonts w:ascii="Times New Roman" w:eastAsia="Times New Roman" w:hAnsi="Times New Roman" w:cs="Times New Roman"/>
          <w:color w:val="222222"/>
          <w:sz w:val="24"/>
          <w:szCs w:val="24"/>
          <w:shd w:val="clear" w:color="auto" w:fill="FFFFFF"/>
          <w:lang w:val="en-US"/>
        </w:rPr>
        <w:t xml:space="preserve">, M., </w:t>
      </w:r>
      <w:proofErr w:type="spellStart"/>
      <w:r w:rsidRPr="00652156">
        <w:rPr>
          <w:rFonts w:ascii="Times New Roman" w:eastAsia="Times New Roman" w:hAnsi="Times New Roman" w:cs="Times New Roman"/>
          <w:color w:val="222222"/>
          <w:sz w:val="24"/>
          <w:szCs w:val="24"/>
          <w:shd w:val="clear" w:color="auto" w:fill="FFFFFF"/>
          <w:lang w:val="en-US"/>
        </w:rPr>
        <w:t>Prasath</w:t>
      </w:r>
      <w:proofErr w:type="spellEnd"/>
      <w:r w:rsidRPr="00652156">
        <w:rPr>
          <w:rFonts w:ascii="Times New Roman" w:eastAsia="Times New Roman" w:hAnsi="Times New Roman" w:cs="Times New Roman"/>
          <w:color w:val="222222"/>
          <w:sz w:val="24"/>
          <w:szCs w:val="24"/>
          <w:shd w:val="clear" w:color="auto" w:fill="FFFFFF"/>
          <w:lang w:val="en-US"/>
        </w:rPr>
        <w:t xml:space="preserve">, D., </w:t>
      </w:r>
      <w:proofErr w:type="spellStart"/>
      <w:r w:rsidRPr="00652156">
        <w:rPr>
          <w:rFonts w:ascii="Times New Roman" w:eastAsia="Times New Roman" w:hAnsi="Times New Roman" w:cs="Times New Roman"/>
          <w:color w:val="222222"/>
          <w:sz w:val="24"/>
          <w:szCs w:val="24"/>
          <w:shd w:val="clear" w:color="auto" w:fill="FFFFFF"/>
          <w:lang w:val="en-US"/>
        </w:rPr>
        <w:t>Kandiannan</w:t>
      </w:r>
      <w:proofErr w:type="spellEnd"/>
      <w:r w:rsidRPr="00652156">
        <w:rPr>
          <w:rFonts w:ascii="Times New Roman" w:eastAsia="Times New Roman" w:hAnsi="Times New Roman" w:cs="Times New Roman"/>
          <w:color w:val="222222"/>
          <w:sz w:val="24"/>
          <w:szCs w:val="24"/>
          <w:shd w:val="clear" w:color="auto" w:fill="FFFFFF"/>
          <w:lang w:val="en-US"/>
        </w:rPr>
        <w:t xml:space="preserve">, K., Zachariah, T. J., Srinivasan, V., Jha, A. K., Singh, B. K., Singh, A. K., Pandey, V. P., Singh, S. P., Shoba, N., Jana, J. C., Kumar, K. R., &amp; </w:t>
      </w:r>
      <w:proofErr w:type="spellStart"/>
      <w:r w:rsidRPr="00652156">
        <w:rPr>
          <w:rFonts w:ascii="Times New Roman" w:eastAsia="Times New Roman" w:hAnsi="Times New Roman" w:cs="Times New Roman"/>
          <w:color w:val="222222"/>
          <w:sz w:val="24"/>
          <w:szCs w:val="24"/>
          <w:shd w:val="clear" w:color="auto" w:fill="FFFFFF"/>
          <w:lang w:val="en-US"/>
        </w:rPr>
        <w:t>Maheswari</w:t>
      </w:r>
      <w:proofErr w:type="spellEnd"/>
      <w:r w:rsidRPr="00652156">
        <w:rPr>
          <w:rFonts w:ascii="Times New Roman" w:eastAsia="Times New Roman" w:hAnsi="Times New Roman" w:cs="Times New Roman"/>
          <w:color w:val="222222"/>
          <w:sz w:val="24"/>
          <w:szCs w:val="24"/>
          <w:shd w:val="clear" w:color="auto" w:fill="FFFFFF"/>
          <w:lang w:val="en-US"/>
        </w:rPr>
        <w:t xml:space="preserve">, K. U. (2014). Genotype by environment interaction effects on yield and curcumin in turmeric (Curcuma longa L.). Industrial Crops and Products, 53, 358-364. </w:t>
      </w:r>
      <w:hyperlink r:id="rId10" w:history="1">
        <w:r w:rsidRPr="008E6228">
          <w:rPr>
            <w:rStyle w:val="Hyperlink"/>
            <w:rFonts w:ascii="Times New Roman" w:eastAsia="Times New Roman" w:hAnsi="Times New Roman" w:cs="Times New Roman"/>
            <w:sz w:val="24"/>
            <w:szCs w:val="24"/>
            <w:shd w:val="clear" w:color="auto" w:fill="FFFFFF"/>
            <w:lang w:val="en-US"/>
          </w:rPr>
          <w:t>https://doi.org/10.1016/j.indcrop.2014.01.005</w:t>
        </w:r>
      </w:hyperlink>
      <w:r w:rsidR="00DE56CE" w:rsidRPr="00652156">
        <w:rPr>
          <w:rFonts w:ascii="Times New Roman" w:eastAsia="Times New Roman" w:hAnsi="Times New Roman" w:cs="Times New Roman"/>
          <w:color w:val="222222"/>
          <w:sz w:val="24"/>
          <w:szCs w:val="24"/>
          <w:shd w:val="clear" w:color="auto" w:fill="FFFFFF"/>
          <w:lang w:val="en-US"/>
        </w:rPr>
        <w:t xml:space="preserve"> </w:t>
      </w:r>
    </w:p>
    <w:p w14:paraId="4099F79C" w14:textId="6BBF9B4D" w:rsidR="00652156" w:rsidRDefault="00652156" w:rsidP="00507EE0">
      <w:pPr>
        <w:spacing w:before="100" w:beforeAutospacing="1" w:after="100" w:afterAutospacing="1" w:line="240" w:lineRule="auto"/>
        <w:ind w:left="360"/>
        <w:jc w:val="both"/>
        <w:rPr>
          <w:rFonts w:ascii="Times New Roman" w:eastAsia="Times New Roman" w:hAnsi="Times New Roman" w:cs="Times New Roman"/>
          <w:color w:val="222222"/>
          <w:sz w:val="24"/>
          <w:szCs w:val="24"/>
          <w:shd w:val="clear" w:color="auto" w:fill="FFFFFF"/>
          <w:lang w:val="en-US"/>
        </w:rPr>
      </w:pPr>
      <w:proofErr w:type="spellStart"/>
      <w:r w:rsidRPr="00652156">
        <w:rPr>
          <w:rFonts w:ascii="Times New Roman" w:eastAsia="Times New Roman" w:hAnsi="Times New Roman" w:cs="Times New Roman"/>
          <w:color w:val="222222"/>
          <w:sz w:val="24"/>
          <w:szCs w:val="24"/>
          <w:shd w:val="clear" w:color="auto" w:fill="FFFFFF"/>
          <w:lang w:val="en-US"/>
        </w:rPr>
        <w:t>Budhathoki</w:t>
      </w:r>
      <w:proofErr w:type="spellEnd"/>
      <w:r w:rsidRPr="00652156">
        <w:rPr>
          <w:rFonts w:ascii="Times New Roman" w:eastAsia="Times New Roman" w:hAnsi="Times New Roman" w:cs="Times New Roman"/>
          <w:color w:val="222222"/>
          <w:sz w:val="24"/>
          <w:szCs w:val="24"/>
          <w:shd w:val="clear" w:color="auto" w:fill="FFFFFF"/>
          <w:lang w:val="en-US"/>
        </w:rPr>
        <w:t xml:space="preserve">, R., </w:t>
      </w:r>
      <w:proofErr w:type="spellStart"/>
      <w:r w:rsidRPr="00652156">
        <w:rPr>
          <w:rFonts w:ascii="Times New Roman" w:eastAsia="Times New Roman" w:hAnsi="Times New Roman" w:cs="Times New Roman"/>
          <w:color w:val="222222"/>
          <w:sz w:val="24"/>
          <w:szCs w:val="24"/>
          <w:shd w:val="clear" w:color="auto" w:fill="FFFFFF"/>
          <w:lang w:val="en-US"/>
        </w:rPr>
        <w:t>Timilsina</w:t>
      </w:r>
      <w:proofErr w:type="spellEnd"/>
      <w:r w:rsidRPr="00652156">
        <w:rPr>
          <w:rFonts w:ascii="Times New Roman" w:eastAsia="Times New Roman" w:hAnsi="Times New Roman" w:cs="Times New Roman"/>
          <w:color w:val="222222"/>
          <w:sz w:val="24"/>
          <w:szCs w:val="24"/>
          <w:shd w:val="clear" w:color="auto" w:fill="FFFFFF"/>
          <w:lang w:val="en-US"/>
        </w:rPr>
        <w:t xml:space="preserve">, A. P., </w:t>
      </w:r>
      <w:proofErr w:type="spellStart"/>
      <w:r w:rsidRPr="00652156">
        <w:rPr>
          <w:rFonts w:ascii="Times New Roman" w:eastAsia="Times New Roman" w:hAnsi="Times New Roman" w:cs="Times New Roman"/>
          <w:color w:val="222222"/>
          <w:sz w:val="24"/>
          <w:szCs w:val="24"/>
          <w:shd w:val="clear" w:color="auto" w:fill="FFFFFF"/>
          <w:lang w:val="en-US"/>
        </w:rPr>
        <w:t>Regmi</w:t>
      </w:r>
      <w:proofErr w:type="spellEnd"/>
      <w:r w:rsidRPr="00652156">
        <w:rPr>
          <w:rFonts w:ascii="Times New Roman" w:eastAsia="Times New Roman" w:hAnsi="Times New Roman" w:cs="Times New Roman"/>
          <w:color w:val="222222"/>
          <w:sz w:val="24"/>
          <w:szCs w:val="24"/>
          <w:shd w:val="clear" w:color="auto" w:fill="FFFFFF"/>
          <w:lang w:val="en-US"/>
        </w:rPr>
        <w:t xml:space="preserve">, B. P., Sharma, K. R., </w:t>
      </w:r>
      <w:proofErr w:type="spellStart"/>
      <w:r w:rsidRPr="00652156">
        <w:rPr>
          <w:rFonts w:ascii="Times New Roman" w:eastAsia="Times New Roman" w:hAnsi="Times New Roman" w:cs="Times New Roman"/>
          <w:color w:val="222222"/>
          <w:sz w:val="24"/>
          <w:szCs w:val="24"/>
          <w:shd w:val="clear" w:color="auto" w:fill="FFFFFF"/>
          <w:lang w:val="en-US"/>
        </w:rPr>
        <w:t>Aryal</w:t>
      </w:r>
      <w:proofErr w:type="spellEnd"/>
      <w:r w:rsidRPr="00652156">
        <w:rPr>
          <w:rFonts w:ascii="Times New Roman" w:eastAsia="Times New Roman" w:hAnsi="Times New Roman" w:cs="Times New Roman"/>
          <w:color w:val="222222"/>
          <w:sz w:val="24"/>
          <w:szCs w:val="24"/>
          <w:shd w:val="clear" w:color="auto" w:fill="FFFFFF"/>
          <w:lang w:val="en-US"/>
        </w:rPr>
        <w:t xml:space="preserve">, N., &amp; </w:t>
      </w:r>
      <w:proofErr w:type="spellStart"/>
      <w:r w:rsidRPr="00652156">
        <w:rPr>
          <w:rFonts w:ascii="Times New Roman" w:eastAsia="Times New Roman" w:hAnsi="Times New Roman" w:cs="Times New Roman"/>
          <w:color w:val="222222"/>
          <w:sz w:val="24"/>
          <w:szCs w:val="24"/>
          <w:shd w:val="clear" w:color="auto" w:fill="FFFFFF"/>
          <w:lang w:val="en-US"/>
        </w:rPr>
        <w:t>Parajuli</w:t>
      </w:r>
      <w:proofErr w:type="spellEnd"/>
      <w:r w:rsidRPr="00652156">
        <w:rPr>
          <w:rFonts w:ascii="Times New Roman" w:eastAsia="Times New Roman" w:hAnsi="Times New Roman" w:cs="Times New Roman"/>
          <w:color w:val="222222"/>
          <w:sz w:val="24"/>
          <w:szCs w:val="24"/>
          <w:shd w:val="clear" w:color="auto" w:fill="FFFFFF"/>
          <w:lang w:val="en-US"/>
        </w:rPr>
        <w:t xml:space="preserve">, N. (2023). Metabolome mining of Curcuma longa L. Using HPLC-MS/MS and molecular networking. Metabolites, 13(8), 898. </w:t>
      </w:r>
      <w:hyperlink r:id="rId11" w:history="1">
        <w:r w:rsidRPr="008E6228">
          <w:rPr>
            <w:rStyle w:val="Hyperlink"/>
            <w:rFonts w:ascii="Times New Roman" w:eastAsia="Times New Roman" w:hAnsi="Times New Roman" w:cs="Times New Roman"/>
            <w:sz w:val="24"/>
            <w:szCs w:val="24"/>
            <w:shd w:val="clear" w:color="auto" w:fill="FFFFFF"/>
            <w:lang w:val="en-US"/>
          </w:rPr>
          <w:t>https://doi.org/10.3390/metabo13080898</w:t>
        </w:r>
      </w:hyperlink>
    </w:p>
    <w:p w14:paraId="2A97C15D" w14:textId="0329F71A" w:rsidR="00652156" w:rsidRDefault="00652156" w:rsidP="00507EE0">
      <w:pPr>
        <w:spacing w:before="100" w:beforeAutospacing="1" w:after="100" w:afterAutospacing="1" w:line="240" w:lineRule="auto"/>
        <w:ind w:left="360"/>
        <w:jc w:val="both"/>
        <w:rPr>
          <w:rFonts w:ascii="Times New Roman" w:eastAsia="Times New Roman" w:hAnsi="Times New Roman" w:cs="Times New Roman"/>
          <w:color w:val="222222"/>
          <w:sz w:val="24"/>
          <w:szCs w:val="24"/>
          <w:shd w:val="clear" w:color="auto" w:fill="FFFFFF"/>
          <w:lang w:val="en-US"/>
        </w:rPr>
      </w:pPr>
      <w:r w:rsidRPr="00652156">
        <w:rPr>
          <w:rFonts w:ascii="Times New Roman" w:eastAsia="Times New Roman" w:hAnsi="Times New Roman" w:cs="Times New Roman"/>
          <w:color w:val="222222"/>
          <w:sz w:val="24"/>
          <w:szCs w:val="24"/>
          <w:shd w:val="clear" w:color="auto" w:fill="FFFFFF"/>
          <w:lang w:val="en-US"/>
        </w:rPr>
        <w:t xml:space="preserve">Chakraborty, A., Mahajan, S., Jaiswal, S. K., &amp; Sharma, V. K. (2021). Genome sequencing of turmeric provides evolutionary insights into its medicinal properties. Communications biology, 4(1), 1193. </w:t>
      </w:r>
      <w:hyperlink r:id="rId12" w:history="1">
        <w:r w:rsidRPr="008E6228">
          <w:rPr>
            <w:rStyle w:val="Hyperlink"/>
            <w:rFonts w:ascii="Times New Roman" w:eastAsia="Times New Roman" w:hAnsi="Times New Roman" w:cs="Times New Roman"/>
            <w:sz w:val="24"/>
            <w:szCs w:val="24"/>
            <w:shd w:val="clear" w:color="auto" w:fill="FFFFFF"/>
            <w:lang w:val="en-US"/>
          </w:rPr>
          <w:t>https://doi.org/10.1038/s42003-021-02720-y</w:t>
        </w:r>
      </w:hyperlink>
    </w:p>
    <w:p w14:paraId="54ED8A99" w14:textId="3B088A7F" w:rsidR="00652156" w:rsidRDefault="00652156" w:rsidP="00507EE0">
      <w:pPr>
        <w:spacing w:before="100" w:beforeAutospacing="1" w:after="100" w:afterAutospacing="1" w:line="240" w:lineRule="auto"/>
        <w:ind w:left="360"/>
        <w:jc w:val="both"/>
        <w:rPr>
          <w:rFonts w:ascii="Times New Roman" w:eastAsia="Times New Roman" w:hAnsi="Times New Roman" w:cs="Times New Roman"/>
          <w:color w:val="222222"/>
          <w:sz w:val="24"/>
          <w:szCs w:val="24"/>
          <w:shd w:val="clear" w:color="auto" w:fill="FFFFFF"/>
          <w:lang w:val="en-US"/>
        </w:rPr>
      </w:pPr>
      <w:r w:rsidRPr="00652156">
        <w:rPr>
          <w:rFonts w:ascii="Times New Roman" w:eastAsia="Times New Roman" w:hAnsi="Times New Roman" w:cs="Times New Roman"/>
          <w:color w:val="222222"/>
          <w:sz w:val="24"/>
          <w:szCs w:val="24"/>
          <w:shd w:val="clear" w:color="auto" w:fill="FFFFFF"/>
          <w:lang w:val="en-US"/>
        </w:rPr>
        <w:t>Chen, J., Wang, W., Wang, L., Wang, H., Hu, M., Zhou, J., Du, G., &amp; Zeng, W. (2024). Efficient de novo biosynthesis of curcumin in Escherichia coli by optimizing pathway modules and increasing the malonyl-</w:t>
      </w:r>
      <w:proofErr w:type="spellStart"/>
      <w:r w:rsidRPr="00652156">
        <w:rPr>
          <w:rFonts w:ascii="Times New Roman" w:eastAsia="Times New Roman" w:hAnsi="Times New Roman" w:cs="Times New Roman"/>
          <w:color w:val="222222"/>
          <w:sz w:val="24"/>
          <w:szCs w:val="24"/>
          <w:shd w:val="clear" w:color="auto" w:fill="FFFFFF"/>
          <w:lang w:val="en-US"/>
        </w:rPr>
        <w:t>coa</w:t>
      </w:r>
      <w:proofErr w:type="spellEnd"/>
      <w:r w:rsidRPr="00652156">
        <w:rPr>
          <w:rFonts w:ascii="Times New Roman" w:eastAsia="Times New Roman" w:hAnsi="Times New Roman" w:cs="Times New Roman"/>
          <w:color w:val="222222"/>
          <w:sz w:val="24"/>
          <w:szCs w:val="24"/>
          <w:shd w:val="clear" w:color="auto" w:fill="FFFFFF"/>
          <w:lang w:val="en-US"/>
        </w:rPr>
        <w:t xml:space="preserve"> supply. Journal of Agricultural and Food Chemistry, 72(1), 566-576. </w:t>
      </w:r>
      <w:hyperlink r:id="rId13" w:history="1">
        <w:r w:rsidRPr="008E6228">
          <w:rPr>
            <w:rStyle w:val="Hyperlink"/>
            <w:rFonts w:ascii="Times New Roman" w:eastAsia="Times New Roman" w:hAnsi="Times New Roman" w:cs="Times New Roman"/>
            <w:sz w:val="24"/>
            <w:szCs w:val="24"/>
            <w:shd w:val="clear" w:color="auto" w:fill="FFFFFF"/>
            <w:lang w:val="en-US"/>
          </w:rPr>
          <w:t>https://doi.org/10.1021/acs.jafc.3c07379</w:t>
        </w:r>
      </w:hyperlink>
    </w:p>
    <w:p w14:paraId="7EF26A2F" w14:textId="379F1295" w:rsidR="00652156" w:rsidRDefault="00652156" w:rsidP="00507EE0">
      <w:pPr>
        <w:spacing w:before="100" w:beforeAutospacing="1" w:after="100" w:afterAutospacing="1" w:line="240" w:lineRule="auto"/>
        <w:ind w:left="360"/>
        <w:jc w:val="both"/>
        <w:rPr>
          <w:rFonts w:ascii="Times New Roman" w:eastAsia="Times New Roman" w:hAnsi="Times New Roman" w:cs="Times New Roman"/>
          <w:color w:val="222222"/>
          <w:sz w:val="24"/>
          <w:szCs w:val="24"/>
          <w:shd w:val="clear" w:color="auto" w:fill="FFFFFF"/>
          <w:lang w:val="en-US"/>
        </w:rPr>
      </w:pPr>
      <w:r w:rsidRPr="00652156">
        <w:rPr>
          <w:rFonts w:ascii="Times New Roman" w:eastAsia="Times New Roman" w:hAnsi="Times New Roman" w:cs="Times New Roman"/>
          <w:color w:val="222222"/>
          <w:sz w:val="24"/>
          <w:szCs w:val="24"/>
          <w:shd w:val="clear" w:color="auto" w:fill="FFFFFF"/>
          <w:lang w:val="en-US"/>
        </w:rPr>
        <w:t xml:space="preserve">Chen, R., Hu, T., Wang, M., Hu, Y., Chen, S., Wei, Q., Li, Y., Li, Y., Li, Y., Li, Y., &amp; </w:t>
      </w:r>
      <w:proofErr w:type="spellStart"/>
      <w:r w:rsidRPr="00652156">
        <w:rPr>
          <w:rFonts w:ascii="Times New Roman" w:eastAsia="Times New Roman" w:hAnsi="Times New Roman" w:cs="Times New Roman"/>
          <w:color w:val="222222"/>
          <w:sz w:val="24"/>
          <w:szCs w:val="24"/>
          <w:shd w:val="clear" w:color="auto" w:fill="FFFFFF"/>
          <w:lang w:val="en-US"/>
        </w:rPr>
        <w:t>Xie</w:t>
      </w:r>
      <w:proofErr w:type="spellEnd"/>
      <w:r w:rsidRPr="00652156">
        <w:rPr>
          <w:rFonts w:ascii="Times New Roman" w:eastAsia="Times New Roman" w:hAnsi="Times New Roman" w:cs="Times New Roman"/>
          <w:color w:val="222222"/>
          <w:sz w:val="24"/>
          <w:szCs w:val="24"/>
          <w:shd w:val="clear" w:color="auto" w:fill="FFFFFF"/>
          <w:lang w:val="en-US"/>
        </w:rPr>
        <w:t xml:space="preserve">, T. (2022). Functional characterization of key polyketide synthases by integrated metabolome and transcriptome analysis on curcuminoid biosynthesis in Curcuma </w:t>
      </w:r>
      <w:proofErr w:type="spellStart"/>
      <w:r w:rsidRPr="00652156">
        <w:rPr>
          <w:rFonts w:ascii="Times New Roman" w:eastAsia="Times New Roman" w:hAnsi="Times New Roman" w:cs="Times New Roman"/>
          <w:color w:val="222222"/>
          <w:sz w:val="24"/>
          <w:szCs w:val="24"/>
          <w:shd w:val="clear" w:color="auto" w:fill="FFFFFF"/>
          <w:lang w:val="en-US"/>
        </w:rPr>
        <w:t>wenyujin</w:t>
      </w:r>
      <w:proofErr w:type="spellEnd"/>
      <w:r w:rsidRPr="00652156">
        <w:rPr>
          <w:rFonts w:ascii="Times New Roman" w:eastAsia="Times New Roman" w:hAnsi="Times New Roman" w:cs="Times New Roman"/>
          <w:color w:val="222222"/>
          <w:sz w:val="24"/>
          <w:szCs w:val="24"/>
          <w:shd w:val="clear" w:color="auto" w:fill="FFFFFF"/>
          <w:lang w:val="en-US"/>
        </w:rPr>
        <w:t xml:space="preserve">. Synthetic and Systems Biotechnology, 7(3), 849-861. </w:t>
      </w:r>
      <w:hyperlink r:id="rId14" w:history="1">
        <w:r w:rsidRPr="008E6228">
          <w:rPr>
            <w:rStyle w:val="Hyperlink"/>
            <w:rFonts w:ascii="Times New Roman" w:eastAsia="Times New Roman" w:hAnsi="Times New Roman" w:cs="Times New Roman"/>
            <w:sz w:val="24"/>
            <w:szCs w:val="24"/>
            <w:shd w:val="clear" w:color="auto" w:fill="FFFFFF"/>
            <w:lang w:val="en-US"/>
          </w:rPr>
          <w:t>https://doi.org/10.1016/j.synbio.2022.04.006</w:t>
        </w:r>
      </w:hyperlink>
    </w:p>
    <w:p w14:paraId="7B6EA956" w14:textId="59B512BE" w:rsidR="00652156" w:rsidRDefault="00652156" w:rsidP="00507EE0">
      <w:pPr>
        <w:spacing w:before="100" w:beforeAutospacing="1" w:after="100" w:afterAutospacing="1" w:line="240" w:lineRule="auto"/>
        <w:ind w:left="360"/>
        <w:jc w:val="both"/>
        <w:rPr>
          <w:rFonts w:ascii="Times New Roman" w:eastAsia="Times New Roman" w:hAnsi="Times New Roman" w:cs="Times New Roman"/>
          <w:color w:val="222222"/>
          <w:sz w:val="24"/>
          <w:szCs w:val="24"/>
          <w:shd w:val="clear" w:color="auto" w:fill="FFFFFF"/>
          <w:lang w:val="en-US"/>
        </w:rPr>
      </w:pPr>
      <w:r w:rsidRPr="00652156">
        <w:rPr>
          <w:rFonts w:ascii="Times New Roman" w:eastAsia="Times New Roman" w:hAnsi="Times New Roman" w:cs="Times New Roman"/>
          <w:color w:val="222222"/>
          <w:sz w:val="24"/>
          <w:szCs w:val="24"/>
          <w:shd w:val="clear" w:color="auto" w:fill="FFFFFF"/>
          <w:lang w:val="en-US"/>
        </w:rPr>
        <w:t xml:space="preserve">Das, S., Kwon, M., &amp; Kim, J. Y. (2024). Enhancement of specialized metabolites using CRISPR/Cas gene editing technology in medicinal plants. Frontiers in plant science, 15, 1279738. </w:t>
      </w:r>
      <w:hyperlink r:id="rId15" w:history="1">
        <w:r w:rsidRPr="008E6228">
          <w:rPr>
            <w:rStyle w:val="Hyperlink"/>
            <w:rFonts w:ascii="Times New Roman" w:eastAsia="Times New Roman" w:hAnsi="Times New Roman" w:cs="Times New Roman"/>
            <w:sz w:val="24"/>
            <w:szCs w:val="24"/>
            <w:shd w:val="clear" w:color="auto" w:fill="FFFFFF"/>
            <w:lang w:val="en-US"/>
          </w:rPr>
          <w:t>https://doi.org/10.3389/fpls.2024.1279738</w:t>
        </w:r>
      </w:hyperlink>
    </w:p>
    <w:p w14:paraId="55B8810B" w14:textId="77777777" w:rsidR="00652156" w:rsidRDefault="00652156" w:rsidP="00507EE0">
      <w:pPr>
        <w:spacing w:before="100" w:beforeAutospacing="1" w:after="100" w:afterAutospacing="1" w:line="240" w:lineRule="auto"/>
        <w:ind w:left="360"/>
        <w:jc w:val="both"/>
        <w:rPr>
          <w:rFonts w:ascii="Times New Roman" w:eastAsia="Times New Roman" w:hAnsi="Times New Roman" w:cs="Times New Roman"/>
          <w:color w:val="222222"/>
          <w:sz w:val="24"/>
          <w:szCs w:val="24"/>
          <w:shd w:val="clear" w:color="auto" w:fill="FFFFFF"/>
          <w:lang w:val="en-US"/>
        </w:rPr>
      </w:pPr>
      <w:r w:rsidRPr="00652156">
        <w:rPr>
          <w:rFonts w:ascii="Times New Roman" w:eastAsia="Times New Roman" w:hAnsi="Times New Roman" w:cs="Times New Roman"/>
          <w:color w:val="222222"/>
          <w:sz w:val="24"/>
          <w:szCs w:val="24"/>
          <w:shd w:val="clear" w:color="auto" w:fill="FFFFFF"/>
          <w:lang w:val="en-US"/>
        </w:rPr>
        <w:t xml:space="preserve">Dettmer, K., </w:t>
      </w:r>
      <w:proofErr w:type="spellStart"/>
      <w:r w:rsidRPr="00652156">
        <w:rPr>
          <w:rFonts w:ascii="Times New Roman" w:eastAsia="Times New Roman" w:hAnsi="Times New Roman" w:cs="Times New Roman"/>
          <w:color w:val="222222"/>
          <w:sz w:val="24"/>
          <w:szCs w:val="24"/>
          <w:shd w:val="clear" w:color="auto" w:fill="FFFFFF"/>
          <w:lang w:val="en-US"/>
        </w:rPr>
        <w:t>Aronov</w:t>
      </w:r>
      <w:proofErr w:type="spellEnd"/>
      <w:r w:rsidRPr="00652156">
        <w:rPr>
          <w:rFonts w:ascii="Times New Roman" w:eastAsia="Times New Roman" w:hAnsi="Times New Roman" w:cs="Times New Roman"/>
          <w:color w:val="222222"/>
          <w:sz w:val="24"/>
          <w:szCs w:val="24"/>
          <w:shd w:val="clear" w:color="auto" w:fill="FFFFFF"/>
          <w:lang w:val="en-US"/>
        </w:rPr>
        <w:t xml:space="preserve">, P. A., &amp; Hammock, B. D. (2007). Mass spectrometry-based metabolomics. Mass Spectrometry Reviews, 26(1), 51-78. </w:t>
      </w:r>
      <w:hyperlink r:id="rId16" w:history="1">
        <w:r w:rsidRPr="008E6228">
          <w:rPr>
            <w:rStyle w:val="Hyperlink"/>
            <w:rFonts w:ascii="Times New Roman" w:eastAsia="Times New Roman" w:hAnsi="Times New Roman" w:cs="Times New Roman"/>
            <w:sz w:val="24"/>
            <w:szCs w:val="24"/>
            <w:shd w:val="clear" w:color="auto" w:fill="FFFFFF"/>
            <w:lang w:val="en-US"/>
          </w:rPr>
          <w:t>https://doi.org/10.1002/mas.20108</w:t>
        </w:r>
      </w:hyperlink>
      <w:r w:rsidR="00DE56CE" w:rsidRPr="00652156">
        <w:rPr>
          <w:rFonts w:ascii="Times New Roman" w:eastAsia="Times New Roman" w:hAnsi="Times New Roman" w:cs="Times New Roman"/>
          <w:color w:val="222222"/>
          <w:sz w:val="24"/>
          <w:szCs w:val="24"/>
          <w:shd w:val="clear" w:color="auto" w:fill="FFFFFF"/>
          <w:lang w:val="en-US"/>
        </w:rPr>
        <w:t xml:space="preserve"> </w:t>
      </w:r>
    </w:p>
    <w:p w14:paraId="5D311EF3" w14:textId="6CA6CAA1" w:rsidR="00652156" w:rsidRPr="00652156" w:rsidRDefault="00652156" w:rsidP="00507EE0">
      <w:pPr>
        <w:spacing w:before="100" w:beforeAutospacing="1" w:after="100" w:afterAutospacing="1" w:line="240" w:lineRule="auto"/>
        <w:ind w:left="360"/>
        <w:jc w:val="both"/>
        <w:rPr>
          <w:rFonts w:ascii="Times New Roman" w:eastAsia="Times New Roman" w:hAnsi="Times New Roman" w:cs="Times New Roman"/>
          <w:color w:val="222222"/>
          <w:sz w:val="24"/>
          <w:szCs w:val="24"/>
          <w:shd w:val="clear" w:color="auto" w:fill="FFFFFF"/>
          <w:lang w:val="en-US"/>
        </w:rPr>
      </w:pPr>
      <w:r w:rsidRPr="00652156">
        <w:rPr>
          <w:rFonts w:ascii="Times New Roman" w:eastAsia="Times New Roman" w:hAnsi="Times New Roman" w:cs="Times New Roman"/>
          <w:color w:val="222222"/>
          <w:sz w:val="24"/>
          <w:szCs w:val="24"/>
          <w:shd w:val="clear" w:color="auto" w:fill="FFFFFF"/>
          <w:lang w:val="en-US"/>
        </w:rPr>
        <w:t xml:space="preserve">Dey, A. (2021). CRISPR/Cas genome editing to optimize pharmacologically active plant natural products. Pharmacological Research. </w:t>
      </w:r>
      <w:hyperlink r:id="rId17" w:history="1">
        <w:r w:rsidRPr="00652156">
          <w:rPr>
            <w:rStyle w:val="Hyperlink"/>
            <w:rFonts w:ascii="Times New Roman" w:eastAsia="Times New Roman" w:hAnsi="Times New Roman" w:cs="Times New Roman"/>
            <w:sz w:val="24"/>
            <w:szCs w:val="24"/>
            <w:shd w:val="clear" w:color="auto" w:fill="FFFFFF"/>
            <w:lang w:val="en-US"/>
          </w:rPr>
          <w:t>https://doi.org/10.1016/j.phrs.2020.105359</w:t>
        </w:r>
      </w:hyperlink>
    </w:p>
    <w:p w14:paraId="3BABF62B" w14:textId="20ED2382" w:rsidR="00AF436D" w:rsidRDefault="00AF436D" w:rsidP="00507EE0">
      <w:pPr>
        <w:spacing w:before="100" w:beforeAutospacing="1" w:after="100" w:afterAutospacing="1" w:line="240" w:lineRule="auto"/>
        <w:ind w:left="360"/>
        <w:jc w:val="both"/>
        <w:rPr>
          <w:rFonts w:ascii="Times New Roman" w:eastAsia="Times New Roman" w:hAnsi="Times New Roman" w:cs="Times New Roman"/>
          <w:color w:val="222222"/>
          <w:sz w:val="24"/>
          <w:szCs w:val="24"/>
          <w:shd w:val="clear" w:color="auto" w:fill="FFFFFF"/>
          <w:lang w:val="en-US"/>
        </w:rPr>
      </w:pPr>
      <w:proofErr w:type="spellStart"/>
      <w:r w:rsidRPr="00AF436D">
        <w:rPr>
          <w:rFonts w:ascii="Times New Roman" w:eastAsia="Times New Roman" w:hAnsi="Times New Roman" w:cs="Times New Roman"/>
          <w:color w:val="222222"/>
          <w:sz w:val="24"/>
          <w:szCs w:val="24"/>
          <w:shd w:val="clear" w:color="auto" w:fill="FFFFFF"/>
          <w:lang w:val="en-US"/>
        </w:rPr>
        <w:t>Dudekula</w:t>
      </w:r>
      <w:proofErr w:type="spellEnd"/>
      <w:r w:rsidRPr="00AF436D">
        <w:rPr>
          <w:rFonts w:ascii="Times New Roman" w:eastAsia="Times New Roman" w:hAnsi="Times New Roman" w:cs="Times New Roman"/>
          <w:color w:val="222222"/>
          <w:sz w:val="24"/>
          <w:szCs w:val="24"/>
          <w:shd w:val="clear" w:color="auto" w:fill="FFFFFF"/>
          <w:lang w:val="en-US"/>
        </w:rPr>
        <w:t xml:space="preserve">, M. V., Kandasamy, V., </w:t>
      </w:r>
      <w:proofErr w:type="spellStart"/>
      <w:r w:rsidRPr="00AF436D">
        <w:rPr>
          <w:rFonts w:ascii="Times New Roman" w:eastAsia="Times New Roman" w:hAnsi="Times New Roman" w:cs="Times New Roman"/>
          <w:color w:val="222222"/>
          <w:sz w:val="24"/>
          <w:szCs w:val="24"/>
          <w:shd w:val="clear" w:color="auto" w:fill="FFFFFF"/>
          <w:lang w:val="en-US"/>
        </w:rPr>
        <w:t>Balaraman</w:t>
      </w:r>
      <w:proofErr w:type="spellEnd"/>
      <w:r w:rsidRPr="00AF436D">
        <w:rPr>
          <w:rFonts w:ascii="Times New Roman" w:eastAsia="Times New Roman" w:hAnsi="Times New Roman" w:cs="Times New Roman"/>
          <w:color w:val="222222"/>
          <w:sz w:val="24"/>
          <w:szCs w:val="24"/>
          <w:shd w:val="clear" w:color="auto" w:fill="FFFFFF"/>
          <w:lang w:val="en-US"/>
        </w:rPr>
        <w:t xml:space="preserve">, S. S., </w:t>
      </w:r>
      <w:proofErr w:type="spellStart"/>
      <w:r w:rsidRPr="00AF436D">
        <w:rPr>
          <w:rFonts w:ascii="Times New Roman" w:eastAsia="Times New Roman" w:hAnsi="Times New Roman" w:cs="Times New Roman"/>
          <w:color w:val="222222"/>
          <w:sz w:val="24"/>
          <w:szCs w:val="24"/>
          <w:shd w:val="clear" w:color="auto" w:fill="FFFFFF"/>
          <w:lang w:val="en-US"/>
        </w:rPr>
        <w:t>Selvamani</w:t>
      </w:r>
      <w:proofErr w:type="spellEnd"/>
      <w:r w:rsidRPr="00AF436D">
        <w:rPr>
          <w:rFonts w:ascii="Times New Roman" w:eastAsia="Times New Roman" w:hAnsi="Times New Roman" w:cs="Times New Roman"/>
          <w:color w:val="222222"/>
          <w:sz w:val="24"/>
          <w:szCs w:val="24"/>
          <w:shd w:val="clear" w:color="auto" w:fill="FFFFFF"/>
          <w:lang w:val="en-US"/>
        </w:rPr>
        <w:t xml:space="preserve">, S. B., </w:t>
      </w:r>
      <w:proofErr w:type="spellStart"/>
      <w:r w:rsidRPr="00AF436D">
        <w:rPr>
          <w:rFonts w:ascii="Times New Roman" w:eastAsia="Times New Roman" w:hAnsi="Times New Roman" w:cs="Times New Roman"/>
          <w:color w:val="222222"/>
          <w:sz w:val="24"/>
          <w:szCs w:val="24"/>
          <w:shd w:val="clear" w:color="auto" w:fill="FFFFFF"/>
          <w:lang w:val="en-US"/>
        </w:rPr>
        <w:t>Muthurajan</w:t>
      </w:r>
      <w:proofErr w:type="spellEnd"/>
      <w:r w:rsidRPr="00AF436D">
        <w:rPr>
          <w:rFonts w:ascii="Times New Roman" w:eastAsia="Times New Roman" w:hAnsi="Times New Roman" w:cs="Times New Roman"/>
          <w:color w:val="222222"/>
          <w:sz w:val="24"/>
          <w:szCs w:val="24"/>
          <w:shd w:val="clear" w:color="auto" w:fill="FFFFFF"/>
          <w:lang w:val="en-US"/>
        </w:rPr>
        <w:t xml:space="preserve">, R., </w:t>
      </w:r>
      <w:proofErr w:type="spellStart"/>
      <w:r w:rsidRPr="00AF436D">
        <w:rPr>
          <w:rFonts w:ascii="Times New Roman" w:eastAsia="Times New Roman" w:hAnsi="Times New Roman" w:cs="Times New Roman"/>
          <w:color w:val="222222"/>
          <w:sz w:val="24"/>
          <w:szCs w:val="24"/>
          <w:shd w:val="clear" w:color="auto" w:fill="FFFFFF"/>
          <w:lang w:val="en-US"/>
        </w:rPr>
        <w:t>Adhimoolam</w:t>
      </w:r>
      <w:proofErr w:type="spellEnd"/>
      <w:r w:rsidRPr="00AF436D">
        <w:rPr>
          <w:rFonts w:ascii="Times New Roman" w:eastAsia="Times New Roman" w:hAnsi="Times New Roman" w:cs="Times New Roman"/>
          <w:color w:val="222222"/>
          <w:sz w:val="24"/>
          <w:szCs w:val="24"/>
          <w:shd w:val="clear" w:color="auto" w:fill="FFFFFF"/>
          <w:lang w:val="en-US"/>
        </w:rPr>
        <w:t xml:space="preserve">, K., Manoharan, B., &amp; </w:t>
      </w:r>
      <w:proofErr w:type="spellStart"/>
      <w:r w:rsidRPr="00AF436D">
        <w:rPr>
          <w:rFonts w:ascii="Times New Roman" w:eastAsia="Times New Roman" w:hAnsi="Times New Roman" w:cs="Times New Roman"/>
          <w:color w:val="222222"/>
          <w:sz w:val="24"/>
          <w:szCs w:val="24"/>
          <w:shd w:val="clear" w:color="auto" w:fill="FFFFFF"/>
          <w:lang w:val="en-US"/>
        </w:rPr>
        <w:t>Natesan</w:t>
      </w:r>
      <w:proofErr w:type="spellEnd"/>
      <w:r w:rsidRPr="00AF436D">
        <w:rPr>
          <w:rFonts w:ascii="Times New Roman" w:eastAsia="Times New Roman" w:hAnsi="Times New Roman" w:cs="Times New Roman"/>
          <w:color w:val="222222"/>
          <w:sz w:val="24"/>
          <w:szCs w:val="24"/>
          <w:shd w:val="clear" w:color="auto" w:fill="FFFFFF"/>
          <w:lang w:val="en-US"/>
        </w:rPr>
        <w:t xml:space="preserve">, S. (2022). Unlocking the genetic diversity of Indian turmeric (Curcuma longa L.) germplasm based on rhizome yield traits and curcuminoids. Frontiers in Plant Science </w:t>
      </w:r>
      <w:hyperlink r:id="rId18" w:history="1">
        <w:r w:rsidRPr="008E6228">
          <w:rPr>
            <w:rStyle w:val="Hyperlink"/>
            <w:rFonts w:ascii="Times New Roman" w:eastAsia="Times New Roman" w:hAnsi="Times New Roman" w:cs="Times New Roman"/>
            <w:sz w:val="24"/>
            <w:szCs w:val="24"/>
            <w:shd w:val="clear" w:color="auto" w:fill="FFFFFF"/>
            <w:lang w:val="en-US"/>
          </w:rPr>
          <w:t>https://doi.org/10.3389/fpls.2022.1036592</w:t>
        </w:r>
      </w:hyperlink>
    </w:p>
    <w:p w14:paraId="224FC089" w14:textId="17977AC1" w:rsidR="00AF436D" w:rsidRDefault="00AF436D" w:rsidP="00507EE0">
      <w:pPr>
        <w:spacing w:before="100" w:beforeAutospacing="1" w:after="100" w:afterAutospacing="1" w:line="240" w:lineRule="auto"/>
        <w:ind w:left="360"/>
        <w:jc w:val="both"/>
        <w:rPr>
          <w:rFonts w:ascii="Times New Roman" w:eastAsia="Times New Roman" w:hAnsi="Times New Roman" w:cs="Times New Roman"/>
          <w:color w:val="222222"/>
          <w:sz w:val="24"/>
          <w:szCs w:val="24"/>
          <w:shd w:val="clear" w:color="auto" w:fill="FFFFFF"/>
          <w:lang w:val="en-US"/>
        </w:rPr>
      </w:pPr>
      <w:r w:rsidRPr="00AF436D">
        <w:rPr>
          <w:rFonts w:ascii="Times New Roman" w:eastAsia="Times New Roman" w:hAnsi="Times New Roman" w:cs="Times New Roman"/>
          <w:color w:val="222222"/>
          <w:sz w:val="24"/>
          <w:szCs w:val="24"/>
          <w:shd w:val="clear" w:color="auto" w:fill="FFFFFF"/>
          <w:lang w:val="en-US"/>
        </w:rPr>
        <w:lastRenderedPageBreak/>
        <w:t xml:space="preserve">Dunn, W. B., Bailey, N. J., &amp; Johnson, H. E. (2005). Measuring the metabolome: current analytical technologies. The Analyst. </w:t>
      </w:r>
      <w:hyperlink r:id="rId19" w:history="1">
        <w:r w:rsidRPr="008E6228">
          <w:rPr>
            <w:rStyle w:val="Hyperlink"/>
            <w:rFonts w:ascii="Times New Roman" w:eastAsia="Times New Roman" w:hAnsi="Times New Roman" w:cs="Times New Roman"/>
            <w:sz w:val="24"/>
            <w:szCs w:val="24"/>
            <w:shd w:val="clear" w:color="auto" w:fill="FFFFFF"/>
            <w:lang w:val="en-US"/>
          </w:rPr>
          <w:t>https://doi.org/10.1039/b418288j</w:t>
        </w:r>
      </w:hyperlink>
    </w:p>
    <w:p w14:paraId="3F82E2FE" w14:textId="16E35B22" w:rsidR="00AF436D" w:rsidRDefault="00AF436D" w:rsidP="00507EE0">
      <w:pPr>
        <w:spacing w:before="100" w:beforeAutospacing="1" w:after="100" w:afterAutospacing="1" w:line="240" w:lineRule="auto"/>
        <w:ind w:left="360"/>
        <w:jc w:val="both"/>
        <w:rPr>
          <w:rFonts w:ascii="Times New Roman" w:eastAsia="Times New Roman" w:hAnsi="Times New Roman" w:cs="Times New Roman"/>
          <w:color w:val="222222"/>
          <w:sz w:val="24"/>
          <w:szCs w:val="24"/>
          <w:shd w:val="clear" w:color="auto" w:fill="FFFFFF"/>
          <w:lang w:val="en-US"/>
        </w:rPr>
      </w:pPr>
      <w:r w:rsidRPr="00AF436D">
        <w:rPr>
          <w:rFonts w:ascii="Times New Roman" w:eastAsia="Times New Roman" w:hAnsi="Times New Roman" w:cs="Times New Roman"/>
          <w:color w:val="222222"/>
          <w:sz w:val="24"/>
          <w:szCs w:val="24"/>
          <w:shd w:val="clear" w:color="auto" w:fill="FFFFFF"/>
          <w:lang w:val="en-US"/>
        </w:rPr>
        <w:t>Duta-</w:t>
      </w:r>
      <w:proofErr w:type="spellStart"/>
      <w:r w:rsidRPr="00AF436D">
        <w:rPr>
          <w:rFonts w:ascii="Times New Roman" w:eastAsia="Times New Roman" w:hAnsi="Times New Roman" w:cs="Times New Roman"/>
          <w:color w:val="222222"/>
          <w:sz w:val="24"/>
          <w:szCs w:val="24"/>
          <w:shd w:val="clear" w:color="auto" w:fill="FFFFFF"/>
          <w:lang w:val="en-US"/>
        </w:rPr>
        <w:t>Cornescu</w:t>
      </w:r>
      <w:proofErr w:type="spellEnd"/>
      <w:r w:rsidRPr="00AF436D">
        <w:rPr>
          <w:rFonts w:ascii="Times New Roman" w:eastAsia="Times New Roman" w:hAnsi="Times New Roman" w:cs="Times New Roman"/>
          <w:color w:val="222222"/>
          <w:sz w:val="24"/>
          <w:szCs w:val="24"/>
          <w:shd w:val="clear" w:color="auto" w:fill="FFFFFF"/>
          <w:lang w:val="en-US"/>
        </w:rPr>
        <w:t xml:space="preserve">, G., Constantin, N., </w:t>
      </w:r>
      <w:proofErr w:type="spellStart"/>
      <w:r w:rsidRPr="00AF436D">
        <w:rPr>
          <w:rFonts w:ascii="Times New Roman" w:eastAsia="Times New Roman" w:hAnsi="Times New Roman" w:cs="Times New Roman"/>
          <w:color w:val="222222"/>
          <w:sz w:val="24"/>
          <w:szCs w:val="24"/>
          <w:shd w:val="clear" w:color="auto" w:fill="FFFFFF"/>
          <w:lang w:val="en-US"/>
        </w:rPr>
        <w:t>Pojoga</w:t>
      </w:r>
      <w:proofErr w:type="spellEnd"/>
      <w:r w:rsidRPr="00AF436D">
        <w:rPr>
          <w:rFonts w:ascii="Times New Roman" w:eastAsia="Times New Roman" w:hAnsi="Times New Roman" w:cs="Times New Roman"/>
          <w:color w:val="222222"/>
          <w:sz w:val="24"/>
          <w:szCs w:val="24"/>
          <w:shd w:val="clear" w:color="auto" w:fill="FFFFFF"/>
          <w:lang w:val="en-US"/>
        </w:rPr>
        <w:t xml:space="preserve">, D. M., </w:t>
      </w:r>
      <w:proofErr w:type="spellStart"/>
      <w:r w:rsidRPr="00AF436D">
        <w:rPr>
          <w:rFonts w:ascii="Times New Roman" w:eastAsia="Times New Roman" w:hAnsi="Times New Roman" w:cs="Times New Roman"/>
          <w:color w:val="222222"/>
          <w:sz w:val="24"/>
          <w:szCs w:val="24"/>
          <w:shd w:val="clear" w:color="auto" w:fill="FFFFFF"/>
          <w:lang w:val="en-US"/>
        </w:rPr>
        <w:t>Nicuta</w:t>
      </w:r>
      <w:proofErr w:type="spellEnd"/>
      <w:r w:rsidRPr="00AF436D">
        <w:rPr>
          <w:rFonts w:ascii="Times New Roman" w:eastAsia="Times New Roman" w:hAnsi="Times New Roman" w:cs="Times New Roman"/>
          <w:color w:val="222222"/>
          <w:sz w:val="24"/>
          <w:szCs w:val="24"/>
          <w:shd w:val="clear" w:color="auto" w:fill="FFFFFF"/>
          <w:lang w:val="en-US"/>
        </w:rPr>
        <w:t>, D., &amp; Simon-</w:t>
      </w:r>
      <w:proofErr w:type="spellStart"/>
      <w:r w:rsidRPr="00AF436D">
        <w:rPr>
          <w:rFonts w:ascii="Times New Roman" w:eastAsia="Times New Roman" w:hAnsi="Times New Roman" w:cs="Times New Roman"/>
          <w:color w:val="222222"/>
          <w:sz w:val="24"/>
          <w:szCs w:val="24"/>
          <w:shd w:val="clear" w:color="auto" w:fill="FFFFFF"/>
          <w:lang w:val="en-US"/>
        </w:rPr>
        <w:t>Gruita</w:t>
      </w:r>
      <w:proofErr w:type="spellEnd"/>
      <w:r w:rsidRPr="00AF436D">
        <w:rPr>
          <w:rFonts w:ascii="Times New Roman" w:eastAsia="Times New Roman" w:hAnsi="Times New Roman" w:cs="Times New Roman"/>
          <w:color w:val="222222"/>
          <w:sz w:val="24"/>
          <w:szCs w:val="24"/>
          <w:shd w:val="clear" w:color="auto" w:fill="FFFFFF"/>
          <w:lang w:val="en-US"/>
        </w:rPr>
        <w:t xml:space="preserve">, A. (2023). </w:t>
      </w:r>
      <w:proofErr w:type="spellStart"/>
      <w:r w:rsidRPr="00AF436D">
        <w:rPr>
          <w:rFonts w:ascii="Times New Roman" w:eastAsia="Times New Roman" w:hAnsi="Times New Roman" w:cs="Times New Roman"/>
          <w:color w:val="222222"/>
          <w:sz w:val="24"/>
          <w:szCs w:val="24"/>
          <w:shd w:val="clear" w:color="auto" w:fill="FFFFFF"/>
          <w:lang w:val="en-US"/>
        </w:rPr>
        <w:t>Somaclonal</w:t>
      </w:r>
      <w:proofErr w:type="spellEnd"/>
      <w:r w:rsidRPr="00AF436D">
        <w:rPr>
          <w:rFonts w:ascii="Times New Roman" w:eastAsia="Times New Roman" w:hAnsi="Times New Roman" w:cs="Times New Roman"/>
          <w:color w:val="222222"/>
          <w:sz w:val="24"/>
          <w:szCs w:val="24"/>
          <w:shd w:val="clear" w:color="auto" w:fill="FFFFFF"/>
          <w:lang w:val="en-US"/>
        </w:rPr>
        <w:t xml:space="preserve"> Variation—Advantage or Disadvantage in Micropropagation of the Medicinal Plants. International Journal of Molecular Sciences. </w:t>
      </w:r>
      <w:hyperlink r:id="rId20" w:history="1">
        <w:r w:rsidRPr="008E6228">
          <w:rPr>
            <w:rStyle w:val="Hyperlink"/>
            <w:rFonts w:ascii="Times New Roman" w:eastAsia="Times New Roman" w:hAnsi="Times New Roman" w:cs="Times New Roman"/>
            <w:sz w:val="24"/>
            <w:szCs w:val="24"/>
            <w:shd w:val="clear" w:color="auto" w:fill="FFFFFF"/>
            <w:lang w:val="en-US"/>
          </w:rPr>
          <w:t>https://doi.org/10.3390/ijms24010838</w:t>
        </w:r>
      </w:hyperlink>
    </w:p>
    <w:p w14:paraId="134F782E" w14:textId="0069437D" w:rsidR="00AF436D" w:rsidRDefault="00AF436D" w:rsidP="00507EE0">
      <w:pPr>
        <w:spacing w:before="100" w:beforeAutospacing="1" w:after="100" w:afterAutospacing="1" w:line="240" w:lineRule="auto"/>
        <w:ind w:left="360"/>
        <w:jc w:val="both"/>
        <w:rPr>
          <w:rFonts w:ascii="Times New Roman" w:eastAsia="Times New Roman" w:hAnsi="Times New Roman" w:cs="Times New Roman"/>
          <w:color w:val="222222"/>
          <w:sz w:val="24"/>
          <w:szCs w:val="24"/>
          <w:shd w:val="clear" w:color="auto" w:fill="FFFFFF"/>
          <w:lang w:val="en-US"/>
        </w:rPr>
      </w:pPr>
      <w:r w:rsidRPr="00AF436D">
        <w:rPr>
          <w:rFonts w:ascii="Times New Roman" w:eastAsia="Times New Roman" w:hAnsi="Times New Roman" w:cs="Times New Roman"/>
          <w:color w:val="222222"/>
          <w:sz w:val="24"/>
          <w:szCs w:val="24"/>
          <w:shd w:val="clear" w:color="auto" w:fill="FFFFFF"/>
          <w:lang w:val="en-US"/>
        </w:rPr>
        <w:t xml:space="preserve">Forsyth, J. E., </w:t>
      </w:r>
      <w:proofErr w:type="spellStart"/>
      <w:r w:rsidRPr="00AF436D">
        <w:rPr>
          <w:rFonts w:ascii="Times New Roman" w:eastAsia="Times New Roman" w:hAnsi="Times New Roman" w:cs="Times New Roman"/>
          <w:color w:val="222222"/>
          <w:sz w:val="24"/>
          <w:szCs w:val="24"/>
          <w:shd w:val="clear" w:color="auto" w:fill="FFFFFF"/>
          <w:lang w:val="en-US"/>
        </w:rPr>
        <w:t>Mistree</w:t>
      </w:r>
      <w:proofErr w:type="spellEnd"/>
      <w:r w:rsidRPr="00AF436D">
        <w:rPr>
          <w:rFonts w:ascii="Times New Roman" w:eastAsia="Times New Roman" w:hAnsi="Times New Roman" w:cs="Times New Roman"/>
          <w:color w:val="222222"/>
          <w:sz w:val="24"/>
          <w:szCs w:val="24"/>
          <w:shd w:val="clear" w:color="auto" w:fill="FFFFFF"/>
          <w:lang w:val="en-US"/>
        </w:rPr>
        <w:t xml:space="preserve">, D., Nash, E., </w:t>
      </w:r>
      <w:proofErr w:type="spellStart"/>
      <w:r w:rsidRPr="00AF436D">
        <w:rPr>
          <w:rFonts w:ascii="Times New Roman" w:eastAsia="Times New Roman" w:hAnsi="Times New Roman" w:cs="Times New Roman"/>
          <w:color w:val="222222"/>
          <w:sz w:val="24"/>
          <w:szCs w:val="24"/>
          <w:shd w:val="clear" w:color="auto" w:fill="FFFFFF"/>
          <w:lang w:val="en-US"/>
        </w:rPr>
        <w:t>Angrish</w:t>
      </w:r>
      <w:proofErr w:type="spellEnd"/>
      <w:r w:rsidRPr="00AF436D">
        <w:rPr>
          <w:rFonts w:ascii="Times New Roman" w:eastAsia="Times New Roman" w:hAnsi="Times New Roman" w:cs="Times New Roman"/>
          <w:color w:val="222222"/>
          <w:sz w:val="24"/>
          <w:szCs w:val="24"/>
          <w:shd w:val="clear" w:color="auto" w:fill="FFFFFF"/>
          <w:lang w:val="en-US"/>
        </w:rPr>
        <w:t xml:space="preserve">, M., &amp; </w:t>
      </w:r>
      <w:proofErr w:type="spellStart"/>
      <w:r w:rsidRPr="00AF436D">
        <w:rPr>
          <w:rFonts w:ascii="Times New Roman" w:eastAsia="Times New Roman" w:hAnsi="Times New Roman" w:cs="Times New Roman"/>
          <w:color w:val="222222"/>
          <w:sz w:val="24"/>
          <w:szCs w:val="24"/>
          <w:shd w:val="clear" w:color="auto" w:fill="FFFFFF"/>
          <w:lang w:val="en-US"/>
        </w:rPr>
        <w:t>Luby</w:t>
      </w:r>
      <w:proofErr w:type="spellEnd"/>
      <w:r w:rsidRPr="00AF436D">
        <w:rPr>
          <w:rFonts w:ascii="Times New Roman" w:eastAsia="Times New Roman" w:hAnsi="Times New Roman" w:cs="Times New Roman"/>
          <w:color w:val="222222"/>
          <w:sz w:val="24"/>
          <w:szCs w:val="24"/>
          <w:shd w:val="clear" w:color="auto" w:fill="FFFFFF"/>
          <w:lang w:val="en-US"/>
        </w:rPr>
        <w:t xml:space="preserve">, S. P. (2024). Evidence of turmeric adulteration with lead chromate across South Asia. The Science of the Total Environment, 949, 175003. </w:t>
      </w:r>
      <w:hyperlink r:id="rId21" w:history="1">
        <w:r w:rsidRPr="008E6228">
          <w:rPr>
            <w:rStyle w:val="Hyperlink"/>
            <w:rFonts w:ascii="Times New Roman" w:eastAsia="Times New Roman" w:hAnsi="Times New Roman" w:cs="Times New Roman"/>
            <w:sz w:val="24"/>
            <w:szCs w:val="24"/>
            <w:shd w:val="clear" w:color="auto" w:fill="FFFFFF"/>
            <w:lang w:val="en-US"/>
          </w:rPr>
          <w:t>https://doi.org/10.1016/j.scitotenv.2024.175003</w:t>
        </w:r>
      </w:hyperlink>
    </w:p>
    <w:p w14:paraId="420C88D6" w14:textId="44F80B77" w:rsidR="00AF436D" w:rsidRDefault="00AF436D" w:rsidP="00507EE0">
      <w:pPr>
        <w:spacing w:before="100" w:beforeAutospacing="1" w:after="100" w:afterAutospacing="1" w:line="240" w:lineRule="auto"/>
        <w:ind w:left="360"/>
        <w:jc w:val="both"/>
        <w:rPr>
          <w:rFonts w:ascii="Times New Roman" w:eastAsia="Times New Roman" w:hAnsi="Times New Roman" w:cs="Times New Roman"/>
          <w:color w:val="222222"/>
          <w:sz w:val="24"/>
          <w:szCs w:val="24"/>
          <w:shd w:val="clear" w:color="auto" w:fill="FFFFFF"/>
          <w:lang w:val="en-US"/>
        </w:rPr>
      </w:pPr>
      <w:r w:rsidRPr="00AF436D">
        <w:rPr>
          <w:rFonts w:ascii="Times New Roman" w:eastAsia="Times New Roman" w:hAnsi="Times New Roman" w:cs="Times New Roman"/>
          <w:color w:val="222222"/>
          <w:sz w:val="24"/>
          <w:szCs w:val="24"/>
          <w:shd w:val="clear" w:color="auto" w:fill="FFFFFF"/>
          <w:lang w:val="en-US"/>
        </w:rPr>
        <w:t xml:space="preserve">Guo, M., Chen, H., Dong, S., Zhang, Z., &amp; Luo, H. (2022). CRISPR-Cas gene editing technology and its application prospect in medicinal plants. Chinese medicine, 17(1), 33. </w:t>
      </w:r>
      <w:hyperlink r:id="rId22" w:history="1">
        <w:r w:rsidRPr="008E6228">
          <w:rPr>
            <w:rStyle w:val="Hyperlink"/>
            <w:rFonts w:ascii="Times New Roman" w:eastAsia="Times New Roman" w:hAnsi="Times New Roman" w:cs="Times New Roman"/>
            <w:sz w:val="24"/>
            <w:szCs w:val="24"/>
            <w:shd w:val="clear" w:color="auto" w:fill="FFFFFF"/>
            <w:lang w:val="en-US"/>
          </w:rPr>
          <w:t>https://doi.org/10.1186/s13020-022-00584-w</w:t>
        </w:r>
      </w:hyperlink>
    </w:p>
    <w:p w14:paraId="5FE17579" w14:textId="00F3502D" w:rsidR="00AF436D" w:rsidRDefault="00AF436D" w:rsidP="00507EE0">
      <w:pPr>
        <w:spacing w:before="100" w:beforeAutospacing="1" w:after="100" w:afterAutospacing="1" w:line="240" w:lineRule="auto"/>
        <w:ind w:left="360"/>
        <w:jc w:val="both"/>
        <w:rPr>
          <w:rFonts w:ascii="Times New Roman" w:eastAsia="Times New Roman" w:hAnsi="Times New Roman" w:cs="Times New Roman"/>
          <w:color w:val="222222"/>
          <w:sz w:val="24"/>
          <w:szCs w:val="24"/>
          <w:shd w:val="clear" w:color="auto" w:fill="FFFFFF"/>
          <w:lang w:val="en-US"/>
        </w:rPr>
      </w:pPr>
      <w:r w:rsidRPr="00AF436D">
        <w:rPr>
          <w:rFonts w:ascii="Times New Roman" w:eastAsia="Times New Roman" w:hAnsi="Times New Roman" w:cs="Times New Roman"/>
          <w:color w:val="222222"/>
          <w:sz w:val="24"/>
          <w:szCs w:val="24"/>
          <w:shd w:val="clear" w:color="auto" w:fill="FFFFFF"/>
          <w:lang w:val="en-US"/>
        </w:rPr>
        <w:t xml:space="preserve">Gupta, P., Sharma, A., &amp; </w:t>
      </w:r>
      <w:proofErr w:type="spellStart"/>
      <w:r w:rsidRPr="00AF436D">
        <w:rPr>
          <w:rFonts w:ascii="Times New Roman" w:eastAsia="Times New Roman" w:hAnsi="Times New Roman" w:cs="Times New Roman"/>
          <w:color w:val="222222"/>
          <w:sz w:val="24"/>
          <w:szCs w:val="24"/>
          <w:shd w:val="clear" w:color="auto" w:fill="FFFFFF"/>
          <w:lang w:val="en-US"/>
        </w:rPr>
        <w:t>Nagegowda</w:t>
      </w:r>
      <w:proofErr w:type="spellEnd"/>
      <w:r w:rsidRPr="00AF436D">
        <w:rPr>
          <w:rFonts w:ascii="Times New Roman" w:eastAsia="Times New Roman" w:hAnsi="Times New Roman" w:cs="Times New Roman"/>
          <w:color w:val="222222"/>
          <w:sz w:val="24"/>
          <w:szCs w:val="24"/>
          <w:shd w:val="clear" w:color="auto" w:fill="FFFFFF"/>
          <w:lang w:val="en-US"/>
        </w:rPr>
        <w:t xml:space="preserve">, D. A. (2024). Multi-omics: Powerful accelerator for uncovering plant specialized metabolic pathways: The case of </w:t>
      </w:r>
      <w:proofErr w:type="spellStart"/>
      <w:r w:rsidRPr="00AF436D">
        <w:rPr>
          <w:rFonts w:ascii="Times New Roman" w:eastAsia="Times New Roman" w:hAnsi="Times New Roman" w:cs="Times New Roman"/>
          <w:color w:val="222222"/>
          <w:sz w:val="24"/>
          <w:szCs w:val="24"/>
          <w:shd w:val="clear" w:color="auto" w:fill="FFFFFF"/>
          <w:lang w:val="en-US"/>
        </w:rPr>
        <w:t>leonurine</w:t>
      </w:r>
      <w:proofErr w:type="spellEnd"/>
      <w:r w:rsidRPr="00AF436D">
        <w:rPr>
          <w:rFonts w:ascii="Times New Roman" w:eastAsia="Times New Roman" w:hAnsi="Times New Roman" w:cs="Times New Roman"/>
          <w:color w:val="222222"/>
          <w:sz w:val="24"/>
          <w:szCs w:val="24"/>
          <w:shd w:val="clear" w:color="auto" w:fill="FFFFFF"/>
          <w:lang w:val="en-US"/>
        </w:rPr>
        <w:t xml:space="preserve">. Molecular plant, 17(1), 13–15. </w:t>
      </w:r>
      <w:hyperlink r:id="rId23" w:history="1">
        <w:r w:rsidRPr="008E6228">
          <w:rPr>
            <w:rStyle w:val="Hyperlink"/>
            <w:rFonts w:ascii="Times New Roman" w:eastAsia="Times New Roman" w:hAnsi="Times New Roman" w:cs="Times New Roman"/>
            <w:sz w:val="24"/>
            <w:szCs w:val="24"/>
            <w:shd w:val="clear" w:color="auto" w:fill="FFFFFF"/>
            <w:lang w:val="en-US"/>
          </w:rPr>
          <w:t>https://doi.org/10.1016/j.molp.2023.12.007</w:t>
        </w:r>
      </w:hyperlink>
    </w:p>
    <w:p w14:paraId="4EA9673D" w14:textId="399EA4CC" w:rsidR="00AF436D" w:rsidRDefault="00AF436D" w:rsidP="00507EE0">
      <w:pPr>
        <w:spacing w:before="100" w:beforeAutospacing="1" w:after="100" w:afterAutospacing="1" w:line="240" w:lineRule="auto"/>
        <w:ind w:left="360"/>
        <w:jc w:val="both"/>
        <w:rPr>
          <w:rFonts w:ascii="Times New Roman" w:eastAsia="Times New Roman" w:hAnsi="Times New Roman" w:cs="Times New Roman"/>
          <w:color w:val="222222"/>
          <w:sz w:val="24"/>
          <w:szCs w:val="24"/>
          <w:shd w:val="clear" w:color="auto" w:fill="FFFFFF"/>
          <w:lang w:val="en-US"/>
        </w:rPr>
      </w:pPr>
      <w:r w:rsidRPr="00AF436D">
        <w:rPr>
          <w:rFonts w:ascii="Times New Roman" w:eastAsia="Times New Roman" w:hAnsi="Times New Roman" w:cs="Times New Roman"/>
          <w:color w:val="222222"/>
          <w:sz w:val="24"/>
          <w:szCs w:val="24"/>
          <w:shd w:val="clear" w:color="auto" w:fill="FFFFFF"/>
          <w:lang w:val="en-US"/>
        </w:rPr>
        <w:t xml:space="preserve">Gupta, S., Singh, A. P., Singh, G., Ding, X., &amp; Sharma, A. (2024). Plant based metabolomics: a future prospective and versatile tool for metabolite databases of Curcuma longa. Journal of Future Foods, 4(1), 37-47. </w:t>
      </w:r>
      <w:hyperlink r:id="rId24" w:history="1">
        <w:r w:rsidRPr="008E6228">
          <w:rPr>
            <w:rStyle w:val="Hyperlink"/>
            <w:rFonts w:ascii="Times New Roman" w:eastAsia="Times New Roman" w:hAnsi="Times New Roman" w:cs="Times New Roman"/>
            <w:sz w:val="24"/>
            <w:szCs w:val="24"/>
            <w:shd w:val="clear" w:color="auto" w:fill="FFFFFF"/>
            <w:lang w:val="en-US"/>
          </w:rPr>
          <w:t>https://doi.org/10.1016/j.jfutfo.2023.05.003</w:t>
        </w:r>
      </w:hyperlink>
    </w:p>
    <w:p w14:paraId="43CE0046" w14:textId="5E88CA73" w:rsidR="00AF436D" w:rsidRDefault="00AF436D" w:rsidP="00507EE0">
      <w:pPr>
        <w:spacing w:before="100" w:beforeAutospacing="1" w:after="100" w:afterAutospacing="1" w:line="240" w:lineRule="auto"/>
        <w:ind w:left="360"/>
        <w:jc w:val="both"/>
        <w:rPr>
          <w:rFonts w:ascii="Times New Roman" w:eastAsia="Times New Roman" w:hAnsi="Times New Roman" w:cs="Times New Roman"/>
          <w:color w:val="222222"/>
          <w:sz w:val="24"/>
          <w:szCs w:val="24"/>
          <w:shd w:val="clear" w:color="auto" w:fill="FFFFFF"/>
          <w:lang w:val="en-US"/>
        </w:rPr>
      </w:pPr>
      <w:proofErr w:type="spellStart"/>
      <w:r w:rsidRPr="00AF436D">
        <w:rPr>
          <w:rFonts w:ascii="Times New Roman" w:eastAsia="Times New Roman" w:hAnsi="Times New Roman" w:cs="Times New Roman"/>
          <w:color w:val="222222"/>
          <w:sz w:val="24"/>
          <w:szCs w:val="24"/>
          <w:shd w:val="clear" w:color="auto" w:fill="FFFFFF"/>
          <w:lang w:val="en-US"/>
        </w:rPr>
        <w:t>Hailemichael</w:t>
      </w:r>
      <w:proofErr w:type="spellEnd"/>
      <w:r w:rsidRPr="00AF436D">
        <w:rPr>
          <w:rFonts w:ascii="Times New Roman" w:eastAsia="Times New Roman" w:hAnsi="Times New Roman" w:cs="Times New Roman"/>
          <w:color w:val="222222"/>
          <w:sz w:val="24"/>
          <w:szCs w:val="24"/>
          <w:shd w:val="clear" w:color="auto" w:fill="FFFFFF"/>
          <w:lang w:val="en-US"/>
        </w:rPr>
        <w:t xml:space="preserve">, G., &amp; Zakir, M. (2021). Pre- and post-harvest practices influencing yield and quality of turmeric (Curcuma longa L.) in Southwestern Ethiopia: A review. African Journal of Agricultural Research, 17(8), 1096-1105. </w:t>
      </w:r>
      <w:hyperlink r:id="rId25" w:history="1">
        <w:r w:rsidRPr="008E6228">
          <w:rPr>
            <w:rStyle w:val="Hyperlink"/>
            <w:rFonts w:ascii="Times New Roman" w:eastAsia="Times New Roman" w:hAnsi="Times New Roman" w:cs="Times New Roman"/>
            <w:sz w:val="24"/>
            <w:szCs w:val="24"/>
            <w:shd w:val="clear" w:color="auto" w:fill="FFFFFF"/>
            <w:lang w:val="en-US"/>
          </w:rPr>
          <w:t>https://doi.org/10.5897/AJAR2020.15409</w:t>
        </w:r>
      </w:hyperlink>
    </w:p>
    <w:p w14:paraId="213F1B24" w14:textId="77777777" w:rsidR="00AF436D" w:rsidRDefault="00AF436D" w:rsidP="00507EE0">
      <w:pPr>
        <w:spacing w:before="100" w:beforeAutospacing="1" w:after="100" w:afterAutospacing="1" w:line="240" w:lineRule="auto"/>
        <w:ind w:left="360"/>
        <w:jc w:val="both"/>
        <w:rPr>
          <w:rFonts w:ascii="Times New Roman" w:eastAsia="Times New Roman" w:hAnsi="Times New Roman" w:cs="Times New Roman"/>
          <w:color w:val="222222"/>
          <w:sz w:val="24"/>
          <w:szCs w:val="24"/>
          <w:shd w:val="clear" w:color="auto" w:fill="FFFFFF"/>
          <w:lang w:val="en-US"/>
        </w:rPr>
      </w:pPr>
      <w:r w:rsidRPr="00AF436D">
        <w:rPr>
          <w:rFonts w:ascii="Times New Roman" w:eastAsia="Times New Roman" w:hAnsi="Times New Roman" w:cs="Times New Roman"/>
          <w:color w:val="222222"/>
          <w:sz w:val="24"/>
          <w:szCs w:val="24"/>
          <w:shd w:val="clear" w:color="auto" w:fill="FFFFFF"/>
          <w:lang w:val="en-US"/>
        </w:rPr>
        <w:t xml:space="preserve">He, R., &amp; Gang, D. R. (2014). Somatic embryogenesis and Agrobacterium-mediated transformation of turmeric (Curcuma longa). Plant Cell, Tissue and Organ Culture, 116(3), 333-342. </w:t>
      </w:r>
      <w:hyperlink r:id="rId26" w:history="1">
        <w:r w:rsidRPr="008E6228">
          <w:rPr>
            <w:rStyle w:val="Hyperlink"/>
            <w:rFonts w:ascii="Times New Roman" w:eastAsia="Times New Roman" w:hAnsi="Times New Roman" w:cs="Times New Roman"/>
            <w:sz w:val="24"/>
            <w:szCs w:val="24"/>
            <w:shd w:val="clear" w:color="auto" w:fill="FFFFFF"/>
            <w:lang w:val="en-US"/>
          </w:rPr>
          <w:t>https://doi.org/10.1007/s11240-013-0407-y</w:t>
        </w:r>
      </w:hyperlink>
    </w:p>
    <w:p w14:paraId="265A9099" w14:textId="34BBBC99" w:rsidR="00AF436D" w:rsidRPr="00AF436D" w:rsidRDefault="00AF436D" w:rsidP="00507EE0">
      <w:pPr>
        <w:spacing w:before="100" w:beforeAutospacing="1" w:after="100" w:afterAutospacing="1" w:line="240" w:lineRule="auto"/>
        <w:ind w:left="360"/>
        <w:jc w:val="both"/>
        <w:rPr>
          <w:rFonts w:ascii="Times New Roman" w:eastAsia="Times New Roman" w:hAnsi="Times New Roman" w:cs="Times New Roman"/>
          <w:color w:val="222222"/>
          <w:sz w:val="24"/>
          <w:szCs w:val="24"/>
          <w:shd w:val="clear" w:color="auto" w:fill="FFFFFF"/>
          <w:lang w:val="en-US"/>
        </w:rPr>
      </w:pPr>
      <w:r w:rsidRPr="00AF436D">
        <w:rPr>
          <w:rFonts w:ascii="Times New Roman" w:eastAsia="Times New Roman" w:hAnsi="Times New Roman" w:cs="Times New Roman"/>
          <w:color w:val="222222"/>
          <w:sz w:val="24"/>
          <w:szCs w:val="24"/>
          <w:shd w:val="clear" w:color="auto" w:fill="FFFFFF"/>
          <w:lang w:val="en-US"/>
        </w:rPr>
        <w:t xml:space="preserve">He, X. G., Lin, L. Z., Lian, L. Z., &amp; </w:t>
      </w:r>
      <w:proofErr w:type="spellStart"/>
      <w:r w:rsidRPr="00AF436D">
        <w:rPr>
          <w:rFonts w:ascii="Times New Roman" w:eastAsia="Times New Roman" w:hAnsi="Times New Roman" w:cs="Times New Roman"/>
          <w:color w:val="222222"/>
          <w:sz w:val="24"/>
          <w:szCs w:val="24"/>
          <w:shd w:val="clear" w:color="auto" w:fill="FFFFFF"/>
          <w:lang w:val="en-US"/>
        </w:rPr>
        <w:t>Lindenmaier</w:t>
      </w:r>
      <w:proofErr w:type="spellEnd"/>
      <w:r w:rsidRPr="00AF436D">
        <w:rPr>
          <w:rFonts w:ascii="Times New Roman" w:eastAsia="Times New Roman" w:hAnsi="Times New Roman" w:cs="Times New Roman"/>
          <w:color w:val="222222"/>
          <w:sz w:val="24"/>
          <w:szCs w:val="24"/>
          <w:shd w:val="clear" w:color="auto" w:fill="FFFFFF"/>
          <w:lang w:val="en-US"/>
        </w:rPr>
        <w:t xml:space="preserve">, M. (1998). Liquid chromatography–electrospray mass spectrometric analysis of curcuminoids and sesquiterpenoids in turmeric (Curcuma longa). Journal of Chromatography A, 818(1), 127-132. </w:t>
      </w:r>
      <w:hyperlink r:id="rId27" w:history="1">
        <w:r w:rsidRPr="00AF436D">
          <w:rPr>
            <w:rStyle w:val="Hyperlink"/>
            <w:rFonts w:ascii="Times New Roman" w:eastAsia="Times New Roman" w:hAnsi="Times New Roman" w:cs="Times New Roman"/>
            <w:sz w:val="24"/>
            <w:szCs w:val="24"/>
            <w:shd w:val="clear" w:color="auto" w:fill="FFFFFF"/>
            <w:lang w:val="en-US"/>
          </w:rPr>
          <w:t>https://doi.org/10.1016/S0021-9673(98)00540-8</w:t>
        </w:r>
      </w:hyperlink>
    </w:p>
    <w:p w14:paraId="228443F7" w14:textId="0007A280" w:rsidR="00AF436D" w:rsidRDefault="00AF436D" w:rsidP="00507EE0">
      <w:pPr>
        <w:spacing w:before="100" w:beforeAutospacing="1" w:after="100" w:afterAutospacing="1" w:line="240" w:lineRule="auto"/>
        <w:ind w:left="360"/>
        <w:jc w:val="both"/>
        <w:rPr>
          <w:rFonts w:ascii="Times New Roman" w:eastAsia="Times New Roman" w:hAnsi="Times New Roman" w:cs="Times New Roman"/>
          <w:color w:val="222222"/>
          <w:sz w:val="24"/>
          <w:szCs w:val="24"/>
          <w:shd w:val="clear" w:color="auto" w:fill="FFFFFF"/>
          <w:lang w:val="en-US"/>
        </w:rPr>
      </w:pPr>
      <w:proofErr w:type="spellStart"/>
      <w:r w:rsidRPr="00AF436D">
        <w:rPr>
          <w:rFonts w:ascii="Times New Roman" w:eastAsia="Times New Roman" w:hAnsi="Times New Roman" w:cs="Times New Roman"/>
          <w:color w:val="222222"/>
          <w:sz w:val="24"/>
          <w:szCs w:val="24"/>
          <w:shd w:val="clear" w:color="auto" w:fill="FFFFFF"/>
          <w:lang w:val="en-US"/>
        </w:rPr>
        <w:t>Herebian</w:t>
      </w:r>
      <w:proofErr w:type="spellEnd"/>
      <w:r w:rsidRPr="00AF436D">
        <w:rPr>
          <w:rFonts w:ascii="Times New Roman" w:eastAsia="Times New Roman" w:hAnsi="Times New Roman" w:cs="Times New Roman"/>
          <w:color w:val="222222"/>
          <w:sz w:val="24"/>
          <w:szCs w:val="24"/>
          <w:shd w:val="clear" w:color="auto" w:fill="FFFFFF"/>
          <w:lang w:val="en-US"/>
        </w:rPr>
        <w:t>, D., Choi, J. H., Abd El-</w:t>
      </w:r>
      <w:proofErr w:type="spellStart"/>
      <w:r w:rsidRPr="00AF436D">
        <w:rPr>
          <w:rFonts w:ascii="Times New Roman" w:eastAsia="Times New Roman" w:hAnsi="Times New Roman" w:cs="Times New Roman"/>
          <w:color w:val="222222"/>
          <w:sz w:val="24"/>
          <w:szCs w:val="24"/>
          <w:shd w:val="clear" w:color="auto" w:fill="FFFFFF"/>
          <w:lang w:val="en-US"/>
        </w:rPr>
        <w:t>Aty</w:t>
      </w:r>
      <w:proofErr w:type="spellEnd"/>
      <w:r w:rsidRPr="00AF436D">
        <w:rPr>
          <w:rFonts w:ascii="Times New Roman" w:eastAsia="Times New Roman" w:hAnsi="Times New Roman" w:cs="Times New Roman"/>
          <w:color w:val="222222"/>
          <w:sz w:val="24"/>
          <w:szCs w:val="24"/>
          <w:shd w:val="clear" w:color="auto" w:fill="FFFFFF"/>
          <w:lang w:val="en-US"/>
        </w:rPr>
        <w:t xml:space="preserve">, A. M., Shim, J. H., &amp; </w:t>
      </w:r>
      <w:proofErr w:type="spellStart"/>
      <w:r w:rsidRPr="00AF436D">
        <w:rPr>
          <w:rFonts w:ascii="Times New Roman" w:eastAsia="Times New Roman" w:hAnsi="Times New Roman" w:cs="Times New Roman"/>
          <w:color w:val="222222"/>
          <w:sz w:val="24"/>
          <w:szCs w:val="24"/>
          <w:shd w:val="clear" w:color="auto" w:fill="FFFFFF"/>
          <w:lang w:val="en-US"/>
        </w:rPr>
        <w:t>Spiteller</w:t>
      </w:r>
      <w:proofErr w:type="spellEnd"/>
      <w:r w:rsidRPr="00AF436D">
        <w:rPr>
          <w:rFonts w:ascii="Times New Roman" w:eastAsia="Times New Roman" w:hAnsi="Times New Roman" w:cs="Times New Roman"/>
          <w:color w:val="222222"/>
          <w:sz w:val="24"/>
          <w:szCs w:val="24"/>
          <w:shd w:val="clear" w:color="auto" w:fill="FFFFFF"/>
          <w:lang w:val="en-US"/>
        </w:rPr>
        <w:t xml:space="preserve">, M. (2009). Metabolite analysis in Curcuma </w:t>
      </w:r>
      <w:proofErr w:type="spellStart"/>
      <w:r w:rsidRPr="00AF436D">
        <w:rPr>
          <w:rFonts w:ascii="Times New Roman" w:eastAsia="Times New Roman" w:hAnsi="Times New Roman" w:cs="Times New Roman"/>
          <w:color w:val="222222"/>
          <w:sz w:val="24"/>
          <w:szCs w:val="24"/>
          <w:shd w:val="clear" w:color="auto" w:fill="FFFFFF"/>
          <w:lang w:val="en-US"/>
        </w:rPr>
        <w:t>domestica</w:t>
      </w:r>
      <w:proofErr w:type="spellEnd"/>
      <w:r w:rsidRPr="00AF436D">
        <w:rPr>
          <w:rFonts w:ascii="Times New Roman" w:eastAsia="Times New Roman" w:hAnsi="Times New Roman" w:cs="Times New Roman"/>
          <w:color w:val="222222"/>
          <w:sz w:val="24"/>
          <w:szCs w:val="24"/>
          <w:shd w:val="clear" w:color="auto" w:fill="FFFFFF"/>
          <w:lang w:val="en-US"/>
        </w:rPr>
        <w:t xml:space="preserve"> using various GC-MS and LC-MS separation and detection techniques. Biomedical Chromatography, 23(9), 951–965. </w:t>
      </w:r>
      <w:hyperlink r:id="rId28" w:history="1">
        <w:r w:rsidRPr="008E6228">
          <w:rPr>
            <w:rStyle w:val="Hyperlink"/>
            <w:rFonts w:ascii="Times New Roman" w:eastAsia="Times New Roman" w:hAnsi="Times New Roman" w:cs="Times New Roman"/>
            <w:sz w:val="24"/>
            <w:szCs w:val="24"/>
            <w:shd w:val="clear" w:color="auto" w:fill="FFFFFF"/>
            <w:lang w:val="en-US"/>
          </w:rPr>
          <w:t>https://doi.org/10.1002/bmc.1207</w:t>
        </w:r>
      </w:hyperlink>
    </w:p>
    <w:p w14:paraId="519D15D0" w14:textId="7DC2D0B3" w:rsidR="00AF436D" w:rsidRDefault="00AF436D" w:rsidP="00507EE0">
      <w:pPr>
        <w:spacing w:before="100" w:beforeAutospacing="1" w:after="100" w:afterAutospacing="1" w:line="240" w:lineRule="auto"/>
        <w:ind w:left="360"/>
        <w:jc w:val="both"/>
        <w:rPr>
          <w:rFonts w:ascii="Times New Roman" w:eastAsia="Times New Roman" w:hAnsi="Times New Roman" w:cs="Times New Roman"/>
          <w:color w:val="222222"/>
          <w:sz w:val="24"/>
          <w:szCs w:val="24"/>
          <w:shd w:val="clear" w:color="auto" w:fill="FFFFFF"/>
          <w:lang w:val="en-US"/>
        </w:rPr>
      </w:pPr>
      <w:r w:rsidRPr="00AF436D">
        <w:rPr>
          <w:rFonts w:ascii="Times New Roman" w:eastAsia="Times New Roman" w:hAnsi="Times New Roman" w:cs="Times New Roman"/>
          <w:color w:val="222222"/>
          <w:sz w:val="24"/>
          <w:szCs w:val="24"/>
          <w:shd w:val="clear" w:color="auto" w:fill="FFFFFF"/>
          <w:lang w:val="en-US"/>
        </w:rPr>
        <w:t xml:space="preserve">Hussain, M. J., Abbas, Y., </w:t>
      </w:r>
      <w:proofErr w:type="spellStart"/>
      <w:r w:rsidRPr="00AF436D">
        <w:rPr>
          <w:rFonts w:ascii="Times New Roman" w:eastAsia="Times New Roman" w:hAnsi="Times New Roman" w:cs="Times New Roman"/>
          <w:color w:val="222222"/>
          <w:sz w:val="24"/>
          <w:szCs w:val="24"/>
          <w:shd w:val="clear" w:color="auto" w:fill="FFFFFF"/>
          <w:lang w:val="en-US"/>
        </w:rPr>
        <w:t>Nazli</w:t>
      </w:r>
      <w:proofErr w:type="spellEnd"/>
      <w:r w:rsidRPr="00AF436D">
        <w:rPr>
          <w:rFonts w:ascii="Times New Roman" w:eastAsia="Times New Roman" w:hAnsi="Times New Roman" w:cs="Times New Roman"/>
          <w:color w:val="222222"/>
          <w:sz w:val="24"/>
          <w:szCs w:val="24"/>
          <w:shd w:val="clear" w:color="auto" w:fill="FFFFFF"/>
          <w:lang w:val="en-US"/>
        </w:rPr>
        <w:t xml:space="preserve">, N., Fatima, S., </w:t>
      </w:r>
      <w:proofErr w:type="spellStart"/>
      <w:r w:rsidRPr="00AF436D">
        <w:rPr>
          <w:rFonts w:ascii="Times New Roman" w:eastAsia="Times New Roman" w:hAnsi="Times New Roman" w:cs="Times New Roman"/>
          <w:color w:val="222222"/>
          <w:sz w:val="24"/>
          <w:szCs w:val="24"/>
          <w:shd w:val="clear" w:color="auto" w:fill="FFFFFF"/>
          <w:lang w:val="en-US"/>
        </w:rPr>
        <w:t>Drouet</w:t>
      </w:r>
      <w:proofErr w:type="spellEnd"/>
      <w:r w:rsidRPr="00AF436D">
        <w:rPr>
          <w:rFonts w:ascii="Times New Roman" w:eastAsia="Times New Roman" w:hAnsi="Times New Roman" w:cs="Times New Roman"/>
          <w:color w:val="222222"/>
          <w:sz w:val="24"/>
          <w:szCs w:val="24"/>
          <w:shd w:val="clear" w:color="auto" w:fill="FFFFFF"/>
          <w:lang w:val="en-US"/>
        </w:rPr>
        <w:t xml:space="preserve">, S., </w:t>
      </w:r>
      <w:proofErr w:type="spellStart"/>
      <w:r w:rsidRPr="00AF436D">
        <w:rPr>
          <w:rFonts w:ascii="Times New Roman" w:eastAsia="Times New Roman" w:hAnsi="Times New Roman" w:cs="Times New Roman"/>
          <w:color w:val="222222"/>
          <w:sz w:val="24"/>
          <w:szCs w:val="24"/>
          <w:shd w:val="clear" w:color="auto" w:fill="FFFFFF"/>
          <w:lang w:val="en-US"/>
        </w:rPr>
        <w:t>Hano</w:t>
      </w:r>
      <w:proofErr w:type="spellEnd"/>
      <w:r w:rsidRPr="00AF436D">
        <w:rPr>
          <w:rFonts w:ascii="Times New Roman" w:eastAsia="Times New Roman" w:hAnsi="Times New Roman" w:cs="Times New Roman"/>
          <w:color w:val="222222"/>
          <w:sz w:val="24"/>
          <w:szCs w:val="24"/>
          <w:shd w:val="clear" w:color="auto" w:fill="FFFFFF"/>
          <w:lang w:val="en-US"/>
        </w:rPr>
        <w:t xml:space="preserve">, C., &amp; Abbasi, B. H. (2022). Root Cultures, a Boon for the Production of Valuable Compounds: A Comparative Review. Plants, 11(3), 439. </w:t>
      </w:r>
      <w:hyperlink r:id="rId29" w:history="1">
        <w:r w:rsidRPr="008E6228">
          <w:rPr>
            <w:rStyle w:val="Hyperlink"/>
            <w:rFonts w:ascii="Times New Roman" w:eastAsia="Times New Roman" w:hAnsi="Times New Roman" w:cs="Times New Roman"/>
            <w:sz w:val="24"/>
            <w:szCs w:val="24"/>
            <w:shd w:val="clear" w:color="auto" w:fill="FFFFFF"/>
            <w:lang w:val="en-US"/>
          </w:rPr>
          <w:t>https://doi.org/10.3390/plants11030439</w:t>
        </w:r>
      </w:hyperlink>
    </w:p>
    <w:p w14:paraId="32205E24" w14:textId="0A7BA170" w:rsidR="00AF436D" w:rsidRDefault="00AF436D" w:rsidP="00507EE0">
      <w:pPr>
        <w:spacing w:before="100" w:beforeAutospacing="1" w:after="100" w:afterAutospacing="1" w:line="240" w:lineRule="auto"/>
        <w:ind w:left="360"/>
        <w:jc w:val="both"/>
        <w:rPr>
          <w:rFonts w:ascii="Times New Roman" w:eastAsia="Times New Roman" w:hAnsi="Times New Roman" w:cs="Times New Roman"/>
          <w:color w:val="222222"/>
          <w:sz w:val="24"/>
          <w:szCs w:val="24"/>
          <w:shd w:val="clear" w:color="auto" w:fill="FFFFFF"/>
          <w:lang w:val="en-US"/>
        </w:rPr>
      </w:pPr>
      <w:r w:rsidRPr="00AF436D">
        <w:rPr>
          <w:rFonts w:ascii="Times New Roman" w:eastAsia="Times New Roman" w:hAnsi="Times New Roman" w:cs="Times New Roman"/>
          <w:color w:val="222222"/>
          <w:sz w:val="24"/>
          <w:szCs w:val="24"/>
          <w:shd w:val="clear" w:color="auto" w:fill="FFFFFF"/>
          <w:lang w:val="en-US"/>
        </w:rPr>
        <w:t xml:space="preserve">Iqbal, M., Aftab, Z.-e.-H., Anjum, T., </w:t>
      </w:r>
      <w:proofErr w:type="spellStart"/>
      <w:r w:rsidRPr="00AF436D">
        <w:rPr>
          <w:rFonts w:ascii="Times New Roman" w:eastAsia="Times New Roman" w:hAnsi="Times New Roman" w:cs="Times New Roman"/>
          <w:color w:val="222222"/>
          <w:sz w:val="24"/>
          <w:szCs w:val="24"/>
          <w:shd w:val="clear" w:color="auto" w:fill="FFFFFF"/>
          <w:lang w:val="en-US"/>
        </w:rPr>
        <w:t>Rizwana</w:t>
      </w:r>
      <w:proofErr w:type="spellEnd"/>
      <w:r w:rsidRPr="00AF436D">
        <w:rPr>
          <w:rFonts w:ascii="Times New Roman" w:eastAsia="Times New Roman" w:hAnsi="Times New Roman" w:cs="Times New Roman"/>
          <w:color w:val="222222"/>
          <w:sz w:val="24"/>
          <w:szCs w:val="24"/>
          <w:shd w:val="clear" w:color="auto" w:fill="FFFFFF"/>
          <w:lang w:val="en-US"/>
        </w:rPr>
        <w:t xml:space="preserve">, H., </w:t>
      </w:r>
      <w:proofErr w:type="spellStart"/>
      <w:r w:rsidRPr="00AF436D">
        <w:rPr>
          <w:rFonts w:ascii="Times New Roman" w:eastAsia="Times New Roman" w:hAnsi="Times New Roman" w:cs="Times New Roman"/>
          <w:color w:val="222222"/>
          <w:sz w:val="24"/>
          <w:szCs w:val="24"/>
          <w:shd w:val="clear" w:color="auto" w:fill="FFFFFF"/>
          <w:lang w:val="en-US"/>
        </w:rPr>
        <w:t>Akram</w:t>
      </w:r>
      <w:proofErr w:type="spellEnd"/>
      <w:r w:rsidRPr="00AF436D">
        <w:rPr>
          <w:rFonts w:ascii="Times New Roman" w:eastAsia="Times New Roman" w:hAnsi="Times New Roman" w:cs="Times New Roman"/>
          <w:color w:val="222222"/>
          <w:sz w:val="24"/>
          <w:szCs w:val="24"/>
          <w:shd w:val="clear" w:color="auto" w:fill="FFFFFF"/>
          <w:lang w:val="en-US"/>
        </w:rPr>
        <w:t xml:space="preserve">, W., Aftab, A., Sajid, Z. A., &amp; Li, G. (2024). Nano-Integrated Plant Tissue Culture to Increase the Rate of Callus </w:t>
      </w:r>
      <w:r w:rsidRPr="00AF436D">
        <w:rPr>
          <w:rFonts w:ascii="Times New Roman" w:eastAsia="Times New Roman" w:hAnsi="Times New Roman" w:cs="Times New Roman"/>
          <w:color w:val="222222"/>
          <w:sz w:val="24"/>
          <w:szCs w:val="24"/>
          <w:shd w:val="clear" w:color="auto" w:fill="FFFFFF"/>
          <w:lang w:val="en-US"/>
        </w:rPr>
        <w:lastRenderedPageBreak/>
        <w:t xml:space="preserve">Induction, Growth, and Curcuminoid Production in Curcuma longa. Plants (Basel, Switzerland). </w:t>
      </w:r>
      <w:hyperlink r:id="rId30" w:history="1">
        <w:r w:rsidRPr="008E6228">
          <w:rPr>
            <w:rStyle w:val="Hyperlink"/>
            <w:rFonts w:ascii="Times New Roman" w:eastAsia="Times New Roman" w:hAnsi="Times New Roman" w:cs="Times New Roman"/>
            <w:sz w:val="24"/>
            <w:szCs w:val="24"/>
            <w:shd w:val="clear" w:color="auto" w:fill="FFFFFF"/>
            <w:lang w:val="en-US"/>
          </w:rPr>
          <w:t>https://doi.org/10.3390/plants13131819</w:t>
        </w:r>
      </w:hyperlink>
    </w:p>
    <w:p w14:paraId="317A67D0" w14:textId="77777777" w:rsidR="00AF436D" w:rsidRDefault="00AF436D" w:rsidP="00507EE0">
      <w:pPr>
        <w:spacing w:before="100" w:beforeAutospacing="1" w:after="100" w:afterAutospacing="1" w:line="240" w:lineRule="auto"/>
        <w:ind w:left="360"/>
        <w:jc w:val="both"/>
        <w:rPr>
          <w:rFonts w:ascii="Times New Roman" w:eastAsia="Calibri" w:hAnsi="Times New Roman" w:cs="Times New Roman"/>
          <w:color w:val="222222"/>
          <w:sz w:val="24"/>
          <w:szCs w:val="24"/>
          <w:shd w:val="clear" w:color="auto" w:fill="FFFFFF"/>
        </w:rPr>
      </w:pPr>
      <w:proofErr w:type="spellStart"/>
      <w:r w:rsidRPr="00AF436D">
        <w:rPr>
          <w:rFonts w:ascii="Times New Roman" w:eastAsia="Calibri" w:hAnsi="Times New Roman" w:cs="Times New Roman"/>
          <w:color w:val="222222"/>
          <w:sz w:val="24"/>
          <w:szCs w:val="24"/>
          <w:shd w:val="clear" w:color="auto" w:fill="FFFFFF"/>
        </w:rPr>
        <w:t>Iweala</w:t>
      </w:r>
      <w:proofErr w:type="spellEnd"/>
      <w:r w:rsidRPr="00AF436D">
        <w:rPr>
          <w:rFonts w:ascii="Times New Roman" w:eastAsia="Calibri" w:hAnsi="Times New Roman" w:cs="Times New Roman"/>
          <w:color w:val="222222"/>
          <w:sz w:val="24"/>
          <w:szCs w:val="24"/>
          <w:shd w:val="clear" w:color="auto" w:fill="FFFFFF"/>
        </w:rPr>
        <w:t xml:space="preserve">, E. J., Uche, M. E., Dike, E. D., </w:t>
      </w:r>
      <w:proofErr w:type="spellStart"/>
      <w:r w:rsidRPr="00AF436D">
        <w:rPr>
          <w:rFonts w:ascii="Times New Roman" w:eastAsia="Calibri" w:hAnsi="Times New Roman" w:cs="Times New Roman"/>
          <w:color w:val="222222"/>
          <w:sz w:val="24"/>
          <w:szCs w:val="24"/>
          <w:shd w:val="clear" w:color="auto" w:fill="FFFFFF"/>
        </w:rPr>
        <w:t>Etumnu</w:t>
      </w:r>
      <w:proofErr w:type="spellEnd"/>
      <w:r w:rsidRPr="00AF436D">
        <w:rPr>
          <w:rFonts w:ascii="Times New Roman" w:eastAsia="Calibri" w:hAnsi="Times New Roman" w:cs="Times New Roman"/>
          <w:color w:val="222222"/>
          <w:sz w:val="24"/>
          <w:szCs w:val="24"/>
          <w:shd w:val="clear" w:color="auto" w:fill="FFFFFF"/>
        </w:rPr>
        <w:t xml:space="preserve">, L. R., </w:t>
      </w:r>
      <w:proofErr w:type="spellStart"/>
      <w:r w:rsidRPr="00AF436D">
        <w:rPr>
          <w:rFonts w:ascii="Times New Roman" w:eastAsia="Calibri" w:hAnsi="Times New Roman" w:cs="Times New Roman"/>
          <w:color w:val="222222"/>
          <w:sz w:val="24"/>
          <w:szCs w:val="24"/>
          <w:shd w:val="clear" w:color="auto" w:fill="FFFFFF"/>
        </w:rPr>
        <w:t>Dokunmu</w:t>
      </w:r>
      <w:proofErr w:type="spellEnd"/>
      <w:r w:rsidRPr="00AF436D">
        <w:rPr>
          <w:rFonts w:ascii="Times New Roman" w:eastAsia="Calibri" w:hAnsi="Times New Roman" w:cs="Times New Roman"/>
          <w:color w:val="222222"/>
          <w:sz w:val="24"/>
          <w:szCs w:val="24"/>
          <w:shd w:val="clear" w:color="auto" w:fill="FFFFFF"/>
        </w:rPr>
        <w:t xml:space="preserve">, T. M., </w:t>
      </w:r>
      <w:proofErr w:type="spellStart"/>
      <w:r w:rsidRPr="00AF436D">
        <w:rPr>
          <w:rFonts w:ascii="Times New Roman" w:eastAsia="Calibri" w:hAnsi="Times New Roman" w:cs="Times New Roman"/>
          <w:color w:val="222222"/>
          <w:sz w:val="24"/>
          <w:szCs w:val="24"/>
          <w:shd w:val="clear" w:color="auto" w:fill="FFFFFF"/>
        </w:rPr>
        <w:t>Oluwapelumi</w:t>
      </w:r>
      <w:proofErr w:type="spellEnd"/>
      <w:r w:rsidRPr="00AF436D">
        <w:rPr>
          <w:rFonts w:ascii="Times New Roman" w:eastAsia="Calibri" w:hAnsi="Times New Roman" w:cs="Times New Roman"/>
          <w:color w:val="222222"/>
          <w:sz w:val="24"/>
          <w:szCs w:val="24"/>
          <w:shd w:val="clear" w:color="auto" w:fill="FFFFFF"/>
        </w:rPr>
        <w:t xml:space="preserve">, A. E., Okoro, B. C., Dania, O. E., Adebayo, H. A., &amp; </w:t>
      </w:r>
      <w:proofErr w:type="spellStart"/>
      <w:r w:rsidRPr="00AF436D">
        <w:rPr>
          <w:rFonts w:ascii="Times New Roman" w:eastAsia="Calibri" w:hAnsi="Times New Roman" w:cs="Times New Roman"/>
          <w:color w:val="222222"/>
          <w:sz w:val="24"/>
          <w:szCs w:val="24"/>
          <w:shd w:val="clear" w:color="auto" w:fill="FFFFFF"/>
        </w:rPr>
        <w:t>Ugbogu</w:t>
      </w:r>
      <w:proofErr w:type="spellEnd"/>
      <w:r w:rsidRPr="00AF436D">
        <w:rPr>
          <w:rFonts w:ascii="Times New Roman" w:eastAsia="Calibri" w:hAnsi="Times New Roman" w:cs="Times New Roman"/>
          <w:color w:val="222222"/>
          <w:sz w:val="24"/>
          <w:szCs w:val="24"/>
          <w:shd w:val="clear" w:color="auto" w:fill="FFFFFF"/>
        </w:rPr>
        <w:t xml:space="preserve">, E. A. (2023). Curcuma longa (Turmeric): Ethnomedicinal uses, phytochemistry, pharmacological activities and toxicity profiles—A review. Pharmacological Research-Modern Chinese Medicine, 6, 100222. </w:t>
      </w:r>
      <w:hyperlink r:id="rId31" w:history="1">
        <w:r w:rsidRPr="008E6228">
          <w:rPr>
            <w:rStyle w:val="Hyperlink"/>
            <w:rFonts w:ascii="Times New Roman" w:eastAsia="Calibri" w:hAnsi="Times New Roman" w:cs="Times New Roman"/>
            <w:sz w:val="24"/>
            <w:szCs w:val="24"/>
            <w:shd w:val="clear" w:color="auto" w:fill="FFFFFF"/>
          </w:rPr>
          <w:t>https://doi.org/10.1016/j.prmcm.2023.100222</w:t>
        </w:r>
      </w:hyperlink>
    </w:p>
    <w:p w14:paraId="622E1727" w14:textId="25D1A6D7" w:rsidR="00AF436D" w:rsidRDefault="00AF436D" w:rsidP="00507EE0">
      <w:pPr>
        <w:spacing w:before="100" w:beforeAutospacing="1" w:after="100" w:afterAutospacing="1" w:line="240" w:lineRule="auto"/>
        <w:ind w:left="360"/>
        <w:jc w:val="both"/>
        <w:rPr>
          <w:rFonts w:ascii="Times New Roman" w:eastAsia="Times New Roman" w:hAnsi="Times New Roman" w:cs="Times New Roman"/>
          <w:color w:val="222222"/>
          <w:sz w:val="24"/>
          <w:szCs w:val="24"/>
          <w:shd w:val="clear" w:color="auto" w:fill="FFFFFF"/>
          <w:lang w:val="en-US"/>
        </w:rPr>
      </w:pPr>
      <w:r w:rsidRPr="00AF436D">
        <w:rPr>
          <w:rFonts w:ascii="Times New Roman" w:eastAsia="Times New Roman" w:hAnsi="Times New Roman" w:cs="Times New Roman"/>
          <w:color w:val="222222"/>
          <w:sz w:val="24"/>
          <w:szCs w:val="24"/>
          <w:shd w:val="clear" w:color="auto" w:fill="FFFFFF"/>
          <w:lang w:val="en-US"/>
        </w:rPr>
        <w:t xml:space="preserve">Jiang, H., </w:t>
      </w:r>
      <w:proofErr w:type="spellStart"/>
      <w:r w:rsidRPr="00AF436D">
        <w:rPr>
          <w:rFonts w:ascii="Times New Roman" w:eastAsia="Times New Roman" w:hAnsi="Times New Roman" w:cs="Times New Roman"/>
          <w:color w:val="222222"/>
          <w:sz w:val="24"/>
          <w:szCs w:val="24"/>
          <w:shd w:val="clear" w:color="auto" w:fill="FFFFFF"/>
          <w:lang w:val="en-US"/>
        </w:rPr>
        <w:t>Timmermann</w:t>
      </w:r>
      <w:proofErr w:type="spellEnd"/>
      <w:r w:rsidRPr="00AF436D">
        <w:rPr>
          <w:rFonts w:ascii="Times New Roman" w:eastAsia="Times New Roman" w:hAnsi="Times New Roman" w:cs="Times New Roman"/>
          <w:color w:val="222222"/>
          <w:sz w:val="24"/>
          <w:szCs w:val="24"/>
          <w:shd w:val="clear" w:color="auto" w:fill="FFFFFF"/>
          <w:lang w:val="en-US"/>
        </w:rPr>
        <w:t xml:space="preserve">, B. N., &amp; Gang, D. R. (2006). Use of liquid chromatography–electrospray ionization tandem mass spectrometry to identify diarylheptanoids in turmeric (Curcuma longa L.) rhizome. Journal of Chromatography A. </w:t>
      </w:r>
      <w:hyperlink r:id="rId32" w:history="1">
        <w:r w:rsidRPr="008E6228">
          <w:rPr>
            <w:rStyle w:val="Hyperlink"/>
            <w:rFonts w:ascii="Times New Roman" w:eastAsia="Times New Roman" w:hAnsi="Times New Roman" w:cs="Times New Roman"/>
            <w:sz w:val="24"/>
            <w:szCs w:val="24"/>
            <w:shd w:val="clear" w:color="auto" w:fill="FFFFFF"/>
            <w:lang w:val="en-US"/>
          </w:rPr>
          <w:t>https://doi.org/10.1016/j.chroma.2006.01.103</w:t>
        </w:r>
      </w:hyperlink>
    </w:p>
    <w:p w14:paraId="2B51158F" w14:textId="554BE09A" w:rsidR="00DE56CE" w:rsidRPr="00AF436D" w:rsidRDefault="00AF436D" w:rsidP="00507EE0">
      <w:pPr>
        <w:spacing w:before="100" w:beforeAutospacing="1" w:after="100" w:afterAutospacing="1" w:line="240" w:lineRule="auto"/>
        <w:ind w:left="360"/>
        <w:jc w:val="both"/>
        <w:rPr>
          <w:rFonts w:ascii="Times New Roman" w:eastAsia="Times New Roman" w:hAnsi="Times New Roman" w:cs="Times New Roman"/>
          <w:color w:val="222222"/>
          <w:sz w:val="24"/>
          <w:szCs w:val="24"/>
          <w:shd w:val="clear" w:color="auto" w:fill="FFFFFF"/>
          <w:lang w:val="en-US"/>
        </w:rPr>
      </w:pPr>
      <w:r w:rsidRPr="00AF436D">
        <w:rPr>
          <w:rFonts w:ascii="Times New Roman" w:eastAsia="Times New Roman" w:hAnsi="Times New Roman" w:cs="Times New Roman"/>
          <w:color w:val="222222"/>
          <w:sz w:val="24"/>
          <w:szCs w:val="24"/>
          <w:shd w:val="clear" w:color="auto" w:fill="FFFFFF"/>
          <w:lang w:val="en-US"/>
        </w:rPr>
        <w:t xml:space="preserve">Jung, Y., Lee, J., Kim, H. K., Moon, B. C., Ji, Y., Ryu, D. H., &amp; Hwang, G. S. (2012). Metabolite profiling of Curcuma species grown in different regions using 1H NMR spectroscopy and multivariate analysis. The Analyst, 137(23), 5597–5606. </w:t>
      </w:r>
      <w:hyperlink r:id="rId33" w:history="1">
        <w:r w:rsidRPr="008E6228">
          <w:rPr>
            <w:rStyle w:val="Hyperlink"/>
            <w:rFonts w:ascii="Times New Roman" w:eastAsia="Times New Roman" w:hAnsi="Times New Roman" w:cs="Times New Roman"/>
            <w:sz w:val="24"/>
            <w:szCs w:val="24"/>
            <w:shd w:val="clear" w:color="auto" w:fill="FFFFFF"/>
            <w:lang w:val="en-US"/>
          </w:rPr>
          <w:t>https://doi.org/10.1039/c2an35397k</w:t>
        </w:r>
      </w:hyperlink>
      <w:r>
        <w:rPr>
          <w:rFonts w:ascii="Times New Roman" w:eastAsia="Times New Roman" w:hAnsi="Times New Roman" w:cs="Times New Roman"/>
          <w:color w:val="222222"/>
          <w:sz w:val="24"/>
          <w:szCs w:val="24"/>
          <w:shd w:val="clear" w:color="auto" w:fill="FFFFFF"/>
          <w:lang w:val="en-US"/>
        </w:rPr>
        <w:t xml:space="preserve"> </w:t>
      </w:r>
      <w:r w:rsidR="00DE56CE" w:rsidRPr="00AF436D">
        <w:rPr>
          <w:rFonts w:ascii="Times New Roman" w:eastAsia="Times New Roman" w:hAnsi="Times New Roman" w:cs="Times New Roman"/>
          <w:color w:val="222222"/>
          <w:sz w:val="24"/>
          <w:szCs w:val="24"/>
          <w:shd w:val="clear" w:color="auto" w:fill="FFFFFF"/>
          <w:lang w:val="en-US"/>
        </w:rPr>
        <w:t xml:space="preserve"> </w:t>
      </w:r>
    </w:p>
    <w:p w14:paraId="011EAEA1" w14:textId="177D30A4" w:rsidR="00AF436D" w:rsidRDefault="00AF436D" w:rsidP="00507EE0">
      <w:pPr>
        <w:spacing w:before="100" w:beforeAutospacing="1" w:after="100" w:afterAutospacing="1" w:line="240" w:lineRule="auto"/>
        <w:ind w:left="360"/>
        <w:jc w:val="both"/>
        <w:rPr>
          <w:rFonts w:ascii="Times New Roman" w:eastAsia="Times New Roman" w:hAnsi="Times New Roman" w:cs="Times New Roman"/>
          <w:color w:val="222222"/>
          <w:sz w:val="24"/>
          <w:szCs w:val="24"/>
          <w:shd w:val="clear" w:color="auto" w:fill="FFFFFF"/>
          <w:lang w:val="en-US"/>
        </w:rPr>
      </w:pPr>
      <w:r w:rsidRPr="00AF436D">
        <w:rPr>
          <w:rFonts w:ascii="Times New Roman" w:eastAsia="Times New Roman" w:hAnsi="Times New Roman" w:cs="Times New Roman"/>
          <w:color w:val="222222"/>
          <w:sz w:val="24"/>
          <w:szCs w:val="24"/>
          <w:shd w:val="clear" w:color="auto" w:fill="FFFFFF"/>
          <w:lang w:val="en-US"/>
        </w:rPr>
        <w:t xml:space="preserve">Kang, S. Y., </w:t>
      </w:r>
      <w:proofErr w:type="spellStart"/>
      <w:r w:rsidRPr="00AF436D">
        <w:rPr>
          <w:rFonts w:ascii="Times New Roman" w:eastAsia="Times New Roman" w:hAnsi="Times New Roman" w:cs="Times New Roman"/>
          <w:color w:val="222222"/>
          <w:sz w:val="24"/>
          <w:szCs w:val="24"/>
          <w:shd w:val="clear" w:color="auto" w:fill="FFFFFF"/>
          <w:lang w:val="en-US"/>
        </w:rPr>
        <w:t>Heo</w:t>
      </w:r>
      <w:proofErr w:type="spellEnd"/>
      <w:r w:rsidRPr="00AF436D">
        <w:rPr>
          <w:rFonts w:ascii="Times New Roman" w:eastAsia="Times New Roman" w:hAnsi="Times New Roman" w:cs="Times New Roman"/>
          <w:color w:val="222222"/>
          <w:sz w:val="24"/>
          <w:szCs w:val="24"/>
          <w:shd w:val="clear" w:color="auto" w:fill="FFFFFF"/>
          <w:lang w:val="en-US"/>
        </w:rPr>
        <w:t xml:space="preserve">, K. T., &amp; Hong, Y. S. (2018). Optimization of Artificial Curcumin Biosynthesis in E. coli by Randomized 5'-UTR Sequences </w:t>
      </w:r>
      <w:proofErr w:type="gramStart"/>
      <w:r w:rsidRPr="00AF436D">
        <w:rPr>
          <w:rFonts w:ascii="Times New Roman" w:eastAsia="Times New Roman" w:hAnsi="Times New Roman" w:cs="Times New Roman"/>
          <w:color w:val="222222"/>
          <w:sz w:val="24"/>
          <w:szCs w:val="24"/>
          <w:shd w:val="clear" w:color="auto" w:fill="FFFFFF"/>
          <w:lang w:val="en-US"/>
        </w:rPr>
        <w:t>To</w:t>
      </w:r>
      <w:proofErr w:type="gramEnd"/>
      <w:r w:rsidRPr="00AF436D">
        <w:rPr>
          <w:rFonts w:ascii="Times New Roman" w:eastAsia="Times New Roman" w:hAnsi="Times New Roman" w:cs="Times New Roman"/>
          <w:color w:val="222222"/>
          <w:sz w:val="24"/>
          <w:szCs w:val="24"/>
          <w:shd w:val="clear" w:color="auto" w:fill="FFFFFF"/>
          <w:lang w:val="en-US"/>
        </w:rPr>
        <w:t xml:space="preserve"> Control the Multienzyme Pathway. ACS synthetic biology, 7(9), 2054–2062. </w:t>
      </w:r>
      <w:hyperlink r:id="rId34" w:history="1">
        <w:r w:rsidRPr="008E6228">
          <w:rPr>
            <w:rStyle w:val="Hyperlink"/>
            <w:rFonts w:ascii="Times New Roman" w:eastAsia="Times New Roman" w:hAnsi="Times New Roman" w:cs="Times New Roman"/>
            <w:sz w:val="24"/>
            <w:szCs w:val="24"/>
            <w:shd w:val="clear" w:color="auto" w:fill="FFFFFF"/>
            <w:lang w:val="en-US"/>
          </w:rPr>
          <w:t>https://doi.org/10.1021/acssynbio.8b00198</w:t>
        </w:r>
      </w:hyperlink>
    </w:p>
    <w:p w14:paraId="1592F33B" w14:textId="7800113B" w:rsidR="00DE56CE" w:rsidRPr="00AF436D" w:rsidRDefault="00AF436D" w:rsidP="00507EE0">
      <w:pPr>
        <w:spacing w:before="100" w:beforeAutospacing="1" w:after="100" w:afterAutospacing="1" w:line="240" w:lineRule="auto"/>
        <w:ind w:left="360"/>
        <w:jc w:val="both"/>
        <w:rPr>
          <w:rFonts w:ascii="Times New Roman" w:eastAsia="Calibri" w:hAnsi="Times New Roman" w:cs="Times New Roman"/>
          <w:color w:val="222222"/>
          <w:sz w:val="24"/>
          <w:szCs w:val="24"/>
          <w:shd w:val="clear" w:color="auto" w:fill="FFFFFF"/>
        </w:rPr>
      </w:pPr>
      <w:r w:rsidRPr="00AF436D">
        <w:rPr>
          <w:rFonts w:ascii="Times New Roman" w:eastAsia="Calibri" w:hAnsi="Times New Roman" w:cs="Times New Roman"/>
          <w:color w:val="222222"/>
          <w:sz w:val="24"/>
          <w:szCs w:val="24"/>
          <w:shd w:val="clear" w:color="auto" w:fill="FFFFFF"/>
        </w:rPr>
        <w:t xml:space="preserve">Kar, B., </w:t>
      </w:r>
      <w:proofErr w:type="spellStart"/>
      <w:r w:rsidRPr="00AF436D">
        <w:rPr>
          <w:rFonts w:ascii="Times New Roman" w:eastAsia="Calibri" w:hAnsi="Times New Roman" w:cs="Times New Roman"/>
          <w:color w:val="222222"/>
          <w:sz w:val="24"/>
          <w:szCs w:val="24"/>
          <w:shd w:val="clear" w:color="auto" w:fill="FFFFFF"/>
        </w:rPr>
        <w:t>Kuanar</w:t>
      </w:r>
      <w:proofErr w:type="spellEnd"/>
      <w:r w:rsidRPr="00AF436D">
        <w:rPr>
          <w:rFonts w:ascii="Times New Roman" w:eastAsia="Calibri" w:hAnsi="Times New Roman" w:cs="Times New Roman"/>
          <w:color w:val="222222"/>
          <w:sz w:val="24"/>
          <w:szCs w:val="24"/>
          <w:shd w:val="clear" w:color="auto" w:fill="FFFFFF"/>
        </w:rPr>
        <w:t xml:space="preserve">, A., Singh, S., Mohanty, S., Joshi, R. K., </w:t>
      </w:r>
      <w:proofErr w:type="spellStart"/>
      <w:r w:rsidRPr="00AF436D">
        <w:rPr>
          <w:rFonts w:ascii="Times New Roman" w:eastAsia="Calibri" w:hAnsi="Times New Roman" w:cs="Times New Roman"/>
          <w:color w:val="222222"/>
          <w:sz w:val="24"/>
          <w:szCs w:val="24"/>
          <w:shd w:val="clear" w:color="auto" w:fill="FFFFFF"/>
        </w:rPr>
        <w:t>Subudhi</w:t>
      </w:r>
      <w:proofErr w:type="spellEnd"/>
      <w:r w:rsidRPr="00AF436D">
        <w:rPr>
          <w:rFonts w:ascii="Times New Roman" w:eastAsia="Calibri" w:hAnsi="Times New Roman" w:cs="Times New Roman"/>
          <w:color w:val="222222"/>
          <w:sz w:val="24"/>
          <w:szCs w:val="24"/>
          <w:shd w:val="clear" w:color="auto" w:fill="FFFFFF"/>
        </w:rPr>
        <w:t xml:space="preserve">, E., &amp; Nayak, S. (2014). In vitro induction, screening and detection of high essential oil yielding </w:t>
      </w:r>
      <w:proofErr w:type="spellStart"/>
      <w:r w:rsidRPr="00AF436D">
        <w:rPr>
          <w:rFonts w:ascii="Times New Roman" w:eastAsia="Calibri" w:hAnsi="Times New Roman" w:cs="Times New Roman"/>
          <w:color w:val="222222"/>
          <w:sz w:val="24"/>
          <w:szCs w:val="24"/>
          <w:shd w:val="clear" w:color="auto" w:fill="FFFFFF"/>
        </w:rPr>
        <w:t>somaclones</w:t>
      </w:r>
      <w:proofErr w:type="spellEnd"/>
      <w:r w:rsidRPr="00AF436D">
        <w:rPr>
          <w:rFonts w:ascii="Times New Roman" w:eastAsia="Calibri" w:hAnsi="Times New Roman" w:cs="Times New Roman"/>
          <w:color w:val="222222"/>
          <w:sz w:val="24"/>
          <w:szCs w:val="24"/>
          <w:shd w:val="clear" w:color="auto" w:fill="FFFFFF"/>
        </w:rPr>
        <w:t xml:space="preserve"> in turmeric (Curcuma longa L.). Plant growth regulation, 72(1), 59-66. </w:t>
      </w:r>
      <w:hyperlink r:id="rId35" w:history="1">
        <w:r w:rsidRPr="008E6228">
          <w:rPr>
            <w:rStyle w:val="Hyperlink"/>
            <w:rFonts w:ascii="Times New Roman" w:eastAsia="Calibri" w:hAnsi="Times New Roman" w:cs="Times New Roman"/>
            <w:sz w:val="24"/>
            <w:szCs w:val="24"/>
            <w:shd w:val="clear" w:color="auto" w:fill="FFFFFF"/>
          </w:rPr>
          <w:t>https://doi.org/10.1007/s10725-013-9836-1</w:t>
        </w:r>
      </w:hyperlink>
      <w:r>
        <w:rPr>
          <w:rFonts w:ascii="Times New Roman" w:eastAsia="Calibri" w:hAnsi="Times New Roman" w:cs="Times New Roman"/>
          <w:color w:val="222222"/>
          <w:sz w:val="24"/>
          <w:szCs w:val="24"/>
          <w:shd w:val="clear" w:color="auto" w:fill="FFFFFF"/>
        </w:rPr>
        <w:t xml:space="preserve"> </w:t>
      </w:r>
      <w:r w:rsidR="00DE56CE" w:rsidRPr="00AF436D">
        <w:rPr>
          <w:rFonts w:ascii="Times New Roman" w:eastAsia="Calibri" w:hAnsi="Times New Roman" w:cs="Times New Roman"/>
          <w:color w:val="222222"/>
          <w:sz w:val="24"/>
          <w:szCs w:val="24"/>
          <w:shd w:val="clear" w:color="auto" w:fill="FFFFFF"/>
        </w:rPr>
        <w:t xml:space="preserve"> </w:t>
      </w:r>
    </w:p>
    <w:p w14:paraId="13AEA687" w14:textId="77777777" w:rsidR="00AF436D" w:rsidRDefault="00AF436D" w:rsidP="00507EE0">
      <w:pPr>
        <w:spacing w:before="100" w:beforeAutospacing="1" w:after="100" w:afterAutospacing="1" w:line="240" w:lineRule="auto"/>
        <w:ind w:left="360"/>
        <w:jc w:val="both"/>
        <w:rPr>
          <w:rFonts w:ascii="Times New Roman" w:eastAsia="Times New Roman" w:hAnsi="Times New Roman" w:cs="Times New Roman"/>
          <w:color w:val="222222"/>
          <w:sz w:val="24"/>
          <w:szCs w:val="24"/>
          <w:shd w:val="clear" w:color="auto" w:fill="FFFFFF"/>
          <w:lang w:val="en-US"/>
        </w:rPr>
      </w:pPr>
      <w:r w:rsidRPr="00AF436D">
        <w:rPr>
          <w:rFonts w:ascii="Times New Roman" w:eastAsia="Times New Roman" w:hAnsi="Times New Roman" w:cs="Times New Roman"/>
          <w:color w:val="222222"/>
          <w:sz w:val="24"/>
          <w:szCs w:val="24"/>
          <w:shd w:val="clear" w:color="auto" w:fill="FFFFFF"/>
          <w:lang w:val="en-US"/>
        </w:rPr>
        <w:t xml:space="preserve">Khan, S., Ambika, Rani, K., Sharma, S., Kumar, A., Singh, S., Thapliyal, M., Rawat, P., Thakur, A., Pandey, S., Thapliyal, A., Pal, M., &amp; Singh, Y. (2023). Rhizobacterial mediated interactions in Curcuma longa for plant growth and enhanced crop productivity: a systematic review. Frontiers in Plant Science, 14, 1231676. </w:t>
      </w:r>
      <w:hyperlink r:id="rId36" w:history="1">
        <w:r w:rsidRPr="008E6228">
          <w:rPr>
            <w:rStyle w:val="Hyperlink"/>
            <w:rFonts w:ascii="Times New Roman" w:eastAsia="Times New Roman" w:hAnsi="Times New Roman" w:cs="Times New Roman"/>
            <w:sz w:val="24"/>
            <w:szCs w:val="24"/>
            <w:shd w:val="clear" w:color="auto" w:fill="FFFFFF"/>
            <w:lang w:val="en-US"/>
          </w:rPr>
          <w:t>https://doi.org/10.3389/fpls.2023.1231676</w:t>
        </w:r>
      </w:hyperlink>
    </w:p>
    <w:p w14:paraId="7D050370" w14:textId="1E8FF4CA" w:rsidR="00AF436D" w:rsidRPr="00AF436D" w:rsidRDefault="00AF436D" w:rsidP="00507EE0">
      <w:pPr>
        <w:spacing w:before="100" w:beforeAutospacing="1" w:after="100" w:afterAutospacing="1" w:line="240" w:lineRule="auto"/>
        <w:ind w:left="360"/>
        <w:jc w:val="both"/>
        <w:rPr>
          <w:rFonts w:ascii="Times New Roman" w:eastAsia="Times New Roman" w:hAnsi="Times New Roman" w:cs="Times New Roman"/>
          <w:color w:val="222222"/>
          <w:sz w:val="24"/>
          <w:szCs w:val="24"/>
          <w:shd w:val="clear" w:color="auto" w:fill="FFFFFF"/>
          <w:lang w:val="en-US"/>
        </w:rPr>
      </w:pPr>
      <w:r w:rsidRPr="00AF436D">
        <w:rPr>
          <w:rFonts w:ascii="Times New Roman" w:eastAsia="Times New Roman" w:hAnsi="Times New Roman" w:cs="Times New Roman"/>
          <w:color w:val="222222"/>
          <w:sz w:val="24"/>
          <w:szCs w:val="24"/>
          <w:shd w:val="clear" w:color="auto" w:fill="FFFFFF"/>
          <w:lang w:val="en-US"/>
        </w:rPr>
        <w:t xml:space="preserve">Khanam, M. N., Anis, M., </w:t>
      </w:r>
      <w:proofErr w:type="spellStart"/>
      <w:r w:rsidRPr="00AF436D">
        <w:rPr>
          <w:rFonts w:ascii="Times New Roman" w:eastAsia="Times New Roman" w:hAnsi="Times New Roman" w:cs="Times New Roman"/>
          <w:color w:val="222222"/>
          <w:sz w:val="24"/>
          <w:szCs w:val="24"/>
          <w:shd w:val="clear" w:color="auto" w:fill="FFFFFF"/>
          <w:lang w:val="en-US"/>
        </w:rPr>
        <w:t>Javed</w:t>
      </w:r>
      <w:proofErr w:type="spellEnd"/>
      <w:r w:rsidRPr="00AF436D">
        <w:rPr>
          <w:rFonts w:ascii="Times New Roman" w:eastAsia="Times New Roman" w:hAnsi="Times New Roman" w:cs="Times New Roman"/>
          <w:color w:val="222222"/>
          <w:sz w:val="24"/>
          <w:szCs w:val="24"/>
          <w:shd w:val="clear" w:color="auto" w:fill="FFFFFF"/>
          <w:lang w:val="en-US"/>
        </w:rPr>
        <w:t xml:space="preserve">, S. B., </w:t>
      </w:r>
      <w:proofErr w:type="spellStart"/>
      <w:r w:rsidRPr="00AF436D">
        <w:rPr>
          <w:rFonts w:ascii="Times New Roman" w:eastAsia="Times New Roman" w:hAnsi="Times New Roman" w:cs="Times New Roman"/>
          <w:color w:val="222222"/>
          <w:sz w:val="24"/>
          <w:szCs w:val="24"/>
          <w:shd w:val="clear" w:color="auto" w:fill="FFFFFF"/>
          <w:lang w:val="en-US"/>
        </w:rPr>
        <w:t>Mottaghipisheh</w:t>
      </w:r>
      <w:proofErr w:type="spellEnd"/>
      <w:r w:rsidRPr="00AF436D">
        <w:rPr>
          <w:rFonts w:ascii="Times New Roman" w:eastAsia="Times New Roman" w:hAnsi="Times New Roman" w:cs="Times New Roman"/>
          <w:color w:val="222222"/>
          <w:sz w:val="24"/>
          <w:szCs w:val="24"/>
          <w:shd w:val="clear" w:color="auto" w:fill="FFFFFF"/>
          <w:lang w:val="en-US"/>
        </w:rPr>
        <w:t xml:space="preserve">, J., &amp; </w:t>
      </w:r>
      <w:proofErr w:type="spellStart"/>
      <w:r w:rsidRPr="00AF436D">
        <w:rPr>
          <w:rFonts w:ascii="Times New Roman" w:eastAsia="Times New Roman" w:hAnsi="Times New Roman" w:cs="Times New Roman"/>
          <w:color w:val="222222"/>
          <w:sz w:val="24"/>
          <w:szCs w:val="24"/>
          <w:shd w:val="clear" w:color="auto" w:fill="FFFFFF"/>
          <w:lang w:val="en-US"/>
        </w:rPr>
        <w:t>Csupor</w:t>
      </w:r>
      <w:proofErr w:type="spellEnd"/>
      <w:r w:rsidRPr="00AF436D">
        <w:rPr>
          <w:rFonts w:ascii="Times New Roman" w:eastAsia="Times New Roman" w:hAnsi="Times New Roman" w:cs="Times New Roman"/>
          <w:color w:val="222222"/>
          <w:sz w:val="24"/>
          <w:szCs w:val="24"/>
          <w:shd w:val="clear" w:color="auto" w:fill="FFFFFF"/>
          <w:lang w:val="en-US"/>
        </w:rPr>
        <w:t xml:space="preserve">, D. (2022). Adventitious Root Culture—An Alternative Strategy for Secondary Metabolite Production: A Review. Agronomy, 12(5), 1178. </w:t>
      </w:r>
      <w:hyperlink r:id="rId37" w:history="1">
        <w:r w:rsidRPr="00AF436D">
          <w:rPr>
            <w:rStyle w:val="Hyperlink"/>
            <w:rFonts w:ascii="Times New Roman" w:eastAsia="Times New Roman" w:hAnsi="Times New Roman" w:cs="Times New Roman"/>
            <w:sz w:val="24"/>
            <w:szCs w:val="24"/>
            <w:shd w:val="clear" w:color="auto" w:fill="FFFFFF"/>
            <w:lang w:val="en-US"/>
          </w:rPr>
          <w:t>https://doi.org/10.3390/agronomy12051178</w:t>
        </w:r>
      </w:hyperlink>
    </w:p>
    <w:p w14:paraId="17F7AACB" w14:textId="11251794" w:rsidR="008E560A" w:rsidRDefault="008E560A" w:rsidP="00507EE0">
      <w:pPr>
        <w:spacing w:before="100" w:beforeAutospacing="1" w:after="100" w:afterAutospacing="1" w:line="240" w:lineRule="auto"/>
        <w:ind w:left="360"/>
        <w:jc w:val="both"/>
        <w:rPr>
          <w:rFonts w:ascii="Times New Roman" w:eastAsia="Calibri" w:hAnsi="Times New Roman" w:cs="Times New Roman"/>
          <w:color w:val="222222"/>
          <w:sz w:val="24"/>
          <w:szCs w:val="24"/>
          <w:shd w:val="clear" w:color="auto" w:fill="FFFFFF"/>
        </w:rPr>
      </w:pPr>
      <w:r w:rsidRPr="008E560A">
        <w:rPr>
          <w:rFonts w:ascii="Times New Roman" w:eastAsia="Calibri" w:hAnsi="Times New Roman" w:cs="Times New Roman"/>
          <w:color w:val="222222"/>
          <w:sz w:val="24"/>
          <w:szCs w:val="24"/>
          <w:shd w:val="clear" w:color="auto" w:fill="FFFFFF"/>
        </w:rPr>
        <w:t xml:space="preserve">Kumar, A., Singh, M., Singh, P. P., Singh, S. K., Singh, P. K., &amp; Pandey, K. D. (2016). Isolation of plant growth promoting rhizobacteria and their impact on growth and curcumin content in Curcuma longa L. </w:t>
      </w:r>
      <w:proofErr w:type="spellStart"/>
      <w:r w:rsidRPr="008E560A">
        <w:rPr>
          <w:rFonts w:ascii="Times New Roman" w:eastAsia="Calibri" w:hAnsi="Times New Roman" w:cs="Times New Roman"/>
          <w:color w:val="222222"/>
          <w:sz w:val="24"/>
          <w:szCs w:val="24"/>
          <w:shd w:val="clear" w:color="auto" w:fill="FFFFFF"/>
        </w:rPr>
        <w:t>Biocatalysis</w:t>
      </w:r>
      <w:proofErr w:type="spellEnd"/>
      <w:r w:rsidRPr="008E560A">
        <w:rPr>
          <w:rFonts w:ascii="Times New Roman" w:eastAsia="Calibri" w:hAnsi="Times New Roman" w:cs="Times New Roman"/>
          <w:color w:val="222222"/>
          <w:sz w:val="24"/>
          <w:szCs w:val="24"/>
          <w:shd w:val="clear" w:color="auto" w:fill="FFFFFF"/>
        </w:rPr>
        <w:t xml:space="preserve"> and agricultural biotechnology </w:t>
      </w:r>
      <w:hyperlink r:id="rId38" w:history="1">
        <w:r w:rsidRPr="008E6228">
          <w:rPr>
            <w:rStyle w:val="Hyperlink"/>
            <w:rFonts w:ascii="Times New Roman" w:eastAsia="Calibri" w:hAnsi="Times New Roman" w:cs="Times New Roman"/>
            <w:sz w:val="24"/>
            <w:szCs w:val="24"/>
            <w:shd w:val="clear" w:color="auto" w:fill="FFFFFF"/>
          </w:rPr>
          <w:t>https://doi.org/10.1016/j.bcab.2016.07.002</w:t>
        </w:r>
      </w:hyperlink>
      <w:r>
        <w:rPr>
          <w:rFonts w:ascii="Times New Roman" w:eastAsia="Calibri" w:hAnsi="Times New Roman" w:cs="Times New Roman"/>
          <w:color w:val="222222"/>
          <w:sz w:val="24"/>
          <w:szCs w:val="24"/>
          <w:shd w:val="clear" w:color="auto" w:fill="FFFFFF"/>
        </w:rPr>
        <w:t xml:space="preserve"> </w:t>
      </w:r>
    </w:p>
    <w:p w14:paraId="7764C6CC" w14:textId="188EEAC9" w:rsidR="008E560A" w:rsidRDefault="008E560A" w:rsidP="00507EE0">
      <w:pPr>
        <w:spacing w:before="100" w:beforeAutospacing="1" w:after="100" w:afterAutospacing="1" w:line="240" w:lineRule="auto"/>
        <w:ind w:left="360"/>
        <w:jc w:val="both"/>
        <w:rPr>
          <w:rFonts w:ascii="Times New Roman" w:eastAsia="Times New Roman" w:hAnsi="Times New Roman" w:cs="Times New Roman"/>
          <w:color w:val="222222"/>
          <w:sz w:val="24"/>
          <w:szCs w:val="24"/>
          <w:shd w:val="clear" w:color="auto" w:fill="FFFFFF"/>
          <w:lang w:val="en-US"/>
        </w:rPr>
      </w:pPr>
      <w:r w:rsidRPr="008E560A">
        <w:rPr>
          <w:rFonts w:ascii="Times New Roman" w:eastAsia="Times New Roman" w:hAnsi="Times New Roman" w:cs="Times New Roman"/>
          <w:color w:val="222222"/>
          <w:sz w:val="24"/>
          <w:szCs w:val="24"/>
          <w:shd w:val="clear" w:color="auto" w:fill="FFFFFF"/>
          <w:lang w:val="en-US"/>
        </w:rPr>
        <w:t xml:space="preserve">Liao, Z., Zhou, Z., Li, Y., &amp; Zhang, Y. (2023). Plant metabolism and synthetic biology. Synthetic and systems biotechnology, 8(3), 563–564. </w:t>
      </w:r>
      <w:hyperlink r:id="rId39" w:history="1">
        <w:r w:rsidRPr="008E6228">
          <w:rPr>
            <w:rStyle w:val="Hyperlink"/>
            <w:rFonts w:ascii="Times New Roman" w:eastAsia="Times New Roman" w:hAnsi="Times New Roman" w:cs="Times New Roman"/>
            <w:sz w:val="24"/>
            <w:szCs w:val="24"/>
            <w:shd w:val="clear" w:color="auto" w:fill="FFFFFF"/>
            <w:lang w:val="en-US"/>
          </w:rPr>
          <w:t>https://doi.org/10.1016/j.synbio.2023.08.005</w:t>
        </w:r>
      </w:hyperlink>
      <w:r>
        <w:rPr>
          <w:rFonts w:ascii="Times New Roman" w:eastAsia="Times New Roman" w:hAnsi="Times New Roman" w:cs="Times New Roman"/>
          <w:color w:val="222222"/>
          <w:sz w:val="24"/>
          <w:szCs w:val="24"/>
          <w:shd w:val="clear" w:color="auto" w:fill="FFFFFF"/>
          <w:lang w:val="en-US"/>
        </w:rPr>
        <w:t xml:space="preserve"> </w:t>
      </w:r>
      <w:r w:rsidRPr="008E560A">
        <w:rPr>
          <w:rFonts w:ascii="Times New Roman" w:eastAsia="Times New Roman" w:hAnsi="Times New Roman" w:cs="Times New Roman"/>
          <w:color w:val="222222"/>
          <w:sz w:val="24"/>
          <w:szCs w:val="24"/>
          <w:shd w:val="clear" w:color="auto" w:fill="FFFFFF"/>
          <w:lang w:val="en-US"/>
        </w:rPr>
        <w:t xml:space="preserve"> </w:t>
      </w:r>
    </w:p>
    <w:p w14:paraId="02EECBE2" w14:textId="7144CC76" w:rsidR="00DE56CE" w:rsidRPr="00AF436D" w:rsidRDefault="00DE56CE" w:rsidP="00507EE0">
      <w:pPr>
        <w:spacing w:before="100" w:beforeAutospacing="1" w:after="100" w:afterAutospacing="1" w:line="240" w:lineRule="auto"/>
        <w:ind w:left="360"/>
        <w:jc w:val="both"/>
        <w:rPr>
          <w:rFonts w:ascii="Times New Roman" w:eastAsia="Times New Roman" w:hAnsi="Times New Roman" w:cs="Times New Roman"/>
          <w:color w:val="222222"/>
          <w:sz w:val="24"/>
          <w:szCs w:val="24"/>
          <w:shd w:val="clear" w:color="auto" w:fill="FFFFFF"/>
          <w:lang w:val="en-US"/>
        </w:rPr>
      </w:pPr>
      <w:r w:rsidRPr="00AF436D">
        <w:rPr>
          <w:rFonts w:ascii="Times New Roman" w:eastAsia="Times New Roman" w:hAnsi="Times New Roman" w:cs="Times New Roman"/>
          <w:color w:val="222222"/>
          <w:sz w:val="24"/>
          <w:szCs w:val="24"/>
          <w:shd w:val="clear" w:color="auto" w:fill="FFFFFF"/>
          <w:lang w:val="en-US"/>
        </w:rPr>
        <w:lastRenderedPageBreak/>
        <w:t xml:space="preserve">Lopez, A. M., </w:t>
      </w:r>
      <w:proofErr w:type="spellStart"/>
      <w:r w:rsidRPr="00AF436D">
        <w:rPr>
          <w:rFonts w:ascii="Times New Roman" w:eastAsia="Times New Roman" w:hAnsi="Times New Roman" w:cs="Times New Roman"/>
          <w:color w:val="222222"/>
          <w:sz w:val="24"/>
          <w:szCs w:val="24"/>
          <w:shd w:val="clear" w:color="auto" w:fill="FFFFFF"/>
          <w:lang w:val="en-US"/>
        </w:rPr>
        <w:t>Nicolini</w:t>
      </w:r>
      <w:proofErr w:type="spellEnd"/>
      <w:r w:rsidRPr="00AF436D">
        <w:rPr>
          <w:rFonts w:ascii="Times New Roman" w:eastAsia="Times New Roman" w:hAnsi="Times New Roman" w:cs="Times New Roman"/>
          <w:color w:val="222222"/>
          <w:sz w:val="24"/>
          <w:szCs w:val="24"/>
          <w:shd w:val="clear" w:color="auto" w:fill="FFFFFF"/>
          <w:lang w:val="en-US"/>
        </w:rPr>
        <w:t xml:space="preserve">, C. M., </w:t>
      </w:r>
      <w:proofErr w:type="spellStart"/>
      <w:r w:rsidRPr="00AF436D">
        <w:rPr>
          <w:rFonts w:ascii="Times New Roman" w:eastAsia="Times New Roman" w:hAnsi="Times New Roman" w:cs="Times New Roman"/>
          <w:color w:val="222222"/>
          <w:sz w:val="24"/>
          <w:szCs w:val="24"/>
          <w:shd w:val="clear" w:color="auto" w:fill="FFFFFF"/>
          <w:lang w:val="en-US"/>
        </w:rPr>
        <w:t>Aeppli</w:t>
      </w:r>
      <w:proofErr w:type="spellEnd"/>
      <w:r w:rsidRPr="00AF436D">
        <w:rPr>
          <w:rFonts w:ascii="Times New Roman" w:eastAsia="Times New Roman" w:hAnsi="Times New Roman" w:cs="Times New Roman"/>
          <w:color w:val="222222"/>
          <w:sz w:val="24"/>
          <w:szCs w:val="24"/>
          <w:shd w:val="clear" w:color="auto" w:fill="FFFFFF"/>
          <w:lang w:val="en-US"/>
        </w:rPr>
        <w:t xml:space="preserve">, M., </w:t>
      </w:r>
      <w:proofErr w:type="spellStart"/>
      <w:r w:rsidRPr="00AF436D">
        <w:rPr>
          <w:rFonts w:ascii="Times New Roman" w:eastAsia="Times New Roman" w:hAnsi="Times New Roman" w:cs="Times New Roman"/>
          <w:color w:val="222222"/>
          <w:sz w:val="24"/>
          <w:szCs w:val="24"/>
          <w:shd w:val="clear" w:color="auto" w:fill="FFFFFF"/>
          <w:lang w:val="en-US"/>
        </w:rPr>
        <w:t>Luby</w:t>
      </w:r>
      <w:proofErr w:type="spellEnd"/>
      <w:r w:rsidRPr="00AF436D">
        <w:rPr>
          <w:rFonts w:ascii="Times New Roman" w:eastAsia="Times New Roman" w:hAnsi="Times New Roman" w:cs="Times New Roman"/>
          <w:color w:val="222222"/>
          <w:sz w:val="24"/>
          <w:szCs w:val="24"/>
          <w:shd w:val="clear" w:color="auto" w:fill="FFFFFF"/>
          <w:lang w:val="en-US"/>
        </w:rPr>
        <w:t xml:space="preserve">, S. P., </w:t>
      </w:r>
      <w:proofErr w:type="spellStart"/>
      <w:r w:rsidRPr="00AF436D">
        <w:rPr>
          <w:rFonts w:ascii="Times New Roman" w:eastAsia="Times New Roman" w:hAnsi="Times New Roman" w:cs="Times New Roman"/>
          <w:color w:val="222222"/>
          <w:sz w:val="24"/>
          <w:szCs w:val="24"/>
          <w:shd w:val="clear" w:color="auto" w:fill="FFFFFF"/>
          <w:lang w:val="en-US"/>
        </w:rPr>
        <w:t>Fendorf</w:t>
      </w:r>
      <w:proofErr w:type="spellEnd"/>
      <w:r w:rsidRPr="00AF436D">
        <w:rPr>
          <w:rFonts w:ascii="Times New Roman" w:eastAsia="Times New Roman" w:hAnsi="Times New Roman" w:cs="Times New Roman"/>
          <w:color w:val="222222"/>
          <w:sz w:val="24"/>
          <w:szCs w:val="24"/>
          <w:shd w:val="clear" w:color="auto" w:fill="FFFFFF"/>
          <w:lang w:val="en-US"/>
        </w:rPr>
        <w:t xml:space="preserve">, S., &amp; Forsyth, J. E. (2022). Assessing Analytical Methods for the Rapid Detection of Lead Adulteration in the Global Spice Market. Environmental science &amp; technology, 56(23), 16996–17006. </w:t>
      </w:r>
      <w:hyperlink r:id="rId40" w:history="1">
        <w:r w:rsidRPr="00AF436D">
          <w:rPr>
            <w:rFonts w:ascii="Times New Roman" w:eastAsia="Times New Roman" w:hAnsi="Times New Roman" w:cs="Times New Roman"/>
            <w:color w:val="0000FF"/>
            <w:sz w:val="24"/>
            <w:szCs w:val="24"/>
            <w:u w:val="single"/>
            <w:shd w:val="clear" w:color="auto" w:fill="FFFFFF"/>
            <w:lang w:val="en-US"/>
          </w:rPr>
          <w:t>https://doi.org/10.1021/acs.est.2c03241</w:t>
        </w:r>
      </w:hyperlink>
      <w:r w:rsidRPr="00AF436D">
        <w:rPr>
          <w:rFonts w:ascii="Times New Roman" w:eastAsia="Times New Roman" w:hAnsi="Times New Roman" w:cs="Times New Roman"/>
          <w:color w:val="222222"/>
          <w:sz w:val="24"/>
          <w:szCs w:val="24"/>
          <w:shd w:val="clear" w:color="auto" w:fill="FFFFFF"/>
          <w:lang w:val="en-US"/>
        </w:rPr>
        <w:t xml:space="preserve"> </w:t>
      </w:r>
    </w:p>
    <w:p w14:paraId="1E103BF9" w14:textId="77777777" w:rsidR="00DE56CE" w:rsidRPr="00AF436D" w:rsidRDefault="00DE56CE" w:rsidP="00507EE0">
      <w:pPr>
        <w:spacing w:before="100" w:beforeAutospacing="1" w:after="100" w:afterAutospacing="1" w:line="240" w:lineRule="auto"/>
        <w:ind w:left="360"/>
        <w:jc w:val="both"/>
        <w:rPr>
          <w:rFonts w:ascii="Times New Roman" w:eastAsia="Times New Roman" w:hAnsi="Times New Roman" w:cs="Times New Roman"/>
          <w:color w:val="222222"/>
          <w:sz w:val="24"/>
          <w:szCs w:val="24"/>
          <w:shd w:val="clear" w:color="auto" w:fill="FFFFFF"/>
          <w:lang w:val="en-US"/>
        </w:rPr>
      </w:pPr>
      <w:r w:rsidRPr="00AF436D">
        <w:rPr>
          <w:rFonts w:ascii="Times New Roman" w:eastAsia="Times New Roman" w:hAnsi="Times New Roman" w:cs="Times New Roman"/>
          <w:color w:val="222222"/>
          <w:sz w:val="24"/>
          <w:szCs w:val="24"/>
          <w:shd w:val="clear" w:color="auto" w:fill="FFFFFF"/>
          <w:lang w:val="en-US"/>
        </w:rPr>
        <w:t xml:space="preserve">Marchant, M. J., Molina, P., </w:t>
      </w:r>
      <w:proofErr w:type="spellStart"/>
      <w:r w:rsidRPr="00AF436D">
        <w:rPr>
          <w:rFonts w:ascii="Times New Roman" w:eastAsia="Times New Roman" w:hAnsi="Times New Roman" w:cs="Times New Roman"/>
          <w:color w:val="222222"/>
          <w:sz w:val="24"/>
          <w:szCs w:val="24"/>
          <w:shd w:val="clear" w:color="auto" w:fill="FFFFFF"/>
          <w:lang w:val="en-US"/>
        </w:rPr>
        <w:t>Montecinos</w:t>
      </w:r>
      <w:proofErr w:type="spellEnd"/>
      <w:r w:rsidRPr="00AF436D">
        <w:rPr>
          <w:rFonts w:ascii="Times New Roman" w:eastAsia="Times New Roman" w:hAnsi="Times New Roman" w:cs="Times New Roman"/>
          <w:color w:val="222222"/>
          <w:sz w:val="24"/>
          <w:szCs w:val="24"/>
          <w:shd w:val="clear" w:color="auto" w:fill="FFFFFF"/>
          <w:lang w:val="en-US"/>
        </w:rPr>
        <w:t xml:space="preserve">, M., Guzmán, L., </w:t>
      </w:r>
      <w:proofErr w:type="spellStart"/>
      <w:r w:rsidRPr="00AF436D">
        <w:rPr>
          <w:rFonts w:ascii="Times New Roman" w:eastAsia="Times New Roman" w:hAnsi="Times New Roman" w:cs="Times New Roman"/>
          <w:color w:val="222222"/>
          <w:sz w:val="24"/>
          <w:szCs w:val="24"/>
          <w:shd w:val="clear" w:color="auto" w:fill="FFFFFF"/>
          <w:lang w:val="en-US"/>
        </w:rPr>
        <w:t>Balada</w:t>
      </w:r>
      <w:proofErr w:type="spellEnd"/>
      <w:r w:rsidRPr="00AF436D">
        <w:rPr>
          <w:rFonts w:ascii="Times New Roman" w:eastAsia="Times New Roman" w:hAnsi="Times New Roman" w:cs="Times New Roman"/>
          <w:color w:val="222222"/>
          <w:sz w:val="24"/>
          <w:szCs w:val="24"/>
          <w:shd w:val="clear" w:color="auto" w:fill="FFFFFF"/>
          <w:lang w:val="en-US"/>
        </w:rPr>
        <w:t xml:space="preserve">, C., </w:t>
      </w:r>
      <w:proofErr w:type="spellStart"/>
      <w:r w:rsidRPr="00AF436D">
        <w:rPr>
          <w:rFonts w:ascii="Times New Roman" w:eastAsia="Times New Roman" w:hAnsi="Times New Roman" w:cs="Times New Roman"/>
          <w:color w:val="222222"/>
          <w:sz w:val="24"/>
          <w:szCs w:val="24"/>
          <w:shd w:val="clear" w:color="auto" w:fill="FFFFFF"/>
          <w:lang w:val="en-US"/>
        </w:rPr>
        <w:t>Fassio</w:t>
      </w:r>
      <w:proofErr w:type="spellEnd"/>
      <w:r w:rsidRPr="00AF436D">
        <w:rPr>
          <w:rFonts w:ascii="Times New Roman" w:eastAsia="Times New Roman" w:hAnsi="Times New Roman" w:cs="Times New Roman"/>
          <w:color w:val="222222"/>
          <w:sz w:val="24"/>
          <w:szCs w:val="24"/>
          <w:shd w:val="clear" w:color="auto" w:fill="FFFFFF"/>
          <w:lang w:val="en-US"/>
        </w:rPr>
        <w:t xml:space="preserve">, C., &amp; Castro, M. (2021). In Vitro Propagation of Easter Island Curcuma longa from Rhizome Explants Using Temporary Immersion System. Agronomy, 11(11), 2121. </w:t>
      </w:r>
      <w:hyperlink r:id="rId41" w:history="1">
        <w:r w:rsidRPr="00AF436D">
          <w:rPr>
            <w:rFonts w:ascii="Times New Roman" w:eastAsia="Times New Roman" w:hAnsi="Times New Roman" w:cs="Times New Roman"/>
            <w:color w:val="0000FF"/>
            <w:sz w:val="24"/>
            <w:szCs w:val="24"/>
            <w:u w:val="single"/>
            <w:shd w:val="clear" w:color="auto" w:fill="FFFFFF"/>
            <w:lang w:val="en-US"/>
          </w:rPr>
          <w:t>https://doi.org/10.3390/agronomy11112121</w:t>
        </w:r>
      </w:hyperlink>
      <w:r w:rsidRPr="00AF436D">
        <w:rPr>
          <w:rFonts w:ascii="Times New Roman" w:eastAsia="Times New Roman" w:hAnsi="Times New Roman" w:cs="Times New Roman"/>
          <w:color w:val="222222"/>
          <w:sz w:val="24"/>
          <w:szCs w:val="24"/>
          <w:shd w:val="clear" w:color="auto" w:fill="FFFFFF"/>
          <w:lang w:val="en-US"/>
        </w:rPr>
        <w:t xml:space="preserve"> </w:t>
      </w:r>
    </w:p>
    <w:p w14:paraId="6FD99300" w14:textId="77777777" w:rsidR="00DE56CE" w:rsidRPr="00AF436D" w:rsidRDefault="00DE56CE" w:rsidP="00507EE0">
      <w:pPr>
        <w:spacing w:before="100" w:beforeAutospacing="1" w:after="100" w:afterAutospacing="1" w:line="240" w:lineRule="auto"/>
        <w:ind w:left="360"/>
        <w:jc w:val="both"/>
        <w:rPr>
          <w:rFonts w:ascii="Times New Roman" w:eastAsia="Times New Roman" w:hAnsi="Times New Roman" w:cs="Times New Roman"/>
          <w:color w:val="222222"/>
          <w:sz w:val="24"/>
          <w:szCs w:val="24"/>
          <w:shd w:val="clear" w:color="auto" w:fill="FFFFFF"/>
          <w:lang w:val="en-US"/>
        </w:rPr>
      </w:pPr>
      <w:r w:rsidRPr="00AF436D">
        <w:rPr>
          <w:rFonts w:ascii="Times New Roman" w:eastAsia="Times New Roman" w:hAnsi="Times New Roman" w:cs="Times New Roman"/>
          <w:color w:val="222222"/>
          <w:sz w:val="24"/>
          <w:szCs w:val="24"/>
          <w:shd w:val="clear" w:color="auto" w:fill="FFFFFF"/>
          <w:lang w:val="en-US"/>
        </w:rPr>
        <w:t xml:space="preserve">Mitra, S., Anand, U., </w:t>
      </w:r>
      <w:proofErr w:type="spellStart"/>
      <w:r w:rsidRPr="00AF436D">
        <w:rPr>
          <w:rFonts w:ascii="Times New Roman" w:eastAsia="Times New Roman" w:hAnsi="Times New Roman" w:cs="Times New Roman"/>
          <w:color w:val="222222"/>
          <w:sz w:val="24"/>
          <w:szCs w:val="24"/>
          <w:shd w:val="clear" w:color="auto" w:fill="FFFFFF"/>
          <w:lang w:val="en-US"/>
        </w:rPr>
        <w:t>Ghorai</w:t>
      </w:r>
      <w:proofErr w:type="spellEnd"/>
      <w:r w:rsidRPr="00AF436D">
        <w:rPr>
          <w:rFonts w:ascii="Times New Roman" w:eastAsia="Times New Roman" w:hAnsi="Times New Roman" w:cs="Times New Roman"/>
          <w:color w:val="222222"/>
          <w:sz w:val="24"/>
          <w:szCs w:val="24"/>
          <w:shd w:val="clear" w:color="auto" w:fill="FFFFFF"/>
          <w:lang w:val="en-US"/>
        </w:rPr>
        <w:t xml:space="preserve">, M., Kant, N., Kumar, M., Radha, Jha, N. K., Swamy, M. K., </w:t>
      </w:r>
      <w:proofErr w:type="spellStart"/>
      <w:r w:rsidRPr="00AF436D">
        <w:rPr>
          <w:rFonts w:ascii="Times New Roman" w:eastAsia="Times New Roman" w:hAnsi="Times New Roman" w:cs="Times New Roman"/>
          <w:color w:val="222222"/>
          <w:sz w:val="24"/>
          <w:szCs w:val="24"/>
          <w:shd w:val="clear" w:color="auto" w:fill="FFFFFF"/>
          <w:lang w:val="en-US"/>
        </w:rPr>
        <w:t>Proćków</w:t>
      </w:r>
      <w:proofErr w:type="spellEnd"/>
      <w:r w:rsidRPr="00AF436D">
        <w:rPr>
          <w:rFonts w:ascii="Times New Roman" w:eastAsia="Times New Roman" w:hAnsi="Times New Roman" w:cs="Times New Roman"/>
          <w:color w:val="222222"/>
          <w:sz w:val="24"/>
          <w:szCs w:val="24"/>
          <w:shd w:val="clear" w:color="auto" w:fill="FFFFFF"/>
          <w:lang w:val="en-US"/>
        </w:rPr>
        <w:t xml:space="preserve">, J., de la </w:t>
      </w:r>
      <w:proofErr w:type="spellStart"/>
      <w:r w:rsidRPr="00AF436D">
        <w:rPr>
          <w:rFonts w:ascii="Times New Roman" w:eastAsia="Times New Roman" w:hAnsi="Times New Roman" w:cs="Times New Roman"/>
          <w:color w:val="222222"/>
          <w:sz w:val="24"/>
          <w:szCs w:val="24"/>
          <w:shd w:val="clear" w:color="auto" w:fill="FFFFFF"/>
          <w:lang w:val="en-US"/>
        </w:rPr>
        <w:t>Lastra</w:t>
      </w:r>
      <w:proofErr w:type="spellEnd"/>
      <w:r w:rsidRPr="00AF436D">
        <w:rPr>
          <w:rFonts w:ascii="Times New Roman" w:eastAsia="Times New Roman" w:hAnsi="Times New Roman" w:cs="Times New Roman"/>
          <w:color w:val="222222"/>
          <w:sz w:val="24"/>
          <w:szCs w:val="24"/>
          <w:shd w:val="clear" w:color="auto" w:fill="FFFFFF"/>
          <w:lang w:val="en-US"/>
        </w:rPr>
        <w:t xml:space="preserve">, J. M. P., &amp; Dey, A. (2023). Genome editing technologies, mechanisms and improved production of therapeutic phytochemicals: Opportunities and prospects. Biotechnology and bioengineering, 120(1), 82–94. </w:t>
      </w:r>
      <w:hyperlink r:id="rId42" w:history="1">
        <w:r w:rsidRPr="00AF436D">
          <w:rPr>
            <w:rFonts w:ascii="Times New Roman" w:eastAsia="Times New Roman" w:hAnsi="Times New Roman" w:cs="Times New Roman"/>
            <w:color w:val="0000FF"/>
            <w:sz w:val="24"/>
            <w:szCs w:val="24"/>
            <w:u w:val="single"/>
            <w:shd w:val="clear" w:color="auto" w:fill="FFFFFF"/>
            <w:lang w:val="en-US"/>
          </w:rPr>
          <w:t>https://doi.org/10.1002/bit.28260</w:t>
        </w:r>
      </w:hyperlink>
      <w:r w:rsidRPr="00AF436D">
        <w:rPr>
          <w:rFonts w:ascii="Times New Roman" w:eastAsia="Times New Roman" w:hAnsi="Times New Roman" w:cs="Times New Roman"/>
          <w:color w:val="222222"/>
          <w:sz w:val="24"/>
          <w:szCs w:val="24"/>
          <w:shd w:val="clear" w:color="auto" w:fill="FFFFFF"/>
          <w:lang w:val="en-US"/>
        </w:rPr>
        <w:t xml:space="preserve"> </w:t>
      </w:r>
    </w:p>
    <w:p w14:paraId="08E96C27" w14:textId="77777777" w:rsidR="00DE56CE" w:rsidRPr="00AF436D" w:rsidRDefault="00DE56CE" w:rsidP="00507EE0">
      <w:pPr>
        <w:spacing w:before="100" w:beforeAutospacing="1" w:after="100" w:afterAutospacing="1" w:line="240" w:lineRule="auto"/>
        <w:ind w:left="360"/>
        <w:jc w:val="both"/>
        <w:rPr>
          <w:rFonts w:ascii="Times New Roman" w:eastAsia="Calibri" w:hAnsi="Times New Roman" w:cs="Times New Roman"/>
          <w:color w:val="222222"/>
          <w:sz w:val="24"/>
          <w:szCs w:val="24"/>
          <w:shd w:val="clear" w:color="auto" w:fill="FFFFFF"/>
        </w:rPr>
      </w:pPr>
      <w:r w:rsidRPr="00AF436D">
        <w:rPr>
          <w:rFonts w:ascii="Times New Roman" w:eastAsia="Calibri" w:hAnsi="Times New Roman" w:cs="Times New Roman"/>
          <w:color w:val="222222"/>
          <w:sz w:val="24"/>
          <w:szCs w:val="24"/>
          <w:shd w:val="clear" w:color="auto" w:fill="FFFFFF"/>
        </w:rPr>
        <w:t xml:space="preserve">Murthy, H. N., Yadav, G. G., </w:t>
      </w:r>
      <w:proofErr w:type="spellStart"/>
      <w:r w:rsidRPr="00AF436D">
        <w:rPr>
          <w:rFonts w:ascii="Times New Roman" w:eastAsia="Calibri" w:hAnsi="Times New Roman" w:cs="Times New Roman"/>
          <w:color w:val="222222"/>
          <w:sz w:val="24"/>
          <w:szCs w:val="24"/>
          <w:shd w:val="clear" w:color="auto" w:fill="FFFFFF"/>
        </w:rPr>
        <w:t>Paek</w:t>
      </w:r>
      <w:proofErr w:type="spellEnd"/>
      <w:r w:rsidRPr="00AF436D">
        <w:rPr>
          <w:rFonts w:ascii="Times New Roman" w:eastAsia="Calibri" w:hAnsi="Times New Roman" w:cs="Times New Roman"/>
          <w:color w:val="222222"/>
          <w:sz w:val="24"/>
          <w:szCs w:val="24"/>
          <w:shd w:val="clear" w:color="auto" w:fill="FFFFFF"/>
        </w:rPr>
        <w:t>, K. Y., &amp; Park, S. Y. (2025). Curcuminoid Production from Plant Cells and Organ Cultures for Application in Food and Pharmaceutical Industries. </w:t>
      </w:r>
      <w:r w:rsidRPr="00AF436D">
        <w:rPr>
          <w:rFonts w:ascii="Times New Roman" w:eastAsia="Calibri" w:hAnsi="Times New Roman" w:cs="Times New Roman"/>
          <w:i/>
          <w:iCs/>
          <w:color w:val="222222"/>
          <w:sz w:val="24"/>
          <w:szCs w:val="24"/>
          <w:shd w:val="clear" w:color="auto" w:fill="FFFFFF"/>
        </w:rPr>
        <w:t>Food Reviews International</w:t>
      </w:r>
      <w:r w:rsidRPr="00AF436D">
        <w:rPr>
          <w:rFonts w:ascii="Times New Roman" w:eastAsia="Calibri" w:hAnsi="Times New Roman" w:cs="Times New Roman"/>
          <w:color w:val="222222"/>
          <w:sz w:val="24"/>
          <w:szCs w:val="24"/>
          <w:shd w:val="clear" w:color="auto" w:fill="FFFFFF"/>
        </w:rPr>
        <w:t>, </w:t>
      </w:r>
      <w:r w:rsidRPr="00AF436D">
        <w:rPr>
          <w:rFonts w:ascii="Times New Roman" w:eastAsia="Calibri" w:hAnsi="Times New Roman" w:cs="Times New Roman"/>
          <w:i/>
          <w:iCs/>
          <w:color w:val="222222"/>
          <w:sz w:val="24"/>
          <w:szCs w:val="24"/>
          <w:shd w:val="clear" w:color="auto" w:fill="FFFFFF"/>
        </w:rPr>
        <w:t>41</w:t>
      </w:r>
      <w:r w:rsidRPr="00AF436D">
        <w:rPr>
          <w:rFonts w:ascii="Times New Roman" w:eastAsia="Calibri" w:hAnsi="Times New Roman" w:cs="Times New Roman"/>
          <w:color w:val="222222"/>
          <w:sz w:val="24"/>
          <w:szCs w:val="24"/>
          <w:shd w:val="clear" w:color="auto" w:fill="FFFFFF"/>
        </w:rPr>
        <w:t xml:space="preserve">(2), 399-417. </w:t>
      </w:r>
      <w:hyperlink r:id="rId43" w:history="1">
        <w:r w:rsidRPr="00AF436D">
          <w:rPr>
            <w:rFonts w:ascii="Times New Roman" w:eastAsia="Calibri" w:hAnsi="Times New Roman" w:cs="Times New Roman"/>
            <w:color w:val="0000FF"/>
            <w:sz w:val="24"/>
            <w:szCs w:val="24"/>
            <w:u w:val="single"/>
            <w:shd w:val="clear" w:color="auto" w:fill="FFFFFF"/>
          </w:rPr>
          <w:t>https://doi.org/10.1080/87559129.2024.2403521</w:t>
        </w:r>
      </w:hyperlink>
      <w:r w:rsidRPr="00AF436D">
        <w:rPr>
          <w:rFonts w:ascii="Times New Roman" w:eastAsia="Calibri" w:hAnsi="Times New Roman" w:cs="Times New Roman"/>
          <w:color w:val="222222"/>
          <w:sz w:val="24"/>
          <w:szCs w:val="24"/>
          <w:shd w:val="clear" w:color="auto" w:fill="FFFFFF"/>
        </w:rPr>
        <w:t xml:space="preserve"> </w:t>
      </w:r>
    </w:p>
    <w:p w14:paraId="7DE6BF19" w14:textId="77777777" w:rsidR="00DE56CE" w:rsidRPr="00AF436D" w:rsidRDefault="00DE56CE" w:rsidP="00507EE0">
      <w:pPr>
        <w:spacing w:before="100" w:beforeAutospacing="1" w:after="100" w:afterAutospacing="1" w:line="240" w:lineRule="auto"/>
        <w:ind w:left="360"/>
        <w:jc w:val="both"/>
        <w:rPr>
          <w:rFonts w:ascii="Times New Roman" w:eastAsia="Times New Roman" w:hAnsi="Times New Roman" w:cs="Times New Roman"/>
          <w:color w:val="222222"/>
          <w:sz w:val="24"/>
          <w:szCs w:val="24"/>
          <w:shd w:val="clear" w:color="auto" w:fill="FFFFFF"/>
          <w:lang w:val="en-US"/>
        </w:rPr>
      </w:pPr>
      <w:r w:rsidRPr="00AF436D">
        <w:rPr>
          <w:rFonts w:ascii="Times New Roman" w:eastAsia="Times New Roman" w:hAnsi="Times New Roman" w:cs="Times New Roman"/>
          <w:color w:val="222222"/>
          <w:sz w:val="24"/>
          <w:szCs w:val="24"/>
          <w:shd w:val="clear" w:color="auto" w:fill="FFFFFF"/>
          <w:lang w:val="en-US"/>
        </w:rPr>
        <w:t>Orellana-</w:t>
      </w:r>
      <w:proofErr w:type="spellStart"/>
      <w:r w:rsidRPr="00AF436D">
        <w:rPr>
          <w:rFonts w:ascii="Times New Roman" w:eastAsia="Times New Roman" w:hAnsi="Times New Roman" w:cs="Times New Roman"/>
          <w:color w:val="222222"/>
          <w:sz w:val="24"/>
          <w:szCs w:val="24"/>
          <w:shd w:val="clear" w:color="auto" w:fill="FFFFFF"/>
          <w:lang w:val="en-US"/>
        </w:rPr>
        <w:t>Paucar</w:t>
      </w:r>
      <w:proofErr w:type="spellEnd"/>
      <w:r w:rsidRPr="00AF436D">
        <w:rPr>
          <w:rFonts w:ascii="Times New Roman" w:eastAsia="Times New Roman" w:hAnsi="Times New Roman" w:cs="Times New Roman"/>
          <w:color w:val="222222"/>
          <w:sz w:val="24"/>
          <w:szCs w:val="24"/>
          <w:shd w:val="clear" w:color="auto" w:fill="FFFFFF"/>
          <w:lang w:val="en-US"/>
        </w:rPr>
        <w:t xml:space="preserve">, A. M., &amp; Machado-Orellana, M. G. (2022). Pharmacological Profile, Bioactivities, and Safety of Turmeric Oil. Molecules, 27(16), 5055. </w:t>
      </w:r>
      <w:hyperlink r:id="rId44" w:history="1">
        <w:r w:rsidRPr="00AF436D">
          <w:rPr>
            <w:rFonts w:ascii="Times New Roman" w:eastAsia="Times New Roman" w:hAnsi="Times New Roman" w:cs="Times New Roman"/>
            <w:color w:val="0000FF"/>
            <w:sz w:val="24"/>
            <w:szCs w:val="24"/>
            <w:u w:val="single"/>
            <w:shd w:val="clear" w:color="auto" w:fill="FFFFFF"/>
            <w:lang w:val="en-US"/>
          </w:rPr>
          <w:t>https://doi.org/10.3390/molecules27165055</w:t>
        </w:r>
      </w:hyperlink>
      <w:r w:rsidRPr="00AF436D">
        <w:rPr>
          <w:rFonts w:ascii="Times New Roman" w:eastAsia="Times New Roman" w:hAnsi="Times New Roman" w:cs="Times New Roman"/>
          <w:color w:val="222222"/>
          <w:sz w:val="24"/>
          <w:szCs w:val="24"/>
          <w:shd w:val="clear" w:color="auto" w:fill="FFFFFF"/>
          <w:lang w:val="en-US"/>
        </w:rPr>
        <w:t xml:space="preserve"> </w:t>
      </w:r>
    </w:p>
    <w:p w14:paraId="183E255C" w14:textId="77777777" w:rsidR="00DE56CE" w:rsidRPr="00AF436D" w:rsidRDefault="00DE56CE" w:rsidP="00507EE0">
      <w:pPr>
        <w:spacing w:before="100" w:beforeAutospacing="1" w:after="100" w:afterAutospacing="1" w:line="240" w:lineRule="auto"/>
        <w:ind w:left="360"/>
        <w:jc w:val="both"/>
        <w:rPr>
          <w:rFonts w:ascii="Times New Roman" w:eastAsia="Calibri" w:hAnsi="Times New Roman" w:cs="Times New Roman"/>
          <w:sz w:val="24"/>
          <w:szCs w:val="24"/>
        </w:rPr>
      </w:pPr>
      <w:proofErr w:type="spellStart"/>
      <w:r w:rsidRPr="00AF436D">
        <w:rPr>
          <w:rFonts w:ascii="Times New Roman" w:eastAsia="Times New Roman" w:hAnsi="Times New Roman" w:cs="Times New Roman"/>
          <w:color w:val="222222"/>
          <w:sz w:val="24"/>
          <w:szCs w:val="24"/>
          <w:shd w:val="clear" w:color="auto" w:fill="FFFFFF"/>
          <w:lang w:val="en-US"/>
        </w:rPr>
        <w:t>Pistelli</w:t>
      </w:r>
      <w:proofErr w:type="spellEnd"/>
      <w:r w:rsidRPr="00AF436D">
        <w:rPr>
          <w:rFonts w:ascii="Times New Roman" w:eastAsia="Times New Roman" w:hAnsi="Times New Roman" w:cs="Times New Roman"/>
          <w:color w:val="222222"/>
          <w:sz w:val="24"/>
          <w:szCs w:val="24"/>
          <w:shd w:val="clear" w:color="auto" w:fill="FFFFFF"/>
          <w:lang w:val="en-US"/>
        </w:rPr>
        <w:t xml:space="preserve">, L., </w:t>
      </w:r>
      <w:proofErr w:type="spellStart"/>
      <w:r w:rsidRPr="00AF436D">
        <w:rPr>
          <w:rFonts w:ascii="Times New Roman" w:eastAsia="Times New Roman" w:hAnsi="Times New Roman" w:cs="Times New Roman"/>
          <w:color w:val="222222"/>
          <w:sz w:val="24"/>
          <w:szCs w:val="24"/>
          <w:shd w:val="clear" w:color="auto" w:fill="FFFFFF"/>
          <w:lang w:val="en-US"/>
        </w:rPr>
        <w:t>Bertoli</w:t>
      </w:r>
      <w:proofErr w:type="spellEnd"/>
      <w:r w:rsidRPr="00AF436D">
        <w:rPr>
          <w:rFonts w:ascii="Times New Roman" w:eastAsia="Times New Roman" w:hAnsi="Times New Roman" w:cs="Times New Roman"/>
          <w:color w:val="222222"/>
          <w:sz w:val="24"/>
          <w:szCs w:val="24"/>
          <w:shd w:val="clear" w:color="auto" w:fill="FFFFFF"/>
          <w:lang w:val="en-US"/>
        </w:rPr>
        <w:t xml:space="preserve">, A., </w:t>
      </w:r>
      <w:proofErr w:type="spellStart"/>
      <w:r w:rsidRPr="00AF436D">
        <w:rPr>
          <w:rFonts w:ascii="Times New Roman" w:eastAsia="Times New Roman" w:hAnsi="Times New Roman" w:cs="Times New Roman"/>
          <w:color w:val="222222"/>
          <w:sz w:val="24"/>
          <w:szCs w:val="24"/>
          <w:shd w:val="clear" w:color="auto" w:fill="FFFFFF"/>
          <w:lang w:val="en-US"/>
        </w:rPr>
        <w:t>Gelli</w:t>
      </w:r>
      <w:proofErr w:type="spellEnd"/>
      <w:r w:rsidRPr="00AF436D">
        <w:rPr>
          <w:rFonts w:ascii="Times New Roman" w:eastAsia="Times New Roman" w:hAnsi="Times New Roman" w:cs="Times New Roman"/>
          <w:color w:val="222222"/>
          <w:sz w:val="24"/>
          <w:szCs w:val="24"/>
          <w:shd w:val="clear" w:color="auto" w:fill="FFFFFF"/>
          <w:lang w:val="en-US"/>
        </w:rPr>
        <w:t xml:space="preserve">, F., </w:t>
      </w:r>
      <w:proofErr w:type="spellStart"/>
      <w:r w:rsidRPr="00AF436D">
        <w:rPr>
          <w:rFonts w:ascii="Times New Roman" w:eastAsia="Times New Roman" w:hAnsi="Times New Roman" w:cs="Times New Roman"/>
          <w:color w:val="222222"/>
          <w:sz w:val="24"/>
          <w:szCs w:val="24"/>
          <w:shd w:val="clear" w:color="auto" w:fill="FFFFFF"/>
          <w:lang w:val="en-US"/>
        </w:rPr>
        <w:t>Bedini</w:t>
      </w:r>
      <w:proofErr w:type="spellEnd"/>
      <w:r w:rsidRPr="00AF436D">
        <w:rPr>
          <w:rFonts w:ascii="Times New Roman" w:eastAsia="Times New Roman" w:hAnsi="Times New Roman" w:cs="Times New Roman"/>
          <w:color w:val="222222"/>
          <w:sz w:val="24"/>
          <w:szCs w:val="24"/>
          <w:shd w:val="clear" w:color="auto" w:fill="FFFFFF"/>
          <w:lang w:val="en-US"/>
        </w:rPr>
        <w:t xml:space="preserve">, L., </w:t>
      </w:r>
      <w:proofErr w:type="spellStart"/>
      <w:r w:rsidRPr="00AF436D">
        <w:rPr>
          <w:rFonts w:ascii="Times New Roman" w:eastAsia="Times New Roman" w:hAnsi="Times New Roman" w:cs="Times New Roman"/>
          <w:color w:val="222222"/>
          <w:sz w:val="24"/>
          <w:szCs w:val="24"/>
          <w:shd w:val="clear" w:color="auto" w:fill="FFFFFF"/>
          <w:lang w:val="en-US"/>
        </w:rPr>
        <w:t>Ruffoni</w:t>
      </w:r>
      <w:proofErr w:type="spellEnd"/>
      <w:r w:rsidRPr="00AF436D">
        <w:rPr>
          <w:rFonts w:ascii="Times New Roman" w:eastAsia="Times New Roman" w:hAnsi="Times New Roman" w:cs="Times New Roman"/>
          <w:color w:val="222222"/>
          <w:sz w:val="24"/>
          <w:szCs w:val="24"/>
          <w:shd w:val="clear" w:color="auto" w:fill="FFFFFF"/>
          <w:lang w:val="en-US"/>
        </w:rPr>
        <w:t xml:space="preserve">, B., &amp; </w:t>
      </w:r>
      <w:proofErr w:type="spellStart"/>
      <w:r w:rsidRPr="00AF436D">
        <w:rPr>
          <w:rFonts w:ascii="Times New Roman" w:eastAsia="Times New Roman" w:hAnsi="Times New Roman" w:cs="Times New Roman"/>
          <w:color w:val="222222"/>
          <w:sz w:val="24"/>
          <w:szCs w:val="24"/>
          <w:shd w:val="clear" w:color="auto" w:fill="FFFFFF"/>
          <w:lang w:val="en-US"/>
        </w:rPr>
        <w:t>Pistelli</w:t>
      </w:r>
      <w:proofErr w:type="spellEnd"/>
      <w:r w:rsidRPr="00AF436D">
        <w:rPr>
          <w:rFonts w:ascii="Times New Roman" w:eastAsia="Times New Roman" w:hAnsi="Times New Roman" w:cs="Times New Roman"/>
          <w:color w:val="222222"/>
          <w:sz w:val="24"/>
          <w:szCs w:val="24"/>
          <w:shd w:val="clear" w:color="auto" w:fill="FFFFFF"/>
          <w:lang w:val="en-US"/>
        </w:rPr>
        <w:t xml:space="preserve">, L. (2012). Production of Curcuminoids in different in vitro organs of Curcuma longa. Natural product communications, 7(8), 1037–1042. </w:t>
      </w:r>
      <w:hyperlink r:id="rId45" w:history="1">
        <w:r w:rsidRPr="00AF436D">
          <w:rPr>
            <w:rFonts w:ascii="Times New Roman" w:eastAsia="Calibri" w:hAnsi="Times New Roman" w:cs="Times New Roman"/>
            <w:color w:val="0000FF"/>
            <w:sz w:val="24"/>
            <w:szCs w:val="24"/>
            <w:u w:val="single"/>
          </w:rPr>
          <w:t>https://doi.org/10.1177/1934578X1200700819</w:t>
        </w:r>
      </w:hyperlink>
      <w:r w:rsidRPr="00AF436D">
        <w:rPr>
          <w:rFonts w:ascii="Times New Roman" w:eastAsia="Calibri" w:hAnsi="Times New Roman" w:cs="Times New Roman"/>
          <w:sz w:val="24"/>
          <w:szCs w:val="24"/>
        </w:rPr>
        <w:t xml:space="preserve"> </w:t>
      </w:r>
    </w:p>
    <w:p w14:paraId="232BF6E4" w14:textId="77777777" w:rsidR="00DE56CE" w:rsidRPr="00AF436D" w:rsidRDefault="00DE56CE" w:rsidP="00507EE0">
      <w:pPr>
        <w:spacing w:before="100" w:beforeAutospacing="1" w:after="100" w:afterAutospacing="1" w:line="240" w:lineRule="auto"/>
        <w:ind w:left="360"/>
        <w:jc w:val="both"/>
        <w:rPr>
          <w:rFonts w:ascii="Times New Roman" w:eastAsia="Calibri" w:hAnsi="Times New Roman" w:cs="Times New Roman"/>
          <w:color w:val="222222"/>
          <w:sz w:val="24"/>
          <w:szCs w:val="24"/>
          <w:shd w:val="clear" w:color="auto" w:fill="FFFFFF"/>
        </w:rPr>
      </w:pPr>
      <w:proofErr w:type="spellStart"/>
      <w:r w:rsidRPr="00AF436D">
        <w:rPr>
          <w:rFonts w:ascii="Times New Roman" w:eastAsia="Calibri" w:hAnsi="Times New Roman" w:cs="Times New Roman"/>
          <w:color w:val="222222"/>
          <w:sz w:val="24"/>
          <w:szCs w:val="24"/>
          <w:shd w:val="clear" w:color="auto" w:fill="FFFFFF"/>
        </w:rPr>
        <w:t>Pittampalli</w:t>
      </w:r>
      <w:proofErr w:type="spellEnd"/>
      <w:r w:rsidRPr="00AF436D">
        <w:rPr>
          <w:rFonts w:ascii="Times New Roman" w:eastAsia="Calibri" w:hAnsi="Times New Roman" w:cs="Times New Roman"/>
          <w:color w:val="222222"/>
          <w:sz w:val="24"/>
          <w:szCs w:val="24"/>
          <w:shd w:val="clear" w:color="auto" w:fill="FFFFFF"/>
        </w:rPr>
        <w:t xml:space="preserve">, B., </w:t>
      </w:r>
      <w:proofErr w:type="spellStart"/>
      <w:r w:rsidRPr="00AF436D">
        <w:rPr>
          <w:rFonts w:ascii="Times New Roman" w:eastAsia="Calibri" w:hAnsi="Times New Roman" w:cs="Times New Roman"/>
          <w:color w:val="222222"/>
          <w:sz w:val="24"/>
          <w:szCs w:val="24"/>
          <w:shd w:val="clear" w:color="auto" w:fill="FFFFFF"/>
        </w:rPr>
        <w:t>Jogam</w:t>
      </w:r>
      <w:proofErr w:type="spellEnd"/>
      <w:r w:rsidRPr="00AF436D">
        <w:rPr>
          <w:rFonts w:ascii="Times New Roman" w:eastAsia="Calibri" w:hAnsi="Times New Roman" w:cs="Times New Roman"/>
          <w:color w:val="222222"/>
          <w:sz w:val="24"/>
          <w:szCs w:val="24"/>
          <w:shd w:val="clear" w:color="auto" w:fill="FFFFFF"/>
        </w:rPr>
        <w:t xml:space="preserve">, P., </w:t>
      </w:r>
      <w:proofErr w:type="spellStart"/>
      <w:r w:rsidRPr="00AF436D">
        <w:rPr>
          <w:rFonts w:ascii="Times New Roman" w:eastAsia="Calibri" w:hAnsi="Times New Roman" w:cs="Times New Roman"/>
          <w:color w:val="222222"/>
          <w:sz w:val="24"/>
          <w:szCs w:val="24"/>
          <w:shd w:val="clear" w:color="auto" w:fill="FFFFFF"/>
        </w:rPr>
        <w:t>Thampu</w:t>
      </w:r>
      <w:proofErr w:type="spellEnd"/>
      <w:r w:rsidRPr="00AF436D">
        <w:rPr>
          <w:rFonts w:ascii="Times New Roman" w:eastAsia="Calibri" w:hAnsi="Times New Roman" w:cs="Times New Roman"/>
          <w:color w:val="222222"/>
          <w:sz w:val="24"/>
          <w:szCs w:val="24"/>
          <w:shd w:val="clear" w:color="auto" w:fill="FFFFFF"/>
        </w:rPr>
        <w:t xml:space="preserve">, R. K., </w:t>
      </w:r>
      <w:proofErr w:type="spellStart"/>
      <w:r w:rsidRPr="00AF436D">
        <w:rPr>
          <w:rFonts w:ascii="Times New Roman" w:eastAsia="Calibri" w:hAnsi="Times New Roman" w:cs="Times New Roman"/>
          <w:color w:val="222222"/>
          <w:sz w:val="24"/>
          <w:szCs w:val="24"/>
          <w:shd w:val="clear" w:color="auto" w:fill="FFFFFF"/>
        </w:rPr>
        <w:t>Abbagani</w:t>
      </w:r>
      <w:proofErr w:type="spellEnd"/>
      <w:r w:rsidRPr="00AF436D">
        <w:rPr>
          <w:rFonts w:ascii="Times New Roman" w:eastAsia="Calibri" w:hAnsi="Times New Roman" w:cs="Times New Roman"/>
          <w:color w:val="222222"/>
          <w:sz w:val="24"/>
          <w:szCs w:val="24"/>
          <w:shd w:val="clear" w:color="auto" w:fill="FFFFFF"/>
        </w:rPr>
        <w:t xml:space="preserve">, S., &amp; </w:t>
      </w:r>
      <w:proofErr w:type="spellStart"/>
      <w:r w:rsidRPr="00AF436D">
        <w:rPr>
          <w:rFonts w:ascii="Times New Roman" w:eastAsia="Calibri" w:hAnsi="Times New Roman" w:cs="Times New Roman"/>
          <w:color w:val="222222"/>
          <w:sz w:val="24"/>
          <w:szCs w:val="24"/>
          <w:shd w:val="clear" w:color="auto" w:fill="FFFFFF"/>
        </w:rPr>
        <w:t>Peddaboina</w:t>
      </w:r>
      <w:proofErr w:type="spellEnd"/>
      <w:r w:rsidRPr="00AF436D">
        <w:rPr>
          <w:rFonts w:ascii="Times New Roman" w:eastAsia="Calibri" w:hAnsi="Times New Roman" w:cs="Times New Roman"/>
          <w:color w:val="222222"/>
          <w:sz w:val="24"/>
          <w:szCs w:val="24"/>
          <w:shd w:val="clear" w:color="auto" w:fill="FFFFFF"/>
        </w:rPr>
        <w:t>, V. (2022). High-frequency plant regeneration and genetic homogeneity assessment of regenerants by molecular markers in turmeric (</w:t>
      </w:r>
      <w:r w:rsidR="009148D5" w:rsidRPr="00AF436D">
        <w:rPr>
          <w:rFonts w:ascii="Times New Roman" w:eastAsia="Calibri" w:hAnsi="Times New Roman" w:cs="Times New Roman"/>
          <w:i/>
          <w:color w:val="222222"/>
          <w:sz w:val="24"/>
          <w:szCs w:val="24"/>
          <w:shd w:val="clear" w:color="auto" w:fill="FFFFFF"/>
        </w:rPr>
        <w:t>Curcuma longa</w:t>
      </w:r>
      <w:r w:rsidRPr="00AF436D">
        <w:rPr>
          <w:rFonts w:ascii="Times New Roman" w:eastAsia="Calibri" w:hAnsi="Times New Roman" w:cs="Times New Roman"/>
          <w:color w:val="222222"/>
          <w:sz w:val="24"/>
          <w:szCs w:val="24"/>
          <w:shd w:val="clear" w:color="auto" w:fill="FFFFFF"/>
        </w:rPr>
        <w:t xml:space="preserve"> L.). </w:t>
      </w:r>
      <w:r w:rsidRPr="00AF436D">
        <w:rPr>
          <w:rFonts w:ascii="Times New Roman" w:eastAsia="Calibri" w:hAnsi="Times New Roman" w:cs="Times New Roman"/>
          <w:i/>
          <w:iCs/>
          <w:color w:val="222222"/>
          <w:sz w:val="24"/>
          <w:szCs w:val="24"/>
          <w:shd w:val="clear" w:color="auto" w:fill="FFFFFF"/>
        </w:rPr>
        <w:t>In Vitro Cellular &amp; Developmental Biology-Plant</w:t>
      </w:r>
      <w:r w:rsidRPr="00AF436D">
        <w:rPr>
          <w:rFonts w:ascii="Times New Roman" w:eastAsia="Calibri" w:hAnsi="Times New Roman" w:cs="Times New Roman"/>
          <w:color w:val="222222"/>
          <w:sz w:val="24"/>
          <w:szCs w:val="24"/>
          <w:shd w:val="clear" w:color="auto" w:fill="FFFFFF"/>
        </w:rPr>
        <w:t>, </w:t>
      </w:r>
      <w:r w:rsidRPr="00AF436D">
        <w:rPr>
          <w:rFonts w:ascii="Times New Roman" w:eastAsia="Calibri" w:hAnsi="Times New Roman" w:cs="Times New Roman"/>
          <w:i/>
          <w:iCs/>
          <w:color w:val="222222"/>
          <w:sz w:val="24"/>
          <w:szCs w:val="24"/>
          <w:shd w:val="clear" w:color="auto" w:fill="FFFFFF"/>
        </w:rPr>
        <w:t>58</w:t>
      </w:r>
      <w:r w:rsidRPr="00AF436D">
        <w:rPr>
          <w:rFonts w:ascii="Times New Roman" w:eastAsia="Calibri" w:hAnsi="Times New Roman" w:cs="Times New Roman"/>
          <w:color w:val="222222"/>
          <w:sz w:val="24"/>
          <w:szCs w:val="24"/>
          <w:shd w:val="clear" w:color="auto" w:fill="FFFFFF"/>
        </w:rPr>
        <w:t xml:space="preserve">(1), 169-180. </w:t>
      </w:r>
      <w:hyperlink r:id="rId46" w:history="1">
        <w:r w:rsidRPr="00AF436D">
          <w:rPr>
            <w:rFonts w:ascii="Times New Roman" w:eastAsia="Calibri" w:hAnsi="Times New Roman" w:cs="Times New Roman"/>
            <w:color w:val="0000FF"/>
            <w:sz w:val="24"/>
            <w:szCs w:val="24"/>
            <w:u w:val="single"/>
            <w:shd w:val="clear" w:color="auto" w:fill="FFFFFF"/>
          </w:rPr>
          <w:t>https://doi.org/10.1007/s11627-021-10226-9</w:t>
        </w:r>
      </w:hyperlink>
      <w:r w:rsidRPr="00AF436D">
        <w:rPr>
          <w:rFonts w:ascii="Times New Roman" w:eastAsia="Calibri" w:hAnsi="Times New Roman" w:cs="Times New Roman"/>
          <w:color w:val="222222"/>
          <w:sz w:val="24"/>
          <w:szCs w:val="24"/>
          <w:shd w:val="clear" w:color="auto" w:fill="FFFFFF"/>
        </w:rPr>
        <w:t xml:space="preserve"> </w:t>
      </w:r>
    </w:p>
    <w:p w14:paraId="68AB52B5" w14:textId="77777777" w:rsidR="00DE56CE" w:rsidRPr="00AF436D" w:rsidRDefault="00DE56CE" w:rsidP="00507EE0">
      <w:pPr>
        <w:spacing w:before="100" w:beforeAutospacing="1" w:after="100" w:afterAutospacing="1" w:line="240" w:lineRule="auto"/>
        <w:ind w:left="360"/>
        <w:jc w:val="both"/>
        <w:rPr>
          <w:rFonts w:ascii="Times New Roman" w:eastAsia="Times New Roman" w:hAnsi="Times New Roman" w:cs="Times New Roman"/>
          <w:color w:val="222222"/>
          <w:sz w:val="24"/>
          <w:szCs w:val="24"/>
          <w:shd w:val="clear" w:color="auto" w:fill="FFFFFF"/>
          <w:lang w:val="en-US"/>
        </w:rPr>
      </w:pPr>
      <w:proofErr w:type="spellStart"/>
      <w:r w:rsidRPr="00AF436D">
        <w:rPr>
          <w:rFonts w:ascii="Times New Roman" w:eastAsia="Times New Roman" w:hAnsi="Times New Roman" w:cs="Times New Roman"/>
          <w:color w:val="222222"/>
          <w:sz w:val="24"/>
          <w:szCs w:val="24"/>
          <w:shd w:val="clear" w:color="auto" w:fill="FFFFFF"/>
          <w:lang w:val="en-US"/>
        </w:rPr>
        <w:t>Quirós-Fallas</w:t>
      </w:r>
      <w:proofErr w:type="spellEnd"/>
      <w:r w:rsidRPr="00AF436D">
        <w:rPr>
          <w:rFonts w:ascii="Times New Roman" w:eastAsia="Times New Roman" w:hAnsi="Times New Roman" w:cs="Times New Roman"/>
          <w:color w:val="222222"/>
          <w:sz w:val="24"/>
          <w:szCs w:val="24"/>
          <w:shd w:val="clear" w:color="auto" w:fill="FFFFFF"/>
          <w:lang w:val="en-US"/>
        </w:rPr>
        <w:t xml:space="preserve">, M. I., Vargas-Huertas, F., Quesada-Mora, S., </w:t>
      </w:r>
      <w:proofErr w:type="spellStart"/>
      <w:r w:rsidRPr="00AF436D">
        <w:rPr>
          <w:rFonts w:ascii="Times New Roman" w:eastAsia="Times New Roman" w:hAnsi="Times New Roman" w:cs="Times New Roman"/>
          <w:color w:val="222222"/>
          <w:sz w:val="24"/>
          <w:szCs w:val="24"/>
          <w:shd w:val="clear" w:color="auto" w:fill="FFFFFF"/>
          <w:lang w:val="en-US"/>
        </w:rPr>
        <w:t>Azofeifa</w:t>
      </w:r>
      <w:proofErr w:type="spellEnd"/>
      <w:r w:rsidRPr="00AF436D">
        <w:rPr>
          <w:rFonts w:ascii="Times New Roman" w:eastAsia="Times New Roman" w:hAnsi="Times New Roman" w:cs="Times New Roman"/>
          <w:color w:val="222222"/>
          <w:sz w:val="24"/>
          <w:szCs w:val="24"/>
          <w:shd w:val="clear" w:color="auto" w:fill="FFFFFF"/>
          <w:lang w:val="en-US"/>
        </w:rPr>
        <w:t>-Cordero, G., Wilhelm-Romero, K., Vásquez-Castro, F., Alvarado-Corella, D., Sánchez-</w:t>
      </w:r>
      <w:proofErr w:type="spellStart"/>
      <w:r w:rsidRPr="00AF436D">
        <w:rPr>
          <w:rFonts w:ascii="Times New Roman" w:eastAsia="Times New Roman" w:hAnsi="Times New Roman" w:cs="Times New Roman"/>
          <w:color w:val="222222"/>
          <w:sz w:val="24"/>
          <w:szCs w:val="24"/>
          <w:shd w:val="clear" w:color="auto" w:fill="FFFFFF"/>
          <w:lang w:val="en-US"/>
        </w:rPr>
        <w:t>Kopper</w:t>
      </w:r>
      <w:proofErr w:type="spellEnd"/>
      <w:r w:rsidRPr="00AF436D">
        <w:rPr>
          <w:rFonts w:ascii="Times New Roman" w:eastAsia="Times New Roman" w:hAnsi="Times New Roman" w:cs="Times New Roman"/>
          <w:color w:val="222222"/>
          <w:sz w:val="24"/>
          <w:szCs w:val="24"/>
          <w:shd w:val="clear" w:color="auto" w:fill="FFFFFF"/>
          <w:lang w:val="en-US"/>
        </w:rPr>
        <w:t>, A., &amp; Navarro-</w:t>
      </w:r>
      <w:proofErr w:type="spellStart"/>
      <w:r w:rsidRPr="00AF436D">
        <w:rPr>
          <w:rFonts w:ascii="Times New Roman" w:eastAsia="Times New Roman" w:hAnsi="Times New Roman" w:cs="Times New Roman"/>
          <w:color w:val="222222"/>
          <w:sz w:val="24"/>
          <w:szCs w:val="24"/>
          <w:shd w:val="clear" w:color="auto" w:fill="FFFFFF"/>
          <w:lang w:val="en-US"/>
        </w:rPr>
        <w:t>Hoyos</w:t>
      </w:r>
      <w:proofErr w:type="spellEnd"/>
      <w:r w:rsidRPr="00AF436D">
        <w:rPr>
          <w:rFonts w:ascii="Times New Roman" w:eastAsia="Times New Roman" w:hAnsi="Times New Roman" w:cs="Times New Roman"/>
          <w:color w:val="222222"/>
          <w:sz w:val="24"/>
          <w:szCs w:val="24"/>
          <w:shd w:val="clear" w:color="auto" w:fill="FFFFFF"/>
          <w:lang w:val="en-US"/>
        </w:rPr>
        <w:t xml:space="preserve">, M. (2022). Polyphenolic HRMS Characterization, Contents and Antioxidant Activity of Curcuma longa Rhizomes from Costa Rica. Antioxidants, 11(4), 620. </w:t>
      </w:r>
      <w:hyperlink r:id="rId47" w:history="1">
        <w:r w:rsidRPr="00AF436D">
          <w:rPr>
            <w:rFonts w:ascii="Times New Roman" w:eastAsia="Times New Roman" w:hAnsi="Times New Roman" w:cs="Times New Roman"/>
            <w:color w:val="0000FF"/>
            <w:sz w:val="24"/>
            <w:szCs w:val="24"/>
            <w:u w:val="single"/>
            <w:shd w:val="clear" w:color="auto" w:fill="FFFFFF"/>
            <w:lang w:val="en-US"/>
          </w:rPr>
          <w:t>https://doi.org/10.3390/antiox11040620</w:t>
        </w:r>
      </w:hyperlink>
      <w:r w:rsidRPr="00AF436D">
        <w:rPr>
          <w:rFonts w:ascii="Times New Roman" w:eastAsia="Times New Roman" w:hAnsi="Times New Roman" w:cs="Times New Roman"/>
          <w:color w:val="222222"/>
          <w:sz w:val="24"/>
          <w:szCs w:val="24"/>
          <w:shd w:val="clear" w:color="auto" w:fill="FFFFFF"/>
          <w:lang w:val="en-US"/>
        </w:rPr>
        <w:t xml:space="preserve"> </w:t>
      </w:r>
    </w:p>
    <w:p w14:paraId="0F90C758" w14:textId="28030888" w:rsidR="00DE56CE" w:rsidRPr="008E560A" w:rsidRDefault="002A4FCE" w:rsidP="00507EE0">
      <w:pPr>
        <w:spacing w:before="100" w:beforeAutospacing="1" w:after="100" w:afterAutospacing="1" w:line="240" w:lineRule="auto"/>
        <w:ind w:left="360"/>
        <w:jc w:val="both"/>
        <w:rPr>
          <w:rFonts w:ascii="Times New Roman" w:eastAsia="Calibri" w:hAnsi="Times New Roman" w:cs="Times New Roman"/>
          <w:color w:val="222222"/>
          <w:sz w:val="24"/>
          <w:szCs w:val="24"/>
          <w:shd w:val="clear" w:color="auto" w:fill="FFFFFF"/>
        </w:rPr>
      </w:pPr>
      <w:r w:rsidRPr="002A4FCE">
        <w:rPr>
          <w:rFonts w:ascii="Times New Roman" w:eastAsia="Calibri" w:hAnsi="Times New Roman" w:cs="Times New Roman"/>
          <w:color w:val="222222"/>
          <w:sz w:val="24"/>
          <w:szCs w:val="24"/>
          <w:shd w:val="clear" w:color="auto" w:fill="FFFFFF"/>
        </w:rPr>
        <w:t xml:space="preserve">Raju, C. S., Aslam, A., &amp; </w:t>
      </w:r>
      <w:proofErr w:type="spellStart"/>
      <w:r w:rsidRPr="002A4FCE">
        <w:rPr>
          <w:rFonts w:ascii="Times New Roman" w:eastAsia="Calibri" w:hAnsi="Times New Roman" w:cs="Times New Roman"/>
          <w:color w:val="222222"/>
          <w:sz w:val="24"/>
          <w:szCs w:val="24"/>
          <w:shd w:val="clear" w:color="auto" w:fill="FFFFFF"/>
        </w:rPr>
        <w:t>Shajahan</w:t>
      </w:r>
      <w:proofErr w:type="spellEnd"/>
      <w:r w:rsidRPr="002A4FCE">
        <w:rPr>
          <w:rFonts w:ascii="Times New Roman" w:eastAsia="Calibri" w:hAnsi="Times New Roman" w:cs="Times New Roman"/>
          <w:color w:val="222222"/>
          <w:sz w:val="24"/>
          <w:szCs w:val="24"/>
          <w:shd w:val="clear" w:color="auto" w:fill="FFFFFF"/>
        </w:rPr>
        <w:t xml:space="preserve">, A. (2015). High-efficiency direct somatic embryogenesis and plant regeneration from leaf base explants of turmeric (Curcuma longa L.). Plant Cell, Tissue and Organ Culture (PCTOC), 122(1), 79-87. </w:t>
      </w:r>
      <w:hyperlink r:id="rId48" w:history="1">
        <w:r w:rsidRPr="008E6228">
          <w:rPr>
            <w:rStyle w:val="Hyperlink"/>
            <w:rFonts w:ascii="Times New Roman" w:eastAsia="Calibri" w:hAnsi="Times New Roman" w:cs="Times New Roman"/>
            <w:sz w:val="24"/>
            <w:szCs w:val="24"/>
            <w:shd w:val="clear" w:color="auto" w:fill="FFFFFF"/>
          </w:rPr>
          <w:t>https://doi.org/10.1007/s11240-015-0751-1</w:t>
        </w:r>
      </w:hyperlink>
      <w:r>
        <w:rPr>
          <w:rFonts w:ascii="Times New Roman" w:eastAsia="Calibri" w:hAnsi="Times New Roman" w:cs="Times New Roman"/>
          <w:color w:val="222222"/>
          <w:sz w:val="24"/>
          <w:szCs w:val="24"/>
          <w:shd w:val="clear" w:color="auto" w:fill="FFFFFF"/>
        </w:rPr>
        <w:t xml:space="preserve"> </w:t>
      </w:r>
      <w:r w:rsidR="00DE56CE" w:rsidRPr="008E560A">
        <w:rPr>
          <w:rFonts w:ascii="Times New Roman" w:eastAsia="Calibri" w:hAnsi="Times New Roman" w:cs="Times New Roman"/>
          <w:color w:val="222222"/>
          <w:sz w:val="24"/>
          <w:szCs w:val="24"/>
          <w:shd w:val="clear" w:color="auto" w:fill="FFFFFF"/>
        </w:rPr>
        <w:t>.</w:t>
      </w:r>
    </w:p>
    <w:p w14:paraId="403C296D" w14:textId="77777777" w:rsidR="00DE56CE" w:rsidRPr="008E560A" w:rsidRDefault="00DE56CE" w:rsidP="00507EE0">
      <w:pPr>
        <w:spacing w:before="100" w:beforeAutospacing="1" w:after="100" w:afterAutospacing="1" w:line="240" w:lineRule="auto"/>
        <w:ind w:left="360"/>
        <w:jc w:val="both"/>
        <w:rPr>
          <w:rFonts w:ascii="Times New Roman" w:eastAsia="Calibri" w:hAnsi="Times New Roman" w:cs="Times New Roman"/>
          <w:color w:val="222222"/>
          <w:sz w:val="24"/>
          <w:szCs w:val="24"/>
          <w:shd w:val="clear" w:color="auto" w:fill="FFFFFF"/>
        </w:rPr>
      </w:pPr>
      <w:r w:rsidRPr="008E560A">
        <w:rPr>
          <w:rFonts w:ascii="Times New Roman" w:eastAsia="Calibri" w:hAnsi="Times New Roman" w:cs="Times New Roman"/>
          <w:color w:val="222222"/>
          <w:sz w:val="24"/>
          <w:szCs w:val="24"/>
          <w:shd w:val="clear" w:color="auto" w:fill="FFFFFF"/>
        </w:rPr>
        <w:t xml:space="preserve">Rani, M., Miah, M. A. H., Hasan, M. T., Rashid, M. H. O., Yasmin, S., &amp; Haque, M. S. (2024). Clonal propagation of turmeric (Curcuma longa) and confirmation of genetic fidelity of the </w:t>
      </w:r>
      <w:proofErr w:type="spellStart"/>
      <w:r w:rsidRPr="008E560A">
        <w:rPr>
          <w:rFonts w:ascii="Times New Roman" w:eastAsia="Calibri" w:hAnsi="Times New Roman" w:cs="Times New Roman"/>
          <w:color w:val="222222"/>
          <w:sz w:val="24"/>
          <w:szCs w:val="24"/>
          <w:shd w:val="clear" w:color="auto" w:fill="FFFFFF"/>
        </w:rPr>
        <w:t>micropropagated</w:t>
      </w:r>
      <w:proofErr w:type="spellEnd"/>
      <w:r w:rsidRPr="008E560A">
        <w:rPr>
          <w:rFonts w:ascii="Times New Roman" w:eastAsia="Calibri" w:hAnsi="Times New Roman" w:cs="Times New Roman"/>
          <w:color w:val="222222"/>
          <w:sz w:val="24"/>
          <w:szCs w:val="24"/>
          <w:shd w:val="clear" w:color="auto" w:fill="FFFFFF"/>
        </w:rPr>
        <w:t xml:space="preserve"> shoots by RAPD markers. </w:t>
      </w:r>
      <w:r w:rsidRPr="008E560A">
        <w:rPr>
          <w:rFonts w:ascii="Times New Roman" w:eastAsia="Calibri" w:hAnsi="Times New Roman" w:cs="Times New Roman"/>
          <w:i/>
          <w:iCs/>
          <w:color w:val="222222"/>
          <w:sz w:val="24"/>
          <w:szCs w:val="24"/>
          <w:shd w:val="clear" w:color="auto" w:fill="FFFFFF"/>
        </w:rPr>
        <w:t>Plant Tissue Culture and Biotechnology</w:t>
      </w:r>
      <w:r w:rsidRPr="008E560A">
        <w:rPr>
          <w:rFonts w:ascii="Times New Roman" w:eastAsia="Calibri" w:hAnsi="Times New Roman" w:cs="Times New Roman"/>
          <w:color w:val="222222"/>
          <w:sz w:val="24"/>
          <w:szCs w:val="24"/>
          <w:shd w:val="clear" w:color="auto" w:fill="FFFFFF"/>
        </w:rPr>
        <w:t>, </w:t>
      </w:r>
      <w:r w:rsidRPr="008E560A">
        <w:rPr>
          <w:rFonts w:ascii="Times New Roman" w:eastAsia="Calibri" w:hAnsi="Times New Roman" w:cs="Times New Roman"/>
          <w:i/>
          <w:iCs/>
          <w:color w:val="222222"/>
          <w:sz w:val="24"/>
          <w:szCs w:val="24"/>
          <w:shd w:val="clear" w:color="auto" w:fill="FFFFFF"/>
        </w:rPr>
        <w:t>34</w:t>
      </w:r>
      <w:r w:rsidRPr="008E560A">
        <w:rPr>
          <w:rFonts w:ascii="Times New Roman" w:eastAsia="Calibri" w:hAnsi="Times New Roman" w:cs="Times New Roman"/>
          <w:color w:val="222222"/>
          <w:sz w:val="24"/>
          <w:szCs w:val="24"/>
          <w:shd w:val="clear" w:color="auto" w:fill="FFFFFF"/>
        </w:rPr>
        <w:t xml:space="preserve">(1), 55-69. </w:t>
      </w:r>
      <w:hyperlink r:id="rId49" w:history="1">
        <w:r w:rsidRPr="008E560A">
          <w:rPr>
            <w:rFonts w:ascii="Times New Roman" w:eastAsia="Calibri" w:hAnsi="Times New Roman" w:cs="Times New Roman"/>
            <w:color w:val="0000FF"/>
            <w:sz w:val="24"/>
            <w:szCs w:val="24"/>
            <w:u w:val="single"/>
            <w:shd w:val="clear" w:color="auto" w:fill="FFFFFF"/>
          </w:rPr>
          <w:t>https://doi.org/10.3329/ptcb.v34i1.74349</w:t>
        </w:r>
      </w:hyperlink>
      <w:r w:rsidRPr="008E560A">
        <w:rPr>
          <w:rFonts w:ascii="Times New Roman" w:eastAsia="Calibri" w:hAnsi="Times New Roman" w:cs="Times New Roman"/>
          <w:color w:val="222222"/>
          <w:sz w:val="24"/>
          <w:szCs w:val="24"/>
          <w:shd w:val="clear" w:color="auto" w:fill="FFFFFF"/>
        </w:rPr>
        <w:t xml:space="preserve"> </w:t>
      </w:r>
    </w:p>
    <w:p w14:paraId="5F0E05C0" w14:textId="77777777" w:rsidR="00DE56CE" w:rsidRPr="008E560A" w:rsidRDefault="00DE56CE" w:rsidP="00507EE0">
      <w:pPr>
        <w:spacing w:before="100" w:beforeAutospacing="1" w:after="100" w:afterAutospacing="1" w:line="240" w:lineRule="auto"/>
        <w:ind w:left="360"/>
        <w:jc w:val="both"/>
        <w:rPr>
          <w:rFonts w:ascii="Times New Roman" w:eastAsia="Calibri" w:hAnsi="Times New Roman" w:cs="Times New Roman"/>
          <w:color w:val="222222"/>
          <w:sz w:val="24"/>
          <w:szCs w:val="24"/>
          <w:shd w:val="clear" w:color="auto" w:fill="FFFFFF"/>
        </w:rPr>
      </w:pPr>
      <w:r w:rsidRPr="008E560A">
        <w:rPr>
          <w:rFonts w:ascii="Times New Roman" w:eastAsia="Calibri" w:hAnsi="Times New Roman" w:cs="Times New Roman"/>
          <w:color w:val="222222"/>
          <w:sz w:val="24"/>
          <w:szCs w:val="24"/>
          <w:shd w:val="clear" w:color="auto" w:fill="FFFFFF"/>
        </w:rPr>
        <w:lastRenderedPageBreak/>
        <w:t xml:space="preserve">Rodrigues, J. L., Gomes, D., &amp; Rodrigues, L. R. (2020). A Combinatorial Approach to Optimize the Production of Curcuminoids From Tyrosine in Escherichia coli. Frontiers in bioengineering and biotechnology, 8, 59. </w:t>
      </w:r>
      <w:hyperlink r:id="rId50" w:history="1">
        <w:r w:rsidRPr="008E560A">
          <w:rPr>
            <w:rFonts w:ascii="Times New Roman" w:eastAsia="Calibri" w:hAnsi="Times New Roman" w:cs="Times New Roman"/>
            <w:color w:val="0000FF"/>
            <w:sz w:val="24"/>
            <w:szCs w:val="24"/>
            <w:u w:val="single"/>
            <w:shd w:val="clear" w:color="auto" w:fill="FFFFFF"/>
          </w:rPr>
          <w:t>https://doi.org/10.3389/fbioe.2020.00059</w:t>
        </w:r>
      </w:hyperlink>
      <w:r w:rsidRPr="008E560A">
        <w:rPr>
          <w:rFonts w:ascii="Times New Roman" w:eastAsia="Calibri" w:hAnsi="Times New Roman" w:cs="Times New Roman"/>
          <w:color w:val="222222"/>
          <w:sz w:val="24"/>
          <w:szCs w:val="24"/>
          <w:shd w:val="clear" w:color="auto" w:fill="FFFFFF"/>
        </w:rPr>
        <w:t xml:space="preserve"> </w:t>
      </w:r>
    </w:p>
    <w:p w14:paraId="37FF77B5" w14:textId="77777777" w:rsidR="00DE56CE" w:rsidRPr="008E560A" w:rsidRDefault="00DE56CE" w:rsidP="00507EE0">
      <w:pPr>
        <w:spacing w:before="100" w:beforeAutospacing="1" w:after="100" w:afterAutospacing="1" w:line="240" w:lineRule="auto"/>
        <w:ind w:left="360"/>
        <w:jc w:val="both"/>
        <w:rPr>
          <w:rFonts w:ascii="Times New Roman" w:eastAsia="Calibri" w:hAnsi="Times New Roman" w:cs="Times New Roman"/>
          <w:color w:val="222222"/>
          <w:sz w:val="24"/>
          <w:szCs w:val="24"/>
          <w:shd w:val="clear" w:color="auto" w:fill="FFFFFF"/>
        </w:rPr>
      </w:pPr>
      <w:r w:rsidRPr="008E560A">
        <w:rPr>
          <w:rFonts w:ascii="Times New Roman" w:eastAsia="Calibri" w:hAnsi="Times New Roman" w:cs="Times New Roman"/>
          <w:color w:val="222222"/>
          <w:sz w:val="24"/>
          <w:szCs w:val="24"/>
          <w:shd w:val="clear" w:color="auto" w:fill="FFFFFF"/>
        </w:rPr>
        <w:t>Salem, M. A., El-</w:t>
      </w:r>
      <w:proofErr w:type="spellStart"/>
      <w:r w:rsidRPr="008E560A">
        <w:rPr>
          <w:rFonts w:ascii="Times New Roman" w:eastAsia="Calibri" w:hAnsi="Times New Roman" w:cs="Times New Roman"/>
          <w:color w:val="222222"/>
          <w:sz w:val="24"/>
          <w:szCs w:val="24"/>
          <w:shd w:val="clear" w:color="auto" w:fill="FFFFFF"/>
        </w:rPr>
        <w:t>Shiekh</w:t>
      </w:r>
      <w:proofErr w:type="spellEnd"/>
      <w:r w:rsidRPr="008E560A">
        <w:rPr>
          <w:rFonts w:ascii="Times New Roman" w:eastAsia="Calibri" w:hAnsi="Times New Roman" w:cs="Times New Roman"/>
          <w:color w:val="222222"/>
          <w:sz w:val="24"/>
          <w:szCs w:val="24"/>
          <w:shd w:val="clear" w:color="auto" w:fill="FFFFFF"/>
        </w:rPr>
        <w:t xml:space="preserve">, R. A., </w:t>
      </w:r>
      <w:proofErr w:type="spellStart"/>
      <w:r w:rsidRPr="008E560A">
        <w:rPr>
          <w:rFonts w:ascii="Times New Roman" w:eastAsia="Calibri" w:hAnsi="Times New Roman" w:cs="Times New Roman"/>
          <w:color w:val="222222"/>
          <w:sz w:val="24"/>
          <w:szCs w:val="24"/>
          <w:shd w:val="clear" w:color="auto" w:fill="FFFFFF"/>
        </w:rPr>
        <w:t>Fernie</w:t>
      </w:r>
      <w:proofErr w:type="spellEnd"/>
      <w:r w:rsidRPr="008E560A">
        <w:rPr>
          <w:rFonts w:ascii="Times New Roman" w:eastAsia="Calibri" w:hAnsi="Times New Roman" w:cs="Times New Roman"/>
          <w:color w:val="222222"/>
          <w:sz w:val="24"/>
          <w:szCs w:val="24"/>
          <w:shd w:val="clear" w:color="auto" w:fill="FFFFFF"/>
        </w:rPr>
        <w:t xml:space="preserve">, A. R., </w:t>
      </w:r>
      <w:proofErr w:type="spellStart"/>
      <w:r w:rsidRPr="008E560A">
        <w:rPr>
          <w:rFonts w:ascii="Times New Roman" w:eastAsia="Calibri" w:hAnsi="Times New Roman" w:cs="Times New Roman"/>
          <w:color w:val="222222"/>
          <w:sz w:val="24"/>
          <w:szCs w:val="24"/>
          <w:shd w:val="clear" w:color="auto" w:fill="FFFFFF"/>
        </w:rPr>
        <w:t>Alseekh</w:t>
      </w:r>
      <w:proofErr w:type="spellEnd"/>
      <w:r w:rsidRPr="008E560A">
        <w:rPr>
          <w:rFonts w:ascii="Times New Roman" w:eastAsia="Calibri" w:hAnsi="Times New Roman" w:cs="Times New Roman"/>
          <w:color w:val="222222"/>
          <w:sz w:val="24"/>
          <w:szCs w:val="24"/>
          <w:shd w:val="clear" w:color="auto" w:fill="FFFFFF"/>
        </w:rPr>
        <w:t>, S., &amp; Zayed, A. (2022). Metabolomics-based profiling for quality assessment and revealing the impact of drying of Turmeric (</w:t>
      </w:r>
      <w:r w:rsidR="009148D5" w:rsidRPr="008E560A">
        <w:rPr>
          <w:rFonts w:ascii="Times New Roman" w:eastAsia="Calibri" w:hAnsi="Times New Roman" w:cs="Times New Roman"/>
          <w:i/>
          <w:color w:val="222222"/>
          <w:sz w:val="24"/>
          <w:szCs w:val="24"/>
          <w:shd w:val="clear" w:color="auto" w:fill="FFFFFF"/>
        </w:rPr>
        <w:t>Curcuma longa</w:t>
      </w:r>
      <w:r w:rsidRPr="008E560A">
        <w:rPr>
          <w:rFonts w:ascii="Times New Roman" w:eastAsia="Calibri" w:hAnsi="Times New Roman" w:cs="Times New Roman"/>
          <w:color w:val="222222"/>
          <w:sz w:val="24"/>
          <w:szCs w:val="24"/>
          <w:shd w:val="clear" w:color="auto" w:fill="FFFFFF"/>
        </w:rPr>
        <w:t xml:space="preserve"> L.). Scientific reports, 12(1), 10288. </w:t>
      </w:r>
      <w:hyperlink r:id="rId51" w:history="1">
        <w:r w:rsidRPr="008E560A">
          <w:rPr>
            <w:rFonts w:ascii="Times New Roman" w:eastAsia="Calibri" w:hAnsi="Times New Roman" w:cs="Times New Roman"/>
            <w:color w:val="0000FF"/>
            <w:sz w:val="24"/>
            <w:szCs w:val="24"/>
            <w:u w:val="single"/>
            <w:shd w:val="clear" w:color="auto" w:fill="FFFFFF"/>
          </w:rPr>
          <w:t>https://doi.org/10.1038/s41598-022-13882-y</w:t>
        </w:r>
      </w:hyperlink>
      <w:r w:rsidRPr="008E560A">
        <w:rPr>
          <w:rFonts w:ascii="Times New Roman" w:eastAsia="Calibri" w:hAnsi="Times New Roman" w:cs="Times New Roman"/>
          <w:color w:val="222222"/>
          <w:sz w:val="24"/>
          <w:szCs w:val="24"/>
          <w:shd w:val="clear" w:color="auto" w:fill="FFFFFF"/>
        </w:rPr>
        <w:t xml:space="preserve"> </w:t>
      </w:r>
    </w:p>
    <w:p w14:paraId="5EA0363D" w14:textId="77777777" w:rsidR="00DE56CE" w:rsidRPr="008E560A" w:rsidRDefault="00DE56CE" w:rsidP="00507EE0">
      <w:pPr>
        <w:spacing w:before="100" w:beforeAutospacing="1" w:after="100" w:afterAutospacing="1" w:line="240" w:lineRule="auto"/>
        <w:ind w:left="360"/>
        <w:jc w:val="both"/>
        <w:rPr>
          <w:rFonts w:ascii="Times New Roman" w:eastAsia="Calibri" w:hAnsi="Times New Roman" w:cs="Times New Roman"/>
          <w:color w:val="222222"/>
          <w:sz w:val="24"/>
          <w:szCs w:val="24"/>
          <w:shd w:val="clear" w:color="auto" w:fill="FFFFFF"/>
        </w:rPr>
      </w:pPr>
      <w:r w:rsidRPr="008E560A">
        <w:rPr>
          <w:rFonts w:ascii="Times New Roman" w:eastAsia="Calibri" w:hAnsi="Times New Roman" w:cs="Times New Roman"/>
          <w:color w:val="222222"/>
          <w:sz w:val="24"/>
          <w:szCs w:val="24"/>
          <w:shd w:val="clear" w:color="auto" w:fill="FFFFFF"/>
        </w:rPr>
        <w:t xml:space="preserve">Salvi, N. D., George, L., &amp; </w:t>
      </w:r>
      <w:proofErr w:type="spellStart"/>
      <w:r w:rsidRPr="008E560A">
        <w:rPr>
          <w:rFonts w:ascii="Times New Roman" w:eastAsia="Calibri" w:hAnsi="Times New Roman" w:cs="Times New Roman"/>
          <w:color w:val="222222"/>
          <w:sz w:val="24"/>
          <w:szCs w:val="24"/>
          <w:shd w:val="clear" w:color="auto" w:fill="FFFFFF"/>
        </w:rPr>
        <w:t>Eapen</w:t>
      </w:r>
      <w:proofErr w:type="spellEnd"/>
      <w:r w:rsidRPr="008E560A">
        <w:rPr>
          <w:rFonts w:ascii="Times New Roman" w:eastAsia="Calibri" w:hAnsi="Times New Roman" w:cs="Times New Roman"/>
          <w:color w:val="222222"/>
          <w:sz w:val="24"/>
          <w:szCs w:val="24"/>
          <w:shd w:val="clear" w:color="auto" w:fill="FFFFFF"/>
        </w:rPr>
        <w:t xml:space="preserve">, S. (2002). Micropropagation and field evaluation of </w:t>
      </w:r>
      <w:proofErr w:type="spellStart"/>
      <w:r w:rsidRPr="008E560A">
        <w:rPr>
          <w:rFonts w:ascii="Times New Roman" w:eastAsia="Calibri" w:hAnsi="Times New Roman" w:cs="Times New Roman"/>
          <w:color w:val="222222"/>
          <w:sz w:val="24"/>
          <w:szCs w:val="24"/>
          <w:shd w:val="clear" w:color="auto" w:fill="FFFFFF"/>
        </w:rPr>
        <w:t>micropropagated</w:t>
      </w:r>
      <w:proofErr w:type="spellEnd"/>
      <w:r w:rsidRPr="008E560A">
        <w:rPr>
          <w:rFonts w:ascii="Times New Roman" w:eastAsia="Calibri" w:hAnsi="Times New Roman" w:cs="Times New Roman"/>
          <w:color w:val="222222"/>
          <w:sz w:val="24"/>
          <w:szCs w:val="24"/>
          <w:shd w:val="clear" w:color="auto" w:fill="FFFFFF"/>
        </w:rPr>
        <w:t xml:space="preserve"> plants of turmeric. Plant Cell, Tissue and Organ Culture, 68(2), 143-151. </w:t>
      </w:r>
      <w:hyperlink r:id="rId52" w:history="1">
        <w:r w:rsidRPr="008E560A">
          <w:rPr>
            <w:rFonts w:ascii="Times New Roman" w:eastAsia="Calibri" w:hAnsi="Times New Roman" w:cs="Times New Roman"/>
            <w:color w:val="0000FF"/>
            <w:sz w:val="24"/>
            <w:szCs w:val="24"/>
            <w:u w:val="single"/>
            <w:shd w:val="clear" w:color="auto" w:fill="FFFFFF"/>
          </w:rPr>
          <w:t>https://doi.org/10.1023/A:1013889119887</w:t>
        </w:r>
      </w:hyperlink>
      <w:r w:rsidRPr="008E560A">
        <w:rPr>
          <w:rFonts w:ascii="Times New Roman" w:eastAsia="Calibri" w:hAnsi="Times New Roman" w:cs="Times New Roman"/>
          <w:color w:val="222222"/>
          <w:sz w:val="24"/>
          <w:szCs w:val="24"/>
          <w:shd w:val="clear" w:color="auto" w:fill="FFFFFF"/>
        </w:rPr>
        <w:t xml:space="preserve"> </w:t>
      </w:r>
    </w:p>
    <w:p w14:paraId="434DBA0C" w14:textId="77777777" w:rsidR="00DE56CE" w:rsidRPr="008E560A" w:rsidRDefault="00DE56CE" w:rsidP="00507EE0">
      <w:pPr>
        <w:spacing w:before="100" w:beforeAutospacing="1" w:after="100" w:afterAutospacing="1" w:line="240" w:lineRule="auto"/>
        <w:ind w:left="360"/>
        <w:jc w:val="both"/>
        <w:rPr>
          <w:rFonts w:ascii="Times New Roman" w:eastAsia="Calibri" w:hAnsi="Times New Roman" w:cs="Times New Roman"/>
          <w:color w:val="222222"/>
          <w:sz w:val="24"/>
          <w:szCs w:val="24"/>
          <w:shd w:val="clear" w:color="auto" w:fill="FFFFFF"/>
        </w:rPr>
      </w:pPr>
      <w:r w:rsidRPr="008E560A">
        <w:rPr>
          <w:rFonts w:ascii="Times New Roman" w:eastAsia="Calibri" w:hAnsi="Times New Roman" w:cs="Times New Roman"/>
          <w:color w:val="222222"/>
          <w:sz w:val="24"/>
          <w:szCs w:val="24"/>
          <w:shd w:val="clear" w:color="auto" w:fill="FFFFFF"/>
        </w:rPr>
        <w:t xml:space="preserve">Sharifi-Rad, J., </w:t>
      </w:r>
      <w:proofErr w:type="spellStart"/>
      <w:r w:rsidRPr="008E560A">
        <w:rPr>
          <w:rFonts w:ascii="Times New Roman" w:eastAsia="Calibri" w:hAnsi="Times New Roman" w:cs="Times New Roman"/>
          <w:color w:val="222222"/>
          <w:sz w:val="24"/>
          <w:szCs w:val="24"/>
          <w:shd w:val="clear" w:color="auto" w:fill="FFFFFF"/>
        </w:rPr>
        <w:t>Rayess</w:t>
      </w:r>
      <w:proofErr w:type="spellEnd"/>
      <w:r w:rsidRPr="008E560A">
        <w:rPr>
          <w:rFonts w:ascii="Times New Roman" w:eastAsia="Calibri" w:hAnsi="Times New Roman" w:cs="Times New Roman"/>
          <w:color w:val="222222"/>
          <w:sz w:val="24"/>
          <w:szCs w:val="24"/>
          <w:shd w:val="clear" w:color="auto" w:fill="FFFFFF"/>
        </w:rPr>
        <w:t xml:space="preserve">, Y. E., </w:t>
      </w:r>
      <w:proofErr w:type="spellStart"/>
      <w:r w:rsidRPr="008E560A">
        <w:rPr>
          <w:rFonts w:ascii="Times New Roman" w:eastAsia="Calibri" w:hAnsi="Times New Roman" w:cs="Times New Roman"/>
          <w:color w:val="222222"/>
          <w:sz w:val="24"/>
          <w:szCs w:val="24"/>
          <w:shd w:val="clear" w:color="auto" w:fill="FFFFFF"/>
        </w:rPr>
        <w:t>Rizk</w:t>
      </w:r>
      <w:proofErr w:type="spellEnd"/>
      <w:r w:rsidRPr="008E560A">
        <w:rPr>
          <w:rFonts w:ascii="Times New Roman" w:eastAsia="Calibri" w:hAnsi="Times New Roman" w:cs="Times New Roman"/>
          <w:color w:val="222222"/>
          <w:sz w:val="24"/>
          <w:szCs w:val="24"/>
          <w:shd w:val="clear" w:color="auto" w:fill="FFFFFF"/>
        </w:rPr>
        <w:t xml:space="preserve">, A. A., </w:t>
      </w:r>
      <w:proofErr w:type="spellStart"/>
      <w:r w:rsidRPr="008E560A">
        <w:rPr>
          <w:rFonts w:ascii="Times New Roman" w:eastAsia="Calibri" w:hAnsi="Times New Roman" w:cs="Times New Roman"/>
          <w:color w:val="222222"/>
          <w:sz w:val="24"/>
          <w:szCs w:val="24"/>
          <w:shd w:val="clear" w:color="auto" w:fill="FFFFFF"/>
        </w:rPr>
        <w:t>Sadaka</w:t>
      </w:r>
      <w:proofErr w:type="spellEnd"/>
      <w:r w:rsidRPr="008E560A">
        <w:rPr>
          <w:rFonts w:ascii="Times New Roman" w:eastAsia="Calibri" w:hAnsi="Times New Roman" w:cs="Times New Roman"/>
          <w:color w:val="222222"/>
          <w:sz w:val="24"/>
          <w:szCs w:val="24"/>
          <w:shd w:val="clear" w:color="auto" w:fill="FFFFFF"/>
        </w:rPr>
        <w:t xml:space="preserve">, C., </w:t>
      </w:r>
      <w:proofErr w:type="spellStart"/>
      <w:r w:rsidRPr="008E560A">
        <w:rPr>
          <w:rFonts w:ascii="Times New Roman" w:eastAsia="Calibri" w:hAnsi="Times New Roman" w:cs="Times New Roman"/>
          <w:color w:val="222222"/>
          <w:sz w:val="24"/>
          <w:szCs w:val="24"/>
          <w:shd w:val="clear" w:color="auto" w:fill="FFFFFF"/>
        </w:rPr>
        <w:t>Zgheib</w:t>
      </w:r>
      <w:proofErr w:type="spellEnd"/>
      <w:r w:rsidRPr="008E560A">
        <w:rPr>
          <w:rFonts w:ascii="Times New Roman" w:eastAsia="Calibri" w:hAnsi="Times New Roman" w:cs="Times New Roman"/>
          <w:color w:val="222222"/>
          <w:sz w:val="24"/>
          <w:szCs w:val="24"/>
          <w:shd w:val="clear" w:color="auto" w:fill="FFFFFF"/>
        </w:rPr>
        <w:t xml:space="preserve">, R., </w:t>
      </w:r>
      <w:proofErr w:type="spellStart"/>
      <w:r w:rsidRPr="008E560A">
        <w:rPr>
          <w:rFonts w:ascii="Times New Roman" w:eastAsia="Calibri" w:hAnsi="Times New Roman" w:cs="Times New Roman"/>
          <w:color w:val="222222"/>
          <w:sz w:val="24"/>
          <w:szCs w:val="24"/>
          <w:shd w:val="clear" w:color="auto" w:fill="FFFFFF"/>
        </w:rPr>
        <w:t>Zam</w:t>
      </w:r>
      <w:proofErr w:type="spellEnd"/>
      <w:r w:rsidRPr="008E560A">
        <w:rPr>
          <w:rFonts w:ascii="Times New Roman" w:eastAsia="Calibri" w:hAnsi="Times New Roman" w:cs="Times New Roman"/>
          <w:color w:val="222222"/>
          <w:sz w:val="24"/>
          <w:szCs w:val="24"/>
          <w:shd w:val="clear" w:color="auto" w:fill="FFFFFF"/>
        </w:rPr>
        <w:t xml:space="preserve">, W., Sestito, S., </w:t>
      </w:r>
      <w:proofErr w:type="spellStart"/>
      <w:r w:rsidRPr="008E560A">
        <w:rPr>
          <w:rFonts w:ascii="Times New Roman" w:eastAsia="Calibri" w:hAnsi="Times New Roman" w:cs="Times New Roman"/>
          <w:color w:val="222222"/>
          <w:sz w:val="24"/>
          <w:szCs w:val="24"/>
          <w:shd w:val="clear" w:color="auto" w:fill="FFFFFF"/>
        </w:rPr>
        <w:t>Rapposelli</w:t>
      </w:r>
      <w:proofErr w:type="spellEnd"/>
      <w:r w:rsidRPr="008E560A">
        <w:rPr>
          <w:rFonts w:ascii="Times New Roman" w:eastAsia="Calibri" w:hAnsi="Times New Roman" w:cs="Times New Roman"/>
          <w:color w:val="222222"/>
          <w:sz w:val="24"/>
          <w:szCs w:val="24"/>
          <w:shd w:val="clear" w:color="auto" w:fill="FFFFFF"/>
        </w:rPr>
        <w:t xml:space="preserve">, S., </w:t>
      </w:r>
      <w:proofErr w:type="spellStart"/>
      <w:r w:rsidRPr="008E560A">
        <w:rPr>
          <w:rFonts w:ascii="Times New Roman" w:eastAsia="Calibri" w:hAnsi="Times New Roman" w:cs="Times New Roman"/>
          <w:color w:val="222222"/>
          <w:sz w:val="24"/>
          <w:szCs w:val="24"/>
          <w:shd w:val="clear" w:color="auto" w:fill="FFFFFF"/>
        </w:rPr>
        <w:t>Neffe-Skocińska</w:t>
      </w:r>
      <w:proofErr w:type="spellEnd"/>
      <w:r w:rsidRPr="008E560A">
        <w:rPr>
          <w:rFonts w:ascii="Times New Roman" w:eastAsia="Calibri" w:hAnsi="Times New Roman" w:cs="Times New Roman"/>
          <w:color w:val="222222"/>
          <w:sz w:val="24"/>
          <w:szCs w:val="24"/>
          <w:shd w:val="clear" w:color="auto" w:fill="FFFFFF"/>
        </w:rPr>
        <w:t xml:space="preserve">, K., </w:t>
      </w:r>
      <w:proofErr w:type="spellStart"/>
      <w:r w:rsidRPr="008E560A">
        <w:rPr>
          <w:rFonts w:ascii="Times New Roman" w:eastAsia="Calibri" w:hAnsi="Times New Roman" w:cs="Times New Roman"/>
          <w:color w:val="222222"/>
          <w:sz w:val="24"/>
          <w:szCs w:val="24"/>
          <w:shd w:val="clear" w:color="auto" w:fill="FFFFFF"/>
        </w:rPr>
        <w:t>Zielińska</w:t>
      </w:r>
      <w:proofErr w:type="spellEnd"/>
      <w:r w:rsidRPr="008E560A">
        <w:rPr>
          <w:rFonts w:ascii="Times New Roman" w:eastAsia="Calibri" w:hAnsi="Times New Roman" w:cs="Times New Roman"/>
          <w:color w:val="222222"/>
          <w:sz w:val="24"/>
          <w:szCs w:val="24"/>
          <w:shd w:val="clear" w:color="auto" w:fill="FFFFFF"/>
        </w:rPr>
        <w:t xml:space="preserve">, D., Salehi, B., Setzer, W. N., </w:t>
      </w:r>
      <w:proofErr w:type="spellStart"/>
      <w:r w:rsidRPr="008E560A">
        <w:rPr>
          <w:rFonts w:ascii="Times New Roman" w:eastAsia="Calibri" w:hAnsi="Times New Roman" w:cs="Times New Roman"/>
          <w:color w:val="222222"/>
          <w:sz w:val="24"/>
          <w:szCs w:val="24"/>
          <w:shd w:val="clear" w:color="auto" w:fill="FFFFFF"/>
        </w:rPr>
        <w:t>Dosoky</w:t>
      </w:r>
      <w:proofErr w:type="spellEnd"/>
      <w:r w:rsidRPr="008E560A">
        <w:rPr>
          <w:rFonts w:ascii="Times New Roman" w:eastAsia="Calibri" w:hAnsi="Times New Roman" w:cs="Times New Roman"/>
          <w:color w:val="222222"/>
          <w:sz w:val="24"/>
          <w:szCs w:val="24"/>
          <w:shd w:val="clear" w:color="auto" w:fill="FFFFFF"/>
        </w:rPr>
        <w:t xml:space="preserve">, N. S., Taheri, Y., El </w:t>
      </w:r>
      <w:proofErr w:type="spellStart"/>
      <w:r w:rsidRPr="008E560A">
        <w:rPr>
          <w:rFonts w:ascii="Times New Roman" w:eastAsia="Calibri" w:hAnsi="Times New Roman" w:cs="Times New Roman"/>
          <w:color w:val="222222"/>
          <w:sz w:val="24"/>
          <w:szCs w:val="24"/>
          <w:shd w:val="clear" w:color="auto" w:fill="FFFFFF"/>
        </w:rPr>
        <w:t>Beyrouthy</w:t>
      </w:r>
      <w:proofErr w:type="spellEnd"/>
      <w:r w:rsidRPr="008E560A">
        <w:rPr>
          <w:rFonts w:ascii="Times New Roman" w:eastAsia="Calibri" w:hAnsi="Times New Roman" w:cs="Times New Roman"/>
          <w:color w:val="222222"/>
          <w:sz w:val="24"/>
          <w:szCs w:val="24"/>
          <w:shd w:val="clear" w:color="auto" w:fill="FFFFFF"/>
        </w:rPr>
        <w:t xml:space="preserve">, M., Martorell, M., Ostrander, E. A., </w:t>
      </w:r>
      <w:proofErr w:type="spellStart"/>
      <w:r w:rsidRPr="008E560A">
        <w:rPr>
          <w:rFonts w:ascii="Times New Roman" w:eastAsia="Calibri" w:hAnsi="Times New Roman" w:cs="Times New Roman"/>
          <w:color w:val="222222"/>
          <w:sz w:val="24"/>
          <w:szCs w:val="24"/>
          <w:shd w:val="clear" w:color="auto" w:fill="FFFFFF"/>
        </w:rPr>
        <w:t>Suleria</w:t>
      </w:r>
      <w:proofErr w:type="spellEnd"/>
      <w:r w:rsidRPr="008E560A">
        <w:rPr>
          <w:rFonts w:ascii="Times New Roman" w:eastAsia="Calibri" w:hAnsi="Times New Roman" w:cs="Times New Roman"/>
          <w:color w:val="222222"/>
          <w:sz w:val="24"/>
          <w:szCs w:val="24"/>
          <w:shd w:val="clear" w:color="auto" w:fill="FFFFFF"/>
        </w:rPr>
        <w:t xml:space="preserve">, H. A. R., Cho, W. C., </w:t>
      </w:r>
      <w:proofErr w:type="spellStart"/>
      <w:r w:rsidRPr="008E560A">
        <w:rPr>
          <w:rFonts w:ascii="Times New Roman" w:eastAsia="Calibri" w:hAnsi="Times New Roman" w:cs="Times New Roman"/>
          <w:color w:val="222222"/>
          <w:sz w:val="24"/>
          <w:szCs w:val="24"/>
          <w:shd w:val="clear" w:color="auto" w:fill="FFFFFF"/>
        </w:rPr>
        <w:t>Maroyi</w:t>
      </w:r>
      <w:proofErr w:type="spellEnd"/>
      <w:r w:rsidRPr="008E560A">
        <w:rPr>
          <w:rFonts w:ascii="Times New Roman" w:eastAsia="Calibri" w:hAnsi="Times New Roman" w:cs="Times New Roman"/>
          <w:color w:val="222222"/>
          <w:sz w:val="24"/>
          <w:szCs w:val="24"/>
          <w:shd w:val="clear" w:color="auto" w:fill="FFFFFF"/>
        </w:rPr>
        <w:t xml:space="preserve">, A., … Martins, N. (2020). Turmeric and Its Major Compound Curcumin on Health: Bioactive Effects and Safety Profiles for Food, Pharmaceutical, Biotechnological and Medicinal Applications. Frontiers in pharmacology, 11, 01021. </w:t>
      </w:r>
      <w:hyperlink r:id="rId53" w:history="1">
        <w:r w:rsidRPr="008E560A">
          <w:rPr>
            <w:rFonts w:ascii="Times New Roman" w:eastAsia="Calibri" w:hAnsi="Times New Roman" w:cs="Times New Roman"/>
            <w:color w:val="0000FF"/>
            <w:sz w:val="24"/>
            <w:szCs w:val="24"/>
            <w:u w:val="single"/>
            <w:shd w:val="clear" w:color="auto" w:fill="FFFFFF"/>
          </w:rPr>
          <w:t>https://doi.org/10.3389/fphar.2020.01021</w:t>
        </w:r>
      </w:hyperlink>
      <w:r w:rsidRPr="008E560A">
        <w:rPr>
          <w:rFonts w:ascii="Times New Roman" w:eastAsia="Calibri" w:hAnsi="Times New Roman" w:cs="Times New Roman"/>
          <w:color w:val="222222"/>
          <w:sz w:val="24"/>
          <w:szCs w:val="24"/>
          <w:shd w:val="clear" w:color="auto" w:fill="FFFFFF"/>
        </w:rPr>
        <w:t xml:space="preserve"> </w:t>
      </w:r>
    </w:p>
    <w:p w14:paraId="17E729D1" w14:textId="77777777" w:rsidR="00DE56CE" w:rsidRPr="008E560A" w:rsidRDefault="00DE56CE" w:rsidP="00507EE0">
      <w:pPr>
        <w:spacing w:before="100" w:beforeAutospacing="1" w:after="100" w:afterAutospacing="1" w:line="240" w:lineRule="auto"/>
        <w:ind w:left="360"/>
        <w:jc w:val="both"/>
        <w:rPr>
          <w:rFonts w:ascii="Times New Roman" w:eastAsia="Calibri" w:hAnsi="Times New Roman" w:cs="Times New Roman"/>
          <w:color w:val="222222"/>
          <w:sz w:val="24"/>
          <w:szCs w:val="24"/>
          <w:shd w:val="clear" w:color="auto" w:fill="FFFFFF"/>
        </w:rPr>
      </w:pPr>
      <w:r w:rsidRPr="008E560A">
        <w:rPr>
          <w:rFonts w:ascii="Times New Roman" w:eastAsia="Calibri" w:hAnsi="Times New Roman" w:cs="Times New Roman"/>
          <w:color w:val="222222"/>
          <w:sz w:val="24"/>
          <w:szCs w:val="24"/>
          <w:shd w:val="clear" w:color="auto" w:fill="FFFFFF"/>
        </w:rPr>
        <w:t xml:space="preserve">Sumner, L. W., Mendes, P., &amp; Dixon, R. A. (2003). Plant metabolomics: large-scale phytochemistry in the functional genomics era. Phytochemistry, 62(6), 817–836. </w:t>
      </w:r>
      <w:hyperlink r:id="rId54" w:history="1">
        <w:r w:rsidRPr="008E560A">
          <w:rPr>
            <w:rFonts w:ascii="Times New Roman" w:eastAsia="Calibri" w:hAnsi="Times New Roman" w:cs="Times New Roman"/>
            <w:color w:val="0000FF"/>
            <w:sz w:val="24"/>
            <w:szCs w:val="24"/>
            <w:u w:val="single"/>
            <w:shd w:val="clear" w:color="auto" w:fill="FFFFFF"/>
          </w:rPr>
          <w:t>https://doi.org/10.1016/s0031-9422(02)00708-2</w:t>
        </w:r>
      </w:hyperlink>
      <w:r w:rsidRPr="008E560A">
        <w:rPr>
          <w:rFonts w:ascii="Times New Roman" w:eastAsia="Calibri" w:hAnsi="Times New Roman" w:cs="Times New Roman"/>
          <w:color w:val="222222"/>
          <w:sz w:val="24"/>
          <w:szCs w:val="24"/>
          <w:shd w:val="clear" w:color="auto" w:fill="FFFFFF"/>
        </w:rPr>
        <w:t xml:space="preserve"> </w:t>
      </w:r>
    </w:p>
    <w:p w14:paraId="1A3BE708" w14:textId="77777777" w:rsidR="00DE56CE" w:rsidRPr="008E560A" w:rsidRDefault="00DE56CE" w:rsidP="00507EE0">
      <w:pPr>
        <w:spacing w:before="100" w:beforeAutospacing="1" w:after="100" w:afterAutospacing="1" w:line="240" w:lineRule="auto"/>
        <w:ind w:left="360"/>
        <w:jc w:val="both"/>
        <w:rPr>
          <w:rFonts w:ascii="Times New Roman" w:eastAsia="Calibri" w:hAnsi="Times New Roman" w:cs="Times New Roman"/>
          <w:color w:val="222222"/>
          <w:sz w:val="24"/>
          <w:szCs w:val="24"/>
          <w:shd w:val="clear" w:color="auto" w:fill="FFFFFF"/>
        </w:rPr>
      </w:pPr>
      <w:proofErr w:type="spellStart"/>
      <w:r w:rsidRPr="008E560A">
        <w:rPr>
          <w:rFonts w:ascii="Times New Roman" w:eastAsia="Calibri" w:hAnsi="Times New Roman" w:cs="Times New Roman"/>
          <w:color w:val="222222"/>
          <w:sz w:val="24"/>
          <w:szCs w:val="24"/>
          <w:shd w:val="clear" w:color="auto" w:fill="FFFFFF"/>
        </w:rPr>
        <w:t>Utomo</w:t>
      </w:r>
      <w:proofErr w:type="spellEnd"/>
      <w:r w:rsidRPr="008E560A">
        <w:rPr>
          <w:rFonts w:ascii="Times New Roman" w:eastAsia="Calibri" w:hAnsi="Times New Roman" w:cs="Times New Roman"/>
          <w:color w:val="222222"/>
          <w:sz w:val="24"/>
          <w:szCs w:val="24"/>
          <w:shd w:val="clear" w:color="auto" w:fill="FFFFFF"/>
        </w:rPr>
        <w:t xml:space="preserve">, J. C., Barrell, H. B., Kumar, R., Smith, J., Brant, M. S., De la </w:t>
      </w:r>
      <w:proofErr w:type="spellStart"/>
      <w:r w:rsidRPr="008E560A">
        <w:rPr>
          <w:rFonts w:ascii="Times New Roman" w:eastAsia="Calibri" w:hAnsi="Times New Roman" w:cs="Times New Roman"/>
          <w:color w:val="222222"/>
          <w:sz w:val="24"/>
          <w:szCs w:val="24"/>
          <w:shd w:val="clear" w:color="auto" w:fill="FFFFFF"/>
        </w:rPr>
        <w:t>Hoz</w:t>
      </w:r>
      <w:proofErr w:type="spellEnd"/>
      <w:r w:rsidRPr="008E560A">
        <w:rPr>
          <w:rFonts w:ascii="Times New Roman" w:eastAsia="Calibri" w:hAnsi="Times New Roman" w:cs="Times New Roman"/>
          <w:color w:val="222222"/>
          <w:sz w:val="24"/>
          <w:szCs w:val="24"/>
          <w:shd w:val="clear" w:color="auto" w:fill="FFFFFF"/>
        </w:rPr>
        <w:t xml:space="preserve"> Siegler, H., &amp; Ro, D. K. (2024). Reconstructing curcumin biosynthesis in yeast reveals the implication of caffeoyl-shikimate esterase in phenylpropanoid metabolic flux. Metabolic engineering, 82, 286–296. </w:t>
      </w:r>
      <w:hyperlink r:id="rId55" w:history="1">
        <w:r w:rsidRPr="008E560A">
          <w:rPr>
            <w:rFonts w:ascii="Times New Roman" w:eastAsia="Calibri" w:hAnsi="Times New Roman" w:cs="Times New Roman"/>
            <w:color w:val="0000FF"/>
            <w:sz w:val="24"/>
            <w:szCs w:val="24"/>
            <w:u w:val="single"/>
            <w:shd w:val="clear" w:color="auto" w:fill="FFFFFF"/>
          </w:rPr>
          <w:t>https://doi.org/10.1016/j.ymben.2024.02.011</w:t>
        </w:r>
      </w:hyperlink>
      <w:r w:rsidRPr="008E560A">
        <w:rPr>
          <w:rFonts w:ascii="Times New Roman" w:eastAsia="Calibri" w:hAnsi="Times New Roman" w:cs="Times New Roman"/>
          <w:color w:val="222222"/>
          <w:sz w:val="24"/>
          <w:szCs w:val="24"/>
          <w:shd w:val="clear" w:color="auto" w:fill="FFFFFF"/>
        </w:rPr>
        <w:t xml:space="preserve"> </w:t>
      </w:r>
    </w:p>
    <w:p w14:paraId="071AE8EA" w14:textId="77777777" w:rsidR="00DE56CE" w:rsidRPr="008E560A" w:rsidRDefault="00DE56CE" w:rsidP="00507EE0">
      <w:pPr>
        <w:spacing w:before="100" w:beforeAutospacing="1" w:after="100" w:afterAutospacing="1" w:line="240" w:lineRule="auto"/>
        <w:ind w:left="360"/>
        <w:jc w:val="both"/>
        <w:rPr>
          <w:rFonts w:ascii="Times New Roman" w:eastAsia="Calibri" w:hAnsi="Times New Roman" w:cs="Times New Roman"/>
          <w:color w:val="222222"/>
          <w:sz w:val="24"/>
          <w:szCs w:val="24"/>
          <w:shd w:val="clear" w:color="auto" w:fill="FFFFFF"/>
        </w:rPr>
      </w:pPr>
      <w:r w:rsidRPr="008E560A">
        <w:rPr>
          <w:rFonts w:ascii="Times New Roman" w:eastAsia="Calibri" w:hAnsi="Times New Roman" w:cs="Times New Roman"/>
          <w:color w:val="222222"/>
          <w:sz w:val="24"/>
          <w:szCs w:val="24"/>
          <w:shd w:val="clear" w:color="auto" w:fill="FFFFFF"/>
        </w:rPr>
        <w:t>Vo, T. S., Vo, T. T. B. C., Vo, T. T. T. N., &amp; Lai, T. N. H. (2021). Turmeric (</w:t>
      </w:r>
      <w:r w:rsidR="009148D5" w:rsidRPr="008E560A">
        <w:rPr>
          <w:rFonts w:ascii="Times New Roman" w:eastAsia="Calibri" w:hAnsi="Times New Roman" w:cs="Times New Roman"/>
          <w:i/>
          <w:color w:val="222222"/>
          <w:sz w:val="24"/>
          <w:szCs w:val="24"/>
          <w:shd w:val="clear" w:color="auto" w:fill="FFFFFF"/>
        </w:rPr>
        <w:t>Curcuma longa</w:t>
      </w:r>
      <w:r w:rsidRPr="008E560A">
        <w:rPr>
          <w:rFonts w:ascii="Times New Roman" w:eastAsia="Calibri" w:hAnsi="Times New Roman" w:cs="Times New Roman"/>
          <w:color w:val="222222"/>
          <w:sz w:val="24"/>
          <w:szCs w:val="24"/>
          <w:shd w:val="clear" w:color="auto" w:fill="FFFFFF"/>
        </w:rPr>
        <w:t xml:space="preserve"> L.): Chemical components and their effective clinical applications. </w:t>
      </w:r>
      <w:r w:rsidRPr="008E560A">
        <w:rPr>
          <w:rFonts w:ascii="Times New Roman" w:eastAsia="Calibri" w:hAnsi="Times New Roman" w:cs="Times New Roman"/>
          <w:i/>
          <w:iCs/>
          <w:color w:val="222222"/>
          <w:sz w:val="24"/>
          <w:szCs w:val="24"/>
          <w:shd w:val="clear" w:color="auto" w:fill="FFFFFF"/>
        </w:rPr>
        <w:t>Journal of the Turkish Chemical Society Section A: Chemistry</w:t>
      </w:r>
      <w:r w:rsidRPr="008E560A">
        <w:rPr>
          <w:rFonts w:ascii="Times New Roman" w:eastAsia="Calibri" w:hAnsi="Times New Roman" w:cs="Times New Roman"/>
          <w:color w:val="222222"/>
          <w:sz w:val="24"/>
          <w:szCs w:val="24"/>
          <w:shd w:val="clear" w:color="auto" w:fill="FFFFFF"/>
        </w:rPr>
        <w:t>, </w:t>
      </w:r>
      <w:r w:rsidRPr="008E560A">
        <w:rPr>
          <w:rFonts w:ascii="Times New Roman" w:eastAsia="Calibri" w:hAnsi="Times New Roman" w:cs="Times New Roman"/>
          <w:i/>
          <w:iCs/>
          <w:color w:val="222222"/>
          <w:sz w:val="24"/>
          <w:szCs w:val="24"/>
          <w:shd w:val="clear" w:color="auto" w:fill="FFFFFF"/>
        </w:rPr>
        <w:t>8</w:t>
      </w:r>
      <w:r w:rsidRPr="008E560A">
        <w:rPr>
          <w:rFonts w:ascii="Times New Roman" w:eastAsia="Calibri" w:hAnsi="Times New Roman" w:cs="Times New Roman"/>
          <w:color w:val="222222"/>
          <w:sz w:val="24"/>
          <w:szCs w:val="24"/>
          <w:shd w:val="clear" w:color="auto" w:fill="FFFFFF"/>
        </w:rPr>
        <w:t xml:space="preserve">(3), 883-898. </w:t>
      </w:r>
      <w:hyperlink r:id="rId56" w:history="1">
        <w:r w:rsidRPr="008E560A">
          <w:rPr>
            <w:rFonts w:ascii="Times New Roman" w:eastAsia="Calibri" w:hAnsi="Times New Roman" w:cs="Times New Roman"/>
            <w:color w:val="0000FF"/>
            <w:sz w:val="24"/>
            <w:szCs w:val="24"/>
            <w:u w:val="single"/>
            <w:shd w:val="clear" w:color="auto" w:fill="FFFFFF"/>
          </w:rPr>
          <w:t>https://doi.org/10.18596/jotcsa.913136</w:t>
        </w:r>
      </w:hyperlink>
      <w:r w:rsidRPr="008E560A">
        <w:rPr>
          <w:rFonts w:ascii="Times New Roman" w:eastAsia="Calibri" w:hAnsi="Times New Roman" w:cs="Times New Roman"/>
          <w:color w:val="222222"/>
          <w:sz w:val="24"/>
          <w:szCs w:val="24"/>
          <w:shd w:val="clear" w:color="auto" w:fill="FFFFFF"/>
        </w:rPr>
        <w:t xml:space="preserve"> </w:t>
      </w:r>
    </w:p>
    <w:p w14:paraId="2E6605AB" w14:textId="77777777" w:rsidR="00DE56CE" w:rsidRPr="008E560A" w:rsidRDefault="00DE56CE" w:rsidP="00507EE0">
      <w:pPr>
        <w:spacing w:before="100" w:beforeAutospacing="1" w:after="100" w:afterAutospacing="1" w:line="240" w:lineRule="auto"/>
        <w:ind w:left="360"/>
        <w:jc w:val="both"/>
        <w:rPr>
          <w:rFonts w:ascii="Times New Roman" w:eastAsia="Calibri" w:hAnsi="Times New Roman" w:cs="Times New Roman"/>
          <w:color w:val="222222"/>
          <w:sz w:val="24"/>
          <w:szCs w:val="24"/>
          <w:shd w:val="clear" w:color="auto" w:fill="FFFFFF"/>
        </w:rPr>
      </w:pPr>
      <w:r w:rsidRPr="008E560A">
        <w:rPr>
          <w:rFonts w:ascii="Times New Roman" w:eastAsia="Calibri" w:hAnsi="Times New Roman" w:cs="Times New Roman"/>
          <w:color w:val="222222"/>
          <w:sz w:val="24"/>
          <w:szCs w:val="24"/>
          <w:shd w:val="clear" w:color="auto" w:fill="FFFFFF"/>
        </w:rPr>
        <w:t xml:space="preserve">Wang, M., Zhang, S., Li, R., &amp; Zhao, Q. (2024). </w:t>
      </w:r>
      <w:proofErr w:type="spellStart"/>
      <w:r w:rsidRPr="008E560A">
        <w:rPr>
          <w:rFonts w:ascii="Times New Roman" w:eastAsia="Calibri" w:hAnsi="Times New Roman" w:cs="Times New Roman"/>
          <w:color w:val="222222"/>
          <w:sz w:val="24"/>
          <w:szCs w:val="24"/>
          <w:shd w:val="clear" w:color="auto" w:fill="FFFFFF"/>
        </w:rPr>
        <w:t>Unraveling</w:t>
      </w:r>
      <w:proofErr w:type="spellEnd"/>
      <w:r w:rsidRPr="008E560A">
        <w:rPr>
          <w:rFonts w:ascii="Times New Roman" w:eastAsia="Calibri" w:hAnsi="Times New Roman" w:cs="Times New Roman"/>
          <w:color w:val="222222"/>
          <w:sz w:val="24"/>
          <w:szCs w:val="24"/>
          <w:shd w:val="clear" w:color="auto" w:fill="FFFFFF"/>
        </w:rPr>
        <w:t xml:space="preserve"> the specialized metabolic pathways in medicinal plant genomes: a review. Frontiers in plant science, 15, 1459533. </w:t>
      </w:r>
      <w:hyperlink r:id="rId57" w:history="1">
        <w:r w:rsidRPr="008E560A">
          <w:rPr>
            <w:rFonts w:ascii="Times New Roman" w:eastAsia="Calibri" w:hAnsi="Times New Roman" w:cs="Times New Roman"/>
            <w:color w:val="0000FF"/>
            <w:sz w:val="24"/>
            <w:szCs w:val="24"/>
            <w:u w:val="single"/>
            <w:shd w:val="clear" w:color="auto" w:fill="FFFFFF"/>
          </w:rPr>
          <w:t>https://doi.org/10.3389/fpls.2024.1459533</w:t>
        </w:r>
      </w:hyperlink>
      <w:r w:rsidRPr="008E560A">
        <w:rPr>
          <w:rFonts w:ascii="Times New Roman" w:eastAsia="Calibri" w:hAnsi="Times New Roman" w:cs="Times New Roman"/>
          <w:color w:val="222222"/>
          <w:sz w:val="24"/>
          <w:szCs w:val="24"/>
          <w:shd w:val="clear" w:color="auto" w:fill="FFFFFF"/>
        </w:rPr>
        <w:t xml:space="preserve"> </w:t>
      </w:r>
    </w:p>
    <w:p w14:paraId="1AF42E7D" w14:textId="77777777" w:rsidR="00DE56CE" w:rsidRPr="008E560A" w:rsidRDefault="00DE56CE" w:rsidP="00507EE0">
      <w:pPr>
        <w:spacing w:before="100" w:beforeAutospacing="1" w:after="100" w:afterAutospacing="1" w:line="240" w:lineRule="auto"/>
        <w:ind w:left="360"/>
        <w:jc w:val="both"/>
        <w:rPr>
          <w:rFonts w:ascii="Times New Roman" w:eastAsia="Calibri" w:hAnsi="Times New Roman" w:cs="Times New Roman"/>
          <w:color w:val="222222"/>
          <w:sz w:val="24"/>
          <w:szCs w:val="24"/>
          <w:shd w:val="clear" w:color="auto" w:fill="FFFFFF"/>
        </w:rPr>
      </w:pPr>
      <w:r w:rsidRPr="008E560A">
        <w:rPr>
          <w:rFonts w:ascii="Times New Roman" w:eastAsia="Calibri" w:hAnsi="Times New Roman" w:cs="Times New Roman"/>
          <w:color w:val="222222"/>
          <w:sz w:val="24"/>
          <w:szCs w:val="24"/>
          <w:shd w:val="clear" w:color="auto" w:fill="FFFFFF"/>
        </w:rPr>
        <w:t xml:space="preserve">Watt, M., </w:t>
      </w:r>
      <w:proofErr w:type="spellStart"/>
      <w:r w:rsidRPr="008E560A">
        <w:rPr>
          <w:rFonts w:ascii="Times New Roman" w:eastAsia="Calibri" w:hAnsi="Times New Roman" w:cs="Times New Roman"/>
          <w:color w:val="222222"/>
          <w:sz w:val="24"/>
          <w:szCs w:val="24"/>
          <w:shd w:val="clear" w:color="auto" w:fill="FFFFFF"/>
        </w:rPr>
        <w:t>Fiorani</w:t>
      </w:r>
      <w:proofErr w:type="spellEnd"/>
      <w:r w:rsidRPr="008E560A">
        <w:rPr>
          <w:rFonts w:ascii="Times New Roman" w:eastAsia="Calibri" w:hAnsi="Times New Roman" w:cs="Times New Roman"/>
          <w:color w:val="222222"/>
          <w:sz w:val="24"/>
          <w:szCs w:val="24"/>
          <w:shd w:val="clear" w:color="auto" w:fill="FFFFFF"/>
        </w:rPr>
        <w:t xml:space="preserve">, F., </w:t>
      </w:r>
      <w:proofErr w:type="spellStart"/>
      <w:r w:rsidRPr="008E560A">
        <w:rPr>
          <w:rFonts w:ascii="Times New Roman" w:eastAsia="Calibri" w:hAnsi="Times New Roman" w:cs="Times New Roman"/>
          <w:color w:val="222222"/>
          <w:sz w:val="24"/>
          <w:szCs w:val="24"/>
          <w:shd w:val="clear" w:color="auto" w:fill="FFFFFF"/>
        </w:rPr>
        <w:t>Usadel</w:t>
      </w:r>
      <w:proofErr w:type="spellEnd"/>
      <w:r w:rsidRPr="008E560A">
        <w:rPr>
          <w:rFonts w:ascii="Times New Roman" w:eastAsia="Calibri" w:hAnsi="Times New Roman" w:cs="Times New Roman"/>
          <w:color w:val="222222"/>
          <w:sz w:val="24"/>
          <w:szCs w:val="24"/>
          <w:shd w:val="clear" w:color="auto" w:fill="FFFFFF"/>
        </w:rPr>
        <w:t xml:space="preserve">, B., </w:t>
      </w:r>
      <w:proofErr w:type="spellStart"/>
      <w:r w:rsidRPr="008E560A">
        <w:rPr>
          <w:rFonts w:ascii="Times New Roman" w:eastAsia="Calibri" w:hAnsi="Times New Roman" w:cs="Times New Roman"/>
          <w:color w:val="222222"/>
          <w:sz w:val="24"/>
          <w:szCs w:val="24"/>
          <w:shd w:val="clear" w:color="auto" w:fill="FFFFFF"/>
        </w:rPr>
        <w:t>Rascher</w:t>
      </w:r>
      <w:proofErr w:type="spellEnd"/>
      <w:r w:rsidRPr="008E560A">
        <w:rPr>
          <w:rFonts w:ascii="Times New Roman" w:eastAsia="Calibri" w:hAnsi="Times New Roman" w:cs="Times New Roman"/>
          <w:color w:val="222222"/>
          <w:sz w:val="24"/>
          <w:szCs w:val="24"/>
          <w:shd w:val="clear" w:color="auto" w:fill="FFFFFF"/>
        </w:rPr>
        <w:t xml:space="preserve">, U., Muller, O., &amp; </w:t>
      </w:r>
      <w:proofErr w:type="spellStart"/>
      <w:r w:rsidRPr="008E560A">
        <w:rPr>
          <w:rFonts w:ascii="Times New Roman" w:eastAsia="Calibri" w:hAnsi="Times New Roman" w:cs="Times New Roman"/>
          <w:color w:val="222222"/>
          <w:sz w:val="24"/>
          <w:szCs w:val="24"/>
          <w:shd w:val="clear" w:color="auto" w:fill="FFFFFF"/>
        </w:rPr>
        <w:t>Schurr</w:t>
      </w:r>
      <w:proofErr w:type="spellEnd"/>
      <w:r w:rsidRPr="008E560A">
        <w:rPr>
          <w:rFonts w:ascii="Times New Roman" w:eastAsia="Calibri" w:hAnsi="Times New Roman" w:cs="Times New Roman"/>
          <w:color w:val="222222"/>
          <w:sz w:val="24"/>
          <w:szCs w:val="24"/>
          <w:shd w:val="clear" w:color="auto" w:fill="FFFFFF"/>
        </w:rPr>
        <w:t xml:space="preserve">, U. (2020). Phenotyping: New Windows into the Plant for Breeders. Annual review of plant biology, 71, 689–712. </w:t>
      </w:r>
      <w:hyperlink r:id="rId58" w:history="1">
        <w:r w:rsidRPr="008E560A">
          <w:rPr>
            <w:rFonts w:ascii="Times New Roman" w:eastAsia="Calibri" w:hAnsi="Times New Roman" w:cs="Times New Roman"/>
            <w:color w:val="0000FF"/>
            <w:sz w:val="24"/>
            <w:szCs w:val="24"/>
            <w:u w:val="single"/>
            <w:shd w:val="clear" w:color="auto" w:fill="FFFFFF"/>
          </w:rPr>
          <w:t>https://doi.org/10.1146/annurev-arplant-042916-041124</w:t>
        </w:r>
      </w:hyperlink>
      <w:r w:rsidRPr="008E560A">
        <w:rPr>
          <w:rFonts w:ascii="Times New Roman" w:eastAsia="Calibri" w:hAnsi="Times New Roman" w:cs="Times New Roman"/>
          <w:color w:val="222222"/>
          <w:sz w:val="24"/>
          <w:szCs w:val="24"/>
          <w:shd w:val="clear" w:color="auto" w:fill="FFFFFF"/>
        </w:rPr>
        <w:t xml:space="preserve"> </w:t>
      </w:r>
    </w:p>
    <w:p w14:paraId="24A8422F" w14:textId="77777777" w:rsidR="00DE56CE" w:rsidRPr="008E560A" w:rsidRDefault="00DE56CE" w:rsidP="00507EE0">
      <w:pPr>
        <w:spacing w:before="100" w:beforeAutospacing="1" w:after="100" w:afterAutospacing="1" w:line="240" w:lineRule="auto"/>
        <w:ind w:left="360"/>
        <w:jc w:val="both"/>
        <w:rPr>
          <w:rFonts w:ascii="Times New Roman" w:eastAsia="Calibri" w:hAnsi="Times New Roman" w:cs="Times New Roman"/>
          <w:color w:val="222222"/>
          <w:sz w:val="24"/>
          <w:szCs w:val="24"/>
          <w:shd w:val="clear" w:color="auto" w:fill="FFFFFF"/>
        </w:rPr>
      </w:pPr>
      <w:r w:rsidRPr="008E560A">
        <w:rPr>
          <w:rFonts w:ascii="Times New Roman" w:eastAsia="Calibri" w:hAnsi="Times New Roman" w:cs="Times New Roman"/>
          <w:color w:val="222222"/>
          <w:sz w:val="24"/>
          <w:szCs w:val="24"/>
          <w:shd w:val="clear" w:color="auto" w:fill="FFFFFF"/>
        </w:rPr>
        <w:t xml:space="preserve">Xu, L., Zhu, Z., &amp; Sun, D. W. (2021). Bioinspired Nanomodification Strategies: Moving from Chemical-Based </w:t>
      </w:r>
      <w:proofErr w:type="spellStart"/>
      <w:r w:rsidRPr="008E560A">
        <w:rPr>
          <w:rFonts w:ascii="Times New Roman" w:eastAsia="Calibri" w:hAnsi="Times New Roman" w:cs="Times New Roman"/>
          <w:color w:val="222222"/>
          <w:sz w:val="24"/>
          <w:szCs w:val="24"/>
          <w:shd w:val="clear" w:color="auto" w:fill="FFFFFF"/>
        </w:rPr>
        <w:t>Agrosystems</w:t>
      </w:r>
      <w:proofErr w:type="spellEnd"/>
      <w:r w:rsidRPr="008E560A">
        <w:rPr>
          <w:rFonts w:ascii="Times New Roman" w:eastAsia="Calibri" w:hAnsi="Times New Roman" w:cs="Times New Roman"/>
          <w:color w:val="222222"/>
          <w:sz w:val="24"/>
          <w:szCs w:val="24"/>
          <w:shd w:val="clear" w:color="auto" w:fill="FFFFFF"/>
        </w:rPr>
        <w:t xml:space="preserve"> to Sustainable Agriculture. ACS </w:t>
      </w:r>
      <w:proofErr w:type="spellStart"/>
      <w:r w:rsidRPr="008E560A">
        <w:rPr>
          <w:rFonts w:ascii="Times New Roman" w:eastAsia="Calibri" w:hAnsi="Times New Roman" w:cs="Times New Roman"/>
          <w:color w:val="222222"/>
          <w:sz w:val="24"/>
          <w:szCs w:val="24"/>
          <w:shd w:val="clear" w:color="auto" w:fill="FFFFFF"/>
        </w:rPr>
        <w:t>nano</w:t>
      </w:r>
      <w:proofErr w:type="spellEnd"/>
      <w:r w:rsidRPr="008E560A">
        <w:rPr>
          <w:rFonts w:ascii="Times New Roman" w:eastAsia="Calibri" w:hAnsi="Times New Roman" w:cs="Times New Roman"/>
          <w:color w:val="222222"/>
          <w:sz w:val="24"/>
          <w:szCs w:val="24"/>
          <w:shd w:val="clear" w:color="auto" w:fill="FFFFFF"/>
        </w:rPr>
        <w:t xml:space="preserve">, 15(8), 12655–12686. </w:t>
      </w:r>
      <w:hyperlink r:id="rId59" w:history="1">
        <w:r w:rsidRPr="008E560A">
          <w:rPr>
            <w:rFonts w:ascii="Times New Roman" w:eastAsia="Calibri" w:hAnsi="Times New Roman" w:cs="Times New Roman"/>
            <w:color w:val="0000FF"/>
            <w:sz w:val="24"/>
            <w:szCs w:val="24"/>
            <w:u w:val="single"/>
            <w:shd w:val="clear" w:color="auto" w:fill="FFFFFF"/>
          </w:rPr>
          <w:t>https://doi.org/10.1021/acsnano.1c03948</w:t>
        </w:r>
      </w:hyperlink>
      <w:r w:rsidRPr="008E560A">
        <w:rPr>
          <w:rFonts w:ascii="Times New Roman" w:eastAsia="Calibri" w:hAnsi="Times New Roman" w:cs="Times New Roman"/>
          <w:color w:val="222222"/>
          <w:sz w:val="24"/>
          <w:szCs w:val="24"/>
          <w:shd w:val="clear" w:color="auto" w:fill="FFFFFF"/>
        </w:rPr>
        <w:t xml:space="preserve"> </w:t>
      </w:r>
    </w:p>
    <w:p w14:paraId="65FFD791" w14:textId="77777777" w:rsidR="00DE56CE" w:rsidRPr="008E560A" w:rsidRDefault="00DE56CE" w:rsidP="00507EE0">
      <w:pPr>
        <w:spacing w:before="100" w:beforeAutospacing="1" w:after="100" w:afterAutospacing="1" w:line="240" w:lineRule="auto"/>
        <w:ind w:left="360"/>
        <w:jc w:val="both"/>
        <w:rPr>
          <w:rFonts w:ascii="Times New Roman" w:eastAsia="Calibri" w:hAnsi="Times New Roman" w:cs="Times New Roman"/>
          <w:color w:val="222222"/>
          <w:sz w:val="24"/>
          <w:szCs w:val="24"/>
          <w:shd w:val="clear" w:color="auto" w:fill="FFFFFF"/>
        </w:rPr>
      </w:pPr>
      <w:r w:rsidRPr="008E560A">
        <w:rPr>
          <w:rFonts w:ascii="Times New Roman" w:eastAsia="Calibri" w:hAnsi="Times New Roman" w:cs="Times New Roman"/>
          <w:color w:val="222222"/>
          <w:sz w:val="24"/>
          <w:szCs w:val="24"/>
          <w:shd w:val="clear" w:color="auto" w:fill="FFFFFF"/>
        </w:rPr>
        <w:t xml:space="preserve">Ye, Y., Zhang, X., Chen, X., Xu, Y., Liu, J., Tan, J., ... &amp; Zhu, G. (2022). The use of widely targeted metabolomics profiling to quantify differences in medicinally important </w:t>
      </w:r>
      <w:r w:rsidRPr="008E560A">
        <w:rPr>
          <w:rFonts w:ascii="Times New Roman" w:eastAsia="Calibri" w:hAnsi="Times New Roman" w:cs="Times New Roman"/>
          <w:color w:val="222222"/>
          <w:sz w:val="24"/>
          <w:szCs w:val="24"/>
          <w:shd w:val="clear" w:color="auto" w:fill="FFFFFF"/>
        </w:rPr>
        <w:lastRenderedPageBreak/>
        <w:t>compounds from five Curcuma (</w:t>
      </w:r>
      <w:proofErr w:type="spellStart"/>
      <w:r w:rsidRPr="008E560A">
        <w:rPr>
          <w:rFonts w:ascii="Times New Roman" w:eastAsia="Calibri" w:hAnsi="Times New Roman" w:cs="Times New Roman"/>
          <w:color w:val="222222"/>
          <w:sz w:val="24"/>
          <w:szCs w:val="24"/>
          <w:shd w:val="clear" w:color="auto" w:fill="FFFFFF"/>
        </w:rPr>
        <w:t>Zingiberaceae</w:t>
      </w:r>
      <w:proofErr w:type="spellEnd"/>
      <w:r w:rsidRPr="008E560A">
        <w:rPr>
          <w:rFonts w:ascii="Times New Roman" w:eastAsia="Calibri" w:hAnsi="Times New Roman" w:cs="Times New Roman"/>
          <w:color w:val="222222"/>
          <w:sz w:val="24"/>
          <w:szCs w:val="24"/>
          <w:shd w:val="clear" w:color="auto" w:fill="FFFFFF"/>
        </w:rPr>
        <w:t xml:space="preserve">) species. Industrial Crops and Products, 175, 114289. </w:t>
      </w:r>
      <w:hyperlink r:id="rId60" w:history="1">
        <w:r w:rsidRPr="008E560A">
          <w:rPr>
            <w:rFonts w:ascii="Times New Roman" w:eastAsia="Calibri" w:hAnsi="Times New Roman" w:cs="Times New Roman"/>
            <w:color w:val="0000FF"/>
            <w:sz w:val="24"/>
            <w:szCs w:val="24"/>
            <w:u w:val="single"/>
            <w:shd w:val="clear" w:color="auto" w:fill="FFFFFF"/>
          </w:rPr>
          <w:t>https://doi.org/10.1016/j.indcrop.2021.114289</w:t>
        </w:r>
      </w:hyperlink>
      <w:r w:rsidRPr="008E560A">
        <w:rPr>
          <w:rFonts w:ascii="Times New Roman" w:eastAsia="Calibri" w:hAnsi="Times New Roman" w:cs="Times New Roman"/>
          <w:color w:val="222222"/>
          <w:sz w:val="24"/>
          <w:szCs w:val="24"/>
          <w:shd w:val="clear" w:color="auto" w:fill="FFFFFF"/>
        </w:rPr>
        <w:t xml:space="preserve"> </w:t>
      </w:r>
    </w:p>
    <w:p w14:paraId="22FDD55B" w14:textId="77777777" w:rsidR="00DE56CE" w:rsidRPr="008E560A" w:rsidRDefault="00DE56CE" w:rsidP="00507EE0">
      <w:pPr>
        <w:spacing w:before="100" w:beforeAutospacing="1" w:after="100" w:afterAutospacing="1" w:line="240" w:lineRule="auto"/>
        <w:ind w:left="360"/>
        <w:jc w:val="both"/>
        <w:rPr>
          <w:rFonts w:ascii="Times New Roman" w:eastAsia="Calibri" w:hAnsi="Times New Roman" w:cs="Times New Roman"/>
          <w:color w:val="222222"/>
          <w:sz w:val="24"/>
          <w:szCs w:val="24"/>
          <w:shd w:val="clear" w:color="auto" w:fill="FFFFFF"/>
        </w:rPr>
      </w:pPr>
      <w:r w:rsidRPr="008E560A">
        <w:rPr>
          <w:rFonts w:ascii="Times New Roman" w:eastAsia="Calibri" w:hAnsi="Times New Roman" w:cs="Times New Roman"/>
          <w:color w:val="222222"/>
          <w:sz w:val="24"/>
          <w:szCs w:val="24"/>
          <w:shd w:val="clear" w:color="auto" w:fill="FFFFFF"/>
        </w:rPr>
        <w:t xml:space="preserve">Yin, Y., </w:t>
      </w:r>
      <w:proofErr w:type="spellStart"/>
      <w:r w:rsidRPr="008E560A">
        <w:rPr>
          <w:rFonts w:ascii="Times New Roman" w:eastAsia="Calibri" w:hAnsi="Times New Roman" w:cs="Times New Roman"/>
          <w:color w:val="222222"/>
          <w:sz w:val="24"/>
          <w:szCs w:val="24"/>
          <w:shd w:val="clear" w:color="auto" w:fill="FFFFFF"/>
        </w:rPr>
        <w:t>Xie</w:t>
      </w:r>
      <w:proofErr w:type="spellEnd"/>
      <w:r w:rsidRPr="008E560A">
        <w:rPr>
          <w:rFonts w:ascii="Times New Roman" w:eastAsia="Calibri" w:hAnsi="Times New Roman" w:cs="Times New Roman"/>
          <w:color w:val="222222"/>
          <w:sz w:val="24"/>
          <w:szCs w:val="24"/>
          <w:shd w:val="clear" w:color="auto" w:fill="FFFFFF"/>
        </w:rPr>
        <w:t xml:space="preserve">, X., Zhou, L., Yin, X., Guo, S., Zhou, X., Li, Q., Shi, X., Peng, C., &amp; Gao, J. (2022). A chromosome-scale genome assembly of turmeric provides insights into curcumin biosynthesis and tuber formation mechanism. Frontiers in plant science, 13, 1003835. </w:t>
      </w:r>
      <w:hyperlink r:id="rId61" w:history="1">
        <w:r w:rsidRPr="008E560A">
          <w:rPr>
            <w:rFonts w:ascii="Times New Roman" w:eastAsia="Calibri" w:hAnsi="Times New Roman" w:cs="Times New Roman"/>
            <w:color w:val="0000FF"/>
            <w:sz w:val="24"/>
            <w:szCs w:val="24"/>
            <w:u w:val="single"/>
            <w:shd w:val="clear" w:color="auto" w:fill="FFFFFF"/>
          </w:rPr>
          <w:t>https://doi.org/10.3389/fpls.2022.1003835</w:t>
        </w:r>
      </w:hyperlink>
      <w:r w:rsidRPr="008E560A">
        <w:rPr>
          <w:rFonts w:ascii="Times New Roman" w:eastAsia="Calibri" w:hAnsi="Times New Roman" w:cs="Times New Roman"/>
          <w:color w:val="222222"/>
          <w:sz w:val="24"/>
          <w:szCs w:val="24"/>
          <w:shd w:val="clear" w:color="auto" w:fill="FFFFFF"/>
        </w:rPr>
        <w:t xml:space="preserve"> </w:t>
      </w:r>
    </w:p>
    <w:p w14:paraId="0DCDE6D9" w14:textId="0F26CDBB" w:rsidR="002E2F40" w:rsidRDefault="00DE56CE" w:rsidP="002E2F40">
      <w:pPr>
        <w:spacing w:before="100" w:beforeAutospacing="1" w:after="100" w:afterAutospacing="1" w:line="240" w:lineRule="auto"/>
        <w:ind w:left="360"/>
        <w:jc w:val="both"/>
        <w:rPr>
          <w:rFonts w:ascii="Arial" w:hAnsi="Arial" w:cs="Arial"/>
          <w:color w:val="222222"/>
          <w:sz w:val="20"/>
          <w:szCs w:val="20"/>
          <w:highlight w:val="yellow"/>
          <w:shd w:val="clear" w:color="auto" w:fill="FFFFFF"/>
        </w:rPr>
      </w:pPr>
      <w:r w:rsidRPr="008E560A">
        <w:rPr>
          <w:rFonts w:ascii="Times New Roman" w:eastAsia="Calibri" w:hAnsi="Times New Roman" w:cs="Times New Roman"/>
          <w:color w:val="222222"/>
          <w:sz w:val="24"/>
          <w:szCs w:val="24"/>
          <w:shd w:val="clear" w:color="auto" w:fill="FFFFFF"/>
        </w:rPr>
        <w:t xml:space="preserve">Zhang, Y., Su, R., Yuan, H., Zhou, H., </w:t>
      </w:r>
      <w:proofErr w:type="spellStart"/>
      <w:r w:rsidRPr="008E560A">
        <w:rPr>
          <w:rFonts w:ascii="Times New Roman" w:eastAsia="Calibri" w:hAnsi="Times New Roman" w:cs="Times New Roman"/>
          <w:color w:val="222222"/>
          <w:sz w:val="24"/>
          <w:szCs w:val="24"/>
          <w:shd w:val="clear" w:color="auto" w:fill="FFFFFF"/>
        </w:rPr>
        <w:t>Jiangfang</w:t>
      </w:r>
      <w:proofErr w:type="spellEnd"/>
      <w:r w:rsidRPr="008E560A">
        <w:rPr>
          <w:rFonts w:ascii="Times New Roman" w:eastAsia="Calibri" w:hAnsi="Times New Roman" w:cs="Times New Roman"/>
          <w:color w:val="222222"/>
          <w:sz w:val="24"/>
          <w:szCs w:val="24"/>
          <w:shd w:val="clear" w:color="auto" w:fill="FFFFFF"/>
        </w:rPr>
        <w:t xml:space="preserve">, Y., Liu, X., &amp; Luo, J. (2023). Widely Targeted </w:t>
      </w:r>
      <w:proofErr w:type="spellStart"/>
      <w:r w:rsidRPr="008E560A">
        <w:rPr>
          <w:rFonts w:ascii="Times New Roman" w:eastAsia="Calibri" w:hAnsi="Times New Roman" w:cs="Times New Roman"/>
          <w:color w:val="222222"/>
          <w:sz w:val="24"/>
          <w:szCs w:val="24"/>
          <w:shd w:val="clear" w:color="auto" w:fill="FFFFFF"/>
        </w:rPr>
        <w:t>Volatilomics</w:t>
      </w:r>
      <w:proofErr w:type="spellEnd"/>
      <w:r w:rsidRPr="008E560A">
        <w:rPr>
          <w:rFonts w:ascii="Times New Roman" w:eastAsia="Calibri" w:hAnsi="Times New Roman" w:cs="Times New Roman"/>
          <w:color w:val="222222"/>
          <w:sz w:val="24"/>
          <w:szCs w:val="24"/>
          <w:shd w:val="clear" w:color="auto" w:fill="FFFFFF"/>
        </w:rPr>
        <w:t xml:space="preserve"> and Metabolomics Analysis Reveal the Metabolic Composition and Diversity of </w:t>
      </w:r>
      <w:proofErr w:type="spellStart"/>
      <w:r w:rsidRPr="008E560A">
        <w:rPr>
          <w:rFonts w:ascii="Times New Roman" w:eastAsia="Calibri" w:hAnsi="Times New Roman" w:cs="Times New Roman"/>
          <w:color w:val="222222"/>
          <w:sz w:val="24"/>
          <w:szCs w:val="24"/>
          <w:shd w:val="clear" w:color="auto" w:fill="FFFFFF"/>
        </w:rPr>
        <w:t>Zingiberaceae</w:t>
      </w:r>
      <w:proofErr w:type="spellEnd"/>
      <w:r w:rsidRPr="008E560A">
        <w:rPr>
          <w:rFonts w:ascii="Times New Roman" w:eastAsia="Calibri" w:hAnsi="Times New Roman" w:cs="Times New Roman"/>
          <w:color w:val="222222"/>
          <w:sz w:val="24"/>
          <w:szCs w:val="24"/>
          <w:shd w:val="clear" w:color="auto" w:fill="FFFFFF"/>
        </w:rPr>
        <w:t xml:space="preserve"> Plants. Metabolites, 13(6), 700. </w:t>
      </w:r>
      <w:hyperlink r:id="rId62" w:history="1">
        <w:r w:rsidRPr="008E560A">
          <w:rPr>
            <w:rFonts w:ascii="Times New Roman" w:eastAsia="Calibri" w:hAnsi="Times New Roman" w:cs="Times New Roman"/>
            <w:color w:val="0000FF"/>
            <w:sz w:val="24"/>
            <w:szCs w:val="24"/>
            <w:u w:val="single"/>
            <w:shd w:val="clear" w:color="auto" w:fill="FFFFFF"/>
          </w:rPr>
          <w:t>https://doi.org/10.3390/metabo13060700</w:t>
        </w:r>
      </w:hyperlink>
      <w:r w:rsidR="00DE49BA" w:rsidRPr="00607CEC">
        <w:rPr>
          <w:rFonts w:ascii="Arial" w:hAnsi="Arial" w:cs="Arial"/>
          <w:color w:val="222222"/>
          <w:sz w:val="20"/>
          <w:szCs w:val="20"/>
          <w:highlight w:val="yellow"/>
          <w:shd w:val="clear" w:color="auto" w:fill="FFFFFF"/>
        </w:rPr>
        <w:t xml:space="preserve">Jabborova, D., </w:t>
      </w:r>
      <w:proofErr w:type="spellStart"/>
      <w:r w:rsidR="00DE49BA" w:rsidRPr="00607CEC">
        <w:rPr>
          <w:rFonts w:ascii="Arial" w:hAnsi="Arial" w:cs="Arial"/>
          <w:color w:val="222222"/>
          <w:sz w:val="20"/>
          <w:szCs w:val="20"/>
          <w:highlight w:val="yellow"/>
          <w:shd w:val="clear" w:color="auto" w:fill="FFFFFF"/>
        </w:rPr>
        <w:t>Sulaymanov</w:t>
      </w:r>
      <w:proofErr w:type="spellEnd"/>
      <w:r w:rsidR="00DE49BA" w:rsidRPr="00607CEC">
        <w:rPr>
          <w:rFonts w:ascii="Arial" w:hAnsi="Arial" w:cs="Arial"/>
          <w:color w:val="222222"/>
          <w:sz w:val="20"/>
          <w:szCs w:val="20"/>
          <w:highlight w:val="yellow"/>
          <w:shd w:val="clear" w:color="auto" w:fill="FFFFFF"/>
        </w:rPr>
        <w:t xml:space="preserve">, K., Sayyed, R. Z., Alotaibi, S. H., </w:t>
      </w:r>
      <w:proofErr w:type="spellStart"/>
      <w:r w:rsidR="00DE49BA" w:rsidRPr="00607CEC">
        <w:rPr>
          <w:rFonts w:ascii="Arial" w:hAnsi="Arial" w:cs="Arial"/>
          <w:color w:val="222222"/>
          <w:sz w:val="20"/>
          <w:szCs w:val="20"/>
          <w:highlight w:val="yellow"/>
          <w:shd w:val="clear" w:color="auto" w:fill="FFFFFF"/>
        </w:rPr>
        <w:t>Enakiev</w:t>
      </w:r>
      <w:proofErr w:type="spellEnd"/>
      <w:r w:rsidR="00DE49BA" w:rsidRPr="00607CEC">
        <w:rPr>
          <w:rFonts w:ascii="Arial" w:hAnsi="Arial" w:cs="Arial"/>
          <w:color w:val="222222"/>
          <w:sz w:val="20"/>
          <w:szCs w:val="20"/>
          <w:highlight w:val="yellow"/>
          <w:shd w:val="clear" w:color="auto" w:fill="FFFFFF"/>
        </w:rPr>
        <w:t xml:space="preserve">, Y., </w:t>
      </w:r>
      <w:proofErr w:type="spellStart"/>
      <w:r w:rsidR="00DE49BA" w:rsidRPr="00607CEC">
        <w:rPr>
          <w:rFonts w:ascii="Arial" w:hAnsi="Arial" w:cs="Arial"/>
          <w:color w:val="222222"/>
          <w:sz w:val="20"/>
          <w:szCs w:val="20"/>
          <w:highlight w:val="yellow"/>
          <w:shd w:val="clear" w:color="auto" w:fill="FFFFFF"/>
        </w:rPr>
        <w:t>Azimov</w:t>
      </w:r>
      <w:proofErr w:type="spellEnd"/>
      <w:r w:rsidR="00DE49BA" w:rsidRPr="00607CEC">
        <w:rPr>
          <w:rFonts w:ascii="Arial" w:hAnsi="Arial" w:cs="Arial"/>
          <w:color w:val="222222"/>
          <w:sz w:val="20"/>
          <w:szCs w:val="20"/>
          <w:highlight w:val="yellow"/>
          <w:shd w:val="clear" w:color="auto" w:fill="FFFFFF"/>
        </w:rPr>
        <w:t xml:space="preserve">, A., ... &amp; Datta, R. (2021). Mineral fertilizers </w:t>
      </w:r>
      <w:proofErr w:type="gramStart"/>
      <w:r w:rsidR="00DE49BA" w:rsidRPr="00607CEC">
        <w:rPr>
          <w:rFonts w:ascii="Arial" w:hAnsi="Arial" w:cs="Arial"/>
          <w:color w:val="222222"/>
          <w:sz w:val="20"/>
          <w:szCs w:val="20"/>
          <w:highlight w:val="yellow"/>
          <w:shd w:val="clear" w:color="auto" w:fill="FFFFFF"/>
        </w:rPr>
        <w:t>improves</w:t>
      </w:r>
      <w:proofErr w:type="gramEnd"/>
      <w:r w:rsidR="00DE49BA" w:rsidRPr="00607CEC">
        <w:rPr>
          <w:rFonts w:ascii="Arial" w:hAnsi="Arial" w:cs="Arial"/>
          <w:color w:val="222222"/>
          <w:sz w:val="20"/>
          <w:szCs w:val="20"/>
          <w:highlight w:val="yellow"/>
          <w:shd w:val="clear" w:color="auto" w:fill="FFFFFF"/>
        </w:rPr>
        <w:t xml:space="preserve"> the quality of turmeric and soil. </w:t>
      </w:r>
      <w:r w:rsidR="00DE49BA" w:rsidRPr="00607CEC">
        <w:rPr>
          <w:rFonts w:ascii="Arial" w:hAnsi="Arial" w:cs="Arial"/>
          <w:i/>
          <w:iCs/>
          <w:color w:val="222222"/>
          <w:sz w:val="20"/>
          <w:szCs w:val="20"/>
          <w:highlight w:val="yellow"/>
          <w:shd w:val="clear" w:color="auto" w:fill="FFFFFF"/>
        </w:rPr>
        <w:t>Sustainability</w:t>
      </w:r>
      <w:r w:rsidR="00DE49BA" w:rsidRPr="00607CEC">
        <w:rPr>
          <w:rFonts w:ascii="Arial" w:hAnsi="Arial" w:cs="Arial"/>
          <w:color w:val="222222"/>
          <w:sz w:val="20"/>
          <w:szCs w:val="20"/>
          <w:highlight w:val="yellow"/>
          <w:shd w:val="clear" w:color="auto" w:fill="FFFFFF"/>
        </w:rPr>
        <w:t>, </w:t>
      </w:r>
      <w:r w:rsidR="00DE49BA" w:rsidRPr="00607CEC">
        <w:rPr>
          <w:rFonts w:ascii="Arial" w:hAnsi="Arial" w:cs="Arial"/>
          <w:i/>
          <w:iCs/>
          <w:color w:val="222222"/>
          <w:sz w:val="20"/>
          <w:szCs w:val="20"/>
          <w:highlight w:val="yellow"/>
          <w:shd w:val="clear" w:color="auto" w:fill="FFFFFF"/>
        </w:rPr>
        <w:t>13</w:t>
      </w:r>
      <w:r w:rsidR="00DE49BA" w:rsidRPr="00607CEC">
        <w:rPr>
          <w:rFonts w:ascii="Arial" w:hAnsi="Arial" w:cs="Arial"/>
          <w:color w:val="222222"/>
          <w:sz w:val="20"/>
          <w:szCs w:val="20"/>
          <w:highlight w:val="yellow"/>
          <w:shd w:val="clear" w:color="auto" w:fill="FFFFFF"/>
        </w:rPr>
        <w:t>(16), 9437.</w:t>
      </w:r>
      <w:r w:rsidR="00607CEC">
        <w:rPr>
          <w:rFonts w:ascii="Arial" w:hAnsi="Arial" w:cs="Arial"/>
          <w:color w:val="222222"/>
          <w:sz w:val="20"/>
          <w:szCs w:val="20"/>
          <w:highlight w:val="yellow"/>
          <w:shd w:val="clear" w:color="auto" w:fill="FFFFFF"/>
        </w:rPr>
        <w:t xml:space="preserve"> </w:t>
      </w:r>
      <w:hyperlink r:id="rId63" w:history="1">
        <w:r w:rsidR="00607CEC">
          <w:rPr>
            <w:rStyle w:val="Hyperlink"/>
            <w:rFonts w:ascii="Arial" w:hAnsi="Arial" w:cs="Arial"/>
            <w:b/>
            <w:bCs/>
            <w:color w:val="4F5671"/>
            <w:sz w:val="20"/>
            <w:szCs w:val="20"/>
            <w:shd w:val="clear" w:color="auto" w:fill="FFFFFF"/>
          </w:rPr>
          <w:t>https://doi.org/10.3390/su13169437</w:t>
        </w:r>
      </w:hyperlink>
    </w:p>
    <w:p w14:paraId="6F5D6576" w14:textId="41484D65" w:rsidR="002E2F40" w:rsidRPr="00607CEC" w:rsidRDefault="002E2F40" w:rsidP="00607CEC">
      <w:pPr>
        <w:spacing w:before="100" w:beforeAutospacing="1" w:after="100" w:afterAutospacing="1" w:line="240" w:lineRule="auto"/>
        <w:ind w:left="360"/>
        <w:jc w:val="both"/>
        <w:rPr>
          <w:rFonts w:ascii="Arial" w:hAnsi="Arial" w:cs="Arial"/>
          <w:color w:val="222222"/>
          <w:sz w:val="14"/>
          <w:szCs w:val="20"/>
          <w:highlight w:val="yellow"/>
          <w:shd w:val="clear" w:color="auto" w:fill="FFFFFF"/>
        </w:rPr>
      </w:pPr>
      <w:proofErr w:type="spellStart"/>
      <w:r w:rsidRPr="00607CEC">
        <w:rPr>
          <w:rFonts w:ascii="Arial" w:eastAsia="Times New Roman" w:hAnsi="Arial" w:cs="Arial"/>
          <w:color w:val="333333"/>
          <w:sz w:val="20"/>
          <w:szCs w:val="27"/>
          <w:highlight w:val="yellow"/>
          <w:lang w:val="en-US"/>
        </w:rPr>
        <w:t>Siya</w:t>
      </w:r>
      <w:proofErr w:type="spellEnd"/>
      <w:r w:rsidRPr="00607CEC">
        <w:rPr>
          <w:rFonts w:ascii="Arial" w:eastAsia="Times New Roman" w:hAnsi="Arial" w:cs="Arial"/>
          <w:color w:val="333333"/>
          <w:sz w:val="20"/>
          <w:szCs w:val="27"/>
          <w:highlight w:val="yellow"/>
          <w:lang w:val="en-US"/>
        </w:rPr>
        <w:t xml:space="preserve"> Ram, M. R. </w:t>
      </w:r>
      <w:proofErr w:type="spellStart"/>
      <w:r w:rsidRPr="00607CEC">
        <w:rPr>
          <w:rFonts w:ascii="Arial" w:eastAsia="Times New Roman" w:hAnsi="Arial" w:cs="Arial"/>
          <w:color w:val="333333"/>
          <w:sz w:val="20"/>
          <w:szCs w:val="27"/>
          <w:highlight w:val="yellow"/>
          <w:lang w:val="en-US"/>
        </w:rPr>
        <w:t>Chandrakar</w:t>
      </w:r>
      <w:proofErr w:type="spellEnd"/>
      <w:r w:rsidRPr="00607CEC">
        <w:rPr>
          <w:rFonts w:ascii="Arial" w:eastAsia="Times New Roman" w:hAnsi="Arial" w:cs="Arial"/>
          <w:color w:val="333333"/>
          <w:sz w:val="20"/>
          <w:szCs w:val="27"/>
          <w:highlight w:val="yellow"/>
          <w:lang w:val="en-US"/>
        </w:rPr>
        <w:t xml:space="preserve">, </w:t>
      </w:r>
      <w:proofErr w:type="spellStart"/>
      <w:r w:rsidRPr="00607CEC">
        <w:rPr>
          <w:rFonts w:ascii="Arial" w:eastAsia="Times New Roman" w:hAnsi="Arial" w:cs="Arial"/>
          <w:color w:val="333333"/>
          <w:sz w:val="20"/>
          <w:szCs w:val="27"/>
          <w:highlight w:val="yellow"/>
          <w:lang w:val="en-US"/>
        </w:rPr>
        <w:t>Narottam</w:t>
      </w:r>
      <w:proofErr w:type="spellEnd"/>
      <w:r w:rsidRPr="00607CEC">
        <w:rPr>
          <w:rFonts w:ascii="Arial" w:eastAsia="Times New Roman" w:hAnsi="Arial" w:cs="Arial"/>
          <w:color w:val="333333"/>
          <w:sz w:val="20"/>
          <w:szCs w:val="27"/>
          <w:highlight w:val="yellow"/>
          <w:lang w:val="en-US"/>
        </w:rPr>
        <w:t xml:space="preserve"> </w:t>
      </w:r>
      <w:proofErr w:type="spellStart"/>
      <w:r w:rsidRPr="00607CEC">
        <w:rPr>
          <w:rFonts w:ascii="Arial" w:eastAsia="Times New Roman" w:hAnsi="Arial" w:cs="Arial"/>
          <w:color w:val="333333"/>
          <w:sz w:val="20"/>
          <w:szCs w:val="27"/>
          <w:highlight w:val="yellow"/>
          <w:lang w:val="en-US"/>
        </w:rPr>
        <w:t>Atree</w:t>
      </w:r>
      <w:proofErr w:type="spellEnd"/>
      <w:r w:rsidRPr="00607CEC">
        <w:rPr>
          <w:rFonts w:ascii="Arial" w:eastAsia="Times New Roman" w:hAnsi="Arial" w:cs="Arial"/>
          <w:color w:val="333333"/>
          <w:sz w:val="20"/>
          <w:szCs w:val="27"/>
          <w:highlight w:val="yellow"/>
          <w:lang w:val="en-US"/>
        </w:rPr>
        <w:t xml:space="preserve">, Pradip Kumar Patel, A. K. </w:t>
      </w:r>
      <w:proofErr w:type="spellStart"/>
      <w:r w:rsidRPr="00607CEC">
        <w:rPr>
          <w:rFonts w:ascii="Arial" w:eastAsia="Times New Roman" w:hAnsi="Arial" w:cs="Arial"/>
          <w:color w:val="333333"/>
          <w:sz w:val="20"/>
          <w:szCs w:val="27"/>
          <w:highlight w:val="yellow"/>
          <w:lang w:val="en-US"/>
        </w:rPr>
        <w:t>Gauraha</w:t>
      </w:r>
      <w:proofErr w:type="spellEnd"/>
      <w:r w:rsidRPr="00607CEC">
        <w:rPr>
          <w:rFonts w:ascii="Arial" w:eastAsia="Times New Roman" w:hAnsi="Arial" w:cs="Arial"/>
          <w:color w:val="333333"/>
          <w:sz w:val="20"/>
          <w:szCs w:val="27"/>
          <w:highlight w:val="yellow"/>
          <w:lang w:val="en-US"/>
        </w:rPr>
        <w:t xml:space="preserve">, and Shashi Kiran </w:t>
      </w:r>
      <w:proofErr w:type="spellStart"/>
      <w:r w:rsidRPr="00607CEC">
        <w:rPr>
          <w:rFonts w:ascii="Arial" w:eastAsia="Times New Roman" w:hAnsi="Arial" w:cs="Arial"/>
          <w:color w:val="333333"/>
          <w:sz w:val="20"/>
          <w:szCs w:val="27"/>
          <w:highlight w:val="yellow"/>
          <w:lang w:val="en-US"/>
        </w:rPr>
        <w:t>Minj</w:t>
      </w:r>
      <w:proofErr w:type="spellEnd"/>
      <w:r w:rsidRPr="00607CEC">
        <w:rPr>
          <w:rFonts w:ascii="Arial" w:eastAsia="Times New Roman" w:hAnsi="Arial" w:cs="Arial"/>
          <w:color w:val="333333"/>
          <w:sz w:val="20"/>
          <w:szCs w:val="27"/>
          <w:highlight w:val="yellow"/>
          <w:lang w:val="en-US"/>
        </w:rPr>
        <w:t xml:space="preserve">. 2023. “The Trends and Growth Analysis in the Area, Production and Productivity of Turmeric in </w:t>
      </w:r>
      <w:proofErr w:type="spellStart"/>
      <w:r w:rsidRPr="00607CEC">
        <w:rPr>
          <w:rFonts w:ascii="Arial" w:eastAsia="Times New Roman" w:hAnsi="Arial" w:cs="Arial"/>
          <w:color w:val="333333"/>
          <w:sz w:val="20"/>
          <w:szCs w:val="27"/>
          <w:highlight w:val="yellow"/>
          <w:lang w:val="en-US"/>
        </w:rPr>
        <w:t>Surguja</w:t>
      </w:r>
      <w:proofErr w:type="spellEnd"/>
      <w:r w:rsidRPr="00607CEC">
        <w:rPr>
          <w:rFonts w:ascii="Arial" w:eastAsia="Times New Roman" w:hAnsi="Arial" w:cs="Arial"/>
          <w:color w:val="333333"/>
          <w:sz w:val="20"/>
          <w:szCs w:val="27"/>
          <w:highlight w:val="yellow"/>
          <w:lang w:val="en-US"/>
        </w:rPr>
        <w:t xml:space="preserve"> District of Chhattisgarh, India”. </w:t>
      </w:r>
      <w:r w:rsidRPr="00607CEC">
        <w:rPr>
          <w:rFonts w:ascii="Arial" w:eastAsia="Times New Roman" w:hAnsi="Arial" w:cs="Arial"/>
          <w:i/>
          <w:iCs/>
          <w:color w:val="333333"/>
          <w:sz w:val="20"/>
          <w:szCs w:val="27"/>
          <w:highlight w:val="yellow"/>
          <w:lang w:val="en-US"/>
        </w:rPr>
        <w:t>International Journal of Environment and Climate Change</w:t>
      </w:r>
      <w:r w:rsidRPr="00607CEC">
        <w:rPr>
          <w:rFonts w:ascii="Arial" w:eastAsia="Times New Roman" w:hAnsi="Arial" w:cs="Arial"/>
          <w:color w:val="333333"/>
          <w:sz w:val="20"/>
          <w:szCs w:val="27"/>
          <w:highlight w:val="yellow"/>
          <w:lang w:val="en-US"/>
        </w:rPr>
        <w:t> 13 (11):1304–1309. https://doi.org/10.9734/ijecc/2023/v13i113282.</w:t>
      </w:r>
    </w:p>
    <w:p w14:paraId="671CB832" w14:textId="09A2BFCF" w:rsidR="00E05C9F" w:rsidRDefault="008900F5" w:rsidP="00E05C9F">
      <w:pPr>
        <w:spacing w:before="100" w:beforeAutospacing="1" w:after="100" w:afterAutospacing="1" w:line="240" w:lineRule="auto"/>
        <w:ind w:left="360"/>
        <w:jc w:val="both"/>
        <w:rPr>
          <w:rFonts w:ascii="Arial" w:hAnsi="Arial" w:cs="Arial"/>
          <w:color w:val="222222"/>
          <w:sz w:val="20"/>
          <w:szCs w:val="20"/>
          <w:highlight w:val="yellow"/>
          <w:shd w:val="clear" w:color="auto" w:fill="FFFFFF"/>
        </w:rPr>
      </w:pPr>
      <w:r w:rsidRPr="00607CEC">
        <w:rPr>
          <w:rFonts w:ascii="Arial" w:hAnsi="Arial" w:cs="Arial"/>
          <w:color w:val="222222"/>
          <w:sz w:val="20"/>
          <w:szCs w:val="20"/>
          <w:highlight w:val="yellow"/>
          <w:shd w:val="clear" w:color="auto" w:fill="FFFFFF"/>
        </w:rPr>
        <w:t>El-</w:t>
      </w:r>
      <w:proofErr w:type="spellStart"/>
      <w:r w:rsidRPr="00607CEC">
        <w:rPr>
          <w:rFonts w:ascii="Arial" w:hAnsi="Arial" w:cs="Arial"/>
          <w:color w:val="222222"/>
          <w:sz w:val="20"/>
          <w:szCs w:val="20"/>
          <w:highlight w:val="yellow"/>
          <w:shd w:val="clear" w:color="auto" w:fill="FFFFFF"/>
        </w:rPr>
        <w:t>Saadony</w:t>
      </w:r>
      <w:proofErr w:type="spellEnd"/>
      <w:r w:rsidRPr="00607CEC">
        <w:rPr>
          <w:rFonts w:ascii="Arial" w:hAnsi="Arial" w:cs="Arial"/>
          <w:color w:val="222222"/>
          <w:sz w:val="20"/>
          <w:szCs w:val="20"/>
          <w:highlight w:val="yellow"/>
          <w:shd w:val="clear" w:color="auto" w:fill="FFFFFF"/>
        </w:rPr>
        <w:t xml:space="preserve">, M. T., Yang, T., Korma, S. A., </w:t>
      </w:r>
      <w:proofErr w:type="spellStart"/>
      <w:r w:rsidRPr="00607CEC">
        <w:rPr>
          <w:rFonts w:ascii="Arial" w:hAnsi="Arial" w:cs="Arial"/>
          <w:color w:val="222222"/>
          <w:sz w:val="20"/>
          <w:szCs w:val="20"/>
          <w:highlight w:val="yellow"/>
          <w:shd w:val="clear" w:color="auto" w:fill="FFFFFF"/>
        </w:rPr>
        <w:t>Sitohy</w:t>
      </w:r>
      <w:proofErr w:type="spellEnd"/>
      <w:r w:rsidRPr="00607CEC">
        <w:rPr>
          <w:rFonts w:ascii="Arial" w:hAnsi="Arial" w:cs="Arial"/>
          <w:color w:val="222222"/>
          <w:sz w:val="20"/>
          <w:szCs w:val="20"/>
          <w:highlight w:val="yellow"/>
          <w:shd w:val="clear" w:color="auto" w:fill="FFFFFF"/>
        </w:rPr>
        <w:t>, M., Abd El-</w:t>
      </w:r>
      <w:proofErr w:type="spellStart"/>
      <w:r w:rsidRPr="00607CEC">
        <w:rPr>
          <w:rFonts w:ascii="Arial" w:hAnsi="Arial" w:cs="Arial"/>
          <w:color w:val="222222"/>
          <w:sz w:val="20"/>
          <w:szCs w:val="20"/>
          <w:highlight w:val="yellow"/>
          <w:shd w:val="clear" w:color="auto" w:fill="FFFFFF"/>
        </w:rPr>
        <w:t>Mageed</w:t>
      </w:r>
      <w:proofErr w:type="spellEnd"/>
      <w:r w:rsidRPr="00607CEC">
        <w:rPr>
          <w:rFonts w:ascii="Arial" w:hAnsi="Arial" w:cs="Arial"/>
          <w:color w:val="222222"/>
          <w:sz w:val="20"/>
          <w:szCs w:val="20"/>
          <w:highlight w:val="yellow"/>
          <w:shd w:val="clear" w:color="auto" w:fill="FFFFFF"/>
        </w:rPr>
        <w:t>, T. A., Selim, S., ... &amp; Saad, A. M. (2023). Impacts of turmeric and its principal bioactive curcumin on human health: Pharmaceutical, medicinal, and food applications: A comprehensive review. </w:t>
      </w:r>
      <w:r w:rsidRPr="00607CEC">
        <w:rPr>
          <w:rFonts w:ascii="Arial" w:hAnsi="Arial" w:cs="Arial"/>
          <w:i/>
          <w:iCs/>
          <w:color w:val="222222"/>
          <w:sz w:val="20"/>
          <w:szCs w:val="20"/>
          <w:highlight w:val="yellow"/>
          <w:shd w:val="clear" w:color="auto" w:fill="FFFFFF"/>
        </w:rPr>
        <w:t>Frontiers in Nutrition</w:t>
      </w:r>
      <w:r w:rsidRPr="00607CEC">
        <w:rPr>
          <w:rFonts w:ascii="Arial" w:hAnsi="Arial" w:cs="Arial"/>
          <w:color w:val="222222"/>
          <w:sz w:val="20"/>
          <w:szCs w:val="20"/>
          <w:highlight w:val="yellow"/>
          <w:shd w:val="clear" w:color="auto" w:fill="FFFFFF"/>
        </w:rPr>
        <w:t>, </w:t>
      </w:r>
      <w:r w:rsidRPr="00607CEC">
        <w:rPr>
          <w:rFonts w:ascii="Arial" w:hAnsi="Arial" w:cs="Arial"/>
          <w:i/>
          <w:iCs/>
          <w:color w:val="222222"/>
          <w:sz w:val="20"/>
          <w:szCs w:val="20"/>
          <w:highlight w:val="yellow"/>
          <w:shd w:val="clear" w:color="auto" w:fill="FFFFFF"/>
        </w:rPr>
        <w:t>9</w:t>
      </w:r>
      <w:r w:rsidRPr="00607CEC">
        <w:rPr>
          <w:rFonts w:ascii="Arial" w:hAnsi="Arial" w:cs="Arial"/>
          <w:color w:val="222222"/>
          <w:sz w:val="20"/>
          <w:szCs w:val="20"/>
          <w:highlight w:val="yellow"/>
          <w:shd w:val="clear" w:color="auto" w:fill="FFFFFF"/>
        </w:rPr>
        <w:t>, 1040259.</w:t>
      </w:r>
      <w:r w:rsidR="00607CEC">
        <w:rPr>
          <w:rFonts w:ascii="Arial" w:hAnsi="Arial" w:cs="Arial"/>
          <w:color w:val="222222"/>
          <w:sz w:val="20"/>
          <w:szCs w:val="20"/>
          <w:highlight w:val="yellow"/>
          <w:shd w:val="clear" w:color="auto" w:fill="FFFFFF"/>
        </w:rPr>
        <w:t xml:space="preserve"> </w:t>
      </w:r>
      <w:proofErr w:type="spellStart"/>
      <w:r w:rsidR="00607CEC">
        <w:rPr>
          <w:rFonts w:ascii="Bahnschrift" w:hAnsi="Bahnschrift"/>
          <w:color w:val="1B1B1B"/>
          <w:sz w:val="25"/>
          <w:szCs w:val="25"/>
          <w:shd w:val="clear" w:color="auto" w:fill="FFFFFF"/>
        </w:rPr>
        <w:t>doi</w:t>
      </w:r>
      <w:proofErr w:type="spellEnd"/>
      <w:r w:rsidR="00607CEC">
        <w:rPr>
          <w:rFonts w:ascii="Bahnschrift" w:hAnsi="Bahnschrift"/>
          <w:color w:val="1B1B1B"/>
          <w:sz w:val="25"/>
          <w:szCs w:val="25"/>
          <w:shd w:val="clear" w:color="auto" w:fill="FFFFFF"/>
        </w:rPr>
        <w:t>: </w:t>
      </w:r>
      <w:hyperlink r:id="rId64" w:tgtFrame="_blank" w:history="1">
        <w:r w:rsidR="00607CEC">
          <w:rPr>
            <w:rStyle w:val="Hyperlink"/>
            <w:rFonts w:ascii="Bahnschrift" w:hAnsi="Bahnschrift"/>
            <w:color w:val="1A4480"/>
            <w:sz w:val="25"/>
            <w:szCs w:val="25"/>
            <w:shd w:val="clear" w:color="auto" w:fill="FFFFFF"/>
          </w:rPr>
          <w:t>10.3389/fnut.2022.1040259</w:t>
        </w:r>
      </w:hyperlink>
      <w:r w:rsidR="00607CEC">
        <w:t xml:space="preserve"> </w:t>
      </w:r>
    </w:p>
    <w:p w14:paraId="1521B7AA" w14:textId="334487DB" w:rsidR="007451C8" w:rsidRPr="00607CEC" w:rsidRDefault="007451C8" w:rsidP="00607CEC">
      <w:pPr>
        <w:spacing w:before="100" w:beforeAutospacing="1" w:after="100" w:afterAutospacing="1" w:line="240" w:lineRule="auto"/>
        <w:ind w:left="360"/>
        <w:jc w:val="both"/>
        <w:rPr>
          <w:rFonts w:ascii="Arial" w:hAnsi="Arial" w:cs="Arial"/>
          <w:color w:val="222222"/>
          <w:sz w:val="16"/>
          <w:szCs w:val="20"/>
          <w:highlight w:val="yellow"/>
          <w:shd w:val="clear" w:color="auto" w:fill="FFFFFF"/>
        </w:rPr>
      </w:pPr>
      <w:r w:rsidRPr="00607CEC">
        <w:rPr>
          <w:rFonts w:ascii="Arial" w:eastAsia="Times New Roman" w:hAnsi="Arial" w:cs="Arial"/>
          <w:color w:val="333333"/>
          <w:sz w:val="18"/>
          <w:szCs w:val="27"/>
          <w:highlight w:val="yellow"/>
          <w:lang w:val="en-US"/>
        </w:rPr>
        <w:t xml:space="preserve">A. A. S. L. </w:t>
      </w:r>
      <w:proofErr w:type="spellStart"/>
      <w:r w:rsidRPr="00607CEC">
        <w:rPr>
          <w:rFonts w:ascii="Arial" w:eastAsia="Times New Roman" w:hAnsi="Arial" w:cs="Arial"/>
          <w:color w:val="333333"/>
          <w:sz w:val="18"/>
          <w:szCs w:val="27"/>
          <w:highlight w:val="yellow"/>
          <w:lang w:val="en-US"/>
        </w:rPr>
        <w:t>Abeynayaka</w:t>
      </w:r>
      <w:proofErr w:type="spellEnd"/>
      <w:r w:rsidRPr="00607CEC">
        <w:rPr>
          <w:rFonts w:ascii="Arial" w:eastAsia="Times New Roman" w:hAnsi="Arial" w:cs="Arial"/>
          <w:color w:val="333333"/>
          <w:sz w:val="18"/>
          <w:szCs w:val="27"/>
          <w:highlight w:val="yellow"/>
          <w:lang w:val="en-US"/>
        </w:rPr>
        <w:t xml:space="preserve">, A. M. K. R. </w:t>
      </w:r>
      <w:proofErr w:type="spellStart"/>
      <w:r w:rsidRPr="00607CEC">
        <w:rPr>
          <w:rFonts w:ascii="Arial" w:eastAsia="Times New Roman" w:hAnsi="Arial" w:cs="Arial"/>
          <w:color w:val="333333"/>
          <w:sz w:val="18"/>
          <w:szCs w:val="27"/>
          <w:highlight w:val="yellow"/>
          <w:lang w:val="en-US"/>
        </w:rPr>
        <w:t>Bandara</w:t>
      </w:r>
      <w:proofErr w:type="spellEnd"/>
      <w:r w:rsidRPr="00607CEC">
        <w:rPr>
          <w:rFonts w:ascii="Arial" w:eastAsia="Times New Roman" w:hAnsi="Arial" w:cs="Arial"/>
          <w:color w:val="333333"/>
          <w:sz w:val="18"/>
          <w:szCs w:val="27"/>
          <w:highlight w:val="yellow"/>
          <w:lang w:val="en-US"/>
        </w:rPr>
        <w:t xml:space="preserve">, A. I. Y. </w:t>
      </w:r>
      <w:proofErr w:type="spellStart"/>
      <w:r w:rsidRPr="00607CEC">
        <w:rPr>
          <w:rFonts w:ascii="Arial" w:eastAsia="Times New Roman" w:hAnsi="Arial" w:cs="Arial"/>
          <w:color w:val="333333"/>
          <w:sz w:val="18"/>
          <w:szCs w:val="27"/>
          <w:highlight w:val="yellow"/>
          <w:lang w:val="en-US"/>
        </w:rPr>
        <w:t>Lankapura</w:t>
      </w:r>
      <w:proofErr w:type="spellEnd"/>
      <w:r w:rsidRPr="00607CEC">
        <w:rPr>
          <w:rFonts w:ascii="Arial" w:eastAsia="Times New Roman" w:hAnsi="Arial" w:cs="Arial"/>
          <w:color w:val="333333"/>
          <w:sz w:val="18"/>
          <w:szCs w:val="27"/>
          <w:highlight w:val="yellow"/>
          <w:lang w:val="en-US"/>
        </w:rPr>
        <w:t xml:space="preserve">, and P. R. </w:t>
      </w:r>
      <w:proofErr w:type="spellStart"/>
      <w:r w:rsidRPr="00607CEC">
        <w:rPr>
          <w:rFonts w:ascii="Arial" w:eastAsia="Times New Roman" w:hAnsi="Arial" w:cs="Arial"/>
          <w:color w:val="333333"/>
          <w:sz w:val="18"/>
          <w:szCs w:val="27"/>
          <w:highlight w:val="yellow"/>
          <w:lang w:val="en-US"/>
        </w:rPr>
        <w:t>Idamekorala</w:t>
      </w:r>
      <w:proofErr w:type="spellEnd"/>
      <w:r w:rsidRPr="00607CEC">
        <w:rPr>
          <w:rFonts w:ascii="Arial" w:eastAsia="Times New Roman" w:hAnsi="Arial" w:cs="Arial"/>
          <w:color w:val="333333"/>
          <w:sz w:val="18"/>
          <w:szCs w:val="27"/>
          <w:highlight w:val="yellow"/>
          <w:lang w:val="en-US"/>
        </w:rPr>
        <w:t>. 2020. “Economics of Turmeric Production in Sri Lanka: An Empirical Analysis in Major Turmeric Growing Districts”. </w:t>
      </w:r>
      <w:r w:rsidRPr="00607CEC">
        <w:rPr>
          <w:rFonts w:ascii="Arial" w:eastAsia="Times New Roman" w:hAnsi="Arial" w:cs="Arial"/>
          <w:i/>
          <w:iCs/>
          <w:color w:val="333333"/>
          <w:sz w:val="18"/>
          <w:szCs w:val="27"/>
          <w:highlight w:val="yellow"/>
          <w:lang w:val="en-US"/>
        </w:rPr>
        <w:t>Asian Journal of Agricultural and Horticultural Research</w:t>
      </w:r>
      <w:r w:rsidRPr="00607CEC">
        <w:rPr>
          <w:rFonts w:ascii="Arial" w:eastAsia="Times New Roman" w:hAnsi="Arial" w:cs="Arial"/>
          <w:color w:val="333333"/>
          <w:sz w:val="18"/>
          <w:szCs w:val="27"/>
          <w:highlight w:val="yellow"/>
          <w:lang w:val="en-US"/>
        </w:rPr>
        <w:t> 6 (4):10–17. https://doi.org/10.9734/ajahr/2020/v6i430078.</w:t>
      </w:r>
    </w:p>
    <w:p w14:paraId="7643A172" w14:textId="77777777" w:rsidR="007451C8" w:rsidRPr="00DE56CE" w:rsidRDefault="007451C8" w:rsidP="00607CEC">
      <w:pPr>
        <w:spacing w:before="100" w:beforeAutospacing="1" w:after="100" w:afterAutospacing="1" w:line="240" w:lineRule="auto"/>
        <w:ind w:left="360"/>
        <w:jc w:val="both"/>
        <w:rPr>
          <w:lang w:val="en-US"/>
        </w:rPr>
      </w:pPr>
    </w:p>
    <w:sectPr w:rsidR="007451C8" w:rsidRPr="00DE56CE" w:rsidSect="00CB6EB6">
      <w:headerReference w:type="even" r:id="rId65"/>
      <w:headerReference w:type="default" r:id="rId66"/>
      <w:footerReference w:type="even" r:id="rId67"/>
      <w:footerReference w:type="default" r:id="rId68"/>
      <w:headerReference w:type="first" r:id="rId69"/>
      <w:footerReference w:type="first" r:id="rId7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6EA489" w14:textId="77777777" w:rsidR="002A20C5" w:rsidRDefault="002A20C5" w:rsidP="00584306">
      <w:pPr>
        <w:spacing w:after="0" w:line="240" w:lineRule="auto"/>
      </w:pPr>
      <w:r>
        <w:separator/>
      </w:r>
    </w:p>
  </w:endnote>
  <w:endnote w:type="continuationSeparator" w:id="0">
    <w:p w14:paraId="5417C8B9" w14:textId="77777777" w:rsidR="002A20C5" w:rsidRDefault="002A20C5" w:rsidP="00584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hnschrift">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3C383" w14:textId="77777777" w:rsidR="00584306" w:rsidRDefault="005843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9E0CD" w14:textId="77777777" w:rsidR="00584306" w:rsidRDefault="005843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3DD2C" w14:textId="77777777" w:rsidR="00584306" w:rsidRDefault="005843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E331ED" w14:textId="77777777" w:rsidR="002A20C5" w:rsidRDefault="002A20C5" w:rsidP="00584306">
      <w:pPr>
        <w:spacing w:after="0" w:line="240" w:lineRule="auto"/>
      </w:pPr>
      <w:r>
        <w:separator/>
      </w:r>
    </w:p>
  </w:footnote>
  <w:footnote w:type="continuationSeparator" w:id="0">
    <w:p w14:paraId="647778F5" w14:textId="77777777" w:rsidR="002A20C5" w:rsidRDefault="002A20C5" w:rsidP="005843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E9A91" w14:textId="4EC25053" w:rsidR="00584306" w:rsidRDefault="002A20C5">
    <w:pPr>
      <w:pStyle w:val="Header"/>
    </w:pPr>
    <w:r>
      <w:rPr>
        <w:noProof/>
      </w:rPr>
      <w:pict w14:anchorId="39D8D7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754640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EEE8A" w14:textId="7B63B318" w:rsidR="00584306" w:rsidRDefault="002A20C5">
    <w:pPr>
      <w:pStyle w:val="Header"/>
    </w:pPr>
    <w:r>
      <w:rPr>
        <w:noProof/>
      </w:rPr>
      <w:pict w14:anchorId="5A4A9C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754640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39DB9" w14:textId="17BB1B15" w:rsidR="00584306" w:rsidRDefault="002A20C5">
    <w:pPr>
      <w:pStyle w:val="Header"/>
    </w:pPr>
    <w:r>
      <w:rPr>
        <w:noProof/>
      </w:rPr>
      <w:pict w14:anchorId="612306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754640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C2859"/>
    <w:multiLevelType w:val="hybridMultilevel"/>
    <w:tmpl w:val="2FA07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9A3A11"/>
    <w:multiLevelType w:val="multilevel"/>
    <w:tmpl w:val="CBC4C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134363"/>
    <w:multiLevelType w:val="hybridMultilevel"/>
    <w:tmpl w:val="B8FAC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745093"/>
    <w:multiLevelType w:val="hybridMultilevel"/>
    <w:tmpl w:val="C1F42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1A4052"/>
    <w:multiLevelType w:val="hybridMultilevel"/>
    <w:tmpl w:val="9C92F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DB6C0A"/>
    <w:multiLevelType w:val="hybridMultilevel"/>
    <w:tmpl w:val="30C67CF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2D02C80"/>
    <w:multiLevelType w:val="multilevel"/>
    <w:tmpl w:val="E5B4A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AA2460"/>
    <w:multiLevelType w:val="multilevel"/>
    <w:tmpl w:val="47D63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5D21E5"/>
    <w:multiLevelType w:val="hybridMultilevel"/>
    <w:tmpl w:val="0448880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9401DAB"/>
    <w:multiLevelType w:val="multilevel"/>
    <w:tmpl w:val="D3DC2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0832208"/>
    <w:multiLevelType w:val="hybridMultilevel"/>
    <w:tmpl w:val="748A3CEA"/>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15:restartNumberingAfterBreak="0">
    <w:nsid w:val="42685D28"/>
    <w:multiLevelType w:val="hybridMultilevel"/>
    <w:tmpl w:val="1ADEF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EA4A03"/>
    <w:multiLevelType w:val="hybridMultilevel"/>
    <w:tmpl w:val="2624A1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FD04D5"/>
    <w:multiLevelType w:val="hybridMultilevel"/>
    <w:tmpl w:val="F9BE7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192923"/>
    <w:multiLevelType w:val="hybridMultilevel"/>
    <w:tmpl w:val="A2B44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5629D4"/>
    <w:multiLevelType w:val="hybridMultilevel"/>
    <w:tmpl w:val="B6DE1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0F183F"/>
    <w:multiLevelType w:val="hybridMultilevel"/>
    <w:tmpl w:val="C51A1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582B42"/>
    <w:multiLevelType w:val="hybridMultilevel"/>
    <w:tmpl w:val="592EB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C768F2"/>
    <w:multiLevelType w:val="multilevel"/>
    <w:tmpl w:val="8ECE2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50A4CE2"/>
    <w:multiLevelType w:val="hybridMultilevel"/>
    <w:tmpl w:val="87646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560A81"/>
    <w:multiLevelType w:val="hybridMultilevel"/>
    <w:tmpl w:val="6C1E30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8"/>
  </w:num>
  <w:num w:numId="3">
    <w:abstractNumId w:val="17"/>
  </w:num>
  <w:num w:numId="4">
    <w:abstractNumId w:val="19"/>
  </w:num>
  <w:num w:numId="5">
    <w:abstractNumId w:val="15"/>
  </w:num>
  <w:num w:numId="6">
    <w:abstractNumId w:val="1"/>
  </w:num>
  <w:num w:numId="7">
    <w:abstractNumId w:val="16"/>
  </w:num>
  <w:num w:numId="8">
    <w:abstractNumId w:val="6"/>
  </w:num>
  <w:num w:numId="9">
    <w:abstractNumId w:val="3"/>
  </w:num>
  <w:num w:numId="10">
    <w:abstractNumId w:val="11"/>
  </w:num>
  <w:num w:numId="11">
    <w:abstractNumId w:val="2"/>
  </w:num>
  <w:num w:numId="12">
    <w:abstractNumId w:val="13"/>
  </w:num>
  <w:num w:numId="13">
    <w:abstractNumId w:val="4"/>
  </w:num>
  <w:num w:numId="14">
    <w:abstractNumId w:val="14"/>
  </w:num>
  <w:num w:numId="15">
    <w:abstractNumId w:val="0"/>
  </w:num>
  <w:num w:numId="16">
    <w:abstractNumId w:val="12"/>
  </w:num>
  <w:num w:numId="17">
    <w:abstractNumId w:val="20"/>
  </w:num>
  <w:num w:numId="18">
    <w:abstractNumId w:val="9"/>
  </w:num>
  <w:num w:numId="19">
    <w:abstractNumId w:val="8"/>
  </w:num>
  <w:num w:numId="20">
    <w:abstractNumId w:val="10"/>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sDQyNDIwNjUxMDS1MDFW0lEKTi0uzszPAykwrAUAoYTppCwAAAA="/>
  </w:docVars>
  <w:rsids>
    <w:rsidRoot w:val="00761CB6"/>
    <w:rsid w:val="0001596E"/>
    <w:rsid w:val="000425DD"/>
    <w:rsid w:val="00050422"/>
    <w:rsid w:val="00053D7A"/>
    <w:rsid w:val="000758BB"/>
    <w:rsid w:val="000A0EB4"/>
    <w:rsid w:val="000A5A73"/>
    <w:rsid w:val="000B5083"/>
    <w:rsid w:val="000B64F8"/>
    <w:rsid w:val="000C4F0E"/>
    <w:rsid w:val="000F27AA"/>
    <w:rsid w:val="001261CC"/>
    <w:rsid w:val="00133F64"/>
    <w:rsid w:val="00135191"/>
    <w:rsid w:val="00142919"/>
    <w:rsid w:val="00150596"/>
    <w:rsid w:val="001560E3"/>
    <w:rsid w:val="00186E2A"/>
    <w:rsid w:val="001A3703"/>
    <w:rsid w:val="001D0FE6"/>
    <w:rsid w:val="001D2B0C"/>
    <w:rsid w:val="001E3EF4"/>
    <w:rsid w:val="0024324D"/>
    <w:rsid w:val="00265BF1"/>
    <w:rsid w:val="00284F1F"/>
    <w:rsid w:val="00287638"/>
    <w:rsid w:val="002A20C5"/>
    <w:rsid w:val="002A4FCE"/>
    <w:rsid w:val="002B07FC"/>
    <w:rsid w:val="002B59B6"/>
    <w:rsid w:val="002B76E6"/>
    <w:rsid w:val="002E2F40"/>
    <w:rsid w:val="00307595"/>
    <w:rsid w:val="0031286E"/>
    <w:rsid w:val="003302D3"/>
    <w:rsid w:val="003975AE"/>
    <w:rsid w:val="003A104D"/>
    <w:rsid w:val="003A4787"/>
    <w:rsid w:val="003B3553"/>
    <w:rsid w:val="003B400E"/>
    <w:rsid w:val="003B6CCD"/>
    <w:rsid w:val="00405181"/>
    <w:rsid w:val="004115B4"/>
    <w:rsid w:val="004148F5"/>
    <w:rsid w:val="00416C8C"/>
    <w:rsid w:val="00456E20"/>
    <w:rsid w:val="004A5427"/>
    <w:rsid w:val="004E7311"/>
    <w:rsid w:val="004F4E91"/>
    <w:rsid w:val="00507EE0"/>
    <w:rsid w:val="0054487D"/>
    <w:rsid w:val="0056389E"/>
    <w:rsid w:val="005640C1"/>
    <w:rsid w:val="00564FB4"/>
    <w:rsid w:val="00571246"/>
    <w:rsid w:val="00584306"/>
    <w:rsid w:val="00586C55"/>
    <w:rsid w:val="005B098D"/>
    <w:rsid w:val="00607CEC"/>
    <w:rsid w:val="0061201F"/>
    <w:rsid w:val="00620122"/>
    <w:rsid w:val="00622C65"/>
    <w:rsid w:val="00626F6E"/>
    <w:rsid w:val="00632906"/>
    <w:rsid w:val="0064743F"/>
    <w:rsid w:val="00652156"/>
    <w:rsid w:val="00661483"/>
    <w:rsid w:val="0067685B"/>
    <w:rsid w:val="00692471"/>
    <w:rsid w:val="00695D59"/>
    <w:rsid w:val="006A39B3"/>
    <w:rsid w:val="006B75B1"/>
    <w:rsid w:val="006C0333"/>
    <w:rsid w:val="006E4B0A"/>
    <w:rsid w:val="00711B14"/>
    <w:rsid w:val="00720F41"/>
    <w:rsid w:val="007451C8"/>
    <w:rsid w:val="00761CB6"/>
    <w:rsid w:val="007715B8"/>
    <w:rsid w:val="0078275D"/>
    <w:rsid w:val="007C7951"/>
    <w:rsid w:val="007D03BC"/>
    <w:rsid w:val="007E249F"/>
    <w:rsid w:val="008107F6"/>
    <w:rsid w:val="00812006"/>
    <w:rsid w:val="008374C4"/>
    <w:rsid w:val="00856AFD"/>
    <w:rsid w:val="008811F8"/>
    <w:rsid w:val="008900F5"/>
    <w:rsid w:val="008A4F04"/>
    <w:rsid w:val="008B4382"/>
    <w:rsid w:val="008C342B"/>
    <w:rsid w:val="008E560A"/>
    <w:rsid w:val="009148D5"/>
    <w:rsid w:val="00924E62"/>
    <w:rsid w:val="00951A3D"/>
    <w:rsid w:val="009566DB"/>
    <w:rsid w:val="00992B92"/>
    <w:rsid w:val="00994A4A"/>
    <w:rsid w:val="009B55DE"/>
    <w:rsid w:val="009D5BA5"/>
    <w:rsid w:val="00A029C3"/>
    <w:rsid w:val="00A2270F"/>
    <w:rsid w:val="00A30F1B"/>
    <w:rsid w:val="00A417FA"/>
    <w:rsid w:val="00A50845"/>
    <w:rsid w:val="00A5299F"/>
    <w:rsid w:val="00A54719"/>
    <w:rsid w:val="00A57A87"/>
    <w:rsid w:val="00A7055A"/>
    <w:rsid w:val="00AF436D"/>
    <w:rsid w:val="00B1065D"/>
    <w:rsid w:val="00B14CED"/>
    <w:rsid w:val="00B263CE"/>
    <w:rsid w:val="00B301AB"/>
    <w:rsid w:val="00B451DB"/>
    <w:rsid w:val="00B6436C"/>
    <w:rsid w:val="00B74688"/>
    <w:rsid w:val="00BC43AE"/>
    <w:rsid w:val="00BD22E5"/>
    <w:rsid w:val="00BD2BB2"/>
    <w:rsid w:val="00BE571E"/>
    <w:rsid w:val="00BF0896"/>
    <w:rsid w:val="00BF26BF"/>
    <w:rsid w:val="00C404E0"/>
    <w:rsid w:val="00CB6EB6"/>
    <w:rsid w:val="00CE0C42"/>
    <w:rsid w:val="00D071B4"/>
    <w:rsid w:val="00D51A94"/>
    <w:rsid w:val="00D75C9D"/>
    <w:rsid w:val="00DB5E9B"/>
    <w:rsid w:val="00DE49BA"/>
    <w:rsid w:val="00DE56CE"/>
    <w:rsid w:val="00DF5AB4"/>
    <w:rsid w:val="00E05C9F"/>
    <w:rsid w:val="00E125DA"/>
    <w:rsid w:val="00E525B3"/>
    <w:rsid w:val="00E643E8"/>
    <w:rsid w:val="00E7044C"/>
    <w:rsid w:val="00EE2E7D"/>
    <w:rsid w:val="00F2475E"/>
    <w:rsid w:val="00F3768B"/>
    <w:rsid w:val="00F6047F"/>
    <w:rsid w:val="00FA03AB"/>
    <w:rsid w:val="00FB6475"/>
    <w:rsid w:val="00FD7A13"/>
    <w:rsid w:val="00FE477B"/>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7501A8A"/>
  <w15:docId w15:val="{5E99AA81-F677-4648-ABA7-E98AAC85C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047F"/>
  </w:style>
  <w:style w:type="paragraph" w:styleId="Heading1">
    <w:name w:val="heading 1"/>
    <w:basedOn w:val="Normal"/>
    <w:link w:val="Heading1Char"/>
    <w:uiPriority w:val="9"/>
    <w:qFormat/>
    <w:rsid w:val="00761CB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761CB6"/>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761CB6"/>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11B14"/>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ind w:left="720"/>
      <w:contextualSpacing/>
    </w:p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pPr>
  </w:style>
  <w:style w:type="paragraph" w:styleId="TOC2">
    <w:name w:val="toc 2"/>
    <w:basedOn w:val="Normal"/>
    <w:next w:val="Normal"/>
    <w:autoRedefine/>
    <w:uiPriority w:val="39"/>
    <w:unhideWhenUsed/>
    <w:rsid w:val="0078275D"/>
    <w:pPr>
      <w:spacing w:after="100"/>
      <w:ind w:left="220"/>
    </w:pPr>
  </w:style>
  <w:style w:type="paragraph" w:styleId="TOC3">
    <w:name w:val="toc 3"/>
    <w:basedOn w:val="Normal"/>
    <w:next w:val="Normal"/>
    <w:autoRedefine/>
    <w:uiPriority w:val="39"/>
    <w:unhideWhenUsed/>
    <w:rsid w:val="0078275D"/>
    <w:pPr>
      <w:spacing w:after="100"/>
      <w:ind w:left="440"/>
    </w:p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UnresolvedMention1">
    <w:name w:val="Unresolved Mention1"/>
    <w:basedOn w:val="DefaultParagraphFont"/>
    <w:uiPriority w:val="99"/>
    <w:semiHidden/>
    <w:unhideWhenUsed/>
    <w:rsid w:val="00652156"/>
    <w:rPr>
      <w:color w:val="605E5C"/>
      <w:shd w:val="clear" w:color="auto" w:fill="E1DFDD"/>
    </w:rPr>
  </w:style>
  <w:style w:type="paragraph" w:styleId="Header">
    <w:name w:val="header"/>
    <w:basedOn w:val="Normal"/>
    <w:link w:val="HeaderChar"/>
    <w:uiPriority w:val="99"/>
    <w:unhideWhenUsed/>
    <w:rsid w:val="005843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4306"/>
  </w:style>
  <w:style w:type="paragraph" w:styleId="Footer">
    <w:name w:val="footer"/>
    <w:basedOn w:val="Normal"/>
    <w:link w:val="FooterChar"/>
    <w:uiPriority w:val="99"/>
    <w:unhideWhenUsed/>
    <w:rsid w:val="005843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4306"/>
  </w:style>
  <w:style w:type="character" w:styleId="CommentReference">
    <w:name w:val="annotation reference"/>
    <w:basedOn w:val="DefaultParagraphFont"/>
    <w:uiPriority w:val="99"/>
    <w:semiHidden/>
    <w:unhideWhenUsed/>
    <w:rsid w:val="002B59B6"/>
    <w:rPr>
      <w:sz w:val="16"/>
      <w:szCs w:val="16"/>
    </w:rPr>
  </w:style>
  <w:style w:type="paragraph" w:styleId="CommentText">
    <w:name w:val="annotation text"/>
    <w:basedOn w:val="Normal"/>
    <w:link w:val="CommentTextChar"/>
    <w:uiPriority w:val="99"/>
    <w:semiHidden/>
    <w:unhideWhenUsed/>
    <w:rsid w:val="002B59B6"/>
    <w:pPr>
      <w:spacing w:line="240" w:lineRule="auto"/>
    </w:pPr>
    <w:rPr>
      <w:sz w:val="20"/>
      <w:szCs w:val="20"/>
    </w:rPr>
  </w:style>
  <w:style w:type="character" w:customStyle="1" w:styleId="CommentTextChar">
    <w:name w:val="Comment Text Char"/>
    <w:basedOn w:val="DefaultParagraphFont"/>
    <w:link w:val="CommentText"/>
    <w:uiPriority w:val="99"/>
    <w:semiHidden/>
    <w:rsid w:val="002B59B6"/>
    <w:rPr>
      <w:sz w:val="20"/>
      <w:szCs w:val="20"/>
    </w:rPr>
  </w:style>
  <w:style w:type="paragraph" w:styleId="CommentSubject">
    <w:name w:val="annotation subject"/>
    <w:basedOn w:val="CommentText"/>
    <w:next w:val="CommentText"/>
    <w:link w:val="CommentSubjectChar"/>
    <w:uiPriority w:val="99"/>
    <w:semiHidden/>
    <w:unhideWhenUsed/>
    <w:rsid w:val="002B59B6"/>
    <w:rPr>
      <w:b/>
      <w:bCs/>
    </w:rPr>
  </w:style>
  <w:style w:type="character" w:customStyle="1" w:styleId="CommentSubjectChar">
    <w:name w:val="Comment Subject Char"/>
    <w:basedOn w:val="CommentTextChar"/>
    <w:link w:val="CommentSubject"/>
    <w:uiPriority w:val="99"/>
    <w:semiHidden/>
    <w:rsid w:val="002B59B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237860656">
      <w:bodyDiv w:val="1"/>
      <w:marLeft w:val="0"/>
      <w:marRight w:val="0"/>
      <w:marTop w:val="0"/>
      <w:marBottom w:val="0"/>
      <w:divBdr>
        <w:top w:val="none" w:sz="0" w:space="0" w:color="auto"/>
        <w:left w:val="none" w:sz="0" w:space="0" w:color="auto"/>
        <w:bottom w:val="none" w:sz="0" w:space="0" w:color="auto"/>
        <w:right w:val="none" w:sz="0" w:space="0" w:color="auto"/>
      </w:divBdr>
      <w:divsChild>
        <w:div w:id="1827167369">
          <w:marLeft w:val="0"/>
          <w:marRight w:val="0"/>
          <w:marTop w:val="0"/>
          <w:marBottom w:val="0"/>
          <w:divBdr>
            <w:top w:val="none" w:sz="0" w:space="0" w:color="auto"/>
            <w:left w:val="none" w:sz="0" w:space="0" w:color="auto"/>
            <w:bottom w:val="none" w:sz="0" w:space="0" w:color="auto"/>
            <w:right w:val="none" w:sz="0" w:space="0" w:color="auto"/>
          </w:divBdr>
          <w:divsChild>
            <w:div w:id="296490362">
              <w:marLeft w:val="0"/>
              <w:marRight w:val="0"/>
              <w:marTop w:val="0"/>
              <w:marBottom w:val="0"/>
              <w:divBdr>
                <w:top w:val="none" w:sz="0" w:space="0" w:color="auto"/>
                <w:left w:val="none" w:sz="0" w:space="0" w:color="auto"/>
                <w:bottom w:val="none" w:sz="0" w:space="0" w:color="auto"/>
                <w:right w:val="none" w:sz="0" w:space="0" w:color="auto"/>
              </w:divBdr>
              <w:divsChild>
                <w:div w:id="2032996100">
                  <w:marLeft w:val="0"/>
                  <w:marRight w:val="0"/>
                  <w:marTop w:val="0"/>
                  <w:marBottom w:val="0"/>
                  <w:divBdr>
                    <w:top w:val="none" w:sz="0" w:space="0" w:color="auto"/>
                    <w:left w:val="none" w:sz="0" w:space="0" w:color="auto"/>
                    <w:bottom w:val="none" w:sz="0" w:space="0" w:color="auto"/>
                    <w:right w:val="none" w:sz="0" w:space="0" w:color="auto"/>
                  </w:divBdr>
                  <w:divsChild>
                    <w:div w:id="33511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887998">
      <w:bodyDiv w:val="1"/>
      <w:marLeft w:val="0"/>
      <w:marRight w:val="0"/>
      <w:marTop w:val="0"/>
      <w:marBottom w:val="0"/>
      <w:divBdr>
        <w:top w:val="none" w:sz="0" w:space="0" w:color="auto"/>
        <w:left w:val="none" w:sz="0" w:space="0" w:color="auto"/>
        <w:bottom w:val="none" w:sz="0" w:space="0" w:color="auto"/>
        <w:right w:val="none" w:sz="0" w:space="0" w:color="auto"/>
      </w:divBdr>
      <w:divsChild>
        <w:div w:id="700976446">
          <w:marLeft w:val="0"/>
          <w:marRight w:val="0"/>
          <w:marTop w:val="0"/>
          <w:marBottom w:val="0"/>
          <w:divBdr>
            <w:top w:val="none" w:sz="0" w:space="0" w:color="auto"/>
            <w:left w:val="none" w:sz="0" w:space="0" w:color="auto"/>
            <w:bottom w:val="none" w:sz="0" w:space="0" w:color="auto"/>
            <w:right w:val="none" w:sz="0" w:space="0" w:color="auto"/>
          </w:divBdr>
          <w:divsChild>
            <w:div w:id="242495859">
              <w:marLeft w:val="0"/>
              <w:marRight w:val="0"/>
              <w:marTop w:val="0"/>
              <w:marBottom w:val="0"/>
              <w:divBdr>
                <w:top w:val="none" w:sz="0" w:space="0" w:color="auto"/>
                <w:left w:val="none" w:sz="0" w:space="0" w:color="auto"/>
                <w:bottom w:val="none" w:sz="0" w:space="0" w:color="auto"/>
                <w:right w:val="none" w:sz="0" w:space="0" w:color="auto"/>
              </w:divBdr>
              <w:divsChild>
                <w:div w:id="1264994176">
                  <w:marLeft w:val="0"/>
                  <w:marRight w:val="0"/>
                  <w:marTop w:val="0"/>
                  <w:marBottom w:val="0"/>
                  <w:divBdr>
                    <w:top w:val="none" w:sz="0" w:space="0" w:color="auto"/>
                    <w:left w:val="none" w:sz="0" w:space="0" w:color="auto"/>
                    <w:bottom w:val="none" w:sz="0" w:space="0" w:color="auto"/>
                    <w:right w:val="none" w:sz="0" w:space="0" w:color="auto"/>
                  </w:divBdr>
                  <w:divsChild>
                    <w:div w:id="45614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406850132">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513118">
      <w:bodyDiv w:val="1"/>
      <w:marLeft w:val="0"/>
      <w:marRight w:val="0"/>
      <w:marTop w:val="0"/>
      <w:marBottom w:val="0"/>
      <w:divBdr>
        <w:top w:val="none" w:sz="0" w:space="0" w:color="auto"/>
        <w:left w:val="none" w:sz="0" w:space="0" w:color="auto"/>
        <w:bottom w:val="none" w:sz="0" w:space="0" w:color="auto"/>
        <w:right w:val="none" w:sz="0" w:space="0" w:color="auto"/>
      </w:divBdr>
    </w:div>
    <w:div w:id="777259172">
      <w:bodyDiv w:val="1"/>
      <w:marLeft w:val="0"/>
      <w:marRight w:val="0"/>
      <w:marTop w:val="0"/>
      <w:marBottom w:val="0"/>
      <w:divBdr>
        <w:top w:val="none" w:sz="0" w:space="0" w:color="auto"/>
        <w:left w:val="none" w:sz="0" w:space="0" w:color="auto"/>
        <w:bottom w:val="none" w:sz="0" w:space="0" w:color="auto"/>
        <w:right w:val="none" w:sz="0" w:space="0" w:color="auto"/>
      </w:divBdr>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765832">
      <w:bodyDiv w:val="1"/>
      <w:marLeft w:val="0"/>
      <w:marRight w:val="0"/>
      <w:marTop w:val="0"/>
      <w:marBottom w:val="0"/>
      <w:divBdr>
        <w:top w:val="none" w:sz="0" w:space="0" w:color="auto"/>
        <w:left w:val="none" w:sz="0" w:space="0" w:color="auto"/>
        <w:bottom w:val="none" w:sz="0" w:space="0" w:color="auto"/>
        <w:right w:val="none" w:sz="0" w:space="0" w:color="auto"/>
      </w:divBdr>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23311530">
      <w:bodyDiv w:val="1"/>
      <w:marLeft w:val="0"/>
      <w:marRight w:val="0"/>
      <w:marTop w:val="0"/>
      <w:marBottom w:val="0"/>
      <w:divBdr>
        <w:top w:val="none" w:sz="0" w:space="0" w:color="auto"/>
        <w:left w:val="none" w:sz="0" w:space="0" w:color="auto"/>
        <w:bottom w:val="none" w:sz="0" w:space="0" w:color="auto"/>
        <w:right w:val="none" w:sz="0" w:space="0" w:color="auto"/>
      </w:divBdr>
    </w:div>
    <w:div w:id="1131482368">
      <w:bodyDiv w:val="1"/>
      <w:marLeft w:val="0"/>
      <w:marRight w:val="0"/>
      <w:marTop w:val="0"/>
      <w:marBottom w:val="0"/>
      <w:divBdr>
        <w:top w:val="none" w:sz="0" w:space="0" w:color="auto"/>
        <w:left w:val="none" w:sz="0" w:space="0" w:color="auto"/>
        <w:bottom w:val="none" w:sz="0" w:space="0" w:color="auto"/>
        <w:right w:val="none" w:sz="0" w:space="0" w:color="auto"/>
      </w:divBdr>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67076500">
      <w:bodyDiv w:val="1"/>
      <w:marLeft w:val="0"/>
      <w:marRight w:val="0"/>
      <w:marTop w:val="0"/>
      <w:marBottom w:val="0"/>
      <w:divBdr>
        <w:top w:val="none" w:sz="0" w:space="0" w:color="auto"/>
        <w:left w:val="none" w:sz="0" w:space="0" w:color="auto"/>
        <w:bottom w:val="none" w:sz="0" w:space="0" w:color="auto"/>
        <w:right w:val="none" w:sz="0" w:space="0" w:color="auto"/>
      </w:divBdr>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68548882">
      <w:bodyDiv w:val="1"/>
      <w:marLeft w:val="0"/>
      <w:marRight w:val="0"/>
      <w:marTop w:val="0"/>
      <w:marBottom w:val="0"/>
      <w:divBdr>
        <w:top w:val="none" w:sz="0" w:space="0" w:color="auto"/>
        <w:left w:val="none" w:sz="0" w:space="0" w:color="auto"/>
        <w:bottom w:val="none" w:sz="0" w:space="0" w:color="auto"/>
        <w:right w:val="none" w:sz="0" w:space="0" w:color="auto"/>
      </w:divBdr>
      <w:divsChild>
        <w:div w:id="679084618">
          <w:marLeft w:val="0"/>
          <w:marRight w:val="0"/>
          <w:marTop w:val="0"/>
          <w:marBottom w:val="0"/>
          <w:divBdr>
            <w:top w:val="none" w:sz="0" w:space="0" w:color="auto"/>
            <w:left w:val="none" w:sz="0" w:space="0" w:color="auto"/>
            <w:bottom w:val="none" w:sz="0" w:space="0" w:color="auto"/>
            <w:right w:val="none" w:sz="0" w:space="0" w:color="auto"/>
          </w:divBdr>
          <w:divsChild>
            <w:div w:id="138350717">
              <w:marLeft w:val="0"/>
              <w:marRight w:val="0"/>
              <w:marTop w:val="0"/>
              <w:marBottom w:val="0"/>
              <w:divBdr>
                <w:top w:val="none" w:sz="0" w:space="0" w:color="auto"/>
                <w:left w:val="none" w:sz="0" w:space="0" w:color="auto"/>
                <w:bottom w:val="none" w:sz="0" w:space="0" w:color="auto"/>
                <w:right w:val="none" w:sz="0" w:space="0" w:color="auto"/>
              </w:divBdr>
              <w:divsChild>
                <w:div w:id="957375065">
                  <w:marLeft w:val="0"/>
                  <w:marRight w:val="0"/>
                  <w:marTop w:val="0"/>
                  <w:marBottom w:val="0"/>
                  <w:divBdr>
                    <w:top w:val="none" w:sz="0" w:space="0" w:color="auto"/>
                    <w:left w:val="none" w:sz="0" w:space="0" w:color="auto"/>
                    <w:bottom w:val="none" w:sz="0" w:space="0" w:color="auto"/>
                    <w:right w:val="none" w:sz="0" w:space="0" w:color="auto"/>
                  </w:divBdr>
                  <w:divsChild>
                    <w:div w:id="284236957">
                      <w:marLeft w:val="0"/>
                      <w:marRight w:val="0"/>
                      <w:marTop w:val="0"/>
                      <w:marBottom w:val="0"/>
                      <w:divBdr>
                        <w:top w:val="none" w:sz="0" w:space="0" w:color="auto"/>
                        <w:left w:val="none" w:sz="0" w:space="0" w:color="auto"/>
                        <w:bottom w:val="none" w:sz="0" w:space="0" w:color="auto"/>
                        <w:right w:val="none" w:sz="0" w:space="0" w:color="auto"/>
                      </w:divBdr>
                      <w:divsChild>
                        <w:div w:id="2028868586">
                          <w:marLeft w:val="0"/>
                          <w:marRight w:val="0"/>
                          <w:marTop w:val="0"/>
                          <w:marBottom w:val="0"/>
                          <w:divBdr>
                            <w:top w:val="none" w:sz="0" w:space="0" w:color="auto"/>
                            <w:left w:val="none" w:sz="0" w:space="0" w:color="auto"/>
                            <w:bottom w:val="none" w:sz="0" w:space="0" w:color="auto"/>
                            <w:right w:val="none" w:sz="0" w:space="0" w:color="auto"/>
                          </w:divBdr>
                          <w:divsChild>
                            <w:div w:id="41478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7816781">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660110009">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12025301">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906601906">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07/s11240-013-0407-y" TargetMode="External"/><Relationship Id="rId21" Type="http://schemas.openxmlformats.org/officeDocument/2006/relationships/hyperlink" Target="https://doi.org/10.1016/j.scitotenv.2024.175003" TargetMode="External"/><Relationship Id="rId42" Type="http://schemas.openxmlformats.org/officeDocument/2006/relationships/hyperlink" Target="https://doi.org/10.1002/bit.28260" TargetMode="External"/><Relationship Id="rId47" Type="http://schemas.openxmlformats.org/officeDocument/2006/relationships/hyperlink" Target="https://doi.org/10.3390/antiox11040620" TargetMode="External"/><Relationship Id="rId63" Type="http://schemas.openxmlformats.org/officeDocument/2006/relationships/hyperlink" Target="https://doi.org/10.3390/su13169437" TargetMode="External"/><Relationship Id="rId68"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02/mas.20108" TargetMode="External"/><Relationship Id="rId29" Type="http://schemas.openxmlformats.org/officeDocument/2006/relationships/hyperlink" Target="https://doi.org/10.3390/plants11030439" TargetMode="External"/><Relationship Id="rId11" Type="http://schemas.openxmlformats.org/officeDocument/2006/relationships/hyperlink" Target="https://doi.org/10.3390/metabo13080898" TargetMode="External"/><Relationship Id="rId24" Type="http://schemas.openxmlformats.org/officeDocument/2006/relationships/hyperlink" Target="https://doi.org/10.1016/j.jfutfo.2023.05.003" TargetMode="External"/><Relationship Id="rId32" Type="http://schemas.openxmlformats.org/officeDocument/2006/relationships/hyperlink" Target="https://doi.org/10.1016/j.chroma.2006.01.103" TargetMode="External"/><Relationship Id="rId37" Type="http://schemas.openxmlformats.org/officeDocument/2006/relationships/hyperlink" Target="https://doi.org/10.3390/agronomy12051178" TargetMode="External"/><Relationship Id="rId40" Type="http://schemas.openxmlformats.org/officeDocument/2006/relationships/hyperlink" Target="https://doi.org/10.1021/acs.est.2c03241" TargetMode="External"/><Relationship Id="rId45" Type="http://schemas.openxmlformats.org/officeDocument/2006/relationships/hyperlink" Target="https://doi.org/10.1177/1934578X1200700819" TargetMode="External"/><Relationship Id="rId53" Type="http://schemas.openxmlformats.org/officeDocument/2006/relationships/hyperlink" Target="https://doi.org/10.3389/fphar.2020.01021" TargetMode="External"/><Relationship Id="rId58" Type="http://schemas.openxmlformats.org/officeDocument/2006/relationships/hyperlink" Target="https://doi.org/10.1146/annurev-arplant-042916-041124" TargetMode="External"/><Relationship Id="rId66"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hyperlink" Target="https://doi.org/10.3389/fpls.2022.1003835" TargetMode="External"/><Relationship Id="rId19" Type="http://schemas.openxmlformats.org/officeDocument/2006/relationships/hyperlink" Target="https://doi.org/10.1039/b418288j" TargetMode="External"/><Relationship Id="rId14" Type="http://schemas.openxmlformats.org/officeDocument/2006/relationships/hyperlink" Target="https://doi.org/10.1016/j.synbio.2022.04.006" TargetMode="External"/><Relationship Id="rId22" Type="http://schemas.openxmlformats.org/officeDocument/2006/relationships/hyperlink" Target="https://doi.org/10.1186/s13020-022-00584-w" TargetMode="External"/><Relationship Id="rId27" Type="http://schemas.openxmlformats.org/officeDocument/2006/relationships/hyperlink" Target="https://doi.org/10.1016/S0021-9673(98)00540-8" TargetMode="External"/><Relationship Id="rId30" Type="http://schemas.openxmlformats.org/officeDocument/2006/relationships/hyperlink" Target="https://doi.org/10.3390/plants13131819" TargetMode="External"/><Relationship Id="rId35" Type="http://schemas.openxmlformats.org/officeDocument/2006/relationships/hyperlink" Target="https://doi.org/10.1007/s10725-013-9836-1" TargetMode="External"/><Relationship Id="rId43" Type="http://schemas.openxmlformats.org/officeDocument/2006/relationships/hyperlink" Target="https://doi.org/10.1080/87559129.2024.2403521" TargetMode="External"/><Relationship Id="rId48" Type="http://schemas.openxmlformats.org/officeDocument/2006/relationships/hyperlink" Target="https://doi.org/10.1007/s11240-015-0751-1" TargetMode="External"/><Relationship Id="rId56" Type="http://schemas.openxmlformats.org/officeDocument/2006/relationships/hyperlink" Target="https://doi.org/10.18596/jotcsa.913136" TargetMode="External"/><Relationship Id="rId64" Type="http://schemas.openxmlformats.org/officeDocument/2006/relationships/hyperlink" Target="https://doi.org/10.3389/fnut.2022.1040259" TargetMode="External"/><Relationship Id="rId69" Type="http://schemas.openxmlformats.org/officeDocument/2006/relationships/header" Target="header3.xml"/><Relationship Id="rId8" Type="http://schemas.openxmlformats.org/officeDocument/2006/relationships/hyperlink" Target="https://doi.org/10.1016/j.indcrop.2020.112090" TargetMode="External"/><Relationship Id="rId51" Type="http://schemas.openxmlformats.org/officeDocument/2006/relationships/hyperlink" Target="https://doi.org/10.1038/s41598-022-13882-y"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doi.org/10.1038/s42003-021-02720-y" TargetMode="External"/><Relationship Id="rId17" Type="http://schemas.openxmlformats.org/officeDocument/2006/relationships/hyperlink" Target="https://doi.org/10.1016/j.phrs.2020.105359" TargetMode="External"/><Relationship Id="rId25" Type="http://schemas.openxmlformats.org/officeDocument/2006/relationships/hyperlink" Target="https://doi.org/10.5897/AJAR2020.15409" TargetMode="External"/><Relationship Id="rId33" Type="http://schemas.openxmlformats.org/officeDocument/2006/relationships/hyperlink" Target="https://doi.org/10.1039/c2an35397k" TargetMode="External"/><Relationship Id="rId38" Type="http://schemas.openxmlformats.org/officeDocument/2006/relationships/hyperlink" Target="https://doi.org/10.1016/j.bcab.2016.07.002" TargetMode="External"/><Relationship Id="rId46" Type="http://schemas.openxmlformats.org/officeDocument/2006/relationships/hyperlink" Target="https://doi.org/10.1007/s11627-021-10226-9" TargetMode="External"/><Relationship Id="rId59" Type="http://schemas.openxmlformats.org/officeDocument/2006/relationships/hyperlink" Target="https://doi.org/10.1021/acsnano.1c03948" TargetMode="External"/><Relationship Id="rId67" Type="http://schemas.openxmlformats.org/officeDocument/2006/relationships/footer" Target="footer1.xml"/><Relationship Id="rId20" Type="http://schemas.openxmlformats.org/officeDocument/2006/relationships/hyperlink" Target="https://doi.org/10.3390/ijms24010838" TargetMode="External"/><Relationship Id="rId41" Type="http://schemas.openxmlformats.org/officeDocument/2006/relationships/hyperlink" Target="https://doi.org/10.3390/agronomy11112121" TargetMode="External"/><Relationship Id="rId54" Type="http://schemas.openxmlformats.org/officeDocument/2006/relationships/hyperlink" Target="https://doi.org/10.1016/s0031-9422(02)00708-2" TargetMode="External"/><Relationship Id="rId62" Type="http://schemas.openxmlformats.org/officeDocument/2006/relationships/hyperlink" Target="https://doi.org/10.3390/metabo13060700" TargetMode="External"/><Relationship Id="rId7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3389/fpls.2024.1279738" TargetMode="External"/><Relationship Id="rId23" Type="http://schemas.openxmlformats.org/officeDocument/2006/relationships/hyperlink" Target="https://doi.org/10.1016/j.molp.2023.12.007" TargetMode="External"/><Relationship Id="rId28" Type="http://schemas.openxmlformats.org/officeDocument/2006/relationships/hyperlink" Target="https://doi.org/10.1002/bmc.1207" TargetMode="External"/><Relationship Id="rId36" Type="http://schemas.openxmlformats.org/officeDocument/2006/relationships/hyperlink" Target="https://doi.org/10.3389/fpls.2023.1231676" TargetMode="External"/><Relationship Id="rId49" Type="http://schemas.openxmlformats.org/officeDocument/2006/relationships/hyperlink" Target="https://doi.org/10.3329/ptcb.v34i1.74349" TargetMode="External"/><Relationship Id="rId57" Type="http://schemas.openxmlformats.org/officeDocument/2006/relationships/hyperlink" Target="https://doi.org/10.3389/fpls.2024.1459533" TargetMode="External"/><Relationship Id="rId10" Type="http://schemas.openxmlformats.org/officeDocument/2006/relationships/hyperlink" Target="https://doi.org/10.1016/j.indcrop.2014.01.005" TargetMode="External"/><Relationship Id="rId31" Type="http://schemas.openxmlformats.org/officeDocument/2006/relationships/hyperlink" Target="https://doi.org/10.1016/j.prmcm.2023.100222" TargetMode="External"/><Relationship Id="rId44" Type="http://schemas.openxmlformats.org/officeDocument/2006/relationships/hyperlink" Target="https://doi.org/10.3390/molecules27165055" TargetMode="External"/><Relationship Id="rId52" Type="http://schemas.openxmlformats.org/officeDocument/2006/relationships/hyperlink" Target="https://doi.org/10.1023/A:1013889119887" TargetMode="External"/><Relationship Id="rId60" Type="http://schemas.openxmlformats.org/officeDocument/2006/relationships/hyperlink" Target="https://doi.org/10.1016/j.indcrop.2021.114289" TargetMode="External"/><Relationship Id="rId65"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016/j.jtcme.2016.05.005" TargetMode="External"/><Relationship Id="rId13" Type="http://schemas.openxmlformats.org/officeDocument/2006/relationships/hyperlink" Target="https://doi.org/10.1021/acs.jafc.3c07379" TargetMode="External"/><Relationship Id="rId18" Type="http://schemas.openxmlformats.org/officeDocument/2006/relationships/hyperlink" Target="https://doi.org/10.3389/fpls.2022.1036592" TargetMode="External"/><Relationship Id="rId39" Type="http://schemas.openxmlformats.org/officeDocument/2006/relationships/hyperlink" Target="https://doi.org/10.1016/j.synbio.2023.08.005" TargetMode="External"/><Relationship Id="rId34" Type="http://schemas.openxmlformats.org/officeDocument/2006/relationships/hyperlink" Target="https://doi.org/10.1021/acssynbio.8b00198" TargetMode="External"/><Relationship Id="rId50" Type="http://schemas.openxmlformats.org/officeDocument/2006/relationships/hyperlink" Target="https://doi.org/10.3389/fbioe.2020.00059" TargetMode="External"/><Relationship Id="rId55" Type="http://schemas.openxmlformats.org/officeDocument/2006/relationships/hyperlink" Target="https://doi.org/10.1016/j.ymben.2024.02.0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4C9A37-C4EB-4A6B-87D5-FCF653733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2202</TotalTime>
  <Pages>27</Pages>
  <Words>13843</Words>
  <Characters>78906</Characters>
  <Application>Microsoft Office Word</Application>
  <DocSecurity>0</DocSecurity>
  <Lines>657</Lines>
  <Paragraphs>185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PC New 16</cp:lastModifiedBy>
  <cp:revision>53</cp:revision>
  <cp:lastPrinted>2025-11-29T19:27:00Z</cp:lastPrinted>
  <dcterms:created xsi:type="dcterms:W3CDTF">2025-09-24T12:44:00Z</dcterms:created>
  <dcterms:modified xsi:type="dcterms:W3CDTF">2025-12-03T05:44:00Z</dcterms:modified>
</cp:coreProperties>
</file>