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1EF78" w14:textId="77777777" w:rsidR="00A61A07" w:rsidRPr="00A61A07" w:rsidRDefault="00A61A07" w:rsidP="00A61A07">
      <w:pPr>
        <w:pStyle w:val="Title"/>
        <w:rPr>
          <w:rFonts w:asciiTheme="majorBidi" w:hAnsiTheme="majorBidi" w:cstheme="majorBidi"/>
          <w:bCs/>
          <w:i/>
          <w:iCs/>
          <w:sz w:val="24"/>
          <w:szCs w:val="24"/>
          <w:u w:val="single"/>
        </w:rPr>
      </w:pPr>
      <w:bookmarkStart w:id="0" w:name="_GoBack"/>
      <w:bookmarkEnd w:id="0"/>
      <w:r w:rsidRPr="00A61A07">
        <w:rPr>
          <w:rFonts w:asciiTheme="majorBidi" w:hAnsiTheme="majorBidi" w:cstheme="majorBidi"/>
          <w:bCs/>
          <w:i/>
          <w:iCs/>
          <w:sz w:val="24"/>
          <w:szCs w:val="24"/>
          <w:u w:val="single"/>
        </w:rPr>
        <w:t>Original Research Article</w:t>
      </w:r>
    </w:p>
    <w:p w14:paraId="6CF039C8" w14:textId="5E167180" w:rsidR="003C1B26" w:rsidRPr="001C7D5F" w:rsidRDefault="00073398" w:rsidP="001C7D5F">
      <w:pPr>
        <w:pStyle w:val="Title"/>
        <w:spacing w:after="0"/>
        <w:rPr>
          <w:rFonts w:asciiTheme="majorBidi" w:hAnsiTheme="majorBidi" w:cstheme="majorBidi"/>
          <w:bCs/>
          <w:smallCaps/>
          <w:sz w:val="24"/>
          <w:szCs w:val="24"/>
        </w:rPr>
      </w:pPr>
      <w:r w:rsidRPr="001C7D5F">
        <w:rPr>
          <w:rFonts w:asciiTheme="majorBidi" w:hAnsiTheme="majorBidi" w:cstheme="majorBidi"/>
          <w:sz w:val="24"/>
          <w:szCs w:val="24"/>
        </w:rPr>
        <w:t xml:space="preserve">  </w:t>
      </w:r>
      <w:r w:rsidR="000C1640" w:rsidRPr="001C7D5F">
        <w:rPr>
          <w:rFonts w:asciiTheme="majorBidi" w:hAnsiTheme="majorBidi" w:cstheme="majorBidi"/>
          <w:sz w:val="24"/>
          <w:szCs w:val="24"/>
        </w:rPr>
        <w:t xml:space="preserve"> </w:t>
      </w:r>
      <w:r w:rsidR="003C1B26" w:rsidRPr="001C7D5F">
        <w:rPr>
          <w:rFonts w:asciiTheme="majorBidi" w:hAnsiTheme="majorBidi" w:cstheme="majorBidi"/>
          <w:bCs/>
          <w:sz w:val="24"/>
          <w:szCs w:val="24"/>
        </w:rPr>
        <w:t xml:space="preserve">Effects of Zinc Soap Supplementation on Intake, </w:t>
      </w:r>
      <w:r w:rsidR="0017216D">
        <w:rPr>
          <w:rFonts w:asciiTheme="majorBidi" w:hAnsiTheme="majorBidi" w:cstheme="majorBidi"/>
          <w:bCs/>
          <w:sz w:val="24"/>
          <w:szCs w:val="24"/>
        </w:rPr>
        <w:t xml:space="preserve">Rumen </w:t>
      </w:r>
      <w:r w:rsidR="003C1B26" w:rsidRPr="001C7D5F">
        <w:rPr>
          <w:rFonts w:asciiTheme="majorBidi" w:hAnsiTheme="majorBidi" w:cstheme="majorBidi"/>
          <w:bCs/>
          <w:sz w:val="24"/>
          <w:szCs w:val="24"/>
        </w:rPr>
        <w:t xml:space="preserve">Fermentability, </w:t>
      </w:r>
    </w:p>
    <w:p w14:paraId="6B1A4AD4" w14:textId="77777777" w:rsidR="00750ADD" w:rsidRDefault="003C1B26" w:rsidP="001C7D5F">
      <w:pPr>
        <w:pStyle w:val="nama"/>
        <w:spacing w:after="0"/>
        <w:jc w:val="right"/>
        <w:rPr>
          <w:rFonts w:asciiTheme="majorBidi" w:hAnsiTheme="majorBidi" w:cstheme="majorBidi"/>
          <w:bCs/>
          <w:smallCaps w:val="0"/>
          <w:sz w:val="24"/>
          <w:szCs w:val="24"/>
        </w:rPr>
      </w:pPr>
      <w:r w:rsidRPr="001C7D5F">
        <w:rPr>
          <w:rFonts w:asciiTheme="majorBidi" w:hAnsiTheme="majorBidi" w:cstheme="majorBidi"/>
          <w:bCs/>
          <w:smallCaps w:val="0"/>
          <w:sz w:val="24"/>
          <w:szCs w:val="24"/>
        </w:rPr>
        <w:t>Feed Efficiency</w:t>
      </w:r>
      <w:r w:rsidR="00D7186D">
        <w:rPr>
          <w:rFonts w:asciiTheme="majorBidi" w:hAnsiTheme="majorBidi" w:cstheme="majorBidi"/>
          <w:bCs/>
          <w:smallCaps w:val="0"/>
          <w:sz w:val="24"/>
          <w:szCs w:val="24"/>
        </w:rPr>
        <w:t xml:space="preserve">, </w:t>
      </w:r>
      <w:r w:rsidR="00750ADD">
        <w:rPr>
          <w:rFonts w:asciiTheme="majorBidi" w:hAnsiTheme="majorBidi" w:cstheme="majorBidi"/>
          <w:bCs/>
          <w:smallCaps w:val="0"/>
          <w:sz w:val="24"/>
          <w:szCs w:val="24"/>
        </w:rPr>
        <w:t xml:space="preserve">Feed </w:t>
      </w:r>
      <w:r w:rsidR="00D7186D">
        <w:rPr>
          <w:rFonts w:asciiTheme="majorBidi" w:hAnsiTheme="majorBidi" w:cstheme="majorBidi"/>
          <w:bCs/>
          <w:smallCaps w:val="0"/>
          <w:sz w:val="24"/>
          <w:szCs w:val="24"/>
        </w:rPr>
        <w:t>Conver</w:t>
      </w:r>
      <w:r w:rsidR="0081121B">
        <w:rPr>
          <w:rFonts w:asciiTheme="majorBidi" w:hAnsiTheme="majorBidi" w:cstheme="majorBidi"/>
          <w:bCs/>
          <w:smallCaps w:val="0"/>
          <w:sz w:val="24"/>
          <w:szCs w:val="24"/>
        </w:rPr>
        <w:t>s</w:t>
      </w:r>
      <w:r w:rsidR="00D7186D">
        <w:rPr>
          <w:rFonts w:asciiTheme="majorBidi" w:hAnsiTheme="majorBidi" w:cstheme="majorBidi"/>
          <w:bCs/>
          <w:smallCaps w:val="0"/>
          <w:sz w:val="24"/>
          <w:szCs w:val="24"/>
        </w:rPr>
        <w:t xml:space="preserve">ion Ratio and </w:t>
      </w:r>
      <w:r w:rsidR="0017216D">
        <w:rPr>
          <w:rFonts w:asciiTheme="majorBidi" w:hAnsiTheme="majorBidi" w:cstheme="majorBidi"/>
          <w:bCs/>
          <w:smallCaps w:val="0"/>
          <w:sz w:val="24"/>
          <w:szCs w:val="24"/>
        </w:rPr>
        <w:t>Milk Production</w:t>
      </w:r>
      <w:r w:rsidRPr="001C7D5F">
        <w:rPr>
          <w:rFonts w:asciiTheme="majorBidi" w:hAnsiTheme="majorBidi" w:cstheme="majorBidi"/>
          <w:bCs/>
          <w:smallCaps w:val="0"/>
          <w:sz w:val="24"/>
          <w:szCs w:val="24"/>
        </w:rPr>
        <w:t xml:space="preserve"> </w:t>
      </w:r>
    </w:p>
    <w:p w14:paraId="5C93F078" w14:textId="03B8FEF9" w:rsidR="003C1B26" w:rsidRPr="001C7D5F" w:rsidRDefault="003C1B26" w:rsidP="001C7D5F">
      <w:pPr>
        <w:pStyle w:val="nama"/>
        <w:spacing w:after="0"/>
        <w:jc w:val="right"/>
        <w:rPr>
          <w:rFonts w:asciiTheme="majorBidi" w:hAnsiTheme="majorBidi" w:cstheme="majorBidi"/>
          <w:bCs/>
          <w:smallCaps w:val="0"/>
          <w:sz w:val="24"/>
          <w:szCs w:val="24"/>
        </w:rPr>
      </w:pPr>
      <w:r w:rsidRPr="001C7D5F">
        <w:rPr>
          <w:rFonts w:asciiTheme="majorBidi" w:hAnsiTheme="majorBidi" w:cstheme="majorBidi"/>
          <w:bCs/>
          <w:smallCaps w:val="0"/>
          <w:sz w:val="24"/>
          <w:szCs w:val="24"/>
        </w:rPr>
        <w:t>in Sapera Goats</w:t>
      </w:r>
    </w:p>
    <w:p w14:paraId="220F5E0E" w14:textId="77777777" w:rsidR="003C1B26" w:rsidRDefault="003C1B26" w:rsidP="003C1B26">
      <w:pPr>
        <w:pStyle w:val="nama"/>
        <w:jc w:val="right"/>
        <w:rPr>
          <w:bCs/>
          <w:smallCaps w:val="0"/>
          <w:sz w:val="24"/>
          <w:szCs w:val="24"/>
          <w:lang w:val="id-ID"/>
        </w:rPr>
      </w:pPr>
    </w:p>
    <w:p w14:paraId="3E31F4C3" w14:textId="69261BBE" w:rsidR="00B01FCD" w:rsidRPr="00FE66D8" w:rsidRDefault="00B63EA8" w:rsidP="00441B6F">
      <w:pPr>
        <w:pStyle w:val="Copyright"/>
        <w:spacing w:after="0" w:line="240" w:lineRule="auto"/>
        <w:jc w:val="both"/>
        <w:rPr>
          <w:rFonts w:ascii="Times New Roman" w:hAnsi="Times New Roman"/>
          <w:sz w:val="24"/>
          <w:szCs w:val="24"/>
        </w:rPr>
        <w:sectPr w:rsidR="00B01FCD" w:rsidRPr="00FE66D8" w:rsidSect="001758F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E66D8">
        <w:rPr>
          <w:rFonts w:ascii="Times New Roman" w:hAnsi="Times New Roman"/>
          <w:noProof/>
          <w:sz w:val="24"/>
          <w:szCs w:val="24"/>
        </w:rPr>
        <mc:AlternateContent>
          <mc:Choice Requires="wps">
            <w:drawing>
              <wp:inline distT="0" distB="0" distL="0" distR="0" wp14:anchorId="6C0C90E8" wp14:editId="6DA18988">
                <wp:extent cx="5303520" cy="635"/>
                <wp:effectExtent l="13335" t="13335" r="17145" b="15240"/>
                <wp:docPr id="188787054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2DCEF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" strokeweight="1.5pt">
                <w10:anchorlock/>
              </v:shape>
            </w:pict>
          </mc:Fallback>
        </mc:AlternateContent>
      </w:r>
      <w:r w:rsidR="00FB3A86" w:rsidRPr="00FE66D8">
        <w:rPr>
          <w:rFonts w:ascii="Times New Roman" w:hAnsi="Times New Roman"/>
          <w:sz w:val="24"/>
          <w:szCs w:val="24"/>
        </w:rPr>
        <w:t>.</w:t>
      </w:r>
    </w:p>
    <w:p w14:paraId="1D87B435" w14:textId="6A17E9D7" w:rsidR="00B01FCD" w:rsidRPr="00FE66D8" w:rsidRDefault="00B01FCD" w:rsidP="00441B6F">
      <w:pPr>
        <w:pStyle w:val="AbstHead"/>
        <w:spacing w:after="0"/>
        <w:jc w:val="both"/>
        <w:rPr>
          <w:rFonts w:ascii="Times New Roman" w:hAnsi="Times New Roman"/>
          <w:sz w:val="24"/>
          <w:szCs w:val="24"/>
        </w:rPr>
      </w:pPr>
      <w:r w:rsidRPr="00FE66D8">
        <w:rPr>
          <w:rFonts w:ascii="Times New Roman" w:hAnsi="Times New Roman"/>
          <w:sz w:val="24"/>
          <w:szCs w:val="24"/>
        </w:rPr>
        <w:t>ABSTRACT</w:t>
      </w:r>
      <w:r w:rsidR="0066510A" w:rsidRPr="00FE66D8">
        <w:rPr>
          <w:rFonts w:ascii="Times New Roman" w:hAnsi="Times New Roman"/>
          <w:sz w:val="24"/>
          <w:szCs w:val="24"/>
        </w:rPr>
        <w:t xml:space="preserve"> </w:t>
      </w:r>
    </w:p>
    <w:p w14:paraId="7A192726" w14:textId="77777777" w:rsidR="00790ADA" w:rsidRPr="00FE66D8" w:rsidRDefault="00790ADA" w:rsidP="00441B6F">
      <w:pPr>
        <w:pStyle w:val="AbstHead"/>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80"/>
      </w:tblGrid>
      <w:tr w:rsidR="00296529" w:rsidRPr="00FE66D8" w14:paraId="1BAC2F2D" w14:textId="77777777" w:rsidTr="001E44FE">
        <w:tc>
          <w:tcPr>
            <w:tcW w:w="9576" w:type="dxa"/>
            <w:shd w:val="clear" w:color="auto" w:fill="F2F2F2"/>
          </w:tcPr>
          <w:p w14:paraId="48A5CCBC" w14:textId="6C0A7494" w:rsidR="00505F06" w:rsidRPr="005D6672" w:rsidRDefault="005D6672" w:rsidP="005D6672">
            <w:pPr>
              <w:pStyle w:val="NormalWeb"/>
              <w:jc w:val="both"/>
            </w:pPr>
            <w:r w:rsidRPr="005D6672">
              <w:t xml:space="preserve">The study </w:t>
            </w:r>
            <w:r w:rsidR="00066B8F">
              <w:t xml:space="preserve">was </w:t>
            </w:r>
            <w:r w:rsidRPr="005D6672">
              <w:t>aimed to examine the effect of</w:t>
            </w:r>
            <w:r w:rsidR="0017216D">
              <w:t xml:space="preserve"> </w:t>
            </w:r>
            <w:r w:rsidRPr="005D6672">
              <w:t xml:space="preserve">Zinc soap supplementation </w:t>
            </w:r>
            <w:r w:rsidR="00066B8F">
              <w:t xml:space="preserve">in Sapera dairy goat </w:t>
            </w:r>
            <w:r w:rsidRPr="005D6672">
              <w:t xml:space="preserve">on dry matter consumption, </w:t>
            </w:r>
            <w:r w:rsidR="0017216D">
              <w:t xml:space="preserve">rumen </w:t>
            </w:r>
            <w:r w:rsidRPr="005D6672">
              <w:t>fermentabili</w:t>
            </w:r>
            <w:r w:rsidR="0017216D">
              <w:t>ty, f</w:t>
            </w:r>
            <w:r w:rsidRPr="005D6672">
              <w:t>eed efficiency</w:t>
            </w:r>
            <w:r w:rsidR="00066B8F">
              <w:t>, conversion ratio</w:t>
            </w:r>
            <w:r w:rsidRPr="005D6672">
              <w:t xml:space="preserve"> </w:t>
            </w:r>
            <w:r w:rsidR="0017216D">
              <w:t xml:space="preserve">and </w:t>
            </w:r>
            <w:r w:rsidR="0017216D" w:rsidRPr="005D6672">
              <w:t>milk production</w:t>
            </w:r>
            <w:r w:rsidRPr="005D6672">
              <w:t xml:space="preserve">. The study was conducted using in vivo and in vitro methods for </w:t>
            </w:r>
            <w:r w:rsidRPr="005D6672">
              <w:rPr>
                <w:rStyle w:val="ai-insert"/>
              </w:rPr>
              <w:t>three</w:t>
            </w:r>
            <w:r w:rsidRPr="005D6672">
              <w:t xml:space="preserve"> months</w:t>
            </w:r>
            <w:r w:rsidR="00066B8F">
              <w:t>, April - June 2024</w:t>
            </w:r>
            <w:r w:rsidRPr="005D6672">
              <w:t xml:space="preserve">. </w:t>
            </w:r>
            <w:r w:rsidR="00F42664">
              <w:t xml:space="preserve">For </w:t>
            </w:r>
            <w:r w:rsidRPr="005D6672">
              <w:t>in vivo experiment</w:t>
            </w:r>
            <w:r w:rsidR="00F42664">
              <w:t xml:space="preserve"> </w:t>
            </w:r>
            <w:r w:rsidRPr="005D6672">
              <w:t>14 Sapera goats</w:t>
            </w:r>
            <w:r w:rsidR="00066B8F">
              <w:t xml:space="preserve"> with average body weight of </w:t>
            </w:r>
            <w:r w:rsidRPr="005D6672">
              <w:t xml:space="preserve">48.86 </w:t>
            </w:r>
            <w:r w:rsidR="00066B8F">
              <w:t>±</w:t>
            </w:r>
            <w:r w:rsidRPr="005D6672">
              <w:t xml:space="preserve"> 12.183 kg,</w:t>
            </w:r>
            <w:r w:rsidR="00066B8F">
              <w:t xml:space="preserve"> </w:t>
            </w:r>
            <w:r w:rsidRPr="005D6672">
              <w:t xml:space="preserve">divided into </w:t>
            </w:r>
            <w:r w:rsidR="00066B8F">
              <w:rPr>
                <w:rStyle w:val="ai-insert"/>
              </w:rPr>
              <w:t>control (</w:t>
            </w:r>
            <w:r w:rsidR="00277CC4">
              <w:rPr>
                <w:rStyle w:val="ai-insert"/>
              </w:rPr>
              <w:t>n=7</w:t>
            </w:r>
            <w:r w:rsidR="00066B8F">
              <w:rPr>
                <w:rStyle w:val="ai-insert"/>
              </w:rPr>
              <w:t>) and treatment (</w:t>
            </w:r>
            <w:r w:rsidR="00277CC4">
              <w:rPr>
                <w:rStyle w:val="ai-insert"/>
              </w:rPr>
              <w:t>n=7</w:t>
            </w:r>
            <w:r w:rsidR="00066B8F">
              <w:rPr>
                <w:rStyle w:val="ai-insert"/>
              </w:rPr>
              <w:t>)</w:t>
            </w:r>
            <w:r w:rsidRPr="005D6672">
              <w:t xml:space="preserve"> </w:t>
            </w:r>
            <w:r w:rsidRPr="00F42664">
              <w:t>group</w:t>
            </w:r>
            <w:r w:rsidR="006D40E3">
              <w:t xml:space="preserve"> with 3% Zinc soap supplementation</w:t>
            </w:r>
            <w:r w:rsidRPr="005D6672">
              <w:t>.</w:t>
            </w:r>
            <w:r w:rsidR="00734580">
              <w:t xml:space="preserve"> The </w:t>
            </w:r>
            <w:r w:rsidR="00734580" w:rsidRPr="00734580">
              <w:t xml:space="preserve">determination of 3% zinc soap supplementation is based on the amount of dry matter consumption of livestock and previous research conducted 5% </w:t>
            </w:r>
            <w:r w:rsidR="006D40E3">
              <w:t>Zinc</w:t>
            </w:r>
            <w:r w:rsidR="00734580" w:rsidRPr="00734580">
              <w:t xml:space="preserve"> soap supplementation which resulted in a drastic decrease in dry matter consumption.</w:t>
            </w:r>
            <w:r w:rsidR="00734580">
              <w:t xml:space="preserve"> </w:t>
            </w:r>
            <w:r w:rsidR="00A1422F">
              <w:t xml:space="preserve">In vivo methods observing </w:t>
            </w:r>
            <w:r w:rsidRPr="005D6672">
              <w:t>dry matter consumption, milk production</w:t>
            </w:r>
            <w:r w:rsidRPr="005D6672">
              <w:rPr>
                <w:rStyle w:val="ai-insert"/>
              </w:rPr>
              <w:t>,</w:t>
            </w:r>
            <w:r w:rsidRPr="005D6672">
              <w:t xml:space="preserve"> feed efficiency</w:t>
            </w:r>
            <w:r w:rsidR="00A1422F">
              <w:t xml:space="preserve"> and conversion ratio.</w:t>
            </w:r>
            <w:r w:rsidRPr="005D6672">
              <w:t xml:space="preserve"> In vitro experiments were conducted to measure feed fermentability</w:t>
            </w:r>
            <w:r w:rsidRPr="005D6672">
              <w:rPr>
                <w:rStyle w:val="ai-insert"/>
              </w:rPr>
              <w:t>,</w:t>
            </w:r>
            <w:r w:rsidRPr="005D6672">
              <w:t xml:space="preserve"> including total volatile fatty acids (VFA) and NH</w:t>
            </w:r>
            <w:r w:rsidRPr="00AD7506">
              <w:rPr>
                <w:vertAlign w:val="subscript"/>
              </w:rPr>
              <w:t>3</w:t>
            </w:r>
            <w:r w:rsidRPr="005D6672">
              <w:t xml:space="preserve"> in </w:t>
            </w:r>
            <w:r w:rsidRPr="005D6672">
              <w:rPr>
                <w:rStyle w:val="ai-insert"/>
              </w:rPr>
              <w:t xml:space="preserve">the </w:t>
            </w:r>
            <w:r w:rsidRPr="005D6672">
              <w:t xml:space="preserve">rumen fluid. The results showed that </w:t>
            </w:r>
            <w:r w:rsidR="00A1422F">
              <w:rPr>
                <w:rStyle w:val="ai-insert"/>
              </w:rPr>
              <w:t xml:space="preserve">Zn </w:t>
            </w:r>
            <w:r w:rsidRPr="005D6672">
              <w:t>soap supplementation had a significant effect (</w:t>
            </w:r>
            <w:r w:rsidR="00A1422F" w:rsidRPr="00A1422F">
              <w:rPr>
                <w:i/>
                <w:iCs/>
              </w:rPr>
              <w:t>p</w:t>
            </w:r>
            <w:r w:rsidRPr="005D6672">
              <w:t>&lt;0.05) on dry matter consumption, VFA and NH</w:t>
            </w:r>
            <w:r w:rsidRPr="00AD7506">
              <w:rPr>
                <w:vertAlign w:val="subscript"/>
              </w:rPr>
              <w:t>3</w:t>
            </w:r>
            <w:r w:rsidRPr="005D6672">
              <w:t xml:space="preserve">, but had no significant effect on milk production and feed efficiency. </w:t>
            </w:r>
          </w:p>
        </w:tc>
      </w:tr>
    </w:tbl>
    <w:p w14:paraId="379A93E3" w14:textId="77777777" w:rsidR="00636EB2" w:rsidRPr="00FE66D8" w:rsidRDefault="00636EB2" w:rsidP="00441B6F">
      <w:pPr>
        <w:pStyle w:val="Body"/>
        <w:spacing w:after="0"/>
        <w:rPr>
          <w:rFonts w:ascii="Times New Roman" w:hAnsi="Times New Roman"/>
          <w:i/>
          <w:sz w:val="24"/>
          <w:szCs w:val="24"/>
        </w:rPr>
      </w:pPr>
    </w:p>
    <w:p w14:paraId="5FECC190" w14:textId="04E34E8A" w:rsidR="00790ADA" w:rsidRDefault="00040A15" w:rsidP="00040A15">
      <w:pPr>
        <w:pStyle w:val="Body"/>
        <w:spacing w:after="0"/>
        <w:rPr>
          <w:rFonts w:ascii="Times New Roman" w:hAnsi="Times New Roman"/>
          <w:i/>
          <w:sz w:val="24"/>
          <w:szCs w:val="24"/>
          <w:lang w:val="en"/>
        </w:rPr>
      </w:pPr>
      <w:r w:rsidRPr="00040A15">
        <w:rPr>
          <w:rFonts w:ascii="Times New Roman" w:hAnsi="Times New Roman"/>
          <w:i/>
          <w:sz w:val="24"/>
          <w:szCs w:val="24"/>
          <w:lang w:val="en"/>
        </w:rPr>
        <w:t xml:space="preserve">Keywords: </w:t>
      </w:r>
      <w:r w:rsidR="00A1422F">
        <w:rPr>
          <w:rFonts w:ascii="Times New Roman" w:hAnsi="Times New Roman"/>
          <w:i/>
          <w:sz w:val="24"/>
          <w:szCs w:val="24"/>
          <w:lang w:val="en"/>
        </w:rPr>
        <w:t>Sapera</w:t>
      </w:r>
      <w:r w:rsidR="00AD7506">
        <w:rPr>
          <w:rFonts w:ascii="Times New Roman" w:hAnsi="Times New Roman"/>
          <w:i/>
          <w:sz w:val="24"/>
          <w:szCs w:val="24"/>
          <w:lang w:val="en"/>
        </w:rPr>
        <w:t xml:space="preserve">; </w:t>
      </w:r>
      <w:r w:rsidRPr="00040A15">
        <w:rPr>
          <w:rFonts w:ascii="Times New Roman" w:hAnsi="Times New Roman"/>
          <w:i/>
          <w:sz w:val="24"/>
          <w:szCs w:val="24"/>
          <w:lang w:val="en"/>
        </w:rPr>
        <w:t>Zinc soap</w:t>
      </w:r>
      <w:r w:rsidR="00A1422F">
        <w:rPr>
          <w:rFonts w:ascii="Times New Roman" w:hAnsi="Times New Roman"/>
          <w:i/>
          <w:sz w:val="24"/>
          <w:szCs w:val="24"/>
          <w:lang w:val="en"/>
        </w:rPr>
        <w:t xml:space="preserve"> supplementation</w:t>
      </w:r>
      <w:r w:rsidR="00AD7506">
        <w:rPr>
          <w:rFonts w:ascii="Times New Roman" w:hAnsi="Times New Roman"/>
          <w:i/>
          <w:sz w:val="24"/>
          <w:szCs w:val="24"/>
          <w:lang w:val="en"/>
        </w:rPr>
        <w:t>;</w:t>
      </w:r>
      <w:r w:rsidR="00A1422F">
        <w:rPr>
          <w:rFonts w:ascii="Times New Roman" w:hAnsi="Times New Roman"/>
          <w:i/>
          <w:sz w:val="24"/>
          <w:szCs w:val="24"/>
          <w:lang w:val="en"/>
        </w:rPr>
        <w:t xml:space="preserve"> milk</w:t>
      </w:r>
      <w:r w:rsidR="00AD7506">
        <w:rPr>
          <w:rFonts w:ascii="Times New Roman" w:hAnsi="Times New Roman"/>
          <w:i/>
          <w:sz w:val="24"/>
          <w:szCs w:val="24"/>
          <w:lang w:val="en"/>
        </w:rPr>
        <w:t>;</w:t>
      </w:r>
      <w:r w:rsidR="005561AA">
        <w:rPr>
          <w:rFonts w:ascii="Times New Roman" w:hAnsi="Times New Roman"/>
          <w:i/>
          <w:sz w:val="24"/>
          <w:szCs w:val="24"/>
          <w:lang w:val="en"/>
        </w:rPr>
        <w:t xml:space="preserve"> feed conversion ratio</w:t>
      </w:r>
      <w:r w:rsidR="00AD7506">
        <w:rPr>
          <w:rFonts w:ascii="Times New Roman" w:hAnsi="Times New Roman"/>
          <w:i/>
          <w:sz w:val="24"/>
          <w:szCs w:val="24"/>
          <w:lang w:val="en"/>
        </w:rPr>
        <w:t>;</w:t>
      </w:r>
      <w:r w:rsidR="005561AA">
        <w:rPr>
          <w:rFonts w:ascii="Times New Roman" w:hAnsi="Times New Roman"/>
          <w:i/>
          <w:sz w:val="24"/>
          <w:szCs w:val="24"/>
          <w:lang w:val="en"/>
        </w:rPr>
        <w:t xml:space="preserve"> feed efficiency ratio</w:t>
      </w:r>
    </w:p>
    <w:p w14:paraId="64BE53BA" w14:textId="77777777" w:rsidR="00040A15" w:rsidRPr="00FE66D8" w:rsidRDefault="00040A15" w:rsidP="00040A15">
      <w:pPr>
        <w:pStyle w:val="Body"/>
        <w:spacing w:after="0"/>
        <w:rPr>
          <w:rFonts w:ascii="Times New Roman" w:hAnsi="Times New Roman"/>
          <w:i/>
          <w:sz w:val="24"/>
          <w:szCs w:val="24"/>
        </w:rPr>
      </w:pPr>
    </w:p>
    <w:p w14:paraId="2195C290" w14:textId="5DA0294D" w:rsidR="007F7B32" w:rsidRPr="00FE66D8" w:rsidRDefault="00902823" w:rsidP="00441B6F">
      <w:pPr>
        <w:pStyle w:val="AbstHead"/>
        <w:spacing w:after="0"/>
        <w:jc w:val="both"/>
        <w:rPr>
          <w:rFonts w:ascii="Times New Roman" w:hAnsi="Times New Roman"/>
          <w:sz w:val="24"/>
          <w:szCs w:val="24"/>
        </w:rPr>
      </w:pPr>
      <w:r w:rsidRPr="00FE66D8">
        <w:rPr>
          <w:rFonts w:ascii="Times New Roman" w:hAnsi="Times New Roman"/>
          <w:sz w:val="24"/>
          <w:szCs w:val="24"/>
        </w:rPr>
        <w:t xml:space="preserve">1. </w:t>
      </w:r>
      <w:r w:rsidR="00B01FCD" w:rsidRPr="00FE66D8">
        <w:rPr>
          <w:rFonts w:ascii="Times New Roman" w:hAnsi="Times New Roman"/>
          <w:sz w:val="24"/>
          <w:szCs w:val="24"/>
        </w:rPr>
        <w:t>INTRODUCTION</w:t>
      </w:r>
      <w:r w:rsidR="007F7B32" w:rsidRPr="00FE66D8">
        <w:rPr>
          <w:rFonts w:ascii="Times New Roman" w:hAnsi="Times New Roman"/>
          <w:sz w:val="24"/>
          <w:szCs w:val="24"/>
        </w:rPr>
        <w:t xml:space="preserve"> </w:t>
      </w:r>
    </w:p>
    <w:p w14:paraId="0955E323" w14:textId="77777777" w:rsidR="00790ADA" w:rsidRPr="00FE66D8" w:rsidRDefault="00790ADA" w:rsidP="00441B6F">
      <w:pPr>
        <w:pStyle w:val="AbstHead"/>
        <w:spacing w:after="0"/>
        <w:jc w:val="both"/>
        <w:rPr>
          <w:rFonts w:ascii="Times New Roman" w:hAnsi="Times New Roman"/>
          <w:sz w:val="24"/>
          <w:szCs w:val="24"/>
        </w:rPr>
      </w:pPr>
    </w:p>
    <w:p w14:paraId="43D19E4C" w14:textId="48AE76C0" w:rsidR="005D6672" w:rsidRPr="005D6672" w:rsidRDefault="005D6672" w:rsidP="005D6672">
      <w:pPr>
        <w:jc w:val="both"/>
        <w:rPr>
          <w:rFonts w:ascii="Times New Roman" w:hAnsi="Times New Roman"/>
          <w:sz w:val="24"/>
          <w:szCs w:val="24"/>
          <w:lang w:val="en-ID"/>
        </w:rPr>
      </w:pPr>
      <w:r w:rsidRPr="005D6672">
        <w:rPr>
          <w:rFonts w:ascii="Times New Roman" w:hAnsi="Times New Roman"/>
          <w:sz w:val="24"/>
          <w:szCs w:val="24"/>
          <w:lang w:val="en-ID"/>
        </w:rPr>
        <w:t xml:space="preserve">Sapera goats milk </w:t>
      </w:r>
      <w:r w:rsidR="00AD7506">
        <w:rPr>
          <w:rFonts w:ascii="Times New Roman" w:hAnsi="Times New Roman"/>
          <w:sz w:val="24"/>
          <w:szCs w:val="24"/>
          <w:lang w:val="en-ID"/>
        </w:rPr>
        <w:t xml:space="preserve">production </w:t>
      </w:r>
      <w:r w:rsidRPr="005D6672">
        <w:rPr>
          <w:rFonts w:ascii="Times New Roman" w:hAnsi="Times New Roman"/>
          <w:sz w:val="24"/>
          <w:szCs w:val="24"/>
          <w:lang w:val="en-ID"/>
        </w:rPr>
        <w:t>ranges from 1</w:t>
      </w:r>
      <w:r w:rsidR="00AD7506">
        <w:rPr>
          <w:rFonts w:ascii="Times New Roman" w:hAnsi="Times New Roman"/>
          <w:sz w:val="24"/>
          <w:szCs w:val="24"/>
          <w:lang w:val="en-ID"/>
        </w:rPr>
        <w:t>-</w:t>
      </w:r>
      <w:r w:rsidRPr="005D6672">
        <w:rPr>
          <w:rFonts w:ascii="Times New Roman" w:hAnsi="Times New Roman"/>
          <w:sz w:val="24"/>
          <w:szCs w:val="24"/>
          <w:lang w:val="en-ID"/>
        </w:rPr>
        <w:t>3 l</w:t>
      </w:r>
      <w:r w:rsidR="00CD27B5">
        <w:rPr>
          <w:rFonts w:ascii="Times New Roman" w:hAnsi="Times New Roman"/>
          <w:sz w:val="24"/>
          <w:szCs w:val="24"/>
          <w:lang w:val="en-ID"/>
        </w:rPr>
        <w:t>it</w:t>
      </w:r>
      <w:r w:rsidR="00AD7506">
        <w:rPr>
          <w:rFonts w:ascii="Times New Roman" w:hAnsi="Times New Roman"/>
          <w:sz w:val="24"/>
          <w:szCs w:val="24"/>
          <w:lang w:val="en-ID"/>
        </w:rPr>
        <w:t xml:space="preserve">re per </w:t>
      </w:r>
      <w:r w:rsidRPr="005D6672">
        <w:rPr>
          <w:rFonts w:ascii="Times New Roman" w:hAnsi="Times New Roman"/>
          <w:sz w:val="24"/>
          <w:szCs w:val="24"/>
          <w:lang w:val="en-ID"/>
        </w:rPr>
        <w:t>day</w:t>
      </w:r>
      <w:r w:rsidR="00AD7506">
        <w:rPr>
          <w:rFonts w:ascii="Times New Roman" w:hAnsi="Times New Roman"/>
          <w:sz w:val="24"/>
          <w:szCs w:val="24"/>
          <w:lang w:val="en-ID"/>
        </w:rPr>
        <w:t xml:space="preserve"> under good feeding and management practices</w:t>
      </w:r>
      <w:r w:rsidRPr="005D6672">
        <w:rPr>
          <w:rFonts w:ascii="Times New Roman" w:hAnsi="Times New Roman"/>
          <w:sz w:val="24"/>
          <w:szCs w:val="24"/>
          <w:lang w:val="en-ID"/>
        </w:rPr>
        <w:t xml:space="preserve"> </w:t>
      </w:r>
      <w:r w:rsidR="00CD27B5">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https://doi.org/10.36626/jppt.v5i2.1184","author":[{"dropping-particle":"","family":"Sunardi","given":"S","non-dropping-particle":"","parse-names":false,"suffix":""},{"dropping-particle":"","family":"Yustika","given":"D","non-dropping-particle":"","parse-names":false,"suffix":""},{"dropping-particle":"","family":"Hartati","given":"P","non-dropping-particle":"","parse-names":false,"suffix":""}],"container-title":"J. Penelitian Peternakan Terpadu","id":"ITEM-1","issue":"2","issued":{"date-parts":[["2023"]]},"page":"172 -176","title":"Korelasi Antara Ukuran Tubuh dan Ukuran Ambing Terhadap Produksi Susu Kambing Sapera di UD. Mitra Agro","type":"article-journal","volume":"5"},"uris":["http://www.mendeley.com/documents/?uuid=0f3e032c-6606-4564-b76c-dfc343ea8e59"]}],"mendeley":{"formattedCitation":"(Sunardi et al., 2023)","plainTextFormattedCitation":"(Sunardi et al., 2023)","previouslyFormattedCitation":"(Sunardi et al., 2023)"},"properties":{"noteIndex":0},"schema":"https://github.com/citation-style-language/schema/raw/master/csl-citation.json"}</w:instrText>
      </w:r>
      <w:r w:rsidR="00CD27B5">
        <w:rPr>
          <w:rFonts w:ascii="Times New Roman" w:hAnsi="Times New Roman"/>
          <w:sz w:val="24"/>
          <w:szCs w:val="24"/>
          <w:lang w:val="en-ID"/>
        </w:rPr>
        <w:fldChar w:fldCharType="separate"/>
      </w:r>
      <w:r w:rsidR="004B0763" w:rsidRPr="004B0763">
        <w:rPr>
          <w:rFonts w:ascii="Times New Roman" w:hAnsi="Times New Roman"/>
          <w:noProof/>
          <w:sz w:val="24"/>
          <w:szCs w:val="24"/>
          <w:lang w:val="en-ID"/>
        </w:rPr>
        <w:t>(Sunardi et al., 2023)</w:t>
      </w:r>
      <w:r w:rsidR="00CD27B5">
        <w:rPr>
          <w:rFonts w:ascii="Times New Roman" w:hAnsi="Times New Roman"/>
          <w:sz w:val="24"/>
          <w:szCs w:val="24"/>
          <w:lang w:val="en-ID"/>
        </w:rPr>
        <w:fldChar w:fldCharType="end"/>
      </w:r>
      <w:r w:rsidRPr="005D6672">
        <w:rPr>
          <w:rFonts w:ascii="Times New Roman" w:hAnsi="Times New Roman"/>
          <w:sz w:val="24"/>
          <w:szCs w:val="24"/>
          <w:lang w:val="en-ID"/>
        </w:rPr>
        <w:t xml:space="preserve">. Lactating goats require energy in the form of at least 60% total digestible nutrients (TDN) </w:t>
      </w:r>
      <w:r w:rsidR="00CD27B5">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{"citationItems":[{"id":"ITEM-1","itemData":{"DOI":"10.1186/s40781-016-0113-5","author":[{"dropping-particle":"","family":"Supriyati","given":"Supriyati","non-dropping-particle":"","parse-names":false,"suffix":""},{"dropping-particle":"","family":"Budiarsana","given":"I Gusti Made","non-dropping-particle":"","parse-names":false,"suffix":""},{"dropping-particle":"","family":"Praharani","given":"Lisa","non-dropping-particle":"","parse-names":false,"suffix":""},{"dropping-particle":"","family":"Krisnan","given":"Rantan","non-dropping-particle":"","parse-names":false,"suffix":""},{"dropping-particle":"","family":"Sutama","given":"I Ktut","non-dropping-particle":"","parse-names":false,"suffix":""}],"container-title":"J. of Animal Science and Technology","id":"ITEM-1","issue":"30","issued":{"date-parts":[["2016"]]},"page":"1-12","title":"Effect of Choline Chloride Supplementation on Milk Production and Milk Composition of Etawah Grade Goats","type":"article-journal","volume":"58"},"uris":["http://www.mendeley.com/documents/?uuid=d3b22741-297d-4f66-b54a-ea91fa71459f"]}],"mendeley":{"formattedCitation":"(Supriyati et al., 2016)","plainTextFormattedCitation":"(Supriyati et al., 2016)","previouslyFormattedCitation":"(Supriyati et al., 2016)"},"properties":{"noteIndex":0},"schema":"https://github.com/citation-style-language/schema/raw/master/csl-citation.json"}</w:instrText>
      </w:r>
      <w:r w:rsidR="00CD27B5">
        <w:rPr>
          <w:rFonts w:ascii="Times New Roman" w:hAnsi="Times New Roman"/>
          <w:sz w:val="24"/>
          <w:szCs w:val="24"/>
          <w:lang w:val="en-ID"/>
        </w:rPr>
        <w:fldChar w:fldCharType="separate"/>
      </w:r>
      <w:r w:rsidR="004B0763" w:rsidRPr="004B0763">
        <w:rPr>
          <w:rFonts w:ascii="Times New Roman" w:hAnsi="Times New Roman"/>
          <w:noProof/>
          <w:sz w:val="24"/>
          <w:szCs w:val="24"/>
          <w:lang w:val="en-ID"/>
        </w:rPr>
        <w:t>(Supriyati et al., 2016)</w:t>
      </w:r>
      <w:r w:rsidR="00CD27B5">
        <w:rPr>
          <w:rFonts w:ascii="Times New Roman" w:hAnsi="Times New Roman"/>
          <w:sz w:val="24"/>
          <w:szCs w:val="24"/>
          <w:lang w:val="en-ID"/>
        </w:rPr>
        <w:fldChar w:fldCharType="end"/>
      </w:r>
      <w:r w:rsidRPr="005D6672">
        <w:rPr>
          <w:rFonts w:ascii="Times New Roman" w:hAnsi="Times New Roman"/>
          <w:sz w:val="24"/>
          <w:szCs w:val="24"/>
          <w:lang w:val="en-ID"/>
        </w:rPr>
        <w:t xml:space="preserve">. The primary energy source for lactating </w:t>
      </w:r>
      <w:r w:rsidR="00AD7506">
        <w:rPr>
          <w:rFonts w:ascii="Times New Roman" w:hAnsi="Times New Roman"/>
          <w:sz w:val="24"/>
          <w:szCs w:val="24"/>
          <w:lang w:val="en-ID"/>
        </w:rPr>
        <w:t xml:space="preserve">goat </w:t>
      </w:r>
      <w:r w:rsidRPr="005D6672">
        <w:rPr>
          <w:rFonts w:ascii="Times New Roman" w:hAnsi="Times New Roman"/>
          <w:sz w:val="24"/>
          <w:szCs w:val="24"/>
          <w:lang w:val="en-ID"/>
        </w:rPr>
        <w:t xml:space="preserve">is concentrated feed, resulting in high feed costs. Energy supplementation is an alternative strategy for optimizing feed provision. Palm oil is an alternative source of energy for lactating dairy goats. Palm oil has an energy content 2.25 times higher than that of carbohydrate feed sources. Palm oil is abundant and affordable. According to </w:t>
      </w:r>
      <w:r w:rsidR="00CD27B5">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10.1088/1755-1315/803/1/012009","author":[{"dropping-particle":"","family":"Widayati","given":"W","non-dropping-particle":"","parse-names":false,"suffix":""},{"dropping-particle":"","family":"Muktiani","given":"A","non-dropping-particle":"","parse-names":false,"suffix":""}],"container-title":"IOP Conf. Series: Earth and Environmental Science","id":"ITEM-1","issued":{"date-parts":[["2021"]]},"page":"1-7","title":"Effects of Palm Oil and Palm Oil Zinc Soap Supplementation on Feed Intake, Feed Digestibility, and Performance in Lamb","type":"paper-conference"},"uris":["http://www.mendeley.com/documents/?uuid=7f4bdd8a-876a-4caa-b554-ea7497fa7f41"]}],"mendeley":{"formattedCitation":"(Widayati &amp; Muktiani, 2021)","manualFormatting":"Widayati and Muktiani (2021)","plainTextFormattedCitation":"(Widayati &amp; Muktiani, 2021)","previouslyFormattedCitation":"(Widayati &amp; Muktiani, 2021)"},"properties":{"noteIndex":0},"schema":"https://github.com/citation-style-language/schema/raw/master/csl-citation.json"}</w:instrText>
      </w:r>
      <w:r w:rsidR="00CD27B5">
        <w:rPr>
          <w:rFonts w:ascii="Times New Roman" w:hAnsi="Times New Roman"/>
          <w:sz w:val="24"/>
          <w:szCs w:val="24"/>
          <w:lang w:val="en-ID"/>
        </w:rPr>
        <w:fldChar w:fldCharType="separate"/>
      </w:r>
      <w:r w:rsidR="00CD27B5" w:rsidRPr="00CD27B5">
        <w:rPr>
          <w:rFonts w:ascii="Times New Roman" w:hAnsi="Times New Roman"/>
          <w:noProof/>
          <w:sz w:val="24"/>
          <w:szCs w:val="24"/>
          <w:lang w:val="en-ID"/>
        </w:rPr>
        <w:t xml:space="preserve">Widayati and Muktiani </w:t>
      </w:r>
      <w:r w:rsidR="00CD27B5">
        <w:rPr>
          <w:rFonts w:ascii="Times New Roman" w:hAnsi="Times New Roman"/>
          <w:noProof/>
          <w:sz w:val="24"/>
          <w:szCs w:val="24"/>
          <w:lang w:val="en-ID"/>
        </w:rPr>
        <w:t>(</w:t>
      </w:r>
      <w:r w:rsidR="00CD27B5" w:rsidRPr="00CD27B5">
        <w:rPr>
          <w:rFonts w:ascii="Times New Roman" w:hAnsi="Times New Roman"/>
          <w:noProof/>
          <w:sz w:val="24"/>
          <w:szCs w:val="24"/>
          <w:lang w:val="en-ID"/>
        </w:rPr>
        <w:t>2021)</w:t>
      </w:r>
      <w:r w:rsidR="00CD27B5">
        <w:rPr>
          <w:rFonts w:ascii="Times New Roman" w:hAnsi="Times New Roman"/>
          <w:sz w:val="24"/>
          <w:szCs w:val="24"/>
          <w:lang w:val="en-ID"/>
        </w:rPr>
        <w:fldChar w:fldCharType="end"/>
      </w:r>
      <w:r w:rsidRPr="005D6672">
        <w:rPr>
          <w:rFonts w:ascii="Times New Roman" w:hAnsi="Times New Roman"/>
          <w:sz w:val="24"/>
          <w:szCs w:val="24"/>
          <w:lang w:val="en-ID"/>
        </w:rPr>
        <w:t xml:space="preserve">, adding 5% palm oil to feed significantly reduces consumption. Another negative impact of oil use is its antimicrobial properties, which disrupt rumen metabolism by reducing microbial activity and volatile fatty acid (VFA) production. According to </w:t>
      </w:r>
      <w:r w:rsidR="00CD27B5">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{"citationItems":[{"id":"ITEM-1","itemData":{"DOI":"10.5398/tasj.2024.47.3.371","ISSN":"2615790X","abstract":"This study aimed to evaluate the effects of energy and organic zinc supplements, specifically zinc palm oil soap (ZPOS), on digestibility and unsaturated fatty acid profiles in vitro. The study used a completely randomized design with 4 treatments and 5 replications. The treatments were: T0= basal diet without supplementation, T1= basal diet + 5% palm oil (PO), T2= basal diet + 5% partial ZPOS (3.75% ZPOS + 1.25% PO), and T3= basal diet + 5% ZPOS. The inoculum source was rumen liquid from three fistulated female dairy goats and was homogenized. The goats were fed ration consisting of corn straw, soybean hulls, and concentrate containing total digestible nutrients (TDN) 63%, crude protein (CP) 14%, and neutral detergent fiber (NDF) 35%. Results showed that both 5% partial ZPOS and 5% ZPOS supplementation (T2 and T3) resulted in the increase of total volatile fatty acids (VFA), acetate, propionate, butyrate, unsaturated fatty acids (USFA) and a decrease in the ratio of acetate/propionate (A/P) compared to the control and supplementation of 5% PO (p&lt;0.05). Supplementation of 5% partial ZPOS (T2) is better than 5% ZPOS because increased the digestibility of ether extract (EE), crude fiber (CF), NDF, and acids detergent fiber (ADF) (p&lt;0.05) and decreased of methane compared to the control (p&lt;0.05). In conclusion, adding 5% partial ZPOS (3.5% ZPOS and 1.5% PO) increases fiber digestibility, VFA, LCFA, and USFA concentration, and decreases methane production in the rumen liquid.","author":[{"dropping-particle":"","family":"Muktiani","given":"A.","non-dropping-particle":"","parse-names":false,"suffix":""},{"dropping-particle":"","family":"Widiyanto","given":"W.","non-dropping-particle":"","parse-names":false,"suffix":""},{"dropping-particle":"","family":"Pandupuspitasari","given":"N. S.","non-dropping-particle":"","parse-names":false,"suffix":""}],"container-title":"Tropical Animal Science Journal","id":"ITEM-1","issue":"3","issued":{"date-parts":[["2024"]]},"page":"371-380","title":"Supplementation of Zinc Palm Oil Soap Improves Feed Fermentability and Unsaturated Fatty Acid Profile in Rumen Liquid","type":"article-journal","volume":"47"},"uris":["http://www.mendeley.com/documents/?uuid=df88dec0-56d3-4849-9bfa-399faf9f943f"]}],"mendeley":{"formattedCitation":"(Muktiani et al., 2024)","manualFormatting":"Muktiani et al. (2024)","plainTextFormattedCitation":"(Muktiani et al., 2024)","previouslyFormattedCitation":"(Muktiani et al., 2024)"},"properties":{"noteIndex":0},"schema":"https://github.com/citation-style-language/schema/raw/master/csl-citation.json"}</w:instrText>
      </w:r>
      <w:r w:rsidR="00CD27B5">
        <w:rPr>
          <w:rFonts w:ascii="Times New Roman" w:hAnsi="Times New Roman"/>
          <w:sz w:val="24"/>
          <w:szCs w:val="24"/>
          <w:lang w:val="en-ID"/>
        </w:rPr>
        <w:fldChar w:fldCharType="separate"/>
      </w:r>
      <w:r w:rsidR="00CD27B5" w:rsidRPr="00CD27B5">
        <w:rPr>
          <w:rFonts w:ascii="Times New Roman" w:hAnsi="Times New Roman"/>
          <w:noProof/>
          <w:sz w:val="24"/>
          <w:szCs w:val="24"/>
          <w:lang w:val="en-ID"/>
        </w:rPr>
        <w:t xml:space="preserve">Muktiani et al. </w:t>
      </w:r>
      <w:r w:rsidR="00CD27B5">
        <w:rPr>
          <w:rFonts w:ascii="Times New Roman" w:hAnsi="Times New Roman"/>
          <w:noProof/>
          <w:sz w:val="24"/>
          <w:szCs w:val="24"/>
          <w:lang w:val="en-ID"/>
        </w:rPr>
        <w:t>(</w:t>
      </w:r>
      <w:r w:rsidR="00CD27B5" w:rsidRPr="00CD27B5">
        <w:rPr>
          <w:rFonts w:ascii="Times New Roman" w:hAnsi="Times New Roman"/>
          <w:noProof/>
          <w:sz w:val="24"/>
          <w:szCs w:val="24"/>
          <w:lang w:val="en-ID"/>
        </w:rPr>
        <w:t>2024)</w:t>
      </w:r>
      <w:r w:rsidR="00CD27B5">
        <w:rPr>
          <w:rFonts w:ascii="Times New Roman" w:hAnsi="Times New Roman"/>
          <w:sz w:val="24"/>
          <w:szCs w:val="24"/>
          <w:lang w:val="en-ID"/>
        </w:rPr>
        <w:fldChar w:fldCharType="end"/>
      </w:r>
      <w:r w:rsidRPr="005D6672">
        <w:rPr>
          <w:rFonts w:ascii="Times New Roman" w:hAnsi="Times New Roman"/>
          <w:sz w:val="24"/>
          <w:szCs w:val="24"/>
          <w:lang w:val="en-ID"/>
        </w:rPr>
        <w:t xml:space="preserve">, </w:t>
      </w:r>
      <w:r w:rsidRPr="005D6672">
        <w:rPr>
          <w:rFonts w:ascii="Times New Roman" w:hAnsi="Times New Roman"/>
          <w:sz w:val="24"/>
          <w:szCs w:val="24"/>
          <w:lang w:val="en-ID"/>
        </w:rPr>
        <w:lastRenderedPageBreak/>
        <w:t xml:space="preserve">oil coats feed particles, preventing rumen microbes such as </w:t>
      </w:r>
      <w:proofErr w:type="spellStart"/>
      <w:r w:rsidRPr="005D6672">
        <w:rPr>
          <w:rFonts w:ascii="Times New Roman" w:hAnsi="Times New Roman"/>
          <w:sz w:val="24"/>
          <w:szCs w:val="24"/>
          <w:lang w:val="en-ID"/>
        </w:rPr>
        <w:t>fibrolytics</w:t>
      </w:r>
      <w:proofErr w:type="spellEnd"/>
      <w:r w:rsidRPr="005D6672">
        <w:rPr>
          <w:rFonts w:ascii="Times New Roman" w:hAnsi="Times New Roman"/>
          <w:sz w:val="24"/>
          <w:szCs w:val="24"/>
          <w:lang w:val="en-ID"/>
        </w:rPr>
        <w:t xml:space="preserve"> from digesting </w:t>
      </w:r>
      <w:proofErr w:type="spellStart"/>
      <w:r w:rsidRPr="005D6672">
        <w:rPr>
          <w:rFonts w:ascii="Times New Roman" w:hAnsi="Times New Roman"/>
          <w:sz w:val="24"/>
          <w:szCs w:val="24"/>
          <w:lang w:val="en-ID"/>
        </w:rPr>
        <w:t>fiber</w:t>
      </w:r>
      <w:proofErr w:type="spellEnd"/>
      <w:r w:rsidRPr="005D6672">
        <w:rPr>
          <w:rFonts w:ascii="Times New Roman" w:hAnsi="Times New Roman"/>
          <w:sz w:val="24"/>
          <w:szCs w:val="24"/>
          <w:lang w:val="en-ID"/>
        </w:rPr>
        <w:t>.</w:t>
      </w:r>
    </w:p>
    <w:p w14:paraId="41B299BB" w14:textId="77777777" w:rsidR="002E1C06" w:rsidRDefault="002E1C06" w:rsidP="005D6672">
      <w:pPr>
        <w:jc w:val="both"/>
        <w:rPr>
          <w:rFonts w:ascii="Times New Roman" w:hAnsi="Times New Roman"/>
          <w:sz w:val="24"/>
          <w:szCs w:val="24"/>
          <w:lang w:val="en-ID"/>
        </w:rPr>
      </w:pPr>
    </w:p>
    <w:p w14:paraId="3C85DFC1" w14:textId="6461C0DA" w:rsidR="005D6672" w:rsidRPr="005D6672" w:rsidRDefault="005D6672" w:rsidP="005D6672">
      <w:pPr>
        <w:jc w:val="both"/>
        <w:rPr>
          <w:rFonts w:ascii="Times New Roman" w:hAnsi="Times New Roman"/>
          <w:sz w:val="24"/>
          <w:szCs w:val="24"/>
          <w:lang w:val="en-ID"/>
        </w:rPr>
      </w:pPr>
      <w:r w:rsidRPr="005D6672">
        <w:rPr>
          <w:rFonts w:ascii="Times New Roman" w:hAnsi="Times New Roman"/>
          <w:sz w:val="24"/>
          <w:szCs w:val="24"/>
          <w:lang w:val="en-ID"/>
        </w:rPr>
        <w:t xml:space="preserve">Palm oil contains 49.3% unsaturated fatty acids, which are beneficial for supporting enzymatic activity, intracellular metabolism, and increasing nutrient utilization efficiency. Rumen microbes </w:t>
      </w:r>
      <w:proofErr w:type="spellStart"/>
      <w:r w:rsidRPr="005D6672">
        <w:rPr>
          <w:rFonts w:ascii="Times New Roman" w:hAnsi="Times New Roman"/>
          <w:sz w:val="24"/>
          <w:szCs w:val="24"/>
          <w:lang w:val="en-ID"/>
        </w:rPr>
        <w:t>biohydrogenate</w:t>
      </w:r>
      <w:proofErr w:type="spellEnd"/>
      <w:r w:rsidRPr="005D6672">
        <w:rPr>
          <w:rFonts w:ascii="Times New Roman" w:hAnsi="Times New Roman"/>
          <w:sz w:val="24"/>
          <w:szCs w:val="24"/>
          <w:lang w:val="en-ID"/>
        </w:rPr>
        <w:t xml:space="preserve"> unsaturated fatty acids present in palm oil. Therefore, a saponification process is necessary, namely, the binding of free carboxyl groups from fatty acids to form fatty acid salts or soaps </w:t>
      </w:r>
      <w:r w:rsidR="00947961">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{"citationItems":[{"id":"ITEM-1","itemData":{"author":[{"dropping-particle":"","family":"Rizqiyah","given":"L. A","non-dropping-particle":"","parse-names":false,"suffix":""},{"dropping-particle":"","family":"Estiasih","given":"T","non-dropping-particle":"","parse-names":false,"suffix":""}],"container-title":"J. Pangan dan Agroindustri","id":"ITEM-1","issue":"1","issued":{"date-parts":[["2016"]]},"page":"56-61","title":"Mikro dan Nanoemulsifikasi Fraksi Tidak Tersabunkan (FTT) dari Distilat Asam Lemak Minyak Sawit (DALMS) yang Mengandung Senyawa Bioaktif Multi Komponen: Kajian Pustaka","type":"article-journal","volume":"4"},"uris":["http://www.mendeley.com/documents/?uuid=4778c910-b833-4327-88bc-42d6d09d2bf1"]}],"mendeley":{"formattedCitation":"(Rizqiyah &amp; Estiasih, 2016)","plainTextFormattedCitation":"(Rizqiyah &amp; Estiasih, 2016)","previouslyFormattedCitation":"(Rizqiyah &amp; Estiasih, 2016)"},"properties":{"noteIndex":0},"schema":"https://github.com/citation-style-language/schema/raw/master/csl-citation.json"}</w:instrText>
      </w:r>
      <w:r w:rsidR="00947961">
        <w:rPr>
          <w:rFonts w:ascii="Times New Roman" w:hAnsi="Times New Roman"/>
          <w:sz w:val="24"/>
          <w:szCs w:val="24"/>
          <w:lang w:val="en-ID"/>
        </w:rPr>
        <w:fldChar w:fldCharType="separate"/>
      </w:r>
      <w:r w:rsidR="004B0763" w:rsidRPr="004B0763">
        <w:rPr>
          <w:rFonts w:ascii="Times New Roman" w:hAnsi="Times New Roman"/>
          <w:noProof/>
          <w:sz w:val="24"/>
          <w:szCs w:val="24"/>
          <w:lang w:val="en-ID"/>
        </w:rPr>
        <w:t>(Rizqiyah &amp; Estiasih, 2016)</w:t>
      </w:r>
      <w:r w:rsidR="00947961">
        <w:rPr>
          <w:rFonts w:ascii="Times New Roman" w:hAnsi="Times New Roman"/>
          <w:sz w:val="24"/>
          <w:szCs w:val="24"/>
          <w:lang w:val="en-ID"/>
        </w:rPr>
        <w:fldChar w:fldCharType="end"/>
      </w:r>
      <w:r w:rsidRPr="005D6672">
        <w:rPr>
          <w:rFonts w:ascii="Times New Roman" w:hAnsi="Times New Roman"/>
          <w:sz w:val="24"/>
          <w:szCs w:val="24"/>
          <w:lang w:val="en-ID"/>
        </w:rPr>
        <w:t>.</w:t>
      </w:r>
      <w:r w:rsidR="002E1C06">
        <w:rPr>
          <w:rFonts w:ascii="Times New Roman" w:hAnsi="Times New Roman"/>
          <w:sz w:val="24"/>
          <w:szCs w:val="24"/>
          <w:lang w:val="en-ID"/>
        </w:rPr>
        <w:t xml:space="preserve"> </w:t>
      </w:r>
      <w:r w:rsidR="002E1C06" w:rsidRPr="002E1C06">
        <w:rPr>
          <w:rFonts w:ascii="Times New Roman" w:hAnsi="Times New Roman"/>
          <w:sz w:val="24"/>
          <w:szCs w:val="24"/>
          <w:lang w:val="en-ID"/>
        </w:rPr>
        <w:t>Zn supplementation in feed has been widely used in livestock. This supplementation is necessary to prevent or improve biochemical conditions caused by zinc deficiency.</w:t>
      </w:r>
      <w:r w:rsidR="002E1C06">
        <w:rPr>
          <w:rFonts w:ascii="Times New Roman" w:hAnsi="Times New Roman"/>
          <w:sz w:val="24"/>
          <w:szCs w:val="24"/>
          <w:lang w:val="en-ID"/>
        </w:rPr>
        <w:t xml:space="preserve"> </w:t>
      </w:r>
      <w:r w:rsidRPr="005D6672">
        <w:rPr>
          <w:rFonts w:ascii="Times New Roman" w:hAnsi="Times New Roman"/>
          <w:sz w:val="24"/>
          <w:szCs w:val="24"/>
          <w:lang w:val="en-ID"/>
        </w:rPr>
        <w:t>Minerals can also be used in saponification. In addition to calcium (Ca), zinc (Zn) has the potential to be used in soap making as a supplement for ruminants.</w:t>
      </w:r>
    </w:p>
    <w:p w14:paraId="20D9A6C7" w14:textId="77777777" w:rsidR="002E1C06" w:rsidRDefault="002E1C06" w:rsidP="005D6672">
      <w:pPr>
        <w:jc w:val="both"/>
        <w:rPr>
          <w:rFonts w:ascii="Times New Roman" w:hAnsi="Times New Roman"/>
          <w:sz w:val="24"/>
          <w:szCs w:val="24"/>
          <w:lang w:val="en-ID"/>
        </w:rPr>
      </w:pPr>
    </w:p>
    <w:p w14:paraId="211C0605" w14:textId="7BC071C6" w:rsidR="005D6672" w:rsidRPr="005D6672" w:rsidRDefault="005D6672" w:rsidP="005D6672">
      <w:pPr>
        <w:jc w:val="both"/>
        <w:rPr>
          <w:rFonts w:ascii="Times New Roman" w:hAnsi="Times New Roman"/>
          <w:sz w:val="24"/>
          <w:szCs w:val="24"/>
          <w:lang w:val="en-ID"/>
        </w:rPr>
      </w:pPr>
      <w:r w:rsidRPr="005D6672">
        <w:rPr>
          <w:rFonts w:ascii="Times New Roman" w:hAnsi="Times New Roman"/>
          <w:sz w:val="24"/>
          <w:szCs w:val="24"/>
          <w:lang w:val="en-ID"/>
        </w:rPr>
        <w:t>The mineral Zn has various functions in both rumen microbes and livestock.</w:t>
      </w:r>
      <w:r w:rsidR="00312A23">
        <w:rPr>
          <w:rFonts w:ascii="Times New Roman" w:hAnsi="Times New Roman"/>
          <w:sz w:val="24"/>
          <w:szCs w:val="24"/>
          <w:lang w:val="en-ID"/>
        </w:rPr>
        <w:t xml:space="preserve"> </w:t>
      </w:r>
      <w:r w:rsidR="00312A23" w:rsidRPr="00312A23">
        <w:rPr>
          <w:rFonts w:ascii="Times New Roman" w:hAnsi="Times New Roman"/>
          <w:sz w:val="24"/>
          <w:szCs w:val="24"/>
          <w:lang w:val="en-ID"/>
        </w:rPr>
        <w:t>Zn plays a role in the synthesis and degradation of protein in the rumen and post-rumen protein digestion</w:t>
      </w:r>
      <w:r w:rsidR="00312A23">
        <w:rPr>
          <w:rFonts w:ascii="Times New Roman" w:hAnsi="Times New Roman"/>
          <w:sz w:val="24"/>
          <w:szCs w:val="24"/>
          <w:lang w:val="en-ID"/>
        </w:rPr>
        <w:t xml:space="preserve"> (</w:t>
      </w:r>
      <w:proofErr w:type="spellStart"/>
      <w:r w:rsidR="00312A23">
        <w:rPr>
          <w:rFonts w:ascii="Times New Roman" w:hAnsi="Times New Roman"/>
          <w:sz w:val="24"/>
          <w:szCs w:val="24"/>
          <w:lang w:val="en-ID"/>
        </w:rPr>
        <w:t>Jemiman</w:t>
      </w:r>
      <w:proofErr w:type="spellEnd"/>
      <w:r w:rsidR="00312A23">
        <w:rPr>
          <w:rFonts w:ascii="Times New Roman" w:hAnsi="Times New Roman"/>
          <w:sz w:val="24"/>
          <w:szCs w:val="24"/>
          <w:lang w:val="en-ID"/>
        </w:rPr>
        <w:t xml:space="preserve"> et al., 2025).</w:t>
      </w:r>
      <w:r w:rsidRPr="005D6672">
        <w:rPr>
          <w:rFonts w:ascii="Times New Roman" w:hAnsi="Times New Roman"/>
          <w:sz w:val="24"/>
          <w:szCs w:val="24"/>
          <w:lang w:val="en-ID"/>
        </w:rPr>
        <w:t xml:space="preserve"> </w:t>
      </w:r>
      <w:r w:rsidR="00140297">
        <w:rPr>
          <w:rFonts w:ascii="Times New Roman" w:hAnsi="Times New Roman"/>
          <w:sz w:val="24"/>
          <w:szCs w:val="24"/>
          <w:lang w:val="en-ID"/>
        </w:rPr>
        <w:t>Zn</w:t>
      </w:r>
      <w:r w:rsidRPr="005D6672">
        <w:rPr>
          <w:rFonts w:ascii="Times New Roman" w:hAnsi="Times New Roman"/>
          <w:sz w:val="24"/>
          <w:szCs w:val="24"/>
          <w:lang w:val="en-ID"/>
        </w:rPr>
        <w:t xml:space="preserve"> plays a role in carbohydrate, fat, and protein metabolism, acting as a cofactor for more than 300 enzymes, maintaining cell membranes, and lipid oxidation processes. The addition of Zn increases rumen microbial activity, and nutrients can be optimally absorbed in the rumen </w:t>
      </w:r>
      <w:r w:rsidR="00947961">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http://dx.doi.org/10.29303/jbt.v24i1.6373","author":[{"dropping-particle":"","family":"Muliani","given":"M","non-dropping-particle":"","parse-names":false,"suffix":""},{"dropping-particle":"","family":"Yasin","given":"S","non-dropping-particle":"","parse-names":false,"suffix":""},{"dropping-particle":"","family":"Dilaga","given":"S. H","non-dropping-particle":"","parse-names":false,"suffix":""},{"dropping-particle":"","family":"Jalaludin","given":"J","non-dropping-particle":"","parse-names":false,"suffix":""}],"container-title":"J. Biologi Tropis","id":"ITEM-1","issue":"1","issued":{"date-parts":[["2024"]]},"page":"26 - 32","title":"The Essential Minerals for Rumen Metabolism","type":"article-journal","volume":"24"},"uris":["http://www.mendeley.com/documents/?uuid=e40d1df3-88a0-440a-ad4d-3089f64f0e33"]}],"mendeley":{"formattedCitation":"(Muliani et al., 2024)","plainTextFormattedCitation":"(Muliani et al., 2024)","previouslyFormattedCitation":"(Muliani et al., 2024)"},"properties":{"noteIndex":0},"schema":"https://github.com/citation-style-language/schema/raw/master/csl-citation.json"}</w:instrText>
      </w:r>
      <w:r w:rsidR="00947961">
        <w:rPr>
          <w:rFonts w:ascii="Times New Roman" w:hAnsi="Times New Roman"/>
          <w:sz w:val="24"/>
          <w:szCs w:val="24"/>
          <w:lang w:val="en-ID"/>
        </w:rPr>
        <w:fldChar w:fldCharType="separate"/>
      </w:r>
      <w:r w:rsidR="004B0763" w:rsidRPr="004B0763">
        <w:rPr>
          <w:rFonts w:ascii="Times New Roman" w:hAnsi="Times New Roman"/>
          <w:noProof/>
          <w:sz w:val="24"/>
          <w:szCs w:val="24"/>
          <w:lang w:val="en-ID"/>
        </w:rPr>
        <w:t>(Muliani et al., 2024)</w:t>
      </w:r>
      <w:r w:rsidR="00947961">
        <w:rPr>
          <w:rFonts w:ascii="Times New Roman" w:hAnsi="Times New Roman"/>
          <w:sz w:val="24"/>
          <w:szCs w:val="24"/>
          <w:lang w:val="en-ID"/>
        </w:rPr>
        <w:fldChar w:fldCharType="end"/>
      </w:r>
      <w:r w:rsidRPr="005D6672">
        <w:rPr>
          <w:rFonts w:ascii="Times New Roman" w:hAnsi="Times New Roman"/>
          <w:sz w:val="24"/>
          <w:szCs w:val="24"/>
          <w:lang w:val="en-ID"/>
        </w:rPr>
        <w:t xml:space="preserve">. </w:t>
      </w:r>
      <w:r w:rsidR="00140297">
        <w:rPr>
          <w:rFonts w:ascii="Times New Roman" w:hAnsi="Times New Roman"/>
          <w:sz w:val="24"/>
          <w:szCs w:val="24"/>
          <w:lang w:val="en-ID"/>
        </w:rPr>
        <w:t>Zn</w:t>
      </w:r>
      <w:r w:rsidRPr="005D6672">
        <w:rPr>
          <w:rFonts w:ascii="Times New Roman" w:hAnsi="Times New Roman"/>
          <w:sz w:val="24"/>
          <w:szCs w:val="24"/>
          <w:lang w:val="en-ID"/>
        </w:rPr>
        <w:t xml:space="preserve"> requirements in dairy goats are often deficient, and </w:t>
      </w:r>
      <w:r w:rsidR="00140297">
        <w:rPr>
          <w:rFonts w:ascii="Times New Roman" w:hAnsi="Times New Roman"/>
          <w:sz w:val="24"/>
          <w:szCs w:val="24"/>
          <w:lang w:val="en-ID"/>
        </w:rPr>
        <w:t>Zn</w:t>
      </w:r>
      <w:r w:rsidRPr="005D6672">
        <w:rPr>
          <w:rFonts w:ascii="Times New Roman" w:hAnsi="Times New Roman"/>
          <w:sz w:val="24"/>
          <w:szCs w:val="24"/>
          <w:lang w:val="en-ID"/>
        </w:rPr>
        <w:t xml:space="preserve"> supplementation is necessary in the feed. This study aimed to examine the effects of </w:t>
      </w:r>
      <w:r w:rsidR="00140297">
        <w:rPr>
          <w:rFonts w:ascii="Times New Roman" w:hAnsi="Times New Roman"/>
          <w:sz w:val="24"/>
          <w:szCs w:val="24"/>
          <w:lang w:val="en-ID"/>
        </w:rPr>
        <w:t>Zn</w:t>
      </w:r>
      <w:r w:rsidRPr="005D6672">
        <w:rPr>
          <w:rFonts w:ascii="Times New Roman" w:hAnsi="Times New Roman"/>
          <w:sz w:val="24"/>
          <w:szCs w:val="24"/>
          <w:lang w:val="en-ID"/>
        </w:rPr>
        <w:t xml:space="preserve"> soap supplementation on dry matter consumption, volatile fatty acids (VFA), NH</w:t>
      </w:r>
      <w:r w:rsidRPr="00EB2887">
        <w:rPr>
          <w:rFonts w:ascii="Times New Roman" w:hAnsi="Times New Roman"/>
          <w:sz w:val="24"/>
          <w:szCs w:val="24"/>
          <w:vertAlign w:val="subscript"/>
          <w:lang w:val="en-ID"/>
        </w:rPr>
        <w:t>3</w:t>
      </w:r>
      <w:r w:rsidRPr="005D6672">
        <w:rPr>
          <w:rFonts w:ascii="Times New Roman" w:hAnsi="Times New Roman"/>
          <w:sz w:val="24"/>
          <w:szCs w:val="24"/>
          <w:lang w:val="en-ID"/>
        </w:rPr>
        <w:t>, feed efficiency</w:t>
      </w:r>
      <w:r w:rsidR="003F71C0">
        <w:rPr>
          <w:rFonts w:ascii="Times New Roman" w:hAnsi="Times New Roman"/>
          <w:sz w:val="24"/>
          <w:szCs w:val="24"/>
          <w:lang w:val="en-ID"/>
        </w:rPr>
        <w:t xml:space="preserve"> ratio (FER), feed conversion ratio (FCR) and milk production</w:t>
      </w:r>
      <w:r w:rsidRPr="005D6672">
        <w:rPr>
          <w:rFonts w:ascii="Times New Roman" w:hAnsi="Times New Roman"/>
          <w:sz w:val="24"/>
          <w:szCs w:val="24"/>
          <w:lang w:val="en-ID"/>
        </w:rPr>
        <w:t xml:space="preserve"> in Sapera dairy goats.</w:t>
      </w:r>
    </w:p>
    <w:p w14:paraId="3209BEBB" w14:textId="77777777" w:rsidR="002D36CB" w:rsidRPr="005D6672" w:rsidRDefault="002D36CB" w:rsidP="002D36CB">
      <w:pPr>
        <w:jc w:val="both"/>
        <w:rPr>
          <w:rFonts w:ascii="Times New Roman" w:hAnsi="Times New Roman"/>
          <w:sz w:val="24"/>
          <w:szCs w:val="24"/>
          <w:lang w:val="en-ID"/>
        </w:rPr>
      </w:pPr>
    </w:p>
    <w:p w14:paraId="571F0261" w14:textId="6F3A6C79" w:rsidR="007F7B32" w:rsidRPr="00FE66D8" w:rsidRDefault="00902823" w:rsidP="00441B6F">
      <w:pPr>
        <w:pStyle w:val="AbstHead"/>
        <w:spacing w:after="0"/>
        <w:jc w:val="both"/>
        <w:rPr>
          <w:rFonts w:ascii="Times New Roman" w:hAnsi="Times New Roman"/>
          <w:sz w:val="24"/>
          <w:szCs w:val="24"/>
        </w:rPr>
      </w:pPr>
      <w:r w:rsidRPr="00FE66D8">
        <w:rPr>
          <w:rFonts w:ascii="Times New Roman" w:hAnsi="Times New Roman"/>
          <w:sz w:val="24"/>
          <w:szCs w:val="24"/>
        </w:rPr>
        <w:t>2. material and method</w:t>
      </w:r>
      <w:r w:rsidR="00000F8F" w:rsidRPr="00FE66D8">
        <w:rPr>
          <w:rFonts w:ascii="Times New Roman" w:hAnsi="Times New Roman"/>
          <w:sz w:val="24"/>
          <w:szCs w:val="24"/>
        </w:rPr>
        <w:t>s</w:t>
      </w:r>
    </w:p>
    <w:p w14:paraId="5BAB19B4" w14:textId="77777777" w:rsidR="00790ADA" w:rsidRPr="00FE66D8" w:rsidRDefault="00790ADA" w:rsidP="00441B6F">
      <w:pPr>
        <w:pStyle w:val="AbstHead"/>
        <w:spacing w:after="0"/>
        <w:jc w:val="both"/>
        <w:rPr>
          <w:rFonts w:ascii="Times New Roman" w:hAnsi="Times New Roman"/>
          <w:sz w:val="24"/>
          <w:szCs w:val="24"/>
        </w:rPr>
      </w:pPr>
    </w:p>
    <w:p w14:paraId="5776A899" w14:textId="11417E7C" w:rsidR="005D6672" w:rsidRPr="005D6672" w:rsidRDefault="005D6672" w:rsidP="00947961">
      <w:pPr>
        <w:pStyle w:val="Default"/>
        <w:snapToGrid w:val="0"/>
        <w:ind w:left="1"/>
        <w:jc w:val="both"/>
        <w:rPr>
          <w:rFonts w:ascii="Times New Roman" w:hAnsi="Times New Roman"/>
          <w:lang w:val="en-ID"/>
        </w:rPr>
      </w:pPr>
      <w:r w:rsidRPr="005D6672">
        <w:rPr>
          <w:rFonts w:ascii="Times New Roman" w:hAnsi="Times New Roman"/>
          <w:lang w:val="en-ID"/>
        </w:rPr>
        <w:t>This study was conducted using in vivo and in vitro methods</w:t>
      </w:r>
      <w:r w:rsidR="00AD7506">
        <w:rPr>
          <w:rFonts w:ascii="Times New Roman" w:hAnsi="Times New Roman"/>
          <w:lang w:val="en-ID"/>
        </w:rPr>
        <w:t xml:space="preserve"> from April-June 2024. </w:t>
      </w:r>
      <w:r w:rsidRPr="005D6672">
        <w:rPr>
          <w:rFonts w:ascii="Times New Roman" w:hAnsi="Times New Roman"/>
          <w:lang w:val="en-ID"/>
        </w:rPr>
        <w:t xml:space="preserve">The </w:t>
      </w:r>
      <w:r w:rsidR="00AD7506">
        <w:rPr>
          <w:rFonts w:ascii="Times New Roman" w:hAnsi="Times New Roman"/>
          <w:lang w:val="en-ID"/>
        </w:rPr>
        <w:t xml:space="preserve">sample size </w:t>
      </w:r>
      <w:r w:rsidRPr="005D6672">
        <w:rPr>
          <w:rFonts w:ascii="Times New Roman" w:hAnsi="Times New Roman"/>
          <w:lang w:val="en-ID"/>
        </w:rPr>
        <w:t xml:space="preserve">used in the in vivo study were 14 Sapera </w:t>
      </w:r>
      <w:r w:rsidR="00AD7506">
        <w:rPr>
          <w:rFonts w:ascii="Times New Roman" w:hAnsi="Times New Roman"/>
          <w:lang w:val="en-ID"/>
        </w:rPr>
        <w:t xml:space="preserve">female </w:t>
      </w:r>
      <w:r w:rsidRPr="005D6672">
        <w:rPr>
          <w:rFonts w:ascii="Times New Roman" w:hAnsi="Times New Roman"/>
          <w:lang w:val="en-ID"/>
        </w:rPr>
        <w:t xml:space="preserve">goats, with an average body weight of 48.86 </w:t>
      </w:r>
      <w:r w:rsidR="00AD7506">
        <w:rPr>
          <w:rFonts w:ascii="Times New Roman" w:hAnsi="Times New Roman"/>
          <w:lang w:val="en-ID"/>
        </w:rPr>
        <w:t>±</w:t>
      </w:r>
      <w:r w:rsidRPr="005D6672">
        <w:rPr>
          <w:rFonts w:ascii="Times New Roman" w:hAnsi="Times New Roman"/>
          <w:lang w:val="en-ID"/>
        </w:rPr>
        <w:t xml:space="preserve"> 12.18 kg. </w:t>
      </w:r>
      <w:r w:rsidRPr="00553DEE">
        <w:rPr>
          <w:rFonts w:ascii="Times New Roman" w:hAnsi="Times New Roman"/>
          <w:lang w:val="en-ID"/>
        </w:rPr>
        <w:t xml:space="preserve">The feed consisted of </w:t>
      </w:r>
      <w:r w:rsidR="00553DEE" w:rsidRPr="00553DEE">
        <w:rPr>
          <w:rFonts w:ascii="Times New Roman" w:hAnsi="Times New Roman"/>
          <w:lang w:val="en-ID"/>
        </w:rPr>
        <w:t xml:space="preserve">1546g </w:t>
      </w:r>
      <w:r w:rsidRPr="00553DEE">
        <w:rPr>
          <w:rFonts w:ascii="Times New Roman" w:hAnsi="Times New Roman"/>
          <w:lang w:val="en-ID"/>
        </w:rPr>
        <w:t>field grass</w:t>
      </w:r>
      <w:r w:rsidR="00553DEE" w:rsidRPr="00553DEE">
        <w:rPr>
          <w:rFonts w:ascii="Times New Roman" w:hAnsi="Times New Roman"/>
          <w:lang w:val="en-ID"/>
        </w:rPr>
        <w:t xml:space="preserve"> </w:t>
      </w:r>
      <w:r w:rsidRPr="00553DEE">
        <w:rPr>
          <w:rFonts w:ascii="Times New Roman" w:hAnsi="Times New Roman"/>
          <w:lang w:val="en-ID"/>
        </w:rPr>
        <w:t xml:space="preserve">and </w:t>
      </w:r>
      <w:r w:rsidR="00553DEE" w:rsidRPr="00553DEE">
        <w:rPr>
          <w:rFonts w:ascii="Times New Roman" w:hAnsi="Times New Roman"/>
          <w:lang w:val="en-ID"/>
        </w:rPr>
        <w:t xml:space="preserve">478g </w:t>
      </w:r>
      <w:r w:rsidR="0024771A" w:rsidRPr="00553DEE">
        <w:rPr>
          <w:rFonts w:ascii="Times New Roman" w:hAnsi="Times New Roman"/>
          <w:lang w:val="en-ID"/>
        </w:rPr>
        <w:t>factory</w:t>
      </w:r>
      <w:r w:rsidRPr="00553DEE">
        <w:rPr>
          <w:rFonts w:ascii="Times New Roman" w:hAnsi="Times New Roman"/>
          <w:lang w:val="en-ID"/>
        </w:rPr>
        <w:t xml:space="preserve"> concentrate</w:t>
      </w:r>
      <w:r w:rsidR="0024771A" w:rsidRPr="00553DEE">
        <w:rPr>
          <w:rFonts w:ascii="Times New Roman" w:hAnsi="Times New Roman"/>
          <w:lang w:val="en-ID"/>
        </w:rPr>
        <w:t>s</w:t>
      </w:r>
      <w:r w:rsidRPr="00553DEE">
        <w:rPr>
          <w:rFonts w:ascii="Times New Roman" w:hAnsi="Times New Roman"/>
          <w:lang w:val="en-ID"/>
        </w:rPr>
        <w:t>.</w:t>
      </w:r>
      <w:r w:rsidRPr="005D6672">
        <w:rPr>
          <w:rFonts w:ascii="Times New Roman" w:hAnsi="Times New Roman"/>
          <w:lang w:val="en-ID"/>
        </w:rPr>
        <w:t xml:space="preserve"> An in vitro study was conducted using the </w:t>
      </w:r>
      <w:r w:rsidR="00947961">
        <w:rPr>
          <w:rFonts w:ascii="Times New Roman" w:hAnsi="Times New Roman"/>
          <w:lang w:val="en-ID"/>
        </w:rPr>
        <w:fldChar w:fldCharType="begin" w:fldLock="1"/>
      </w:r>
      <w:r w:rsidR="004B0763">
        <w:rPr>
          <w:rFonts w:ascii="Times New Roman" w:hAnsi="Times New Roman"/>
          <w:lang w:val="en-ID"/>
        </w:rPr>
        <w:instrText>ADDIN CSL_CITATION {"citationItems":[{"id":"ITEM-1","itemData":{"author":[{"dropping-particle":"","family":"Tilley","given":"J. M. A.","non-dropping-particle":"","parse-names":false,"suffix":""},{"dropping-particle":"","family":"Terry","given":"R. A","non-dropping-particle":"","parse-names":false,"suffix":""}],"container-title":"J. British Grassland","id":"ITEM-1","issued":{"date-parts":[["1963"]]},"page":"104 - 111","title":"A Two Stage Technique for The In Vitro Digestion of Forage Crops","type":"article-journal"},"uris":["http://www.mendeley.com/documents/?uuid=9138991c-e897-4b43-bfd9-ca498dabf6d7"]}],"mendeley":{"formattedCitation":"(Tilley &amp; Terry, 1963)","manualFormatting":"Tilley and Terry (1963)","plainTextFormattedCitation":"(Tilley &amp; Terry, 1963)","previouslyFormattedCitation":"(Tilley &amp; Terry, 1963)"},"properties":{"noteIndex":0},"schema":"https://github.com/citation-style-language/schema/raw/master/csl-citation.json"}</w:instrText>
      </w:r>
      <w:r w:rsidR="00947961">
        <w:rPr>
          <w:rFonts w:ascii="Times New Roman" w:hAnsi="Times New Roman"/>
          <w:lang w:val="en-ID"/>
        </w:rPr>
        <w:fldChar w:fldCharType="separate"/>
      </w:r>
      <w:r w:rsidR="00947961" w:rsidRPr="00947961">
        <w:rPr>
          <w:rFonts w:ascii="Times New Roman" w:hAnsi="Times New Roman"/>
          <w:noProof/>
          <w:lang w:val="en-ID"/>
        </w:rPr>
        <w:t xml:space="preserve">Tilley and Terry </w:t>
      </w:r>
      <w:r w:rsidR="00947961">
        <w:rPr>
          <w:rFonts w:ascii="Times New Roman" w:hAnsi="Times New Roman"/>
          <w:noProof/>
          <w:lang w:val="en-ID"/>
        </w:rPr>
        <w:t>(</w:t>
      </w:r>
      <w:r w:rsidR="00947961" w:rsidRPr="00947961">
        <w:rPr>
          <w:rFonts w:ascii="Times New Roman" w:hAnsi="Times New Roman"/>
          <w:noProof/>
          <w:lang w:val="en-ID"/>
        </w:rPr>
        <w:t>1963)</w:t>
      </w:r>
      <w:r w:rsidR="00947961">
        <w:rPr>
          <w:rFonts w:ascii="Times New Roman" w:hAnsi="Times New Roman"/>
          <w:lang w:val="en-ID"/>
        </w:rPr>
        <w:fldChar w:fldCharType="end"/>
      </w:r>
      <w:r w:rsidRPr="005D6672">
        <w:rPr>
          <w:rFonts w:ascii="Times New Roman" w:hAnsi="Times New Roman"/>
          <w:lang w:val="en-ID"/>
        </w:rPr>
        <w:t xml:space="preserve"> method to measure feed fermentability, including the production of total volatile fatty acids and NH</w:t>
      </w:r>
      <w:r w:rsidRPr="00EB2887">
        <w:rPr>
          <w:rFonts w:ascii="Times New Roman" w:hAnsi="Times New Roman"/>
          <w:vertAlign w:val="subscript"/>
          <w:lang w:val="en-ID"/>
        </w:rPr>
        <w:t>3</w:t>
      </w:r>
      <w:r w:rsidRPr="005D6672">
        <w:rPr>
          <w:rFonts w:ascii="Times New Roman" w:hAnsi="Times New Roman"/>
          <w:lang w:val="en-ID"/>
        </w:rPr>
        <w:t xml:space="preserve"> in rumen fluid.</w:t>
      </w:r>
    </w:p>
    <w:p w14:paraId="5296056B" w14:textId="5642F96F" w:rsidR="00E66E10" w:rsidRDefault="00E66E10" w:rsidP="00FE66D8">
      <w:pPr>
        <w:pStyle w:val="Default"/>
        <w:snapToGrid w:val="0"/>
        <w:ind w:left="1"/>
        <w:jc w:val="both"/>
        <w:rPr>
          <w:rFonts w:ascii="Times New Roman" w:eastAsia="Calibri" w:hAnsi="Times New Roman"/>
          <w:color w:val="FF0000"/>
          <w:lang w:val="en-ID"/>
        </w:rPr>
      </w:pPr>
    </w:p>
    <w:p w14:paraId="37644AB3" w14:textId="77777777" w:rsidR="0024771A" w:rsidRPr="005D6672" w:rsidRDefault="0024771A" w:rsidP="0024771A">
      <w:pPr>
        <w:pStyle w:val="Body"/>
        <w:spacing w:after="0"/>
        <w:rPr>
          <w:rFonts w:ascii="Times New Roman" w:hAnsi="Times New Roman"/>
          <w:sz w:val="24"/>
          <w:szCs w:val="24"/>
          <w:lang w:val="en-ID"/>
        </w:rPr>
      </w:pPr>
      <w:r w:rsidRPr="005D6672">
        <w:rPr>
          <w:rFonts w:ascii="Times New Roman" w:hAnsi="Times New Roman"/>
          <w:sz w:val="24"/>
          <w:szCs w:val="24"/>
          <w:lang w:val="en-ID"/>
        </w:rPr>
        <w:t>Z</w:t>
      </w:r>
      <w:r>
        <w:rPr>
          <w:rFonts w:ascii="Times New Roman" w:hAnsi="Times New Roman"/>
          <w:sz w:val="24"/>
          <w:szCs w:val="24"/>
          <w:lang w:val="en-ID"/>
        </w:rPr>
        <w:t>n</w:t>
      </w:r>
      <w:r w:rsidRPr="005D6672">
        <w:rPr>
          <w:rFonts w:ascii="Times New Roman" w:hAnsi="Times New Roman"/>
          <w:sz w:val="24"/>
          <w:szCs w:val="24"/>
          <w:lang w:val="en-ID"/>
        </w:rPr>
        <w:t xml:space="preserve"> soap was prepared according to </w:t>
      </w:r>
      <w:r>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{"citationItems":[{"id":"ITEM-1","itemData":{"author":[{"dropping-particle":"","family":"Cabatit","given":"B. C","non-dropping-particle":"","parse-names":false,"suffix":""}],"id":"ITEM-1","issued":{"date-parts":[["1979"]]},"publisher":"USA Press","publisher-place":"Manila","title":"Laboratory Guide in Biochemistry 10th Ed","type":"book"},"uris":["http://www.mendeley.com/documents/?uuid=5046c65e-6516-4659-a2f6-aee3ee18c6e5"]}],"mendeley":{"formattedCitation":"(Cabatit, 1979)","manualFormatting":"Cabatit (1979)","plainTextFormattedCitation":"(Cabatit, 1979)","previouslyFormattedCitation":"(Cabatit, 1979)"},"properties":{"noteIndex":0},"schema":"https://github.com/citation-style-language/schema/raw/master/csl-citation.json"}</w:instrText>
      </w:r>
      <w:r>
        <w:rPr>
          <w:rFonts w:ascii="Times New Roman" w:hAnsi="Times New Roman"/>
          <w:sz w:val="24"/>
          <w:szCs w:val="24"/>
          <w:lang w:val="en-ID"/>
        </w:rPr>
        <w:fldChar w:fldCharType="separate"/>
      </w:r>
      <w:r w:rsidRPr="00947961">
        <w:rPr>
          <w:rFonts w:ascii="Times New Roman" w:hAnsi="Times New Roman"/>
          <w:noProof/>
          <w:sz w:val="24"/>
          <w:szCs w:val="24"/>
          <w:lang w:val="en-ID"/>
        </w:rPr>
        <w:t xml:space="preserve">Cabatit </w:t>
      </w:r>
      <w:r>
        <w:rPr>
          <w:rFonts w:ascii="Times New Roman" w:hAnsi="Times New Roman"/>
          <w:noProof/>
          <w:sz w:val="24"/>
          <w:szCs w:val="24"/>
          <w:lang w:val="en-ID"/>
        </w:rPr>
        <w:t>(</w:t>
      </w:r>
      <w:r w:rsidRPr="00947961">
        <w:rPr>
          <w:rFonts w:ascii="Times New Roman" w:hAnsi="Times New Roman"/>
          <w:noProof/>
          <w:sz w:val="24"/>
          <w:szCs w:val="24"/>
          <w:lang w:val="en-ID"/>
        </w:rPr>
        <w:t>1979)</w:t>
      </w:r>
      <w:r>
        <w:rPr>
          <w:rFonts w:ascii="Times New Roman" w:hAnsi="Times New Roman"/>
          <w:sz w:val="24"/>
          <w:szCs w:val="24"/>
          <w:lang w:val="en-ID"/>
        </w:rPr>
        <w:fldChar w:fldCharType="end"/>
      </w:r>
      <w:r w:rsidRPr="005D6672">
        <w:rPr>
          <w:rFonts w:ascii="Times New Roman" w:hAnsi="Times New Roman"/>
          <w:sz w:val="24"/>
          <w:szCs w:val="24"/>
          <w:lang w:val="en-ID"/>
        </w:rPr>
        <w:t xml:space="preserve">. The ingredients used to prepare </w:t>
      </w:r>
      <w:r>
        <w:rPr>
          <w:rFonts w:ascii="Times New Roman" w:hAnsi="Times New Roman"/>
          <w:sz w:val="24"/>
          <w:szCs w:val="24"/>
          <w:lang w:val="en-ID"/>
        </w:rPr>
        <w:t>Zn</w:t>
      </w:r>
      <w:r w:rsidRPr="005D6672">
        <w:rPr>
          <w:rFonts w:ascii="Times New Roman" w:hAnsi="Times New Roman"/>
          <w:sz w:val="24"/>
          <w:szCs w:val="24"/>
          <w:lang w:val="en-ID"/>
        </w:rPr>
        <w:t xml:space="preserve"> soap are palm oil, potassium hydroxide (KOH), zinc chloride (ZnCl</w:t>
      </w:r>
      <w:r w:rsidRPr="00A81194">
        <w:rPr>
          <w:rFonts w:ascii="Times New Roman" w:hAnsi="Times New Roman"/>
          <w:sz w:val="24"/>
          <w:szCs w:val="24"/>
          <w:vertAlign w:val="subscript"/>
          <w:lang w:val="en-ID"/>
        </w:rPr>
        <w:t>2</w:t>
      </w:r>
      <w:r w:rsidRPr="005D6672">
        <w:rPr>
          <w:rFonts w:ascii="Times New Roman" w:hAnsi="Times New Roman"/>
          <w:sz w:val="24"/>
          <w:szCs w:val="24"/>
          <w:lang w:val="en-ID"/>
        </w:rPr>
        <w:t xml:space="preserve">), ethanol, and distilled water. The first step was to determine the saponification number of the palm oil. The saponification number indicates the amount of KOH (mg) required to saponify 1 g </w:t>
      </w:r>
      <w:proofErr w:type="spellStart"/>
      <w:r w:rsidRPr="005D6672">
        <w:rPr>
          <w:rFonts w:ascii="Times New Roman" w:hAnsi="Times New Roman"/>
          <w:sz w:val="24"/>
          <w:szCs w:val="24"/>
          <w:lang w:val="en-ID"/>
        </w:rPr>
        <w:t>g</w:t>
      </w:r>
      <w:proofErr w:type="spellEnd"/>
      <w:r w:rsidRPr="005D6672">
        <w:rPr>
          <w:rFonts w:ascii="Times New Roman" w:hAnsi="Times New Roman"/>
          <w:sz w:val="24"/>
          <w:szCs w:val="24"/>
          <w:lang w:val="en-ID"/>
        </w:rPr>
        <w:t xml:space="preserve"> oil. Zn soap was prepared by adding ZnCl</w:t>
      </w:r>
      <w:r w:rsidRPr="00A81194">
        <w:rPr>
          <w:rFonts w:ascii="Times New Roman" w:hAnsi="Times New Roman"/>
          <w:sz w:val="24"/>
          <w:szCs w:val="24"/>
          <w:vertAlign w:val="subscript"/>
          <w:lang w:val="en-ID"/>
        </w:rPr>
        <w:t xml:space="preserve">2 </w:t>
      </w:r>
      <w:r w:rsidRPr="005D6672">
        <w:rPr>
          <w:rFonts w:ascii="Times New Roman" w:hAnsi="Times New Roman"/>
          <w:sz w:val="24"/>
          <w:szCs w:val="24"/>
          <w:lang w:val="en-ID"/>
        </w:rPr>
        <w:t>equivalent to the amount of KOH needed to saponify palm oil. After becoming Zn soap, it is mixed with other ingredients, namely soybean meal and cassava waste, in a ratio of 2 parts Zn soap: 1 part soybean meal: 1 part cassava waste. The purpose of this mixing is to make it easier to administer to the livestock. This mixture is referred to as a Zn soap supplement.</w:t>
      </w:r>
    </w:p>
    <w:p w14:paraId="7ACDE0ED" w14:textId="3B4AD588" w:rsidR="00AC0896" w:rsidRDefault="00AC0896" w:rsidP="00AC0896">
      <w:pPr>
        <w:rPr>
          <w:rFonts w:ascii="Times New Roman" w:hAnsi="Times New Roman"/>
          <w:sz w:val="24"/>
          <w:szCs w:val="24"/>
          <w:lang w:val="en-ID"/>
        </w:rPr>
      </w:pPr>
      <w:r w:rsidRPr="001C7D5F">
        <w:rPr>
          <w:rFonts w:ascii="Times New Roman" w:hAnsi="Times New Roman"/>
          <w:b/>
          <w:bCs/>
          <w:sz w:val="24"/>
          <w:szCs w:val="24"/>
          <w:lang w:val="en-ID"/>
        </w:rPr>
        <w:lastRenderedPageBreak/>
        <w:t>Tab</w:t>
      </w:r>
      <w:r w:rsidR="002D36CB" w:rsidRPr="001C7D5F">
        <w:rPr>
          <w:rFonts w:ascii="Times New Roman" w:hAnsi="Times New Roman"/>
          <w:b/>
          <w:bCs/>
          <w:sz w:val="24"/>
          <w:szCs w:val="24"/>
          <w:lang w:val="en-ID"/>
        </w:rPr>
        <w:t>le</w:t>
      </w:r>
      <w:r w:rsidRPr="001C7D5F">
        <w:rPr>
          <w:rFonts w:ascii="Times New Roman" w:hAnsi="Times New Roman"/>
          <w:b/>
          <w:bCs/>
          <w:sz w:val="24"/>
          <w:szCs w:val="24"/>
          <w:lang w:val="en-ID"/>
        </w:rPr>
        <w:t xml:space="preserve"> 1.</w:t>
      </w:r>
      <w:r w:rsidRPr="001C7D5F">
        <w:rPr>
          <w:rFonts w:ascii="Times New Roman" w:hAnsi="Times New Roman"/>
          <w:sz w:val="24"/>
          <w:szCs w:val="24"/>
          <w:lang w:val="en-ID"/>
        </w:rPr>
        <w:t xml:space="preserve"> </w:t>
      </w:r>
      <w:r w:rsidR="002D36CB" w:rsidRPr="005B58F3">
        <w:rPr>
          <w:rFonts w:ascii="Times New Roman" w:hAnsi="Times New Roman"/>
          <w:sz w:val="24"/>
          <w:szCs w:val="24"/>
          <w:lang w:val="en-ID"/>
        </w:rPr>
        <w:t>Composition and Nutrient Content</w:t>
      </w:r>
    </w:p>
    <w:tbl>
      <w:tblPr>
        <w:tblW w:w="8080" w:type="dxa"/>
        <w:jc w:val="center"/>
        <w:tblLook w:val="04A0" w:firstRow="1" w:lastRow="0" w:firstColumn="1" w:lastColumn="0" w:noHBand="0" w:noVBand="1"/>
      </w:tblPr>
      <w:tblGrid>
        <w:gridCol w:w="1843"/>
        <w:gridCol w:w="993"/>
        <w:gridCol w:w="141"/>
        <w:gridCol w:w="1134"/>
        <w:gridCol w:w="1276"/>
        <w:gridCol w:w="283"/>
        <w:gridCol w:w="1276"/>
        <w:gridCol w:w="1134"/>
      </w:tblGrid>
      <w:tr w:rsidR="005B58F3" w:rsidRPr="00FE66D8" w14:paraId="52106DED" w14:textId="77777777" w:rsidTr="005B58F3">
        <w:trPr>
          <w:trHeight w:val="290"/>
          <w:jc w:val="center"/>
        </w:trPr>
        <w:tc>
          <w:tcPr>
            <w:tcW w:w="2836" w:type="dxa"/>
            <w:gridSpan w:val="2"/>
            <w:vMerge w:val="restart"/>
            <w:tcBorders>
              <w:top w:val="single" w:sz="4" w:space="0" w:color="auto"/>
              <w:left w:val="nil"/>
              <w:bottom w:val="single" w:sz="4" w:space="0" w:color="auto"/>
              <w:right w:val="single" w:sz="4" w:space="0" w:color="auto"/>
            </w:tcBorders>
            <w:noWrap/>
            <w:vAlign w:val="center"/>
          </w:tcPr>
          <w:p w14:paraId="085B102A" w14:textId="77777777" w:rsidR="005B58F3" w:rsidRPr="00FE66D8" w:rsidRDefault="005B58F3" w:rsidP="00992B3B">
            <w:pPr>
              <w:ind w:left="176"/>
              <w:rPr>
                <w:rFonts w:ascii="Times New Roman" w:hAnsi="Times New Roman"/>
                <w:color w:val="000000"/>
                <w:sz w:val="24"/>
                <w:szCs w:val="24"/>
              </w:rPr>
            </w:pPr>
            <w:r>
              <w:rPr>
                <w:rFonts w:ascii="Times New Roman" w:hAnsi="Times New Roman"/>
                <w:sz w:val="24"/>
                <w:szCs w:val="24"/>
              </w:rPr>
              <w:t>Composition</w:t>
            </w:r>
          </w:p>
        </w:tc>
        <w:tc>
          <w:tcPr>
            <w:tcW w:w="2551" w:type="dxa"/>
            <w:gridSpan w:val="3"/>
            <w:tcBorders>
              <w:top w:val="single" w:sz="4" w:space="0" w:color="auto"/>
              <w:left w:val="single" w:sz="4" w:space="0" w:color="auto"/>
              <w:bottom w:val="single" w:sz="4" w:space="0" w:color="auto"/>
              <w:right w:val="nil"/>
            </w:tcBorders>
            <w:noWrap/>
            <w:vAlign w:val="center"/>
          </w:tcPr>
          <w:p w14:paraId="2887DCD2" w14:textId="77777777" w:rsidR="005B58F3" w:rsidRPr="00FE66D8" w:rsidRDefault="005B58F3" w:rsidP="00992B3B">
            <w:pPr>
              <w:ind w:left="176"/>
              <w:jc w:val="center"/>
              <w:rPr>
                <w:rFonts w:ascii="Times New Roman" w:hAnsi="Times New Roman"/>
                <w:color w:val="000000"/>
                <w:sz w:val="24"/>
                <w:szCs w:val="24"/>
              </w:rPr>
            </w:pPr>
            <w:r w:rsidRPr="00FE66D8">
              <w:rPr>
                <w:rFonts w:ascii="Times New Roman" w:hAnsi="Times New Roman"/>
                <w:color w:val="000000"/>
                <w:sz w:val="24"/>
                <w:szCs w:val="24"/>
              </w:rPr>
              <w:t>T0</w:t>
            </w:r>
          </w:p>
        </w:tc>
        <w:tc>
          <w:tcPr>
            <w:tcW w:w="2693" w:type="dxa"/>
            <w:gridSpan w:val="3"/>
            <w:tcBorders>
              <w:top w:val="single" w:sz="4" w:space="0" w:color="auto"/>
              <w:left w:val="nil"/>
              <w:bottom w:val="single" w:sz="4" w:space="0" w:color="auto"/>
              <w:right w:val="nil"/>
            </w:tcBorders>
            <w:noWrap/>
            <w:vAlign w:val="center"/>
          </w:tcPr>
          <w:p w14:paraId="7F2F3BA7" w14:textId="77777777" w:rsidR="005B58F3" w:rsidRPr="00FE66D8" w:rsidRDefault="005B58F3" w:rsidP="00992B3B">
            <w:pPr>
              <w:ind w:left="176"/>
              <w:jc w:val="center"/>
              <w:rPr>
                <w:rFonts w:ascii="Times New Roman" w:hAnsi="Times New Roman"/>
                <w:color w:val="000000"/>
                <w:sz w:val="24"/>
                <w:szCs w:val="24"/>
              </w:rPr>
            </w:pPr>
            <w:r w:rsidRPr="00FE66D8">
              <w:rPr>
                <w:rFonts w:ascii="Times New Roman" w:hAnsi="Times New Roman"/>
                <w:color w:val="000000"/>
                <w:sz w:val="24"/>
                <w:szCs w:val="24"/>
              </w:rPr>
              <w:t>T1</w:t>
            </w:r>
          </w:p>
        </w:tc>
      </w:tr>
      <w:tr w:rsidR="005B58F3" w:rsidRPr="00FE66D8" w14:paraId="780FF55A" w14:textId="77777777" w:rsidTr="005B58F3">
        <w:trPr>
          <w:trHeight w:val="290"/>
          <w:jc w:val="center"/>
        </w:trPr>
        <w:tc>
          <w:tcPr>
            <w:tcW w:w="2836" w:type="dxa"/>
            <w:gridSpan w:val="2"/>
            <w:vMerge/>
            <w:tcBorders>
              <w:left w:val="nil"/>
              <w:bottom w:val="single" w:sz="4" w:space="0" w:color="auto"/>
              <w:right w:val="single" w:sz="4" w:space="0" w:color="auto"/>
            </w:tcBorders>
            <w:vAlign w:val="center"/>
          </w:tcPr>
          <w:p w14:paraId="5B560B77" w14:textId="77777777" w:rsidR="005B58F3" w:rsidRPr="00FE66D8" w:rsidRDefault="005B58F3" w:rsidP="00992B3B">
            <w:pPr>
              <w:ind w:left="176"/>
              <w:rPr>
                <w:rFonts w:ascii="Times New Roman" w:hAnsi="Times New Roman"/>
                <w:color w:val="000000"/>
                <w:sz w:val="24"/>
                <w:szCs w:val="24"/>
              </w:rPr>
            </w:pPr>
          </w:p>
        </w:tc>
        <w:tc>
          <w:tcPr>
            <w:tcW w:w="5244" w:type="dxa"/>
            <w:gridSpan w:val="6"/>
            <w:tcBorders>
              <w:top w:val="single" w:sz="4" w:space="0" w:color="auto"/>
              <w:left w:val="single" w:sz="4" w:space="0" w:color="auto"/>
              <w:bottom w:val="single" w:sz="4" w:space="0" w:color="auto"/>
              <w:right w:val="nil"/>
            </w:tcBorders>
            <w:noWrap/>
            <w:vAlign w:val="center"/>
          </w:tcPr>
          <w:p w14:paraId="0F02C36D" w14:textId="77777777" w:rsidR="005B58F3" w:rsidRPr="00FE66D8" w:rsidRDefault="005B58F3" w:rsidP="00992B3B">
            <w:pPr>
              <w:ind w:left="176"/>
              <w:jc w:val="center"/>
              <w:rPr>
                <w:rFonts w:ascii="Times New Roman" w:hAnsi="Times New Roman"/>
                <w:color w:val="000000"/>
                <w:sz w:val="24"/>
                <w:szCs w:val="24"/>
              </w:rPr>
            </w:pPr>
            <w:r w:rsidRPr="00FE66D8">
              <w:rPr>
                <w:rFonts w:ascii="Times New Roman" w:hAnsi="Times New Roman"/>
                <w:color w:val="000000"/>
                <w:sz w:val="24"/>
                <w:szCs w:val="24"/>
              </w:rPr>
              <w:t>-----------------%------------------</w:t>
            </w:r>
          </w:p>
        </w:tc>
      </w:tr>
      <w:tr w:rsidR="005B58F3" w:rsidRPr="00FE66D8" w14:paraId="134DA3CA" w14:textId="77777777" w:rsidTr="005B58F3">
        <w:trPr>
          <w:trHeight w:val="290"/>
          <w:jc w:val="center"/>
        </w:trPr>
        <w:tc>
          <w:tcPr>
            <w:tcW w:w="2836" w:type="dxa"/>
            <w:gridSpan w:val="2"/>
            <w:tcBorders>
              <w:top w:val="single" w:sz="4" w:space="0" w:color="auto"/>
              <w:left w:val="nil"/>
              <w:bottom w:val="nil"/>
              <w:right w:val="nil"/>
            </w:tcBorders>
            <w:noWrap/>
            <w:vAlign w:val="center"/>
          </w:tcPr>
          <w:p w14:paraId="174465D9" w14:textId="77777777" w:rsidR="005B58F3" w:rsidRPr="00FE66D8" w:rsidRDefault="005B58F3" w:rsidP="00992B3B">
            <w:pPr>
              <w:ind w:left="176"/>
              <w:rPr>
                <w:rFonts w:ascii="Times New Roman" w:hAnsi="Times New Roman"/>
                <w:color w:val="000000"/>
                <w:sz w:val="24"/>
                <w:szCs w:val="24"/>
              </w:rPr>
            </w:pPr>
            <w:r>
              <w:rPr>
                <w:rFonts w:ascii="Times New Roman" w:hAnsi="Times New Roman"/>
                <w:color w:val="000000"/>
                <w:sz w:val="24"/>
                <w:szCs w:val="24"/>
              </w:rPr>
              <w:t>Grass</w:t>
            </w:r>
          </w:p>
        </w:tc>
        <w:tc>
          <w:tcPr>
            <w:tcW w:w="2551" w:type="dxa"/>
            <w:gridSpan w:val="3"/>
            <w:tcBorders>
              <w:top w:val="single" w:sz="4" w:space="0" w:color="auto"/>
              <w:left w:val="nil"/>
              <w:bottom w:val="nil"/>
              <w:right w:val="nil"/>
            </w:tcBorders>
            <w:noWrap/>
          </w:tcPr>
          <w:p w14:paraId="3603FBE4" w14:textId="77777777" w:rsidR="005B58F3" w:rsidRPr="00FE66D8" w:rsidRDefault="005B58F3" w:rsidP="00992B3B">
            <w:pPr>
              <w:ind w:left="176"/>
              <w:jc w:val="center"/>
              <w:rPr>
                <w:rFonts w:ascii="Times New Roman" w:hAnsi="Times New Roman"/>
                <w:color w:val="000000"/>
                <w:sz w:val="24"/>
                <w:szCs w:val="24"/>
              </w:rPr>
            </w:pPr>
            <w:r w:rsidRPr="00FE66D8">
              <w:rPr>
                <w:rFonts w:ascii="Times New Roman" w:hAnsi="Times New Roman"/>
                <w:sz w:val="24"/>
                <w:szCs w:val="24"/>
              </w:rPr>
              <w:t>21</w:t>
            </w:r>
            <w:r>
              <w:rPr>
                <w:rFonts w:ascii="Times New Roman" w:hAnsi="Times New Roman"/>
                <w:sz w:val="24"/>
                <w:szCs w:val="24"/>
              </w:rPr>
              <w:t>.</w:t>
            </w:r>
            <w:r w:rsidRPr="00FE66D8">
              <w:rPr>
                <w:rFonts w:ascii="Times New Roman" w:hAnsi="Times New Roman"/>
                <w:sz w:val="24"/>
                <w:szCs w:val="24"/>
              </w:rPr>
              <w:t>3</w:t>
            </w:r>
          </w:p>
        </w:tc>
        <w:tc>
          <w:tcPr>
            <w:tcW w:w="2693" w:type="dxa"/>
            <w:gridSpan w:val="3"/>
            <w:tcBorders>
              <w:top w:val="single" w:sz="4" w:space="0" w:color="auto"/>
              <w:left w:val="nil"/>
              <w:bottom w:val="nil"/>
              <w:right w:val="nil"/>
            </w:tcBorders>
            <w:noWrap/>
          </w:tcPr>
          <w:p w14:paraId="51E32D4C" w14:textId="77777777" w:rsidR="005B58F3" w:rsidRPr="00FE66D8" w:rsidRDefault="005B58F3" w:rsidP="00992B3B">
            <w:pPr>
              <w:ind w:left="176"/>
              <w:jc w:val="center"/>
              <w:rPr>
                <w:rFonts w:ascii="Times New Roman" w:hAnsi="Times New Roman"/>
                <w:color w:val="000000"/>
                <w:sz w:val="24"/>
                <w:szCs w:val="24"/>
              </w:rPr>
            </w:pPr>
            <w:r>
              <w:rPr>
                <w:rFonts w:ascii="Times New Roman" w:hAnsi="Times New Roman"/>
                <w:sz w:val="24"/>
                <w:szCs w:val="24"/>
              </w:rPr>
              <w:t>20.81</w:t>
            </w:r>
          </w:p>
        </w:tc>
      </w:tr>
      <w:tr w:rsidR="005B58F3" w:rsidRPr="00FE66D8" w14:paraId="05EA276B" w14:textId="77777777" w:rsidTr="005B58F3">
        <w:trPr>
          <w:trHeight w:val="290"/>
          <w:jc w:val="center"/>
        </w:trPr>
        <w:tc>
          <w:tcPr>
            <w:tcW w:w="2836" w:type="dxa"/>
            <w:gridSpan w:val="2"/>
            <w:tcBorders>
              <w:top w:val="nil"/>
              <w:left w:val="nil"/>
              <w:right w:val="nil"/>
            </w:tcBorders>
            <w:noWrap/>
            <w:vAlign w:val="center"/>
          </w:tcPr>
          <w:p w14:paraId="2491346E" w14:textId="77777777" w:rsidR="005B58F3" w:rsidRPr="00FE66D8" w:rsidRDefault="005B58F3" w:rsidP="00992B3B">
            <w:pPr>
              <w:ind w:left="176"/>
              <w:rPr>
                <w:rFonts w:ascii="Times New Roman" w:hAnsi="Times New Roman"/>
                <w:color w:val="000000"/>
                <w:sz w:val="24"/>
                <w:szCs w:val="24"/>
              </w:rPr>
            </w:pPr>
            <w:r>
              <w:rPr>
                <w:rFonts w:ascii="Times New Roman" w:hAnsi="Times New Roman"/>
                <w:color w:val="000000"/>
                <w:sz w:val="24"/>
                <w:szCs w:val="24"/>
              </w:rPr>
              <w:t>Concentrate</w:t>
            </w:r>
          </w:p>
        </w:tc>
        <w:tc>
          <w:tcPr>
            <w:tcW w:w="2551" w:type="dxa"/>
            <w:gridSpan w:val="3"/>
            <w:tcBorders>
              <w:top w:val="nil"/>
              <w:left w:val="nil"/>
              <w:right w:val="nil"/>
            </w:tcBorders>
            <w:noWrap/>
          </w:tcPr>
          <w:p w14:paraId="719534B4" w14:textId="77777777" w:rsidR="005B58F3" w:rsidRPr="00FE66D8" w:rsidRDefault="005B58F3" w:rsidP="00992B3B">
            <w:pPr>
              <w:ind w:left="176"/>
              <w:jc w:val="center"/>
              <w:rPr>
                <w:rFonts w:ascii="Times New Roman" w:hAnsi="Times New Roman"/>
                <w:color w:val="000000"/>
                <w:sz w:val="24"/>
                <w:szCs w:val="24"/>
              </w:rPr>
            </w:pPr>
            <w:r w:rsidRPr="00FE66D8">
              <w:rPr>
                <w:rFonts w:ascii="Times New Roman" w:hAnsi="Times New Roman"/>
                <w:sz w:val="24"/>
                <w:szCs w:val="24"/>
              </w:rPr>
              <w:t>78</w:t>
            </w:r>
            <w:r>
              <w:rPr>
                <w:rFonts w:ascii="Times New Roman" w:hAnsi="Times New Roman"/>
                <w:sz w:val="24"/>
                <w:szCs w:val="24"/>
              </w:rPr>
              <w:t>.</w:t>
            </w:r>
            <w:r w:rsidRPr="00FE66D8">
              <w:rPr>
                <w:rFonts w:ascii="Times New Roman" w:hAnsi="Times New Roman"/>
                <w:sz w:val="24"/>
                <w:szCs w:val="24"/>
              </w:rPr>
              <w:t>7</w:t>
            </w:r>
          </w:p>
        </w:tc>
        <w:tc>
          <w:tcPr>
            <w:tcW w:w="2693" w:type="dxa"/>
            <w:gridSpan w:val="3"/>
            <w:tcBorders>
              <w:top w:val="nil"/>
              <w:left w:val="nil"/>
              <w:right w:val="nil"/>
            </w:tcBorders>
            <w:noWrap/>
          </w:tcPr>
          <w:p w14:paraId="0413C7F1" w14:textId="77777777" w:rsidR="005B58F3" w:rsidRPr="00FE66D8" w:rsidRDefault="005B58F3" w:rsidP="00992B3B">
            <w:pPr>
              <w:ind w:left="176"/>
              <w:jc w:val="center"/>
              <w:rPr>
                <w:rFonts w:ascii="Times New Roman" w:hAnsi="Times New Roman"/>
                <w:color w:val="000000"/>
                <w:sz w:val="24"/>
                <w:szCs w:val="24"/>
              </w:rPr>
            </w:pPr>
            <w:r w:rsidRPr="00FE66D8">
              <w:rPr>
                <w:rFonts w:ascii="Times New Roman" w:hAnsi="Times New Roman"/>
                <w:sz w:val="24"/>
                <w:szCs w:val="24"/>
              </w:rPr>
              <w:t>76</w:t>
            </w:r>
            <w:r>
              <w:rPr>
                <w:rFonts w:ascii="Times New Roman" w:hAnsi="Times New Roman"/>
                <w:sz w:val="24"/>
                <w:szCs w:val="24"/>
              </w:rPr>
              <w:t>.</w:t>
            </w:r>
            <w:r w:rsidRPr="00FE66D8">
              <w:rPr>
                <w:rFonts w:ascii="Times New Roman" w:hAnsi="Times New Roman"/>
                <w:sz w:val="24"/>
                <w:szCs w:val="24"/>
              </w:rPr>
              <w:t>19</w:t>
            </w:r>
          </w:p>
        </w:tc>
      </w:tr>
      <w:tr w:rsidR="005B58F3" w:rsidRPr="00FE66D8" w14:paraId="419BF881" w14:textId="77777777" w:rsidTr="005B58F3">
        <w:trPr>
          <w:trHeight w:val="290"/>
          <w:jc w:val="center"/>
        </w:trPr>
        <w:tc>
          <w:tcPr>
            <w:tcW w:w="2836" w:type="dxa"/>
            <w:gridSpan w:val="2"/>
            <w:tcBorders>
              <w:top w:val="nil"/>
              <w:left w:val="nil"/>
              <w:bottom w:val="single" w:sz="4" w:space="0" w:color="auto"/>
              <w:right w:val="nil"/>
            </w:tcBorders>
            <w:noWrap/>
            <w:vAlign w:val="center"/>
          </w:tcPr>
          <w:p w14:paraId="02F6F690" w14:textId="77777777" w:rsidR="005B58F3" w:rsidRPr="00FE66D8" w:rsidRDefault="005B58F3" w:rsidP="00992B3B">
            <w:pPr>
              <w:ind w:left="176"/>
              <w:rPr>
                <w:rFonts w:ascii="Times New Roman" w:hAnsi="Times New Roman"/>
                <w:color w:val="000000"/>
                <w:sz w:val="24"/>
                <w:szCs w:val="24"/>
              </w:rPr>
            </w:pPr>
            <w:r>
              <w:rPr>
                <w:rFonts w:ascii="Times New Roman" w:hAnsi="Times New Roman"/>
                <w:color w:val="000000"/>
                <w:sz w:val="24"/>
                <w:szCs w:val="24"/>
              </w:rPr>
              <w:t>Zn Soap</w:t>
            </w:r>
          </w:p>
        </w:tc>
        <w:tc>
          <w:tcPr>
            <w:tcW w:w="2551" w:type="dxa"/>
            <w:gridSpan w:val="3"/>
            <w:tcBorders>
              <w:top w:val="nil"/>
              <w:left w:val="nil"/>
              <w:bottom w:val="single" w:sz="4" w:space="0" w:color="auto"/>
              <w:right w:val="nil"/>
            </w:tcBorders>
            <w:noWrap/>
          </w:tcPr>
          <w:p w14:paraId="575D98C0" w14:textId="77777777" w:rsidR="005B58F3" w:rsidRPr="00FE66D8" w:rsidRDefault="005B58F3" w:rsidP="00992B3B">
            <w:pPr>
              <w:ind w:left="176"/>
              <w:jc w:val="center"/>
              <w:rPr>
                <w:rFonts w:ascii="Times New Roman" w:hAnsi="Times New Roman"/>
                <w:color w:val="000000"/>
                <w:sz w:val="24"/>
                <w:szCs w:val="24"/>
              </w:rPr>
            </w:pPr>
            <w:r w:rsidRPr="00FE66D8">
              <w:rPr>
                <w:rFonts w:ascii="Times New Roman" w:hAnsi="Times New Roman"/>
                <w:sz w:val="24"/>
                <w:szCs w:val="24"/>
              </w:rPr>
              <w:t>0</w:t>
            </w:r>
          </w:p>
        </w:tc>
        <w:tc>
          <w:tcPr>
            <w:tcW w:w="2693" w:type="dxa"/>
            <w:gridSpan w:val="3"/>
            <w:tcBorders>
              <w:top w:val="nil"/>
              <w:left w:val="nil"/>
              <w:bottom w:val="single" w:sz="4" w:space="0" w:color="auto"/>
              <w:right w:val="nil"/>
            </w:tcBorders>
            <w:noWrap/>
          </w:tcPr>
          <w:p w14:paraId="3CB9DE8F" w14:textId="77777777" w:rsidR="005B58F3" w:rsidRPr="00FE66D8" w:rsidRDefault="005B58F3" w:rsidP="00992B3B">
            <w:pPr>
              <w:ind w:left="176"/>
              <w:jc w:val="center"/>
              <w:rPr>
                <w:rFonts w:ascii="Times New Roman" w:hAnsi="Times New Roman"/>
                <w:color w:val="000000"/>
                <w:sz w:val="24"/>
                <w:szCs w:val="24"/>
              </w:rPr>
            </w:pPr>
            <w:r>
              <w:rPr>
                <w:rFonts w:ascii="Times New Roman" w:hAnsi="Times New Roman"/>
                <w:color w:val="000000"/>
                <w:sz w:val="24"/>
                <w:szCs w:val="24"/>
              </w:rPr>
              <w:t>3,00</w:t>
            </w:r>
          </w:p>
        </w:tc>
      </w:tr>
      <w:tr w:rsidR="00E23CE8" w:rsidRPr="00F604FF" w14:paraId="29B54CBD" w14:textId="77777777" w:rsidTr="005B58F3">
        <w:tblPrEx>
          <w:jc w:val="left"/>
        </w:tblPrEx>
        <w:trPr>
          <w:trHeight w:val="290"/>
        </w:trPr>
        <w:tc>
          <w:tcPr>
            <w:tcW w:w="1843" w:type="dxa"/>
            <w:vMerge w:val="restart"/>
            <w:tcBorders>
              <w:top w:val="single" w:sz="4" w:space="0" w:color="auto"/>
              <w:left w:val="nil"/>
              <w:right w:val="single" w:sz="4" w:space="0" w:color="auto"/>
            </w:tcBorders>
            <w:noWrap/>
            <w:vAlign w:val="center"/>
            <w:hideMark/>
          </w:tcPr>
          <w:p w14:paraId="1AE98593" w14:textId="55155EA1" w:rsidR="00E23CE8" w:rsidRPr="00F604FF" w:rsidRDefault="00E23CE8" w:rsidP="00E23CE8">
            <w:pPr>
              <w:jc w:val="center"/>
              <w:rPr>
                <w:rFonts w:ascii="Times New Roman" w:hAnsi="Times New Roman"/>
                <w:sz w:val="24"/>
                <w:szCs w:val="24"/>
              </w:rPr>
            </w:pPr>
            <w:r w:rsidRPr="005B58F3">
              <w:rPr>
                <w:rFonts w:ascii="Times New Roman" w:hAnsi="Times New Roman"/>
                <w:sz w:val="24"/>
                <w:szCs w:val="24"/>
              </w:rPr>
              <w:t>Composition</w:t>
            </w:r>
          </w:p>
        </w:tc>
        <w:tc>
          <w:tcPr>
            <w:tcW w:w="1134" w:type="dxa"/>
            <w:gridSpan w:val="2"/>
            <w:tcBorders>
              <w:top w:val="single" w:sz="4" w:space="0" w:color="auto"/>
              <w:left w:val="single" w:sz="4" w:space="0" w:color="auto"/>
              <w:bottom w:val="single" w:sz="4" w:space="0" w:color="auto"/>
              <w:right w:val="nil"/>
            </w:tcBorders>
            <w:noWrap/>
            <w:vAlign w:val="center"/>
            <w:hideMark/>
          </w:tcPr>
          <w:p w14:paraId="0BB6255B" w14:textId="28CB51B2" w:rsidR="00E23CE8" w:rsidRPr="00F604FF" w:rsidRDefault="00E23CE8" w:rsidP="005B58F3">
            <w:pPr>
              <w:jc w:val="center"/>
              <w:rPr>
                <w:rFonts w:ascii="Times New Roman" w:hAnsi="Times New Roman"/>
                <w:sz w:val="24"/>
                <w:szCs w:val="24"/>
              </w:rPr>
            </w:pPr>
            <w:r w:rsidRPr="005B58F3">
              <w:rPr>
                <w:rFonts w:ascii="Times New Roman" w:hAnsi="Times New Roman"/>
                <w:sz w:val="24"/>
                <w:szCs w:val="24"/>
              </w:rPr>
              <w:t>DM</w:t>
            </w:r>
          </w:p>
        </w:tc>
        <w:tc>
          <w:tcPr>
            <w:tcW w:w="1134" w:type="dxa"/>
            <w:tcBorders>
              <w:top w:val="single" w:sz="4" w:space="0" w:color="auto"/>
              <w:left w:val="nil"/>
              <w:bottom w:val="single" w:sz="4" w:space="0" w:color="auto"/>
              <w:right w:val="nil"/>
            </w:tcBorders>
            <w:noWrap/>
            <w:vAlign w:val="center"/>
            <w:hideMark/>
          </w:tcPr>
          <w:p w14:paraId="25ECA05D" w14:textId="2DB44F49" w:rsidR="00E23CE8" w:rsidRPr="00F604FF" w:rsidRDefault="00E23CE8" w:rsidP="005B58F3">
            <w:pPr>
              <w:jc w:val="center"/>
              <w:rPr>
                <w:rFonts w:ascii="Times New Roman" w:hAnsi="Times New Roman"/>
                <w:sz w:val="24"/>
                <w:szCs w:val="24"/>
              </w:rPr>
            </w:pPr>
            <w:r w:rsidRPr="005B58F3">
              <w:rPr>
                <w:rFonts w:ascii="Times New Roman" w:hAnsi="Times New Roman"/>
                <w:sz w:val="24"/>
                <w:szCs w:val="24"/>
              </w:rPr>
              <w:t>Ash</w:t>
            </w:r>
          </w:p>
        </w:tc>
        <w:tc>
          <w:tcPr>
            <w:tcW w:w="1559" w:type="dxa"/>
            <w:gridSpan w:val="2"/>
            <w:tcBorders>
              <w:top w:val="single" w:sz="4" w:space="0" w:color="auto"/>
              <w:left w:val="nil"/>
              <w:bottom w:val="single" w:sz="4" w:space="0" w:color="auto"/>
              <w:right w:val="nil"/>
            </w:tcBorders>
            <w:noWrap/>
            <w:vAlign w:val="center"/>
            <w:hideMark/>
          </w:tcPr>
          <w:p w14:paraId="01D0C3F0" w14:textId="26F14F44" w:rsidR="00E23CE8" w:rsidRPr="00F604FF" w:rsidRDefault="00E23CE8" w:rsidP="005B58F3">
            <w:pPr>
              <w:jc w:val="center"/>
              <w:rPr>
                <w:rFonts w:ascii="Times New Roman" w:hAnsi="Times New Roman"/>
                <w:sz w:val="24"/>
                <w:szCs w:val="24"/>
              </w:rPr>
            </w:pPr>
            <w:r w:rsidRPr="005B58F3">
              <w:rPr>
                <w:rFonts w:ascii="Times New Roman" w:hAnsi="Times New Roman"/>
                <w:sz w:val="24"/>
                <w:szCs w:val="24"/>
              </w:rPr>
              <w:t>Crude Fiber</w:t>
            </w:r>
          </w:p>
        </w:tc>
        <w:tc>
          <w:tcPr>
            <w:tcW w:w="1276" w:type="dxa"/>
            <w:tcBorders>
              <w:top w:val="single" w:sz="4" w:space="0" w:color="auto"/>
              <w:left w:val="nil"/>
              <w:bottom w:val="single" w:sz="4" w:space="0" w:color="auto"/>
              <w:right w:val="nil"/>
            </w:tcBorders>
            <w:noWrap/>
            <w:vAlign w:val="center"/>
            <w:hideMark/>
          </w:tcPr>
          <w:p w14:paraId="40F991D9" w14:textId="23A2B515" w:rsidR="00E23CE8" w:rsidRPr="00F604FF" w:rsidRDefault="00E23CE8" w:rsidP="005B58F3">
            <w:pPr>
              <w:jc w:val="center"/>
              <w:rPr>
                <w:rFonts w:ascii="Times New Roman" w:hAnsi="Times New Roman"/>
                <w:sz w:val="24"/>
                <w:szCs w:val="24"/>
              </w:rPr>
            </w:pPr>
            <w:r w:rsidRPr="005B58F3">
              <w:rPr>
                <w:rFonts w:ascii="Times New Roman" w:hAnsi="Times New Roman"/>
                <w:sz w:val="24"/>
                <w:szCs w:val="24"/>
              </w:rPr>
              <w:t>Fat</w:t>
            </w:r>
          </w:p>
        </w:tc>
        <w:tc>
          <w:tcPr>
            <w:tcW w:w="1134" w:type="dxa"/>
            <w:tcBorders>
              <w:top w:val="single" w:sz="4" w:space="0" w:color="auto"/>
              <w:left w:val="nil"/>
              <w:bottom w:val="single" w:sz="4" w:space="0" w:color="auto"/>
              <w:right w:val="nil"/>
            </w:tcBorders>
            <w:noWrap/>
            <w:vAlign w:val="center"/>
            <w:hideMark/>
          </w:tcPr>
          <w:p w14:paraId="415D0C7F" w14:textId="69AC5126" w:rsidR="00E23CE8" w:rsidRPr="00F604FF" w:rsidRDefault="00E23CE8" w:rsidP="005B58F3">
            <w:pPr>
              <w:jc w:val="center"/>
              <w:rPr>
                <w:rFonts w:ascii="Times New Roman" w:hAnsi="Times New Roman"/>
                <w:sz w:val="24"/>
                <w:szCs w:val="24"/>
              </w:rPr>
            </w:pPr>
            <w:r w:rsidRPr="005B58F3">
              <w:rPr>
                <w:rFonts w:ascii="Times New Roman" w:hAnsi="Times New Roman"/>
                <w:sz w:val="24"/>
                <w:szCs w:val="24"/>
              </w:rPr>
              <w:t>Protein</w:t>
            </w:r>
          </w:p>
        </w:tc>
      </w:tr>
      <w:tr w:rsidR="00E23CE8" w:rsidRPr="00F604FF" w14:paraId="42D48D1D" w14:textId="77777777" w:rsidTr="005B58F3">
        <w:tblPrEx>
          <w:jc w:val="left"/>
        </w:tblPrEx>
        <w:trPr>
          <w:trHeight w:val="290"/>
        </w:trPr>
        <w:tc>
          <w:tcPr>
            <w:tcW w:w="1843" w:type="dxa"/>
            <w:vMerge/>
            <w:tcBorders>
              <w:left w:val="nil"/>
              <w:bottom w:val="single" w:sz="4" w:space="0" w:color="auto"/>
              <w:right w:val="single" w:sz="4" w:space="0" w:color="auto"/>
            </w:tcBorders>
            <w:noWrap/>
            <w:vAlign w:val="bottom"/>
          </w:tcPr>
          <w:p w14:paraId="243D14CA" w14:textId="77777777" w:rsidR="00E23CE8" w:rsidRPr="005B58F3" w:rsidRDefault="00E23CE8" w:rsidP="00F604FF">
            <w:pPr>
              <w:jc w:val="center"/>
              <w:rPr>
                <w:rFonts w:ascii="Times New Roman" w:hAnsi="Times New Roman"/>
                <w:sz w:val="24"/>
                <w:szCs w:val="24"/>
              </w:rPr>
            </w:pPr>
          </w:p>
        </w:tc>
        <w:tc>
          <w:tcPr>
            <w:tcW w:w="6237" w:type="dxa"/>
            <w:gridSpan w:val="7"/>
            <w:tcBorders>
              <w:top w:val="single" w:sz="4" w:space="0" w:color="auto"/>
              <w:left w:val="single" w:sz="4" w:space="0" w:color="auto"/>
              <w:bottom w:val="single" w:sz="4" w:space="0" w:color="auto"/>
              <w:right w:val="nil"/>
            </w:tcBorders>
            <w:noWrap/>
            <w:vAlign w:val="bottom"/>
          </w:tcPr>
          <w:p w14:paraId="7C9387FA" w14:textId="2482FA1F" w:rsidR="00E23CE8" w:rsidRPr="005B58F3" w:rsidRDefault="005B58F3" w:rsidP="00F604FF">
            <w:pPr>
              <w:jc w:val="center"/>
              <w:rPr>
                <w:rFonts w:ascii="Times New Roman" w:hAnsi="Times New Roman"/>
                <w:sz w:val="24"/>
                <w:szCs w:val="24"/>
              </w:rPr>
            </w:pPr>
            <w:r w:rsidRPr="005B58F3">
              <w:rPr>
                <w:rFonts w:ascii="Times New Roman" w:hAnsi="Times New Roman"/>
                <w:sz w:val="24"/>
                <w:szCs w:val="24"/>
              </w:rPr>
              <w:t>--------------------%----------------------</w:t>
            </w:r>
          </w:p>
        </w:tc>
      </w:tr>
      <w:tr w:rsidR="00E23CE8" w:rsidRPr="00F604FF" w14:paraId="26B884D3" w14:textId="77777777" w:rsidTr="005B58F3">
        <w:tblPrEx>
          <w:jc w:val="left"/>
        </w:tblPrEx>
        <w:trPr>
          <w:trHeight w:val="290"/>
        </w:trPr>
        <w:tc>
          <w:tcPr>
            <w:tcW w:w="1843" w:type="dxa"/>
            <w:tcBorders>
              <w:top w:val="nil"/>
              <w:left w:val="nil"/>
              <w:bottom w:val="nil"/>
              <w:right w:val="nil"/>
            </w:tcBorders>
            <w:noWrap/>
            <w:vAlign w:val="bottom"/>
            <w:hideMark/>
          </w:tcPr>
          <w:p w14:paraId="2B4DB804" w14:textId="42949E65" w:rsidR="00E23CE8" w:rsidRPr="00F604FF" w:rsidRDefault="00E23CE8" w:rsidP="00F604FF">
            <w:pPr>
              <w:jc w:val="center"/>
              <w:rPr>
                <w:rFonts w:ascii="Times New Roman" w:hAnsi="Times New Roman"/>
                <w:sz w:val="24"/>
                <w:szCs w:val="24"/>
              </w:rPr>
            </w:pPr>
            <w:r w:rsidRPr="005B58F3">
              <w:rPr>
                <w:rFonts w:ascii="Times New Roman" w:hAnsi="Times New Roman"/>
                <w:sz w:val="24"/>
                <w:szCs w:val="24"/>
              </w:rPr>
              <w:t>Grass</w:t>
            </w:r>
          </w:p>
        </w:tc>
        <w:tc>
          <w:tcPr>
            <w:tcW w:w="1134" w:type="dxa"/>
            <w:gridSpan w:val="2"/>
            <w:tcBorders>
              <w:top w:val="nil"/>
              <w:left w:val="nil"/>
              <w:bottom w:val="nil"/>
              <w:right w:val="nil"/>
            </w:tcBorders>
            <w:noWrap/>
            <w:vAlign w:val="bottom"/>
            <w:hideMark/>
          </w:tcPr>
          <w:p w14:paraId="5F99449F" w14:textId="77777777" w:rsidR="00E23CE8" w:rsidRPr="00F604FF" w:rsidRDefault="00E23CE8" w:rsidP="00F604FF">
            <w:pPr>
              <w:jc w:val="right"/>
              <w:rPr>
                <w:rFonts w:ascii="Times New Roman" w:hAnsi="Times New Roman"/>
                <w:sz w:val="24"/>
                <w:szCs w:val="24"/>
              </w:rPr>
            </w:pPr>
            <w:r w:rsidRPr="00F604FF">
              <w:rPr>
                <w:rFonts w:ascii="Times New Roman" w:hAnsi="Times New Roman"/>
                <w:sz w:val="24"/>
                <w:szCs w:val="24"/>
              </w:rPr>
              <w:t>85.9</w:t>
            </w:r>
          </w:p>
        </w:tc>
        <w:tc>
          <w:tcPr>
            <w:tcW w:w="1134" w:type="dxa"/>
            <w:tcBorders>
              <w:top w:val="nil"/>
              <w:left w:val="nil"/>
              <w:bottom w:val="nil"/>
              <w:right w:val="nil"/>
            </w:tcBorders>
            <w:noWrap/>
            <w:vAlign w:val="bottom"/>
            <w:hideMark/>
          </w:tcPr>
          <w:p w14:paraId="5F41397D" w14:textId="77777777" w:rsidR="00E23CE8" w:rsidRPr="00F604FF" w:rsidRDefault="00E23CE8" w:rsidP="00F604FF">
            <w:pPr>
              <w:jc w:val="right"/>
              <w:rPr>
                <w:rFonts w:ascii="Times New Roman" w:hAnsi="Times New Roman"/>
                <w:sz w:val="24"/>
                <w:szCs w:val="24"/>
              </w:rPr>
            </w:pPr>
            <w:r w:rsidRPr="00F604FF">
              <w:rPr>
                <w:rFonts w:ascii="Times New Roman" w:hAnsi="Times New Roman"/>
                <w:sz w:val="24"/>
                <w:szCs w:val="24"/>
              </w:rPr>
              <w:t>15.934</w:t>
            </w:r>
          </w:p>
        </w:tc>
        <w:tc>
          <w:tcPr>
            <w:tcW w:w="1559" w:type="dxa"/>
            <w:gridSpan w:val="2"/>
            <w:tcBorders>
              <w:top w:val="nil"/>
              <w:left w:val="nil"/>
              <w:bottom w:val="nil"/>
              <w:right w:val="nil"/>
            </w:tcBorders>
            <w:noWrap/>
            <w:vAlign w:val="bottom"/>
            <w:hideMark/>
          </w:tcPr>
          <w:p w14:paraId="64476A04" w14:textId="77777777" w:rsidR="00E23CE8" w:rsidRPr="00F604FF" w:rsidRDefault="00E23CE8" w:rsidP="00F604FF">
            <w:pPr>
              <w:jc w:val="right"/>
              <w:rPr>
                <w:rFonts w:ascii="Times New Roman" w:hAnsi="Times New Roman"/>
                <w:sz w:val="24"/>
                <w:szCs w:val="24"/>
              </w:rPr>
            </w:pPr>
            <w:r w:rsidRPr="00F604FF">
              <w:rPr>
                <w:rFonts w:ascii="Times New Roman" w:hAnsi="Times New Roman"/>
                <w:sz w:val="24"/>
                <w:szCs w:val="24"/>
              </w:rPr>
              <w:t>3.735</w:t>
            </w:r>
          </w:p>
        </w:tc>
        <w:tc>
          <w:tcPr>
            <w:tcW w:w="1276" w:type="dxa"/>
            <w:tcBorders>
              <w:top w:val="nil"/>
              <w:left w:val="nil"/>
              <w:bottom w:val="nil"/>
              <w:right w:val="nil"/>
            </w:tcBorders>
            <w:noWrap/>
            <w:vAlign w:val="bottom"/>
            <w:hideMark/>
          </w:tcPr>
          <w:p w14:paraId="22BB1417" w14:textId="77777777" w:rsidR="00E23CE8" w:rsidRPr="00F604FF" w:rsidRDefault="00E23CE8" w:rsidP="00F604FF">
            <w:pPr>
              <w:jc w:val="right"/>
              <w:rPr>
                <w:rFonts w:ascii="Times New Roman" w:hAnsi="Times New Roman"/>
                <w:sz w:val="24"/>
                <w:szCs w:val="24"/>
              </w:rPr>
            </w:pPr>
            <w:r w:rsidRPr="00F604FF">
              <w:rPr>
                <w:rFonts w:ascii="Times New Roman" w:hAnsi="Times New Roman"/>
                <w:sz w:val="24"/>
                <w:szCs w:val="24"/>
              </w:rPr>
              <w:t>2.431</w:t>
            </w:r>
          </w:p>
        </w:tc>
        <w:tc>
          <w:tcPr>
            <w:tcW w:w="1134" w:type="dxa"/>
            <w:tcBorders>
              <w:top w:val="nil"/>
              <w:left w:val="nil"/>
              <w:bottom w:val="nil"/>
              <w:right w:val="nil"/>
            </w:tcBorders>
            <w:noWrap/>
            <w:vAlign w:val="bottom"/>
            <w:hideMark/>
          </w:tcPr>
          <w:p w14:paraId="7DFE7AC3" w14:textId="77777777" w:rsidR="00E23CE8" w:rsidRPr="00F604FF" w:rsidRDefault="00E23CE8" w:rsidP="00F604FF">
            <w:pPr>
              <w:jc w:val="right"/>
              <w:rPr>
                <w:rFonts w:ascii="Times New Roman" w:hAnsi="Times New Roman"/>
                <w:sz w:val="24"/>
                <w:szCs w:val="24"/>
              </w:rPr>
            </w:pPr>
            <w:r w:rsidRPr="00F604FF">
              <w:rPr>
                <w:rFonts w:ascii="Times New Roman" w:hAnsi="Times New Roman"/>
                <w:sz w:val="24"/>
                <w:szCs w:val="24"/>
              </w:rPr>
              <w:t>8.2</w:t>
            </w:r>
          </w:p>
        </w:tc>
      </w:tr>
      <w:tr w:rsidR="00E23CE8" w:rsidRPr="00F604FF" w14:paraId="431FFD33" w14:textId="77777777" w:rsidTr="005B58F3">
        <w:tblPrEx>
          <w:jc w:val="left"/>
        </w:tblPrEx>
        <w:trPr>
          <w:trHeight w:val="290"/>
        </w:trPr>
        <w:tc>
          <w:tcPr>
            <w:tcW w:w="1843" w:type="dxa"/>
            <w:tcBorders>
              <w:top w:val="nil"/>
              <w:left w:val="nil"/>
              <w:bottom w:val="nil"/>
              <w:right w:val="nil"/>
            </w:tcBorders>
            <w:noWrap/>
            <w:vAlign w:val="bottom"/>
            <w:hideMark/>
          </w:tcPr>
          <w:p w14:paraId="0FCC6168" w14:textId="3F6A1537" w:rsidR="00E23CE8" w:rsidRPr="00F604FF" w:rsidRDefault="00E23CE8" w:rsidP="00F604FF">
            <w:pPr>
              <w:jc w:val="center"/>
              <w:rPr>
                <w:rFonts w:ascii="Times New Roman" w:hAnsi="Times New Roman"/>
                <w:sz w:val="24"/>
                <w:szCs w:val="24"/>
              </w:rPr>
            </w:pPr>
            <w:r w:rsidRPr="005B58F3">
              <w:rPr>
                <w:rFonts w:ascii="Times New Roman" w:hAnsi="Times New Roman"/>
                <w:sz w:val="24"/>
                <w:szCs w:val="24"/>
              </w:rPr>
              <w:t>Concentrate</w:t>
            </w:r>
          </w:p>
        </w:tc>
        <w:tc>
          <w:tcPr>
            <w:tcW w:w="1134" w:type="dxa"/>
            <w:gridSpan w:val="2"/>
            <w:tcBorders>
              <w:top w:val="nil"/>
              <w:left w:val="nil"/>
              <w:bottom w:val="nil"/>
              <w:right w:val="nil"/>
            </w:tcBorders>
            <w:noWrap/>
            <w:vAlign w:val="bottom"/>
            <w:hideMark/>
          </w:tcPr>
          <w:p w14:paraId="2EC18296" w14:textId="77777777" w:rsidR="00E23CE8" w:rsidRPr="00F604FF" w:rsidRDefault="00E23CE8" w:rsidP="00F604FF">
            <w:pPr>
              <w:jc w:val="right"/>
              <w:rPr>
                <w:rFonts w:ascii="Times New Roman" w:hAnsi="Times New Roman"/>
                <w:sz w:val="24"/>
                <w:szCs w:val="24"/>
              </w:rPr>
            </w:pPr>
            <w:r w:rsidRPr="00F604FF">
              <w:rPr>
                <w:rFonts w:ascii="Times New Roman" w:hAnsi="Times New Roman"/>
                <w:sz w:val="24"/>
                <w:szCs w:val="24"/>
              </w:rPr>
              <w:t>6.46</w:t>
            </w:r>
          </w:p>
        </w:tc>
        <w:tc>
          <w:tcPr>
            <w:tcW w:w="1134" w:type="dxa"/>
            <w:tcBorders>
              <w:top w:val="nil"/>
              <w:left w:val="nil"/>
              <w:bottom w:val="nil"/>
              <w:right w:val="nil"/>
            </w:tcBorders>
            <w:noWrap/>
            <w:vAlign w:val="bottom"/>
            <w:hideMark/>
          </w:tcPr>
          <w:p w14:paraId="45A96C0D" w14:textId="77777777" w:rsidR="00E23CE8" w:rsidRPr="00F604FF" w:rsidRDefault="00E23CE8" w:rsidP="00F604FF">
            <w:pPr>
              <w:jc w:val="right"/>
              <w:rPr>
                <w:rFonts w:ascii="Times New Roman" w:hAnsi="Times New Roman"/>
                <w:sz w:val="24"/>
                <w:szCs w:val="24"/>
              </w:rPr>
            </w:pPr>
            <w:r w:rsidRPr="00F604FF">
              <w:rPr>
                <w:rFonts w:ascii="Times New Roman" w:hAnsi="Times New Roman"/>
                <w:sz w:val="24"/>
                <w:szCs w:val="24"/>
              </w:rPr>
              <w:t>22.4</w:t>
            </w:r>
          </w:p>
        </w:tc>
        <w:tc>
          <w:tcPr>
            <w:tcW w:w="1559" w:type="dxa"/>
            <w:gridSpan w:val="2"/>
            <w:tcBorders>
              <w:top w:val="nil"/>
              <w:left w:val="nil"/>
              <w:bottom w:val="nil"/>
              <w:right w:val="nil"/>
            </w:tcBorders>
            <w:noWrap/>
            <w:vAlign w:val="bottom"/>
            <w:hideMark/>
          </w:tcPr>
          <w:p w14:paraId="0FA310F5" w14:textId="77777777" w:rsidR="00E23CE8" w:rsidRPr="00F604FF" w:rsidRDefault="00E23CE8" w:rsidP="00F604FF">
            <w:pPr>
              <w:jc w:val="right"/>
              <w:rPr>
                <w:rFonts w:ascii="Times New Roman" w:hAnsi="Times New Roman"/>
                <w:sz w:val="24"/>
                <w:szCs w:val="24"/>
              </w:rPr>
            </w:pPr>
            <w:r w:rsidRPr="00F604FF">
              <w:rPr>
                <w:rFonts w:ascii="Times New Roman" w:hAnsi="Times New Roman"/>
                <w:sz w:val="24"/>
                <w:szCs w:val="24"/>
              </w:rPr>
              <w:t>10.146</w:t>
            </w:r>
          </w:p>
        </w:tc>
        <w:tc>
          <w:tcPr>
            <w:tcW w:w="1276" w:type="dxa"/>
            <w:tcBorders>
              <w:top w:val="nil"/>
              <w:left w:val="nil"/>
              <w:bottom w:val="nil"/>
              <w:right w:val="nil"/>
            </w:tcBorders>
            <w:noWrap/>
            <w:vAlign w:val="bottom"/>
            <w:hideMark/>
          </w:tcPr>
          <w:p w14:paraId="7DCE3F7F" w14:textId="77777777" w:rsidR="00E23CE8" w:rsidRPr="00F604FF" w:rsidRDefault="00E23CE8" w:rsidP="00F604FF">
            <w:pPr>
              <w:jc w:val="right"/>
              <w:rPr>
                <w:rFonts w:ascii="Times New Roman" w:hAnsi="Times New Roman"/>
                <w:sz w:val="24"/>
                <w:szCs w:val="24"/>
              </w:rPr>
            </w:pPr>
            <w:r w:rsidRPr="00F604FF">
              <w:rPr>
                <w:rFonts w:ascii="Times New Roman" w:hAnsi="Times New Roman"/>
                <w:sz w:val="24"/>
                <w:szCs w:val="24"/>
              </w:rPr>
              <w:t>2.385</w:t>
            </w:r>
          </w:p>
        </w:tc>
        <w:tc>
          <w:tcPr>
            <w:tcW w:w="1134" w:type="dxa"/>
            <w:tcBorders>
              <w:top w:val="nil"/>
              <w:left w:val="nil"/>
              <w:bottom w:val="nil"/>
              <w:right w:val="nil"/>
            </w:tcBorders>
            <w:noWrap/>
            <w:vAlign w:val="bottom"/>
            <w:hideMark/>
          </w:tcPr>
          <w:p w14:paraId="6C66E9B0" w14:textId="77777777" w:rsidR="00E23CE8" w:rsidRPr="00F604FF" w:rsidRDefault="00E23CE8" w:rsidP="00F604FF">
            <w:pPr>
              <w:jc w:val="right"/>
              <w:rPr>
                <w:rFonts w:ascii="Times New Roman" w:hAnsi="Times New Roman"/>
                <w:sz w:val="24"/>
                <w:szCs w:val="24"/>
              </w:rPr>
            </w:pPr>
            <w:r w:rsidRPr="00F604FF">
              <w:rPr>
                <w:rFonts w:ascii="Times New Roman" w:hAnsi="Times New Roman"/>
                <w:sz w:val="24"/>
                <w:szCs w:val="24"/>
              </w:rPr>
              <w:t>26.14</w:t>
            </w:r>
          </w:p>
        </w:tc>
      </w:tr>
      <w:tr w:rsidR="00E23CE8" w:rsidRPr="00F604FF" w14:paraId="03A0E67F" w14:textId="77777777" w:rsidTr="005B58F3">
        <w:tblPrEx>
          <w:jc w:val="left"/>
        </w:tblPrEx>
        <w:trPr>
          <w:trHeight w:val="290"/>
        </w:trPr>
        <w:tc>
          <w:tcPr>
            <w:tcW w:w="1843" w:type="dxa"/>
            <w:tcBorders>
              <w:top w:val="nil"/>
              <w:left w:val="nil"/>
              <w:bottom w:val="single" w:sz="4" w:space="0" w:color="auto"/>
              <w:right w:val="nil"/>
            </w:tcBorders>
            <w:noWrap/>
            <w:vAlign w:val="bottom"/>
            <w:hideMark/>
          </w:tcPr>
          <w:p w14:paraId="3D415589" w14:textId="7A5F1403" w:rsidR="00E23CE8" w:rsidRPr="00F604FF" w:rsidRDefault="00E23CE8" w:rsidP="00F604FF">
            <w:pPr>
              <w:jc w:val="center"/>
              <w:rPr>
                <w:rFonts w:ascii="Times New Roman" w:hAnsi="Times New Roman"/>
                <w:sz w:val="24"/>
                <w:szCs w:val="24"/>
              </w:rPr>
            </w:pPr>
            <w:r w:rsidRPr="005B58F3">
              <w:rPr>
                <w:rFonts w:ascii="Times New Roman" w:hAnsi="Times New Roman"/>
                <w:sz w:val="24"/>
                <w:szCs w:val="24"/>
              </w:rPr>
              <w:t>Zn soap</w:t>
            </w:r>
          </w:p>
        </w:tc>
        <w:tc>
          <w:tcPr>
            <w:tcW w:w="1134" w:type="dxa"/>
            <w:gridSpan w:val="2"/>
            <w:tcBorders>
              <w:top w:val="nil"/>
              <w:left w:val="nil"/>
              <w:bottom w:val="single" w:sz="4" w:space="0" w:color="auto"/>
              <w:right w:val="nil"/>
            </w:tcBorders>
            <w:noWrap/>
            <w:vAlign w:val="bottom"/>
            <w:hideMark/>
          </w:tcPr>
          <w:p w14:paraId="0E7B319A" w14:textId="77777777" w:rsidR="00E23CE8" w:rsidRPr="00F604FF" w:rsidRDefault="00E23CE8" w:rsidP="00F604FF">
            <w:pPr>
              <w:jc w:val="right"/>
              <w:rPr>
                <w:rFonts w:ascii="Times New Roman" w:hAnsi="Times New Roman"/>
                <w:sz w:val="24"/>
                <w:szCs w:val="24"/>
              </w:rPr>
            </w:pPr>
            <w:r w:rsidRPr="00F604FF">
              <w:rPr>
                <w:rFonts w:ascii="Times New Roman" w:hAnsi="Times New Roman"/>
                <w:sz w:val="24"/>
                <w:szCs w:val="24"/>
              </w:rPr>
              <w:t>90.05</w:t>
            </w:r>
          </w:p>
        </w:tc>
        <w:tc>
          <w:tcPr>
            <w:tcW w:w="1134" w:type="dxa"/>
            <w:tcBorders>
              <w:top w:val="nil"/>
              <w:left w:val="nil"/>
              <w:bottom w:val="single" w:sz="4" w:space="0" w:color="auto"/>
              <w:right w:val="nil"/>
            </w:tcBorders>
            <w:noWrap/>
            <w:vAlign w:val="bottom"/>
            <w:hideMark/>
          </w:tcPr>
          <w:p w14:paraId="2ABD202E" w14:textId="77777777" w:rsidR="00E23CE8" w:rsidRPr="00F604FF" w:rsidRDefault="00E23CE8" w:rsidP="00F604FF">
            <w:pPr>
              <w:jc w:val="right"/>
              <w:rPr>
                <w:rFonts w:ascii="Times New Roman" w:hAnsi="Times New Roman"/>
                <w:sz w:val="24"/>
                <w:szCs w:val="24"/>
              </w:rPr>
            </w:pPr>
            <w:r w:rsidRPr="00F604FF">
              <w:rPr>
                <w:rFonts w:ascii="Times New Roman" w:hAnsi="Times New Roman"/>
                <w:sz w:val="24"/>
                <w:szCs w:val="24"/>
              </w:rPr>
              <w:t>14.085</w:t>
            </w:r>
          </w:p>
        </w:tc>
        <w:tc>
          <w:tcPr>
            <w:tcW w:w="1559" w:type="dxa"/>
            <w:gridSpan w:val="2"/>
            <w:tcBorders>
              <w:top w:val="nil"/>
              <w:left w:val="nil"/>
              <w:bottom w:val="single" w:sz="4" w:space="0" w:color="auto"/>
              <w:right w:val="nil"/>
            </w:tcBorders>
            <w:noWrap/>
            <w:vAlign w:val="bottom"/>
            <w:hideMark/>
          </w:tcPr>
          <w:p w14:paraId="34884A9F" w14:textId="77777777" w:rsidR="00E23CE8" w:rsidRPr="00F604FF" w:rsidRDefault="00E23CE8" w:rsidP="00F604FF">
            <w:pPr>
              <w:jc w:val="right"/>
              <w:rPr>
                <w:rFonts w:ascii="Times New Roman" w:hAnsi="Times New Roman"/>
                <w:sz w:val="24"/>
                <w:szCs w:val="24"/>
              </w:rPr>
            </w:pPr>
            <w:r w:rsidRPr="00F604FF">
              <w:rPr>
                <w:rFonts w:ascii="Times New Roman" w:hAnsi="Times New Roman"/>
                <w:sz w:val="24"/>
                <w:szCs w:val="24"/>
              </w:rPr>
              <w:t>0.265</w:t>
            </w:r>
          </w:p>
        </w:tc>
        <w:tc>
          <w:tcPr>
            <w:tcW w:w="1276" w:type="dxa"/>
            <w:tcBorders>
              <w:top w:val="nil"/>
              <w:left w:val="nil"/>
              <w:bottom w:val="single" w:sz="4" w:space="0" w:color="auto"/>
              <w:right w:val="nil"/>
            </w:tcBorders>
            <w:noWrap/>
            <w:vAlign w:val="bottom"/>
            <w:hideMark/>
          </w:tcPr>
          <w:p w14:paraId="6BA37B4B" w14:textId="77777777" w:rsidR="00E23CE8" w:rsidRPr="00F604FF" w:rsidRDefault="00E23CE8" w:rsidP="00F604FF">
            <w:pPr>
              <w:jc w:val="right"/>
              <w:rPr>
                <w:rFonts w:ascii="Times New Roman" w:hAnsi="Times New Roman"/>
                <w:sz w:val="24"/>
                <w:szCs w:val="24"/>
              </w:rPr>
            </w:pPr>
            <w:r w:rsidRPr="00F604FF">
              <w:rPr>
                <w:rFonts w:ascii="Times New Roman" w:hAnsi="Times New Roman"/>
                <w:sz w:val="24"/>
                <w:szCs w:val="24"/>
              </w:rPr>
              <w:t>27.35</w:t>
            </w:r>
          </w:p>
        </w:tc>
        <w:tc>
          <w:tcPr>
            <w:tcW w:w="1134" w:type="dxa"/>
            <w:tcBorders>
              <w:top w:val="nil"/>
              <w:left w:val="nil"/>
              <w:bottom w:val="single" w:sz="4" w:space="0" w:color="auto"/>
              <w:right w:val="nil"/>
            </w:tcBorders>
            <w:noWrap/>
            <w:vAlign w:val="bottom"/>
            <w:hideMark/>
          </w:tcPr>
          <w:p w14:paraId="79BDDBA9" w14:textId="77777777" w:rsidR="00E23CE8" w:rsidRPr="00F604FF" w:rsidRDefault="00E23CE8" w:rsidP="00F604FF">
            <w:pPr>
              <w:jc w:val="right"/>
              <w:rPr>
                <w:rFonts w:ascii="Times New Roman" w:hAnsi="Times New Roman"/>
                <w:sz w:val="24"/>
                <w:szCs w:val="24"/>
              </w:rPr>
            </w:pPr>
            <w:r w:rsidRPr="00F604FF">
              <w:rPr>
                <w:rFonts w:ascii="Times New Roman" w:hAnsi="Times New Roman"/>
                <w:sz w:val="24"/>
                <w:szCs w:val="24"/>
              </w:rPr>
              <w:t>24.19</w:t>
            </w:r>
          </w:p>
        </w:tc>
      </w:tr>
    </w:tbl>
    <w:p w14:paraId="0566F0D6" w14:textId="77777777" w:rsidR="00F604FF" w:rsidRPr="001C7D5F" w:rsidRDefault="00F604FF" w:rsidP="00AC0896">
      <w:pPr>
        <w:rPr>
          <w:rFonts w:ascii="Times New Roman" w:hAnsi="Times New Roman"/>
          <w:b/>
          <w:bCs/>
          <w:sz w:val="24"/>
          <w:szCs w:val="24"/>
          <w:lang w:val="en-ID"/>
        </w:rPr>
      </w:pPr>
    </w:p>
    <w:p w14:paraId="2BFCBF88" w14:textId="6FC1999A" w:rsidR="004B2454" w:rsidRDefault="004B2454" w:rsidP="002D36CB">
      <w:pPr>
        <w:pStyle w:val="Body"/>
        <w:spacing w:after="0"/>
        <w:rPr>
          <w:rFonts w:ascii="Times New Roman" w:hAnsi="Times New Roman"/>
          <w:b/>
          <w:sz w:val="24"/>
          <w:szCs w:val="24"/>
        </w:rPr>
      </w:pPr>
      <w:r w:rsidRPr="00FE66D8">
        <w:rPr>
          <w:rFonts w:ascii="Times New Roman" w:hAnsi="Times New Roman"/>
          <w:b/>
          <w:caps/>
          <w:sz w:val="24"/>
          <w:szCs w:val="24"/>
        </w:rPr>
        <w:t xml:space="preserve">2.1. </w:t>
      </w:r>
      <w:r w:rsidR="002D36CB" w:rsidRPr="002D36CB">
        <w:rPr>
          <w:rFonts w:ascii="Times New Roman" w:hAnsi="Times New Roman"/>
          <w:b/>
          <w:sz w:val="24"/>
          <w:szCs w:val="24"/>
          <w:lang w:val="en"/>
        </w:rPr>
        <w:t>Research Implementation</w:t>
      </w:r>
    </w:p>
    <w:p w14:paraId="42EE5D74" w14:textId="77777777" w:rsidR="007259D6" w:rsidRDefault="007259D6" w:rsidP="00441B6F">
      <w:pPr>
        <w:pStyle w:val="Body"/>
        <w:spacing w:after="0"/>
        <w:rPr>
          <w:rFonts w:ascii="Times New Roman" w:hAnsi="Times New Roman"/>
          <w:b/>
          <w:sz w:val="24"/>
          <w:szCs w:val="24"/>
        </w:rPr>
      </w:pPr>
    </w:p>
    <w:p w14:paraId="439F5B24" w14:textId="795175DA" w:rsidR="007259D6" w:rsidRPr="007259D6" w:rsidRDefault="007259D6" w:rsidP="007259D6">
      <w:pPr>
        <w:pStyle w:val="Body"/>
        <w:spacing w:after="0"/>
        <w:rPr>
          <w:rFonts w:ascii="Times New Roman" w:hAnsi="Times New Roman"/>
          <w:i/>
          <w:sz w:val="24"/>
          <w:szCs w:val="24"/>
        </w:rPr>
      </w:pPr>
      <w:r w:rsidRPr="007259D6">
        <w:rPr>
          <w:rFonts w:ascii="Times New Roman" w:hAnsi="Times New Roman"/>
          <w:i/>
          <w:caps/>
          <w:sz w:val="24"/>
          <w:szCs w:val="24"/>
        </w:rPr>
        <w:t xml:space="preserve">2.1.1. </w:t>
      </w:r>
      <w:r w:rsidR="002D36CB">
        <w:rPr>
          <w:rFonts w:ascii="Times New Roman" w:hAnsi="Times New Roman"/>
          <w:i/>
          <w:sz w:val="24"/>
          <w:szCs w:val="24"/>
        </w:rPr>
        <w:t>Making</w:t>
      </w:r>
      <w:r w:rsidRPr="007259D6">
        <w:rPr>
          <w:rFonts w:ascii="Times New Roman" w:hAnsi="Times New Roman"/>
          <w:i/>
          <w:sz w:val="24"/>
          <w:szCs w:val="24"/>
        </w:rPr>
        <w:t xml:space="preserve"> Zinc</w:t>
      </w:r>
      <w:r w:rsidR="002D36CB">
        <w:rPr>
          <w:rFonts w:ascii="Times New Roman" w:hAnsi="Times New Roman"/>
          <w:i/>
          <w:sz w:val="24"/>
          <w:szCs w:val="24"/>
        </w:rPr>
        <w:t xml:space="preserve"> Soap</w:t>
      </w:r>
    </w:p>
    <w:p w14:paraId="53785901" w14:textId="77777777" w:rsidR="007259D6" w:rsidRPr="00FE66D8" w:rsidRDefault="007259D6" w:rsidP="007259D6">
      <w:pPr>
        <w:pStyle w:val="Body"/>
        <w:spacing w:after="0"/>
        <w:rPr>
          <w:rFonts w:ascii="Times New Roman" w:hAnsi="Times New Roman"/>
          <w:sz w:val="24"/>
          <w:szCs w:val="24"/>
        </w:rPr>
      </w:pPr>
    </w:p>
    <w:p w14:paraId="10FE0C31" w14:textId="6C39F081" w:rsidR="005D6672" w:rsidRPr="005D6672" w:rsidRDefault="005D6672" w:rsidP="005D6672">
      <w:pPr>
        <w:pStyle w:val="Body"/>
        <w:spacing w:after="0"/>
        <w:rPr>
          <w:rFonts w:ascii="Times New Roman" w:hAnsi="Times New Roman"/>
          <w:sz w:val="24"/>
          <w:szCs w:val="24"/>
          <w:lang w:val="en-ID"/>
        </w:rPr>
      </w:pPr>
      <w:r w:rsidRPr="005D6672">
        <w:rPr>
          <w:rFonts w:ascii="Times New Roman" w:hAnsi="Times New Roman"/>
          <w:sz w:val="24"/>
          <w:szCs w:val="24"/>
          <w:lang w:val="en-ID"/>
        </w:rPr>
        <w:t>Z</w:t>
      </w:r>
      <w:r w:rsidR="00140297">
        <w:rPr>
          <w:rFonts w:ascii="Times New Roman" w:hAnsi="Times New Roman"/>
          <w:sz w:val="24"/>
          <w:szCs w:val="24"/>
          <w:lang w:val="en-ID"/>
        </w:rPr>
        <w:t>n</w:t>
      </w:r>
      <w:r w:rsidRPr="005D6672">
        <w:rPr>
          <w:rFonts w:ascii="Times New Roman" w:hAnsi="Times New Roman"/>
          <w:sz w:val="24"/>
          <w:szCs w:val="24"/>
          <w:lang w:val="en-ID"/>
        </w:rPr>
        <w:t xml:space="preserve"> soap was prepared according to </w:t>
      </w:r>
      <w:r w:rsidR="00947961">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{"citationItems":[{"id":"ITEM-1","itemData":{"author":[{"dropping-particle":"","family":"Cabatit","given":"B. C","non-dropping-particle":"","parse-names":false,"suffix":""}],"id":"ITEM-1","issued":{"date-parts":[["1979"]]},"publisher":"USA Press","publisher-place":"Manila","title":"Laboratory Guide in Biochemistry 10th Ed","type":"book"},"uris":["http://www.mendeley.com/documents/?uuid=5046c65e-6516-4659-a2f6-aee3ee18c6e5"]}],"mendeley":{"formattedCitation":"(Cabatit, 1979)","manualFormatting":"Cabatit (1979)","plainTextFormattedCitation":"(Cabatit, 1979)","previouslyFormattedCitation":"(Cabatit, 1979)"},"properties":{"noteIndex":0},"schema":"https://github.com/citation-style-language/schema/raw/master/csl-citation.json"}</w:instrText>
      </w:r>
      <w:r w:rsidR="00947961">
        <w:rPr>
          <w:rFonts w:ascii="Times New Roman" w:hAnsi="Times New Roman"/>
          <w:sz w:val="24"/>
          <w:szCs w:val="24"/>
          <w:lang w:val="en-ID"/>
        </w:rPr>
        <w:fldChar w:fldCharType="separate"/>
      </w:r>
      <w:r w:rsidR="00947961" w:rsidRPr="00947961">
        <w:rPr>
          <w:rFonts w:ascii="Times New Roman" w:hAnsi="Times New Roman"/>
          <w:noProof/>
          <w:sz w:val="24"/>
          <w:szCs w:val="24"/>
          <w:lang w:val="en-ID"/>
        </w:rPr>
        <w:t xml:space="preserve">Cabatit </w:t>
      </w:r>
      <w:r w:rsidR="00947961">
        <w:rPr>
          <w:rFonts w:ascii="Times New Roman" w:hAnsi="Times New Roman"/>
          <w:noProof/>
          <w:sz w:val="24"/>
          <w:szCs w:val="24"/>
          <w:lang w:val="en-ID"/>
        </w:rPr>
        <w:t>(</w:t>
      </w:r>
      <w:r w:rsidR="00947961" w:rsidRPr="00947961">
        <w:rPr>
          <w:rFonts w:ascii="Times New Roman" w:hAnsi="Times New Roman"/>
          <w:noProof/>
          <w:sz w:val="24"/>
          <w:szCs w:val="24"/>
          <w:lang w:val="en-ID"/>
        </w:rPr>
        <w:t>1979)</w:t>
      </w:r>
      <w:r w:rsidR="00947961">
        <w:rPr>
          <w:rFonts w:ascii="Times New Roman" w:hAnsi="Times New Roman"/>
          <w:sz w:val="24"/>
          <w:szCs w:val="24"/>
          <w:lang w:val="en-ID"/>
        </w:rPr>
        <w:fldChar w:fldCharType="end"/>
      </w:r>
      <w:r w:rsidRPr="005D6672">
        <w:rPr>
          <w:rFonts w:ascii="Times New Roman" w:hAnsi="Times New Roman"/>
          <w:sz w:val="24"/>
          <w:szCs w:val="24"/>
          <w:lang w:val="en-ID"/>
        </w:rPr>
        <w:t xml:space="preserve">. The ingredients used to prepare </w:t>
      </w:r>
      <w:r w:rsidR="00140297">
        <w:rPr>
          <w:rFonts w:ascii="Times New Roman" w:hAnsi="Times New Roman"/>
          <w:sz w:val="24"/>
          <w:szCs w:val="24"/>
          <w:lang w:val="en-ID"/>
        </w:rPr>
        <w:t>Zn</w:t>
      </w:r>
      <w:r w:rsidRPr="005D6672">
        <w:rPr>
          <w:rFonts w:ascii="Times New Roman" w:hAnsi="Times New Roman"/>
          <w:sz w:val="24"/>
          <w:szCs w:val="24"/>
          <w:lang w:val="en-ID"/>
        </w:rPr>
        <w:t xml:space="preserve"> soap are palm oil, potassium hydroxide (KOH), zinc chloride (ZnCl</w:t>
      </w:r>
      <w:r w:rsidRPr="00A81194">
        <w:rPr>
          <w:rFonts w:ascii="Times New Roman" w:hAnsi="Times New Roman"/>
          <w:sz w:val="24"/>
          <w:szCs w:val="24"/>
          <w:vertAlign w:val="subscript"/>
          <w:lang w:val="en-ID"/>
        </w:rPr>
        <w:t>2</w:t>
      </w:r>
      <w:r w:rsidRPr="005D6672">
        <w:rPr>
          <w:rFonts w:ascii="Times New Roman" w:hAnsi="Times New Roman"/>
          <w:sz w:val="24"/>
          <w:szCs w:val="24"/>
          <w:lang w:val="en-ID"/>
        </w:rPr>
        <w:t xml:space="preserve">), ethanol, and distilled water. The first step was to determine the saponification number of the palm oil. The saponification number indicates the amount of KOH (mg) required to saponify 1 g </w:t>
      </w:r>
      <w:proofErr w:type="spellStart"/>
      <w:r w:rsidRPr="005D6672">
        <w:rPr>
          <w:rFonts w:ascii="Times New Roman" w:hAnsi="Times New Roman"/>
          <w:sz w:val="24"/>
          <w:szCs w:val="24"/>
          <w:lang w:val="en-ID"/>
        </w:rPr>
        <w:t>g</w:t>
      </w:r>
      <w:proofErr w:type="spellEnd"/>
      <w:r w:rsidRPr="005D6672">
        <w:rPr>
          <w:rFonts w:ascii="Times New Roman" w:hAnsi="Times New Roman"/>
          <w:sz w:val="24"/>
          <w:szCs w:val="24"/>
          <w:lang w:val="en-ID"/>
        </w:rPr>
        <w:t xml:space="preserve"> oil. Zn soap was prepared by adding ZnCl</w:t>
      </w:r>
      <w:r w:rsidRPr="00A81194">
        <w:rPr>
          <w:rFonts w:ascii="Times New Roman" w:hAnsi="Times New Roman"/>
          <w:sz w:val="24"/>
          <w:szCs w:val="24"/>
          <w:vertAlign w:val="subscript"/>
          <w:lang w:val="en-ID"/>
        </w:rPr>
        <w:t xml:space="preserve">2 </w:t>
      </w:r>
      <w:r w:rsidRPr="005D6672">
        <w:rPr>
          <w:rFonts w:ascii="Times New Roman" w:hAnsi="Times New Roman"/>
          <w:sz w:val="24"/>
          <w:szCs w:val="24"/>
          <w:lang w:val="en-ID"/>
        </w:rPr>
        <w:t>equivalent to the amount of KOH needed to saponify palm oil. After becoming Zn soap, it is mixed with other ingredients, namely</w:t>
      </w:r>
      <w:r w:rsidR="003C27AB">
        <w:rPr>
          <w:rFonts w:ascii="Times New Roman" w:hAnsi="Times New Roman"/>
          <w:sz w:val="24"/>
          <w:szCs w:val="24"/>
          <w:lang w:val="en-ID"/>
        </w:rPr>
        <w:t xml:space="preserve"> 67.5g </w:t>
      </w:r>
      <w:r w:rsidRPr="005D6672">
        <w:rPr>
          <w:rFonts w:ascii="Times New Roman" w:hAnsi="Times New Roman"/>
          <w:sz w:val="24"/>
          <w:szCs w:val="24"/>
          <w:lang w:val="en-ID"/>
        </w:rPr>
        <w:t xml:space="preserve">soybean meal and </w:t>
      </w:r>
      <w:r w:rsidR="003C27AB">
        <w:rPr>
          <w:rFonts w:ascii="Times New Roman" w:hAnsi="Times New Roman"/>
          <w:sz w:val="24"/>
          <w:szCs w:val="24"/>
          <w:lang w:val="en-ID"/>
        </w:rPr>
        <w:t xml:space="preserve">67.5g </w:t>
      </w:r>
      <w:r w:rsidRPr="005D6672">
        <w:rPr>
          <w:rFonts w:ascii="Times New Roman" w:hAnsi="Times New Roman"/>
          <w:sz w:val="24"/>
          <w:szCs w:val="24"/>
          <w:lang w:val="en-ID"/>
        </w:rPr>
        <w:t>cassava waste</w:t>
      </w:r>
      <w:r w:rsidR="003C27AB">
        <w:rPr>
          <w:rFonts w:ascii="Times New Roman" w:hAnsi="Times New Roman"/>
          <w:sz w:val="24"/>
          <w:szCs w:val="24"/>
          <w:lang w:val="en-ID"/>
        </w:rPr>
        <w:t xml:space="preserve">. </w:t>
      </w:r>
      <w:r w:rsidRPr="005D6672">
        <w:rPr>
          <w:rFonts w:ascii="Times New Roman" w:hAnsi="Times New Roman"/>
          <w:sz w:val="24"/>
          <w:szCs w:val="24"/>
          <w:lang w:val="en-ID"/>
        </w:rPr>
        <w:t>The purpose of this mixing is to make it easier to administer to the livestock. This mixture is referred to as a Zn soap supplement.</w:t>
      </w:r>
    </w:p>
    <w:p w14:paraId="6E261EE3" w14:textId="77777777" w:rsidR="00D10964" w:rsidRPr="00D10964" w:rsidRDefault="00D10964" w:rsidP="009F7D86">
      <w:pPr>
        <w:pStyle w:val="Body"/>
        <w:spacing w:after="0"/>
        <w:rPr>
          <w:rFonts w:ascii="Times New Roman" w:hAnsi="Times New Roman"/>
          <w:b/>
          <w:caps/>
          <w:sz w:val="24"/>
          <w:szCs w:val="24"/>
          <w:lang w:val="en-ID"/>
        </w:rPr>
      </w:pPr>
    </w:p>
    <w:p w14:paraId="04D9FB04" w14:textId="31485CD6" w:rsidR="00CA7DB1" w:rsidRDefault="00E66111" w:rsidP="009F7D86">
      <w:pPr>
        <w:pStyle w:val="Body"/>
        <w:spacing w:after="0"/>
        <w:rPr>
          <w:rFonts w:ascii="Times New Roman" w:hAnsi="Times New Roman"/>
          <w:i/>
          <w:sz w:val="24"/>
          <w:szCs w:val="24"/>
        </w:rPr>
      </w:pPr>
      <w:r w:rsidRPr="007259D6">
        <w:rPr>
          <w:rFonts w:ascii="Times New Roman" w:hAnsi="Times New Roman"/>
          <w:i/>
          <w:caps/>
          <w:sz w:val="24"/>
          <w:szCs w:val="24"/>
        </w:rPr>
        <w:t>2.</w:t>
      </w:r>
      <w:r>
        <w:rPr>
          <w:rFonts w:ascii="Times New Roman" w:hAnsi="Times New Roman"/>
          <w:i/>
          <w:caps/>
          <w:sz w:val="24"/>
          <w:szCs w:val="24"/>
        </w:rPr>
        <w:t>1.2</w:t>
      </w:r>
      <w:r w:rsidRPr="007259D6">
        <w:rPr>
          <w:rFonts w:ascii="Times New Roman" w:hAnsi="Times New Roman"/>
          <w:i/>
          <w:caps/>
          <w:sz w:val="24"/>
          <w:szCs w:val="24"/>
        </w:rPr>
        <w:t xml:space="preserve">. </w:t>
      </w:r>
      <w:r w:rsidR="00D10964" w:rsidRPr="00D10964">
        <w:rPr>
          <w:rFonts w:ascii="Times New Roman" w:hAnsi="Times New Roman"/>
          <w:i/>
          <w:sz w:val="24"/>
          <w:szCs w:val="24"/>
        </w:rPr>
        <w:t>Experimental Design</w:t>
      </w:r>
      <w:r w:rsidR="00CA7DB1">
        <w:rPr>
          <w:rFonts w:ascii="Times New Roman" w:hAnsi="Times New Roman"/>
          <w:i/>
          <w:sz w:val="24"/>
          <w:szCs w:val="24"/>
        </w:rPr>
        <w:t xml:space="preserve">  </w:t>
      </w:r>
    </w:p>
    <w:p w14:paraId="6EF2C146" w14:textId="77777777" w:rsidR="00CA7DB1" w:rsidRDefault="00CA7DB1" w:rsidP="009F7D86">
      <w:pPr>
        <w:pStyle w:val="Body"/>
        <w:spacing w:after="0"/>
        <w:rPr>
          <w:rFonts w:ascii="Times New Roman" w:hAnsi="Times New Roman"/>
          <w:i/>
          <w:sz w:val="24"/>
          <w:szCs w:val="24"/>
        </w:rPr>
      </w:pPr>
    </w:p>
    <w:p w14:paraId="0B305036" w14:textId="52717679" w:rsidR="005D6672" w:rsidRPr="00947961" w:rsidRDefault="00E66111" w:rsidP="005D6672">
      <w:pPr>
        <w:pStyle w:val="Default"/>
        <w:snapToGrid w:val="0"/>
        <w:ind w:leftChars="-45" w:left="30" w:hangingChars="50" w:hanging="120"/>
        <w:jc w:val="both"/>
        <w:rPr>
          <w:rFonts w:asciiTheme="majorBidi" w:hAnsiTheme="majorBidi" w:cstheme="majorBidi"/>
          <w:bCs/>
          <w:lang w:val="en-ID"/>
        </w:rPr>
      </w:pPr>
      <w:r>
        <w:rPr>
          <w:rFonts w:ascii="Times New Roman" w:hAnsi="Times New Roman"/>
          <w:bCs/>
          <w:color w:val="auto"/>
        </w:rPr>
        <w:t xml:space="preserve"> </w:t>
      </w:r>
      <w:r w:rsidR="004B2454" w:rsidRPr="00FE66D8">
        <w:rPr>
          <w:rFonts w:ascii="Times New Roman" w:hAnsi="Times New Roman"/>
          <w:bCs/>
          <w:color w:val="auto"/>
        </w:rPr>
        <w:t xml:space="preserve"> </w:t>
      </w:r>
      <w:r w:rsidR="0024771A">
        <w:rPr>
          <w:rFonts w:asciiTheme="majorBidi" w:hAnsiTheme="majorBidi" w:cstheme="majorBidi"/>
          <w:bCs/>
          <w:lang w:val="en-ID"/>
        </w:rPr>
        <w:t>A total of 14</w:t>
      </w:r>
      <w:r w:rsidR="005D6672" w:rsidRPr="00947961">
        <w:rPr>
          <w:rFonts w:asciiTheme="majorBidi" w:hAnsiTheme="majorBidi" w:cstheme="majorBidi"/>
          <w:bCs/>
          <w:lang w:val="en-ID"/>
        </w:rPr>
        <w:t xml:space="preserve"> Sapera </w:t>
      </w:r>
      <w:r w:rsidR="0024771A">
        <w:rPr>
          <w:rFonts w:asciiTheme="majorBidi" w:hAnsiTheme="majorBidi" w:cstheme="majorBidi"/>
          <w:bCs/>
          <w:lang w:val="en-ID"/>
        </w:rPr>
        <w:t xml:space="preserve">dairy </w:t>
      </w:r>
      <w:r w:rsidR="005D6672" w:rsidRPr="00947961">
        <w:rPr>
          <w:rFonts w:asciiTheme="majorBidi" w:hAnsiTheme="majorBidi" w:cstheme="majorBidi"/>
          <w:bCs/>
          <w:lang w:val="en-ID"/>
        </w:rPr>
        <w:t xml:space="preserve">goats were divided into </w:t>
      </w:r>
      <w:r w:rsidR="0024771A">
        <w:rPr>
          <w:rFonts w:asciiTheme="majorBidi" w:hAnsiTheme="majorBidi" w:cstheme="majorBidi"/>
          <w:bCs/>
          <w:lang w:val="en-ID"/>
        </w:rPr>
        <w:t>control (n=7) and treatment (n=7)</w:t>
      </w:r>
      <w:r w:rsidR="005D6672" w:rsidRPr="00947961">
        <w:rPr>
          <w:rFonts w:asciiTheme="majorBidi" w:hAnsiTheme="majorBidi" w:cstheme="majorBidi"/>
          <w:bCs/>
          <w:lang w:val="en-ID"/>
        </w:rPr>
        <w:t xml:space="preserve"> groups.</w:t>
      </w:r>
      <w:r w:rsidR="0024771A">
        <w:rPr>
          <w:rFonts w:asciiTheme="majorBidi" w:hAnsiTheme="majorBidi" w:cstheme="majorBidi"/>
          <w:bCs/>
          <w:lang w:val="en-ID"/>
        </w:rPr>
        <w:t xml:space="preserve"> </w:t>
      </w:r>
      <w:r w:rsidR="005D6672" w:rsidRPr="00947961">
        <w:rPr>
          <w:rFonts w:asciiTheme="majorBidi" w:hAnsiTheme="majorBidi" w:cstheme="majorBidi"/>
          <w:bCs/>
          <w:lang w:val="en-ID"/>
        </w:rPr>
        <w:t>The</w:t>
      </w:r>
      <w:r w:rsidR="0024771A">
        <w:rPr>
          <w:rFonts w:asciiTheme="majorBidi" w:hAnsiTheme="majorBidi" w:cstheme="majorBidi"/>
          <w:bCs/>
          <w:lang w:val="en-ID"/>
        </w:rPr>
        <w:t xml:space="preserve"> animals in the</w:t>
      </w:r>
      <w:r w:rsidR="005D6672" w:rsidRPr="00947961">
        <w:rPr>
          <w:rFonts w:asciiTheme="majorBidi" w:hAnsiTheme="majorBidi" w:cstheme="majorBidi"/>
          <w:bCs/>
          <w:lang w:val="en-ID"/>
        </w:rPr>
        <w:t xml:space="preserve"> </w:t>
      </w:r>
      <w:r w:rsidR="00140297">
        <w:rPr>
          <w:rFonts w:asciiTheme="majorBidi" w:hAnsiTheme="majorBidi" w:cstheme="majorBidi"/>
          <w:bCs/>
          <w:lang w:val="en-ID"/>
        </w:rPr>
        <w:t>Zn</w:t>
      </w:r>
      <w:r w:rsidR="005D6672" w:rsidRPr="00947961">
        <w:rPr>
          <w:rFonts w:asciiTheme="majorBidi" w:hAnsiTheme="majorBidi" w:cstheme="majorBidi"/>
          <w:bCs/>
          <w:lang w:val="en-ID"/>
        </w:rPr>
        <w:t xml:space="preserve"> soap supplementation</w:t>
      </w:r>
      <w:r w:rsidR="0024771A">
        <w:rPr>
          <w:rFonts w:asciiTheme="majorBidi" w:hAnsiTheme="majorBidi" w:cstheme="majorBidi"/>
          <w:bCs/>
          <w:lang w:val="en-ID"/>
        </w:rPr>
        <w:t xml:space="preserve"> in treatment group were fed </w:t>
      </w:r>
      <w:r w:rsidR="005D6672" w:rsidRPr="00947961">
        <w:rPr>
          <w:rFonts w:asciiTheme="majorBidi" w:hAnsiTheme="majorBidi" w:cstheme="majorBidi"/>
          <w:bCs/>
          <w:lang w:val="en-ID"/>
        </w:rPr>
        <w:t xml:space="preserve">3% DM </w:t>
      </w:r>
      <w:r w:rsidR="00140297">
        <w:rPr>
          <w:rFonts w:asciiTheme="majorBidi" w:hAnsiTheme="majorBidi" w:cstheme="majorBidi"/>
          <w:bCs/>
          <w:lang w:val="en-ID"/>
        </w:rPr>
        <w:t>Zn</w:t>
      </w:r>
      <w:r w:rsidR="005D6672" w:rsidRPr="00947961">
        <w:rPr>
          <w:rFonts w:asciiTheme="majorBidi" w:hAnsiTheme="majorBidi" w:cstheme="majorBidi"/>
          <w:bCs/>
          <w:lang w:val="en-ID"/>
        </w:rPr>
        <w:t xml:space="preserve"> soap. </w:t>
      </w:r>
      <w:r w:rsidR="0024771A">
        <w:rPr>
          <w:rFonts w:asciiTheme="majorBidi" w:hAnsiTheme="majorBidi" w:cstheme="majorBidi"/>
          <w:bCs/>
          <w:lang w:val="en-ID"/>
        </w:rPr>
        <w:t xml:space="preserve">The animals in </w:t>
      </w:r>
      <w:r w:rsidR="006A1E98">
        <w:rPr>
          <w:rFonts w:asciiTheme="majorBidi" w:hAnsiTheme="majorBidi" w:cstheme="majorBidi"/>
          <w:bCs/>
          <w:lang w:val="en-ID"/>
        </w:rPr>
        <w:t>the treatment fed for</w:t>
      </w:r>
      <w:r w:rsidR="005D6672" w:rsidRPr="00947961">
        <w:rPr>
          <w:rFonts w:asciiTheme="majorBidi" w:hAnsiTheme="majorBidi" w:cstheme="majorBidi"/>
          <w:bCs/>
          <w:lang w:val="en-ID"/>
        </w:rPr>
        <w:t xml:space="preserve"> six weeks</w:t>
      </w:r>
      <w:r w:rsidR="006A1E98">
        <w:rPr>
          <w:rFonts w:asciiTheme="majorBidi" w:hAnsiTheme="majorBidi" w:cstheme="majorBidi"/>
          <w:bCs/>
          <w:lang w:val="en-ID"/>
        </w:rPr>
        <w:t>. The f</w:t>
      </w:r>
      <w:r w:rsidR="005D6672" w:rsidRPr="00947961">
        <w:rPr>
          <w:rFonts w:asciiTheme="majorBidi" w:hAnsiTheme="majorBidi" w:cstheme="majorBidi"/>
          <w:bCs/>
          <w:lang w:val="en-ID"/>
        </w:rPr>
        <w:t xml:space="preserve">eeding </w:t>
      </w:r>
      <w:r w:rsidR="006A1E98">
        <w:rPr>
          <w:rFonts w:asciiTheme="majorBidi" w:hAnsiTheme="majorBidi" w:cstheme="majorBidi"/>
          <w:bCs/>
          <w:lang w:val="en-ID"/>
        </w:rPr>
        <w:t xml:space="preserve">of Zn soap supplement </w:t>
      </w:r>
      <w:r w:rsidR="005D6672" w:rsidRPr="00947961">
        <w:rPr>
          <w:rFonts w:asciiTheme="majorBidi" w:hAnsiTheme="majorBidi" w:cstheme="majorBidi"/>
          <w:bCs/>
          <w:lang w:val="en-ID"/>
        </w:rPr>
        <w:t xml:space="preserve">was restricted to 4% of body weight. </w:t>
      </w:r>
      <w:r w:rsidR="006A1E98">
        <w:rPr>
          <w:rFonts w:asciiTheme="majorBidi" w:hAnsiTheme="majorBidi" w:cstheme="majorBidi"/>
          <w:bCs/>
          <w:lang w:val="en-ID"/>
        </w:rPr>
        <w:t>The industry manufactured conce</w:t>
      </w:r>
      <w:r w:rsidR="005D6672" w:rsidRPr="00947961">
        <w:rPr>
          <w:rFonts w:asciiTheme="majorBidi" w:hAnsiTheme="majorBidi" w:cstheme="majorBidi"/>
          <w:bCs/>
          <w:lang w:val="en-ID"/>
        </w:rPr>
        <w:t>ntrate feed was provided twice daily, at 6:00 AM and 3:00 PM WIB</w:t>
      </w:r>
      <w:r w:rsidR="006A1E98">
        <w:rPr>
          <w:rFonts w:asciiTheme="majorBidi" w:hAnsiTheme="majorBidi" w:cstheme="majorBidi"/>
          <w:bCs/>
          <w:lang w:val="en-ID"/>
        </w:rPr>
        <w:t xml:space="preserve">, </w:t>
      </w:r>
      <w:r w:rsidR="006A1E98" w:rsidRPr="00947961">
        <w:rPr>
          <w:rFonts w:asciiTheme="majorBidi" w:hAnsiTheme="majorBidi" w:cstheme="majorBidi"/>
          <w:bCs/>
          <w:lang w:val="en-ID"/>
        </w:rPr>
        <w:t>Green fodder was provided once daily</w:t>
      </w:r>
      <w:r w:rsidR="006A1E98">
        <w:rPr>
          <w:rFonts w:asciiTheme="majorBidi" w:hAnsiTheme="majorBidi" w:cstheme="majorBidi"/>
          <w:bCs/>
          <w:lang w:val="en-ID"/>
        </w:rPr>
        <w:t xml:space="preserve"> and d</w:t>
      </w:r>
      <w:r w:rsidR="005D6672" w:rsidRPr="00947961">
        <w:rPr>
          <w:rFonts w:asciiTheme="majorBidi" w:hAnsiTheme="majorBidi" w:cstheme="majorBidi"/>
          <w:bCs/>
          <w:lang w:val="en-ID"/>
        </w:rPr>
        <w:t>rinking water was provided ad libitum.</w:t>
      </w:r>
    </w:p>
    <w:p w14:paraId="221E1E02" w14:textId="77777777" w:rsidR="005D6672" w:rsidRPr="00947961" w:rsidRDefault="005D6672" w:rsidP="005D6672">
      <w:pPr>
        <w:pStyle w:val="Default"/>
        <w:snapToGrid w:val="0"/>
        <w:ind w:leftChars="-45" w:left="30" w:hangingChars="50" w:hanging="120"/>
        <w:jc w:val="both"/>
        <w:rPr>
          <w:rFonts w:asciiTheme="majorBidi" w:hAnsiTheme="majorBidi" w:cstheme="majorBidi"/>
          <w:b/>
          <w:bCs/>
          <w:color w:val="auto"/>
        </w:rPr>
      </w:pPr>
    </w:p>
    <w:p w14:paraId="42678F6D" w14:textId="4D6353DD" w:rsidR="007259D6" w:rsidRPr="00FE66D8" w:rsidRDefault="00501330" w:rsidP="005D6672">
      <w:pPr>
        <w:pStyle w:val="Default"/>
        <w:snapToGrid w:val="0"/>
        <w:ind w:leftChars="-45" w:left="30" w:hangingChars="50" w:hanging="120"/>
        <w:jc w:val="both"/>
        <w:rPr>
          <w:rFonts w:ascii="Times New Roman" w:hAnsi="Times New Roman"/>
          <w:b/>
          <w:bCs/>
          <w:color w:val="auto"/>
        </w:rPr>
      </w:pPr>
      <w:r>
        <w:rPr>
          <w:rFonts w:ascii="Times New Roman" w:hAnsi="Times New Roman"/>
          <w:b/>
          <w:bCs/>
          <w:color w:val="auto"/>
        </w:rPr>
        <w:t>2.2.</w:t>
      </w:r>
      <w:r w:rsidR="007259D6" w:rsidRPr="00FE66D8">
        <w:rPr>
          <w:rFonts w:ascii="Times New Roman" w:hAnsi="Times New Roman"/>
          <w:b/>
          <w:bCs/>
          <w:color w:val="auto"/>
        </w:rPr>
        <w:t xml:space="preserve"> </w:t>
      </w:r>
      <w:r w:rsidR="006A1E98">
        <w:rPr>
          <w:rFonts w:ascii="Times New Roman" w:hAnsi="Times New Roman"/>
          <w:b/>
          <w:bCs/>
          <w:color w:val="auto"/>
        </w:rPr>
        <w:t>Data Collection</w:t>
      </w:r>
    </w:p>
    <w:p w14:paraId="19F6242A" w14:textId="77777777" w:rsidR="007259D6" w:rsidRPr="00FE66D8" w:rsidRDefault="007259D6" w:rsidP="009F7D86">
      <w:pPr>
        <w:pStyle w:val="Default"/>
        <w:snapToGrid w:val="0"/>
        <w:ind w:firstLine="284"/>
        <w:jc w:val="both"/>
        <w:rPr>
          <w:rFonts w:ascii="Times New Roman" w:hAnsi="Times New Roman"/>
          <w:color w:val="auto"/>
        </w:rPr>
      </w:pPr>
    </w:p>
    <w:p w14:paraId="47353C73" w14:textId="717F6E5E" w:rsidR="00E2122B" w:rsidRPr="00E2122B" w:rsidRDefault="006A1E98" w:rsidP="00E2122B">
      <w:pPr>
        <w:pStyle w:val="Default"/>
        <w:snapToGrid w:val="0"/>
        <w:jc w:val="both"/>
        <w:rPr>
          <w:rFonts w:ascii="Times New Roman" w:hAnsi="Times New Roman"/>
          <w:lang w:val="en-ID"/>
        </w:rPr>
      </w:pPr>
      <w:r>
        <w:rPr>
          <w:rFonts w:ascii="Times New Roman" w:hAnsi="Times New Roman"/>
          <w:lang w:val="en-ID"/>
        </w:rPr>
        <w:t>The following data set were collected for analysis:</w:t>
      </w:r>
    </w:p>
    <w:p w14:paraId="6BC3A807" w14:textId="77777777" w:rsidR="001C7D5F" w:rsidRPr="00E2122B" w:rsidRDefault="001C7D5F" w:rsidP="00D10964">
      <w:pPr>
        <w:pStyle w:val="Default"/>
        <w:snapToGrid w:val="0"/>
        <w:jc w:val="both"/>
        <w:rPr>
          <w:rFonts w:ascii="Times New Roman" w:hAnsi="Times New Roman"/>
          <w:b/>
          <w:bCs/>
          <w:color w:val="auto"/>
          <w:lang w:val="en-ID"/>
        </w:rPr>
      </w:pPr>
    </w:p>
    <w:p w14:paraId="08A2B27D" w14:textId="39B1EB95" w:rsidR="004B2454" w:rsidRPr="00D10964" w:rsidRDefault="00501330" w:rsidP="00D10964">
      <w:pPr>
        <w:pStyle w:val="Default"/>
        <w:snapToGrid w:val="0"/>
        <w:jc w:val="both"/>
        <w:rPr>
          <w:rFonts w:ascii="Times New Roman" w:hAnsi="Times New Roman"/>
          <w:bCs/>
          <w:i/>
          <w:color w:val="auto"/>
          <w:lang w:val="en-ID"/>
        </w:rPr>
      </w:pPr>
      <w:r w:rsidRPr="004B0763">
        <w:rPr>
          <w:rFonts w:ascii="Times New Roman" w:hAnsi="Times New Roman"/>
          <w:bCs/>
          <w:i/>
          <w:color w:val="auto"/>
          <w:lang w:val="en-ID"/>
        </w:rPr>
        <w:t>2.2.1.</w:t>
      </w:r>
      <w:r w:rsidR="004B2454" w:rsidRPr="004B0763">
        <w:rPr>
          <w:rFonts w:ascii="Times New Roman" w:hAnsi="Times New Roman"/>
          <w:bCs/>
          <w:i/>
          <w:color w:val="auto"/>
          <w:lang w:val="en-ID"/>
        </w:rPr>
        <w:t xml:space="preserve"> </w:t>
      </w:r>
      <w:r w:rsidR="00D10964" w:rsidRPr="00D10964">
        <w:rPr>
          <w:rFonts w:ascii="Times New Roman" w:hAnsi="Times New Roman"/>
          <w:bCs/>
          <w:i/>
          <w:color w:val="auto"/>
          <w:lang w:val="en"/>
        </w:rPr>
        <w:t>Measurement of Feed Consumption and Milk Production</w:t>
      </w:r>
    </w:p>
    <w:p w14:paraId="2D1EE803" w14:textId="77777777" w:rsidR="004B2454" w:rsidRPr="00D10964" w:rsidRDefault="004B2454" w:rsidP="009F7D86">
      <w:pPr>
        <w:pStyle w:val="Default"/>
        <w:snapToGrid w:val="0"/>
        <w:ind w:left="1"/>
        <w:jc w:val="both"/>
        <w:rPr>
          <w:rFonts w:ascii="Times New Roman" w:hAnsi="Times New Roman"/>
          <w:lang w:val="en-ID"/>
        </w:rPr>
      </w:pPr>
    </w:p>
    <w:p w14:paraId="4D9D7A16" w14:textId="53F46325" w:rsidR="00E2122B" w:rsidRPr="00E2122B" w:rsidRDefault="003039E9" w:rsidP="00E2122B">
      <w:pPr>
        <w:pStyle w:val="Default"/>
        <w:snapToGrid w:val="0"/>
        <w:ind w:left="1"/>
        <w:jc w:val="both"/>
        <w:rPr>
          <w:rFonts w:ascii="Times New Roman" w:hAnsi="Times New Roman"/>
          <w:lang w:val="en-ID"/>
        </w:rPr>
      </w:pPr>
      <w:r>
        <w:rPr>
          <w:rFonts w:ascii="Times New Roman" w:hAnsi="Times New Roman"/>
          <w:lang w:val="en-ID"/>
        </w:rPr>
        <w:t>The data on f</w:t>
      </w:r>
      <w:r w:rsidR="00E2122B" w:rsidRPr="00E2122B">
        <w:rPr>
          <w:rFonts w:ascii="Times New Roman" w:hAnsi="Times New Roman"/>
          <w:lang w:val="en-ID"/>
        </w:rPr>
        <w:t>eed consumption was calculated by subtracting the amount of feed given from the remaining feed on the next day</w:t>
      </w:r>
      <w:r>
        <w:rPr>
          <w:rFonts w:ascii="Times New Roman" w:hAnsi="Times New Roman"/>
          <w:lang w:val="en-ID"/>
        </w:rPr>
        <w:t xml:space="preserve"> and was accordingly recorded</w:t>
      </w:r>
      <w:r w:rsidR="00E2122B" w:rsidRPr="00E2122B">
        <w:rPr>
          <w:rFonts w:ascii="Times New Roman" w:hAnsi="Times New Roman"/>
          <w:lang w:val="en-ID"/>
        </w:rPr>
        <w:t>. The concentrated feed was sampled for proximate analysis</w:t>
      </w:r>
      <w:r>
        <w:rPr>
          <w:rFonts w:ascii="Times New Roman" w:hAnsi="Times New Roman"/>
          <w:lang w:val="en-ID"/>
        </w:rPr>
        <w:t xml:space="preserve"> and was recorded</w:t>
      </w:r>
      <w:r w:rsidR="00E2122B" w:rsidRPr="00E2122B">
        <w:rPr>
          <w:rFonts w:ascii="Times New Roman" w:hAnsi="Times New Roman"/>
          <w:lang w:val="en-ID"/>
        </w:rPr>
        <w:t xml:space="preserve">. The results </w:t>
      </w:r>
      <w:r w:rsidR="00E2122B" w:rsidRPr="00E2122B">
        <w:rPr>
          <w:rFonts w:ascii="Times New Roman" w:hAnsi="Times New Roman"/>
          <w:lang w:val="en-ID"/>
        </w:rPr>
        <w:lastRenderedPageBreak/>
        <w:t xml:space="preserve">of proximate analysis were used to calculate the dry matter intake for </w:t>
      </w:r>
      <w:r>
        <w:rPr>
          <w:rFonts w:ascii="Times New Roman" w:hAnsi="Times New Roman"/>
          <w:lang w:val="en-ID"/>
        </w:rPr>
        <w:t>control and treatment group</w:t>
      </w:r>
      <w:r w:rsidR="00E2122B" w:rsidRPr="00E2122B">
        <w:rPr>
          <w:rFonts w:ascii="Times New Roman" w:hAnsi="Times New Roman"/>
          <w:lang w:val="en-ID"/>
        </w:rPr>
        <w:t>. Milk production was measured daily</w:t>
      </w:r>
      <w:r>
        <w:rPr>
          <w:rFonts w:ascii="Times New Roman" w:hAnsi="Times New Roman"/>
          <w:lang w:val="en-ID"/>
        </w:rPr>
        <w:t xml:space="preserve">. </w:t>
      </w:r>
    </w:p>
    <w:p w14:paraId="152F7664" w14:textId="77777777" w:rsidR="00D10964" w:rsidRPr="00D10964" w:rsidRDefault="00D10964" w:rsidP="00D10964">
      <w:pPr>
        <w:pStyle w:val="Default"/>
        <w:snapToGrid w:val="0"/>
        <w:ind w:left="1"/>
        <w:jc w:val="both"/>
        <w:rPr>
          <w:rFonts w:ascii="Times New Roman" w:hAnsi="Times New Roman"/>
          <w:lang w:val="en-ID"/>
        </w:rPr>
      </w:pPr>
    </w:p>
    <w:p w14:paraId="0F920E02" w14:textId="2F1AAA0B" w:rsidR="00D10964" w:rsidRPr="00D10964" w:rsidRDefault="00B31C12" w:rsidP="00D10964">
      <w:pPr>
        <w:pStyle w:val="Default"/>
        <w:snapToGrid w:val="0"/>
        <w:ind w:left="120" w:hangingChars="50" w:hanging="120"/>
        <w:jc w:val="both"/>
        <w:rPr>
          <w:rFonts w:ascii="Times New Roman" w:hAnsi="Times New Roman"/>
          <w:bCs/>
          <w:i/>
          <w:lang w:val="en-ID"/>
        </w:rPr>
      </w:pPr>
      <w:r>
        <w:rPr>
          <w:rFonts w:ascii="Times New Roman" w:hAnsi="Times New Roman"/>
          <w:bCs/>
          <w:i/>
          <w:color w:val="auto"/>
        </w:rPr>
        <w:t>2.2.2</w:t>
      </w:r>
      <w:r w:rsidR="00501330" w:rsidRPr="00501330">
        <w:rPr>
          <w:rFonts w:ascii="Times New Roman" w:hAnsi="Times New Roman"/>
          <w:bCs/>
          <w:i/>
          <w:color w:val="auto"/>
        </w:rPr>
        <w:t>.</w:t>
      </w:r>
      <w:r w:rsidR="005F055B" w:rsidRPr="00501330">
        <w:rPr>
          <w:rFonts w:ascii="Times New Roman" w:hAnsi="Times New Roman"/>
          <w:bCs/>
          <w:i/>
          <w:color w:val="auto"/>
        </w:rPr>
        <w:t xml:space="preserve"> </w:t>
      </w:r>
      <w:r w:rsidR="00D10964" w:rsidRPr="00D10964">
        <w:rPr>
          <w:rFonts w:ascii="Times New Roman" w:hAnsi="Times New Roman"/>
          <w:bCs/>
          <w:i/>
          <w:lang w:val="en"/>
        </w:rPr>
        <w:t>Measurement of total VFA, partial VFA and NH</w:t>
      </w:r>
      <w:r w:rsidR="00D10964" w:rsidRPr="003039E9">
        <w:rPr>
          <w:rFonts w:ascii="Times New Roman" w:hAnsi="Times New Roman"/>
          <w:bCs/>
          <w:i/>
          <w:vertAlign w:val="subscript"/>
          <w:lang w:val="en"/>
        </w:rPr>
        <w:t>3</w:t>
      </w:r>
    </w:p>
    <w:p w14:paraId="1881B715" w14:textId="71302EAA" w:rsidR="004B2454" w:rsidRPr="00501330" w:rsidRDefault="004B2454" w:rsidP="009F7D86">
      <w:pPr>
        <w:pStyle w:val="Default"/>
        <w:snapToGrid w:val="0"/>
        <w:ind w:left="120" w:hangingChars="50" w:hanging="120"/>
        <w:jc w:val="both"/>
        <w:rPr>
          <w:rFonts w:ascii="Times New Roman" w:hAnsi="Times New Roman"/>
          <w:bCs/>
          <w:i/>
          <w:color w:val="auto"/>
          <w:vertAlign w:val="subscript"/>
        </w:rPr>
      </w:pPr>
    </w:p>
    <w:p w14:paraId="5A382AB1" w14:textId="4E0DA8A2" w:rsidR="004B6A49" w:rsidRDefault="004B6A49" w:rsidP="004B6A49">
      <w:pPr>
        <w:pStyle w:val="ListParagraph"/>
        <w:ind w:left="0"/>
        <w:jc w:val="both"/>
        <w:rPr>
          <w:lang w:val="en-ID"/>
        </w:rPr>
      </w:pPr>
      <w:r w:rsidRPr="004B6A49">
        <w:rPr>
          <w:lang w:val="en-ID"/>
        </w:rPr>
        <w:t xml:space="preserve">The in vitro experiments were conducted according to the method described by </w:t>
      </w:r>
      <w:r w:rsidR="00947961">
        <w:rPr>
          <w:lang w:val="en-ID"/>
        </w:rPr>
        <w:fldChar w:fldCharType="begin" w:fldLock="1"/>
      </w:r>
      <w:r w:rsidR="004B0763">
        <w:rPr>
          <w:lang w:val="en-ID"/>
        </w:rPr>
        <w:instrText>ADDIN CSL_CITATION {"citationItems":[{"id":"ITEM-1","itemData":{"author":[{"dropping-particle":"","family":"Tilley","given":"J. M. A.","non-dropping-particle":"","parse-names":false,"suffix":""},{"dropping-particle":"","family":"Terry","given":"R. A","non-dropping-particle":"","parse-names":false,"suffix":""}],"container-title":"J. British Grassland","id":"ITEM-1","issued":{"date-parts":[["1963"]]},"page":"104 - 111","title":"A Two Stage Technique for The In Vitro Digestion of Forage Crops","type":"article-journal"},"uris":["http://www.mendeley.com/documents/?uuid=9138991c-e897-4b43-bfd9-ca498dabf6d7"]}],"mendeley":{"formattedCitation":"(Tilley &amp; Terry, 1963)","manualFormatting":"Tilley and Terry (1963)","plainTextFormattedCitation":"(Tilley &amp; Terry, 1963)","previouslyFormattedCitation":"(Tilley &amp; Terry, 1963)"},"properties":{"noteIndex":0},"schema":"https://github.com/citation-style-language/schema/raw/master/csl-citation.json"}</w:instrText>
      </w:r>
      <w:r w:rsidR="00947961">
        <w:rPr>
          <w:lang w:val="en-ID"/>
        </w:rPr>
        <w:fldChar w:fldCharType="separate"/>
      </w:r>
      <w:r w:rsidR="00947961" w:rsidRPr="00947961">
        <w:rPr>
          <w:noProof/>
          <w:lang w:val="en-ID"/>
        </w:rPr>
        <w:t xml:space="preserve">Tilley and Terry </w:t>
      </w:r>
      <w:r w:rsidR="00947961">
        <w:rPr>
          <w:noProof/>
          <w:lang w:val="en-ID"/>
        </w:rPr>
        <w:t>(</w:t>
      </w:r>
      <w:r w:rsidR="00947961" w:rsidRPr="00947961">
        <w:rPr>
          <w:noProof/>
          <w:lang w:val="en-ID"/>
        </w:rPr>
        <w:t>1963)</w:t>
      </w:r>
      <w:r w:rsidR="00947961">
        <w:rPr>
          <w:lang w:val="en-ID"/>
        </w:rPr>
        <w:fldChar w:fldCharType="end"/>
      </w:r>
      <w:r w:rsidRPr="004B6A49">
        <w:rPr>
          <w:lang w:val="en-ID"/>
        </w:rPr>
        <w:t>. The parameters measured</w:t>
      </w:r>
      <w:r w:rsidR="003039E9">
        <w:rPr>
          <w:lang w:val="en-ID"/>
        </w:rPr>
        <w:t xml:space="preserve"> and recorded</w:t>
      </w:r>
      <w:r w:rsidRPr="004B6A49">
        <w:rPr>
          <w:lang w:val="en-ID"/>
        </w:rPr>
        <w:t xml:space="preserve"> were the total VFA and NH</w:t>
      </w:r>
      <w:r w:rsidRPr="003039E9">
        <w:rPr>
          <w:vertAlign w:val="subscript"/>
          <w:lang w:val="en-ID"/>
        </w:rPr>
        <w:t>3</w:t>
      </w:r>
      <w:r w:rsidRPr="004B6A49">
        <w:rPr>
          <w:lang w:val="en-ID"/>
        </w:rPr>
        <w:t xml:space="preserve">. Rumen fluid was collected as inoculum from the slaughterhouse. The fermenter tube, filled with 0.50-0.55 grams of sample, was added to 40 ml of McDougall’s solution, then tightly closed and placed in a water bath at 39°C. Ten </w:t>
      </w:r>
      <w:proofErr w:type="spellStart"/>
      <w:r w:rsidRPr="004B6A49">
        <w:rPr>
          <w:lang w:val="en-ID"/>
        </w:rPr>
        <w:t>milliliters</w:t>
      </w:r>
      <w:proofErr w:type="spellEnd"/>
      <w:r w:rsidRPr="004B6A49">
        <w:rPr>
          <w:lang w:val="en-ID"/>
        </w:rPr>
        <w:t xml:space="preserve"> of rumen fluid were placed in a fermenter tube, filled with CO</w:t>
      </w:r>
      <w:r w:rsidRPr="003039E9">
        <w:rPr>
          <w:vertAlign w:val="subscript"/>
          <w:lang w:val="en-ID"/>
        </w:rPr>
        <w:t>2</w:t>
      </w:r>
      <w:r w:rsidRPr="004B6A49">
        <w:rPr>
          <w:lang w:val="en-ID"/>
        </w:rPr>
        <w:t xml:space="preserve">, and then tightly closed. A blank was prepared by filling it with buffer solution and rumen fluid without the sample. The fermenter tube was incubated for 3 h and the fermentation process was stopped by immersing the tube in ice water. The tube was then centrifuged at 3000 rpm to separate the supernatant and sediment, and the supernatant was stored in a freezer for the </w:t>
      </w:r>
      <w:r w:rsidR="008F69F4">
        <w:rPr>
          <w:lang w:val="en-ID"/>
        </w:rPr>
        <w:t xml:space="preserve">collection of data on </w:t>
      </w:r>
      <w:r w:rsidRPr="004B6A49">
        <w:rPr>
          <w:lang w:val="en-ID"/>
        </w:rPr>
        <w:t>total VFA and NH</w:t>
      </w:r>
      <w:r w:rsidRPr="003039E9">
        <w:rPr>
          <w:vertAlign w:val="subscript"/>
          <w:lang w:val="en-ID"/>
        </w:rPr>
        <w:t>3</w:t>
      </w:r>
      <w:r w:rsidRPr="004B6A49">
        <w:rPr>
          <w:lang w:val="en-ID"/>
        </w:rPr>
        <w:t xml:space="preserve"> levels.</w:t>
      </w:r>
    </w:p>
    <w:p w14:paraId="3A4816F4" w14:textId="77777777" w:rsidR="004B6A49" w:rsidRPr="004B6A49" w:rsidRDefault="004B6A49" w:rsidP="004B6A49">
      <w:pPr>
        <w:pStyle w:val="ListParagraph"/>
        <w:ind w:left="0"/>
        <w:jc w:val="both"/>
        <w:rPr>
          <w:lang w:val="en-ID"/>
        </w:rPr>
      </w:pPr>
    </w:p>
    <w:p w14:paraId="2413A5D9" w14:textId="77777777" w:rsidR="004B6A49" w:rsidRDefault="004B6A49" w:rsidP="004B6A49">
      <w:pPr>
        <w:pStyle w:val="ListParagraph"/>
        <w:ind w:left="0"/>
        <w:jc w:val="both"/>
        <w:rPr>
          <w:lang w:val="en-ID"/>
        </w:rPr>
      </w:pPr>
      <w:r w:rsidRPr="004B6A49">
        <w:rPr>
          <w:lang w:val="en-ID"/>
        </w:rPr>
        <w:t>NH</w:t>
      </w:r>
      <w:r w:rsidRPr="008F69F4">
        <w:rPr>
          <w:vertAlign w:val="subscript"/>
          <w:lang w:val="en-ID"/>
        </w:rPr>
        <w:t>3</w:t>
      </w:r>
      <w:r w:rsidRPr="004B6A49">
        <w:rPr>
          <w:lang w:val="en-ID"/>
        </w:rPr>
        <w:t xml:space="preserve"> levels were determined using the Conway microdiffusion technique (General Laboratory Procedure 1966). The lip and lid of the Conway dish were smeared using Vaseline. A 1-millimeter volume of the supernatant from the fermentation process was collected and placed at one end of the Conway groove. A 1-millimeter volume of saturated NaOH solution was placed at one end of the Conway dish adjacent to the supernatant. A 1-millimeter volume of boric acid solution with methyl red and </w:t>
      </w:r>
      <w:proofErr w:type="spellStart"/>
      <w:r w:rsidRPr="004B6A49">
        <w:rPr>
          <w:lang w:val="en-ID"/>
        </w:rPr>
        <w:t>bromcressol</w:t>
      </w:r>
      <w:proofErr w:type="spellEnd"/>
      <w:r w:rsidRPr="004B6A49">
        <w:rPr>
          <w:lang w:val="en-ID"/>
        </w:rPr>
        <w:t xml:space="preserve"> green indicators was placed in a small dish located in the </w:t>
      </w:r>
      <w:proofErr w:type="spellStart"/>
      <w:r w:rsidRPr="004B6A49">
        <w:rPr>
          <w:lang w:val="en-ID"/>
        </w:rPr>
        <w:t>center</w:t>
      </w:r>
      <w:proofErr w:type="spellEnd"/>
      <w:r w:rsidRPr="004B6A49">
        <w:rPr>
          <w:lang w:val="en-ID"/>
        </w:rPr>
        <w:t xml:space="preserve"> of the Conway dish.</w:t>
      </w:r>
      <w:r>
        <w:rPr>
          <w:lang w:val="en-ID"/>
        </w:rPr>
        <w:t xml:space="preserve"> </w:t>
      </w:r>
    </w:p>
    <w:p w14:paraId="5E026823" w14:textId="77777777" w:rsidR="004B6A49" w:rsidRDefault="004B6A49" w:rsidP="004B6A49">
      <w:pPr>
        <w:pStyle w:val="ListParagraph"/>
        <w:ind w:left="0"/>
        <w:jc w:val="both"/>
        <w:rPr>
          <w:lang w:val="en-ID"/>
        </w:rPr>
      </w:pPr>
    </w:p>
    <w:p w14:paraId="751D0764" w14:textId="031D32C8" w:rsidR="004B6A49" w:rsidRPr="004B6A49" w:rsidRDefault="004B6A49" w:rsidP="004B6A49">
      <w:pPr>
        <w:pStyle w:val="ListParagraph"/>
        <w:ind w:left="0"/>
        <w:jc w:val="both"/>
        <w:rPr>
          <w:lang w:val="en-ID" w:eastAsia="id-ID"/>
        </w:rPr>
      </w:pPr>
      <w:r w:rsidRPr="004B6A49">
        <w:rPr>
          <w:lang w:val="en-ID" w:eastAsia="id-ID"/>
        </w:rPr>
        <w:t>The Conway cup, which was smeared with Vaseline, was tightly closed until it was airtight, and the NaOH solution was mixed with the supernatant until it was evenly distributed by shaking and tilting the cup. The mixture was then left for 24 h at room temperature. After 24 h at room temperature, it was opened and the boric acid indicator was titrated with 0.005 N H</w:t>
      </w:r>
      <w:r w:rsidRPr="00EB2887">
        <w:rPr>
          <w:vertAlign w:val="subscript"/>
          <w:lang w:val="en-ID" w:eastAsia="id-ID"/>
        </w:rPr>
        <w:t>2</w:t>
      </w:r>
      <w:r w:rsidRPr="004B6A49">
        <w:rPr>
          <w:lang w:val="en-ID" w:eastAsia="id-ID"/>
        </w:rPr>
        <w:t>SO</w:t>
      </w:r>
      <w:r w:rsidRPr="00EB2887">
        <w:rPr>
          <w:vertAlign w:val="subscript"/>
          <w:lang w:val="en-ID" w:eastAsia="id-ID"/>
        </w:rPr>
        <w:t>4</w:t>
      </w:r>
      <w:r w:rsidRPr="004B6A49">
        <w:rPr>
          <w:lang w:val="en-ID" w:eastAsia="id-ID"/>
        </w:rPr>
        <w:t xml:space="preserve"> until the </w:t>
      </w:r>
      <w:proofErr w:type="spellStart"/>
      <w:r w:rsidRPr="004B6A49">
        <w:rPr>
          <w:lang w:val="en-ID" w:eastAsia="id-ID"/>
        </w:rPr>
        <w:t>color</w:t>
      </w:r>
      <w:proofErr w:type="spellEnd"/>
      <w:r w:rsidRPr="004B6A49">
        <w:rPr>
          <w:lang w:val="en-ID" w:eastAsia="id-ID"/>
        </w:rPr>
        <w:t xml:space="preserve"> changed from black to pink. The level of NH</w:t>
      </w:r>
      <w:r w:rsidRPr="00EB2887">
        <w:rPr>
          <w:vertAlign w:val="subscript"/>
          <w:lang w:val="en-ID" w:eastAsia="id-ID"/>
        </w:rPr>
        <w:t>3</w:t>
      </w:r>
      <w:r w:rsidRPr="004B6A49">
        <w:rPr>
          <w:lang w:val="en-ID" w:eastAsia="id-ID"/>
        </w:rPr>
        <w:t xml:space="preserve"> production in the rumen fluid </w:t>
      </w:r>
      <w:r w:rsidR="008F69F4">
        <w:rPr>
          <w:lang w:val="en-ID" w:eastAsia="id-ID"/>
        </w:rPr>
        <w:t>was</w:t>
      </w:r>
      <w:r w:rsidRPr="004B6A49">
        <w:rPr>
          <w:lang w:val="en-ID" w:eastAsia="id-ID"/>
        </w:rPr>
        <w:t xml:space="preserve"> calculated </w:t>
      </w:r>
      <w:r w:rsidR="008F69F4">
        <w:rPr>
          <w:lang w:val="en-ID" w:eastAsia="id-ID"/>
        </w:rPr>
        <w:t xml:space="preserve">and recorded </w:t>
      </w:r>
      <w:r w:rsidRPr="004B6A49">
        <w:rPr>
          <w:lang w:val="en-ID" w:eastAsia="id-ID"/>
        </w:rPr>
        <w:t>using the following formula:</w:t>
      </w:r>
    </w:p>
    <w:p w14:paraId="7B71F08B" w14:textId="77777777" w:rsidR="00D10964" w:rsidRPr="004B6A49" w:rsidRDefault="00D10964" w:rsidP="00D10964">
      <w:pPr>
        <w:pStyle w:val="ListParagraph"/>
        <w:ind w:left="0" w:firstLine="720"/>
        <w:jc w:val="both"/>
        <w:rPr>
          <w:lang w:val="en-ID" w:eastAsia="id-ID"/>
        </w:rPr>
      </w:pPr>
    </w:p>
    <w:p w14:paraId="1EDCD7F9" w14:textId="229534DE" w:rsidR="00D10964" w:rsidRDefault="0003231A" w:rsidP="00D10964">
      <w:pPr>
        <w:pStyle w:val="ListParagraph"/>
        <w:ind w:left="0"/>
        <w:jc w:val="center"/>
        <w:rPr>
          <w:b/>
          <w:lang w:eastAsia="id-ID"/>
        </w:rPr>
      </w:pPr>
      <w:r w:rsidRPr="009F7D86">
        <w:rPr>
          <w:b/>
          <w:lang w:eastAsia="id-ID"/>
        </w:rPr>
        <w:t>NH</w:t>
      </w:r>
      <w:r w:rsidRPr="009F7D86">
        <w:rPr>
          <w:b/>
          <w:vertAlign w:val="subscript"/>
          <w:lang w:eastAsia="id-ID"/>
        </w:rPr>
        <w:t>3</w:t>
      </w:r>
      <w:r w:rsidRPr="009F7D86">
        <w:rPr>
          <w:b/>
          <w:lang w:eastAsia="id-ID"/>
        </w:rPr>
        <w:t xml:space="preserve"> (mM) = (V H</w:t>
      </w:r>
      <w:r w:rsidRPr="00EB2887">
        <w:rPr>
          <w:b/>
          <w:vertAlign w:val="subscript"/>
          <w:lang w:eastAsia="id-ID"/>
        </w:rPr>
        <w:t>2</w:t>
      </w:r>
      <w:r w:rsidRPr="009F7D86">
        <w:rPr>
          <w:b/>
          <w:lang w:eastAsia="id-ID"/>
        </w:rPr>
        <w:t>SO</w:t>
      </w:r>
      <w:r w:rsidRPr="00EB2887">
        <w:rPr>
          <w:b/>
          <w:vertAlign w:val="subscript"/>
          <w:lang w:eastAsia="id-ID"/>
        </w:rPr>
        <w:t>4</w:t>
      </w:r>
      <w:r w:rsidRPr="009F7D86">
        <w:rPr>
          <w:b/>
          <w:lang w:eastAsia="id-ID"/>
        </w:rPr>
        <w:t xml:space="preserve"> × N H</w:t>
      </w:r>
      <w:r w:rsidRPr="00EB2887">
        <w:rPr>
          <w:b/>
          <w:vertAlign w:val="subscript"/>
          <w:lang w:eastAsia="id-ID"/>
        </w:rPr>
        <w:t>2</w:t>
      </w:r>
      <w:r w:rsidRPr="009F7D86">
        <w:rPr>
          <w:b/>
          <w:lang w:eastAsia="id-ID"/>
        </w:rPr>
        <w:t>SO</w:t>
      </w:r>
      <w:r w:rsidRPr="00EB2887">
        <w:rPr>
          <w:b/>
          <w:vertAlign w:val="subscript"/>
          <w:lang w:eastAsia="id-ID"/>
        </w:rPr>
        <w:t>4</w:t>
      </w:r>
      <w:r w:rsidRPr="009F7D86">
        <w:rPr>
          <w:b/>
          <w:lang w:eastAsia="id-ID"/>
        </w:rPr>
        <w:t xml:space="preserve"> × 1000) mM</w:t>
      </w:r>
    </w:p>
    <w:p w14:paraId="47DC7C10" w14:textId="5E773944" w:rsidR="0003231A" w:rsidRPr="009F7D86" w:rsidRDefault="0003231A" w:rsidP="00D10964">
      <w:pPr>
        <w:pStyle w:val="ListParagraph"/>
        <w:ind w:left="0" w:firstLine="720"/>
        <w:jc w:val="both"/>
        <w:rPr>
          <w:b/>
          <w:lang w:eastAsia="id-ID"/>
        </w:rPr>
      </w:pPr>
      <w:r w:rsidRPr="009F7D86">
        <w:rPr>
          <w:b/>
          <w:lang w:eastAsia="id-ID"/>
        </w:rPr>
        <w:t xml:space="preserve"> </w:t>
      </w:r>
    </w:p>
    <w:p w14:paraId="4E619DDB" w14:textId="77777777" w:rsidR="00D10964" w:rsidRDefault="00D10964" w:rsidP="00D10964">
      <w:pPr>
        <w:pStyle w:val="ListParagraph"/>
        <w:ind w:left="0"/>
        <w:jc w:val="both"/>
        <w:rPr>
          <w:sz w:val="20"/>
          <w:szCs w:val="20"/>
          <w:lang w:val="en" w:eastAsia="id-ID"/>
        </w:rPr>
      </w:pPr>
      <w:r w:rsidRPr="00D10964">
        <w:rPr>
          <w:sz w:val="20"/>
          <w:szCs w:val="20"/>
          <w:lang w:val="en" w:eastAsia="id-ID"/>
        </w:rPr>
        <w:t xml:space="preserve">Description: </w:t>
      </w:r>
    </w:p>
    <w:p w14:paraId="4C95FA46" w14:textId="77777777" w:rsidR="00D10964" w:rsidRDefault="00D10964" w:rsidP="00D10964">
      <w:pPr>
        <w:pStyle w:val="ListParagraph"/>
        <w:ind w:left="0"/>
        <w:jc w:val="both"/>
        <w:rPr>
          <w:sz w:val="20"/>
          <w:szCs w:val="20"/>
          <w:lang w:val="en" w:eastAsia="id-ID"/>
        </w:rPr>
      </w:pPr>
      <w:r w:rsidRPr="00D10964">
        <w:rPr>
          <w:sz w:val="20"/>
          <w:szCs w:val="20"/>
          <w:lang w:val="en" w:eastAsia="id-ID"/>
        </w:rPr>
        <w:t>V = Volume of H</w:t>
      </w:r>
      <w:r w:rsidRPr="00EB2887">
        <w:rPr>
          <w:sz w:val="20"/>
          <w:szCs w:val="20"/>
          <w:vertAlign w:val="subscript"/>
          <w:lang w:val="en" w:eastAsia="id-ID"/>
        </w:rPr>
        <w:t>2</w:t>
      </w:r>
      <w:r w:rsidRPr="00D10964">
        <w:rPr>
          <w:sz w:val="20"/>
          <w:szCs w:val="20"/>
          <w:lang w:val="en" w:eastAsia="id-ID"/>
        </w:rPr>
        <w:t>SO</w:t>
      </w:r>
      <w:r w:rsidRPr="00EB2887">
        <w:rPr>
          <w:sz w:val="20"/>
          <w:szCs w:val="20"/>
          <w:vertAlign w:val="subscript"/>
          <w:lang w:val="en" w:eastAsia="id-ID"/>
        </w:rPr>
        <w:t>4</w:t>
      </w:r>
      <w:r w:rsidRPr="00D10964">
        <w:rPr>
          <w:sz w:val="20"/>
          <w:szCs w:val="20"/>
          <w:lang w:val="en" w:eastAsia="id-ID"/>
        </w:rPr>
        <w:t xml:space="preserve"> used for titration </w:t>
      </w:r>
    </w:p>
    <w:p w14:paraId="414AB0AA" w14:textId="6DD9837B" w:rsidR="009F7D86" w:rsidRDefault="00D10964" w:rsidP="00D10964">
      <w:pPr>
        <w:pStyle w:val="ListParagraph"/>
        <w:ind w:left="0"/>
        <w:jc w:val="both"/>
        <w:rPr>
          <w:sz w:val="20"/>
          <w:szCs w:val="20"/>
          <w:lang w:val="en" w:eastAsia="id-ID"/>
        </w:rPr>
      </w:pPr>
      <w:r w:rsidRPr="00D10964">
        <w:rPr>
          <w:sz w:val="20"/>
          <w:szCs w:val="20"/>
          <w:lang w:val="en" w:eastAsia="id-ID"/>
        </w:rPr>
        <w:t>N = Normality of H</w:t>
      </w:r>
      <w:r w:rsidRPr="00EB2887">
        <w:rPr>
          <w:sz w:val="20"/>
          <w:szCs w:val="20"/>
          <w:vertAlign w:val="subscript"/>
          <w:lang w:val="en" w:eastAsia="id-ID"/>
        </w:rPr>
        <w:t>2</w:t>
      </w:r>
      <w:r w:rsidRPr="00D10964">
        <w:rPr>
          <w:sz w:val="20"/>
          <w:szCs w:val="20"/>
          <w:lang w:val="en" w:eastAsia="id-ID"/>
        </w:rPr>
        <w:t>SO</w:t>
      </w:r>
      <w:r w:rsidRPr="00EB2887">
        <w:rPr>
          <w:sz w:val="20"/>
          <w:szCs w:val="20"/>
          <w:vertAlign w:val="subscript"/>
          <w:lang w:val="en" w:eastAsia="id-ID"/>
        </w:rPr>
        <w:t>4</w:t>
      </w:r>
    </w:p>
    <w:p w14:paraId="3AAB841B" w14:textId="77777777" w:rsidR="007E487F" w:rsidRDefault="007E487F" w:rsidP="007E487F">
      <w:pPr>
        <w:jc w:val="both"/>
        <w:rPr>
          <w:rFonts w:ascii="Times New Roman" w:hAnsi="Times New Roman"/>
          <w:sz w:val="24"/>
          <w:szCs w:val="24"/>
          <w:lang w:val="en" w:eastAsia="id-ID"/>
        </w:rPr>
      </w:pPr>
    </w:p>
    <w:p w14:paraId="521B8F88" w14:textId="5B389331" w:rsidR="004B6A49" w:rsidRDefault="004B6A49" w:rsidP="004B6A49">
      <w:pPr>
        <w:jc w:val="both"/>
        <w:rPr>
          <w:rFonts w:ascii="Times New Roman" w:hAnsi="Times New Roman"/>
          <w:sz w:val="24"/>
          <w:szCs w:val="24"/>
          <w:lang w:val="en-ID" w:eastAsia="id-ID"/>
        </w:rPr>
      </w:pPr>
      <w:r w:rsidRPr="004B6A49">
        <w:rPr>
          <w:rFonts w:ascii="Times New Roman" w:hAnsi="Times New Roman"/>
          <w:sz w:val="24"/>
          <w:szCs w:val="24"/>
          <w:lang w:val="en-ID" w:eastAsia="id-ID"/>
        </w:rPr>
        <w:t>VFA production was determined using steam distillation</w:t>
      </w:r>
      <w:r w:rsidR="00947961">
        <w:rPr>
          <w:rFonts w:ascii="Times New Roman" w:hAnsi="Times New Roman"/>
          <w:sz w:val="24"/>
          <w:szCs w:val="24"/>
          <w:lang w:val="en-ID" w:eastAsia="id-ID"/>
        </w:rPr>
        <w:t xml:space="preserve"> </w:t>
      </w:r>
      <w:r w:rsidR="00947961">
        <w:rPr>
          <w:rFonts w:ascii="Times New Roman" w:hAnsi="Times New Roman"/>
          <w:sz w:val="24"/>
          <w:szCs w:val="24"/>
          <w:lang w:val="en-ID" w:eastAsia="id-ID"/>
        </w:rPr>
        <w:fldChar w:fldCharType="begin" w:fldLock="1"/>
      </w:r>
      <w:r w:rsidR="004B0763">
        <w:rPr>
          <w:rFonts w:ascii="Times New Roman" w:hAnsi="Times New Roman"/>
          <w:sz w:val="24"/>
          <w:szCs w:val="24"/>
          <w:lang w:val="en-ID" w:eastAsia="id-ID"/>
        </w:rPr>
        <w:instrText>ADDIN CSL_CITATION {"citationItems":[{"id":"ITEM-1","itemData":{"author":[{"dropping-particle":"","family":"General Laboratory Procedures","given":"","non-dropping-particle":"","parse-names":false,"suffix":""}],"id":"ITEM-1","issued":{"date-parts":[["1966"]]},"publisher":"University of Wisconsin Madison","publisher-place":"USA","title":"Report of Dairy Science","type":"book"},"uris":["http://www.mendeley.com/documents/?uuid=1f1a16ca-cecd-4699-a35d-252acad13569"]}],"mendeley":{"formattedCitation":"(General Laboratory Procedures, 1966)","plainTextFormattedCitation":"(General Laboratory Procedures, 1966)","previouslyFormattedCitation":"(General Laboratory Procedures, 1966)"},"properties":{"noteIndex":0},"schema":"https://github.com/citation-style-language/schema/raw/master/csl-citation.json"}</w:instrText>
      </w:r>
      <w:r w:rsidR="00947961">
        <w:rPr>
          <w:rFonts w:ascii="Times New Roman" w:hAnsi="Times New Roman"/>
          <w:sz w:val="24"/>
          <w:szCs w:val="24"/>
          <w:lang w:val="en-ID" w:eastAsia="id-ID"/>
        </w:rPr>
        <w:fldChar w:fldCharType="separate"/>
      </w:r>
      <w:r w:rsidR="004B0763" w:rsidRPr="004B0763">
        <w:rPr>
          <w:rFonts w:ascii="Times New Roman" w:hAnsi="Times New Roman"/>
          <w:noProof/>
          <w:sz w:val="24"/>
          <w:szCs w:val="24"/>
          <w:lang w:val="en-ID" w:eastAsia="id-ID"/>
        </w:rPr>
        <w:t>(General Laboratory Procedures, 1966)</w:t>
      </w:r>
      <w:r w:rsidR="00947961">
        <w:rPr>
          <w:rFonts w:ascii="Times New Roman" w:hAnsi="Times New Roman"/>
          <w:sz w:val="24"/>
          <w:szCs w:val="24"/>
          <w:lang w:val="en-ID" w:eastAsia="id-ID"/>
        </w:rPr>
        <w:fldChar w:fldCharType="end"/>
      </w:r>
      <w:r w:rsidRPr="004B6A49">
        <w:rPr>
          <w:rFonts w:ascii="Times New Roman" w:hAnsi="Times New Roman"/>
          <w:sz w:val="24"/>
          <w:szCs w:val="24"/>
          <w:lang w:val="en-ID" w:eastAsia="id-ID"/>
        </w:rPr>
        <w:t xml:space="preserve">. A 5 </w:t>
      </w:r>
      <w:proofErr w:type="spellStart"/>
      <w:r w:rsidRPr="004B6A49">
        <w:rPr>
          <w:rFonts w:ascii="Times New Roman" w:hAnsi="Times New Roman"/>
          <w:sz w:val="24"/>
          <w:szCs w:val="24"/>
          <w:lang w:val="en-ID" w:eastAsia="id-ID"/>
        </w:rPr>
        <w:t>millimeter</w:t>
      </w:r>
      <w:proofErr w:type="spellEnd"/>
      <w:r w:rsidRPr="004B6A49">
        <w:rPr>
          <w:rFonts w:ascii="Times New Roman" w:hAnsi="Times New Roman"/>
          <w:sz w:val="24"/>
          <w:szCs w:val="24"/>
          <w:lang w:val="en-ID" w:eastAsia="id-ID"/>
        </w:rPr>
        <w:t xml:space="preserve"> sample of supernatant was placed in a distillation tube heated with steam. The tube was immediately sealed by adding 1 mm of 15% H</w:t>
      </w:r>
      <w:r w:rsidRPr="00EB2887">
        <w:rPr>
          <w:rFonts w:ascii="Times New Roman" w:hAnsi="Times New Roman"/>
          <w:sz w:val="24"/>
          <w:szCs w:val="24"/>
          <w:vertAlign w:val="subscript"/>
          <w:lang w:val="en-ID" w:eastAsia="id-ID"/>
        </w:rPr>
        <w:t>2</w:t>
      </w:r>
      <w:r w:rsidRPr="004B6A49">
        <w:rPr>
          <w:rFonts w:ascii="Times New Roman" w:hAnsi="Times New Roman"/>
          <w:sz w:val="24"/>
          <w:szCs w:val="24"/>
          <w:lang w:val="en-ID" w:eastAsia="id-ID"/>
        </w:rPr>
        <w:t>SO</w:t>
      </w:r>
      <w:r w:rsidRPr="00EB2887">
        <w:rPr>
          <w:rFonts w:ascii="Times New Roman" w:hAnsi="Times New Roman"/>
          <w:sz w:val="24"/>
          <w:szCs w:val="24"/>
          <w:vertAlign w:val="subscript"/>
          <w:lang w:val="en-ID" w:eastAsia="id-ID"/>
        </w:rPr>
        <w:t>4</w:t>
      </w:r>
      <w:r w:rsidRPr="004B6A49">
        <w:rPr>
          <w:rFonts w:ascii="Times New Roman" w:hAnsi="Times New Roman"/>
          <w:sz w:val="24"/>
          <w:szCs w:val="24"/>
          <w:lang w:val="en-ID" w:eastAsia="id-ID"/>
        </w:rPr>
        <w:t xml:space="preserve">. The distillation tube was connected to a flask containing boiling water and was heated continuously throughout the distillation process. </w:t>
      </w:r>
    </w:p>
    <w:p w14:paraId="065E36CA" w14:textId="77777777" w:rsidR="004B6A49" w:rsidRPr="004B6A49" w:rsidRDefault="004B6A49" w:rsidP="004B6A49">
      <w:pPr>
        <w:jc w:val="both"/>
        <w:rPr>
          <w:rFonts w:ascii="Times New Roman" w:hAnsi="Times New Roman"/>
          <w:sz w:val="24"/>
          <w:szCs w:val="24"/>
          <w:lang w:val="en-ID" w:eastAsia="id-ID"/>
        </w:rPr>
      </w:pPr>
      <w:r w:rsidRPr="004B6A49">
        <w:rPr>
          <w:rFonts w:ascii="Times New Roman" w:hAnsi="Times New Roman"/>
          <w:sz w:val="24"/>
          <w:szCs w:val="24"/>
          <w:lang w:val="en-ID" w:eastAsia="id-ID"/>
        </w:rPr>
        <w:lastRenderedPageBreak/>
        <w:t xml:space="preserve">The hot steam forced the VFA through a condenser tube and collected in an Erlenmeyer flask containing 5 </w:t>
      </w:r>
      <w:proofErr w:type="spellStart"/>
      <w:r w:rsidRPr="004B6A49">
        <w:rPr>
          <w:rFonts w:ascii="Times New Roman" w:hAnsi="Times New Roman"/>
          <w:sz w:val="24"/>
          <w:szCs w:val="24"/>
          <w:lang w:val="en-ID" w:eastAsia="id-ID"/>
        </w:rPr>
        <w:t>millimeters</w:t>
      </w:r>
      <w:proofErr w:type="spellEnd"/>
      <w:r w:rsidRPr="004B6A49">
        <w:rPr>
          <w:rFonts w:ascii="Times New Roman" w:hAnsi="Times New Roman"/>
          <w:sz w:val="24"/>
          <w:szCs w:val="24"/>
          <w:lang w:val="en-ID" w:eastAsia="id-ID"/>
        </w:rPr>
        <w:t xml:space="preserve"> of 0.5 N NaOH until a volume of approximately 300 mm was reached. 2-3 drops of phenolphthalein indicator were then added and titrated with 0.5 N HCl. Titration was stopped when the </w:t>
      </w:r>
      <w:proofErr w:type="spellStart"/>
      <w:r w:rsidRPr="004B6A49">
        <w:rPr>
          <w:rFonts w:ascii="Times New Roman" w:hAnsi="Times New Roman"/>
          <w:sz w:val="24"/>
          <w:szCs w:val="24"/>
          <w:lang w:val="en-ID" w:eastAsia="id-ID"/>
        </w:rPr>
        <w:t>color</w:t>
      </w:r>
      <w:proofErr w:type="spellEnd"/>
      <w:r w:rsidRPr="004B6A49">
        <w:rPr>
          <w:rFonts w:ascii="Times New Roman" w:hAnsi="Times New Roman"/>
          <w:sz w:val="24"/>
          <w:szCs w:val="24"/>
          <w:lang w:val="en-ID" w:eastAsia="id-ID"/>
        </w:rPr>
        <w:t xml:space="preserve"> changed from pink to clear or </w:t>
      </w:r>
      <w:proofErr w:type="spellStart"/>
      <w:r w:rsidRPr="004B6A49">
        <w:rPr>
          <w:rFonts w:ascii="Times New Roman" w:hAnsi="Times New Roman"/>
          <w:sz w:val="24"/>
          <w:szCs w:val="24"/>
          <w:lang w:val="en-ID" w:eastAsia="id-ID"/>
        </w:rPr>
        <w:t>colorless</w:t>
      </w:r>
      <w:proofErr w:type="spellEnd"/>
      <w:r w:rsidRPr="004B6A49">
        <w:rPr>
          <w:rFonts w:ascii="Times New Roman" w:hAnsi="Times New Roman"/>
          <w:sz w:val="24"/>
          <w:szCs w:val="24"/>
          <w:lang w:val="en-ID" w:eastAsia="id-ID"/>
        </w:rPr>
        <w:t>. Blank titration was performed with 5 mM H</w:t>
      </w:r>
      <w:r w:rsidRPr="00EB2887">
        <w:rPr>
          <w:rFonts w:ascii="Times New Roman" w:hAnsi="Times New Roman"/>
          <w:sz w:val="24"/>
          <w:szCs w:val="24"/>
          <w:vertAlign w:val="subscript"/>
          <w:lang w:val="en-ID" w:eastAsia="id-ID"/>
        </w:rPr>
        <w:t>2</w:t>
      </w:r>
      <w:r w:rsidRPr="004B6A49">
        <w:rPr>
          <w:rFonts w:ascii="Times New Roman" w:hAnsi="Times New Roman"/>
          <w:sz w:val="24"/>
          <w:szCs w:val="24"/>
          <w:lang w:val="en-ID" w:eastAsia="id-ID"/>
        </w:rPr>
        <w:t>SO</w:t>
      </w:r>
      <w:r w:rsidRPr="00EB2887">
        <w:rPr>
          <w:rFonts w:ascii="Times New Roman" w:hAnsi="Times New Roman"/>
          <w:sz w:val="24"/>
          <w:szCs w:val="24"/>
          <w:vertAlign w:val="subscript"/>
          <w:lang w:val="en-ID" w:eastAsia="id-ID"/>
        </w:rPr>
        <w:t>4</w:t>
      </w:r>
      <w:r w:rsidRPr="004B6A49">
        <w:rPr>
          <w:rFonts w:ascii="Times New Roman" w:hAnsi="Times New Roman"/>
          <w:sz w:val="24"/>
          <w:szCs w:val="24"/>
          <w:lang w:val="en-ID" w:eastAsia="id-ID"/>
        </w:rPr>
        <w:t>. The VFA content was calculated using the following formula:</w:t>
      </w:r>
    </w:p>
    <w:p w14:paraId="1D2866EB" w14:textId="77777777" w:rsidR="007E487F" w:rsidRPr="004B6A49" w:rsidRDefault="007E487F" w:rsidP="007E487F">
      <w:pPr>
        <w:jc w:val="both"/>
        <w:rPr>
          <w:rFonts w:ascii="Times New Roman" w:hAnsi="Times New Roman"/>
          <w:sz w:val="24"/>
          <w:szCs w:val="24"/>
          <w:lang w:val="en-ID" w:eastAsia="id-ID"/>
        </w:rPr>
      </w:pPr>
    </w:p>
    <w:p w14:paraId="0A76FB19" w14:textId="685EEFF5" w:rsidR="0003231A" w:rsidRPr="007E487F" w:rsidRDefault="0003231A" w:rsidP="007E487F">
      <w:pPr>
        <w:jc w:val="both"/>
        <w:rPr>
          <w:rFonts w:ascii="Times New Roman" w:hAnsi="Times New Roman"/>
          <w:b/>
          <w:sz w:val="24"/>
          <w:szCs w:val="24"/>
          <w:lang w:val="id-ID" w:eastAsia="id-ID"/>
        </w:rPr>
      </w:pPr>
      <m:oMathPara>
        <m:oMathParaPr>
          <m:jc m:val="center"/>
        </m:oMathParaPr>
        <m:oMath>
          <m:r>
            <m:rPr>
              <m:nor/>
            </m:rPr>
            <w:rPr>
              <w:rFonts w:ascii="Times New Roman" w:hAnsi="Times New Roman"/>
              <w:b/>
              <w:iCs/>
              <w:sz w:val="24"/>
              <w:szCs w:val="24"/>
              <w:lang w:val="id-ID" w:eastAsia="id-ID"/>
            </w:rPr>
            <m:t>V</m:t>
          </m:r>
          <m:r>
            <m:rPr>
              <m:nor/>
            </m:rPr>
            <w:rPr>
              <w:rFonts w:ascii="Times New Roman" w:hAnsi="Times New Roman"/>
              <w:b/>
              <w:sz w:val="24"/>
              <w:szCs w:val="24"/>
              <w:lang w:val="id-ID" w:eastAsia="id-ID"/>
            </w:rPr>
            <m:t xml:space="preserve">FA total </m:t>
          </m:r>
          <m:d>
            <m:dPr>
              <m:ctrlPr>
                <w:rPr>
                  <w:rFonts w:ascii="Cambria Math" w:hAnsi="Cambria Math"/>
                  <w:b/>
                  <w:i/>
                  <w:sz w:val="24"/>
                  <w:szCs w:val="24"/>
                  <w:lang w:eastAsia="id-ID"/>
                </w:rPr>
              </m:ctrlPr>
            </m:dPr>
            <m:e>
              <m:r>
                <m:rPr>
                  <m:nor/>
                </m:rPr>
                <w:rPr>
                  <w:rFonts w:ascii="Times New Roman" w:hAnsi="Times New Roman"/>
                  <w:b/>
                  <w:sz w:val="24"/>
                  <w:szCs w:val="24"/>
                  <w:lang w:val="id-ID" w:eastAsia="id-ID"/>
                </w:rPr>
                <m:t>mM</m:t>
              </m:r>
            </m:e>
          </m:d>
          <m:r>
            <m:rPr>
              <m:nor/>
            </m:rPr>
            <w:rPr>
              <w:rFonts w:ascii="Times New Roman" w:hAnsi="Times New Roman"/>
              <w:b/>
              <w:sz w:val="24"/>
              <w:szCs w:val="24"/>
              <w:lang w:val="id-ID" w:eastAsia="id-ID"/>
            </w:rPr>
            <m:t xml:space="preserve"> = </m:t>
          </m:r>
          <m:f>
            <m:fPr>
              <m:ctrlPr>
                <w:rPr>
                  <w:rFonts w:ascii="Cambria Math" w:hAnsi="Cambria Math"/>
                  <w:b/>
                  <w:i/>
                  <w:sz w:val="24"/>
                  <w:szCs w:val="24"/>
                  <w:lang w:eastAsia="id-ID"/>
                </w:rPr>
              </m:ctrlPr>
            </m:fPr>
            <m:num>
              <m:d>
                <m:dPr>
                  <m:ctrlPr>
                    <w:rPr>
                      <w:rFonts w:ascii="Cambria Math" w:hAnsi="Cambria Math"/>
                      <w:b/>
                      <w:i/>
                      <w:sz w:val="24"/>
                      <w:szCs w:val="24"/>
                      <w:lang w:eastAsia="id-ID"/>
                    </w:rPr>
                  </m:ctrlPr>
                </m:dPr>
                <m:e>
                  <m:r>
                    <m:rPr>
                      <m:nor/>
                    </m:rPr>
                    <w:rPr>
                      <w:rFonts w:ascii="Times New Roman" w:hAnsi="Times New Roman"/>
                      <w:b/>
                      <w:sz w:val="24"/>
                      <w:szCs w:val="24"/>
                      <w:lang w:val="id-ID" w:eastAsia="id-ID"/>
                    </w:rPr>
                    <m:t>b-s</m:t>
                  </m:r>
                </m:e>
              </m:d>
              <m:r>
                <m:rPr>
                  <m:nor/>
                </m:rPr>
                <w:rPr>
                  <w:rFonts w:ascii="Times New Roman" w:hAnsi="Times New Roman"/>
                  <w:b/>
                  <w:sz w:val="24"/>
                  <w:szCs w:val="24"/>
                  <w:lang w:val="id-ID" w:eastAsia="id-ID"/>
                </w:rPr>
                <m:t xml:space="preserve"> × N HCl × 1000</m:t>
              </m:r>
            </m:num>
            <m:den>
              <m:r>
                <m:rPr>
                  <m:nor/>
                </m:rPr>
                <w:rPr>
                  <w:rFonts w:ascii="Times New Roman" w:hAnsi="Times New Roman"/>
                  <w:b/>
                  <w:sz w:val="24"/>
                  <w:szCs w:val="24"/>
                  <w:lang w:val="id-ID" w:eastAsia="id-ID"/>
                </w:rPr>
                <m:t>5</m:t>
              </m:r>
            </m:den>
          </m:f>
        </m:oMath>
      </m:oMathPara>
    </w:p>
    <w:p w14:paraId="047EE62F" w14:textId="77777777" w:rsidR="007E487F" w:rsidRDefault="007E487F" w:rsidP="007E487F">
      <w:pPr>
        <w:pStyle w:val="ListParagraph"/>
        <w:ind w:left="0"/>
        <w:jc w:val="both"/>
        <w:rPr>
          <w:sz w:val="20"/>
          <w:szCs w:val="20"/>
          <w:lang w:val="en" w:eastAsia="id-ID"/>
        </w:rPr>
      </w:pPr>
      <w:r w:rsidRPr="00D10964">
        <w:rPr>
          <w:sz w:val="20"/>
          <w:szCs w:val="20"/>
          <w:lang w:val="en" w:eastAsia="id-ID"/>
        </w:rPr>
        <w:t xml:space="preserve">Description: </w:t>
      </w:r>
    </w:p>
    <w:p w14:paraId="37204CD6" w14:textId="3DB1D6D1" w:rsidR="0003231A" w:rsidRPr="009F7D86" w:rsidRDefault="0003231A" w:rsidP="007E487F">
      <w:pPr>
        <w:pStyle w:val="ListParagraph"/>
        <w:tabs>
          <w:tab w:val="left" w:pos="426"/>
        </w:tabs>
        <w:ind w:left="0"/>
        <w:jc w:val="both"/>
        <w:rPr>
          <w:sz w:val="20"/>
          <w:szCs w:val="20"/>
          <w:lang w:eastAsia="id-ID"/>
        </w:rPr>
      </w:pPr>
      <w:r w:rsidRPr="009F7D86">
        <w:rPr>
          <w:sz w:val="20"/>
          <w:szCs w:val="20"/>
          <w:lang w:eastAsia="id-ID"/>
        </w:rPr>
        <w:t xml:space="preserve">b </w:t>
      </w:r>
      <w:r w:rsidRPr="009F7D86">
        <w:rPr>
          <w:sz w:val="20"/>
          <w:szCs w:val="20"/>
          <w:lang w:eastAsia="id-ID"/>
        </w:rPr>
        <w:tab/>
        <w:t xml:space="preserve">= </w:t>
      </w:r>
      <w:r w:rsidR="007E487F" w:rsidRPr="007E487F">
        <w:rPr>
          <w:sz w:val="20"/>
          <w:szCs w:val="20"/>
          <w:lang w:val="en" w:eastAsia="id-ID"/>
        </w:rPr>
        <w:t>Blank titration volume</w:t>
      </w:r>
    </w:p>
    <w:p w14:paraId="6D307C3A" w14:textId="7ABA6CFB" w:rsidR="0003231A" w:rsidRPr="009F7D86" w:rsidRDefault="0003231A" w:rsidP="007E487F">
      <w:pPr>
        <w:pStyle w:val="ListParagraph"/>
        <w:tabs>
          <w:tab w:val="left" w:pos="426"/>
        </w:tabs>
        <w:ind w:left="0"/>
        <w:jc w:val="both"/>
        <w:rPr>
          <w:sz w:val="20"/>
          <w:szCs w:val="20"/>
          <w:lang w:eastAsia="id-ID"/>
        </w:rPr>
      </w:pPr>
      <w:r w:rsidRPr="009F7D86">
        <w:rPr>
          <w:sz w:val="20"/>
          <w:szCs w:val="20"/>
          <w:lang w:eastAsia="id-ID"/>
        </w:rPr>
        <w:t xml:space="preserve">s </w:t>
      </w:r>
      <w:r w:rsidRPr="009F7D86">
        <w:rPr>
          <w:sz w:val="20"/>
          <w:szCs w:val="20"/>
          <w:lang w:eastAsia="id-ID"/>
        </w:rPr>
        <w:tab/>
        <w:t xml:space="preserve">= </w:t>
      </w:r>
      <w:r w:rsidR="007E487F" w:rsidRPr="007E487F">
        <w:rPr>
          <w:sz w:val="20"/>
          <w:szCs w:val="20"/>
          <w:lang w:val="en" w:eastAsia="id-ID"/>
        </w:rPr>
        <w:t>Sample titration volume</w:t>
      </w:r>
    </w:p>
    <w:p w14:paraId="0EF80230" w14:textId="73FF26AB" w:rsidR="0003231A" w:rsidRPr="007E487F" w:rsidRDefault="0003231A" w:rsidP="007E487F">
      <w:pPr>
        <w:pStyle w:val="Default"/>
        <w:snapToGrid w:val="0"/>
        <w:jc w:val="both"/>
        <w:rPr>
          <w:rFonts w:ascii="Times New Roman" w:hAnsi="Times New Roman"/>
          <w:b/>
          <w:bCs/>
          <w:color w:val="auto"/>
          <w:sz w:val="20"/>
          <w:szCs w:val="20"/>
          <w:lang w:val="en-ID"/>
        </w:rPr>
      </w:pPr>
      <w:r w:rsidRPr="007E487F">
        <w:rPr>
          <w:rFonts w:ascii="Times New Roman" w:hAnsi="Times New Roman"/>
          <w:sz w:val="20"/>
          <w:szCs w:val="20"/>
          <w:lang w:val="en-ID" w:eastAsia="id-ID"/>
        </w:rPr>
        <w:t xml:space="preserve">N </w:t>
      </w:r>
      <w:r w:rsidR="007E487F" w:rsidRPr="007E487F">
        <w:rPr>
          <w:rFonts w:ascii="Times New Roman" w:hAnsi="Times New Roman"/>
          <w:sz w:val="20"/>
          <w:szCs w:val="20"/>
          <w:lang w:val="en-ID" w:eastAsia="id-ID"/>
        </w:rPr>
        <w:t xml:space="preserve">     </w:t>
      </w:r>
      <w:r w:rsidRPr="007E487F">
        <w:rPr>
          <w:rFonts w:ascii="Times New Roman" w:hAnsi="Times New Roman"/>
          <w:sz w:val="20"/>
          <w:szCs w:val="20"/>
          <w:lang w:val="en-ID" w:eastAsia="id-ID"/>
        </w:rPr>
        <w:t xml:space="preserve">= </w:t>
      </w:r>
      <w:r w:rsidR="007E487F" w:rsidRPr="007E487F">
        <w:rPr>
          <w:rFonts w:ascii="Times New Roman" w:hAnsi="Times New Roman"/>
          <w:sz w:val="20"/>
          <w:szCs w:val="20"/>
          <w:lang w:val="en-ID" w:eastAsia="id-ID"/>
        </w:rPr>
        <w:t>Normality of HCl solution</w:t>
      </w:r>
    </w:p>
    <w:p w14:paraId="5634628B" w14:textId="77777777" w:rsidR="00501330" w:rsidRPr="007E487F" w:rsidRDefault="00501330" w:rsidP="009F7D86">
      <w:pPr>
        <w:pStyle w:val="Default"/>
        <w:snapToGrid w:val="0"/>
        <w:ind w:left="120" w:hangingChars="50" w:hanging="120"/>
        <w:jc w:val="both"/>
        <w:rPr>
          <w:rFonts w:ascii="Times New Roman" w:hAnsi="Times New Roman"/>
          <w:b/>
          <w:bCs/>
          <w:color w:val="auto"/>
          <w:lang w:val="en-ID"/>
        </w:rPr>
      </w:pPr>
    </w:p>
    <w:p w14:paraId="414FC382" w14:textId="69C066DE" w:rsidR="00B31C12" w:rsidRPr="007E487F" w:rsidRDefault="00B31C12" w:rsidP="00B31C12">
      <w:pPr>
        <w:pStyle w:val="Default"/>
        <w:snapToGrid w:val="0"/>
        <w:rPr>
          <w:rFonts w:ascii="Times New Roman" w:hAnsi="Times New Roman"/>
          <w:bCs/>
          <w:i/>
          <w:color w:val="auto"/>
          <w:lang w:val="en-ID"/>
        </w:rPr>
      </w:pPr>
      <w:r w:rsidRPr="004B0763">
        <w:rPr>
          <w:rFonts w:ascii="Times New Roman" w:hAnsi="Times New Roman"/>
          <w:bCs/>
          <w:i/>
          <w:color w:val="auto"/>
          <w:lang w:val="en-ID"/>
        </w:rPr>
        <w:t xml:space="preserve">2.2.3. </w:t>
      </w:r>
      <w:r w:rsidR="007E487F" w:rsidRPr="007E487F">
        <w:rPr>
          <w:rFonts w:ascii="Times New Roman" w:hAnsi="Times New Roman"/>
          <w:bCs/>
          <w:i/>
          <w:color w:val="auto"/>
          <w:lang w:val="en-ID"/>
        </w:rPr>
        <w:t>Feed Efficiency and Conversion</w:t>
      </w:r>
    </w:p>
    <w:p w14:paraId="2C0C2B05" w14:textId="77777777" w:rsidR="00B31C12" w:rsidRPr="007E487F" w:rsidRDefault="00B31C12" w:rsidP="00B31C12">
      <w:pPr>
        <w:pStyle w:val="Default"/>
        <w:snapToGrid w:val="0"/>
        <w:ind w:firstLine="720"/>
        <w:rPr>
          <w:rFonts w:ascii="Times New Roman" w:hAnsi="Times New Roman"/>
          <w:b/>
          <w:bCs/>
          <w:color w:val="auto"/>
          <w:lang w:val="en-ID"/>
        </w:rPr>
      </w:pPr>
    </w:p>
    <w:p w14:paraId="15C0E8C1" w14:textId="74373AD2" w:rsidR="00B31C12" w:rsidRDefault="007E487F" w:rsidP="007E487F">
      <w:pPr>
        <w:pStyle w:val="Default"/>
        <w:snapToGrid w:val="0"/>
        <w:rPr>
          <w:rFonts w:ascii="Times New Roman" w:hAnsi="Times New Roman"/>
          <w:bCs/>
          <w:color w:val="auto"/>
          <w:lang w:val="en"/>
        </w:rPr>
      </w:pPr>
      <w:r w:rsidRPr="007E487F">
        <w:rPr>
          <w:rFonts w:ascii="Times New Roman" w:hAnsi="Times New Roman"/>
          <w:bCs/>
          <w:color w:val="auto"/>
          <w:lang w:val="en"/>
        </w:rPr>
        <w:t>Feed efficiency and conversion are measured using the following formula:</w:t>
      </w:r>
    </w:p>
    <w:p w14:paraId="6C9A76B7" w14:textId="77777777" w:rsidR="007E487F" w:rsidRPr="007E487F" w:rsidRDefault="007E487F" w:rsidP="007E487F">
      <w:pPr>
        <w:pStyle w:val="Default"/>
        <w:snapToGrid w:val="0"/>
        <w:rPr>
          <w:rFonts w:ascii="Times New Roman" w:hAnsi="Times New Roman"/>
          <w:color w:val="auto"/>
          <w:lang w:val="en-ID"/>
        </w:rPr>
      </w:pPr>
    </w:p>
    <w:p w14:paraId="24ADFD18" w14:textId="41EB1485" w:rsidR="00B31C12" w:rsidRPr="00B03354" w:rsidRDefault="00B03354" w:rsidP="00B31C12">
      <w:pPr>
        <w:pStyle w:val="Default"/>
        <w:snapToGrid w:val="0"/>
        <w:rPr>
          <w:rFonts w:ascii="Times New Roman" w:hAnsi="Times New Roman"/>
          <w:b/>
          <w:bCs/>
          <w:color w:val="auto"/>
          <w:lang w:val="en-ID"/>
        </w:rPr>
      </w:pPr>
      <w:r w:rsidRPr="00B03354">
        <w:rPr>
          <w:rFonts w:ascii="Times New Roman" w:hAnsi="Times New Roman"/>
          <w:color w:val="auto"/>
          <w:lang w:val="en-ID"/>
        </w:rPr>
        <w:t>Feed</w:t>
      </w:r>
      <w:r>
        <w:rPr>
          <w:rFonts w:ascii="Times New Roman" w:hAnsi="Times New Roman"/>
          <w:color w:val="auto"/>
          <w:lang w:val="en-ID"/>
        </w:rPr>
        <w:t xml:space="preserve"> efficiency</w:t>
      </w:r>
      <w:r w:rsidR="008F69F4">
        <w:rPr>
          <w:rFonts w:ascii="Times New Roman" w:hAnsi="Times New Roman"/>
          <w:color w:val="auto"/>
          <w:lang w:val="en-ID"/>
        </w:rPr>
        <w:t xml:space="preserve"> ratio</w:t>
      </w:r>
      <w:r w:rsidR="00B31C12" w:rsidRPr="00B03354">
        <w:rPr>
          <w:rFonts w:ascii="Times New Roman" w:hAnsi="Times New Roman"/>
          <w:b/>
          <w:bCs/>
          <w:color w:val="auto"/>
          <w:lang w:val="en-ID"/>
        </w:rPr>
        <w:t xml:space="preserve">: </w:t>
      </w:r>
      <m:oMath>
        <m:f>
          <m:fPr>
            <m:ctrlPr>
              <w:rPr>
                <w:rFonts w:ascii="Cambria Math" w:hAnsi="Cambria Math"/>
                <w:i/>
                <w:color w:val="auto"/>
                <w:sz w:val="28"/>
                <w:szCs w:val="28"/>
              </w:rPr>
            </m:ctrlPr>
          </m:fPr>
          <m:num>
            <m:r>
              <m:rPr>
                <m:nor/>
              </m:rPr>
              <w:rPr>
                <w:rFonts w:ascii="Cambria Math" w:hAnsi="Times New Roman"/>
                <w:color w:val="auto"/>
                <w:sz w:val="28"/>
                <w:szCs w:val="28"/>
              </w:rPr>
              <m:t xml:space="preserve">dialy weight gain </m:t>
            </m:r>
            <m:r>
              <m:rPr>
                <m:nor/>
              </m:rPr>
              <w:rPr>
                <w:rFonts w:ascii="Times New Roman" w:hAnsi="Times New Roman"/>
                <w:color w:val="auto"/>
                <w:sz w:val="28"/>
                <w:szCs w:val="28"/>
                <w:lang w:val="en-ID"/>
              </w:rPr>
              <m:t>(g)</m:t>
            </m:r>
          </m:num>
          <m:den>
            <m:r>
              <m:rPr>
                <m:nor/>
              </m:rPr>
              <w:rPr>
                <w:rFonts w:ascii="Times New Roman" w:hAnsi="Times New Roman"/>
                <w:color w:val="auto"/>
                <w:sz w:val="28"/>
                <w:szCs w:val="28"/>
                <w:lang w:val="en-ID"/>
              </w:rPr>
              <m:t>dry matter consumption (g)</m:t>
            </m:r>
          </m:den>
        </m:f>
        <m:r>
          <m:rPr>
            <m:nor/>
          </m:rPr>
          <w:rPr>
            <w:rFonts w:ascii="Times New Roman" w:hAnsi="Times New Roman"/>
            <w:color w:val="auto"/>
            <w:sz w:val="28"/>
            <w:szCs w:val="28"/>
            <w:lang w:val="en-ID"/>
          </w:rPr>
          <m:t>× 100</m:t>
        </m:r>
      </m:oMath>
    </w:p>
    <w:p w14:paraId="41D35869" w14:textId="77777777" w:rsidR="00B31C12" w:rsidRPr="00B03354" w:rsidRDefault="00B31C12" w:rsidP="00B31C12">
      <w:pPr>
        <w:pStyle w:val="Default"/>
        <w:snapToGrid w:val="0"/>
        <w:rPr>
          <w:rFonts w:ascii="Times New Roman" w:hAnsi="Times New Roman"/>
          <w:color w:val="auto"/>
          <w:lang w:val="en-ID"/>
        </w:rPr>
      </w:pPr>
    </w:p>
    <w:p w14:paraId="63F3940D" w14:textId="2D6ABC86" w:rsidR="00B31C12" w:rsidRPr="00EB2887" w:rsidRDefault="00145AA3" w:rsidP="00B31C12">
      <w:pPr>
        <w:pStyle w:val="Default"/>
        <w:snapToGrid w:val="0"/>
        <w:rPr>
          <w:rFonts w:ascii="Times New Roman" w:hAnsi="Times New Roman"/>
          <w:b/>
          <w:bCs/>
          <w:color w:val="auto"/>
          <w:sz w:val="28"/>
          <w:szCs w:val="28"/>
          <w:lang w:val="en-ID"/>
        </w:rPr>
      </w:pPr>
      <w:r w:rsidRPr="00145AA3">
        <w:rPr>
          <w:rFonts w:ascii="Times New Roman" w:hAnsi="Times New Roman"/>
          <w:color w:val="auto"/>
          <w:lang w:val="en-ID"/>
        </w:rPr>
        <w:t>Feed</w:t>
      </w:r>
      <w:r>
        <w:rPr>
          <w:rFonts w:ascii="Times New Roman" w:hAnsi="Times New Roman"/>
          <w:color w:val="auto"/>
          <w:lang w:val="en-ID"/>
        </w:rPr>
        <w:t xml:space="preserve"> conversion</w:t>
      </w:r>
      <w:r w:rsidR="008F69F4">
        <w:rPr>
          <w:rFonts w:ascii="Times New Roman" w:hAnsi="Times New Roman"/>
          <w:color w:val="auto"/>
          <w:lang w:val="en-ID"/>
        </w:rPr>
        <w:t xml:space="preserve"> ratio</w:t>
      </w:r>
      <w:r w:rsidR="00B31C12" w:rsidRPr="00145AA3">
        <w:rPr>
          <w:rFonts w:ascii="Times New Roman" w:hAnsi="Times New Roman"/>
          <w:b/>
          <w:bCs/>
          <w:color w:val="auto"/>
          <w:lang w:val="en-ID"/>
        </w:rPr>
        <w:t xml:space="preserve">: </w:t>
      </w:r>
      <m:oMath>
        <m:f>
          <m:fPr>
            <m:ctrlPr>
              <w:rPr>
                <w:rFonts w:ascii="Cambria Math" w:hAnsi="Cambria Math"/>
                <w:iCs/>
                <w:color w:val="auto"/>
                <w:sz w:val="28"/>
                <w:szCs w:val="28"/>
              </w:rPr>
            </m:ctrlPr>
          </m:fPr>
          <m:num>
            <m:r>
              <m:rPr>
                <m:nor/>
              </m:rPr>
              <w:rPr>
                <w:rFonts w:ascii="Cambria Math" w:hAnsi="Times New Roman"/>
                <w:iCs/>
                <w:color w:val="auto"/>
                <w:sz w:val="28"/>
                <w:szCs w:val="28"/>
                <w:lang w:val="en-ID"/>
              </w:rPr>
              <m:t>dialy dry matter intake (g)</m:t>
            </m:r>
          </m:num>
          <m:den>
            <m:r>
              <m:rPr>
                <m:nor/>
              </m:rPr>
              <w:rPr>
                <w:rFonts w:ascii="Cambria Math" w:hAnsi="Times New Roman"/>
                <w:iCs/>
                <w:color w:val="auto"/>
                <w:sz w:val="28"/>
                <w:szCs w:val="28"/>
                <w:lang w:val="en-ID"/>
              </w:rPr>
              <m:t>dialy weight gain</m:t>
            </m:r>
            <m:r>
              <m:rPr>
                <m:nor/>
              </m:rPr>
              <w:rPr>
                <w:rFonts w:ascii="Times New Roman" w:hAnsi="Times New Roman"/>
                <w:iCs/>
                <w:color w:val="auto"/>
                <w:sz w:val="28"/>
                <w:szCs w:val="28"/>
                <w:lang w:val="en-ID"/>
              </w:rPr>
              <m:t xml:space="preserve"> (g)</m:t>
            </m:r>
          </m:den>
        </m:f>
      </m:oMath>
    </w:p>
    <w:p w14:paraId="4759F05A" w14:textId="77777777" w:rsidR="00501330" w:rsidRPr="00EB2887" w:rsidRDefault="00501330" w:rsidP="009F7D86">
      <w:pPr>
        <w:jc w:val="both"/>
        <w:rPr>
          <w:rFonts w:ascii="Times New Roman" w:hAnsi="Times New Roman"/>
          <w:sz w:val="28"/>
          <w:szCs w:val="28"/>
          <w:lang w:val="en-ID" w:eastAsia="id-ID"/>
        </w:rPr>
      </w:pPr>
    </w:p>
    <w:p w14:paraId="5D673F7F" w14:textId="17262A88" w:rsidR="004B2454" w:rsidRPr="00FE66D8" w:rsidRDefault="005F055B" w:rsidP="005F055B">
      <w:pPr>
        <w:pStyle w:val="Default"/>
        <w:snapToGrid w:val="0"/>
        <w:rPr>
          <w:rFonts w:ascii="Times New Roman" w:hAnsi="Times New Roman"/>
          <w:b/>
          <w:bCs/>
          <w:color w:val="auto"/>
        </w:rPr>
      </w:pPr>
      <w:r w:rsidRPr="00FE66D8">
        <w:rPr>
          <w:rFonts w:ascii="Times New Roman" w:hAnsi="Times New Roman"/>
          <w:b/>
          <w:bCs/>
          <w:color w:val="auto"/>
        </w:rPr>
        <w:t>2.</w:t>
      </w:r>
      <w:r w:rsidR="00B31C12">
        <w:rPr>
          <w:rFonts w:ascii="Times New Roman" w:hAnsi="Times New Roman"/>
          <w:b/>
          <w:bCs/>
          <w:color w:val="auto"/>
        </w:rPr>
        <w:t>3</w:t>
      </w:r>
      <w:r w:rsidRPr="00FE66D8">
        <w:rPr>
          <w:rFonts w:ascii="Times New Roman" w:hAnsi="Times New Roman"/>
          <w:b/>
          <w:bCs/>
          <w:color w:val="auto"/>
        </w:rPr>
        <w:t xml:space="preserve"> </w:t>
      </w:r>
      <w:r w:rsidR="00145AA3" w:rsidRPr="00145AA3">
        <w:rPr>
          <w:rFonts w:ascii="Times New Roman" w:hAnsi="Times New Roman"/>
          <w:b/>
          <w:bCs/>
          <w:color w:val="auto"/>
        </w:rPr>
        <w:t>Data analysis</w:t>
      </w:r>
    </w:p>
    <w:p w14:paraId="002A936F" w14:textId="77777777" w:rsidR="005F055B" w:rsidRPr="00FE66D8" w:rsidRDefault="005F055B" w:rsidP="004B2454">
      <w:pPr>
        <w:pStyle w:val="Default"/>
        <w:snapToGrid w:val="0"/>
        <w:ind w:firstLine="288"/>
        <w:jc w:val="both"/>
        <w:rPr>
          <w:rFonts w:ascii="Times New Roman" w:hAnsi="Times New Roman"/>
        </w:rPr>
      </w:pPr>
    </w:p>
    <w:p w14:paraId="441E1688" w14:textId="162CE0BF" w:rsidR="004B6A49" w:rsidRPr="004B6A49" w:rsidRDefault="004B6A49" w:rsidP="004B6A49">
      <w:pPr>
        <w:pStyle w:val="Default"/>
        <w:snapToGrid w:val="0"/>
        <w:ind w:firstLine="288"/>
        <w:jc w:val="both"/>
        <w:rPr>
          <w:rFonts w:ascii="Times New Roman" w:hAnsi="Times New Roman"/>
          <w:lang w:val="en-ID"/>
        </w:rPr>
      </w:pPr>
      <w:r w:rsidRPr="004B6A49">
        <w:rPr>
          <w:rFonts w:ascii="Times New Roman" w:hAnsi="Times New Roman"/>
          <w:lang w:val="en-ID"/>
        </w:rPr>
        <w:t>The independent sample t-test (T test) to test for significant differences between two independent data groups with a small sample size (n &lt; 30).</w:t>
      </w:r>
      <w:r w:rsidR="001A7D5B">
        <w:rPr>
          <w:rFonts w:ascii="Times New Roman" w:hAnsi="Times New Roman"/>
          <w:lang w:val="en-ID"/>
        </w:rPr>
        <w:t xml:space="preserve"> </w:t>
      </w:r>
      <w:r w:rsidR="001A7D5B" w:rsidRPr="001A7D5B">
        <w:rPr>
          <w:rFonts w:ascii="Times New Roman" w:hAnsi="Times New Roman"/>
          <w:lang w:val="en-ID"/>
        </w:rPr>
        <w:t xml:space="preserve">A </w:t>
      </w:r>
      <w:r w:rsidR="001A7D5B" w:rsidRPr="001A7D5B">
        <w:rPr>
          <w:rFonts w:ascii="Times New Roman" w:hAnsi="Times New Roman"/>
          <w:i/>
          <w:iCs/>
          <w:lang w:val="en-ID"/>
        </w:rPr>
        <w:t>p</w:t>
      </w:r>
      <w:r w:rsidR="001A7D5B" w:rsidRPr="001A7D5B">
        <w:rPr>
          <w:rFonts w:ascii="Times New Roman" w:hAnsi="Times New Roman"/>
          <w:lang w:val="en-ID"/>
        </w:rPr>
        <w:t>-value&lt;0.05 was considered significant.</w:t>
      </w:r>
    </w:p>
    <w:p w14:paraId="10830529" w14:textId="77777777" w:rsidR="00145AA3" w:rsidRPr="00FE66D8" w:rsidRDefault="00145AA3" w:rsidP="00441B6F">
      <w:pPr>
        <w:pStyle w:val="Body"/>
        <w:spacing w:after="0"/>
        <w:rPr>
          <w:rFonts w:ascii="Times New Roman" w:hAnsi="Times New Roman"/>
          <w:sz w:val="24"/>
          <w:szCs w:val="24"/>
        </w:rPr>
      </w:pPr>
    </w:p>
    <w:p w14:paraId="24D17B80" w14:textId="77777777" w:rsidR="00902823" w:rsidRPr="00FE66D8" w:rsidRDefault="00000F8F" w:rsidP="00441B6F">
      <w:pPr>
        <w:pStyle w:val="Head1"/>
        <w:spacing w:after="0"/>
        <w:jc w:val="both"/>
        <w:rPr>
          <w:rFonts w:ascii="Times New Roman" w:hAnsi="Times New Roman"/>
          <w:sz w:val="24"/>
          <w:szCs w:val="24"/>
        </w:rPr>
      </w:pPr>
      <w:r w:rsidRPr="00FE66D8">
        <w:rPr>
          <w:rFonts w:ascii="Times New Roman" w:hAnsi="Times New Roman"/>
          <w:sz w:val="24"/>
          <w:szCs w:val="24"/>
        </w:rPr>
        <w:t>3</w:t>
      </w:r>
      <w:r w:rsidR="00902823" w:rsidRPr="00FE66D8">
        <w:rPr>
          <w:rFonts w:ascii="Times New Roman" w:hAnsi="Times New Roman"/>
          <w:sz w:val="24"/>
          <w:szCs w:val="24"/>
        </w:rPr>
        <w:t xml:space="preserve">. </w:t>
      </w:r>
      <w:r w:rsidRPr="00FE66D8">
        <w:rPr>
          <w:rFonts w:ascii="Times New Roman" w:hAnsi="Times New Roman"/>
          <w:sz w:val="24"/>
          <w:szCs w:val="24"/>
        </w:rPr>
        <w:t>results and discussion</w:t>
      </w:r>
    </w:p>
    <w:p w14:paraId="69D74C28" w14:textId="77777777" w:rsidR="005F055B" w:rsidRDefault="005F055B" w:rsidP="00441B6F">
      <w:pPr>
        <w:pStyle w:val="Head1"/>
        <w:spacing w:after="0"/>
        <w:jc w:val="both"/>
        <w:rPr>
          <w:rFonts w:ascii="Times New Roman" w:hAnsi="Times New Roman"/>
          <w:sz w:val="24"/>
          <w:szCs w:val="24"/>
        </w:rPr>
      </w:pPr>
    </w:p>
    <w:p w14:paraId="2D4BD42E" w14:textId="1B51E985" w:rsidR="00E02791" w:rsidRPr="00B31C12" w:rsidRDefault="00B31C12" w:rsidP="009F19A2">
      <w:pPr>
        <w:pStyle w:val="Head1"/>
        <w:spacing w:after="0"/>
        <w:jc w:val="both"/>
        <w:rPr>
          <w:rFonts w:ascii="Times New Roman" w:hAnsi="Times New Roman"/>
          <w:bCs/>
          <w:sz w:val="24"/>
          <w:szCs w:val="24"/>
        </w:rPr>
      </w:pPr>
      <w:r w:rsidRPr="00B31C12">
        <w:rPr>
          <w:rFonts w:ascii="Times New Roman" w:hAnsi="Times New Roman"/>
          <w:bCs/>
          <w:caps w:val="0"/>
          <w:sz w:val="24"/>
          <w:szCs w:val="24"/>
        </w:rPr>
        <w:t xml:space="preserve">3.1. </w:t>
      </w:r>
      <w:r w:rsidR="00E647FB" w:rsidRPr="00E647FB">
        <w:rPr>
          <w:rFonts w:ascii="Times New Roman" w:hAnsi="Times New Roman"/>
          <w:bCs/>
          <w:caps w:val="0"/>
          <w:sz w:val="24"/>
          <w:szCs w:val="24"/>
        </w:rPr>
        <w:t>Dry Matter Consumption</w:t>
      </w:r>
      <w:r w:rsidR="001A7D5B">
        <w:rPr>
          <w:rFonts w:ascii="Times New Roman" w:hAnsi="Times New Roman"/>
          <w:bCs/>
          <w:caps w:val="0"/>
          <w:sz w:val="24"/>
          <w:szCs w:val="24"/>
        </w:rPr>
        <w:t>, VFA Production and Ammonia (NH</w:t>
      </w:r>
      <w:r w:rsidR="001A7D5B" w:rsidRPr="001A7D5B">
        <w:rPr>
          <w:rFonts w:ascii="Times New Roman" w:hAnsi="Times New Roman"/>
          <w:bCs/>
          <w:caps w:val="0"/>
          <w:sz w:val="24"/>
          <w:szCs w:val="24"/>
          <w:vertAlign w:val="subscript"/>
        </w:rPr>
        <w:t>3</w:t>
      </w:r>
      <w:r w:rsidR="001A7D5B">
        <w:rPr>
          <w:rFonts w:ascii="Times New Roman" w:hAnsi="Times New Roman"/>
          <w:bCs/>
          <w:caps w:val="0"/>
          <w:sz w:val="24"/>
          <w:szCs w:val="24"/>
        </w:rPr>
        <w:t>) Production</w:t>
      </w:r>
    </w:p>
    <w:p w14:paraId="2626D498" w14:textId="381B4A54" w:rsidR="007602F4" w:rsidRDefault="007602F4" w:rsidP="005F055B">
      <w:pPr>
        <w:rPr>
          <w:rFonts w:ascii="Times New Roman" w:hAnsi="Times New Roman"/>
          <w:b/>
          <w:bCs/>
          <w:sz w:val="24"/>
          <w:szCs w:val="24"/>
        </w:rPr>
      </w:pPr>
      <w:r>
        <w:rPr>
          <w:rFonts w:ascii="Times New Roman" w:hAnsi="Times New Roman"/>
          <w:b/>
          <w:bCs/>
          <w:sz w:val="24"/>
          <w:szCs w:val="24"/>
        </w:rPr>
        <w:tab/>
      </w:r>
    </w:p>
    <w:p w14:paraId="5B5EAC87" w14:textId="5B675944" w:rsidR="004B6A49" w:rsidRPr="004B6A49" w:rsidRDefault="001A7D5B" w:rsidP="004B6A49">
      <w:pPr>
        <w:jc w:val="both"/>
        <w:rPr>
          <w:rFonts w:ascii="Times New Roman" w:hAnsi="Times New Roman"/>
          <w:sz w:val="24"/>
          <w:szCs w:val="24"/>
          <w:lang w:val="en-ID"/>
        </w:rPr>
      </w:pPr>
      <w:r>
        <w:rPr>
          <w:rFonts w:ascii="Times New Roman" w:hAnsi="Times New Roman"/>
          <w:sz w:val="24"/>
          <w:szCs w:val="24"/>
          <w:lang w:val="en-ID"/>
        </w:rPr>
        <w:t xml:space="preserve">Table 2 shows </w:t>
      </w:r>
      <w:r w:rsidR="004B6A49" w:rsidRPr="004B6A49">
        <w:rPr>
          <w:rFonts w:ascii="Times New Roman" w:hAnsi="Times New Roman"/>
          <w:sz w:val="24"/>
          <w:szCs w:val="24"/>
          <w:lang w:val="en-ID"/>
        </w:rPr>
        <w:t>results of the independent t-test showed that supplementation of Zn soap in the feed caused a significant difference in dry matter consumption, total VFA production, and NH</w:t>
      </w:r>
      <w:r w:rsidR="004B6A49" w:rsidRPr="001A7D5B">
        <w:rPr>
          <w:rFonts w:ascii="Times New Roman" w:hAnsi="Times New Roman"/>
          <w:sz w:val="24"/>
          <w:szCs w:val="24"/>
          <w:vertAlign w:val="subscript"/>
          <w:lang w:val="en-ID"/>
        </w:rPr>
        <w:t>3</w:t>
      </w:r>
      <w:r w:rsidR="004B6A49" w:rsidRPr="004B6A49">
        <w:rPr>
          <w:rFonts w:ascii="Times New Roman" w:hAnsi="Times New Roman"/>
          <w:sz w:val="24"/>
          <w:szCs w:val="24"/>
          <w:lang w:val="en-ID"/>
        </w:rPr>
        <w:t xml:space="preserve"> rumen fluid (P&lt;0.05).</w:t>
      </w:r>
    </w:p>
    <w:p w14:paraId="63EE5DAE" w14:textId="77777777" w:rsidR="00E647FB" w:rsidRPr="004B6A49" w:rsidRDefault="00E647FB" w:rsidP="005F055B">
      <w:pPr>
        <w:rPr>
          <w:rFonts w:ascii="Times New Roman" w:hAnsi="Times New Roman"/>
          <w:b/>
          <w:bCs/>
          <w:sz w:val="24"/>
          <w:szCs w:val="24"/>
          <w:lang w:val="en-ID"/>
        </w:rPr>
      </w:pPr>
    </w:p>
    <w:p w14:paraId="7CB3B1B5" w14:textId="05A18148" w:rsidR="007A7B4B" w:rsidRPr="00FE66D8" w:rsidRDefault="007A7B4B" w:rsidP="007A7B4B">
      <w:pPr>
        <w:rPr>
          <w:rFonts w:ascii="Times New Roman" w:hAnsi="Times New Roman"/>
          <w:sz w:val="24"/>
          <w:szCs w:val="24"/>
        </w:rPr>
      </w:pPr>
      <w:r w:rsidRPr="00FE66D8">
        <w:rPr>
          <w:rFonts w:ascii="Times New Roman" w:hAnsi="Times New Roman"/>
          <w:b/>
          <w:bCs/>
          <w:sz w:val="24"/>
          <w:szCs w:val="24"/>
        </w:rPr>
        <w:t>Tabl</w:t>
      </w:r>
      <w:r w:rsidR="00E647FB">
        <w:rPr>
          <w:rFonts w:ascii="Times New Roman" w:hAnsi="Times New Roman"/>
          <w:b/>
          <w:bCs/>
          <w:sz w:val="24"/>
          <w:szCs w:val="24"/>
        </w:rPr>
        <w:t>e</w:t>
      </w:r>
      <w:r w:rsidRPr="00FE66D8">
        <w:rPr>
          <w:rFonts w:ascii="Times New Roman" w:hAnsi="Times New Roman"/>
          <w:b/>
          <w:bCs/>
          <w:sz w:val="24"/>
          <w:szCs w:val="24"/>
        </w:rPr>
        <w:t xml:space="preserve"> 2.</w:t>
      </w:r>
      <w:r w:rsidRPr="00FE66D8">
        <w:rPr>
          <w:rFonts w:ascii="Times New Roman" w:hAnsi="Times New Roman"/>
          <w:sz w:val="24"/>
          <w:szCs w:val="24"/>
        </w:rPr>
        <w:t xml:space="preserve"> </w:t>
      </w:r>
      <w:r w:rsidR="001A7D5B" w:rsidRPr="001F5A53">
        <w:rPr>
          <w:rFonts w:ascii="Times New Roman" w:hAnsi="Times New Roman"/>
          <w:sz w:val="24"/>
          <w:szCs w:val="24"/>
        </w:rPr>
        <w:t>Dry matter consumption, VFA production and NH</w:t>
      </w:r>
      <w:r w:rsidR="001A7D5B" w:rsidRPr="001F5A53">
        <w:rPr>
          <w:rFonts w:ascii="Times New Roman" w:hAnsi="Times New Roman"/>
          <w:sz w:val="24"/>
          <w:szCs w:val="24"/>
          <w:vertAlign w:val="subscript"/>
        </w:rPr>
        <w:t>3</w:t>
      </w:r>
      <w:r w:rsidR="001A7D5B" w:rsidRPr="001F5A53">
        <w:rPr>
          <w:rFonts w:ascii="Times New Roman" w:hAnsi="Times New Roman"/>
          <w:sz w:val="24"/>
          <w:szCs w:val="24"/>
        </w:rPr>
        <w:t xml:space="preserve"> production</w:t>
      </w:r>
    </w:p>
    <w:tbl>
      <w:tblPr>
        <w:tblW w:w="8115" w:type="dxa"/>
        <w:tblInd w:w="108" w:type="dxa"/>
        <w:tblLayout w:type="fixed"/>
        <w:tblLook w:val="0000" w:firstRow="0" w:lastRow="0" w:firstColumn="0" w:lastColumn="0" w:noHBand="0" w:noVBand="0"/>
      </w:tblPr>
      <w:tblGrid>
        <w:gridCol w:w="3011"/>
        <w:gridCol w:w="1276"/>
        <w:gridCol w:w="1842"/>
        <w:gridCol w:w="851"/>
        <w:gridCol w:w="1135"/>
      </w:tblGrid>
      <w:tr w:rsidR="007602F4" w:rsidRPr="00FE66D8" w14:paraId="4D6FAFE6" w14:textId="7930EB17" w:rsidTr="009F19A2">
        <w:trPr>
          <w:trHeight w:val="278"/>
        </w:trPr>
        <w:tc>
          <w:tcPr>
            <w:tcW w:w="3011" w:type="dxa"/>
            <w:tcBorders>
              <w:top w:val="single" w:sz="4" w:space="0" w:color="auto"/>
              <w:bottom w:val="single" w:sz="4" w:space="0" w:color="auto"/>
            </w:tcBorders>
            <w:vAlign w:val="center"/>
          </w:tcPr>
          <w:p w14:paraId="14B56D8F" w14:textId="19882A70" w:rsidR="007602F4" w:rsidRPr="00FE66D8" w:rsidRDefault="001D5929" w:rsidP="007602F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Parameter</w:t>
            </w:r>
          </w:p>
        </w:tc>
        <w:tc>
          <w:tcPr>
            <w:tcW w:w="1276" w:type="dxa"/>
            <w:tcBorders>
              <w:top w:val="single" w:sz="4" w:space="0" w:color="auto"/>
              <w:bottom w:val="single" w:sz="4" w:space="0" w:color="auto"/>
            </w:tcBorders>
          </w:tcPr>
          <w:p w14:paraId="0F38C3B8" w14:textId="77777777" w:rsidR="007602F4" w:rsidRPr="00FE66D8" w:rsidRDefault="007602F4"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T0</w:t>
            </w:r>
          </w:p>
        </w:tc>
        <w:tc>
          <w:tcPr>
            <w:tcW w:w="1842" w:type="dxa"/>
            <w:tcBorders>
              <w:top w:val="single" w:sz="4" w:space="0" w:color="auto"/>
              <w:bottom w:val="single" w:sz="4" w:space="0" w:color="auto"/>
            </w:tcBorders>
          </w:tcPr>
          <w:p w14:paraId="0FB9293D" w14:textId="77777777" w:rsidR="007602F4" w:rsidRPr="00FE66D8" w:rsidRDefault="007602F4"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T1</w:t>
            </w:r>
          </w:p>
        </w:tc>
        <w:tc>
          <w:tcPr>
            <w:tcW w:w="851" w:type="dxa"/>
            <w:tcBorders>
              <w:top w:val="single" w:sz="4" w:space="0" w:color="auto"/>
              <w:bottom w:val="single" w:sz="4" w:space="0" w:color="auto"/>
            </w:tcBorders>
            <w:vAlign w:val="center"/>
          </w:tcPr>
          <w:p w14:paraId="672AE4E7" w14:textId="146EFD0A" w:rsidR="007602F4" w:rsidRPr="00FE66D8" w:rsidRDefault="007602F4"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SEM</w:t>
            </w:r>
          </w:p>
        </w:tc>
        <w:tc>
          <w:tcPr>
            <w:tcW w:w="1135" w:type="dxa"/>
            <w:tcBorders>
              <w:top w:val="single" w:sz="4" w:space="0" w:color="auto"/>
              <w:bottom w:val="single" w:sz="4" w:space="0" w:color="auto"/>
            </w:tcBorders>
            <w:vAlign w:val="center"/>
          </w:tcPr>
          <w:p w14:paraId="64B7CBF0" w14:textId="5DCC2E2B" w:rsidR="007602F4" w:rsidRPr="00FE66D8" w:rsidRDefault="007602F4"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p-Value</w:t>
            </w:r>
          </w:p>
        </w:tc>
      </w:tr>
      <w:tr w:rsidR="009F19A2" w:rsidRPr="00FE66D8" w14:paraId="43681ED9" w14:textId="1825D4EC" w:rsidTr="001D5929">
        <w:trPr>
          <w:trHeight w:val="278"/>
        </w:trPr>
        <w:tc>
          <w:tcPr>
            <w:tcW w:w="3011" w:type="dxa"/>
            <w:tcBorders>
              <w:top w:val="single" w:sz="4" w:space="0" w:color="auto"/>
            </w:tcBorders>
          </w:tcPr>
          <w:p w14:paraId="1483E00C" w14:textId="04EA38EE" w:rsidR="00CD55B6" w:rsidRPr="00FE66D8" w:rsidRDefault="001D5929" w:rsidP="00B0335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DMI</w:t>
            </w:r>
            <w:r w:rsidR="009F19A2">
              <w:rPr>
                <w:rFonts w:ascii="Times New Roman" w:hAnsi="Times New Roman"/>
                <w:color w:val="000000"/>
                <w:sz w:val="24"/>
                <w:szCs w:val="24"/>
              </w:rPr>
              <w:t xml:space="preserve"> (g/</w:t>
            </w:r>
            <w:r w:rsidR="004B6A49">
              <w:rPr>
                <w:rFonts w:ascii="Times New Roman" w:hAnsi="Times New Roman"/>
                <w:color w:val="000000"/>
                <w:sz w:val="24"/>
                <w:szCs w:val="24"/>
              </w:rPr>
              <w:t>head</w:t>
            </w:r>
            <w:r w:rsidR="009F19A2">
              <w:rPr>
                <w:rFonts w:ascii="Times New Roman" w:hAnsi="Times New Roman"/>
                <w:color w:val="000000"/>
                <w:sz w:val="24"/>
                <w:szCs w:val="24"/>
              </w:rPr>
              <w:t>/</w:t>
            </w:r>
            <w:r w:rsidR="004B6A49">
              <w:rPr>
                <w:rFonts w:ascii="Times New Roman" w:hAnsi="Times New Roman"/>
                <w:color w:val="000000"/>
                <w:sz w:val="24"/>
                <w:szCs w:val="24"/>
              </w:rPr>
              <w:t>day</w:t>
            </w:r>
            <w:r w:rsidR="009F19A2">
              <w:rPr>
                <w:rFonts w:ascii="Times New Roman" w:hAnsi="Times New Roman"/>
                <w:color w:val="000000"/>
                <w:sz w:val="24"/>
                <w:szCs w:val="24"/>
              </w:rPr>
              <w:t>)</w:t>
            </w:r>
          </w:p>
        </w:tc>
        <w:tc>
          <w:tcPr>
            <w:tcW w:w="1276" w:type="dxa"/>
            <w:tcBorders>
              <w:top w:val="single" w:sz="4" w:space="0" w:color="auto"/>
            </w:tcBorders>
          </w:tcPr>
          <w:p w14:paraId="2236DDD0" w14:textId="6B74BE84" w:rsidR="00CD55B6" w:rsidRPr="00FE66D8" w:rsidRDefault="00CD55B6"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2047</w:t>
            </w:r>
            <w:r w:rsidR="00A81194">
              <w:rPr>
                <w:rFonts w:ascii="Times New Roman" w:hAnsi="Times New Roman"/>
                <w:color w:val="000000"/>
                <w:sz w:val="24"/>
                <w:szCs w:val="24"/>
              </w:rPr>
              <w:t>.</w:t>
            </w:r>
            <w:r w:rsidRPr="00FE66D8">
              <w:rPr>
                <w:rFonts w:ascii="Times New Roman" w:hAnsi="Times New Roman"/>
                <w:color w:val="000000"/>
                <w:sz w:val="24"/>
                <w:szCs w:val="24"/>
              </w:rPr>
              <w:t>76</w:t>
            </w:r>
            <w:r w:rsidR="00D6145F" w:rsidRPr="00FE66D8">
              <w:rPr>
                <w:rFonts w:ascii="Times New Roman" w:hAnsi="Times New Roman"/>
                <w:color w:val="000000"/>
                <w:sz w:val="24"/>
                <w:szCs w:val="24"/>
                <w:vertAlign w:val="superscript"/>
              </w:rPr>
              <w:t>b</w:t>
            </w:r>
          </w:p>
        </w:tc>
        <w:tc>
          <w:tcPr>
            <w:tcW w:w="1842" w:type="dxa"/>
            <w:tcBorders>
              <w:top w:val="single" w:sz="4" w:space="0" w:color="auto"/>
            </w:tcBorders>
          </w:tcPr>
          <w:p w14:paraId="2DE849E8" w14:textId="22BD7BC0" w:rsidR="00CD55B6" w:rsidRPr="00FE66D8" w:rsidRDefault="00CD55B6"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2117</w:t>
            </w:r>
            <w:r w:rsidR="00A81194">
              <w:rPr>
                <w:rFonts w:ascii="Times New Roman" w:hAnsi="Times New Roman"/>
                <w:color w:val="000000"/>
                <w:sz w:val="24"/>
                <w:szCs w:val="24"/>
              </w:rPr>
              <w:t>.</w:t>
            </w:r>
            <w:r w:rsidRPr="00FE66D8">
              <w:rPr>
                <w:rFonts w:ascii="Times New Roman" w:hAnsi="Times New Roman"/>
                <w:color w:val="000000"/>
                <w:sz w:val="24"/>
                <w:szCs w:val="24"/>
              </w:rPr>
              <w:t>11</w:t>
            </w:r>
            <w:r w:rsidR="00D6145F" w:rsidRPr="00FE66D8">
              <w:rPr>
                <w:rFonts w:ascii="Times New Roman" w:hAnsi="Times New Roman"/>
                <w:color w:val="000000"/>
                <w:sz w:val="24"/>
                <w:szCs w:val="24"/>
                <w:vertAlign w:val="superscript"/>
              </w:rPr>
              <w:t>a</w:t>
            </w:r>
          </w:p>
        </w:tc>
        <w:tc>
          <w:tcPr>
            <w:tcW w:w="851" w:type="dxa"/>
            <w:tcBorders>
              <w:top w:val="single" w:sz="4" w:space="0" w:color="auto"/>
            </w:tcBorders>
          </w:tcPr>
          <w:p w14:paraId="6D7ECFEF" w14:textId="4BF1957A" w:rsidR="00CD55B6" w:rsidRPr="00FE66D8" w:rsidRDefault="00204C13"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4</w:t>
            </w:r>
            <w:r w:rsidR="00A81194">
              <w:rPr>
                <w:rFonts w:ascii="Times New Roman" w:hAnsi="Times New Roman"/>
                <w:color w:val="000000"/>
                <w:sz w:val="24"/>
                <w:szCs w:val="24"/>
              </w:rPr>
              <w:t>.</w:t>
            </w:r>
            <w:r w:rsidRPr="00FE66D8">
              <w:rPr>
                <w:rFonts w:ascii="Times New Roman" w:hAnsi="Times New Roman"/>
                <w:color w:val="000000"/>
                <w:sz w:val="24"/>
                <w:szCs w:val="24"/>
              </w:rPr>
              <w:t>3</w:t>
            </w:r>
            <w:r w:rsidR="002520AB" w:rsidRPr="00FE66D8">
              <w:rPr>
                <w:rFonts w:ascii="Times New Roman" w:hAnsi="Times New Roman"/>
                <w:color w:val="000000"/>
                <w:sz w:val="24"/>
                <w:szCs w:val="24"/>
              </w:rPr>
              <w:t>7</w:t>
            </w:r>
          </w:p>
        </w:tc>
        <w:tc>
          <w:tcPr>
            <w:tcW w:w="1135" w:type="dxa"/>
            <w:tcBorders>
              <w:top w:val="single" w:sz="4" w:space="0" w:color="auto"/>
            </w:tcBorders>
          </w:tcPr>
          <w:p w14:paraId="7E662192" w14:textId="1C8CBA32" w:rsidR="00CD55B6" w:rsidRPr="00FE66D8" w:rsidRDefault="00F17AED"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00</w:t>
            </w:r>
          </w:p>
        </w:tc>
      </w:tr>
      <w:tr w:rsidR="001D5929" w:rsidRPr="00FE66D8" w14:paraId="08E5E7FA" w14:textId="77777777" w:rsidTr="001D5929">
        <w:trPr>
          <w:trHeight w:val="278"/>
        </w:trPr>
        <w:tc>
          <w:tcPr>
            <w:tcW w:w="3011" w:type="dxa"/>
          </w:tcPr>
          <w:p w14:paraId="754CE4B4" w14:textId="1B41FB9F" w:rsidR="001D5929" w:rsidRPr="00FE66D8" w:rsidRDefault="001D5929" w:rsidP="00B0335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DMI (%)</w:t>
            </w:r>
          </w:p>
        </w:tc>
        <w:tc>
          <w:tcPr>
            <w:tcW w:w="1276" w:type="dxa"/>
          </w:tcPr>
          <w:p w14:paraId="21EECBB9" w14:textId="27F67EE9" w:rsidR="001D5929" w:rsidRPr="00FE66D8" w:rsidRDefault="001D5929" w:rsidP="007602F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w:t>
            </w:r>
            <w:r w:rsidR="00A81194">
              <w:rPr>
                <w:rFonts w:ascii="Times New Roman" w:hAnsi="Times New Roman"/>
                <w:color w:val="000000"/>
                <w:sz w:val="24"/>
                <w:szCs w:val="24"/>
              </w:rPr>
              <w:t>.</w:t>
            </w:r>
            <w:r>
              <w:rPr>
                <w:rFonts w:ascii="Times New Roman" w:hAnsi="Times New Roman"/>
                <w:color w:val="000000"/>
                <w:sz w:val="24"/>
                <w:szCs w:val="24"/>
              </w:rPr>
              <w:t>10</w:t>
            </w:r>
          </w:p>
        </w:tc>
        <w:tc>
          <w:tcPr>
            <w:tcW w:w="1842" w:type="dxa"/>
          </w:tcPr>
          <w:p w14:paraId="610A3546" w14:textId="10B6CA7D" w:rsidR="001D5929" w:rsidRPr="00FE66D8" w:rsidRDefault="001D5929" w:rsidP="007602F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3</w:t>
            </w:r>
            <w:r w:rsidR="00A81194">
              <w:rPr>
                <w:rFonts w:ascii="Times New Roman" w:hAnsi="Times New Roman"/>
                <w:color w:val="000000"/>
                <w:sz w:val="24"/>
                <w:szCs w:val="24"/>
              </w:rPr>
              <w:t>.</w:t>
            </w:r>
            <w:r>
              <w:rPr>
                <w:rFonts w:ascii="Times New Roman" w:hAnsi="Times New Roman"/>
                <w:color w:val="000000"/>
                <w:sz w:val="24"/>
                <w:szCs w:val="24"/>
              </w:rPr>
              <w:t>89</w:t>
            </w:r>
          </w:p>
        </w:tc>
        <w:tc>
          <w:tcPr>
            <w:tcW w:w="851" w:type="dxa"/>
          </w:tcPr>
          <w:p w14:paraId="5FAA99B1" w14:textId="3CE65901" w:rsidR="001D5929" w:rsidRPr="00FE66D8" w:rsidRDefault="00CC0226" w:rsidP="007602F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0</w:t>
            </w:r>
            <w:r w:rsidR="00A81194">
              <w:rPr>
                <w:rFonts w:ascii="Times New Roman" w:hAnsi="Times New Roman"/>
                <w:color w:val="000000"/>
                <w:sz w:val="24"/>
                <w:szCs w:val="24"/>
              </w:rPr>
              <w:t>.</w:t>
            </w:r>
            <w:r>
              <w:rPr>
                <w:rFonts w:ascii="Times New Roman" w:hAnsi="Times New Roman"/>
                <w:color w:val="000000"/>
                <w:sz w:val="24"/>
                <w:szCs w:val="24"/>
              </w:rPr>
              <w:t>04</w:t>
            </w:r>
          </w:p>
        </w:tc>
        <w:tc>
          <w:tcPr>
            <w:tcW w:w="1135" w:type="dxa"/>
          </w:tcPr>
          <w:p w14:paraId="2ED6FE48" w14:textId="0782B164" w:rsidR="001D5929" w:rsidRPr="00FE66D8" w:rsidRDefault="00CC0226" w:rsidP="007602F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0</w:t>
            </w:r>
            <w:r w:rsidR="00A81194">
              <w:rPr>
                <w:rFonts w:ascii="Times New Roman" w:hAnsi="Times New Roman"/>
                <w:color w:val="000000"/>
                <w:sz w:val="24"/>
                <w:szCs w:val="24"/>
              </w:rPr>
              <w:t>.</w:t>
            </w:r>
            <w:r>
              <w:rPr>
                <w:rFonts w:ascii="Times New Roman" w:hAnsi="Times New Roman"/>
                <w:color w:val="000000"/>
                <w:sz w:val="24"/>
                <w:szCs w:val="24"/>
              </w:rPr>
              <w:t>12</w:t>
            </w:r>
          </w:p>
        </w:tc>
      </w:tr>
      <w:tr w:rsidR="009F19A2" w:rsidRPr="00FE66D8" w14:paraId="0786DD87" w14:textId="77777777" w:rsidTr="009F19A2">
        <w:trPr>
          <w:trHeight w:val="288"/>
        </w:trPr>
        <w:tc>
          <w:tcPr>
            <w:tcW w:w="3011" w:type="dxa"/>
          </w:tcPr>
          <w:p w14:paraId="66F36FAE" w14:textId="5FC40C0B" w:rsidR="007A2E30" w:rsidRPr="00FE66D8" w:rsidRDefault="007A2E30" w:rsidP="007602F4">
            <w:pPr>
              <w:autoSpaceDE w:val="0"/>
              <w:autoSpaceDN w:val="0"/>
              <w:adjustRightInd w:val="0"/>
              <w:ind w:firstLine="32"/>
              <w:rPr>
                <w:rFonts w:ascii="Times New Roman" w:hAnsi="Times New Roman"/>
                <w:color w:val="000000"/>
                <w:sz w:val="24"/>
                <w:szCs w:val="24"/>
              </w:rPr>
            </w:pPr>
            <w:r w:rsidRPr="00FE66D8">
              <w:rPr>
                <w:rFonts w:ascii="Times New Roman" w:hAnsi="Times New Roman"/>
                <w:color w:val="000000"/>
                <w:sz w:val="24"/>
                <w:szCs w:val="24"/>
              </w:rPr>
              <w:t>VFA total</w:t>
            </w:r>
            <w:r w:rsidR="009F19A2">
              <w:rPr>
                <w:rFonts w:ascii="Times New Roman" w:hAnsi="Times New Roman"/>
                <w:color w:val="000000"/>
                <w:sz w:val="24"/>
                <w:szCs w:val="24"/>
              </w:rPr>
              <w:t xml:space="preserve"> (mM)</w:t>
            </w:r>
          </w:p>
        </w:tc>
        <w:tc>
          <w:tcPr>
            <w:tcW w:w="1276" w:type="dxa"/>
          </w:tcPr>
          <w:p w14:paraId="241054CF" w14:textId="67715083"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88</w:t>
            </w:r>
            <w:r w:rsidR="00A81194">
              <w:rPr>
                <w:rFonts w:ascii="Times New Roman" w:hAnsi="Times New Roman"/>
                <w:color w:val="000000"/>
                <w:sz w:val="24"/>
                <w:szCs w:val="24"/>
              </w:rPr>
              <w:t>.</w:t>
            </w:r>
            <w:r w:rsidRPr="00FE66D8">
              <w:rPr>
                <w:rFonts w:ascii="Times New Roman" w:hAnsi="Times New Roman"/>
                <w:color w:val="000000"/>
                <w:sz w:val="24"/>
                <w:szCs w:val="24"/>
              </w:rPr>
              <w:t>57</w:t>
            </w:r>
            <w:r w:rsidRPr="00FE66D8">
              <w:rPr>
                <w:rFonts w:ascii="Times New Roman" w:hAnsi="Times New Roman"/>
                <w:color w:val="000000"/>
                <w:sz w:val="24"/>
                <w:szCs w:val="24"/>
                <w:vertAlign w:val="superscript"/>
              </w:rPr>
              <w:t>b</w:t>
            </w:r>
          </w:p>
        </w:tc>
        <w:tc>
          <w:tcPr>
            <w:tcW w:w="1842" w:type="dxa"/>
          </w:tcPr>
          <w:p w14:paraId="21924093" w14:textId="6746F523"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111</w:t>
            </w:r>
            <w:r w:rsidR="00A81194">
              <w:rPr>
                <w:rFonts w:ascii="Times New Roman" w:hAnsi="Times New Roman"/>
                <w:color w:val="000000"/>
                <w:sz w:val="24"/>
                <w:szCs w:val="24"/>
              </w:rPr>
              <w:t>.</w:t>
            </w:r>
            <w:r w:rsidRPr="00FE66D8">
              <w:rPr>
                <w:rFonts w:ascii="Times New Roman" w:hAnsi="Times New Roman"/>
                <w:color w:val="000000"/>
                <w:sz w:val="24"/>
                <w:szCs w:val="24"/>
              </w:rPr>
              <w:t>43</w:t>
            </w:r>
            <w:r w:rsidRPr="00FE66D8">
              <w:rPr>
                <w:rFonts w:ascii="Times New Roman" w:hAnsi="Times New Roman"/>
                <w:color w:val="000000"/>
                <w:sz w:val="24"/>
                <w:szCs w:val="24"/>
                <w:vertAlign w:val="superscript"/>
              </w:rPr>
              <w:t>a</w:t>
            </w:r>
          </w:p>
        </w:tc>
        <w:tc>
          <w:tcPr>
            <w:tcW w:w="851" w:type="dxa"/>
          </w:tcPr>
          <w:p w14:paraId="02C403CC" w14:textId="23D763A5"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8</w:t>
            </w:r>
            <w:r w:rsidR="00A81194">
              <w:rPr>
                <w:rFonts w:ascii="Times New Roman" w:hAnsi="Times New Roman"/>
                <w:color w:val="000000"/>
                <w:sz w:val="24"/>
                <w:szCs w:val="24"/>
              </w:rPr>
              <w:t>.</w:t>
            </w:r>
            <w:r w:rsidRPr="00FE66D8">
              <w:rPr>
                <w:rFonts w:ascii="Times New Roman" w:hAnsi="Times New Roman"/>
                <w:color w:val="000000"/>
                <w:sz w:val="24"/>
                <w:szCs w:val="24"/>
              </w:rPr>
              <w:t>20</w:t>
            </w:r>
          </w:p>
        </w:tc>
        <w:tc>
          <w:tcPr>
            <w:tcW w:w="1135" w:type="dxa"/>
          </w:tcPr>
          <w:p w14:paraId="34D26C05" w14:textId="014A7ED7"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016</w:t>
            </w:r>
          </w:p>
        </w:tc>
      </w:tr>
      <w:tr w:rsidR="007602F4" w:rsidRPr="00FE66D8" w14:paraId="2403724D" w14:textId="77777777" w:rsidTr="009F19A2">
        <w:trPr>
          <w:trHeight w:val="288"/>
        </w:trPr>
        <w:tc>
          <w:tcPr>
            <w:tcW w:w="3011" w:type="dxa"/>
            <w:tcBorders>
              <w:bottom w:val="single" w:sz="4" w:space="0" w:color="auto"/>
            </w:tcBorders>
          </w:tcPr>
          <w:p w14:paraId="5BED4920" w14:textId="05C5E087" w:rsidR="007A2E30" w:rsidRPr="00FE66D8" w:rsidRDefault="007A2E30" w:rsidP="007602F4">
            <w:pPr>
              <w:autoSpaceDE w:val="0"/>
              <w:autoSpaceDN w:val="0"/>
              <w:adjustRightInd w:val="0"/>
              <w:ind w:firstLine="32"/>
              <w:rPr>
                <w:rFonts w:ascii="Times New Roman" w:hAnsi="Times New Roman"/>
                <w:color w:val="000000"/>
                <w:sz w:val="24"/>
                <w:szCs w:val="24"/>
              </w:rPr>
            </w:pPr>
            <w:r w:rsidRPr="00FE66D8">
              <w:rPr>
                <w:rFonts w:ascii="Times New Roman" w:hAnsi="Times New Roman"/>
                <w:color w:val="000000"/>
                <w:sz w:val="24"/>
                <w:szCs w:val="24"/>
              </w:rPr>
              <w:t>NH</w:t>
            </w:r>
            <w:r w:rsidRPr="00EB2887">
              <w:rPr>
                <w:rFonts w:ascii="Times New Roman" w:hAnsi="Times New Roman"/>
                <w:color w:val="000000"/>
                <w:sz w:val="24"/>
                <w:szCs w:val="24"/>
                <w:vertAlign w:val="subscript"/>
              </w:rPr>
              <w:t>3</w:t>
            </w:r>
            <w:r w:rsidR="009F19A2" w:rsidRPr="00EB2887">
              <w:rPr>
                <w:rFonts w:ascii="Times New Roman" w:hAnsi="Times New Roman"/>
                <w:color w:val="000000"/>
                <w:sz w:val="24"/>
                <w:szCs w:val="24"/>
                <w:vertAlign w:val="subscript"/>
              </w:rPr>
              <w:t xml:space="preserve"> </w:t>
            </w:r>
            <w:r w:rsidR="009F19A2">
              <w:rPr>
                <w:rFonts w:ascii="Times New Roman" w:hAnsi="Times New Roman"/>
                <w:color w:val="000000"/>
                <w:sz w:val="24"/>
                <w:szCs w:val="24"/>
              </w:rPr>
              <w:t>(mM)</w:t>
            </w:r>
          </w:p>
        </w:tc>
        <w:tc>
          <w:tcPr>
            <w:tcW w:w="1276" w:type="dxa"/>
            <w:tcBorders>
              <w:bottom w:val="single" w:sz="4" w:space="0" w:color="auto"/>
            </w:tcBorders>
          </w:tcPr>
          <w:p w14:paraId="391B3C99" w14:textId="5DD9CC7F"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6</w:t>
            </w:r>
            <w:r w:rsidR="00A81194">
              <w:rPr>
                <w:rFonts w:ascii="Times New Roman" w:hAnsi="Times New Roman"/>
                <w:color w:val="000000"/>
                <w:sz w:val="24"/>
                <w:szCs w:val="24"/>
              </w:rPr>
              <w:t>.</w:t>
            </w:r>
            <w:r w:rsidRPr="00FE66D8">
              <w:rPr>
                <w:rFonts w:ascii="Times New Roman" w:hAnsi="Times New Roman"/>
                <w:color w:val="000000"/>
                <w:sz w:val="24"/>
                <w:szCs w:val="24"/>
              </w:rPr>
              <w:t>43</w:t>
            </w:r>
            <w:r w:rsidRPr="00FE66D8">
              <w:rPr>
                <w:rFonts w:ascii="Times New Roman" w:hAnsi="Times New Roman"/>
                <w:color w:val="000000"/>
                <w:sz w:val="24"/>
                <w:szCs w:val="24"/>
                <w:vertAlign w:val="superscript"/>
              </w:rPr>
              <w:t>a</w:t>
            </w:r>
          </w:p>
        </w:tc>
        <w:tc>
          <w:tcPr>
            <w:tcW w:w="1842" w:type="dxa"/>
            <w:tcBorders>
              <w:bottom w:val="single" w:sz="4" w:space="0" w:color="auto"/>
            </w:tcBorders>
          </w:tcPr>
          <w:p w14:paraId="64F0899B" w14:textId="26B20B41"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5</w:t>
            </w:r>
            <w:r w:rsidR="00A81194">
              <w:rPr>
                <w:rFonts w:ascii="Times New Roman" w:hAnsi="Times New Roman"/>
                <w:color w:val="000000"/>
                <w:sz w:val="24"/>
                <w:szCs w:val="24"/>
              </w:rPr>
              <w:t>.</w:t>
            </w:r>
            <w:r w:rsidRPr="00FE66D8">
              <w:rPr>
                <w:rFonts w:ascii="Times New Roman" w:hAnsi="Times New Roman"/>
                <w:color w:val="000000"/>
                <w:sz w:val="24"/>
                <w:szCs w:val="24"/>
              </w:rPr>
              <w:t>82</w:t>
            </w:r>
            <w:r w:rsidRPr="00FE66D8">
              <w:rPr>
                <w:rFonts w:ascii="Times New Roman" w:hAnsi="Times New Roman"/>
                <w:color w:val="000000"/>
                <w:sz w:val="24"/>
                <w:szCs w:val="24"/>
                <w:vertAlign w:val="superscript"/>
              </w:rPr>
              <w:t>b</w:t>
            </w:r>
          </w:p>
        </w:tc>
        <w:tc>
          <w:tcPr>
            <w:tcW w:w="851" w:type="dxa"/>
            <w:tcBorders>
              <w:bottom w:val="single" w:sz="4" w:space="0" w:color="auto"/>
            </w:tcBorders>
          </w:tcPr>
          <w:p w14:paraId="7ADBD8D8" w14:textId="30E1A9B3"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28</w:t>
            </w:r>
          </w:p>
        </w:tc>
        <w:tc>
          <w:tcPr>
            <w:tcW w:w="1135" w:type="dxa"/>
            <w:tcBorders>
              <w:bottom w:val="single" w:sz="4" w:space="0" w:color="auto"/>
            </w:tcBorders>
          </w:tcPr>
          <w:p w14:paraId="5F1AD8FE" w14:textId="5B157BBC"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048</w:t>
            </w:r>
          </w:p>
        </w:tc>
      </w:tr>
    </w:tbl>
    <w:p w14:paraId="30A455D1" w14:textId="1300CE3C" w:rsidR="005A353F" w:rsidRPr="00E647FB" w:rsidRDefault="00E647FB" w:rsidP="00E647FB">
      <w:pPr>
        <w:jc w:val="both"/>
        <w:rPr>
          <w:rFonts w:ascii="Times New Roman" w:hAnsi="Times New Roman"/>
          <w:lang w:val="en"/>
        </w:rPr>
      </w:pPr>
      <w:r w:rsidRPr="00E647FB">
        <w:rPr>
          <w:rFonts w:ascii="Times New Roman" w:hAnsi="Times New Roman"/>
          <w:lang w:val="en"/>
        </w:rPr>
        <w:lastRenderedPageBreak/>
        <w:t>Note: Different superscripts in the same row and column indicate significant differences (</w:t>
      </w:r>
      <w:r w:rsidR="001A7D5B">
        <w:rPr>
          <w:rFonts w:ascii="Times New Roman" w:hAnsi="Times New Roman"/>
          <w:i/>
          <w:iCs/>
          <w:lang w:val="en"/>
        </w:rPr>
        <w:t>p</w:t>
      </w:r>
      <w:r w:rsidRPr="00E647FB">
        <w:rPr>
          <w:rFonts w:ascii="Times New Roman" w:hAnsi="Times New Roman"/>
          <w:lang w:val="en"/>
        </w:rPr>
        <w:t>&lt;0.05). DMI=dry matter intake, VFA=volatile fatty acids</w:t>
      </w:r>
    </w:p>
    <w:p w14:paraId="2F39ED07" w14:textId="77777777" w:rsidR="00E647FB" w:rsidRDefault="00E647FB" w:rsidP="00E647FB">
      <w:pPr>
        <w:rPr>
          <w:rFonts w:ascii="Times New Roman" w:hAnsi="Times New Roman"/>
          <w:b/>
          <w:bCs/>
          <w:sz w:val="24"/>
          <w:szCs w:val="24"/>
        </w:rPr>
      </w:pPr>
    </w:p>
    <w:p w14:paraId="6AD24778" w14:textId="23636BB0" w:rsidR="00A90238" w:rsidRPr="00A90238" w:rsidRDefault="00A90238" w:rsidP="00A90238">
      <w:pPr>
        <w:pStyle w:val="Head1"/>
        <w:spacing w:after="0"/>
        <w:jc w:val="both"/>
        <w:rPr>
          <w:rFonts w:ascii="Times New Roman" w:hAnsi="Times New Roman"/>
          <w:b w:val="0"/>
          <w:bCs/>
          <w:i/>
          <w:caps w:val="0"/>
          <w:sz w:val="24"/>
          <w:szCs w:val="24"/>
          <w:lang w:val="en-ID"/>
        </w:rPr>
      </w:pPr>
      <w:r w:rsidRPr="00A90238">
        <w:rPr>
          <w:rFonts w:ascii="Times New Roman" w:hAnsi="Times New Roman"/>
          <w:b w:val="0"/>
          <w:bCs/>
          <w:i/>
          <w:caps w:val="0"/>
          <w:sz w:val="24"/>
          <w:szCs w:val="24"/>
          <w:lang w:val="en-ID"/>
        </w:rPr>
        <w:t xml:space="preserve">3.1.1. </w:t>
      </w:r>
      <w:r w:rsidR="00E647FB" w:rsidRPr="00E647FB">
        <w:rPr>
          <w:rFonts w:ascii="Times New Roman" w:hAnsi="Times New Roman"/>
          <w:b w:val="0"/>
          <w:bCs/>
          <w:i/>
          <w:caps w:val="0"/>
          <w:sz w:val="24"/>
          <w:szCs w:val="24"/>
          <w:lang w:val="en-ID"/>
        </w:rPr>
        <w:t>Dry Matter Consumption</w:t>
      </w:r>
    </w:p>
    <w:p w14:paraId="21EAB765" w14:textId="77777777" w:rsidR="00A90238" w:rsidRPr="00A90238" w:rsidRDefault="00A90238" w:rsidP="009F19A2">
      <w:pPr>
        <w:pStyle w:val="Head1"/>
        <w:spacing w:after="0"/>
        <w:ind w:firstLine="720"/>
        <w:jc w:val="both"/>
        <w:rPr>
          <w:rFonts w:ascii="Times New Roman" w:hAnsi="Times New Roman"/>
          <w:b w:val="0"/>
          <w:bCs/>
          <w:caps w:val="0"/>
          <w:sz w:val="24"/>
          <w:szCs w:val="24"/>
          <w:lang w:val="en-ID"/>
        </w:rPr>
      </w:pPr>
    </w:p>
    <w:p w14:paraId="27ACBB9A" w14:textId="508E3142" w:rsidR="004B6A49" w:rsidRPr="004B6A49" w:rsidRDefault="004B6A49" w:rsidP="004B6A49">
      <w:pPr>
        <w:pStyle w:val="Head1"/>
        <w:spacing w:after="0"/>
        <w:ind w:firstLine="720"/>
        <w:jc w:val="both"/>
        <w:rPr>
          <w:rFonts w:ascii="Times New Roman" w:hAnsi="Times New Roman"/>
          <w:b w:val="0"/>
          <w:sz w:val="24"/>
          <w:szCs w:val="24"/>
          <w:lang w:val="en-ID"/>
        </w:rPr>
      </w:pPr>
      <w:r w:rsidRPr="004B6A49">
        <w:rPr>
          <w:rFonts w:ascii="Times New Roman" w:hAnsi="Times New Roman"/>
          <w:b w:val="0"/>
          <w:caps w:val="0"/>
          <w:sz w:val="24"/>
          <w:szCs w:val="24"/>
          <w:lang w:val="en-ID"/>
        </w:rPr>
        <w:t xml:space="preserve">Table 2 shows that the dry matter consumption in treatment </w:t>
      </w:r>
      <w:r w:rsidR="001A7D5B">
        <w:rPr>
          <w:rFonts w:ascii="Times New Roman" w:hAnsi="Times New Roman"/>
          <w:b w:val="0"/>
          <w:caps w:val="0"/>
          <w:sz w:val="24"/>
          <w:szCs w:val="24"/>
          <w:lang w:val="en-ID"/>
        </w:rPr>
        <w:t xml:space="preserve">group </w:t>
      </w:r>
      <w:r w:rsidR="00947961">
        <w:rPr>
          <w:rFonts w:ascii="Times New Roman" w:hAnsi="Times New Roman"/>
          <w:b w:val="0"/>
          <w:caps w:val="0"/>
          <w:sz w:val="24"/>
          <w:szCs w:val="24"/>
          <w:lang w:val="en-ID"/>
        </w:rPr>
        <w:t>T</w:t>
      </w:r>
      <w:r w:rsidRPr="004B6A49">
        <w:rPr>
          <w:rFonts w:ascii="Times New Roman" w:hAnsi="Times New Roman"/>
          <w:b w:val="0"/>
          <w:caps w:val="0"/>
          <w:sz w:val="24"/>
          <w:szCs w:val="24"/>
          <w:lang w:val="en-ID"/>
        </w:rPr>
        <w:t xml:space="preserve">1 was higher than that in </w:t>
      </w:r>
      <w:r w:rsidR="001A7D5B">
        <w:rPr>
          <w:rFonts w:ascii="Times New Roman" w:hAnsi="Times New Roman"/>
          <w:b w:val="0"/>
          <w:caps w:val="0"/>
          <w:sz w:val="24"/>
          <w:szCs w:val="24"/>
          <w:lang w:val="en-ID"/>
        </w:rPr>
        <w:t>control group</w:t>
      </w:r>
      <w:r w:rsidRPr="004B6A49">
        <w:rPr>
          <w:rFonts w:ascii="Times New Roman" w:hAnsi="Times New Roman"/>
          <w:b w:val="0"/>
          <w:caps w:val="0"/>
          <w:sz w:val="24"/>
          <w:szCs w:val="24"/>
          <w:lang w:val="en-ID"/>
        </w:rPr>
        <w:t xml:space="preserve"> </w:t>
      </w:r>
      <w:r w:rsidR="00947961">
        <w:rPr>
          <w:rFonts w:ascii="Times New Roman" w:hAnsi="Times New Roman"/>
          <w:b w:val="0"/>
          <w:caps w:val="0"/>
          <w:sz w:val="24"/>
          <w:szCs w:val="24"/>
          <w:lang w:val="en-ID"/>
        </w:rPr>
        <w:t>T</w:t>
      </w:r>
      <w:r w:rsidRPr="004B6A49">
        <w:rPr>
          <w:rFonts w:ascii="Times New Roman" w:hAnsi="Times New Roman"/>
          <w:b w:val="0"/>
          <w:caps w:val="0"/>
          <w:sz w:val="24"/>
          <w:szCs w:val="24"/>
          <w:lang w:val="en-ID"/>
        </w:rPr>
        <w:t xml:space="preserve">0 (p&lt;0.05). Dry matter consumption in this study was within the normal range, ranging from 3.89-4.10% of body weight. This finding aligns with research by </w:t>
      </w:r>
      <w:r w:rsidR="00947961">
        <w:rPr>
          <w:rFonts w:ascii="Times New Roman" w:hAnsi="Times New Roman"/>
          <w:b w:val="0"/>
          <w:caps w:val="0"/>
          <w:sz w:val="24"/>
          <w:szCs w:val="24"/>
          <w:lang w:val="en-ID"/>
        </w:rPr>
        <w:fldChar w:fldCharType="begin" w:fldLock="1"/>
      </w:r>
      <w:r w:rsidR="004B0763">
        <w:rPr>
          <w:rFonts w:ascii="Times New Roman" w:hAnsi="Times New Roman"/>
          <w:b w:val="0"/>
          <w:caps w:val="0"/>
          <w:sz w:val="24"/>
          <w:szCs w:val="24"/>
          <w:lang w:val="en-ID"/>
        </w:rPr>
        <w:instrText>ADDIN CSL_CITATION {"citationItems":[{"id":"ITEM-1","itemData":{"DOI":"https://doi.org/10.23960/jrip.2024.8.1.091-099","author":[{"dropping-particle":"","family":"Anwar","given":"C","non-dropping-particle":"","parse-names":false,"suffix":""},{"dropping-particle":"","family":"Liman","given":"L","non-dropping-particle":"","parse-names":false,"suffix":""},{"dropping-particle":"","family":"Muhtarudin","given":"M","non-dropping-particle":"","parse-names":false,"suffix":""},{"dropping-particle":"","family":"Qisthon","given":"A","non-dropping-particle":"","parse-names":false,"suffix":""}],"container-title":"J. Riset dan Inovasi Peternakan","id":"ITEM-1","issue":"1","issued":{"date-parts":[["2024"]]},"page":"91 - 99","title":"Suplementasi Soybean Meal (SBM) terhadap Konsumsi, Produksi Susu dan Efisiensi Ransum Kambing Perah","type":"article-journal","volume":"8"},"uris":["http://www.mendeley.com/documents/?uuid=0988f67c-b435-4075-b94e-e703aee609d4"]}],"mendeley":{"formattedCitation":"(Anwar et al., 2024)","manualFormatting":"Anwar et al. (2024)","plainTextFormattedCitation":"(Anwar et al., 2024)","previouslyFormattedCitation":"(Anwar et al., 2024)"},"properties":{"noteIndex":0},"schema":"https://github.com/citation-style-language/schema/raw/master/csl-citation.json"}</w:instrText>
      </w:r>
      <w:r w:rsidR="00947961">
        <w:rPr>
          <w:rFonts w:ascii="Times New Roman" w:hAnsi="Times New Roman"/>
          <w:b w:val="0"/>
          <w:caps w:val="0"/>
          <w:sz w:val="24"/>
          <w:szCs w:val="24"/>
          <w:lang w:val="en-ID"/>
        </w:rPr>
        <w:fldChar w:fldCharType="separate"/>
      </w:r>
      <w:r w:rsidR="00947961" w:rsidRPr="00947961">
        <w:rPr>
          <w:rFonts w:ascii="Times New Roman" w:hAnsi="Times New Roman"/>
          <w:b w:val="0"/>
          <w:caps w:val="0"/>
          <w:noProof/>
          <w:sz w:val="24"/>
          <w:szCs w:val="24"/>
          <w:lang w:val="en-ID"/>
        </w:rPr>
        <w:t xml:space="preserve">Anwar et al. </w:t>
      </w:r>
      <w:r w:rsidR="00947961">
        <w:rPr>
          <w:rFonts w:ascii="Times New Roman" w:hAnsi="Times New Roman"/>
          <w:b w:val="0"/>
          <w:caps w:val="0"/>
          <w:noProof/>
          <w:sz w:val="24"/>
          <w:szCs w:val="24"/>
          <w:lang w:val="en-ID"/>
        </w:rPr>
        <w:t>(</w:t>
      </w:r>
      <w:r w:rsidR="00947961" w:rsidRPr="00947961">
        <w:rPr>
          <w:rFonts w:ascii="Times New Roman" w:hAnsi="Times New Roman"/>
          <w:b w:val="0"/>
          <w:caps w:val="0"/>
          <w:noProof/>
          <w:sz w:val="24"/>
          <w:szCs w:val="24"/>
          <w:lang w:val="en-ID"/>
        </w:rPr>
        <w:t>2024)</w:t>
      </w:r>
      <w:r w:rsidR="00947961">
        <w:rPr>
          <w:rFonts w:ascii="Times New Roman" w:hAnsi="Times New Roman"/>
          <w:b w:val="0"/>
          <w:caps w:val="0"/>
          <w:sz w:val="24"/>
          <w:szCs w:val="24"/>
          <w:lang w:val="en-ID"/>
        </w:rPr>
        <w:fldChar w:fldCharType="end"/>
      </w:r>
      <w:r w:rsidRPr="004B6A49">
        <w:rPr>
          <w:rFonts w:ascii="Times New Roman" w:hAnsi="Times New Roman"/>
          <w:b w:val="0"/>
          <w:caps w:val="0"/>
          <w:sz w:val="24"/>
          <w:szCs w:val="24"/>
          <w:lang w:val="en-ID"/>
        </w:rPr>
        <w:t>, who</w:t>
      </w:r>
      <w:r w:rsidRPr="004B6A49">
        <w:rPr>
          <w:rFonts w:ascii="Times New Roman" w:hAnsi="Times New Roman"/>
          <w:b w:val="0"/>
          <w:sz w:val="24"/>
          <w:szCs w:val="24"/>
          <w:lang w:val="en-ID"/>
        </w:rPr>
        <w:t xml:space="preserve"> </w:t>
      </w:r>
      <w:r w:rsidRPr="004B6A49">
        <w:rPr>
          <w:rFonts w:ascii="Times New Roman" w:hAnsi="Times New Roman"/>
          <w:b w:val="0"/>
          <w:caps w:val="0"/>
          <w:sz w:val="24"/>
          <w:szCs w:val="24"/>
          <w:lang w:val="en-ID"/>
        </w:rPr>
        <w:t xml:space="preserve">found that dairy goats had a dry matter consumption rate of </w:t>
      </w:r>
      <w:r w:rsidR="003C27AB">
        <w:rPr>
          <w:rFonts w:ascii="Times New Roman" w:hAnsi="Times New Roman"/>
          <w:b w:val="0"/>
          <w:caps w:val="0"/>
          <w:sz w:val="24"/>
          <w:szCs w:val="24"/>
          <w:lang w:val="en-ID"/>
        </w:rPr>
        <w:t xml:space="preserve">3.5-4% of body weight or </w:t>
      </w:r>
      <w:r w:rsidRPr="004B6A49">
        <w:rPr>
          <w:rFonts w:ascii="Times New Roman" w:hAnsi="Times New Roman"/>
          <w:b w:val="0"/>
          <w:caps w:val="0"/>
          <w:sz w:val="24"/>
          <w:szCs w:val="24"/>
          <w:lang w:val="en-ID"/>
        </w:rPr>
        <w:t xml:space="preserve">1,986-2,597g/head/day. According to </w:t>
      </w:r>
      <w:r w:rsidR="00947961">
        <w:rPr>
          <w:rFonts w:ascii="Times New Roman" w:hAnsi="Times New Roman"/>
          <w:b w:val="0"/>
          <w:caps w:val="0"/>
          <w:sz w:val="24"/>
          <w:szCs w:val="24"/>
          <w:lang w:val="en-ID"/>
        </w:rPr>
        <w:fldChar w:fldCharType="begin" w:fldLock="1"/>
      </w:r>
      <w:r w:rsidR="004B0763">
        <w:rPr>
          <w:rFonts w:ascii="Times New Roman" w:hAnsi="Times New Roman"/>
          <w:b w:val="0"/>
          <w:caps w:val="0"/>
          <w:sz w:val="24"/>
          <w:szCs w:val="24"/>
          <w:lang w:val="en-ID"/>
        </w:rPr>
        <w:instrText>ADDIN CSL_CITATION {"citationItems":[{"id":"ITEM-1","itemData":{"author":[{"dropping-particle":"","family":"Uly","given":"B. F.","non-dropping-particle":"","parse-names":false,"suffix":""},{"dropping-particle":"","family":"Noach","given":"Y. R.","non-dropping-particle":"","parse-names":false,"suffix":""},{"dropping-particle":"","family":"Uly","given":"K.","non-dropping-particle":"","parse-names":false,"suffix":""}],"container-title":"J. Peternakan Lahan Kering","id":"ITEM-1","issue":"2","issued":{"date-parts":[["2021"]]},"page":"1496-1503","title":"Suplementasi Daun Katuk (Sauropus androgynus L. Merr) dan Zn Biokompleks pada Induk Kambing Peranakan Etawah Bunting: Supplementation of Prosea Leaf Meal (Sauropus androgynus L. Merr) on Pregnant Crossbred Etawa Goat","type":"article-journal","volume":"3"},"uris":["http://www.mendeley.com/documents/?uuid=d5e22173-122d-4b7a-a687-ca655a18c37a"]}],"mendeley":{"formattedCitation":"(Uly et al., 2021)","manualFormatting":"Uly et al. (2021)","plainTextFormattedCitation":"(Uly et al., 2021)","previouslyFormattedCitation":"(Uly et al., 2021)"},"properties":{"noteIndex":0},"schema":"https://github.com/citation-style-language/schema/raw/master/csl-citation.json"}</w:instrText>
      </w:r>
      <w:r w:rsidR="00947961">
        <w:rPr>
          <w:rFonts w:ascii="Times New Roman" w:hAnsi="Times New Roman"/>
          <w:b w:val="0"/>
          <w:caps w:val="0"/>
          <w:sz w:val="24"/>
          <w:szCs w:val="24"/>
          <w:lang w:val="en-ID"/>
        </w:rPr>
        <w:fldChar w:fldCharType="separate"/>
      </w:r>
      <w:r w:rsidR="006C23F1">
        <w:rPr>
          <w:rFonts w:ascii="Times New Roman" w:hAnsi="Times New Roman"/>
          <w:b w:val="0"/>
          <w:caps w:val="0"/>
          <w:noProof/>
          <w:sz w:val="24"/>
          <w:szCs w:val="24"/>
          <w:lang w:val="en-ID"/>
        </w:rPr>
        <w:t>Langgajanji</w:t>
      </w:r>
      <w:r w:rsidR="00947961" w:rsidRPr="00947961">
        <w:rPr>
          <w:rFonts w:ascii="Times New Roman" w:hAnsi="Times New Roman"/>
          <w:b w:val="0"/>
          <w:caps w:val="0"/>
          <w:noProof/>
          <w:sz w:val="24"/>
          <w:szCs w:val="24"/>
          <w:lang w:val="en-ID"/>
        </w:rPr>
        <w:t xml:space="preserve"> et al. </w:t>
      </w:r>
      <w:r w:rsidR="00947961">
        <w:rPr>
          <w:rFonts w:ascii="Times New Roman" w:hAnsi="Times New Roman"/>
          <w:b w:val="0"/>
          <w:caps w:val="0"/>
          <w:noProof/>
          <w:sz w:val="24"/>
          <w:szCs w:val="24"/>
          <w:lang w:val="en-ID"/>
        </w:rPr>
        <w:t>(</w:t>
      </w:r>
      <w:r w:rsidR="00947961" w:rsidRPr="00947961">
        <w:rPr>
          <w:rFonts w:ascii="Times New Roman" w:hAnsi="Times New Roman"/>
          <w:b w:val="0"/>
          <w:caps w:val="0"/>
          <w:noProof/>
          <w:sz w:val="24"/>
          <w:szCs w:val="24"/>
          <w:lang w:val="en-ID"/>
        </w:rPr>
        <w:t>202</w:t>
      </w:r>
      <w:r w:rsidR="006C23F1">
        <w:rPr>
          <w:rFonts w:ascii="Times New Roman" w:hAnsi="Times New Roman"/>
          <w:b w:val="0"/>
          <w:caps w:val="0"/>
          <w:noProof/>
          <w:sz w:val="24"/>
          <w:szCs w:val="24"/>
          <w:lang w:val="en-ID"/>
        </w:rPr>
        <w:t>4</w:t>
      </w:r>
      <w:r w:rsidR="00947961" w:rsidRPr="00947961">
        <w:rPr>
          <w:rFonts w:ascii="Times New Roman" w:hAnsi="Times New Roman"/>
          <w:b w:val="0"/>
          <w:caps w:val="0"/>
          <w:noProof/>
          <w:sz w:val="24"/>
          <w:szCs w:val="24"/>
          <w:lang w:val="en-ID"/>
        </w:rPr>
        <w:t>)</w:t>
      </w:r>
      <w:r w:rsidR="00947961">
        <w:rPr>
          <w:rFonts w:ascii="Times New Roman" w:hAnsi="Times New Roman"/>
          <w:b w:val="0"/>
          <w:caps w:val="0"/>
          <w:sz w:val="24"/>
          <w:szCs w:val="24"/>
          <w:lang w:val="en-ID"/>
        </w:rPr>
        <w:fldChar w:fldCharType="end"/>
      </w:r>
      <w:r w:rsidRPr="004B6A49">
        <w:rPr>
          <w:rFonts w:ascii="Times New Roman" w:hAnsi="Times New Roman"/>
          <w:b w:val="0"/>
          <w:caps w:val="0"/>
          <w:sz w:val="24"/>
          <w:szCs w:val="24"/>
          <w:lang w:val="en-ID"/>
        </w:rPr>
        <w:t xml:space="preserve">, dry matter consumption is influenced by nutrient content, especially protein and crude </w:t>
      </w:r>
      <w:proofErr w:type="spellStart"/>
      <w:r w:rsidRPr="004B6A49">
        <w:rPr>
          <w:rFonts w:ascii="Times New Roman" w:hAnsi="Times New Roman"/>
          <w:b w:val="0"/>
          <w:caps w:val="0"/>
          <w:sz w:val="24"/>
          <w:szCs w:val="24"/>
          <w:lang w:val="en-ID"/>
        </w:rPr>
        <w:t>fiber</w:t>
      </w:r>
      <w:proofErr w:type="spellEnd"/>
      <w:r w:rsidRPr="004B6A49">
        <w:rPr>
          <w:rFonts w:ascii="Times New Roman" w:hAnsi="Times New Roman"/>
          <w:b w:val="0"/>
          <w:caps w:val="0"/>
          <w:sz w:val="24"/>
          <w:szCs w:val="24"/>
          <w:lang w:val="en-ID"/>
        </w:rPr>
        <w:t xml:space="preserve"> content</w:t>
      </w:r>
      <w:r w:rsidRPr="004B6A49">
        <w:rPr>
          <w:rFonts w:ascii="Times New Roman" w:hAnsi="Times New Roman"/>
          <w:b w:val="0"/>
          <w:sz w:val="24"/>
          <w:szCs w:val="24"/>
          <w:lang w:val="en-ID"/>
        </w:rPr>
        <w:t xml:space="preserve">. </w:t>
      </w:r>
      <w:r w:rsidR="001A7D5B">
        <w:rPr>
          <w:rFonts w:ascii="Times New Roman" w:hAnsi="Times New Roman"/>
          <w:b w:val="0"/>
          <w:caps w:val="0"/>
          <w:sz w:val="24"/>
          <w:szCs w:val="24"/>
          <w:lang w:val="en-ID"/>
        </w:rPr>
        <w:t>The protein level recorded was</w:t>
      </w:r>
      <w:r w:rsidRPr="004B6A49">
        <w:rPr>
          <w:rFonts w:ascii="Times New Roman" w:hAnsi="Times New Roman"/>
          <w:b w:val="0"/>
          <w:caps w:val="0"/>
          <w:sz w:val="24"/>
          <w:szCs w:val="24"/>
          <w:lang w:val="en-ID"/>
        </w:rPr>
        <w:t xml:space="preserve"> 13.03%</w:t>
      </w:r>
      <w:r w:rsidR="001A7D5B">
        <w:rPr>
          <w:rFonts w:ascii="Times New Roman" w:hAnsi="Times New Roman"/>
          <w:b w:val="0"/>
          <w:caps w:val="0"/>
          <w:sz w:val="24"/>
          <w:szCs w:val="24"/>
          <w:lang w:val="en-ID"/>
        </w:rPr>
        <w:t xml:space="preserve"> in control group</w:t>
      </w:r>
      <w:r w:rsidRPr="004B6A49">
        <w:rPr>
          <w:rFonts w:ascii="Times New Roman" w:hAnsi="Times New Roman"/>
          <w:b w:val="0"/>
          <w:caps w:val="0"/>
          <w:sz w:val="24"/>
          <w:szCs w:val="24"/>
          <w:lang w:val="en-ID"/>
        </w:rPr>
        <w:t xml:space="preserve"> and 15.44% </w:t>
      </w:r>
      <w:r w:rsidR="001A7D5B">
        <w:rPr>
          <w:rFonts w:ascii="Times New Roman" w:hAnsi="Times New Roman"/>
          <w:b w:val="0"/>
          <w:caps w:val="0"/>
          <w:sz w:val="24"/>
          <w:szCs w:val="24"/>
          <w:lang w:val="en-ID"/>
        </w:rPr>
        <w:t>in treatment group</w:t>
      </w:r>
      <w:r w:rsidRPr="004B6A49">
        <w:rPr>
          <w:rFonts w:ascii="Times New Roman" w:hAnsi="Times New Roman"/>
          <w:b w:val="0"/>
          <w:caps w:val="0"/>
          <w:sz w:val="24"/>
          <w:szCs w:val="24"/>
          <w:lang w:val="en-ID"/>
        </w:rPr>
        <w:t>. A high protein content in the feed can provide a source of nitrogen for rumen microbes for growth.</w:t>
      </w:r>
      <w:r w:rsidR="00B2389B">
        <w:rPr>
          <w:rFonts w:ascii="Times New Roman" w:hAnsi="Times New Roman"/>
          <w:b w:val="0"/>
          <w:caps w:val="0"/>
          <w:sz w:val="24"/>
          <w:szCs w:val="24"/>
          <w:lang w:val="en-ID"/>
        </w:rPr>
        <w:t xml:space="preserve"> According to Suryani et al. (2014) that i</w:t>
      </w:r>
      <w:r w:rsidRPr="004B6A49">
        <w:rPr>
          <w:rFonts w:ascii="Times New Roman" w:hAnsi="Times New Roman"/>
          <w:b w:val="0"/>
          <w:caps w:val="0"/>
          <w:sz w:val="24"/>
          <w:szCs w:val="24"/>
          <w:lang w:val="en-ID"/>
        </w:rPr>
        <w:t>ncreasing the rumen microbial population supports a more active feed fermentation process, resulting in a faster rate of passage and gastric emptying, which will consequently encourage livestock to consume feed.</w:t>
      </w:r>
    </w:p>
    <w:p w14:paraId="3A365E79" w14:textId="77777777" w:rsidR="00E647FB" w:rsidRPr="004B6A49" w:rsidRDefault="00E647FB" w:rsidP="009F19A2">
      <w:pPr>
        <w:pStyle w:val="Head1"/>
        <w:spacing w:after="0"/>
        <w:ind w:firstLine="720"/>
        <w:jc w:val="both"/>
        <w:rPr>
          <w:rFonts w:ascii="Times New Roman" w:hAnsi="Times New Roman"/>
          <w:b w:val="0"/>
          <w:bCs/>
          <w:caps w:val="0"/>
          <w:sz w:val="24"/>
          <w:szCs w:val="24"/>
          <w:lang w:val="en-ID"/>
        </w:rPr>
      </w:pPr>
    </w:p>
    <w:p w14:paraId="01A6EFDE" w14:textId="04B033D7" w:rsidR="002421B6" w:rsidRPr="00A90238" w:rsidRDefault="002421B6" w:rsidP="002421B6">
      <w:pPr>
        <w:pStyle w:val="Head1"/>
        <w:spacing w:after="0"/>
        <w:jc w:val="both"/>
        <w:rPr>
          <w:rFonts w:ascii="Times New Roman" w:hAnsi="Times New Roman"/>
          <w:b w:val="0"/>
          <w:bCs/>
          <w:i/>
          <w:caps w:val="0"/>
          <w:sz w:val="24"/>
          <w:szCs w:val="24"/>
          <w:lang w:val="en-ID"/>
        </w:rPr>
      </w:pPr>
      <w:r w:rsidRPr="00A90238">
        <w:rPr>
          <w:rFonts w:ascii="Times New Roman" w:hAnsi="Times New Roman"/>
          <w:b w:val="0"/>
          <w:bCs/>
          <w:i/>
          <w:caps w:val="0"/>
          <w:sz w:val="24"/>
          <w:szCs w:val="24"/>
          <w:lang w:val="en-ID"/>
        </w:rPr>
        <w:t>3.1.</w:t>
      </w:r>
      <w:r>
        <w:rPr>
          <w:rFonts w:ascii="Times New Roman" w:hAnsi="Times New Roman"/>
          <w:b w:val="0"/>
          <w:bCs/>
          <w:i/>
          <w:caps w:val="0"/>
          <w:sz w:val="24"/>
          <w:szCs w:val="24"/>
          <w:lang w:val="en-ID"/>
        </w:rPr>
        <w:t>2</w:t>
      </w:r>
      <w:r w:rsidRPr="00A90238">
        <w:rPr>
          <w:rFonts w:ascii="Times New Roman" w:hAnsi="Times New Roman"/>
          <w:b w:val="0"/>
          <w:bCs/>
          <w:i/>
          <w:caps w:val="0"/>
          <w:sz w:val="24"/>
          <w:szCs w:val="24"/>
          <w:lang w:val="en-ID"/>
        </w:rPr>
        <w:t xml:space="preserve">. </w:t>
      </w:r>
      <w:r w:rsidR="00E647FB" w:rsidRPr="00E647FB">
        <w:rPr>
          <w:rFonts w:ascii="Times New Roman" w:hAnsi="Times New Roman"/>
          <w:b w:val="0"/>
          <w:bCs/>
          <w:i/>
          <w:caps w:val="0"/>
          <w:sz w:val="24"/>
          <w:szCs w:val="24"/>
          <w:lang w:val="en-ID"/>
        </w:rPr>
        <w:t>VFA Production</w:t>
      </w:r>
    </w:p>
    <w:p w14:paraId="35D04FD6" w14:textId="77777777" w:rsidR="002421B6" w:rsidRDefault="002421B6" w:rsidP="009F19A2">
      <w:pPr>
        <w:pStyle w:val="Head1"/>
        <w:spacing w:after="0"/>
        <w:ind w:firstLine="720"/>
        <w:jc w:val="both"/>
        <w:rPr>
          <w:rFonts w:ascii="Times New Roman" w:hAnsi="Times New Roman"/>
          <w:b w:val="0"/>
          <w:bCs/>
          <w:caps w:val="0"/>
          <w:sz w:val="24"/>
          <w:szCs w:val="24"/>
          <w:lang w:val="en-ID"/>
        </w:rPr>
      </w:pPr>
    </w:p>
    <w:p w14:paraId="68825B41" w14:textId="6A1AB1E7" w:rsidR="0033134E" w:rsidRPr="0033134E" w:rsidRDefault="00B958B5" w:rsidP="0033134E">
      <w:pPr>
        <w:pStyle w:val="Default"/>
        <w:snapToGrid w:val="0"/>
        <w:jc w:val="both"/>
        <w:rPr>
          <w:rFonts w:ascii="Times New Roman" w:hAnsi="Times New Roman"/>
          <w:bCs/>
          <w:lang w:val="en-ID"/>
        </w:rPr>
      </w:pPr>
      <w:r>
        <w:rPr>
          <w:rFonts w:ascii="Times New Roman" w:hAnsi="Times New Roman"/>
          <w:bCs/>
          <w:lang w:val="en-ID"/>
        </w:rPr>
        <w:t xml:space="preserve">The </w:t>
      </w:r>
      <w:r w:rsidR="0033134E" w:rsidRPr="0033134E">
        <w:rPr>
          <w:rFonts w:ascii="Times New Roman" w:hAnsi="Times New Roman"/>
          <w:bCs/>
          <w:lang w:val="en-ID"/>
        </w:rPr>
        <w:t xml:space="preserve">Zn soap supplementation produced higher VFA levels than the control (p&lt;0.05), namely 88.57 mM </w:t>
      </w:r>
      <w:r>
        <w:rPr>
          <w:rFonts w:ascii="Times New Roman" w:hAnsi="Times New Roman"/>
          <w:bCs/>
          <w:lang w:val="en-ID"/>
        </w:rPr>
        <w:t>(control group</w:t>
      </w:r>
      <w:r w:rsidR="0033134E" w:rsidRPr="0033134E">
        <w:rPr>
          <w:rFonts w:ascii="Times New Roman" w:hAnsi="Times New Roman"/>
          <w:bCs/>
          <w:lang w:val="en-ID"/>
        </w:rPr>
        <w:t>) and 111.43 mM (</w:t>
      </w:r>
      <w:r>
        <w:rPr>
          <w:rFonts w:ascii="Times New Roman" w:hAnsi="Times New Roman"/>
          <w:bCs/>
          <w:lang w:val="en-ID"/>
        </w:rPr>
        <w:t>treatment group</w:t>
      </w:r>
      <w:r w:rsidR="0033134E" w:rsidRPr="0033134E">
        <w:rPr>
          <w:rFonts w:ascii="Times New Roman" w:hAnsi="Times New Roman"/>
          <w:bCs/>
          <w:lang w:val="en-ID"/>
        </w:rPr>
        <w:t xml:space="preserve">). According to </w:t>
      </w:r>
      <w:r w:rsidR="00947961">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10.36706/JPS.11.1.2022.17204","author":[{"dropping-particle":"","family":"Fariani","given":"Armina","non-dropping-particle":"","parse-names":false,"suffix":""},{"dropping-particle":"","family":"Naidilah","given":"Anggriawan","non-dropping-particle":"","parse-names":false,"suffix":""},{"dropping-particle":"","family":"Pratama","given":"Tetra","non-dropping-particle":"","parse-names":false,"suffix":""},{"dropping-particle":"","family":"Susanda","given":"Aptriansyah","non-dropping-particle":"","parse-names":false,"suffix":""}],"container-title":"J. Peternakan Sriwijaya","id":"ITEM-1","issue":"1","issued":{"date-parts":[["2022"]]},"page":"9-16","title":"Kualitas Silase Pelepah Kelapa Sawit yang Disuplementasi Mineral Seng (Zn) secara In Vitro In Vitro Quality of Oil Palm Fronds Silage Supplemented with Mineral Zinc (Zn)","type":"article-journal","volume":"11"},"uris":["http://www.mendeley.com/documents/?uuid=92882de1-5c0d-4b21-932d-7850f614a4f0"]}],"mendeley":{"formattedCitation":"(Fariani et al., 2022)","manualFormatting":"Fariani et al. (2022)","plainTextFormattedCitation":"(Fariani et al., 2022)","previouslyFormattedCitation":"(Fariani et al., 2022)"},"properties":{"noteIndex":0},"schema":"https://github.com/citation-style-language/schema/raw/master/csl-citation.json"}</w:instrText>
      </w:r>
      <w:r w:rsidR="00947961">
        <w:rPr>
          <w:rFonts w:ascii="Times New Roman" w:hAnsi="Times New Roman"/>
          <w:bCs/>
          <w:lang w:val="en-ID"/>
        </w:rPr>
        <w:fldChar w:fldCharType="separate"/>
      </w:r>
      <w:r w:rsidR="00947961" w:rsidRPr="00947961">
        <w:rPr>
          <w:rFonts w:ascii="Times New Roman" w:hAnsi="Times New Roman"/>
          <w:bCs/>
          <w:noProof/>
          <w:lang w:val="en-ID"/>
        </w:rPr>
        <w:t xml:space="preserve">Fariani et al. </w:t>
      </w:r>
      <w:r w:rsidR="00947961">
        <w:rPr>
          <w:rFonts w:ascii="Times New Roman" w:hAnsi="Times New Roman"/>
          <w:bCs/>
          <w:noProof/>
          <w:lang w:val="en-ID"/>
        </w:rPr>
        <w:t>(</w:t>
      </w:r>
      <w:r w:rsidR="00947961" w:rsidRPr="00947961">
        <w:rPr>
          <w:rFonts w:ascii="Times New Roman" w:hAnsi="Times New Roman"/>
          <w:bCs/>
          <w:noProof/>
          <w:lang w:val="en-ID"/>
        </w:rPr>
        <w:t>2022)</w:t>
      </w:r>
      <w:r w:rsidR="00947961">
        <w:rPr>
          <w:rFonts w:ascii="Times New Roman" w:hAnsi="Times New Roman"/>
          <w:bCs/>
          <w:lang w:val="en-ID"/>
        </w:rPr>
        <w:fldChar w:fldCharType="end"/>
      </w:r>
      <w:r w:rsidR="0033134E" w:rsidRPr="0033134E">
        <w:rPr>
          <w:rFonts w:ascii="Times New Roman" w:hAnsi="Times New Roman"/>
          <w:bCs/>
          <w:lang w:val="en-ID"/>
        </w:rPr>
        <w:t>, the total VFA production that can support rumen microbial development ranges from to 70-150 mm. The VFA production results from this study were classified as good, reflecting active feed fermentation by rumen microbes. Zn soap supplementation protein levels</w:t>
      </w:r>
      <w:r>
        <w:rPr>
          <w:rFonts w:ascii="Times New Roman" w:hAnsi="Times New Roman"/>
          <w:bCs/>
          <w:lang w:val="en-ID"/>
        </w:rPr>
        <w:t xml:space="preserve"> was significant</w:t>
      </w:r>
      <w:r w:rsidR="0033134E" w:rsidRPr="0033134E">
        <w:rPr>
          <w:rFonts w:ascii="Times New Roman" w:hAnsi="Times New Roman"/>
          <w:bCs/>
          <w:lang w:val="en-ID"/>
        </w:rPr>
        <w:t xml:space="preserve"> </w:t>
      </w:r>
      <w:r>
        <w:rPr>
          <w:rFonts w:ascii="Times New Roman" w:hAnsi="Times New Roman"/>
          <w:bCs/>
          <w:lang w:val="en-ID"/>
        </w:rPr>
        <w:t>(</w:t>
      </w:r>
      <w:r>
        <w:rPr>
          <w:rFonts w:ascii="Times New Roman" w:hAnsi="Times New Roman"/>
          <w:bCs/>
          <w:i/>
          <w:iCs/>
          <w:lang w:val="en-ID"/>
        </w:rPr>
        <w:t>p&lt;0.</w:t>
      </w:r>
      <w:r w:rsidRPr="00B958B5">
        <w:rPr>
          <w:rFonts w:ascii="Times New Roman" w:hAnsi="Times New Roman"/>
          <w:bCs/>
          <w:lang w:val="en-ID"/>
        </w:rPr>
        <w:t>05</w:t>
      </w:r>
      <w:r>
        <w:rPr>
          <w:rFonts w:ascii="Times New Roman" w:hAnsi="Times New Roman"/>
          <w:bCs/>
          <w:lang w:val="en-ID"/>
        </w:rPr>
        <w:t>)</w:t>
      </w:r>
      <w:r w:rsidR="0033134E" w:rsidRPr="0033134E">
        <w:rPr>
          <w:rFonts w:ascii="Times New Roman" w:hAnsi="Times New Roman"/>
          <w:bCs/>
          <w:lang w:val="en-ID"/>
        </w:rPr>
        <w:t xml:space="preserve">. The role of the mineral </w:t>
      </w:r>
      <w:r w:rsidR="00140297">
        <w:rPr>
          <w:rFonts w:ascii="Times New Roman" w:hAnsi="Times New Roman"/>
          <w:bCs/>
          <w:lang w:val="en-ID"/>
        </w:rPr>
        <w:t>Zn</w:t>
      </w:r>
      <w:r w:rsidR="0033134E" w:rsidRPr="0033134E">
        <w:rPr>
          <w:rFonts w:ascii="Times New Roman" w:hAnsi="Times New Roman"/>
          <w:bCs/>
          <w:lang w:val="en-ID"/>
        </w:rPr>
        <w:t xml:space="preserve"> is to increase rumen microbial growth, </w:t>
      </w:r>
      <w:r w:rsidR="00140297">
        <w:rPr>
          <w:rFonts w:ascii="Times New Roman" w:hAnsi="Times New Roman"/>
          <w:bCs/>
          <w:lang w:val="en-ID"/>
        </w:rPr>
        <w:t>Zn</w:t>
      </w:r>
      <w:r w:rsidR="0033134E" w:rsidRPr="0033134E">
        <w:rPr>
          <w:rFonts w:ascii="Times New Roman" w:hAnsi="Times New Roman"/>
          <w:bCs/>
          <w:lang w:val="en-ID"/>
        </w:rPr>
        <w:t xml:space="preserve"> as a metalloenzyme that plays a role in the activity of carboxy peptidase A and B enzymes and alkaline phosphatase enzymes which are important enzymes in the protein digestion system and protein synthesis</w:t>
      </w:r>
      <w:r w:rsidR="00947961">
        <w:rPr>
          <w:rFonts w:ascii="Times New Roman" w:hAnsi="Times New Roman"/>
          <w:bCs/>
          <w:lang w:val="en-ID"/>
        </w:rPr>
        <w:t xml:space="preserve"> </w:t>
      </w:r>
      <w:r w:rsidR="00C22093">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https://doi.org/10.20884/1.jap.2021.23.3.116","author":[{"dropping-particle":"","family":"Nathaniel","given":"G","non-dropping-particle":"","parse-names":false,"suffix":""},{"dropping-particle":"","family":"Annisa","given":"T","non-dropping-particle":"","parse-names":false,"suffix":""},{"dropping-particle":"","family":"Muktiani","given":"A","non-dropping-particle":"","parse-names":false,"suffix":""},{"dropping-particle":"","family":"Harjanti","given":"D. W","non-dropping-particle":"","parse-names":false,"suffix":""}],"container-title":"Animal Production","id":"ITEM-1","issue":"3","issued":{"date-parts":[["2021"]]},"page":"180-186","title":"The Effect of Zinc-Proteinate Supplementation on the In Vitro Digestibility and Ruminal Fermentation in Goat","type":"article-journal","volume":"23"},"uris":["http://www.mendeley.com/documents/?uuid=48f3147b-24b7-4926-8162-c92c4be737cc"]},{"id":"ITEM-2","itemData":{"DOI":"10.36490/jpu.v7i1.794","author":[{"dropping-particle":"","family":"Marpaung","given":"M. F. H","non-dropping-particle":"","parse-names":false,"suffix":""},{"dropping-particle":"","family":"Ginting","given":"N","non-dropping-particle":"","parse-names":false,"suffix":""}],"container-title":"J. Peternakan Unggul","id":"ITEM-2","issue":"1","issued":{"date-parts":[["2024"]]},"page":"19-28","title":"The Effect of Giving Wake-Wangun Leaf Biscuits (Coleus Amboinicus Lour) as Supplementary Feed on The Quality of Sapera Goat Milk","type":"article-journal","volume":"7"},"uris":["http://www.mendeley.com/documents/?uuid=4e2ab54a-72d3-4392-ab61-32397d14b137"]}],"mendeley":{"formattedCitation":"(Marpaung &amp; Ginting, 2024; Nathaniel et al., 2021)","plainTextFormattedCitation":"(Marpaung &amp; Ginting, 2024; Nathaniel et al., 2021)","previouslyFormattedCitation":"(Marpaung &amp; Ginting, 2024; Nathaniel et al., 2021)"},"properties":{"noteIndex":0},"schema":"https://github.com/citation-style-language/schema/raw/master/csl-citation.json"}</w:instrText>
      </w:r>
      <w:r w:rsidR="00C22093">
        <w:rPr>
          <w:rFonts w:ascii="Times New Roman" w:hAnsi="Times New Roman"/>
          <w:bCs/>
          <w:lang w:val="en-ID"/>
        </w:rPr>
        <w:fldChar w:fldCharType="separate"/>
      </w:r>
      <w:r w:rsidR="004B0763" w:rsidRPr="004B0763">
        <w:rPr>
          <w:rFonts w:ascii="Times New Roman" w:hAnsi="Times New Roman"/>
          <w:bCs/>
          <w:noProof/>
          <w:lang w:val="en-ID"/>
        </w:rPr>
        <w:t>(Marpaung &amp; Ginting, 2024; Nathaniel et al., 2021)</w:t>
      </w:r>
      <w:r w:rsidR="00C22093">
        <w:rPr>
          <w:rFonts w:ascii="Times New Roman" w:hAnsi="Times New Roman"/>
          <w:bCs/>
          <w:lang w:val="en-ID"/>
        </w:rPr>
        <w:fldChar w:fldCharType="end"/>
      </w:r>
      <w:r w:rsidR="0033134E" w:rsidRPr="0033134E">
        <w:rPr>
          <w:rFonts w:ascii="Times New Roman" w:hAnsi="Times New Roman"/>
          <w:bCs/>
          <w:lang w:val="en-ID"/>
        </w:rPr>
        <w:t xml:space="preserve">. According to </w:t>
      </w:r>
      <w:r w:rsidR="00C22093">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https://doi.org/10.22437/jiiip.v26i2.28413","author":[{"dropping-particle":"","family":"Adriani","given":"A","non-dropping-particle":"","parse-names":false,"suffix":""},{"dropping-particle":"","family":"Darlis","given":"D","non-dropping-particle":"","parse-names":false,"suffix":""},{"dropping-particle":"","family":"Andayani","given":"J","non-dropping-particle":"","parse-names":false,"suffix":""},{"dropping-particle":"","family":"Novianti","given":"S","non-dropping-particle":"","parse-names":false,"suffix":""}],"container-title":"J. Ilmiah Ilmu-Ilmu Peternakan","id":"ITEM-1","issue":"2","issued":{"date-parts":[["2023"]]},"page":"89 -97","title":"Produksi Susu Kambing Peranakan Etawah sebagai Respon Pemberian Probiotik dan Mineral Seng dalam Ransum","type":"article-journal","volume":"26"},"uris":["http://www.mendeley.com/documents/?uuid=6a71048f-d2d0-4442-bd60-b1860f0548af"]}],"mendeley":{"formattedCitation":"(Adriani et al., 2023)","manualFormatting":"Adriani et al. (2023)","plainTextFormattedCitation":"(Adriani et al., 2023)","previouslyFormattedCitation":"(Adriani et al., 2023)"},"properties":{"noteIndex":0},"schema":"https://github.com/citation-style-language/schema/raw/master/csl-citation.json"}</w:instrText>
      </w:r>
      <w:r w:rsidR="00C22093">
        <w:rPr>
          <w:rFonts w:ascii="Times New Roman" w:hAnsi="Times New Roman"/>
          <w:bCs/>
          <w:lang w:val="en-ID"/>
        </w:rPr>
        <w:fldChar w:fldCharType="separate"/>
      </w:r>
      <w:r w:rsidR="00C22093" w:rsidRPr="00C22093">
        <w:rPr>
          <w:rFonts w:ascii="Times New Roman" w:hAnsi="Times New Roman"/>
          <w:bCs/>
          <w:noProof/>
          <w:lang w:val="en-ID"/>
        </w:rPr>
        <w:t xml:space="preserve">Adriani et al. </w:t>
      </w:r>
      <w:r w:rsidR="00C22093">
        <w:rPr>
          <w:rFonts w:ascii="Times New Roman" w:hAnsi="Times New Roman"/>
          <w:bCs/>
          <w:noProof/>
          <w:lang w:val="en-ID"/>
        </w:rPr>
        <w:t>(</w:t>
      </w:r>
      <w:r w:rsidR="00C22093" w:rsidRPr="00C22093">
        <w:rPr>
          <w:rFonts w:ascii="Times New Roman" w:hAnsi="Times New Roman"/>
          <w:bCs/>
          <w:noProof/>
          <w:lang w:val="en-ID"/>
        </w:rPr>
        <w:t>2023)</w:t>
      </w:r>
      <w:r w:rsidR="00C22093">
        <w:rPr>
          <w:rFonts w:ascii="Times New Roman" w:hAnsi="Times New Roman"/>
          <w:bCs/>
          <w:lang w:val="en-ID"/>
        </w:rPr>
        <w:fldChar w:fldCharType="end"/>
      </w:r>
      <w:r w:rsidR="0033134E" w:rsidRPr="0033134E">
        <w:rPr>
          <w:rFonts w:ascii="Times New Roman" w:hAnsi="Times New Roman"/>
          <w:bCs/>
          <w:lang w:val="en-ID"/>
        </w:rPr>
        <w:t xml:space="preserve">, the requirement for Zn minerals ranges from 130 to 220 mg/kg of feed for rumen microbial growth, so increasing Zn levels in the feed will support rumen microbial growth. This is in line with the statement by </w:t>
      </w:r>
      <w:r w:rsidR="00C22093">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{"citationItems":[{"id":"ITEM-1","itemData":{"DOI":"https://doi.org/10.37090/jwputb.v8i3.1877","author":[{"dropping-particle":"","family":"Farda","given":"F. T","non-dropping-particle":"","parse-names":false,"suffix":""},{"dropping-particle":"","family":"Salsabilla","given":"N. S","non-dropping-particle":"","parse-names":false,"suffix":""},{"dropping-particle":"","family":"Erwanto","given":"E","non-dropping-particle":"","parse-names":false,"suffix":""},{"dropping-particle":"","family":"Liman","given":"L","non-dropping-particle":"","parse-names":false,"suffix":""},{"dropping-particle":"","family":"Sirat","given":"M. M. P","non-dropping-particle":"","parse-names":false,"suffix":""},{"dropping-particle":"","family":"Muhtarudin","given":"M","non-dropping-particle":"","parse-names":false,"suffix":""}],"container-title":"Wahana Peternakan","id":"ITEM-1","issue":"3","issued":{"date-parts":[["2024"]]},"page":"509-519","title":"Kadar VFA dan NH3 dalam Cairan Rumen Kambing Rambon Jantan dengan Penambahan Tepung Bungkil Kedelai, Zinc, dan Chromium dalam Ransum","type":"article-journal","volume":"8"},"uris":["http://www.mendeley.com/documents/?uuid=ec1d4d35-244e-46e7-bc07-da8b7232e072"]}],"mendeley":{"formattedCitation":"(Farda et al., 2024)","manualFormatting":"Farda et al. (2024)","plainTextFormattedCitation":"(Farda et al., 2024)","previouslyFormattedCitation":"(Farda et al., 2024)"},"properties":{"noteIndex":0},"schema":"https://github.com/citation-style-language/schema/raw/master/csl-citation.json"}</w:instrText>
      </w:r>
      <w:r w:rsidR="00C22093">
        <w:rPr>
          <w:rFonts w:ascii="Times New Roman" w:hAnsi="Times New Roman"/>
          <w:bCs/>
          <w:lang w:val="en-ID"/>
        </w:rPr>
        <w:fldChar w:fldCharType="separate"/>
      </w:r>
      <w:r w:rsidR="00C22093" w:rsidRPr="00C22093">
        <w:rPr>
          <w:rFonts w:ascii="Times New Roman" w:hAnsi="Times New Roman"/>
          <w:bCs/>
          <w:noProof/>
          <w:lang w:val="en-ID"/>
        </w:rPr>
        <w:t xml:space="preserve">Farda et al. </w:t>
      </w:r>
      <w:r w:rsidR="00C22093">
        <w:rPr>
          <w:rFonts w:ascii="Times New Roman" w:hAnsi="Times New Roman"/>
          <w:bCs/>
          <w:noProof/>
          <w:lang w:val="en-ID"/>
        </w:rPr>
        <w:t>(</w:t>
      </w:r>
      <w:r w:rsidR="00C22093" w:rsidRPr="00C22093">
        <w:rPr>
          <w:rFonts w:ascii="Times New Roman" w:hAnsi="Times New Roman"/>
          <w:bCs/>
          <w:noProof/>
          <w:lang w:val="en-ID"/>
        </w:rPr>
        <w:t>2024)</w:t>
      </w:r>
      <w:r w:rsidR="00C22093">
        <w:rPr>
          <w:rFonts w:ascii="Times New Roman" w:hAnsi="Times New Roman"/>
          <w:bCs/>
          <w:lang w:val="en-ID"/>
        </w:rPr>
        <w:fldChar w:fldCharType="end"/>
      </w:r>
      <w:r w:rsidR="0033134E" w:rsidRPr="0033134E">
        <w:rPr>
          <w:rFonts w:ascii="Times New Roman" w:hAnsi="Times New Roman"/>
          <w:bCs/>
          <w:lang w:val="en-ID"/>
        </w:rPr>
        <w:t xml:space="preserve"> that the addition of Zn can increase microbial protein synthesis through the activation of microbial enzymes.</w:t>
      </w:r>
      <w:r w:rsidR="001F5A53">
        <w:rPr>
          <w:rFonts w:ascii="Times New Roman" w:hAnsi="Times New Roman"/>
          <w:bCs/>
          <w:lang w:val="en-ID"/>
        </w:rPr>
        <w:t xml:space="preserve"> </w:t>
      </w:r>
      <w:r w:rsidR="0033134E" w:rsidRPr="0033134E">
        <w:rPr>
          <w:rFonts w:ascii="Times New Roman" w:hAnsi="Times New Roman"/>
          <w:bCs/>
          <w:lang w:val="en-ID"/>
        </w:rPr>
        <w:t xml:space="preserve">According to </w:t>
      </w:r>
      <w:r w:rsidR="00C22093">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{"citationItems":[{"id":"ITEM-1","itemData":{"DOI":"https://doi.org/10.36762/jurnaljateng.v18i1.807","author":[{"dropping-particle":"","family":"Barlian","given":"A. N","non-dropping-particle":"","parse-names":false,"suffix":""},{"dropping-particle":"","family":"Christiyanto","given":"M","non-dropping-particle":"","parse-names":false,"suffix":""},{"dropping-particle":"","family":"Pangestu","given":"E","non-dropping-particle":"","parse-names":false,"suffix":""},{"dropping-particle":"","family":"Nuswatara","given":"L. K","non-dropping-particle":"","parse-names":false,"suffix":""}],"container-title":"J. Litbang Provinsi Jawa Tengah","id":"ITEM-1","issue":"1","issued":{"date-parts":[["2020"]]},"page":"37-42","title":"Potensi Fermentabilitas Ruminal Hijauan Pakan Kambing","type":"article-journal","volume":"18"},"uris":["http://www.mendeley.com/documents/?uuid=cfa589f4-d83f-4907-a23c-69a83d1c8ed2"]}],"mendeley":{"formattedCitation":"(Barlian et al., 2020)","manualFormatting":"Barlian et al. (2020)","plainTextFormattedCitation":"(Barlian et al., 2020)","previouslyFormattedCitation":"(Barlian et al., 2020)"},"properties":{"noteIndex":0},"schema":"https://github.com/citation-style-language/schema/raw/master/csl-citation.json"}</w:instrText>
      </w:r>
      <w:r w:rsidR="00C22093">
        <w:rPr>
          <w:rFonts w:ascii="Times New Roman" w:hAnsi="Times New Roman"/>
          <w:bCs/>
          <w:lang w:val="en-ID"/>
        </w:rPr>
        <w:fldChar w:fldCharType="separate"/>
      </w:r>
      <w:r w:rsidR="00C22093" w:rsidRPr="00C22093">
        <w:rPr>
          <w:rFonts w:ascii="Times New Roman" w:hAnsi="Times New Roman"/>
          <w:bCs/>
          <w:noProof/>
          <w:lang w:val="en-ID"/>
        </w:rPr>
        <w:t xml:space="preserve">Barlian et al. </w:t>
      </w:r>
      <w:r w:rsidR="00C22093">
        <w:rPr>
          <w:rFonts w:ascii="Times New Roman" w:hAnsi="Times New Roman"/>
          <w:bCs/>
          <w:noProof/>
          <w:lang w:val="en-ID"/>
        </w:rPr>
        <w:t>(</w:t>
      </w:r>
      <w:r w:rsidR="00C22093" w:rsidRPr="00C22093">
        <w:rPr>
          <w:rFonts w:ascii="Times New Roman" w:hAnsi="Times New Roman"/>
          <w:bCs/>
          <w:noProof/>
          <w:lang w:val="en-ID"/>
        </w:rPr>
        <w:t>2020)</w:t>
      </w:r>
      <w:r w:rsidR="00C22093">
        <w:rPr>
          <w:rFonts w:ascii="Times New Roman" w:hAnsi="Times New Roman"/>
          <w:bCs/>
          <w:lang w:val="en-ID"/>
        </w:rPr>
        <w:fldChar w:fldCharType="end"/>
      </w:r>
      <w:r w:rsidR="0033134E" w:rsidRPr="0033134E">
        <w:rPr>
          <w:rFonts w:ascii="Times New Roman" w:hAnsi="Times New Roman"/>
          <w:bCs/>
          <w:lang w:val="en-ID"/>
        </w:rPr>
        <w:t xml:space="preserve">, VFA production is influenced by several factors, including the type of rumen microbes, number of microbial populations, and level of carbohydrate fermentation in the rumen. </w:t>
      </w:r>
    </w:p>
    <w:p w14:paraId="6081FBA6" w14:textId="77777777" w:rsidR="00E647FB" w:rsidRPr="0033134E" w:rsidRDefault="00E647FB" w:rsidP="001F23CB">
      <w:pPr>
        <w:pStyle w:val="Default"/>
        <w:snapToGrid w:val="0"/>
        <w:jc w:val="both"/>
        <w:rPr>
          <w:rFonts w:ascii="Times New Roman" w:hAnsi="Times New Roman"/>
          <w:lang w:val="en-ID"/>
        </w:rPr>
      </w:pPr>
    </w:p>
    <w:p w14:paraId="36246FBE" w14:textId="611DDA96" w:rsidR="001F23CB" w:rsidRPr="00E647FB" w:rsidRDefault="003D3B32" w:rsidP="001F23CB">
      <w:pPr>
        <w:pStyle w:val="subsub"/>
        <w:spacing w:before="0" w:after="0"/>
        <w:rPr>
          <w:b w:val="0"/>
          <w:bCs/>
          <w:i/>
          <w:iCs/>
          <w:sz w:val="24"/>
          <w:szCs w:val="24"/>
          <w:lang w:val="id-ID"/>
        </w:rPr>
      </w:pPr>
      <w:r w:rsidRPr="00E647FB">
        <w:rPr>
          <w:b w:val="0"/>
          <w:bCs/>
          <w:i/>
          <w:iCs/>
          <w:sz w:val="24"/>
          <w:szCs w:val="24"/>
          <w:lang w:val="id-ID"/>
        </w:rPr>
        <w:t>3.1</w:t>
      </w:r>
      <w:r w:rsidR="001F23CB" w:rsidRPr="00E647FB">
        <w:rPr>
          <w:b w:val="0"/>
          <w:bCs/>
          <w:i/>
          <w:iCs/>
          <w:sz w:val="24"/>
          <w:szCs w:val="24"/>
          <w:lang w:val="id-ID"/>
        </w:rPr>
        <w:t>.</w:t>
      </w:r>
      <w:r w:rsidRPr="00E647FB">
        <w:rPr>
          <w:b w:val="0"/>
          <w:bCs/>
          <w:i/>
          <w:iCs/>
          <w:sz w:val="24"/>
          <w:szCs w:val="24"/>
          <w:lang w:val="id-ID"/>
        </w:rPr>
        <w:t>3</w:t>
      </w:r>
      <w:r w:rsidR="001F23CB" w:rsidRPr="00E647FB">
        <w:rPr>
          <w:b w:val="0"/>
          <w:bCs/>
          <w:i/>
          <w:iCs/>
          <w:sz w:val="24"/>
          <w:szCs w:val="24"/>
          <w:lang w:val="id-ID"/>
        </w:rPr>
        <w:t xml:space="preserve"> Ammonia (NH</w:t>
      </w:r>
      <w:r w:rsidR="001F23CB" w:rsidRPr="001F5A53">
        <w:rPr>
          <w:b w:val="0"/>
          <w:bCs/>
          <w:i/>
          <w:iCs/>
          <w:sz w:val="24"/>
          <w:szCs w:val="24"/>
          <w:vertAlign w:val="subscript"/>
          <w:lang w:val="id-ID"/>
        </w:rPr>
        <w:t>3</w:t>
      </w:r>
      <w:r w:rsidR="001F23CB" w:rsidRPr="00E647FB">
        <w:rPr>
          <w:b w:val="0"/>
          <w:bCs/>
          <w:i/>
          <w:iCs/>
          <w:sz w:val="24"/>
          <w:szCs w:val="24"/>
          <w:lang w:val="id-ID"/>
        </w:rPr>
        <w:t>)</w:t>
      </w:r>
    </w:p>
    <w:p w14:paraId="2EDF9561" w14:textId="77777777" w:rsidR="001F23CB" w:rsidRPr="00FE66D8" w:rsidRDefault="001F23CB" w:rsidP="001F23CB">
      <w:pPr>
        <w:pStyle w:val="subsub"/>
        <w:spacing w:before="0" w:after="0"/>
        <w:rPr>
          <w:i/>
          <w:iCs/>
          <w:sz w:val="24"/>
          <w:szCs w:val="24"/>
          <w:u w:val="single"/>
          <w:lang w:val="id-ID"/>
        </w:rPr>
      </w:pPr>
    </w:p>
    <w:p w14:paraId="56E3A502" w14:textId="0276F16C" w:rsidR="0033134E" w:rsidRPr="0033134E" w:rsidRDefault="0033134E" w:rsidP="0033134E">
      <w:pPr>
        <w:jc w:val="both"/>
        <w:rPr>
          <w:rFonts w:ascii="Times New Roman" w:hAnsi="Times New Roman"/>
          <w:sz w:val="24"/>
          <w:szCs w:val="24"/>
          <w:lang w:val="en-ID"/>
        </w:rPr>
      </w:pPr>
      <w:r w:rsidRPr="0033134E">
        <w:rPr>
          <w:rFonts w:ascii="Times New Roman" w:hAnsi="Times New Roman"/>
          <w:sz w:val="24"/>
          <w:szCs w:val="24"/>
          <w:lang w:val="en-ID"/>
        </w:rPr>
        <w:t xml:space="preserve">As shown in Table </w:t>
      </w:r>
      <w:r>
        <w:rPr>
          <w:rFonts w:ascii="Times New Roman" w:hAnsi="Times New Roman"/>
          <w:sz w:val="24"/>
          <w:szCs w:val="24"/>
          <w:lang w:val="en-ID"/>
        </w:rPr>
        <w:t>2</w:t>
      </w:r>
      <w:r w:rsidRPr="0033134E">
        <w:rPr>
          <w:rFonts w:ascii="Times New Roman" w:hAnsi="Times New Roman"/>
          <w:sz w:val="24"/>
          <w:szCs w:val="24"/>
          <w:lang w:val="en-ID"/>
        </w:rPr>
        <w:t>, the average NH</w:t>
      </w:r>
      <w:r w:rsidRPr="00EB2887">
        <w:rPr>
          <w:rFonts w:ascii="Times New Roman" w:hAnsi="Times New Roman"/>
          <w:sz w:val="24"/>
          <w:szCs w:val="24"/>
          <w:vertAlign w:val="subscript"/>
          <w:lang w:val="en-ID"/>
        </w:rPr>
        <w:t>3</w:t>
      </w:r>
      <w:r w:rsidRPr="0033134E">
        <w:rPr>
          <w:rFonts w:ascii="Times New Roman" w:hAnsi="Times New Roman"/>
          <w:sz w:val="24"/>
          <w:szCs w:val="24"/>
          <w:lang w:val="en-ID"/>
        </w:rPr>
        <w:t xml:space="preserve"> production </w:t>
      </w:r>
      <w:r w:rsidR="001F5A53">
        <w:rPr>
          <w:rFonts w:ascii="Times New Roman" w:hAnsi="Times New Roman"/>
          <w:sz w:val="24"/>
          <w:szCs w:val="24"/>
          <w:lang w:val="en-ID"/>
        </w:rPr>
        <w:t xml:space="preserve">between control and treatment group </w:t>
      </w:r>
      <w:r w:rsidRPr="0033134E">
        <w:rPr>
          <w:rFonts w:ascii="Times New Roman" w:hAnsi="Times New Roman"/>
          <w:sz w:val="24"/>
          <w:szCs w:val="24"/>
          <w:lang w:val="en-ID"/>
        </w:rPr>
        <w:t>was significantly different (</w:t>
      </w:r>
      <w:r w:rsidR="001F5A53">
        <w:rPr>
          <w:rFonts w:ascii="Times New Roman" w:hAnsi="Times New Roman"/>
          <w:i/>
          <w:iCs/>
          <w:sz w:val="24"/>
          <w:szCs w:val="24"/>
          <w:lang w:val="en-ID"/>
        </w:rPr>
        <w:t>p</w:t>
      </w:r>
      <w:r w:rsidRPr="0033134E">
        <w:rPr>
          <w:rFonts w:ascii="Times New Roman" w:hAnsi="Times New Roman"/>
          <w:sz w:val="24"/>
          <w:szCs w:val="24"/>
          <w:lang w:val="en-ID"/>
        </w:rPr>
        <w:t>&lt;0.05). The NH</w:t>
      </w:r>
      <w:r w:rsidRPr="001F5A53">
        <w:rPr>
          <w:rFonts w:ascii="Times New Roman" w:hAnsi="Times New Roman"/>
          <w:sz w:val="24"/>
          <w:szCs w:val="24"/>
          <w:vertAlign w:val="subscript"/>
          <w:lang w:val="en-ID"/>
        </w:rPr>
        <w:t>3</w:t>
      </w:r>
      <w:r w:rsidRPr="0033134E">
        <w:rPr>
          <w:rFonts w:ascii="Times New Roman" w:hAnsi="Times New Roman"/>
          <w:sz w:val="24"/>
          <w:szCs w:val="24"/>
          <w:lang w:val="en-ID"/>
        </w:rPr>
        <w:t xml:space="preserve"> production </w:t>
      </w:r>
      <w:r w:rsidR="001F5A53">
        <w:rPr>
          <w:rFonts w:ascii="Times New Roman" w:hAnsi="Times New Roman"/>
          <w:sz w:val="24"/>
          <w:szCs w:val="24"/>
          <w:lang w:val="en-ID"/>
        </w:rPr>
        <w:t>recorded in both control 6.43mM and treatment group was ideal 5.82mM</w:t>
      </w:r>
      <w:r w:rsidRPr="0033134E">
        <w:rPr>
          <w:rFonts w:ascii="Times New Roman" w:hAnsi="Times New Roman"/>
          <w:sz w:val="24"/>
          <w:szCs w:val="24"/>
          <w:lang w:val="en-ID"/>
        </w:rPr>
        <w:t xml:space="preserve"> for supporting rumen microbial growth. </w:t>
      </w:r>
      <w:r w:rsidR="001F5A53">
        <w:rPr>
          <w:rFonts w:ascii="Times New Roman" w:hAnsi="Times New Roman"/>
          <w:sz w:val="24"/>
          <w:szCs w:val="24"/>
          <w:lang w:val="en-ID"/>
        </w:rPr>
        <w:t>Similarly,</w:t>
      </w:r>
      <w:r w:rsidRPr="0033134E">
        <w:rPr>
          <w:rFonts w:ascii="Times New Roman" w:hAnsi="Times New Roman"/>
          <w:sz w:val="24"/>
          <w:szCs w:val="24"/>
          <w:lang w:val="en-ID"/>
        </w:rPr>
        <w:t xml:space="preserve"> </w:t>
      </w:r>
      <w:r w:rsidR="00C22093">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10.36706/JPS.11.1.2022.17204","author":[{"dropping-particle":"","family":"Fariani","given":"Armina","non-dropping-particle":"","parse-names":false,"suffix":""},{"dropping-particle":"","family":"Naidilah","given":"Anggriawan","non-dropping-particle":"","parse-names":false,"suffix":""},{"dropping-particle":"","family":"Pratama","given":"Tetra","non-dropping-particle":"","parse-names":false,"suffix":""},{"dropping-particle":"","family":"Susanda","given":"Aptriansyah","non-dropping-particle":"","parse-names":false,"suffix":""}],"container-title":"J. Peternakan Sriwijaya","id":"ITEM-1","issue":"1","issued":{"date-parts":[["2022"]]},"page":"9-16","title":"Kualitas Silase Pelepah Kelapa Sawit yang Disuplementasi Mineral Seng (Zn) secara In Vitro In Vitro Quality of Oil Palm Fronds Silage Supplemented with Mineral Zinc (Zn)","type":"article-journal","volume":"11"},"uris":["http://www.mendeley.com/documents/?uuid=92882de1-5c0d-4b21-932d-7850f614a4f0"]}],"mendeley":{"formattedCitation":"(Fariani et al., 2022)","manualFormatting":"Fariani et al. (2022)","plainTextFormattedCitation":"(Fariani et al., 2022)","previouslyFormattedCitation":"(Fariani et al., 2022)"},"properties":{"noteIndex":0},"schema":"https://github.com/citation-style-language/schema/raw/master/csl-citation.json"}</w:instrText>
      </w:r>
      <w:r w:rsidR="00C22093">
        <w:rPr>
          <w:rFonts w:ascii="Times New Roman" w:hAnsi="Times New Roman"/>
          <w:sz w:val="24"/>
          <w:szCs w:val="24"/>
          <w:lang w:val="en-ID"/>
        </w:rPr>
        <w:fldChar w:fldCharType="separate"/>
      </w:r>
      <w:r w:rsidR="00C22093" w:rsidRPr="00C22093">
        <w:rPr>
          <w:rFonts w:ascii="Times New Roman" w:hAnsi="Times New Roman"/>
          <w:noProof/>
          <w:sz w:val="24"/>
          <w:szCs w:val="24"/>
          <w:lang w:val="en-ID"/>
        </w:rPr>
        <w:t xml:space="preserve">Fariani et al. </w:t>
      </w:r>
      <w:r w:rsidR="00C22093">
        <w:rPr>
          <w:rFonts w:ascii="Times New Roman" w:hAnsi="Times New Roman"/>
          <w:noProof/>
          <w:sz w:val="24"/>
          <w:szCs w:val="24"/>
          <w:lang w:val="en-ID"/>
        </w:rPr>
        <w:t>(</w:t>
      </w:r>
      <w:r w:rsidR="00C22093" w:rsidRPr="00C22093">
        <w:rPr>
          <w:rFonts w:ascii="Times New Roman" w:hAnsi="Times New Roman"/>
          <w:noProof/>
          <w:sz w:val="24"/>
          <w:szCs w:val="24"/>
          <w:lang w:val="en-ID"/>
        </w:rPr>
        <w:t>2022)</w:t>
      </w:r>
      <w:r w:rsidR="00C22093">
        <w:rPr>
          <w:rFonts w:ascii="Times New Roman" w:hAnsi="Times New Roman"/>
          <w:sz w:val="24"/>
          <w:szCs w:val="24"/>
          <w:lang w:val="en-ID"/>
        </w:rPr>
        <w:fldChar w:fldCharType="end"/>
      </w:r>
      <w:r w:rsidRPr="0033134E">
        <w:rPr>
          <w:rFonts w:ascii="Times New Roman" w:hAnsi="Times New Roman"/>
          <w:sz w:val="24"/>
          <w:szCs w:val="24"/>
          <w:lang w:val="en-ID"/>
        </w:rPr>
        <w:t xml:space="preserve"> the optimal NH</w:t>
      </w:r>
      <w:r w:rsidRPr="001F5A53">
        <w:rPr>
          <w:rFonts w:ascii="Times New Roman" w:hAnsi="Times New Roman"/>
          <w:sz w:val="24"/>
          <w:szCs w:val="24"/>
          <w:vertAlign w:val="subscript"/>
          <w:lang w:val="en-ID"/>
        </w:rPr>
        <w:t>3</w:t>
      </w:r>
      <w:r w:rsidRPr="0033134E">
        <w:rPr>
          <w:rFonts w:ascii="Times New Roman" w:hAnsi="Times New Roman"/>
          <w:sz w:val="24"/>
          <w:szCs w:val="24"/>
          <w:lang w:val="en-ID"/>
        </w:rPr>
        <w:t xml:space="preserve"> production for microbial growth </w:t>
      </w:r>
      <w:r w:rsidR="001F5A53">
        <w:rPr>
          <w:rFonts w:ascii="Times New Roman" w:hAnsi="Times New Roman"/>
          <w:sz w:val="24"/>
          <w:szCs w:val="24"/>
          <w:lang w:val="en-ID"/>
        </w:rPr>
        <w:t>ranges from</w:t>
      </w:r>
      <w:r w:rsidRPr="0033134E">
        <w:rPr>
          <w:rFonts w:ascii="Times New Roman" w:hAnsi="Times New Roman"/>
          <w:sz w:val="24"/>
          <w:szCs w:val="24"/>
          <w:lang w:val="en-ID"/>
        </w:rPr>
        <w:t xml:space="preserve"> 4-12 </w:t>
      </w:r>
      <w:proofErr w:type="spellStart"/>
      <w:r w:rsidRPr="0033134E">
        <w:rPr>
          <w:rFonts w:ascii="Times New Roman" w:hAnsi="Times New Roman"/>
          <w:sz w:val="24"/>
          <w:szCs w:val="24"/>
          <w:lang w:val="en-ID"/>
        </w:rPr>
        <w:t>mM.</w:t>
      </w:r>
      <w:proofErr w:type="spellEnd"/>
      <w:r w:rsidRPr="0033134E">
        <w:rPr>
          <w:rFonts w:ascii="Times New Roman" w:hAnsi="Times New Roman"/>
          <w:sz w:val="24"/>
          <w:szCs w:val="24"/>
          <w:lang w:val="en-ID"/>
        </w:rPr>
        <w:t xml:space="preserve"> </w:t>
      </w:r>
      <w:r w:rsidR="00A369FD" w:rsidRPr="00A369FD">
        <w:rPr>
          <w:rFonts w:ascii="Times New Roman" w:hAnsi="Times New Roman"/>
          <w:sz w:val="24"/>
          <w:szCs w:val="24"/>
          <w:lang w:val="en-ID"/>
        </w:rPr>
        <w:t>The concentration of NH</w:t>
      </w:r>
      <w:r w:rsidR="00A369FD" w:rsidRPr="00EB2887">
        <w:rPr>
          <w:rFonts w:ascii="Times New Roman" w:hAnsi="Times New Roman"/>
          <w:sz w:val="24"/>
          <w:szCs w:val="24"/>
          <w:vertAlign w:val="subscript"/>
          <w:lang w:val="en-ID"/>
        </w:rPr>
        <w:t>3</w:t>
      </w:r>
      <w:r w:rsidR="00A369FD" w:rsidRPr="00A369FD">
        <w:rPr>
          <w:rFonts w:ascii="Times New Roman" w:hAnsi="Times New Roman"/>
          <w:sz w:val="24"/>
          <w:szCs w:val="24"/>
          <w:lang w:val="en-ID"/>
        </w:rPr>
        <w:t xml:space="preserve"> in the treatment group did </w:t>
      </w:r>
      <w:r w:rsidR="00A369FD" w:rsidRPr="00A369FD">
        <w:rPr>
          <w:rFonts w:ascii="Times New Roman" w:hAnsi="Times New Roman"/>
          <w:sz w:val="24"/>
          <w:szCs w:val="24"/>
          <w:lang w:val="en-ID"/>
        </w:rPr>
        <w:lastRenderedPageBreak/>
        <w:t>not difference because the protein content of the feed was protected so that only 40-60% was degraded in the rumen.</w:t>
      </w:r>
      <w:r w:rsidR="00A369FD">
        <w:rPr>
          <w:rFonts w:ascii="Times New Roman" w:hAnsi="Times New Roman"/>
          <w:sz w:val="24"/>
          <w:szCs w:val="24"/>
          <w:lang w:val="en-ID"/>
        </w:rPr>
        <w:t xml:space="preserve"> According to Tanggela et al. (2024), t</w:t>
      </w:r>
      <w:r w:rsidR="00A369FD" w:rsidRPr="00A369FD">
        <w:rPr>
          <w:rFonts w:ascii="Times New Roman" w:hAnsi="Times New Roman"/>
          <w:sz w:val="24"/>
          <w:szCs w:val="24"/>
          <w:lang w:val="en-ID"/>
        </w:rPr>
        <w:t>he concentration of NH</w:t>
      </w:r>
      <w:r w:rsidR="00A369FD" w:rsidRPr="00EB2887">
        <w:rPr>
          <w:rFonts w:ascii="Times New Roman" w:hAnsi="Times New Roman"/>
          <w:sz w:val="24"/>
          <w:szCs w:val="24"/>
          <w:vertAlign w:val="subscript"/>
          <w:lang w:val="en-ID"/>
        </w:rPr>
        <w:t>3</w:t>
      </w:r>
      <w:r w:rsidR="00A369FD" w:rsidRPr="00A369FD">
        <w:rPr>
          <w:rFonts w:ascii="Times New Roman" w:hAnsi="Times New Roman"/>
          <w:sz w:val="24"/>
          <w:szCs w:val="24"/>
          <w:lang w:val="en-ID"/>
        </w:rPr>
        <w:t xml:space="preserve"> increases due to the large amount of protein being degraded in the rumen.</w:t>
      </w:r>
    </w:p>
    <w:p w14:paraId="395BDFE7" w14:textId="77777777" w:rsidR="00E647FB" w:rsidRPr="00E647FB" w:rsidRDefault="00E647FB" w:rsidP="001F23CB">
      <w:pPr>
        <w:rPr>
          <w:rFonts w:ascii="Times New Roman" w:hAnsi="Times New Roman"/>
          <w:b/>
          <w:bCs/>
          <w:color w:val="000000"/>
          <w:sz w:val="24"/>
          <w:szCs w:val="24"/>
          <w:lang w:val="en-ID"/>
        </w:rPr>
      </w:pPr>
    </w:p>
    <w:p w14:paraId="6D3F8CAD" w14:textId="0BD26E4A" w:rsidR="00AF2854" w:rsidRPr="00FE66D8" w:rsidRDefault="003D3B32" w:rsidP="001F23CB">
      <w:pPr>
        <w:rPr>
          <w:rFonts w:ascii="Times New Roman" w:hAnsi="Times New Roman"/>
          <w:b/>
          <w:bCs/>
          <w:color w:val="000000"/>
          <w:sz w:val="24"/>
          <w:szCs w:val="24"/>
        </w:rPr>
      </w:pPr>
      <w:r>
        <w:rPr>
          <w:rFonts w:ascii="Times New Roman" w:hAnsi="Times New Roman"/>
          <w:b/>
          <w:bCs/>
          <w:color w:val="000000"/>
          <w:sz w:val="24"/>
          <w:szCs w:val="24"/>
        </w:rPr>
        <w:t>3.2.</w:t>
      </w:r>
      <w:r w:rsidR="001548DD" w:rsidRPr="00FE66D8">
        <w:rPr>
          <w:rFonts w:ascii="Times New Roman" w:hAnsi="Times New Roman"/>
          <w:b/>
          <w:bCs/>
          <w:color w:val="000000"/>
          <w:sz w:val="24"/>
          <w:szCs w:val="24"/>
        </w:rPr>
        <w:t xml:space="preserve"> </w:t>
      </w:r>
      <w:r w:rsidR="001F5A53">
        <w:rPr>
          <w:rFonts w:ascii="Times New Roman" w:hAnsi="Times New Roman"/>
          <w:b/>
          <w:bCs/>
          <w:color w:val="000000"/>
          <w:sz w:val="24"/>
          <w:szCs w:val="24"/>
        </w:rPr>
        <w:t>Zn soap Supplementation Effect on Production Performance</w:t>
      </w:r>
    </w:p>
    <w:p w14:paraId="4307F12B" w14:textId="77777777" w:rsidR="00AF2854" w:rsidRDefault="00AF2854" w:rsidP="001F23CB">
      <w:pPr>
        <w:rPr>
          <w:rFonts w:ascii="Times New Roman" w:hAnsi="Times New Roman"/>
          <w:b/>
          <w:bCs/>
          <w:color w:val="000000"/>
          <w:sz w:val="24"/>
          <w:szCs w:val="24"/>
        </w:rPr>
      </w:pPr>
    </w:p>
    <w:p w14:paraId="39A3C018" w14:textId="3307E6A9" w:rsidR="0033134E" w:rsidRDefault="0033134E" w:rsidP="0033134E">
      <w:pPr>
        <w:jc w:val="both"/>
        <w:rPr>
          <w:rFonts w:ascii="Times New Roman" w:hAnsi="Times New Roman"/>
          <w:bCs/>
          <w:color w:val="000000"/>
          <w:sz w:val="24"/>
          <w:szCs w:val="24"/>
          <w:lang w:val="en-ID"/>
        </w:rPr>
      </w:pPr>
      <w:r w:rsidRPr="0033134E">
        <w:rPr>
          <w:rFonts w:ascii="Times New Roman" w:hAnsi="Times New Roman"/>
          <w:bCs/>
          <w:color w:val="000000"/>
          <w:sz w:val="24"/>
          <w:szCs w:val="24"/>
          <w:lang w:val="en-ID"/>
        </w:rPr>
        <w:t xml:space="preserve">The milk production, </w:t>
      </w:r>
      <w:r w:rsidR="001F5A53">
        <w:rPr>
          <w:rFonts w:ascii="Times New Roman" w:hAnsi="Times New Roman"/>
          <w:bCs/>
          <w:color w:val="000000"/>
          <w:sz w:val="24"/>
          <w:szCs w:val="24"/>
          <w:lang w:val="en-ID"/>
        </w:rPr>
        <w:t xml:space="preserve">feed </w:t>
      </w:r>
      <w:r w:rsidRPr="0033134E">
        <w:rPr>
          <w:rFonts w:ascii="Times New Roman" w:hAnsi="Times New Roman"/>
          <w:bCs/>
          <w:color w:val="000000"/>
          <w:sz w:val="24"/>
          <w:szCs w:val="24"/>
          <w:lang w:val="en-ID"/>
        </w:rPr>
        <w:t>conversion</w:t>
      </w:r>
      <w:r w:rsidR="001F5A53">
        <w:rPr>
          <w:rFonts w:ascii="Times New Roman" w:hAnsi="Times New Roman"/>
          <w:bCs/>
          <w:color w:val="000000"/>
          <w:sz w:val="24"/>
          <w:szCs w:val="24"/>
          <w:lang w:val="en-ID"/>
        </w:rPr>
        <w:t xml:space="preserve"> ratio</w:t>
      </w:r>
      <w:r w:rsidRPr="0033134E">
        <w:rPr>
          <w:rFonts w:ascii="Times New Roman" w:hAnsi="Times New Roman"/>
          <w:bCs/>
          <w:color w:val="000000"/>
          <w:sz w:val="24"/>
          <w:szCs w:val="24"/>
          <w:lang w:val="en-ID"/>
        </w:rPr>
        <w:t xml:space="preserve">, and feed efficiency </w:t>
      </w:r>
      <w:r w:rsidR="001F5A53">
        <w:rPr>
          <w:rFonts w:ascii="Times New Roman" w:hAnsi="Times New Roman"/>
          <w:bCs/>
          <w:color w:val="000000"/>
          <w:sz w:val="24"/>
          <w:szCs w:val="24"/>
          <w:lang w:val="en-ID"/>
        </w:rPr>
        <w:t xml:space="preserve">ratio </w:t>
      </w:r>
      <w:r w:rsidRPr="0033134E">
        <w:rPr>
          <w:rFonts w:ascii="Times New Roman" w:hAnsi="Times New Roman"/>
          <w:bCs/>
          <w:color w:val="000000"/>
          <w:sz w:val="24"/>
          <w:szCs w:val="24"/>
          <w:lang w:val="en-ID"/>
        </w:rPr>
        <w:t xml:space="preserve">of lactating dairy goats supplemented with Zn soap are presented in Table 3. The results of the independent t-test showed that </w:t>
      </w:r>
      <w:r w:rsidR="00140297">
        <w:rPr>
          <w:rFonts w:ascii="Times New Roman" w:hAnsi="Times New Roman"/>
          <w:bCs/>
          <w:color w:val="000000"/>
          <w:sz w:val="24"/>
          <w:szCs w:val="24"/>
          <w:lang w:val="en-ID"/>
        </w:rPr>
        <w:t>Zn</w:t>
      </w:r>
      <w:r w:rsidRPr="0033134E">
        <w:rPr>
          <w:rFonts w:ascii="Times New Roman" w:hAnsi="Times New Roman"/>
          <w:bCs/>
          <w:color w:val="000000"/>
          <w:sz w:val="24"/>
          <w:szCs w:val="24"/>
          <w:lang w:val="en-ID"/>
        </w:rPr>
        <w:t xml:space="preserve"> soap supplementation had no significant effect on milk production, conversion, or feed efficiency.</w:t>
      </w:r>
    </w:p>
    <w:p w14:paraId="4FAF8DA1" w14:textId="77777777" w:rsidR="00897A79" w:rsidRPr="0033134E" w:rsidRDefault="00897A79" w:rsidP="0033134E">
      <w:pPr>
        <w:jc w:val="both"/>
        <w:rPr>
          <w:rFonts w:ascii="Times New Roman" w:hAnsi="Times New Roman"/>
          <w:bCs/>
          <w:color w:val="000000"/>
          <w:sz w:val="24"/>
          <w:szCs w:val="24"/>
          <w:lang w:val="en-ID"/>
        </w:rPr>
      </w:pPr>
    </w:p>
    <w:p w14:paraId="6E416C6C" w14:textId="38640AF4" w:rsidR="00AF2854" w:rsidRPr="00A07F44" w:rsidRDefault="003D3B32" w:rsidP="00AF2854">
      <w:pPr>
        <w:spacing w:after="120"/>
        <w:rPr>
          <w:rFonts w:ascii="Times New Roman" w:hAnsi="Times New Roman"/>
          <w:b/>
          <w:bCs/>
          <w:color w:val="000000"/>
          <w:sz w:val="24"/>
          <w:szCs w:val="24"/>
          <w:lang w:val="en-ID"/>
        </w:rPr>
      </w:pPr>
      <w:r w:rsidRPr="004B0763">
        <w:rPr>
          <w:rFonts w:ascii="Times New Roman" w:hAnsi="Times New Roman"/>
          <w:b/>
          <w:bCs/>
          <w:color w:val="000000"/>
          <w:sz w:val="24"/>
          <w:szCs w:val="24"/>
          <w:lang w:val="en-ID"/>
        </w:rPr>
        <w:t>Tab</w:t>
      </w:r>
      <w:r w:rsidR="00A07F44" w:rsidRPr="004B0763">
        <w:rPr>
          <w:rFonts w:ascii="Times New Roman" w:hAnsi="Times New Roman"/>
          <w:b/>
          <w:bCs/>
          <w:color w:val="000000"/>
          <w:sz w:val="24"/>
          <w:szCs w:val="24"/>
          <w:lang w:val="en-ID"/>
        </w:rPr>
        <w:t>le</w:t>
      </w:r>
      <w:r w:rsidRPr="004B0763">
        <w:rPr>
          <w:rFonts w:ascii="Times New Roman" w:hAnsi="Times New Roman"/>
          <w:b/>
          <w:bCs/>
          <w:color w:val="000000"/>
          <w:sz w:val="24"/>
          <w:szCs w:val="24"/>
          <w:lang w:val="en-ID"/>
        </w:rPr>
        <w:t xml:space="preserve"> 3</w:t>
      </w:r>
      <w:r w:rsidR="00AF2854" w:rsidRPr="004B0763">
        <w:rPr>
          <w:rFonts w:ascii="Times New Roman" w:hAnsi="Times New Roman"/>
          <w:b/>
          <w:bCs/>
          <w:color w:val="000000"/>
          <w:sz w:val="24"/>
          <w:szCs w:val="24"/>
          <w:lang w:val="en-ID"/>
        </w:rPr>
        <w:t>.</w:t>
      </w:r>
      <w:r w:rsidR="00AF2854" w:rsidRPr="004B0763">
        <w:rPr>
          <w:rFonts w:ascii="Times New Roman" w:hAnsi="Times New Roman"/>
          <w:color w:val="000000"/>
          <w:sz w:val="24"/>
          <w:szCs w:val="24"/>
          <w:lang w:val="en-ID"/>
        </w:rPr>
        <w:t xml:space="preserve"> </w:t>
      </w:r>
      <w:r w:rsidR="00A07F44" w:rsidRPr="001F5A53">
        <w:rPr>
          <w:rFonts w:ascii="Times New Roman" w:hAnsi="Times New Roman"/>
          <w:color w:val="000000"/>
          <w:sz w:val="24"/>
          <w:szCs w:val="24"/>
          <w:lang w:val="en-ID"/>
        </w:rPr>
        <w:t>Milk production, feed conversion and efficiency</w:t>
      </w:r>
    </w:p>
    <w:tbl>
      <w:tblPr>
        <w:tblW w:w="8114" w:type="dxa"/>
        <w:tblInd w:w="108" w:type="dxa"/>
        <w:tblBorders>
          <w:top w:val="double" w:sz="4" w:space="0" w:color="auto"/>
        </w:tblBorders>
        <w:tblLayout w:type="fixed"/>
        <w:tblLook w:val="0000" w:firstRow="0" w:lastRow="0" w:firstColumn="0" w:lastColumn="0" w:noHBand="0" w:noVBand="0"/>
      </w:tblPr>
      <w:tblGrid>
        <w:gridCol w:w="3153"/>
        <w:gridCol w:w="1134"/>
        <w:gridCol w:w="1275"/>
        <w:gridCol w:w="1276"/>
        <w:gridCol w:w="1276"/>
      </w:tblGrid>
      <w:tr w:rsidR="007463CB" w:rsidRPr="00FE66D8" w14:paraId="50E2BA72" w14:textId="77777777" w:rsidTr="00A67725">
        <w:trPr>
          <w:trHeight w:val="288"/>
        </w:trPr>
        <w:tc>
          <w:tcPr>
            <w:tcW w:w="3153" w:type="dxa"/>
            <w:tcBorders>
              <w:top w:val="single" w:sz="4" w:space="0" w:color="auto"/>
              <w:bottom w:val="single" w:sz="4" w:space="0" w:color="auto"/>
            </w:tcBorders>
            <w:vAlign w:val="center"/>
          </w:tcPr>
          <w:p w14:paraId="6A6406DF" w14:textId="77777777" w:rsidR="007463CB" w:rsidRPr="00FE66D8" w:rsidRDefault="007463CB" w:rsidP="00A67725">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Parameter</w:t>
            </w:r>
          </w:p>
        </w:tc>
        <w:tc>
          <w:tcPr>
            <w:tcW w:w="1134" w:type="dxa"/>
            <w:tcBorders>
              <w:top w:val="single" w:sz="4" w:space="0" w:color="auto"/>
              <w:bottom w:val="single" w:sz="4" w:space="0" w:color="auto"/>
            </w:tcBorders>
          </w:tcPr>
          <w:p w14:paraId="1A689997" w14:textId="77777777" w:rsidR="007463CB" w:rsidRPr="00FE66D8" w:rsidRDefault="007463CB" w:rsidP="00A67725">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T0</w:t>
            </w:r>
          </w:p>
        </w:tc>
        <w:tc>
          <w:tcPr>
            <w:tcW w:w="1275" w:type="dxa"/>
            <w:tcBorders>
              <w:top w:val="single" w:sz="4" w:space="0" w:color="auto"/>
              <w:bottom w:val="single" w:sz="4" w:space="0" w:color="auto"/>
            </w:tcBorders>
          </w:tcPr>
          <w:p w14:paraId="39D90402" w14:textId="77777777" w:rsidR="007463CB" w:rsidRPr="00FE66D8" w:rsidRDefault="007463CB" w:rsidP="00A67725">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T1</w:t>
            </w:r>
          </w:p>
        </w:tc>
        <w:tc>
          <w:tcPr>
            <w:tcW w:w="1276" w:type="dxa"/>
            <w:tcBorders>
              <w:top w:val="single" w:sz="4" w:space="0" w:color="auto"/>
              <w:bottom w:val="single" w:sz="4" w:space="0" w:color="auto"/>
            </w:tcBorders>
            <w:vAlign w:val="center"/>
          </w:tcPr>
          <w:p w14:paraId="557B8582" w14:textId="77777777" w:rsidR="007463CB" w:rsidRPr="00FE66D8" w:rsidRDefault="007463CB" w:rsidP="00A67725">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SEM</w:t>
            </w:r>
          </w:p>
        </w:tc>
        <w:tc>
          <w:tcPr>
            <w:tcW w:w="1276" w:type="dxa"/>
            <w:tcBorders>
              <w:top w:val="single" w:sz="4" w:space="0" w:color="auto"/>
              <w:bottom w:val="single" w:sz="4" w:space="0" w:color="auto"/>
            </w:tcBorders>
            <w:vAlign w:val="center"/>
          </w:tcPr>
          <w:p w14:paraId="7EBDC2AF" w14:textId="4F635F5B" w:rsidR="007463CB" w:rsidRPr="00FE66D8" w:rsidRDefault="007463CB" w:rsidP="00A67725">
            <w:pPr>
              <w:autoSpaceDE w:val="0"/>
              <w:autoSpaceDN w:val="0"/>
              <w:adjustRightInd w:val="0"/>
              <w:rPr>
                <w:rFonts w:ascii="Times New Roman" w:hAnsi="Times New Roman"/>
                <w:color w:val="000000"/>
                <w:sz w:val="24"/>
                <w:szCs w:val="24"/>
              </w:rPr>
            </w:pPr>
            <w:r w:rsidRPr="001F5A53">
              <w:rPr>
                <w:rFonts w:ascii="Times New Roman" w:hAnsi="Times New Roman"/>
                <w:i/>
                <w:iCs/>
                <w:color w:val="000000"/>
                <w:sz w:val="24"/>
                <w:szCs w:val="24"/>
              </w:rPr>
              <w:t>p</w:t>
            </w:r>
            <w:r w:rsidRPr="00FE66D8">
              <w:rPr>
                <w:rFonts w:ascii="Times New Roman" w:hAnsi="Times New Roman"/>
                <w:color w:val="000000"/>
                <w:sz w:val="24"/>
                <w:szCs w:val="24"/>
              </w:rPr>
              <w:t>-Value</w:t>
            </w:r>
          </w:p>
        </w:tc>
      </w:tr>
      <w:tr w:rsidR="00AF2854" w:rsidRPr="00FE66D8" w14:paraId="6BBFA959" w14:textId="77777777" w:rsidTr="00A67725">
        <w:trPr>
          <w:trHeight w:val="288"/>
        </w:trPr>
        <w:tc>
          <w:tcPr>
            <w:tcW w:w="3153" w:type="dxa"/>
            <w:tcBorders>
              <w:top w:val="single" w:sz="4" w:space="0" w:color="auto"/>
              <w:bottom w:val="nil"/>
            </w:tcBorders>
          </w:tcPr>
          <w:p w14:paraId="08A2146E" w14:textId="25D18EFF" w:rsidR="00AF2854" w:rsidRPr="00A07F44" w:rsidRDefault="00A07F44" w:rsidP="007463CB">
            <w:pPr>
              <w:autoSpaceDE w:val="0"/>
              <w:autoSpaceDN w:val="0"/>
              <w:adjustRightInd w:val="0"/>
              <w:ind w:firstLine="32"/>
              <w:rPr>
                <w:rFonts w:ascii="Times New Roman" w:hAnsi="Times New Roman"/>
                <w:color w:val="000000"/>
                <w:sz w:val="24"/>
                <w:szCs w:val="24"/>
                <w:lang w:val="en-ID"/>
              </w:rPr>
            </w:pPr>
            <w:r w:rsidRPr="00A07F44">
              <w:rPr>
                <w:rFonts w:ascii="Times New Roman" w:hAnsi="Times New Roman"/>
                <w:color w:val="000000"/>
                <w:sz w:val="24"/>
                <w:szCs w:val="24"/>
                <w:lang w:val="en-ID"/>
              </w:rPr>
              <w:t>Milk Production</w:t>
            </w:r>
            <w:r w:rsidR="007463CB" w:rsidRPr="00A07F44">
              <w:rPr>
                <w:rFonts w:ascii="Times New Roman" w:hAnsi="Times New Roman"/>
                <w:color w:val="000000"/>
                <w:sz w:val="24"/>
                <w:szCs w:val="24"/>
                <w:lang w:val="en-ID"/>
              </w:rPr>
              <w:t xml:space="preserve"> (g/</w:t>
            </w:r>
            <w:r>
              <w:rPr>
                <w:rFonts w:ascii="Times New Roman" w:hAnsi="Times New Roman"/>
                <w:color w:val="000000"/>
                <w:sz w:val="24"/>
                <w:szCs w:val="24"/>
                <w:lang w:val="en-ID"/>
              </w:rPr>
              <w:t>head</w:t>
            </w:r>
            <w:r w:rsidR="007463CB" w:rsidRPr="00A07F44">
              <w:rPr>
                <w:rFonts w:ascii="Times New Roman" w:hAnsi="Times New Roman"/>
                <w:color w:val="000000"/>
                <w:sz w:val="24"/>
                <w:szCs w:val="24"/>
                <w:lang w:val="en-ID"/>
              </w:rPr>
              <w:t>/</w:t>
            </w:r>
            <w:r>
              <w:rPr>
                <w:rFonts w:ascii="Times New Roman" w:hAnsi="Times New Roman"/>
                <w:color w:val="000000"/>
                <w:sz w:val="24"/>
                <w:szCs w:val="24"/>
                <w:lang w:val="en-ID"/>
              </w:rPr>
              <w:t>day</w:t>
            </w:r>
            <w:r w:rsidR="007463CB" w:rsidRPr="00A07F44">
              <w:rPr>
                <w:rFonts w:ascii="Times New Roman" w:hAnsi="Times New Roman"/>
                <w:color w:val="000000"/>
                <w:sz w:val="24"/>
                <w:szCs w:val="24"/>
                <w:lang w:val="en-ID"/>
              </w:rPr>
              <w:t>)</w:t>
            </w:r>
          </w:p>
        </w:tc>
        <w:tc>
          <w:tcPr>
            <w:tcW w:w="1134" w:type="dxa"/>
            <w:tcBorders>
              <w:top w:val="single" w:sz="4" w:space="0" w:color="auto"/>
              <w:bottom w:val="nil"/>
            </w:tcBorders>
          </w:tcPr>
          <w:p w14:paraId="4CF673E3" w14:textId="0893F96E" w:rsidR="00AF2854" w:rsidRPr="00FE66D8" w:rsidRDefault="001B26C2" w:rsidP="007463CB">
            <w:pPr>
              <w:jc w:val="right"/>
              <w:rPr>
                <w:rFonts w:ascii="Times New Roman" w:hAnsi="Times New Roman"/>
                <w:color w:val="000000"/>
                <w:sz w:val="24"/>
                <w:szCs w:val="24"/>
              </w:rPr>
            </w:pPr>
            <w:r w:rsidRPr="00FE66D8">
              <w:rPr>
                <w:rFonts w:ascii="Times New Roman" w:hAnsi="Times New Roman"/>
                <w:color w:val="000000"/>
                <w:sz w:val="24"/>
                <w:szCs w:val="24"/>
              </w:rPr>
              <w:t>1267</w:t>
            </w:r>
            <w:r w:rsidR="00A81194">
              <w:rPr>
                <w:rFonts w:ascii="Times New Roman" w:hAnsi="Times New Roman"/>
                <w:color w:val="000000"/>
                <w:sz w:val="24"/>
                <w:szCs w:val="24"/>
              </w:rPr>
              <w:t>.</w:t>
            </w:r>
            <w:r w:rsidRPr="00FE66D8">
              <w:rPr>
                <w:rFonts w:ascii="Times New Roman" w:hAnsi="Times New Roman"/>
                <w:color w:val="000000"/>
                <w:sz w:val="24"/>
                <w:szCs w:val="24"/>
              </w:rPr>
              <w:t>66</w:t>
            </w:r>
          </w:p>
        </w:tc>
        <w:tc>
          <w:tcPr>
            <w:tcW w:w="1275" w:type="dxa"/>
            <w:tcBorders>
              <w:top w:val="single" w:sz="4" w:space="0" w:color="auto"/>
              <w:bottom w:val="nil"/>
            </w:tcBorders>
          </w:tcPr>
          <w:p w14:paraId="25C8A096" w14:textId="41A71B82" w:rsidR="00AF2854" w:rsidRPr="00FE66D8" w:rsidRDefault="006017AB" w:rsidP="007463CB">
            <w:pPr>
              <w:jc w:val="right"/>
              <w:rPr>
                <w:rFonts w:ascii="Times New Roman" w:hAnsi="Times New Roman"/>
                <w:color w:val="000000"/>
                <w:sz w:val="24"/>
                <w:szCs w:val="24"/>
              </w:rPr>
            </w:pPr>
            <w:r w:rsidRPr="00FE66D8">
              <w:rPr>
                <w:rFonts w:ascii="Times New Roman" w:hAnsi="Times New Roman"/>
                <w:color w:val="000000"/>
                <w:sz w:val="24"/>
                <w:szCs w:val="24"/>
              </w:rPr>
              <w:t>1380</w:t>
            </w:r>
            <w:r w:rsidR="00A81194">
              <w:rPr>
                <w:rFonts w:ascii="Times New Roman" w:hAnsi="Times New Roman"/>
                <w:color w:val="000000"/>
                <w:sz w:val="24"/>
                <w:szCs w:val="24"/>
              </w:rPr>
              <w:t>.</w:t>
            </w:r>
            <w:r w:rsidRPr="00FE66D8">
              <w:rPr>
                <w:rFonts w:ascii="Times New Roman" w:hAnsi="Times New Roman"/>
                <w:color w:val="000000"/>
                <w:sz w:val="24"/>
                <w:szCs w:val="24"/>
              </w:rPr>
              <w:t>47</w:t>
            </w:r>
          </w:p>
        </w:tc>
        <w:tc>
          <w:tcPr>
            <w:tcW w:w="1276" w:type="dxa"/>
            <w:tcBorders>
              <w:top w:val="single" w:sz="4" w:space="0" w:color="auto"/>
              <w:bottom w:val="nil"/>
            </w:tcBorders>
          </w:tcPr>
          <w:p w14:paraId="1CC55B28" w14:textId="23CCE22A" w:rsidR="00AF2854" w:rsidRPr="00FE66D8" w:rsidRDefault="002B4AF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124</w:t>
            </w:r>
            <w:r w:rsidR="00A81194">
              <w:rPr>
                <w:rFonts w:ascii="Times New Roman" w:hAnsi="Times New Roman"/>
                <w:color w:val="000000"/>
                <w:sz w:val="24"/>
                <w:szCs w:val="24"/>
              </w:rPr>
              <w:t>.</w:t>
            </w:r>
            <w:r w:rsidRPr="00FE66D8">
              <w:rPr>
                <w:rFonts w:ascii="Times New Roman" w:hAnsi="Times New Roman"/>
                <w:color w:val="000000"/>
                <w:sz w:val="24"/>
                <w:szCs w:val="24"/>
              </w:rPr>
              <w:t>01</w:t>
            </w:r>
          </w:p>
        </w:tc>
        <w:tc>
          <w:tcPr>
            <w:tcW w:w="1276" w:type="dxa"/>
            <w:tcBorders>
              <w:top w:val="single" w:sz="4" w:space="0" w:color="auto"/>
              <w:bottom w:val="nil"/>
            </w:tcBorders>
          </w:tcPr>
          <w:p w14:paraId="5A46DE01" w14:textId="3FA8B3E6" w:rsidR="00AF2854" w:rsidRPr="00FE66D8" w:rsidRDefault="00AF0FAE"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381</w:t>
            </w:r>
          </w:p>
        </w:tc>
      </w:tr>
      <w:tr w:rsidR="007463CB" w:rsidRPr="00FE66D8" w14:paraId="1B81D9EB" w14:textId="77777777" w:rsidTr="007463CB">
        <w:trPr>
          <w:trHeight w:val="288"/>
        </w:trPr>
        <w:tc>
          <w:tcPr>
            <w:tcW w:w="3153" w:type="dxa"/>
            <w:tcBorders>
              <w:top w:val="nil"/>
              <w:bottom w:val="nil"/>
            </w:tcBorders>
          </w:tcPr>
          <w:p w14:paraId="5E5E09A4" w14:textId="014674E1" w:rsidR="007463CB" w:rsidRPr="00FE66D8" w:rsidRDefault="001F5A53" w:rsidP="00B03354">
            <w:pPr>
              <w:autoSpaceDE w:val="0"/>
              <w:autoSpaceDN w:val="0"/>
              <w:adjustRightInd w:val="0"/>
              <w:ind w:firstLine="32"/>
              <w:rPr>
                <w:rFonts w:ascii="Times New Roman" w:hAnsi="Times New Roman"/>
                <w:color w:val="000000"/>
                <w:sz w:val="24"/>
                <w:szCs w:val="24"/>
              </w:rPr>
            </w:pPr>
            <w:r>
              <w:rPr>
                <w:rFonts w:ascii="Times New Roman" w:hAnsi="Times New Roman"/>
                <w:color w:val="000000"/>
                <w:sz w:val="24"/>
                <w:szCs w:val="24"/>
              </w:rPr>
              <w:t xml:space="preserve">Feed </w:t>
            </w:r>
            <w:r w:rsidR="00A07F44">
              <w:rPr>
                <w:rFonts w:ascii="Times New Roman" w:hAnsi="Times New Roman"/>
                <w:color w:val="000000"/>
                <w:sz w:val="24"/>
                <w:szCs w:val="24"/>
              </w:rPr>
              <w:t>Conversion</w:t>
            </w:r>
            <w:r>
              <w:rPr>
                <w:rFonts w:ascii="Times New Roman" w:hAnsi="Times New Roman"/>
                <w:color w:val="000000"/>
                <w:sz w:val="24"/>
                <w:szCs w:val="24"/>
              </w:rPr>
              <w:t xml:space="preserve"> Ratio</w:t>
            </w:r>
          </w:p>
        </w:tc>
        <w:tc>
          <w:tcPr>
            <w:tcW w:w="1134" w:type="dxa"/>
            <w:tcBorders>
              <w:top w:val="nil"/>
              <w:bottom w:val="nil"/>
            </w:tcBorders>
          </w:tcPr>
          <w:p w14:paraId="58A4D03D" w14:textId="60DA27EA"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1</w:t>
            </w:r>
            <w:r w:rsidR="00A81194">
              <w:rPr>
                <w:rFonts w:ascii="Times New Roman" w:hAnsi="Times New Roman"/>
                <w:color w:val="000000"/>
                <w:sz w:val="24"/>
                <w:szCs w:val="24"/>
              </w:rPr>
              <w:t>.</w:t>
            </w:r>
            <w:r w:rsidRPr="00FE66D8">
              <w:rPr>
                <w:rFonts w:ascii="Times New Roman" w:hAnsi="Times New Roman"/>
                <w:color w:val="000000"/>
                <w:sz w:val="24"/>
                <w:szCs w:val="24"/>
              </w:rPr>
              <w:t>65</w:t>
            </w:r>
          </w:p>
        </w:tc>
        <w:tc>
          <w:tcPr>
            <w:tcW w:w="1275" w:type="dxa"/>
            <w:tcBorders>
              <w:top w:val="nil"/>
              <w:bottom w:val="nil"/>
            </w:tcBorders>
          </w:tcPr>
          <w:p w14:paraId="45D59112" w14:textId="52A0B112"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1</w:t>
            </w:r>
            <w:r w:rsidR="00A81194">
              <w:rPr>
                <w:rFonts w:ascii="Times New Roman" w:hAnsi="Times New Roman"/>
                <w:color w:val="000000"/>
                <w:sz w:val="24"/>
                <w:szCs w:val="24"/>
              </w:rPr>
              <w:t>.</w:t>
            </w:r>
            <w:r w:rsidRPr="00FE66D8">
              <w:rPr>
                <w:rFonts w:ascii="Times New Roman" w:hAnsi="Times New Roman"/>
                <w:color w:val="000000"/>
                <w:sz w:val="24"/>
                <w:szCs w:val="24"/>
              </w:rPr>
              <w:t>58</w:t>
            </w:r>
          </w:p>
        </w:tc>
        <w:tc>
          <w:tcPr>
            <w:tcW w:w="1276" w:type="dxa"/>
            <w:tcBorders>
              <w:top w:val="nil"/>
              <w:bottom w:val="nil"/>
            </w:tcBorders>
          </w:tcPr>
          <w:p w14:paraId="2D2B425F" w14:textId="4B21FE8F"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13</w:t>
            </w:r>
          </w:p>
        </w:tc>
        <w:tc>
          <w:tcPr>
            <w:tcW w:w="1276" w:type="dxa"/>
            <w:tcBorders>
              <w:top w:val="nil"/>
              <w:bottom w:val="nil"/>
            </w:tcBorders>
          </w:tcPr>
          <w:p w14:paraId="6F9E0063" w14:textId="177A9A85"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613</w:t>
            </w:r>
          </w:p>
        </w:tc>
      </w:tr>
      <w:tr w:rsidR="007463CB" w:rsidRPr="00FE66D8" w14:paraId="6A742E06" w14:textId="77777777" w:rsidTr="007463CB">
        <w:trPr>
          <w:trHeight w:val="288"/>
        </w:trPr>
        <w:tc>
          <w:tcPr>
            <w:tcW w:w="3153" w:type="dxa"/>
            <w:tcBorders>
              <w:top w:val="nil"/>
              <w:bottom w:val="single" w:sz="4" w:space="0" w:color="auto"/>
            </w:tcBorders>
          </w:tcPr>
          <w:p w14:paraId="55AE1C24" w14:textId="6112A175" w:rsidR="007463CB" w:rsidRPr="00FE66D8" w:rsidRDefault="001F5A53" w:rsidP="00B03354">
            <w:pPr>
              <w:autoSpaceDE w:val="0"/>
              <w:autoSpaceDN w:val="0"/>
              <w:adjustRightInd w:val="0"/>
              <w:ind w:firstLine="32"/>
              <w:rPr>
                <w:rFonts w:ascii="Times New Roman" w:hAnsi="Times New Roman"/>
                <w:color w:val="000000"/>
                <w:sz w:val="24"/>
                <w:szCs w:val="24"/>
              </w:rPr>
            </w:pPr>
            <w:r>
              <w:rPr>
                <w:rFonts w:ascii="Times New Roman" w:hAnsi="Times New Roman"/>
                <w:color w:val="000000"/>
                <w:sz w:val="24"/>
                <w:szCs w:val="24"/>
              </w:rPr>
              <w:t xml:space="preserve">Feed </w:t>
            </w:r>
            <w:r w:rsidR="007463CB" w:rsidRPr="00FE66D8">
              <w:rPr>
                <w:rFonts w:ascii="Times New Roman" w:hAnsi="Times New Roman"/>
                <w:color w:val="000000"/>
                <w:sz w:val="24"/>
                <w:szCs w:val="24"/>
              </w:rPr>
              <w:t>Ef</w:t>
            </w:r>
            <w:r w:rsidR="00A07F44">
              <w:rPr>
                <w:rFonts w:ascii="Times New Roman" w:hAnsi="Times New Roman"/>
                <w:color w:val="000000"/>
                <w:sz w:val="24"/>
                <w:szCs w:val="24"/>
              </w:rPr>
              <w:t>ficiency</w:t>
            </w:r>
            <w:r>
              <w:rPr>
                <w:rFonts w:ascii="Times New Roman" w:hAnsi="Times New Roman"/>
                <w:color w:val="000000"/>
                <w:sz w:val="24"/>
                <w:szCs w:val="24"/>
              </w:rPr>
              <w:t xml:space="preserve"> Ratio</w:t>
            </w:r>
          </w:p>
        </w:tc>
        <w:tc>
          <w:tcPr>
            <w:tcW w:w="1134" w:type="dxa"/>
            <w:tcBorders>
              <w:top w:val="nil"/>
              <w:bottom w:val="single" w:sz="4" w:space="0" w:color="auto"/>
            </w:tcBorders>
          </w:tcPr>
          <w:p w14:paraId="137A7184" w14:textId="1675B978"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61</w:t>
            </w:r>
            <w:r w:rsidR="00A81194">
              <w:rPr>
                <w:rFonts w:ascii="Times New Roman" w:hAnsi="Times New Roman"/>
                <w:color w:val="000000"/>
                <w:sz w:val="24"/>
                <w:szCs w:val="24"/>
              </w:rPr>
              <w:t>.</w:t>
            </w:r>
            <w:r w:rsidRPr="00FE66D8">
              <w:rPr>
                <w:rFonts w:ascii="Times New Roman" w:hAnsi="Times New Roman"/>
                <w:color w:val="000000"/>
                <w:sz w:val="24"/>
                <w:szCs w:val="24"/>
              </w:rPr>
              <w:t>90</w:t>
            </w:r>
          </w:p>
        </w:tc>
        <w:tc>
          <w:tcPr>
            <w:tcW w:w="1275" w:type="dxa"/>
            <w:tcBorders>
              <w:top w:val="nil"/>
              <w:bottom w:val="single" w:sz="4" w:space="0" w:color="auto"/>
            </w:tcBorders>
          </w:tcPr>
          <w:p w14:paraId="5B617FA9" w14:textId="0BE0A3F2"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65</w:t>
            </w:r>
            <w:r w:rsidR="00A81194">
              <w:rPr>
                <w:rFonts w:ascii="Times New Roman" w:hAnsi="Times New Roman"/>
                <w:color w:val="000000"/>
                <w:sz w:val="24"/>
                <w:szCs w:val="24"/>
              </w:rPr>
              <w:t>.</w:t>
            </w:r>
            <w:r w:rsidRPr="00FE66D8">
              <w:rPr>
                <w:rFonts w:ascii="Times New Roman" w:hAnsi="Times New Roman"/>
                <w:color w:val="000000"/>
                <w:sz w:val="24"/>
                <w:szCs w:val="24"/>
              </w:rPr>
              <w:t>20</w:t>
            </w:r>
          </w:p>
        </w:tc>
        <w:tc>
          <w:tcPr>
            <w:tcW w:w="1276" w:type="dxa"/>
            <w:tcBorders>
              <w:top w:val="nil"/>
              <w:bottom w:val="single" w:sz="4" w:space="0" w:color="auto"/>
            </w:tcBorders>
          </w:tcPr>
          <w:p w14:paraId="466B64C4" w14:textId="361EDCA4"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5</w:t>
            </w:r>
            <w:r w:rsidR="00A81194">
              <w:rPr>
                <w:rFonts w:ascii="Times New Roman" w:hAnsi="Times New Roman"/>
                <w:color w:val="000000"/>
                <w:sz w:val="24"/>
                <w:szCs w:val="24"/>
              </w:rPr>
              <w:t>.</w:t>
            </w:r>
            <w:r w:rsidRPr="00FE66D8">
              <w:rPr>
                <w:rFonts w:ascii="Times New Roman" w:hAnsi="Times New Roman"/>
                <w:color w:val="000000"/>
                <w:sz w:val="24"/>
                <w:szCs w:val="24"/>
              </w:rPr>
              <w:t>90</w:t>
            </w:r>
          </w:p>
        </w:tc>
        <w:tc>
          <w:tcPr>
            <w:tcW w:w="1276" w:type="dxa"/>
            <w:tcBorders>
              <w:top w:val="nil"/>
              <w:bottom w:val="single" w:sz="4" w:space="0" w:color="auto"/>
            </w:tcBorders>
          </w:tcPr>
          <w:p w14:paraId="21057C09" w14:textId="422B3514"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586</w:t>
            </w:r>
          </w:p>
        </w:tc>
      </w:tr>
    </w:tbl>
    <w:p w14:paraId="7DF8FD8E" w14:textId="77777777" w:rsidR="00AF2854" w:rsidRDefault="00AF2854" w:rsidP="001F23CB">
      <w:pPr>
        <w:rPr>
          <w:rFonts w:ascii="Times New Roman" w:hAnsi="Times New Roman"/>
          <w:b/>
          <w:bCs/>
          <w:color w:val="000000"/>
          <w:sz w:val="24"/>
          <w:szCs w:val="24"/>
        </w:rPr>
      </w:pPr>
    </w:p>
    <w:p w14:paraId="70160B3A" w14:textId="1E8941E6" w:rsidR="003D3B32" w:rsidRPr="00A90238" w:rsidRDefault="003D3B32" w:rsidP="003D3B32">
      <w:pPr>
        <w:pStyle w:val="Head1"/>
        <w:spacing w:after="0"/>
        <w:jc w:val="both"/>
        <w:rPr>
          <w:rFonts w:ascii="Times New Roman" w:hAnsi="Times New Roman"/>
          <w:b w:val="0"/>
          <w:bCs/>
          <w:i/>
          <w:caps w:val="0"/>
          <w:sz w:val="24"/>
          <w:szCs w:val="24"/>
          <w:lang w:val="en-ID"/>
        </w:rPr>
      </w:pPr>
      <w:r>
        <w:rPr>
          <w:rFonts w:ascii="Times New Roman" w:hAnsi="Times New Roman"/>
          <w:b w:val="0"/>
          <w:bCs/>
          <w:i/>
          <w:caps w:val="0"/>
          <w:sz w:val="24"/>
          <w:szCs w:val="24"/>
          <w:lang w:val="en-ID"/>
        </w:rPr>
        <w:t>3.2</w:t>
      </w:r>
      <w:r w:rsidRPr="00A90238">
        <w:rPr>
          <w:rFonts w:ascii="Times New Roman" w:hAnsi="Times New Roman"/>
          <w:b w:val="0"/>
          <w:bCs/>
          <w:i/>
          <w:caps w:val="0"/>
          <w:sz w:val="24"/>
          <w:szCs w:val="24"/>
          <w:lang w:val="en-ID"/>
        </w:rPr>
        <w:t>.</w:t>
      </w:r>
      <w:r>
        <w:rPr>
          <w:rFonts w:ascii="Times New Roman" w:hAnsi="Times New Roman"/>
          <w:b w:val="0"/>
          <w:bCs/>
          <w:i/>
          <w:caps w:val="0"/>
          <w:sz w:val="24"/>
          <w:szCs w:val="24"/>
          <w:lang w:val="en-ID"/>
        </w:rPr>
        <w:t>1</w:t>
      </w:r>
      <w:r w:rsidRPr="00A90238">
        <w:rPr>
          <w:rFonts w:ascii="Times New Roman" w:hAnsi="Times New Roman"/>
          <w:b w:val="0"/>
          <w:bCs/>
          <w:i/>
          <w:caps w:val="0"/>
          <w:sz w:val="24"/>
          <w:szCs w:val="24"/>
          <w:lang w:val="en-ID"/>
        </w:rPr>
        <w:t xml:space="preserve">. </w:t>
      </w:r>
      <w:r w:rsidR="00A07F44">
        <w:rPr>
          <w:rFonts w:ascii="Times New Roman" w:hAnsi="Times New Roman"/>
          <w:b w:val="0"/>
          <w:bCs/>
          <w:i/>
          <w:caps w:val="0"/>
          <w:sz w:val="24"/>
          <w:szCs w:val="24"/>
          <w:lang w:val="en-ID"/>
        </w:rPr>
        <w:t>Milk Production</w:t>
      </w:r>
    </w:p>
    <w:p w14:paraId="0009DC1E" w14:textId="77777777" w:rsidR="007463CB" w:rsidRPr="00FE66D8" w:rsidRDefault="007463CB" w:rsidP="001F23CB">
      <w:pPr>
        <w:rPr>
          <w:rFonts w:ascii="Times New Roman" w:hAnsi="Times New Roman"/>
          <w:b/>
          <w:bCs/>
          <w:color w:val="000000"/>
          <w:sz w:val="24"/>
          <w:szCs w:val="24"/>
        </w:rPr>
      </w:pPr>
    </w:p>
    <w:p w14:paraId="00D009BB" w14:textId="2D3DFC8B" w:rsidR="0033134E" w:rsidRPr="0033134E" w:rsidRDefault="00140297" w:rsidP="0033134E">
      <w:pPr>
        <w:jc w:val="both"/>
        <w:rPr>
          <w:rFonts w:ascii="Times New Roman" w:hAnsi="Times New Roman"/>
          <w:color w:val="000000"/>
          <w:sz w:val="24"/>
          <w:szCs w:val="24"/>
          <w:lang w:val="en-ID"/>
        </w:rPr>
      </w:pPr>
      <w:r>
        <w:rPr>
          <w:rFonts w:ascii="Times New Roman" w:hAnsi="Times New Roman"/>
          <w:color w:val="000000"/>
          <w:sz w:val="24"/>
          <w:szCs w:val="24"/>
          <w:lang w:val="en-ID"/>
        </w:rPr>
        <w:t>Zn</w:t>
      </w:r>
      <w:r w:rsidR="0033134E" w:rsidRPr="0033134E">
        <w:rPr>
          <w:rFonts w:ascii="Times New Roman" w:hAnsi="Times New Roman"/>
          <w:color w:val="000000"/>
          <w:sz w:val="24"/>
          <w:szCs w:val="24"/>
          <w:lang w:val="en-ID"/>
        </w:rPr>
        <w:t xml:space="preserve"> soap supplementation had no effect on milk production (</w:t>
      </w:r>
      <w:r w:rsidR="001F5A53">
        <w:rPr>
          <w:rFonts w:ascii="Times New Roman" w:hAnsi="Times New Roman"/>
          <w:i/>
          <w:iCs/>
          <w:color w:val="000000"/>
          <w:sz w:val="24"/>
          <w:szCs w:val="24"/>
          <w:lang w:val="en-ID"/>
        </w:rPr>
        <w:t>p</w:t>
      </w:r>
      <w:r w:rsidR="0033134E" w:rsidRPr="0033134E">
        <w:rPr>
          <w:rFonts w:ascii="Times New Roman" w:hAnsi="Times New Roman"/>
          <w:color w:val="000000"/>
          <w:sz w:val="24"/>
          <w:szCs w:val="24"/>
          <w:lang w:val="en-ID"/>
        </w:rPr>
        <w:t xml:space="preserve">&gt;0.05). This milk production was slightly higher than the results of </w:t>
      </w:r>
      <w:r w:rsidR="00AE6447">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{"citationItems":[{"id":"ITEM-1","itemData":{"DOI":"https://doi.org/10.37090/jwputb.v8i2.1469","author":[{"dropping-particle":"","family":"Saputri","given":"R. B","non-dropping-particle":"","parse-names":false,"suffix":""},{"dropping-particle":"","family":"Dakhlan","given":"A","non-dropping-particle":"","parse-names":false,"suffix":""},{"dropping-particle":"","family":"Hartono","given":"M","non-dropping-particle":"","parse-names":false,"suffix":""},{"dropping-particle":"","family":"Qisthon","given":"A","non-dropping-particle":"","parse-names":false,"suffix":""}],"container-title":"Wahana Peternakan","id":"ITEM-1","issue":"2","issued":{"date-parts":[["2024"]]},"page":"235-243","title":"Struktur Populasi, Performa Reproduksi, dan Produksi Kambing Perah di Kabupaten Pesawaran dan Lampung Timur Provinsi Lampung","type":"article-journal","volume":"8"},"uris":["http://www.mendeley.com/documents/?uuid=ceb712af-016a-4447-9851-c6136b41741c"]}],"mendeley":{"formattedCitation":"(Saputri et al., 2024)","manualFormatting":"Saputri et al. (2024)","plainTextFormattedCitation":"(Saputri et al., 2024)","previouslyFormattedCitation":"(Saputri et al., 2024)"},"properties":{"noteIndex":0},"schema":"https://github.com/citation-style-language/schema/raw/master/csl-citation.json"}</w:instrText>
      </w:r>
      <w:r w:rsidR="00AE6447">
        <w:rPr>
          <w:rFonts w:ascii="Times New Roman" w:hAnsi="Times New Roman"/>
          <w:color w:val="000000"/>
          <w:sz w:val="24"/>
          <w:szCs w:val="24"/>
          <w:lang w:val="en-ID"/>
        </w:rPr>
        <w:fldChar w:fldCharType="separate"/>
      </w:r>
      <w:r w:rsidR="00AE6447" w:rsidRPr="00AE6447">
        <w:rPr>
          <w:rFonts w:ascii="Times New Roman" w:hAnsi="Times New Roman"/>
          <w:noProof/>
          <w:color w:val="000000"/>
          <w:sz w:val="24"/>
          <w:szCs w:val="24"/>
          <w:lang w:val="en-ID"/>
        </w:rPr>
        <w:t xml:space="preserve">Saputri et al. </w:t>
      </w:r>
      <w:r w:rsidR="00AE6447">
        <w:rPr>
          <w:rFonts w:ascii="Times New Roman" w:hAnsi="Times New Roman"/>
          <w:noProof/>
          <w:color w:val="000000"/>
          <w:sz w:val="24"/>
          <w:szCs w:val="24"/>
          <w:lang w:val="en-ID"/>
        </w:rPr>
        <w:t>(</w:t>
      </w:r>
      <w:r w:rsidR="00AE6447" w:rsidRPr="00AE6447">
        <w:rPr>
          <w:rFonts w:ascii="Times New Roman" w:hAnsi="Times New Roman"/>
          <w:noProof/>
          <w:color w:val="000000"/>
          <w:sz w:val="24"/>
          <w:szCs w:val="24"/>
          <w:lang w:val="en-ID"/>
        </w:rPr>
        <w:t>2024)</w:t>
      </w:r>
      <w:r w:rsidR="00AE6447">
        <w:rPr>
          <w:rFonts w:ascii="Times New Roman" w:hAnsi="Times New Roman"/>
          <w:color w:val="000000"/>
          <w:sz w:val="24"/>
          <w:szCs w:val="24"/>
          <w:lang w:val="en-ID"/>
        </w:rPr>
        <w:fldChar w:fldCharType="end"/>
      </w:r>
      <w:r w:rsidR="0033134E" w:rsidRPr="0033134E">
        <w:rPr>
          <w:rFonts w:ascii="Times New Roman" w:hAnsi="Times New Roman"/>
          <w:color w:val="000000"/>
          <w:sz w:val="24"/>
          <w:szCs w:val="24"/>
          <w:lang w:val="en-ID"/>
        </w:rPr>
        <w:t xml:space="preserve">, who found that the average milk production of Sapera goats was 1.23 </w:t>
      </w:r>
      <w:proofErr w:type="spellStart"/>
      <w:r w:rsidR="0033134E" w:rsidRPr="0033134E">
        <w:rPr>
          <w:rFonts w:ascii="Times New Roman" w:hAnsi="Times New Roman"/>
          <w:color w:val="000000"/>
          <w:sz w:val="24"/>
          <w:szCs w:val="24"/>
          <w:lang w:val="en-ID"/>
        </w:rPr>
        <w:t>liters</w:t>
      </w:r>
      <w:proofErr w:type="spellEnd"/>
      <w:r w:rsidR="0033134E" w:rsidRPr="0033134E">
        <w:rPr>
          <w:rFonts w:ascii="Times New Roman" w:hAnsi="Times New Roman"/>
          <w:color w:val="000000"/>
          <w:sz w:val="24"/>
          <w:szCs w:val="24"/>
          <w:lang w:val="en-ID"/>
        </w:rPr>
        <w:t xml:space="preserve">/head/day. According to </w:t>
      </w:r>
      <w:r w:rsidR="00AE6447">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10.23960/jrip.2023.7.1.57-62","author":[{"dropping-particle":"","family":"Lestari","given":"Y","non-dropping-particle":"","parse-names":false,"suffix":""},{"dropping-particle":"","family":"Wanniatie","given":"V","non-dropping-particle":"","parse-names":false,"suffix":""},{"dropping-particle":"","family":"Fathul","given":"F","non-dropping-particle":"","parse-names":false,"suffix":""},{"dropping-particle":"","family":"Qisthon","given":"A","non-dropping-particle":"","parse-names":false,"suffix":""}],"container-title":"J. Riset dan Inovasi Peternakan","id":"ITEM-1","issue":"1","issued":{"date-parts":[["2023"]]},"page":"63 -71","title":"Substitusi Silase Daun Singkong dengan Silase Rumput Pakchong terhadap Kadar Lemak, Berat Jenis dan BKTL Susu Kambing PE","type":"article-journal","volume":"7"},"uris":["http://www.mendeley.com/documents/?uuid=90667836-fb16-4540-a682-e29c53ac219c"]}],"mendeley":{"formattedCitation":"(Lestari et al., 2023)","manualFormatting":"Lestari et al. (2023)","plainTextFormattedCitation":"(Lestari et al., 2023)","previouslyFormattedCitation":"(Lestari et al., 2023)"},"properties":{"noteIndex":0},"schema":"https://github.com/citation-style-language/schema/raw/master/csl-citation.json"}</w:instrText>
      </w:r>
      <w:r w:rsidR="00AE6447">
        <w:rPr>
          <w:rFonts w:ascii="Times New Roman" w:hAnsi="Times New Roman"/>
          <w:color w:val="000000"/>
          <w:sz w:val="24"/>
          <w:szCs w:val="24"/>
          <w:lang w:val="en-ID"/>
        </w:rPr>
        <w:fldChar w:fldCharType="separate"/>
      </w:r>
      <w:r w:rsidR="00AE6447" w:rsidRPr="00AE6447">
        <w:rPr>
          <w:rFonts w:ascii="Times New Roman" w:hAnsi="Times New Roman"/>
          <w:noProof/>
          <w:color w:val="000000"/>
          <w:sz w:val="24"/>
          <w:szCs w:val="24"/>
          <w:lang w:val="en-ID"/>
        </w:rPr>
        <w:t xml:space="preserve">Lestari et al. </w:t>
      </w:r>
      <w:r w:rsidR="00AE6447">
        <w:rPr>
          <w:rFonts w:ascii="Times New Roman" w:hAnsi="Times New Roman"/>
          <w:noProof/>
          <w:color w:val="000000"/>
          <w:sz w:val="24"/>
          <w:szCs w:val="24"/>
          <w:lang w:val="en-ID"/>
        </w:rPr>
        <w:t>(</w:t>
      </w:r>
      <w:r w:rsidR="00AE6447" w:rsidRPr="00AE6447">
        <w:rPr>
          <w:rFonts w:ascii="Times New Roman" w:hAnsi="Times New Roman"/>
          <w:noProof/>
          <w:color w:val="000000"/>
          <w:sz w:val="24"/>
          <w:szCs w:val="24"/>
          <w:lang w:val="en-ID"/>
        </w:rPr>
        <w:t>2023)</w:t>
      </w:r>
      <w:r w:rsidR="00AE6447">
        <w:rPr>
          <w:rFonts w:ascii="Times New Roman" w:hAnsi="Times New Roman"/>
          <w:color w:val="000000"/>
          <w:sz w:val="24"/>
          <w:szCs w:val="24"/>
          <w:lang w:val="en-ID"/>
        </w:rPr>
        <w:fldChar w:fldCharType="end"/>
      </w:r>
      <w:r w:rsidR="0033134E" w:rsidRPr="0033134E">
        <w:rPr>
          <w:rFonts w:ascii="Times New Roman" w:hAnsi="Times New Roman"/>
          <w:color w:val="000000"/>
          <w:sz w:val="24"/>
          <w:szCs w:val="24"/>
          <w:lang w:val="en-ID"/>
        </w:rPr>
        <w:t xml:space="preserve">, an increase in VFA, especially acetic acid produced from the rumen fermentation process, increases milk synthesis. </w:t>
      </w:r>
      <w:r w:rsidR="00026FAD">
        <w:rPr>
          <w:rFonts w:ascii="Times New Roman" w:hAnsi="Times New Roman"/>
          <w:color w:val="000000"/>
          <w:sz w:val="24"/>
          <w:szCs w:val="24"/>
          <w:lang w:val="en-ID"/>
        </w:rPr>
        <w:t>Providing of</w:t>
      </w:r>
      <w:r w:rsidR="0033134E" w:rsidRPr="0033134E">
        <w:rPr>
          <w:rFonts w:ascii="Times New Roman" w:hAnsi="Times New Roman"/>
          <w:color w:val="000000"/>
          <w:sz w:val="24"/>
          <w:szCs w:val="24"/>
          <w:lang w:val="en-ID"/>
        </w:rPr>
        <w:t xml:space="preserve"> Zn soap</w:t>
      </w:r>
      <w:r w:rsidR="00026FAD">
        <w:rPr>
          <w:rFonts w:ascii="Times New Roman" w:hAnsi="Times New Roman"/>
          <w:color w:val="000000"/>
          <w:sz w:val="24"/>
          <w:szCs w:val="24"/>
          <w:lang w:val="en-ID"/>
        </w:rPr>
        <w:t xml:space="preserve"> supplementation to Sapera dairy goats was to</w:t>
      </w:r>
      <w:r w:rsidR="0033134E" w:rsidRPr="0033134E">
        <w:rPr>
          <w:rFonts w:ascii="Times New Roman" w:hAnsi="Times New Roman"/>
          <w:color w:val="000000"/>
          <w:sz w:val="24"/>
          <w:szCs w:val="24"/>
          <w:lang w:val="en-ID"/>
        </w:rPr>
        <w:t xml:space="preserve"> optimize microbial performance in the rumen, so that feed digestibility </w:t>
      </w:r>
      <w:r w:rsidR="00026FAD">
        <w:rPr>
          <w:rFonts w:ascii="Times New Roman" w:hAnsi="Times New Roman"/>
          <w:color w:val="000000"/>
          <w:sz w:val="24"/>
          <w:szCs w:val="24"/>
          <w:lang w:val="en-ID"/>
        </w:rPr>
        <w:t>improves</w:t>
      </w:r>
      <w:r w:rsidR="0033134E" w:rsidRPr="0033134E">
        <w:rPr>
          <w:rFonts w:ascii="Times New Roman" w:hAnsi="Times New Roman"/>
          <w:color w:val="000000"/>
          <w:sz w:val="24"/>
          <w:szCs w:val="24"/>
          <w:lang w:val="en-ID"/>
        </w:rPr>
        <w:t xml:space="preserve">. </w:t>
      </w:r>
      <w:r w:rsidR="00026FAD">
        <w:rPr>
          <w:rFonts w:ascii="Times New Roman" w:hAnsi="Times New Roman"/>
          <w:color w:val="000000"/>
          <w:sz w:val="24"/>
          <w:szCs w:val="24"/>
          <w:lang w:val="en-ID"/>
        </w:rPr>
        <w:t>Further, a</w:t>
      </w:r>
      <w:r w:rsidR="0033134E" w:rsidRPr="0033134E">
        <w:rPr>
          <w:rFonts w:ascii="Times New Roman" w:hAnsi="Times New Roman"/>
          <w:color w:val="000000"/>
          <w:sz w:val="24"/>
          <w:szCs w:val="24"/>
          <w:lang w:val="en-ID"/>
        </w:rPr>
        <w:t xml:space="preserve">ccording to </w:t>
      </w:r>
      <w:r w:rsidR="00AE6447">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10.22437/jiiip.v26i2.28413","author":[{"dropping-particle":"","family":"Adriani","given":"A","non-dropping-particle":"","parse-names":false,"suffix":""},{"dropping-particle":"","family":"Darlis","given":"D","non-dropping-particle":"","parse-names":false,"suffix":""},{"dropping-particle":"","family":"Andayani","given":"J","non-dropping-particle":"","parse-names":false,"suffix":""},{"dropping-particle":"","family":"Novianti","given":"S","non-dropping-particle":"","parse-names":false,"suffix":""}],"container-title":"J. Ilmiah Ilmu-Ilmu Peternakan","id":"ITEM-1","issue":"2","issued":{"date-parts":[["2023"]]},"page":"89 -97","title":"Produksi Susu Kambing Peranakan Etawah sebagai Respon Pemberian Probiotik dan Mineral Seng dalam Ransum","type":"article-journal","volume":"26"},"uris":["http://www.mendeley.com/documents/?uuid=6a71048f-d2d0-4442-bd60-b1860f0548af"]}],"mendeley":{"formattedCitation":"(Adriani et al., 2023)","manualFormatting":"Adriani et al. (2023)","plainTextFormattedCitation":"(Adriani et al., 2023)","previouslyFormattedCitation":"(Adriani et al., 2023)"},"properties":{"noteIndex":0},"schema":"https://github.com/citation-style-language/schema/raw/master/csl-citation.json"}</w:instrText>
      </w:r>
      <w:r w:rsidR="00AE6447">
        <w:rPr>
          <w:rFonts w:ascii="Times New Roman" w:hAnsi="Times New Roman"/>
          <w:color w:val="000000"/>
          <w:sz w:val="24"/>
          <w:szCs w:val="24"/>
          <w:lang w:val="en-ID"/>
        </w:rPr>
        <w:fldChar w:fldCharType="separate"/>
      </w:r>
      <w:r w:rsidR="00AE6447" w:rsidRPr="00AE6447">
        <w:rPr>
          <w:rFonts w:ascii="Times New Roman" w:hAnsi="Times New Roman"/>
          <w:noProof/>
          <w:color w:val="000000"/>
          <w:sz w:val="24"/>
          <w:szCs w:val="24"/>
          <w:lang w:val="en-ID"/>
        </w:rPr>
        <w:t xml:space="preserve">Adriani et al. </w:t>
      </w:r>
      <w:r w:rsidR="00AE6447">
        <w:rPr>
          <w:rFonts w:ascii="Times New Roman" w:hAnsi="Times New Roman"/>
          <w:noProof/>
          <w:color w:val="000000"/>
          <w:sz w:val="24"/>
          <w:szCs w:val="24"/>
          <w:lang w:val="en-ID"/>
        </w:rPr>
        <w:t>(</w:t>
      </w:r>
      <w:r w:rsidR="00AE6447" w:rsidRPr="00AE6447">
        <w:rPr>
          <w:rFonts w:ascii="Times New Roman" w:hAnsi="Times New Roman"/>
          <w:noProof/>
          <w:color w:val="000000"/>
          <w:sz w:val="24"/>
          <w:szCs w:val="24"/>
          <w:lang w:val="en-ID"/>
        </w:rPr>
        <w:t>2023)</w:t>
      </w:r>
      <w:r w:rsidR="00AE6447">
        <w:rPr>
          <w:rFonts w:ascii="Times New Roman" w:hAnsi="Times New Roman"/>
          <w:color w:val="000000"/>
          <w:sz w:val="24"/>
          <w:szCs w:val="24"/>
          <w:lang w:val="en-ID"/>
        </w:rPr>
        <w:fldChar w:fldCharType="end"/>
      </w:r>
      <w:r w:rsidR="0033134E" w:rsidRPr="0033134E">
        <w:rPr>
          <w:rFonts w:ascii="Times New Roman" w:hAnsi="Times New Roman"/>
          <w:color w:val="000000"/>
          <w:sz w:val="24"/>
          <w:szCs w:val="24"/>
          <w:lang w:val="en-ID"/>
        </w:rPr>
        <w:t>, the addition of Zn to feed has an impact on increasing milk production because Zn contains metalloenzyme components that can increase digestive enzyme production and protein synthesis.</w:t>
      </w:r>
    </w:p>
    <w:p w14:paraId="156C76BC" w14:textId="77777777" w:rsidR="0033134E" w:rsidRDefault="0033134E" w:rsidP="001F23CB">
      <w:pPr>
        <w:rPr>
          <w:rFonts w:ascii="Times New Roman" w:hAnsi="Times New Roman"/>
          <w:bCs/>
          <w:i/>
          <w:iCs/>
          <w:color w:val="000000"/>
          <w:sz w:val="24"/>
          <w:szCs w:val="24"/>
          <w:lang w:val="en-ID"/>
        </w:rPr>
      </w:pPr>
    </w:p>
    <w:p w14:paraId="21875688" w14:textId="2677680E" w:rsidR="00E02791" w:rsidRPr="00A07F44" w:rsidRDefault="00AF2854" w:rsidP="001F23CB">
      <w:pPr>
        <w:rPr>
          <w:rFonts w:ascii="Times New Roman" w:hAnsi="Times New Roman"/>
          <w:bCs/>
          <w:i/>
          <w:iCs/>
          <w:color w:val="000000"/>
          <w:sz w:val="24"/>
          <w:szCs w:val="24"/>
        </w:rPr>
      </w:pPr>
      <w:r w:rsidRPr="00A07F44">
        <w:rPr>
          <w:rFonts w:ascii="Times New Roman" w:hAnsi="Times New Roman"/>
          <w:bCs/>
          <w:i/>
          <w:iCs/>
          <w:color w:val="000000"/>
          <w:sz w:val="24"/>
          <w:szCs w:val="24"/>
        </w:rPr>
        <w:t>3.</w:t>
      </w:r>
      <w:r w:rsidR="003D3B32" w:rsidRPr="00A07F44">
        <w:rPr>
          <w:rFonts w:ascii="Times New Roman" w:hAnsi="Times New Roman"/>
          <w:bCs/>
          <w:i/>
          <w:iCs/>
          <w:color w:val="000000"/>
          <w:sz w:val="24"/>
          <w:szCs w:val="24"/>
        </w:rPr>
        <w:t>2.2.</w:t>
      </w:r>
      <w:r w:rsidRPr="00A07F44">
        <w:rPr>
          <w:rFonts w:ascii="Times New Roman" w:hAnsi="Times New Roman"/>
          <w:bCs/>
          <w:i/>
          <w:iCs/>
          <w:color w:val="000000"/>
          <w:sz w:val="24"/>
          <w:szCs w:val="24"/>
        </w:rPr>
        <w:t xml:space="preserve"> </w:t>
      </w:r>
      <w:r w:rsidR="00A07F44" w:rsidRPr="00A07F44">
        <w:rPr>
          <w:rFonts w:ascii="Times New Roman" w:hAnsi="Times New Roman"/>
          <w:bCs/>
          <w:i/>
          <w:iCs/>
          <w:color w:val="000000"/>
          <w:sz w:val="24"/>
          <w:szCs w:val="24"/>
        </w:rPr>
        <w:t xml:space="preserve">Feed Efficiency </w:t>
      </w:r>
      <w:r w:rsidR="00C15006">
        <w:rPr>
          <w:rFonts w:ascii="Times New Roman" w:hAnsi="Times New Roman"/>
          <w:bCs/>
          <w:i/>
          <w:iCs/>
          <w:color w:val="000000"/>
          <w:sz w:val="24"/>
          <w:szCs w:val="24"/>
        </w:rPr>
        <w:t xml:space="preserve">Ratio (FER) </w:t>
      </w:r>
      <w:r w:rsidR="00A07F44" w:rsidRPr="00A07F44">
        <w:rPr>
          <w:rFonts w:ascii="Times New Roman" w:hAnsi="Times New Roman"/>
          <w:bCs/>
          <w:i/>
          <w:iCs/>
          <w:color w:val="000000"/>
          <w:sz w:val="24"/>
          <w:szCs w:val="24"/>
        </w:rPr>
        <w:t xml:space="preserve">and </w:t>
      </w:r>
      <w:r w:rsidR="00C15006">
        <w:rPr>
          <w:rFonts w:ascii="Times New Roman" w:hAnsi="Times New Roman"/>
          <w:bCs/>
          <w:i/>
          <w:iCs/>
          <w:color w:val="000000"/>
          <w:sz w:val="24"/>
          <w:szCs w:val="24"/>
        </w:rPr>
        <w:t xml:space="preserve">Feed </w:t>
      </w:r>
      <w:r w:rsidR="00A07F44" w:rsidRPr="00A07F44">
        <w:rPr>
          <w:rFonts w:ascii="Times New Roman" w:hAnsi="Times New Roman"/>
          <w:bCs/>
          <w:i/>
          <w:iCs/>
          <w:color w:val="000000"/>
          <w:sz w:val="24"/>
          <w:szCs w:val="24"/>
        </w:rPr>
        <w:t>Conversion</w:t>
      </w:r>
      <w:r w:rsidR="00D7186D">
        <w:rPr>
          <w:rFonts w:ascii="Times New Roman" w:hAnsi="Times New Roman"/>
          <w:bCs/>
          <w:i/>
          <w:iCs/>
          <w:color w:val="000000"/>
          <w:sz w:val="24"/>
          <w:szCs w:val="24"/>
        </w:rPr>
        <w:t xml:space="preserve"> Ratio</w:t>
      </w:r>
      <w:r w:rsidR="00C15006">
        <w:rPr>
          <w:rFonts w:ascii="Times New Roman" w:hAnsi="Times New Roman"/>
          <w:bCs/>
          <w:i/>
          <w:iCs/>
          <w:color w:val="000000"/>
          <w:sz w:val="24"/>
          <w:szCs w:val="24"/>
        </w:rPr>
        <w:t xml:space="preserve"> (FCR)</w:t>
      </w:r>
    </w:p>
    <w:p w14:paraId="428B54C0" w14:textId="77777777" w:rsidR="005F4C86" w:rsidRPr="00FE66D8" w:rsidRDefault="005F4C86" w:rsidP="001F23CB">
      <w:pPr>
        <w:rPr>
          <w:rFonts w:ascii="Times New Roman" w:hAnsi="Times New Roman"/>
          <w:b/>
          <w:bCs/>
          <w:color w:val="000000"/>
          <w:sz w:val="24"/>
          <w:szCs w:val="24"/>
        </w:rPr>
      </w:pPr>
    </w:p>
    <w:p w14:paraId="22934A2C" w14:textId="61B9756F" w:rsidR="0033134E" w:rsidRDefault="0033134E" w:rsidP="0033134E">
      <w:pPr>
        <w:pStyle w:val="Body"/>
        <w:spacing w:after="0"/>
        <w:rPr>
          <w:rFonts w:ascii="Times New Roman" w:hAnsi="Times New Roman"/>
          <w:color w:val="000000"/>
          <w:sz w:val="24"/>
          <w:szCs w:val="24"/>
          <w:lang w:val="en-ID"/>
        </w:rPr>
      </w:pPr>
      <w:r w:rsidRPr="0033134E">
        <w:rPr>
          <w:rFonts w:ascii="Times New Roman" w:hAnsi="Times New Roman"/>
          <w:color w:val="000000"/>
          <w:sz w:val="24"/>
          <w:szCs w:val="24"/>
          <w:lang w:val="en-ID"/>
        </w:rPr>
        <w:t xml:space="preserve">As shown in Table </w:t>
      </w:r>
      <w:r w:rsidR="00C33394">
        <w:rPr>
          <w:rFonts w:ascii="Times New Roman" w:hAnsi="Times New Roman"/>
          <w:color w:val="000000"/>
          <w:sz w:val="24"/>
          <w:szCs w:val="24"/>
          <w:lang w:val="en-ID"/>
        </w:rPr>
        <w:t>3</w:t>
      </w:r>
      <w:r w:rsidRPr="0033134E">
        <w:rPr>
          <w:rFonts w:ascii="Times New Roman" w:hAnsi="Times New Roman"/>
          <w:color w:val="000000"/>
          <w:sz w:val="24"/>
          <w:szCs w:val="24"/>
          <w:lang w:val="en-ID"/>
        </w:rPr>
        <w:t xml:space="preserve">, Zn soap supplementation showed no significant difference in </w:t>
      </w:r>
      <w:r w:rsidR="00C15006">
        <w:rPr>
          <w:rFonts w:ascii="Times New Roman" w:hAnsi="Times New Roman"/>
          <w:color w:val="000000"/>
          <w:sz w:val="24"/>
          <w:szCs w:val="24"/>
          <w:lang w:val="en-ID"/>
        </w:rPr>
        <w:t>FCR</w:t>
      </w:r>
      <w:r w:rsidR="00026FAD">
        <w:rPr>
          <w:rFonts w:ascii="Times New Roman" w:hAnsi="Times New Roman"/>
          <w:color w:val="000000"/>
          <w:sz w:val="24"/>
          <w:szCs w:val="24"/>
          <w:lang w:val="en-ID"/>
        </w:rPr>
        <w:t xml:space="preserve"> </w:t>
      </w:r>
      <w:r w:rsidRPr="0033134E">
        <w:rPr>
          <w:rFonts w:ascii="Times New Roman" w:hAnsi="Times New Roman"/>
          <w:color w:val="000000"/>
          <w:sz w:val="24"/>
          <w:szCs w:val="24"/>
          <w:lang w:val="en-ID"/>
        </w:rPr>
        <w:t>(</w:t>
      </w:r>
      <w:r w:rsidR="00026FAD">
        <w:rPr>
          <w:rFonts w:ascii="Times New Roman" w:hAnsi="Times New Roman"/>
          <w:i/>
          <w:iCs/>
          <w:color w:val="000000"/>
          <w:sz w:val="24"/>
          <w:szCs w:val="24"/>
          <w:lang w:val="en-ID"/>
        </w:rPr>
        <w:t>p</w:t>
      </w:r>
      <w:r w:rsidRPr="0033134E">
        <w:rPr>
          <w:rFonts w:ascii="Times New Roman" w:hAnsi="Times New Roman"/>
          <w:color w:val="000000"/>
          <w:sz w:val="24"/>
          <w:szCs w:val="24"/>
          <w:lang w:val="en-ID"/>
        </w:rPr>
        <w:t xml:space="preserve">&gt;0.05). </w:t>
      </w:r>
      <w:r w:rsidR="00026FAD">
        <w:rPr>
          <w:rFonts w:ascii="Times New Roman" w:hAnsi="Times New Roman"/>
          <w:color w:val="000000"/>
          <w:sz w:val="24"/>
          <w:szCs w:val="24"/>
          <w:lang w:val="en-ID"/>
        </w:rPr>
        <w:t>The FCR recorded</w:t>
      </w:r>
      <w:r w:rsidRPr="0033134E">
        <w:rPr>
          <w:rFonts w:ascii="Times New Roman" w:hAnsi="Times New Roman"/>
          <w:color w:val="000000"/>
          <w:sz w:val="24"/>
          <w:szCs w:val="24"/>
          <w:lang w:val="en-ID"/>
        </w:rPr>
        <w:t xml:space="preserve"> in the control </w:t>
      </w:r>
      <w:r w:rsidR="00026FAD">
        <w:rPr>
          <w:rFonts w:ascii="Times New Roman" w:hAnsi="Times New Roman"/>
          <w:color w:val="000000"/>
          <w:sz w:val="24"/>
          <w:szCs w:val="24"/>
          <w:lang w:val="en-ID"/>
        </w:rPr>
        <w:t>group</w:t>
      </w:r>
      <w:r w:rsidRPr="0033134E">
        <w:rPr>
          <w:rFonts w:ascii="Times New Roman" w:hAnsi="Times New Roman"/>
          <w:color w:val="000000"/>
          <w:sz w:val="24"/>
          <w:szCs w:val="24"/>
          <w:lang w:val="en-ID"/>
        </w:rPr>
        <w:t xml:space="preserve"> was 1</w:t>
      </w:r>
      <w:r w:rsidR="00A81194">
        <w:rPr>
          <w:rFonts w:ascii="Times New Roman" w:hAnsi="Times New Roman"/>
          <w:color w:val="000000"/>
          <w:sz w:val="24"/>
          <w:szCs w:val="24"/>
          <w:lang w:val="en-ID"/>
        </w:rPr>
        <w:t>.</w:t>
      </w:r>
      <w:r w:rsidRPr="0033134E">
        <w:rPr>
          <w:rFonts w:ascii="Times New Roman" w:hAnsi="Times New Roman"/>
          <w:color w:val="000000"/>
          <w:sz w:val="24"/>
          <w:szCs w:val="24"/>
          <w:lang w:val="en-ID"/>
        </w:rPr>
        <w:t xml:space="preserve">65 and treatment </w:t>
      </w:r>
      <w:r w:rsidR="00C15006">
        <w:rPr>
          <w:rFonts w:ascii="Times New Roman" w:hAnsi="Times New Roman"/>
          <w:color w:val="000000"/>
          <w:sz w:val="24"/>
          <w:szCs w:val="24"/>
          <w:lang w:val="en-ID"/>
        </w:rPr>
        <w:t xml:space="preserve">group </w:t>
      </w:r>
      <w:r w:rsidRPr="0033134E">
        <w:rPr>
          <w:rFonts w:ascii="Times New Roman" w:hAnsi="Times New Roman"/>
          <w:color w:val="000000"/>
          <w:sz w:val="24"/>
          <w:szCs w:val="24"/>
          <w:lang w:val="en-ID"/>
        </w:rPr>
        <w:t>was 1</w:t>
      </w:r>
      <w:r w:rsidR="00A81194">
        <w:rPr>
          <w:rFonts w:ascii="Times New Roman" w:hAnsi="Times New Roman"/>
          <w:color w:val="000000"/>
          <w:sz w:val="24"/>
          <w:szCs w:val="24"/>
          <w:lang w:val="en-ID"/>
        </w:rPr>
        <w:t>.</w:t>
      </w:r>
      <w:r w:rsidRPr="0033134E">
        <w:rPr>
          <w:rFonts w:ascii="Times New Roman" w:hAnsi="Times New Roman"/>
          <w:color w:val="000000"/>
          <w:sz w:val="24"/>
          <w:szCs w:val="24"/>
          <w:lang w:val="en-ID"/>
        </w:rPr>
        <w:t xml:space="preserve">58. A low </w:t>
      </w:r>
      <w:r w:rsidR="00C15006">
        <w:rPr>
          <w:rFonts w:ascii="Times New Roman" w:hAnsi="Times New Roman"/>
          <w:color w:val="000000"/>
          <w:sz w:val="24"/>
          <w:szCs w:val="24"/>
          <w:lang w:val="en-ID"/>
        </w:rPr>
        <w:t>FCR</w:t>
      </w:r>
      <w:r w:rsidRPr="0033134E">
        <w:rPr>
          <w:rFonts w:ascii="Times New Roman" w:hAnsi="Times New Roman"/>
          <w:color w:val="000000"/>
          <w:sz w:val="24"/>
          <w:szCs w:val="24"/>
          <w:lang w:val="en-ID"/>
        </w:rPr>
        <w:t xml:space="preserve"> value indicates greater profitability </w:t>
      </w:r>
      <w:r w:rsidR="00C15006">
        <w:rPr>
          <w:rFonts w:ascii="Times New Roman" w:hAnsi="Times New Roman"/>
          <w:color w:val="000000"/>
          <w:sz w:val="24"/>
          <w:szCs w:val="24"/>
          <w:lang w:val="en-ID"/>
        </w:rPr>
        <w:t>as proven by</w:t>
      </w:r>
      <w:r w:rsidRPr="0033134E">
        <w:rPr>
          <w:rFonts w:ascii="Times New Roman" w:hAnsi="Times New Roman"/>
          <w:color w:val="000000"/>
          <w:sz w:val="24"/>
          <w:szCs w:val="24"/>
          <w:lang w:val="en-ID"/>
        </w:rPr>
        <w:t xml:space="preserve"> </w:t>
      </w:r>
      <w:r w:rsidR="00AE6447">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{"citationItems":[{"id":"ITEM-1","itemData":{"DOI":"https://doi.org/10.33366/bs.v22i3.4486","author":[{"dropping-particle":"","family":"Ali","given":"U","non-dropping-particle":"","parse-names":false,"suffix":""},{"dropping-particle":"","family":"Adhim","given":"M. A","non-dropping-particle":"","parse-names":false,"suffix":""},{"dropping-particle":"","family":"Kentjonowaty","given":"I","non-dropping-particle":"","parse-names":false,"suffix":""}],"container-title":"J. Buana Sains","id":"ITEM-1","issue":"3","issued":{"date-parts":[["2022"]]},"page":"49 - 58","title":"Efek Level Protein Kasar dalam Complete Feed untuk Penggemukan Kambing Hibrid Boerpe","type":"article-journal","volume":"22"},"uris":["http://www.mendeley.com/documents/?uuid=1bbd849c-f5c1-4c6c-bca4-424429bf61b7"]}],"mendeley":{"formattedCitation":"(Ali et al., 2022)","manualFormatting":"Ali et al. (2022)","plainTextFormattedCitation":"(Ali et al., 2022)","previouslyFormattedCitation":"(Ali et al., 2022)"},"properties":{"noteIndex":0},"schema":"https://github.com/citation-style-language/schema/raw/master/csl-citation.json"}</w:instrText>
      </w:r>
      <w:r w:rsidR="00AE6447">
        <w:rPr>
          <w:rFonts w:ascii="Times New Roman" w:hAnsi="Times New Roman"/>
          <w:color w:val="000000"/>
          <w:sz w:val="24"/>
          <w:szCs w:val="24"/>
          <w:lang w:val="en-ID"/>
        </w:rPr>
        <w:fldChar w:fldCharType="separate"/>
      </w:r>
      <w:r w:rsidR="00AE6447" w:rsidRPr="00AE6447">
        <w:rPr>
          <w:rFonts w:ascii="Times New Roman" w:hAnsi="Times New Roman"/>
          <w:noProof/>
          <w:color w:val="000000"/>
          <w:sz w:val="24"/>
          <w:szCs w:val="24"/>
          <w:lang w:val="en-ID"/>
        </w:rPr>
        <w:t xml:space="preserve">Ali et al. </w:t>
      </w:r>
      <w:r w:rsidR="004B0763">
        <w:rPr>
          <w:rFonts w:ascii="Times New Roman" w:hAnsi="Times New Roman"/>
          <w:noProof/>
          <w:color w:val="000000"/>
          <w:sz w:val="24"/>
          <w:szCs w:val="24"/>
          <w:lang w:val="en-ID"/>
        </w:rPr>
        <w:t>(</w:t>
      </w:r>
      <w:r w:rsidR="00AE6447" w:rsidRPr="00AE6447">
        <w:rPr>
          <w:rFonts w:ascii="Times New Roman" w:hAnsi="Times New Roman"/>
          <w:noProof/>
          <w:color w:val="000000"/>
          <w:sz w:val="24"/>
          <w:szCs w:val="24"/>
          <w:lang w:val="en-ID"/>
        </w:rPr>
        <w:t>2022)</w:t>
      </w:r>
      <w:r w:rsidR="00AE6447">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the lower the feed conversion value, the better the performance. Goats supplemented with Zn soap had better feed quality, resulting in better feed conversion. The feed conversion value of T1 was 4</w:t>
      </w:r>
      <w:r w:rsidR="00A81194">
        <w:rPr>
          <w:rFonts w:ascii="Times New Roman" w:hAnsi="Times New Roman"/>
          <w:color w:val="000000"/>
          <w:sz w:val="24"/>
          <w:szCs w:val="24"/>
          <w:lang w:val="en-ID"/>
        </w:rPr>
        <w:t>.</w:t>
      </w:r>
      <w:r w:rsidRPr="0033134E">
        <w:rPr>
          <w:rFonts w:ascii="Times New Roman" w:hAnsi="Times New Roman"/>
          <w:color w:val="000000"/>
          <w:sz w:val="24"/>
          <w:szCs w:val="24"/>
          <w:lang w:val="en-ID"/>
        </w:rPr>
        <w:t xml:space="preserve">24% lower than that of the control feed. According to </w:t>
      </w:r>
      <w:r w:rsidR="004B0763">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{"citationItems":[{"id":"ITEM-1","itemData":{"DOI":"https://doi.org/10.25077/jpi.24.3.270-280.2022","author":[{"dropping-particle":"","family":"Abrori","given":"A. S","non-dropping-particle":"","parse-names":false,"suffix":""},{"dropping-particle":"","family":"Ali","given":"U","non-dropping-particle":"","parse-names":false,"suffix":""},{"dropping-particle":"","family":"Rozi","given":"A. F","non-dropping-particle":"","parse-names":false,"suffix":""}],"container-title":"J. Peternakan Indonesia","id":"ITEM-1","issue":"3","issued":{"date-parts":[["2022"]]},"page":"270 -280","title":"Peningkatan Pertumbuhan, Efisiensi Pakan dan Pendapatan dalam Penggemukkan Domba Menggunakan Pakan Debu Sawit Terfermentasi","type":"article-journal","volume":"24"},"uris":["http://www.mendeley.com/documents/?uuid=76a2e666-746c-4062-8e26-409349a78bc4"]}],"mendeley":{"formattedCitation":"(Abrori et al., 2022)","manualFormatting":"Abrori et al. (2022)","plainTextFormattedCitation":"(Abrori et al., 2022)","previouslyFormattedCitation":"(Abrori et al., 2022)"},"properties":{"noteIndex":0},"schema":"https://github.com/citation-style-language/schema/raw/master/csl-citation.json"}</w:instrText>
      </w:r>
      <w:r w:rsidR="004B0763">
        <w:rPr>
          <w:rFonts w:ascii="Times New Roman" w:hAnsi="Times New Roman"/>
          <w:color w:val="000000"/>
          <w:sz w:val="24"/>
          <w:szCs w:val="24"/>
          <w:lang w:val="en-ID"/>
        </w:rPr>
        <w:fldChar w:fldCharType="separate"/>
      </w:r>
      <w:r w:rsidR="004B0763" w:rsidRPr="004B0763">
        <w:rPr>
          <w:rFonts w:ascii="Times New Roman" w:hAnsi="Times New Roman"/>
          <w:noProof/>
          <w:color w:val="000000"/>
          <w:sz w:val="24"/>
          <w:szCs w:val="24"/>
          <w:lang w:val="en-ID"/>
        </w:rPr>
        <w:t xml:space="preserve">Abrori et al. </w:t>
      </w:r>
      <w:r w:rsidR="004B0763">
        <w:rPr>
          <w:rFonts w:ascii="Times New Roman" w:hAnsi="Times New Roman"/>
          <w:noProof/>
          <w:color w:val="000000"/>
          <w:sz w:val="24"/>
          <w:szCs w:val="24"/>
          <w:lang w:val="en-ID"/>
        </w:rPr>
        <w:t>(</w:t>
      </w:r>
      <w:r w:rsidR="004B0763" w:rsidRPr="004B0763">
        <w:rPr>
          <w:rFonts w:ascii="Times New Roman" w:hAnsi="Times New Roman"/>
          <w:noProof/>
          <w:color w:val="000000"/>
          <w:sz w:val="24"/>
          <w:szCs w:val="24"/>
          <w:lang w:val="en-ID"/>
        </w:rPr>
        <w:t>2022)</w:t>
      </w:r>
      <w:r w:rsidR="004B0763">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a lower feed conversion value indicates that less feed is needed to produce a product, whereas a higher feed conversion value indicates lower feed quality.</w:t>
      </w:r>
    </w:p>
    <w:p w14:paraId="48E53CE8" w14:textId="77777777" w:rsidR="0033134E" w:rsidRPr="0033134E" w:rsidRDefault="0033134E" w:rsidP="0033134E">
      <w:pPr>
        <w:pStyle w:val="Body"/>
        <w:spacing w:after="0"/>
        <w:rPr>
          <w:rFonts w:ascii="Times New Roman" w:hAnsi="Times New Roman"/>
          <w:color w:val="000000"/>
          <w:sz w:val="24"/>
          <w:szCs w:val="24"/>
          <w:lang w:val="en-ID"/>
        </w:rPr>
      </w:pPr>
    </w:p>
    <w:p w14:paraId="07912C0A" w14:textId="72738F05" w:rsidR="0033134E" w:rsidRPr="0033134E" w:rsidRDefault="00897A79" w:rsidP="0033134E">
      <w:pPr>
        <w:pStyle w:val="Body"/>
        <w:spacing w:after="0"/>
        <w:rPr>
          <w:rFonts w:ascii="Times New Roman" w:hAnsi="Times New Roman"/>
          <w:color w:val="000000"/>
          <w:sz w:val="24"/>
          <w:szCs w:val="24"/>
          <w:lang w:val="en-ID"/>
        </w:rPr>
      </w:pPr>
      <w:r w:rsidRPr="0033134E">
        <w:rPr>
          <w:rFonts w:ascii="Times New Roman" w:hAnsi="Times New Roman"/>
          <w:color w:val="000000"/>
          <w:sz w:val="24"/>
          <w:szCs w:val="24"/>
          <w:lang w:val="en-ID"/>
        </w:rPr>
        <w:lastRenderedPageBreak/>
        <w:t>Z</w:t>
      </w:r>
      <w:r w:rsidR="00453A75">
        <w:rPr>
          <w:rFonts w:ascii="Times New Roman" w:hAnsi="Times New Roman"/>
          <w:color w:val="000000"/>
          <w:sz w:val="24"/>
          <w:szCs w:val="24"/>
          <w:lang w:val="en-ID"/>
        </w:rPr>
        <w:t>n</w:t>
      </w:r>
      <w:r w:rsidRPr="0033134E">
        <w:rPr>
          <w:rFonts w:ascii="Times New Roman" w:hAnsi="Times New Roman"/>
          <w:color w:val="000000"/>
          <w:sz w:val="24"/>
          <w:szCs w:val="24"/>
          <w:lang w:val="en-ID"/>
        </w:rPr>
        <w:t xml:space="preserve"> soap supplementation had no </w:t>
      </w:r>
      <w:r w:rsidR="00C15006">
        <w:rPr>
          <w:rFonts w:ascii="Times New Roman" w:hAnsi="Times New Roman"/>
          <w:color w:val="000000"/>
          <w:sz w:val="24"/>
          <w:szCs w:val="24"/>
          <w:lang w:val="en-ID"/>
        </w:rPr>
        <w:t xml:space="preserve">significant differences observed on FER between control and treatment groups </w:t>
      </w:r>
      <w:r w:rsidR="0033134E" w:rsidRPr="0033134E">
        <w:rPr>
          <w:rFonts w:ascii="Times New Roman" w:hAnsi="Times New Roman"/>
          <w:color w:val="000000"/>
          <w:sz w:val="24"/>
          <w:szCs w:val="24"/>
          <w:lang w:val="en-ID"/>
        </w:rPr>
        <w:t>(</w:t>
      </w:r>
      <w:r w:rsidR="00C15006">
        <w:rPr>
          <w:rFonts w:ascii="Times New Roman" w:hAnsi="Times New Roman"/>
          <w:i/>
          <w:iCs/>
          <w:color w:val="000000"/>
          <w:sz w:val="24"/>
          <w:szCs w:val="24"/>
          <w:lang w:val="en-ID"/>
        </w:rPr>
        <w:t>p</w:t>
      </w:r>
      <w:r w:rsidR="0033134E" w:rsidRPr="0033134E">
        <w:rPr>
          <w:rFonts w:ascii="Times New Roman" w:hAnsi="Times New Roman"/>
          <w:color w:val="000000"/>
          <w:sz w:val="24"/>
          <w:szCs w:val="24"/>
          <w:lang w:val="en-ID"/>
        </w:rPr>
        <w:t xml:space="preserve">&gt;0.05). According to </w:t>
      </w:r>
      <w:r w:rsidR="004B0763">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{"citationItems":[{"id":"ITEM-1","itemData":{"DOI":"https://doi.org/10.25077/jpi.24.3.270-280.2022","author":[{"dropping-particle":"","family":"Abrori","given":"A. S","non-dropping-particle":"","parse-names":false,"suffix":""},{"dropping-particle":"","family":"Ali","given":"U","non-dropping-particle":"","parse-names":false,"suffix":""},{"dropping-particle":"","family":"Rozi","given":"A. F","non-dropping-particle":"","parse-names":false,"suffix":""}],"container-title":"J. Peternakan Indonesia","id":"ITEM-1","issue":"3","issued":{"date-parts":[["2022"]]},"page":"270 -280","title":"Peningkatan Pertumbuhan, Efisiensi Pakan dan Pendapatan dalam Penggemukkan Domba Menggunakan Pakan Debu Sawit Terfermentasi","type":"article-journal","volume":"24"},"uris":["http://www.mendeley.com/documents/?uuid=76a2e666-746c-4062-8e26-409349a78bc4"]}],"mendeley":{"formattedCitation":"(Abrori et al., 2022)","manualFormatting":"Abrori et al. (2022)","plainTextFormattedCitation":"(Abrori et al., 2022)","previouslyFormattedCitation":"(Abrori et al., 2022)"},"properties":{"noteIndex":0},"schema":"https://github.com/citation-style-language/schema/raw/master/csl-citation.json"}</w:instrText>
      </w:r>
      <w:r w:rsidR="004B0763">
        <w:rPr>
          <w:rFonts w:ascii="Times New Roman" w:hAnsi="Times New Roman"/>
          <w:color w:val="000000"/>
          <w:sz w:val="24"/>
          <w:szCs w:val="24"/>
          <w:lang w:val="en-ID"/>
        </w:rPr>
        <w:fldChar w:fldCharType="separate"/>
      </w:r>
      <w:r w:rsidR="004B0763" w:rsidRPr="004B0763">
        <w:rPr>
          <w:rFonts w:ascii="Times New Roman" w:hAnsi="Times New Roman"/>
          <w:noProof/>
          <w:color w:val="000000"/>
          <w:sz w:val="24"/>
          <w:szCs w:val="24"/>
          <w:lang w:val="en-ID"/>
        </w:rPr>
        <w:t xml:space="preserve">Abrori et al. </w:t>
      </w:r>
      <w:r w:rsidR="004B0763">
        <w:rPr>
          <w:rFonts w:ascii="Times New Roman" w:hAnsi="Times New Roman"/>
          <w:noProof/>
          <w:color w:val="000000"/>
          <w:sz w:val="24"/>
          <w:szCs w:val="24"/>
          <w:lang w:val="en-ID"/>
        </w:rPr>
        <w:t>(</w:t>
      </w:r>
      <w:r w:rsidR="004B0763" w:rsidRPr="004B0763">
        <w:rPr>
          <w:rFonts w:ascii="Times New Roman" w:hAnsi="Times New Roman"/>
          <w:noProof/>
          <w:color w:val="000000"/>
          <w:sz w:val="24"/>
          <w:szCs w:val="24"/>
          <w:lang w:val="en-ID"/>
        </w:rPr>
        <w:t>2022)</w:t>
      </w:r>
      <w:r w:rsidR="004B0763">
        <w:rPr>
          <w:rFonts w:ascii="Times New Roman" w:hAnsi="Times New Roman"/>
          <w:color w:val="000000"/>
          <w:sz w:val="24"/>
          <w:szCs w:val="24"/>
          <w:lang w:val="en-ID"/>
        </w:rPr>
        <w:fldChar w:fldCharType="end"/>
      </w:r>
      <w:r w:rsidR="0033134E" w:rsidRPr="0033134E">
        <w:rPr>
          <w:rFonts w:ascii="Times New Roman" w:hAnsi="Times New Roman"/>
          <w:color w:val="000000"/>
          <w:sz w:val="24"/>
          <w:szCs w:val="24"/>
          <w:lang w:val="en-ID"/>
        </w:rPr>
        <w:t xml:space="preserve">, feed efficiency is influenced by feed quality, feed consumption, digestibility, and </w:t>
      </w:r>
      <w:r w:rsidR="00C15006">
        <w:rPr>
          <w:rFonts w:ascii="Times New Roman" w:hAnsi="Times New Roman"/>
          <w:color w:val="000000"/>
          <w:sz w:val="24"/>
          <w:szCs w:val="24"/>
          <w:lang w:val="en-ID"/>
        </w:rPr>
        <w:t>animal</w:t>
      </w:r>
      <w:r w:rsidR="0033134E" w:rsidRPr="0033134E">
        <w:rPr>
          <w:rFonts w:ascii="Times New Roman" w:hAnsi="Times New Roman"/>
          <w:color w:val="000000"/>
          <w:sz w:val="24"/>
          <w:szCs w:val="24"/>
          <w:lang w:val="en-ID"/>
        </w:rPr>
        <w:t xml:space="preserve"> body weight. </w:t>
      </w:r>
      <w:r w:rsidR="00C66691" w:rsidRPr="00C66691">
        <w:rPr>
          <w:rFonts w:ascii="Times New Roman" w:hAnsi="Times New Roman"/>
          <w:color w:val="000000"/>
          <w:sz w:val="24"/>
          <w:szCs w:val="24"/>
          <w:lang w:val="en-ID"/>
        </w:rPr>
        <w:t>Z</w:t>
      </w:r>
      <w:r w:rsidR="00453A75">
        <w:rPr>
          <w:rFonts w:ascii="Times New Roman" w:hAnsi="Times New Roman"/>
          <w:color w:val="000000"/>
          <w:sz w:val="24"/>
          <w:szCs w:val="24"/>
          <w:lang w:val="en-ID"/>
        </w:rPr>
        <w:t>n</w:t>
      </w:r>
      <w:r w:rsidR="00C66691" w:rsidRPr="00C66691">
        <w:rPr>
          <w:rFonts w:ascii="Times New Roman" w:hAnsi="Times New Roman"/>
          <w:color w:val="000000"/>
          <w:sz w:val="24"/>
          <w:szCs w:val="24"/>
          <w:lang w:val="en-ID"/>
        </w:rPr>
        <w:t xml:space="preserve"> soap supplementation in the treatment group increased the protein content of the feed so that feed digestibility increased. </w:t>
      </w:r>
      <w:r w:rsidR="00BA41B0">
        <w:rPr>
          <w:rFonts w:ascii="Times New Roman" w:hAnsi="Times New Roman"/>
          <w:color w:val="000000"/>
          <w:sz w:val="24"/>
          <w:szCs w:val="24"/>
          <w:lang w:val="en-ID"/>
        </w:rPr>
        <w:t>According to Ali et al. (2022), t</w:t>
      </w:r>
      <w:r w:rsidR="00BA41B0" w:rsidRPr="00BA41B0">
        <w:rPr>
          <w:rFonts w:ascii="Times New Roman" w:hAnsi="Times New Roman"/>
          <w:color w:val="000000"/>
          <w:sz w:val="24"/>
          <w:szCs w:val="24"/>
          <w:lang w:val="en-ID"/>
        </w:rPr>
        <w:t>he high protein content of the feed in the treatment group will increase the rumen microorganism population and production rate, thereby increasing feed digestibility.</w:t>
      </w:r>
    </w:p>
    <w:p w14:paraId="304A66B2" w14:textId="77777777" w:rsidR="00A07F44" w:rsidRPr="0033134E" w:rsidRDefault="00A07F44" w:rsidP="00441B6F">
      <w:pPr>
        <w:pStyle w:val="Body"/>
        <w:spacing w:after="0"/>
        <w:rPr>
          <w:rFonts w:ascii="Times New Roman" w:hAnsi="Times New Roman"/>
          <w:sz w:val="24"/>
          <w:szCs w:val="24"/>
          <w:lang w:val="en-ID"/>
        </w:rPr>
      </w:pPr>
    </w:p>
    <w:p w14:paraId="7BFA38D4" w14:textId="77777777" w:rsidR="00B01FCD" w:rsidRPr="00FE66D8" w:rsidRDefault="00000F8F" w:rsidP="00441B6F">
      <w:pPr>
        <w:pStyle w:val="ConcHead"/>
        <w:spacing w:after="0"/>
        <w:jc w:val="both"/>
        <w:rPr>
          <w:rFonts w:ascii="Times New Roman" w:hAnsi="Times New Roman"/>
          <w:sz w:val="24"/>
          <w:szCs w:val="24"/>
        </w:rPr>
      </w:pPr>
      <w:r w:rsidRPr="00FE66D8">
        <w:rPr>
          <w:rFonts w:ascii="Times New Roman" w:hAnsi="Times New Roman"/>
          <w:sz w:val="24"/>
          <w:szCs w:val="24"/>
        </w:rPr>
        <w:t xml:space="preserve">4. </w:t>
      </w:r>
      <w:r w:rsidR="00B01FCD" w:rsidRPr="00FE66D8">
        <w:rPr>
          <w:rFonts w:ascii="Times New Roman" w:hAnsi="Times New Roman"/>
          <w:sz w:val="24"/>
          <w:szCs w:val="24"/>
        </w:rPr>
        <w:t>Conclusion</w:t>
      </w:r>
    </w:p>
    <w:p w14:paraId="49631471" w14:textId="77777777" w:rsidR="00790ADA" w:rsidRPr="00FE66D8" w:rsidRDefault="00790ADA" w:rsidP="00441B6F">
      <w:pPr>
        <w:pStyle w:val="ConcHead"/>
        <w:spacing w:after="0"/>
        <w:jc w:val="both"/>
        <w:rPr>
          <w:rFonts w:ascii="Times New Roman" w:hAnsi="Times New Roman"/>
          <w:sz w:val="24"/>
          <w:szCs w:val="24"/>
        </w:rPr>
      </w:pPr>
    </w:p>
    <w:p w14:paraId="31C95A0D" w14:textId="45FA890F" w:rsidR="00F353AD" w:rsidRDefault="007E4E69" w:rsidP="008F5FCE">
      <w:pPr>
        <w:pStyle w:val="Body"/>
        <w:spacing w:after="0"/>
        <w:rPr>
          <w:rFonts w:ascii="Times New Roman" w:hAnsi="Times New Roman"/>
          <w:sz w:val="24"/>
          <w:szCs w:val="24"/>
        </w:rPr>
      </w:pPr>
      <w:r w:rsidRPr="007E4E69">
        <w:rPr>
          <w:rFonts w:ascii="Times New Roman" w:hAnsi="Times New Roman"/>
          <w:sz w:val="24"/>
          <w:szCs w:val="24"/>
        </w:rPr>
        <w:t xml:space="preserve">In conclusion, the increase in total VFA could be attributed to the increased protein content of the feed in the 3% </w:t>
      </w:r>
      <w:r w:rsidR="00453A75">
        <w:rPr>
          <w:rFonts w:ascii="Times New Roman" w:hAnsi="Times New Roman"/>
          <w:sz w:val="24"/>
          <w:szCs w:val="24"/>
        </w:rPr>
        <w:t>Zn</w:t>
      </w:r>
      <w:r w:rsidRPr="007E4E69">
        <w:rPr>
          <w:rFonts w:ascii="Times New Roman" w:hAnsi="Times New Roman"/>
          <w:sz w:val="24"/>
          <w:szCs w:val="24"/>
        </w:rPr>
        <w:t xml:space="preserve"> soap supplementation group. Supplementation with 3% </w:t>
      </w:r>
      <w:r w:rsidR="00453A75">
        <w:rPr>
          <w:rFonts w:ascii="Times New Roman" w:hAnsi="Times New Roman"/>
          <w:sz w:val="24"/>
          <w:szCs w:val="24"/>
        </w:rPr>
        <w:t>Zn</w:t>
      </w:r>
      <w:r w:rsidRPr="007E4E69">
        <w:rPr>
          <w:rFonts w:ascii="Times New Roman" w:hAnsi="Times New Roman"/>
          <w:sz w:val="24"/>
          <w:szCs w:val="24"/>
        </w:rPr>
        <w:t xml:space="preserve"> soap resulted in higher feed intake and fermentation, but can't to significantly increase milk production and feed efficiency.</w:t>
      </w:r>
      <w:r w:rsidR="00277CC4">
        <w:rPr>
          <w:rFonts w:ascii="Times New Roman" w:hAnsi="Times New Roman"/>
          <w:sz w:val="24"/>
          <w:szCs w:val="24"/>
        </w:rPr>
        <w:t xml:space="preserve"> </w:t>
      </w:r>
      <w:r w:rsidR="00453A75">
        <w:rPr>
          <w:rFonts w:ascii="Times New Roman" w:hAnsi="Times New Roman"/>
          <w:sz w:val="24"/>
          <w:szCs w:val="24"/>
        </w:rPr>
        <w:t>3% Zn</w:t>
      </w:r>
      <w:r w:rsidR="00277CC4" w:rsidRPr="00277CC4">
        <w:rPr>
          <w:rFonts w:ascii="Times New Roman" w:hAnsi="Times New Roman"/>
          <w:sz w:val="24"/>
          <w:szCs w:val="24"/>
        </w:rPr>
        <w:t xml:space="preserve"> soap supplementation did not have any negative effects, making it suitable for lactating Sapera goats.</w:t>
      </w:r>
    </w:p>
    <w:p w14:paraId="03436F4B" w14:textId="4D114FC9" w:rsidR="00F353AD" w:rsidRDefault="00F353AD" w:rsidP="008F5FCE">
      <w:pPr>
        <w:pStyle w:val="Body"/>
        <w:spacing w:after="0"/>
        <w:rPr>
          <w:rFonts w:ascii="Times New Roman" w:hAnsi="Times New Roman"/>
          <w:sz w:val="24"/>
          <w:szCs w:val="24"/>
        </w:rPr>
      </w:pPr>
    </w:p>
    <w:p w14:paraId="15B1FD88" w14:textId="39A994AB" w:rsidR="00F353AD" w:rsidRPr="00B225C4" w:rsidRDefault="00B225C4" w:rsidP="00F353AD">
      <w:pPr>
        <w:rPr>
          <w:rFonts w:ascii="Times New Roman" w:eastAsia="Calibri" w:hAnsi="Times New Roman"/>
          <w:b/>
          <w:bCs/>
          <w:kern w:val="2"/>
          <w:sz w:val="24"/>
          <w:szCs w:val="24"/>
          <w:highlight w:val="yellow"/>
        </w:rPr>
      </w:pPr>
      <w:bookmarkStart w:id="1" w:name="_Hlk204003461"/>
      <w:bookmarkStart w:id="2" w:name="_Hlk213070710"/>
      <w:r w:rsidRPr="00B225C4">
        <w:rPr>
          <w:rFonts w:ascii="Times New Roman" w:eastAsia="Calibri" w:hAnsi="Times New Roman"/>
          <w:b/>
          <w:bCs/>
          <w:kern w:val="2"/>
          <w:sz w:val="24"/>
          <w:szCs w:val="24"/>
        </w:rPr>
        <w:t>DISCLAIMER (ARTIFICIAL INTELLIGENCE)</w:t>
      </w:r>
    </w:p>
    <w:p w14:paraId="324C7C03" w14:textId="77777777" w:rsidR="00B225C4" w:rsidRDefault="00B225C4" w:rsidP="00F353AD">
      <w:pPr>
        <w:rPr>
          <w:rFonts w:ascii="Calibri" w:eastAsia="Calibri" w:hAnsi="Calibri"/>
          <w:kern w:val="2"/>
        </w:rPr>
      </w:pPr>
    </w:p>
    <w:p w14:paraId="12E47694" w14:textId="77777777" w:rsidR="00F353AD" w:rsidRPr="00B225C4" w:rsidRDefault="00F353AD" w:rsidP="00B225C4">
      <w:pPr>
        <w:jc w:val="both"/>
        <w:rPr>
          <w:rFonts w:ascii="Times New Roman" w:eastAsia="Calibri" w:hAnsi="Times New Roman"/>
          <w:kern w:val="2"/>
          <w:sz w:val="24"/>
          <w:szCs w:val="24"/>
        </w:rPr>
      </w:pPr>
      <w:r w:rsidRPr="00B225C4">
        <w:rPr>
          <w:rFonts w:ascii="Times New Roman" w:eastAsia="Calibri" w:hAnsi="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6B81C190" w14:textId="77777777" w:rsidR="00A07F44" w:rsidRPr="00FE66D8" w:rsidRDefault="00A07F44" w:rsidP="008F5FCE">
      <w:pPr>
        <w:pStyle w:val="Body"/>
        <w:spacing w:after="0"/>
        <w:rPr>
          <w:rFonts w:ascii="Times New Roman" w:hAnsi="Times New Roman"/>
          <w:sz w:val="24"/>
          <w:szCs w:val="24"/>
        </w:rPr>
      </w:pPr>
    </w:p>
    <w:p w14:paraId="1A125A87" w14:textId="77777777" w:rsidR="00AA3686" w:rsidRDefault="00AA3686" w:rsidP="00AA3686">
      <w:pPr>
        <w:autoSpaceDE w:val="0"/>
        <w:autoSpaceDN w:val="0"/>
        <w:adjustRightInd w:val="0"/>
        <w:jc w:val="both"/>
        <w:rPr>
          <w:rFonts w:ascii="Times New Roman" w:hAnsi="Times New Roman"/>
          <w:b/>
          <w:sz w:val="24"/>
          <w:szCs w:val="24"/>
        </w:rPr>
      </w:pPr>
      <w:r w:rsidRPr="00AA3686">
        <w:rPr>
          <w:rFonts w:ascii="Times New Roman" w:hAnsi="Times New Roman"/>
          <w:b/>
          <w:sz w:val="24"/>
          <w:szCs w:val="24"/>
        </w:rPr>
        <w:t>REFERENCES</w:t>
      </w:r>
    </w:p>
    <w:p w14:paraId="4BDC36C5" w14:textId="77777777" w:rsidR="004B0763" w:rsidRDefault="004B0763" w:rsidP="00AA3686">
      <w:pPr>
        <w:autoSpaceDE w:val="0"/>
        <w:autoSpaceDN w:val="0"/>
        <w:adjustRightInd w:val="0"/>
        <w:jc w:val="both"/>
        <w:rPr>
          <w:rFonts w:ascii="Times New Roman" w:hAnsi="Times New Roman"/>
          <w:b/>
          <w:sz w:val="24"/>
          <w:szCs w:val="24"/>
        </w:rPr>
      </w:pPr>
    </w:p>
    <w:p w14:paraId="3AC0FC42" w14:textId="372CCFD1" w:rsidR="003D5B40" w:rsidRPr="00F012AC" w:rsidRDefault="003D5B40" w:rsidP="00F012AC">
      <w:pPr>
        <w:pStyle w:val="ListParagraph"/>
        <w:widowControl w:val="0"/>
        <w:numPr>
          <w:ilvl w:val="0"/>
          <w:numId w:val="31"/>
        </w:numPr>
        <w:autoSpaceDE w:val="0"/>
        <w:autoSpaceDN w:val="0"/>
        <w:adjustRightInd w:val="0"/>
        <w:spacing w:after="240"/>
        <w:jc w:val="both"/>
        <w:rPr>
          <w:b/>
        </w:rPr>
      </w:pPr>
      <w:proofErr w:type="spellStart"/>
      <w:r w:rsidRPr="00F012AC">
        <w:rPr>
          <w:b/>
        </w:rPr>
        <w:t>Abrori</w:t>
      </w:r>
      <w:proofErr w:type="spellEnd"/>
      <w:r w:rsidRPr="00F012AC">
        <w:rPr>
          <w:b/>
        </w:rPr>
        <w:t xml:space="preserve">, A. S., Ali, U., &amp; Rozi, A. F. (2022). Increasing Growth, Feed Efficiency, and Income in Sheep Fattening Using Fermented Palm Oil Dust Feed. Indonesian Journal of Animal Husbandry, 24(3), 270–280. </w:t>
      </w:r>
      <w:hyperlink r:id="rId14" w:history="1">
        <w:r w:rsidR="002C0102" w:rsidRPr="00F012AC">
          <w:rPr>
            <w:rStyle w:val="Hyperlink"/>
            <w:b/>
          </w:rPr>
          <w:t>https://doi.org/10.25077/jpi.24.3.270-280.2022</w:t>
        </w:r>
      </w:hyperlink>
      <w:r w:rsidR="002C0102" w:rsidRPr="00F012AC">
        <w:rPr>
          <w:b/>
        </w:rPr>
        <w:t xml:space="preserve"> </w:t>
      </w:r>
    </w:p>
    <w:p w14:paraId="189A3BE2" w14:textId="1A2C8C66" w:rsidR="003D5B40" w:rsidRPr="00F012AC" w:rsidRDefault="003D5B40" w:rsidP="00F012AC">
      <w:pPr>
        <w:pStyle w:val="ListParagraph"/>
        <w:widowControl w:val="0"/>
        <w:numPr>
          <w:ilvl w:val="0"/>
          <w:numId w:val="31"/>
        </w:numPr>
        <w:autoSpaceDE w:val="0"/>
        <w:autoSpaceDN w:val="0"/>
        <w:adjustRightInd w:val="0"/>
        <w:spacing w:after="240"/>
        <w:jc w:val="both"/>
        <w:rPr>
          <w:b/>
        </w:rPr>
      </w:pPr>
      <w:r w:rsidRPr="00F012AC">
        <w:rPr>
          <w:b/>
        </w:rPr>
        <w:t xml:space="preserve">Adriani, A., Darlis, D., </w:t>
      </w:r>
      <w:proofErr w:type="spellStart"/>
      <w:r w:rsidRPr="00F012AC">
        <w:rPr>
          <w:b/>
        </w:rPr>
        <w:t>Andayani</w:t>
      </w:r>
      <w:proofErr w:type="spellEnd"/>
      <w:r w:rsidRPr="00F012AC">
        <w:rPr>
          <w:b/>
        </w:rPr>
        <w:t xml:space="preserve">, J., &amp; </w:t>
      </w:r>
      <w:proofErr w:type="spellStart"/>
      <w:r w:rsidRPr="00F012AC">
        <w:rPr>
          <w:b/>
        </w:rPr>
        <w:t>Novianti</w:t>
      </w:r>
      <w:proofErr w:type="spellEnd"/>
      <w:r w:rsidRPr="00F012AC">
        <w:rPr>
          <w:b/>
        </w:rPr>
        <w:t xml:space="preserve">, S. (2023). Milk Production of Etawah Crossbred Goats in Response to Probiotic and Zinc Supplementation in Diets. Indonesian Journal of Animal Husbandry, 26(2), 89–97. </w:t>
      </w:r>
      <w:hyperlink r:id="rId15" w:history="1">
        <w:r w:rsidR="002C0102" w:rsidRPr="00F012AC">
          <w:rPr>
            <w:rStyle w:val="Hyperlink"/>
            <w:b/>
          </w:rPr>
          <w:t>https://doi.org/10.22437/jiiip.v26i2.28413</w:t>
        </w:r>
      </w:hyperlink>
      <w:r w:rsidR="002C0102" w:rsidRPr="00F012AC">
        <w:rPr>
          <w:b/>
        </w:rPr>
        <w:t xml:space="preserve"> </w:t>
      </w:r>
    </w:p>
    <w:p w14:paraId="6FF800A6" w14:textId="0FF2868A" w:rsidR="003D5B40" w:rsidRPr="00F012AC" w:rsidRDefault="003D5B40" w:rsidP="00F012AC">
      <w:pPr>
        <w:pStyle w:val="ListParagraph"/>
        <w:widowControl w:val="0"/>
        <w:numPr>
          <w:ilvl w:val="0"/>
          <w:numId w:val="31"/>
        </w:numPr>
        <w:autoSpaceDE w:val="0"/>
        <w:autoSpaceDN w:val="0"/>
        <w:adjustRightInd w:val="0"/>
        <w:spacing w:after="240"/>
        <w:jc w:val="both"/>
        <w:rPr>
          <w:b/>
        </w:rPr>
      </w:pPr>
      <w:r w:rsidRPr="00F012AC">
        <w:rPr>
          <w:b/>
        </w:rPr>
        <w:t xml:space="preserve">Ahmad, M., Anwar, R., &amp; Asih, D. R. (2024). Partial VFA and Acetate/Propionate Ratio of Goat Feed Supplemented with Betel Leaf Flour (Piper </w:t>
      </w:r>
      <w:proofErr w:type="spellStart"/>
      <w:r w:rsidRPr="00F012AC">
        <w:rPr>
          <w:b/>
        </w:rPr>
        <w:t>betle</w:t>
      </w:r>
      <w:proofErr w:type="spellEnd"/>
      <w:r w:rsidRPr="00F012AC">
        <w:rPr>
          <w:b/>
        </w:rPr>
        <w:t xml:space="preserve"> Linn). Journal of Tropical Animal Science and Technology, 6(1), 1–8. </w:t>
      </w:r>
      <w:hyperlink r:id="rId16" w:history="1">
        <w:r w:rsidR="00844A2D" w:rsidRPr="00F012AC">
          <w:rPr>
            <w:rStyle w:val="Hyperlink"/>
            <w:b/>
          </w:rPr>
          <w:t>https://doi.org/10.32938/jtast.v6i1.5483</w:t>
        </w:r>
      </w:hyperlink>
      <w:r w:rsidR="00844A2D" w:rsidRPr="00F012AC">
        <w:rPr>
          <w:b/>
        </w:rPr>
        <w:t xml:space="preserve"> </w:t>
      </w:r>
    </w:p>
    <w:p w14:paraId="183DDF50" w14:textId="1FF59911" w:rsidR="003D5B40" w:rsidRPr="00F012AC" w:rsidRDefault="003D5B40" w:rsidP="00F012AC">
      <w:pPr>
        <w:pStyle w:val="ListParagraph"/>
        <w:widowControl w:val="0"/>
        <w:numPr>
          <w:ilvl w:val="0"/>
          <w:numId w:val="31"/>
        </w:numPr>
        <w:autoSpaceDE w:val="0"/>
        <w:autoSpaceDN w:val="0"/>
        <w:adjustRightInd w:val="0"/>
        <w:spacing w:after="240"/>
        <w:jc w:val="both"/>
        <w:rPr>
          <w:b/>
          <w:u w:val="single"/>
        </w:rPr>
      </w:pPr>
      <w:r w:rsidRPr="00F012AC">
        <w:rPr>
          <w:b/>
        </w:rPr>
        <w:t xml:space="preserve">Ali, U., </w:t>
      </w:r>
      <w:proofErr w:type="spellStart"/>
      <w:r w:rsidRPr="00F012AC">
        <w:rPr>
          <w:b/>
        </w:rPr>
        <w:t>Adhim</w:t>
      </w:r>
      <w:proofErr w:type="spellEnd"/>
      <w:r w:rsidRPr="00F012AC">
        <w:rPr>
          <w:b/>
        </w:rPr>
        <w:t xml:space="preserve">, M. A., &amp; </w:t>
      </w:r>
      <w:proofErr w:type="spellStart"/>
      <w:r w:rsidRPr="00F012AC">
        <w:rPr>
          <w:b/>
        </w:rPr>
        <w:t>Kentjonowaty</w:t>
      </w:r>
      <w:proofErr w:type="spellEnd"/>
      <w:r w:rsidRPr="00F012AC">
        <w:rPr>
          <w:b/>
        </w:rPr>
        <w:t xml:space="preserve">, I. (2022). Effect of Crude Protein Level in Complete Feed for Fattening </w:t>
      </w:r>
      <w:proofErr w:type="spellStart"/>
      <w:r w:rsidRPr="00F012AC">
        <w:rPr>
          <w:b/>
        </w:rPr>
        <w:t>Boerpe</w:t>
      </w:r>
      <w:proofErr w:type="spellEnd"/>
      <w:r w:rsidRPr="00F012AC">
        <w:rPr>
          <w:b/>
        </w:rPr>
        <w:t xml:space="preserve"> Hybrid Goats. J. Buana Sains, 22(3), 49–58. </w:t>
      </w:r>
      <w:hyperlink r:id="rId17" w:history="1">
        <w:r w:rsidR="00C66691" w:rsidRPr="00F012AC">
          <w:rPr>
            <w:rStyle w:val="Hyperlink"/>
            <w:b/>
          </w:rPr>
          <w:t>https://doi.org/https://doi.org/10.33366/bs.v22i3.4486</w:t>
        </w:r>
      </w:hyperlink>
      <w:r w:rsidR="00C66691" w:rsidRPr="00F012AC">
        <w:rPr>
          <w:b/>
          <w:u w:val="single"/>
        </w:rPr>
        <w:t xml:space="preserve"> </w:t>
      </w:r>
    </w:p>
    <w:p w14:paraId="18ACAF0C" w14:textId="64B80391" w:rsidR="003D5B40" w:rsidRPr="00F012AC" w:rsidRDefault="003D5B40" w:rsidP="00F012AC">
      <w:pPr>
        <w:pStyle w:val="ListParagraph"/>
        <w:widowControl w:val="0"/>
        <w:numPr>
          <w:ilvl w:val="0"/>
          <w:numId w:val="31"/>
        </w:numPr>
        <w:autoSpaceDE w:val="0"/>
        <w:autoSpaceDN w:val="0"/>
        <w:adjustRightInd w:val="0"/>
        <w:spacing w:after="240"/>
        <w:jc w:val="both"/>
        <w:rPr>
          <w:b/>
        </w:rPr>
      </w:pPr>
      <w:r w:rsidRPr="00F012AC">
        <w:rPr>
          <w:b/>
        </w:rPr>
        <w:t xml:space="preserve">Anwar, C., Liman, L., </w:t>
      </w:r>
      <w:proofErr w:type="spellStart"/>
      <w:r w:rsidRPr="00F012AC">
        <w:rPr>
          <w:b/>
        </w:rPr>
        <w:t>Muhtarudin</w:t>
      </w:r>
      <w:proofErr w:type="spellEnd"/>
      <w:r w:rsidRPr="00F012AC">
        <w:rPr>
          <w:b/>
        </w:rPr>
        <w:t xml:space="preserve">, M., &amp; </w:t>
      </w:r>
      <w:proofErr w:type="spellStart"/>
      <w:r w:rsidRPr="00F012AC">
        <w:rPr>
          <w:b/>
        </w:rPr>
        <w:t>Qisthon</w:t>
      </w:r>
      <w:proofErr w:type="spellEnd"/>
      <w:r w:rsidRPr="00F012AC">
        <w:rPr>
          <w:b/>
        </w:rPr>
        <w:t xml:space="preserve">, A. (2024). Effect of Soybean Meal (SBM) Supplementation on Consumption, Milk </w:t>
      </w:r>
      <w:r w:rsidRPr="00F012AC">
        <w:rPr>
          <w:b/>
        </w:rPr>
        <w:lastRenderedPageBreak/>
        <w:t xml:space="preserve">Production, and Feed Efficiency of Dairy Goats. Journal of Animal Husbandry Research and Innovation, 8(1), 91–99. </w:t>
      </w:r>
      <w:hyperlink r:id="rId18" w:history="1">
        <w:r w:rsidR="00A667B9" w:rsidRPr="00F012AC">
          <w:rPr>
            <w:rStyle w:val="Hyperlink"/>
            <w:b/>
          </w:rPr>
          <w:t>https://doi.org/10.23960/jrip.2024.8.1.091-099</w:t>
        </w:r>
      </w:hyperlink>
      <w:r w:rsidR="00A667B9" w:rsidRPr="00F012AC">
        <w:rPr>
          <w:b/>
        </w:rPr>
        <w:t xml:space="preserve"> </w:t>
      </w:r>
    </w:p>
    <w:p w14:paraId="33C40E91" w14:textId="7663890D" w:rsidR="003D5B40" w:rsidRPr="00F012AC" w:rsidRDefault="003D5B40" w:rsidP="00F012AC">
      <w:pPr>
        <w:pStyle w:val="ListParagraph"/>
        <w:widowControl w:val="0"/>
        <w:numPr>
          <w:ilvl w:val="0"/>
          <w:numId w:val="31"/>
        </w:numPr>
        <w:autoSpaceDE w:val="0"/>
        <w:autoSpaceDN w:val="0"/>
        <w:adjustRightInd w:val="0"/>
        <w:spacing w:after="240"/>
        <w:jc w:val="both"/>
        <w:rPr>
          <w:b/>
        </w:rPr>
      </w:pPr>
      <w:proofErr w:type="spellStart"/>
      <w:r w:rsidRPr="00F012AC">
        <w:rPr>
          <w:b/>
        </w:rPr>
        <w:t>Barlian</w:t>
      </w:r>
      <w:proofErr w:type="spellEnd"/>
      <w:r w:rsidRPr="00F012AC">
        <w:rPr>
          <w:b/>
        </w:rPr>
        <w:t xml:space="preserve">, A. N., </w:t>
      </w:r>
      <w:proofErr w:type="spellStart"/>
      <w:r w:rsidRPr="00F012AC">
        <w:rPr>
          <w:b/>
        </w:rPr>
        <w:t>Christiyanto</w:t>
      </w:r>
      <w:proofErr w:type="spellEnd"/>
      <w:r w:rsidRPr="00F012AC">
        <w:rPr>
          <w:b/>
        </w:rPr>
        <w:t xml:space="preserve">, M., </w:t>
      </w:r>
      <w:proofErr w:type="spellStart"/>
      <w:r w:rsidRPr="00F012AC">
        <w:rPr>
          <w:b/>
        </w:rPr>
        <w:t>Pangestu</w:t>
      </w:r>
      <w:proofErr w:type="spellEnd"/>
      <w:r w:rsidRPr="00F012AC">
        <w:rPr>
          <w:b/>
        </w:rPr>
        <w:t xml:space="preserve">, E., &amp; </w:t>
      </w:r>
      <w:proofErr w:type="spellStart"/>
      <w:r w:rsidRPr="00F012AC">
        <w:rPr>
          <w:b/>
        </w:rPr>
        <w:t>Nuswatara</w:t>
      </w:r>
      <w:proofErr w:type="spellEnd"/>
      <w:r w:rsidRPr="00F012AC">
        <w:rPr>
          <w:b/>
        </w:rPr>
        <w:t xml:space="preserve">, L. K. (2020). Potential Ruminal Fermentability of Goat Forage. Journal of Research and Development of Central Java Province, 18(1), 37–42. </w:t>
      </w:r>
      <w:hyperlink r:id="rId19" w:history="1">
        <w:r w:rsidR="00A667B9" w:rsidRPr="00F012AC">
          <w:rPr>
            <w:rStyle w:val="Hyperlink"/>
            <w:b/>
          </w:rPr>
          <w:t>https://doi.org/10.36762/jurnaljateng.v18i1.807</w:t>
        </w:r>
      </w:hyperlink>
      <w:r w:rsidR="00A667B9" w:rsidRPr="00F012AC">
        <w:rPr>
          <w:b/>
        </w:rPr>
        <w:t xml:space="preserve"> </w:t>
      </w:r>
    </w:p>
    <w:p w14:paraId="036F94CA" w14:textId="77777777" w:rsidR="003D5B40" w:rsidRPr="00F012AC" w:rsidRDefault="003D5B40" w:rsidP="00F012AC">
      <w:pPr>
        <w:pStyle w:val="ListParagraph"/>
        <w:widowControl w:val="0"/>
        <w:numPr>
          <w:ilvl w:val="0"/>
          <w:numId w:val="31"/>
        </w:numPr>
        <w:autoSpaceDE w:val="0"/>
        <w:autoSpaceDN w:val="0"/>
        <w:adjustRightInd w:val="0"/>
        <w:spacing w:after="240"/>
        <w:jc w:val="both"/>
        <w:rPr>
          <w:b/>
        </w:rPr>
      </w:pPr>
      <w:proofErr w:type="spellStart"/>
      <w:r w:rsidRPr="00F012AC">
        <w:rPr>
          <w:b/>
        </w:rPr>
        <w:t>Cabatit</w:t>
      </w:r>
      <w:proofErr w:type="spellEnd"/>
      <w:r w:rsidRPr="00F012AC">
        <w:rPr>
          <w:b/>
        </w:rPr>
        <w:t>, B. C. (1979). Laboratory Guide in Biochemistry 10th Ed. USA Press.</w:t>
      </w:r>
    </w:p>
    <w:p w14:paraId="6AABC121" w14:textId="7B529FC9" w:rsidR="003D5B40" w:rsidRPr="00F012AC" w:rsidRDefault="003D5B40" w:rsidP="00F012AC">
      <w:pPr>
        <w:pStyle w:val="ListParagraph"/>
        <w:widowControl w:val="0"/>
        <w:numPr>
          <w:ilvl w:val="0"/>
          <w:numId w:val="31"/>
        </w:numPr>
        <w:autoSpaceDE w:val="0"/>
        <w:autoSpaceDN w:val="0"/>
        <w:adjustRightInd w:val="0"/>
        <w:spacing w:after="240"/>
        <w:jc w:val="both"/>
        <w:rPr>
          <w:b/>
        </w:rPr>
      </w:pPr>
      <w:r w:rsidRPr="00F012AC">
        <w:rPr>
          <w:b/>
        </w:rPr>
        <w:t xml:space="preserve">Christi, R. F., Wulandari, E., &amp; </w:t>
      </w:r>
      <w:proofErr w:type="spellStart"/>
      <w:r w:rsidRPr="00F012AC">
        <w:rPr>
          <w:b/>
        </w:rPr>
        <w:t>Presetya</w:t>
      </w:r>
      <w:proofErr w:type="spellEnd"/>
      <w:r w:rsidRPr="00F012AC">
        <w:rPr>
          <w:b/>
        </w:rPr>
        <w:t xml:space="preserve">, A. F. (2024). Evaluation of Sensory Quality, Specific Gravity, Fat, and Protein of Sapera Goat Milk at </w:t>
      </w:r>
      <w:proofErr w:type="spellStart"/>
      <w:r w:rsidRPr="00F012AC">
        <w:rPr>
          <w:b/>
        </w:rPr>
        <w:t>Alam</w:t>
      </w:r>
      <w:proofErr w:type="spellEnd"/>
      <w:r w:rsidRPr="00F012AC">
        <w:rPr>
          <w:b/>
        </w:rPr>
        <w:t xml:space="preserve"> Farm </w:t>
      </w:r>
      <w:proofErr w:type="spellStart"/>
      <w:r w:rsidRPr="00F012AC">
        <w:rPr>
          <w:b/>
        </w:rPr>
        <w:t>Manglayang</w:t>
      </w:r>
      <w:proofErr w:type="spellEnd"/>
      <w:r w:rsidRPr="00F012AC">
        <w:rPr>
          <w:b/>
        </w:rPr>
        <w:t xml:space="preserve"> Dairy Goat Farm, </w:t>
      </w:r>
      <w:proofErr w:type="spellStart"/>
      <w:r w:rsidRPr="00F012AC">
        <w:rPr>
          <w:b/>
        </w:rPr>
        <w:t>Cilengkrang</w:t>
      </w:r>
      <w:proofErr w:type="spellEnd"/>
      <w:r w:rsidRPr="00F012AC">
        <w:rPr>
          <w:b/>
        </w:rPr>
        <w:t xml:space="preserve"> District, Bandung Regency. </w:t>
      </w:r>
      <w:proofErr w:type="spellStart"/>
      <w:r w:rsidRPr="00F012AC">
        <w:rPr>
          <w:b/>
        </w:rPr>
        <w:t>Zootec</w:t>
      </w:r>
      <w:proofErr w:type="spellEnd"/>
      <w:r w:rsidRPr="00F012AC">
        <w:rPr>
          <w:b/>
        </w:rPr>
        <w:t xml:space="preserve">, 44(1), 202–212. </w:t>
      </w:r>
      <w:hyperlink r:id="rId20" w:history="1">
        <w:r w:rsidR="00A667B9" w:rsidRPr="00F012AC">
          <w:rPr>
            <w:rStyle w:val="Hyperlink"/>
            <w:b/>
          </w:rPr>
          <w:t>https://doi.org/10.35792/zot.44.1.2024.54112</w:t>
        </w:r>
      </w:hyperlink>
      <w:r w:rsidR="00A667B9" w:rsidRPr="00F012AC">
        <w:rPr>
          <w:b/>
        </w:rPr>
        <w:t xml:space="preserve"> </w:t>
      </w:r>
    </w:p>
    <w:p w14:paraId="5A1CEE39" w14:textId="0D7A3E86" w:rsidR="003D5B40" w:rsidRPr="00F012AC" w:rsidRDefault="003D5B40" w:rsidP="00F012AC">
      <w:pPr>
        <w:pStyle w:val="ListParagraph"/>
        <w:widowControl w:val="0"/>
        <w:numPr>
          <w:ilvl w:val="0"/>
          <w:numId w:val="31"/>
        </w:numPr>
        <w:autoSpaceDE w:val="0"/>
        <w:autoSpaceDN w:val="0"/>
        <w:adjustRightInd w:val="0"/>
        <w:spacing w:after="240"/>
        <w:jc w:val="both"/>
        <w:rPr>
          <w:b/>
        </w:rPr>
      </w:pPr>
      <w:r w:rsidRPr="00F012AC">
        <w:rPr>
          <w:b/>
        </w:rPr>
        <w:t xml:space="preserve">Farda, F. T., </w:t>
      </w:r>
      <w:proofErr w:type="spellStart"/>
      <w:r w:rsidRPr="00F012AC">
        <w:rPr>
          <w:b/>
        </w:rPr>
        <w:t>Salsabilla</w:t>
      </w:r>
      <w:proofErr w:type="spellEnd"/>
      <w:r w:rsidRPr="00F012AC">
        <w:rPr>
          <w:b/>
        </w:rPr>
        <w:t xml:space="preserve">, N. S., </w:t>
      </w:r>
      <w:proofErr w:type="spellStart"/>
      <w:r w:rsidRPr="00F012AC">
        <w:rPr>
          <w:b/>
        </w:rPr>
        <w:t>Erwanto</w:t>
      </w:r>
      <w:proofErr w:type="spellEnd"/>
      <w:r w:rsidRPr="00F012AC">
        <w:rPr>
          <w:b/>
        </w:rPr>
        <w:t xml:space="preserve">, E., Liman, L., Sirat, M. M. P., &amp; </w:t>
      </w:r>
      <w:proofErr w:type="spellStart"/>
      <w:r w:rsidRPr="00F012AC">
        <w:rPr>
          <w:b/>
        </w:rPr>
        <w:t>Muhtarudin</w:t>
      </w:r>
      <w:proofErr w:type="spellEnd"/>
      <w:r w:rsidRPr="00F012AC">
        <w:rPr>
          <w:b/>
        </w:rPr>
        <w:t>, M. (2024). VFA and NH</w:t>
      </w:r>
      <w:r w:rsidRPr="00F012AC">
        <w:rPr>
          <w:b/>
          <w:vertAlign w:val="subscript"/>
        </w:rPr>
        <w:t>3</w:t>
      </w:r>
      <w:r w:rsidRPr="00F012AC">
        <w:rPr>
          <w:b/>
        </w:rPr>
        <w:t xml:space="preserve"> Levels in Rumen Fluid of Male </w:t>
      </w:r>
      <w:proofErr w:type="spellStart"/>
      <w:r w:rsidRPr="00F012AC">
        <w:rPr>
          <w:b/>
        </w:rPr>
        <w:t>Rambon</w:t>
      </w:r>
      <w:proofErr w:type="spellEnd"/>
      <w:r w:rsidRPr="00F012AC">
        <w:rPr>
          <w:b/>
        </w:rPr>
        <w:t xml:space="preserve"> Goats with the Addition of Soybean Meal, Zinc, and Chromium in the Ration. Wahana Peternakan, 8(3), 509–519. </w:t>
      </w:r>
      <w:hyperlink r:id="rId21" w:history="1">
        <w:r w:rsidR="00A667B9" w:rsidRPr="00F012AC">
          <w:rPr>
            <w:rStyle w:val="Hyperlink"/>
            <w:b/>
          </w:rPr>
          <w:t>https://doi.org/10.37090/jwputb.v8i3.1877</w:t>
        </w:r>
      </w:hyperlink>
      <w:r w:rsidR="00A667B9" w:rsidRPr="00F012AC">
        <w:rPr>
          <w:b/>
        </w:rPr>
        <w:t xml:space="preserve"> </w:t>
      </w:r>
    </w:p>
    <w:p w14:paraId="22EBD561" w14:textId="454FA975" w:rsidR="003D5B40" w:rsidRPr="00F012AC" w:rsidRDefault="003D5B40" w:rsidP="00F012AC">
      <w:pPr>
        <w:pStyle w:val="ListParagraph"/>
        <w:widowControl w:val="0"/>
        <w:numPr>
          <w:ilvl w:val="0"/>
          <w:numId w:val="31"/>
        </w:numPr>
        <w:autoSpaceDE w:val="0"/>
        <w:autoSpaceDN w:val="0"/>
        <w:adjustRightInd w:val="0"/>
        <w:spacing w:after="240"/>
        <w:jc w:val="both"/>
        <w:rPr>
          <w:b/>
        </w:rPr>
      </w:pPr>
      <w:proofErr w:type="spellStart"/>
      <w:r w:rsidRPr="00F012AC">
        <w:rPr>
          <w:b/>
        </w:rPr>
        <w:t>Fariani</w:t>
      </w:r>
      <w:proofErr w:type="spellEnd"/>
      <w:r w:rsidRPr="00F012AC">
        <w:rPr>
          <w:b/>
        </w:rPr>
        <w:t xml:space="preserve">, A., </w:t>
      </w:r>
      <w:proofErr w:type="spellStart"/>
      <w:r w:rsidRPr="00F012AC">
        <w:rPr>
          <w:b/>
        </w:rPr>
        <w:t>Naidilah</w:t>
      </w:r>
      <w:proofErr w:type="spellEnd"/>
      <w:r w:rsidRPr="00F012AC">
        <w:rPr>
          <w:b/>
        </w:rPr>
        <w:t xml:space="preserve">, A., Pratama, T., &amp; </w:t>
      </w:r>
      <w:proofErr w:type="spellStart"/>
      <w:r w:rsidRPr="00F012AC">
        <w:rPr>
          <w:b/>
        </w:rPr>
        <w:t>Susanda</w:t>
      </w:r>
      <w:proofErr w:type="spellEnd"/>
      <w:r w:rsidRPr="00F012AC">
        <w:rPr>
          <w:b/>
        </w:rPr>
        <w:t xml:space="preserve">, A. (2022). In Vitro Quality of Oil Palm Frond Silage Supplemented with Zinc (Zn) Minerals. Sriwijaya Animal Husbandry Journal, 11(1), 9–16. </w:t>
      </w:r>
      <w:hyperlink r:id="rId22" w:history="1">
        <w:r w:rsidR="00A667B9" w:rsidRPr="00F012AC">
          <w:rPr>
            <w:rStyle w:val="Hyperlink"/>
            <w:b/>
          </w:rPr>
          <w:t>https://doi.org/10.36706/JPS.11.1.2022.17204</w:t>
        </w:r>
      </w:hyperlink>
      <w:r w:rsidR="00A667B9" w:rsidRPr="00F012AC">
        <w:rPr>
          <w:b/>
        </w:rPr>
        <w:t xml:space="preserve"> </w:t>
      </w:r>
    </w:p>
    <w:p w14:paraId="4C65A774" w14:textId="675CA704" w:rsidR="003D5B40" w:rsidRPr="00F012AC" w:rsidRDefault="003D5B40" w:rsidP="00F012AC">
      <w:pPr>
        <w:pStyle w:val="ListParagraph"/>
        <w:widowControl w:val="0"/>
        <w:numPr>
          <w:ilvl w:val="0"/>
          <w:numId w:val="31"/>
        </w:numPr>
        <w:autoSpaceDE w:val="0"/>
        <w:autoSpaceDN w:val="0"/>
        <w:adjustRightInd w:val="0"/>
        <w:spacing w:after="240"/>
        <w:jc w:val="both"/>
        <w:rPr>
          <w:b/>
        </w:rPr>
      </w:pPr>
      <w:proofErr w:type="spellStart"/>
      <w:r w:rsidRPr="00F012AC">
        <w:rPr>
          <w:b/>
        </w:rPr>
        <w:t>Filasari</w:t>
      </w:r>
      <w:proofErr w:type="spellEnd"/>
      <w:r w:rsidRPr="00F012AC">
        <w:rPr>
          <w:b/>
        </w:rPr>
        <w:t xml:space="preserve">, O., </w:t>
      </w:r>
      <w:proofErr w:type="spellStart"/>
      <w:r w:rsidRPr="00F012AC">
        <w:rPr>
          <w:b/>
        </w:rPr>
        <w:t>Christiyanto</w:t>
      </w:r>
      <w:proofErr w:type="spellEnd"/>
      <w:r w:rsidRPr="00F012AC">
        <w:rPr>
          <w:b/>
        </w:rPr>
        <w:t xml:space="preserve">, M., Nuswatara, L. K., &amp; </w:t>
      </w:r>
      <w:proofErr w:type="spellStart"/>
      <w:r w:rsidRPr="00F012AC">
        <w:rPr>
          <w:b/>
        </w:rPr>
        <w:t>Pangestu</w:t>
      </w:r>
      <w:proofErr w:type="spellEnd"/>
      <w:r w:rsidRPr="00F012AC">
        <w:rPr>
          <w:b/>
        </w:rPr>
        <w:t>, E. (2019). In Vitro Production of Volatile Fatty Acids and Ammonia (NH</w:t>
      </w:r>
      <w:r w:rsidRPr="00F012AC">
        <w:rPr>
          <w:b/>
          <w:vertAlign w:val="subscript"/>
        </w:rPr>
        <w:t>3</w:t>
      </w:r>
      <w:r w:rsidRPr="00F012AC">
        <w:rPr>
          <w:b/>
        </w:rPr>
        <w:t xml:space="preserve">) in Goat Forage. Central Java Provincial Research and Development Journal, 17(1), 111–115. </w:t>
      </w:r>
      <w:hyperlink r:id="rId23" w:history="1">
        <w:r w:rsidR="00A667B9" w:rsidRPr="00F012AC">
          <w:rPr>
            <w:rStyle w:val="Hyperlink"/>
            <w:b/>
          </w:rPr>
          <w:t>https://doi.org/10.36762/jurnaljateng.v17i1.791</w:t>
        </w:r>
      </w:hyperlink>
      <w:r w:rsidR="00A667B9" w:rsidRPr="00F012AC">
        <w:rPr>
          <w:b/>
        </w:rPr>
        <w:t xml:space="preserve"> </w:t>
      </w:r>
    </w:p>
    <w:p w14:paraId="72D5F656" w14:textId="77777777" w:rsidR="003D5B40" w:rsidRPr="00F012AC" w:rsidRDefault="003D5B40" w:rsidP="00F012AC">
      <w:pPr>
        <w:pStyle w:val="ListParagraph"/>
        <w:widowControl w:val="0"/>
        <w:numPr>
          <w:ilvl w:val="0"/>
          <w:numId w:val="31"/>
        </w:numPr>
        <w:autoSpaceDE w:val="0"/>
        <w:autoSpaceDN w:val="0"/>
        <w:adjustRightInd w:val="0"/>
        <w:spacing w:after="240"/>
        <w:jc w:val="both"/>
        <w:rPr>
          <w:b/>
        </w:rPr>
      </w:pPr>
      <w:r w:rsidRPr="00F012AC">
        <w:rPr>
          <w:b/>
        </w:rPr>
        <w:t>General Laboratory Procedures. (1966). Report of Dairy Science. University of Wisconsin Madison.</w:t>
      </w:r>
    </w:p>
    <w:p w14:paraId="11D26E45" w14:textId="1B45A261" w:rsidR="002E1C06" w:rsidRPr="00986FC7" w:rsidRDefault="002E1C06" w:rsidP="00F012AC">
      <w:pPr>
        <w:pStyle w:val="ListParagraph"/>
        <w:widowControl w:val="0"/>
        <w:numPr>
          <w:ilvl w:val="0"/>
          <w:numId w:val="31"/>
        </w:numPr>
        <w:autoSpaceDE w:val="0"/>
        <w:autoSpaceDN w:val="0"/>
        <w:adjustRightInd w:val="0"/>
        <w:spacing w:after="240"/>
        <w:jc w:val="both"/>
        <w:rPr>
          <w:b/>
          <w:highlight w:val="yellow"/>
        </w:rPr>
      </w:pPr>
      <w:r w:rsidRPr="00986FC7">
        <w:rPr>
          <w:b/>
          <w:highlight w:val="yellow"/>
        </w:rPr>
        <w:t xml:space="preserve">Jemiman, M. A. A., G. </w:t>
      </w:r>
      <w:proofErr w:type="spellStart"/>
      <w:r w:rsidRPr="00986FC7">
        <w:rPr>
          <w:b/>
          <w:highlight w:val="yellow"/>
        </w:rPr>
        <w:t>Oematan</w:t>
      </w:r>
      <w:proofErr w:type="spellEnd"/>
      <w:r w:rsidRPr="00986FC7">
        <w:rPr>
          <w:b/>
          <w:highlight w:val="yellow"/>
        </w:rPr>
        <w:t xml:space="preserve">., G. A. Y. Lestari and M. M. </w:t>
      </w:r>
      <w:proofErr w:type="spellStart"/>
      <w:r w:rsidRPr="00986FC7">
        <w:rPr>
          <w:b/>
          <w:highlight w:val="yellow"/>
        </w:rPr>
        <w:t>Kleden</w:t>
      </w:r>
      <w:proofErr w:type="spellEnd"/>
      <w:r w:rsidRPr="00986FC7">
        <w:rPr>
          <w:b/>
          <w:highlight w:val="yellow"/>
        </w:rPr>
        <w:t xml:space="preserve">. 2025. The Effect of Providing Complete Feed Silage from Various Greens with the </w:t>
      </w:r>
      <w:r w:rsidR="00AC29B2" w:rsidRPr="00986FC7">
        <w:rPr>
          <w:b/>
          <w:highlight w:val="yellow"/>
        </w:rPr>
        <w:t>A</w:t>
      </w:r>
      <w:r w:rsidRPr="00986FC7">
        <w:rPr>
          <w:b/>
          <w:highlight w:val="yellow"/>
        </w:rPr>
        <w:t xml:space="preserve">ddition of </w:t>
      </w:r>
      <w:r w:rsidR="00AC29B2" w:rsidRPr="00986FC7">
        <w:rPr>
          <w:b/>
          <w:highlight w:val="yellow"/>
        </w:rPr>
        <w:t>C</w:t>
      </w:r>
      <w:r w:rsidRPr="00986FC7">
        <w:rPr>
          <w:b/>
          <w:highlight w:val="yellow"/>
        </w:rPr>
        <w:t xml:space="preserve">oncentrate </w:t>
      </w:r>
      <w:r w:rsidR="00AC29B2" w:rsidRPr="00986FC7">
        <w:rPr>
          <w:b/>
          <w:highlight w:val="yellow"/>
        </w:rPr>
        <w:t>C</w:t>
      </w:r>
      <w:r w:rsidRPr="00986FC7">
        <w:rPr>
          <w:b/>
          <w:highlight w:val="yellow"/>
        </w:rPr>
        <w:t xml:space="preserve">ontaining ZnSO4 and Zn-Cu </w:t>
      </w:r>
      <w:proofErr w:type="spellStart"/>
      <w:r w:rsidRPr="00986FC7">
        <w:rPr>
          <w:b/>
          <w:highlight w:val="yellow"/>
        </w:rPr>
        <w:t>Isoleucinate</w:t>
      </w:r>
      <w:proofErr w:type="spellEnd"/>
      <w:r w:rsidRPr="00986FC7">
        <w:rPr>
          <w:b/>
          <w:highlight w:val="yellow"/>
        </w:rPr>
        <w:t xml:space="preserve"> on </w:t>
      </w:r>
      <w:r w:rsidR="00AC29B2" w:rsidRPr="00986FC7">
        <w:rPr>
          <w:b/>
          <w:highlight w:val="yellow"/>
        </w:rPr>
        <w:t>R</w:t>
      </w:r>
      <w:r w:rsidRPr="00986FC7">
        <w:rPr>
          <w:b/>
          <w:highlight w:val="yellow"/>
        </w:rPr>
        <w:t xml:space="preserve">umen </w:t>
      </w:r>
      <w:r w:rsidR="00AC29B2" w:rsidRPr="00986FC7">
        <w:rPr>
          <w:b/>
          <w:highlight w:val="yellow"/>
        </w:rPr>
        <w:t>F</w:t>
      </w:r>
      <w:r w:rsidRPr="00986FC7">
        <w:rPr>
          <w:b/>
          <w:highlight w:val="yellow"/>
        </w:rPr>
        <w:t>ermentation (pH, VFA and NH</w:t>
      </w:r>
      <w:r w:rsidRPr="00986FC7">
        <w:rPr>
          <w:b/>
          <w:highlight w:val="yellow"/>
          <w:vertAlign w:val="subscript"/>
        </w:rPr>
        <w:t>3</w:t>
      </w:r>
      <w:r w:rsidRPr="00986FC7">
        <w:rPr>
          <w:b/>
          <w:highlight w:val="yellow"/>
        </w:rPr>
        <w:t xml:space="preserve">) in </w:t>
      </w:r>
      <w:proofErr w:type="spellStart"/>
      <w:r w:rsidRPr="00986FC7">
        <w:rPr>
          <w:b/>
          <w:highlight w:val="yellow"/>
        </w:rPr>
        <w:t>Kacang</w:t>
      </w:r>
      <w:proofErr w:type="spellEnd"/>
      <w:r w:rsidRPr="00986FC7">
        <w:rPr>
          <w:b/>
          <w:highlight w:val="yellow"/>
        </w:rPr>
        <w:t xml:space="preserve"> </w:t>
      </w:r>
      <w:r w:rsidR="00AC29B2" w:rsidRPr="00986FC7">
        <w:rPr>
          <w:b/>
          <w:highlight w:val="yellow"/>
        </w:rPr>
        <w:t>G</w:t>
      </w:r>
      <w:r w:rsidRPr="00986FC7">
        <w:rPr>
          <w:b/>
          <w:highlight w:val="yellow"/>
        </w:rPr>
        <w:t>oats. J. Animal Agricultural. 2 (3): 858-869.</w:t>
      </w:r>
      <w:r w:rsidR="00AC29B2" w:rsidRPr="00986FC7">
        <w:rPr>
          <w:b/>
          <w:highlight w:val="yellow"/>
        </w:rPr>
        <w:t xml:space="preserve"> DOI:</w:t>
      </w:r>
      <w:r w:rsidR="00AC29B2" w:rsidRPr="00986FC7">
        <w:rPr>
          <w:highlight w:val="yellow"/>
        </w:rPr>
        <w:t xml:space="preserve"> </w:t>
      </w:r>
      <w:hyperlink r:id="rId24" w:history="1">
        <w:r w:rsidR="00AC29B2" w:rsidRPr="00986FC7">
          <w:rPr>
            <w:rStyle w:val="Hyperlink"/>
            <w:b/>
            <w:highlight w:val="yellow"/>
          </w:rPr>
          <w:t xml:space="preserve">10.59891/animacultura.v2i3.111  </w:t>
        </w:r>
      </w:hyperlink>
      <w:r w:rsidR="00AC29B2" w:rsidRPr="00986FC7">
        <w:rPr>
          <w:b/>
          <w:highlight w:val="yellow"/>
          <w:u w:val="single"/>
        </w:rPr>
        <w:t xml:space="preserve"> </w:t>
      </w:r>
    </w:p>
    <w:p w14:paraId="1D762CC5" w14:textId="1A5D8C0C" w:rsidR="006C23F1" w:rsidRPr="00986FC7" w:rsidRDefault="006C23F1" w:rsidP="00F012AC">
      <w:pPr>
        <w:pStyle w:val="ListParagraph"/>
        <w:widowControl w:val="0"/>
        <w:numPr>
          <w:ilvl w:val="0"/>
          <w:numId w:val="31"/>
        </w:numPr>
        <w:autoSpaceDE w:val="0"/>
        <w:autoSpaceDN w:val="0"/>
        <w:adjustRightInd w:val="0"/>
        <w:spacing w:after="240"/>
        <w:jc w:val="both"/>
        <w:rPr>
          <w:b/>
          <w:highlight w:val="yellow"/>
        </w:rPr>
      </w:pPr>
      <w:proofErr w:type="spellStart"/>
      <w:r w:rsidRPr="00986FC7">
        <w:rPr>
          <w:b/>
          <w:highlight w:val="yellow"/>
        </w:rPr>
        <w:t>Langgajanji</w:t>
      </w:r>
      <w:proofErr w:type="spellEnd"/>
      <w:r w:rsidRPr="00986FC7">
        <w:rPr>
          <w:b/>
          <w:highlight w:val="yellow"/>
        </w:rPr>
        <w:t xml:space="preserve">, V. D., G. Maranatha., &amp; Y. R. Noach. 2024. The Effect of Providing a Complete Silage-Based Mixed Feed Sorghum and Gamal </w:t>
      </w:r>
      <w:r w:rsidRPr="00986FC7">
        <w:rPr>
          <w:b/>
          <w:highlight w:val="yellow"/>
        </w:rPr>
        <w:lastRenderedPageBreak/>
        <w:t xml:space="preserve">Leaves at Different Levels on Crude Protein and Crude Fiber Digestibility of Female Local Goats. J. Animal Agriculture. 1(3),230-240. </w:t>
      </w:r>
      <w:hyperlink r:id="rId25" w:history="1">
        <w:r w:rsidRPr="00986FC7">
          <w:rPr>
            <w:rStyle w:val="Hyperlink"/>
            <w:b/>
            <w:highlight w:val="yellow"/>
          </w:rPr>
          <w:t>https://doi.org/10.59891/animacultura.v1i3.42</w:t>
        </w:r>
      </w:hyperlink>
      <w:r w:rsidRPr="00986FC7">
        <w:rPr>
          <w:b/>
          <w:highlight w:val="yellow"/>
          <w:u w:val="single"/>
        </w:rPr>
        <w:t xml:space="preserve"> </w:t>
      </w:r>
    </w:p>
    <w:p w14:paraId="15584259" w14:textId="7A049933" w:rsidR="003D5B40" w:rsidRPr="00F012AC" w:rsidRDefault="003D5B40" w:rsidP="00F012AC">
      <w:pPr>
        <w:pStyle w:val="ListParagraph"/>
        <w:widowControl w:val="0"/>
        <w:numPr>
          <w:ilvl w:val="0"/>
          <w:numId w:val="31"/>
        </w:numPr>
        <w:autoSpaceDE w:val="0"/>
        <w:autoSpaceDN w:val="0"/>
        <w:adjustRightInd w:val="0"/>
        <w:spacing w:after="240"/>
        <w:jc w:val="both"/>
        <w:rPr>
          <w:b/>
        </w:rPr>
      </w:pPr>
      <w:r w:rsidRPr="00F012AC">
        <w:rPr>
          <w:b/>
        </w:rPr>
        <w:t xml:space="preserve">Lestari, Y., </w:t>
      </w:r>
      <w:proofErr w:type="spellStart"/>
      <w:r w:rsidRPr="00F012AC">
        <w:rPr>
          <w:b/>
        </w:rPr>
        <w:t>Wanniatie</w:t>
      </w:r>
      <w:proofErr w:type="spellEnd"/>
      <w:r w:rsidRPr="00F012AC">
        <w:rPr>
          <w:b/>
        </w:rPr>
        <w:t xml:space="preserve">, V., Fathul, F., &amp; </w:t>
      </w:r>
      <w:proofErr w:type="spellStart"/>
      <w:r w:rsidRPr="00F012AC">
        <w:rPr>
          <w:b/>
        </w:rPr>
        <w:t>Qisthon</w:t>
      </w:r>
      <w:proofErr w:type="spellEnd"/>
      <w:r w:rsidRPr="00F012AC">
        <w:rPr>
          <w:b/>
        </w:rPr>
        <w:t xml:space="preserve">, A. (2023). Substitution of Cassava Leaf Silage with </w:t>
      </w:r>
      <w:proofErr w:type="spellStart"/>
      <w:r w:rsidRPr="00F012AC">
        <w:rPr>
          <w:b/>
        </w:rPr>
        <w:t>Pakchong</w:t>
      </w:r>
      <w:proofErr w:type="spellEnd"/>
      <w:r w:rsidRPr="00F012AC">
        <w:rPr>
          <w:b/>
        </w:rPr>
        <w:t xml:space="preserve"> Grass Silage on Fat Content, Specific Gravity, and BKTL of PE Goat Milk. J. Animal Husbandry Research and Innovation, 7(1), 63–71. </w:t>
      </w:r>
      <w:hyperlink r:id="rId26" w:history="1">
        <w:r w:rsidR="00A667B9" w:rsidRPr="00F012AC">
          <w:rPr>
            <w:rStyle w:val="Hyperlink"/>
            <w:b/>
          </w:rPr>
          <w:t>https://doi.org/10.23960/jrip.2023.7.1.63-71</w:t>
        </w:r>
      </w:hyperlink>
      <w:r w:rsidR="00A667B9" w:rsidRPr="00F012AC">
        <w:rPr>
          <w:b/>
        </w:rPr>
        <w:t xml:space="preserve"> </w:t>
      </w:r>
    </w:p>
    <w:p w14:paraId="75F6029B" w14:textId="38910A23" w:rsidR="003D5B40" w:rsidRPr="00F012AC" w:rsidRDefault="003D5B40" w:rsidP="00F012AC">
      <w:pPr>
        <w:pStyle w:val="ListParagraph"/>
        <w:widowControl w:val="0"/>
        <w:numPr>
          <w:ilvl w:val="0"/>
          <w:numId w:val="31"/>
        </w:numPr>
        <w:autoSpaceDE w:val="0"/>
        <w:autoSpaceDN w:val="0"/>
        <w:adjustRightInd w:val="0"/>
        <w:spacing w:after="240"/>
        <w:jc w:val="both"/>
        <w:rPr>
          <w:b/>
        </w:rPr>
      </w:pPr>
      <w:proofErr w:type="spellStart"/>
      <w:r w:rsidRPr="00F012AC">
        <w:rPr>
          <w:b/>
        </w:rPr>
        <w:t>Marpaung</w:t>
      </w:r>
      <w:proofErr w:type="spellEnd"/>
      <w:r w:rsidRPr="00F012AC">
        <w:rPr>
          <w:b/>
        </w:rPr>
        <w:t>, M. F. H., &amp; Ginting, N. (2024). The Effect of Giving Wake-</w:t>
      </w:r>
      <w:proofErr w:type="spellStart"/>
      <w:r w:rsidRPr="00F012AC">
        <w:rPr>
          <w:b/>
        </w:rPr>
        <w:t>Wangun</w:t>
      </w:r>
      <w:proofErr w:type="spellEnd"/>
      <w:r w:rsidRPr="00F012AC">
        <w:rPr>
          <w:b/>
        </w:rPr>
        <w:t xml:space="preserve"> Leaf Biscuits (Coleus </w:t>
      </w:r>
      <w:proofErr w:type="spellStart"/>
      <w:r w:rsidRPr="00F012AC">
        <w:rPr>
          <w:b/>
        </w:rPr>
        <w:t>Amboinicus</w:t>
      </w:r>
      <w:proofErr w:type="spellEnd"/>
      <w:r w:rsidRPr="00F012AC">
        <w:rPr>
          <w:b/>
        </w:rPr>
        <w:t xml:space="preserve"> </w:t>
      </w:r>
      <w:proofErr w:type="spellStart"/>
      <w:r w:rsidRPr="00F012AC">
        <w:rPr>
          <w:b/>
        </w:rPr>
        <w:t>Lour</w:t>
      </w:r>
      <w:proofErr w:type="spellEnd"/>
      <w:r w:rsidRPr="00F012AC">
        <w:rPr>
          <w:b/>
        </w:rPr>
        <w:t xml:space="preserve">) as Supplementary Feed on the Quality of Sapera Goat Milk. J. Superior Animal Husbandry, 7(1), 19–28. </w:t>
      </w:r>
      <w:hyperlink r:id="rId27" w:history="1">
        <w:r w:rsidR="00A667B9" w:rsidRPr="00F012AC">
          <w:rPr>
            <w:rStyle w:val="Hyperlink"/>
            <w:b/>
          </w:rPr>
          <w:t>https://doi.org/10.36490/jpu.v7i1.794</w:t>
        </w:r>
      </w:hyperlink>
      <w:r w:rsidR="00A667B9" w:rsidRPr="00F012AC">
        <w:rPr>
          <w:b/>
        </w:rPr>
        <w:t xml:space="preserve"> </w:t>
      </w:r>
    </w:p>
    <w:p w14:paraId="79CEEFF0" w14:textId="676B10A5" w:rsidR="003D5B40" w:rsidRPr="00F012AC" w:rsidRDefault="003D5B40" w:rsidP="00F012AC">
      <w:pPr>
        <w:pStyle w:val="ListParagraph"/>
        <w:widowControl w:val="0"/>
        <w:numPr>
          <w:ilvl w:val="0"/>
          <w:numId w:val="31"/>
        </w:numPr>
        <w:autoSpaceDE w:val="0"/>
        <w:autoSpaceDN w:val="0"/>
        <w:adjustRightInd w:val="0"/>
        <w:spacing w:after="240"/>
        <w:jc w:val="both"/>
        <w:rPr>
          <w:b/>
        </w:rPr>
      </w:pPr>
      <w:r w:rsidRPr="00F012AC">
        <w:rPr>
          <w:b/>
        </w:rPr>
        <w:t xml:space="preserve">Muktiani, A., Widiyanto, W., &amp; </w:t>
      </w:r>
      <w:proofErr w:type="spellStart"/>
      <w:r w:rsidRPr="00F012AC">
        <w:rPr>
          <w:b/>
        </w:rPr>
        <w:t>Pandupuspitasari</w:t>
      </w:r>
      <w:proofErr w:type="spellEnd"/>
      <w:r w:rsidRPr="00F012AC">
        <w:rPr>
          <w:b/>
        </w:rPr>
        <w:t xml:space="preserve">, N. S. (2024). Supplementation of Zinc Palm Oil Soap Improves Feed Fermentability and Unsaturated Fatty Acid Profile in Rumen Liquid. Tropical Animal Science Journal, 47(3), 371–380. </w:t>
      </w:r>
      <w:hyperlink r:id="rId28" w:history="1">
        <w:r w:rsidR="00A667B9" w:rsidRPr="00F012AC">
          <w:rPr>
            <w:rStyle w:val="Hyperlink"/>
            <w:b/>
          </w:rPr>
          <w:t>https://doi.org/10.5398/tasj.2024.47.3.371</w:t>
        </w:r>
      </w:hyperlink>
      <w:r w:rsidR="00A667B9" w:rsidRPr="00F012AC">
        <w:rPr>
          <w:b/>
        </w:rPr>
        <w:t xml:space="preserve"> </w:t>
      </w:r>
    </w:p>
    <w:p w14:paraId="12D7BF4E" w14:textId="20282328" w:rsidR="003D5B40" w:rsidRPr="00F012AC" w:rsidRDefault="003D5B40" w:rsidP="00F012AC">
      <w:pPr>
        <w:pStyle w:val="ListParagraph"/>
        <w:widowControl w:val="0"/>
        <w:numPr>
          <w:ilvl w:val="0"/>
          <w:numId w:val="31"/>
        </w:numPr>
        <w:autoSpaceDE w:val="0"/>
        <w:autoSpaceDN w:val="0"/>
        <w:adjustRightInd w:val="0"/>
        <w:spacing w:after="240"/>
        <w:jc w:val="both"/>
        <w:rPr>
          <w:b/>
        </w:rPr>
      </w:pPr>
      <w:r w:rsidRPr="00F012AC">
        <w:rPr>
          <w:b/>
        </w:rPr>
        <w:t xml:space="preserve">Muliani, M., Yasin, S., </w:t>
      </w:r>
      <w:proofErr w:type="spellStart"/>
      <w:r w:rsidRPr="00F012AC">
        <w:rPr>
          <w:b/>
        </w:rPr>
        <w:t>Dilaga</w:t>
      </w:r>
      <w:proofErr w:type="spellEnd"/>
      <w:r w:rsidRPr="00F012AC">
        <w:rPr>
          <w:b/>
        </w:rPr>
        <w:t xml:space="preserve">, S. H., &amp; Jalaludin, J. (2024). The Essential Minerals for Rumen Metabolism. J. Tropical Biology, 24(1), 26–32. </w:t>
      </w:r>
      <w:hyperlink r:id="rId29" w:history="1">
        <w:r w:rsidR="00A667B9" w:rsidRPr="00F012AC">
          <w:rPr>
            <w:rStyle w:val="Hyperlink"/>
            <w:b/>
          </w:rPr>
          <w:t>https://doi.org/10.29303/jbt.v24i1.6373</w:t>
        </w:r>
      </w:hyperlink>
      <w:r w:rsidR="00A667B9" w:rsidRPr="00F012AC">
        <w:rPr>
          <w:b/>
        </w:rPr>
        <w:t xml:space="preserve"> </w:t>
      </w:r>
    </w:p>
    <w:p w14:paraId="79D2C336" w14:textId="5B19C02F" w:rsidR="003D5B40" w:rsidRPr="00F012AC" w:rsidRDefault="003D5B40" w:rsidP="00F012AC">
      <w:pPr>
        <w:pStyle w:val="ListParagraph"/>
        <w:widowControl w:val="0"/>
        <w:numPr>
          <w:ilvl w:val="0"/>
          <w:numId w:val="31"/>
        </w:numPr>
        <w:autoSpaceDE w:val="0"/>
        <w:autoSpaceDN w:val="0"/>
        <w:adjustRightInd w:val="0"/>
        <w:spacing w:after="240"/>
        <w:jc w:val="both"/>
        <w:rPr>
          <w:b/>
        </w:rPr>
      </w:pPr>
      <w:r w:rsidRPr="00F012AC">
        <w:rPr>
          <w:b/>
        </w:rPr>
        <w:t xml:space="preserve">Nathaniel, G., Annisa, T., </w:t>
      </w:r>
      <w:proofErr w:type="spellStart"/>
      <w:r w:rsidRPr="00F012AC">
        <w:rPr>
          <w:b/>
        </w:rPr>
        <w:t>Muktiani</w:t>
      </w:r>
      <w:proofErr w:type="spellEnd"/>
      <w:r w:rsidRPr="00F012AC">
        <w:rPr>
          <w:b/>
        </w:rPr>
        <w:t xml:space="preserve">, A., &amp; </w:t>
      </w:r>
      <w:proofErr w:type="spellStart"/>
      <w:r w:rsidRPr="00F012AC">
        <w:rPr>
          <w:b/>
        </w:rPr>
        <w:t>Harjanti</w:t>
      </w:r>
      <w:proofErr w:type="spellEnd"/>
      <w:r w:rsidRPr="00F012AC">
        <w:rPr>
          <w:b/>
        </w:rPr>
        <w:t xml:space="preserve">, D. W. (2021). The Effect of Zinc-Proteinate Supplementation on the In Vitro Digestibility and Ruminal Fermentation in Goats. Animal Production, 23(3), 180–186. </w:t>
      </w:r>
      <w:hyperlink r:id="rId30" w:history="1">
        <w:r w:rsidR="00A667B9" w:rsidRPr="00F012AC">
          <w:rPr>
            <w:rStyle w:val="Hyperlink"/>
            <w:b/>
          </w:rPr>
          <w:t>https://doi.org/10.20884/1.jap.2021.23.3.116</w:t>
        </w:r>
      </w:hyperlink>
      <w:r w:rsidR="00A667B9" w:rsidRPr="00F012AC">
        <w:rPr>
          <w:b/>
        </w:rPr>
        <w:t xml:space="preserve"> </w:t>
      </w:r>
    </w:p>
    <w:p w14:paraId="2597F172" w14:textId="683C43E9" w:rsidR="003D5B40" w:rsidRPr="00F012AC" w:rsidRDefault="003D5B40" w:rsidP="00F012AC">
      <w:pPr>
        <w:pStyle w:val="ListParagraph"/>
        <w:widowControl w:val="0"/>
        <w:numPr>
          <w:ilvl w:val="0"/>
          <w:numId w:val="31"/>
        </w:numPr>
        <w:autoSpaceDE w:val="0"/>
        <w:autoSpaceDN w:val="0"/>
        <w:adjustRightInd w:val="0"/>
        <w:spacing w:after="240"/>
        <w:jc w:val="both"/>
        <w:rPr>
          <w:b/>
        </w:rPr>
      </w:pPr>
      <w:r w:rsidRPr="00F012AC">
        <w:rPr>
          <w:b/>
        </w:rPr>
        <w:t xml:space="preserve">Nugroho, I. A., </w:t>
      </w:r>
      <w:proofErr w:type="spellStart"/>
      <w:r w:rsidRPr="00F012AC">
        <w:rPr>
          <w:b/>
        </w:rPr>
        <w:t>Rizqiana</w:t>
      </w:r>
      <w:proofErr w:type="spellEnd"/>
      <w:r w:rsidRPr="00F012AC">
        <w:rPr>
          <w:b/>
        </w:rPr>
        <w:t xml:space="preserve">, S., &amp; </w:t>
      </w:r>
      <w:proofErr w:type="spellStart"/>
      <w:r w:rsidRPr="00F012AC">
        <w:rPr>
          <w:b/>
        </w:rPr>
        <w:t>Syarifuddin</w:t>
      </w:r>
      <w:proofErr w:type="spellEnd"/>
      <w:r w:rsidRPr="00F012AC">
        <w:rPr>
          <w:b/>
        </w:rPr>
        <w:t xml:space="preserve">, N. A. (2023). Performance of Male Etawah Crossbred Goats Supplemented with Urea Moringa Molasses </w:t>
      </w:r>
      <w:proofErr w:type="spellStart"/>
      <w:r w:rsidRPr="00F012AC">
        <w:rPr>
          <w:b/>
        </w:rPr>
        <w:t>Multinutrient</w:t>
      </w:r>
      <w:proofErr w:type="spellEnd"/>
      <w:r w:rsidRPr="00F012AC">
        <w:rPr>
          <w:b/>
        </w:rPr>
        <w:t xml:space="preserve"> Block (UMMMB) in their Rations. Journal of Wetland Animal Husbandry Research, 3(1), 20–28. </w:t>
      </w:r>
      <w:hyperlink r:id="rId31" w:history="1">
        <w:r w:rsidR="00A667B9" w:rsidRPr="00F012AC">
          <w:rPr>
            <w:rStyle w:val="Hyperlink"/>
            <w:b/>
          </w:rPr>
          <w:t>https://doi.org/10.20527/jpplb.v3i1.1729</w:t>
        </w:r>
      </w:hyperlink>
      <w:r w:rsidR="00A667B9" w:rsidRPr="00F012AC">
        <w:rPr>
          <w:b/>
        </w:rPr>
        <w:t xml:space="preserve"> </w:t>
      </w:r>
    </w:p>
    <w:p w14:paraId="51165B95" w14:textId="3A2E58AF" w:rsidR="003D5B40" w:rsidRPr="00F012AC" w:rsidRDefault="003D5B40" w:rsidP="00F012AC">
      <w:pPr>
        <w:pStyle w:val="ListParagraph"/>
        <w:widowControl w:val="0"/>
        <w:numPr>
          <w:ilvl w:val="0"/>
          <w:numId w:val="31"/>
        </w:numPr>
        <w:autoSpaceDE w:val="0"/>
        <w:autoSpaceDN w:val="0"/>
        <w:adjustRightInd w:val="0"/>
        <w:spacing w:after="240"/>
        <w:jc w:val="both"/>
        <w:rPr>
          <w:b/>
        </w:rPr>
      </w:pPr>
      <w:proofErr w:type="spellStart"/>
      <w:r w:rsidRPr="00F012AC">
        <w:rPr>
          <w:b/>
        </w:rPr>
        <w:t>Rizqiyah</w:t>
      </w:r>
      <w:proofErr w:type="spellEnd"/>
      <w:r w:rsidRPr="00F012AC">
        <w:rPr>
          <w:b/>
        </w:rPr>
        <w:t xml:space="preserve">, L. A., &amp; </w:t>
      </w:r>
      <w:proofErr w:type="spellStart"/>
      <w:r w:rsidRPr="00F012AC">
        <w:rPr>
          <w:b/>
        </w:rPr>
        <w:t>Estiasih</w:t>
      </w:r>
      <w:proofErr w:type="spellEnd"/>
      <w:r w:rsidRPr="00F012AC">
        <w:rPr>
          <w:b/>
        </w:rPr>
        <w:t xml:space="preserve">, T. (2016). Micro- and </w:t>
      </w:r>
      <w:proofErr w:type="spellStart"/>
      <w:r w:rsidRPr="00F012AC">
        <w:rPr>
          <w:b/>
        </w:rPr>
        <w:t>Nanoemulsification</w:t>
      </w:r>
      <w:proofErr w:type="spellEnd"/>
      <w:r w:rsidRPr="00F012AC">
        <w:rPr>
          <w:b/>
        </w:rPr>
        <w:t xml:space="preserve"> of Unsaponifiable Fractions (</w:t>
      </w:r>
      <w:proofErr w:type="spellStart"/>
      <w:r w:rsidRPr="00F012AC">
        <w:rPr>
          <w:b/>
        </w:rPr>
        <w:t>UNSaponifiable</w:t>
      </w:r>
      <w:proofErr w:type="spellEnd"/>
      <w:r w:rsidRPr="00F012AC">
        <w:rPr>
          <w:b/>
        </w:rPr>
        <w:t xml:space="preserve"> Fractions) from Palm Oil Fatty Acid Distillate (DALMS) Containing Multi-Component Bioactive Compounds: A Literature Review. Journal of Food and Agroindustry, 4(1), 56–61. </w:t>
      </w:r>
      <w:hyperlink r:id="rId32" w:history="1">
        <w:r w:rsidR="00A667B9" w:rsidRPr="00F012AC">
          <w:rPr>
            <w:rStyle w:val="Hyperlink"/>
            <w:b/>
          </w:rPr>
          <w:t>https://jpa.ub.ac.id/index.php/jpa/article/view/305</w:t>
        </w:r>
      </w:hyperlink>
      <w:r w:rsidR="00A667B9" w:rsidRPr="00F012AC">
        <w:rPr>
          <w:b/>
        </w:rPr>
        <w:t xml:space="preserve"> </w:t>
      </w:r>
    </w:p>
    <w:p w14:paraId="0AF88E97" w14:textId="35FF8244" w:rsidR="003D5B40" w:rsidRPr="00F012AC" w:rsidRDefault="003D5B40" w:rsidP="00F012AC">
      <w:pPr>
        <w:pStyle w:val="ListParagraph"/>
        <w:widowControl w:val="0"/>
        <w:numPr>
          <w:ilvl w:val="0"/>
          <w:numId w:val="31"/>
        </w:numPr>
        <w:autoSpaceDE w:val="0"/>
        <w:autoSpaceDN w:val="0"/>
        <w:adjustRightInd w:val="0"/>
        <w:spacing w:after="240"/>
        <w:jc w:val="both"/>
        <w:rPr>
          <w:b/>
        </w:rPr>
      </w:pPr>
      <w:proofErr w:type="spellStart"/>
      <w:r w:rsidRPr="00F012AC">
        <w:rPr>
          <w:b/>
        </w:rPr>
        <w:t>Saputri</w:t>
      </w:r>
      <w:proofErr w:type="spellEnd"/>
      <w:r w:rsidRPr="00F012AC">
        <w:rPr>
          <w:b/>
        </w:rPr>
        <w:t xml:space="preserve">, R. B., </w:t>
      </w:r>
      <w:proofErr w:type="spellStart"/>
      <w:r w:rsidRPr="00F012AC">
        <w:rPr>
          <w:b/>
        </w:rPr>
        <w:t>Dakhlan</w:t>
      </w:r>
      <w:proofErr w:type="spellEnd"/>
      <w:r w:rsidRPr="00F012AC">
        <w:rPr>
          <w:b/>
        </w:rPr>
        <w:t xml:space="preserve">, A., Hartono, M., &amp; </w:t>
      </w:r>
      <w:proofErr w:type="spellStart"/>
      <w:r w:rsidRPr="00F012AC">
        <w:rPr>
          <w:b/>
        </w:rPr>
        <w:t>Qisthon</w:t>
      </w:r>
      <w:proofErr w:type="spellEnd"/>
      <w:r w:rsidRPr="00F012AC">
        <w:rPr>
          <w:b/>
        </w:rPr>
        <w:t xml:space="preserve">, A. (2024). Population Structure, Reproductive Performance, and Production of Dairy Goats in </w:t>
      </w:r>
      <w:proofErr w:type="spellStart"/>
      <w:r w:rsidRPr="00F012AC">
        <w:rPr>
          <w:b/>
        </w:rPr>
        <w:t>Pesawaran</w:t>
      </w:r>
      <w:proofErr w:type="spellEnd"/>
      <w:r w:rsidRPr="00F012AC">
        <w:rPr>
          <w:b/>
        </w:rPr>
        <w:t xml:space="preserve"> and East Lampung Regencies, West Sumatra Province.</w:t>
      </w:r>
      <w:r w:rsidRPr="003D5B40">
        <w:t xml:space="preserve"> </w:t>
      </w:r>
      <w:r w:rsidRPr="00F012AC">
        <w:rPr>
          <w:b/>
        </w:rPr>
        <w:t xml:space="preserve">Lampung Institute of Animal Husbandry. Wahana Peternakan, </w:t>
      </w:r>
      <w:r w:rsidRPr="00F012AC">
        <w:rPr>
          <w:b/>
        </w:rPr>
        <w:lastRenderedPageBreak/>
        <w:t xml:space="preserve">8(2), 235–243. </w:t>
      </w:r>
      <w:hyperlink r:id="rId33" w:history="1">
        <w:r w:rsidR="00A667B9" w:rsidRPr="00F012AC">
          <w:rPr>
            <w:rStyle w:val="Hyperlink"/>
            <w:b/>
          </w:rPr>
          <w:t>https://doi.org/10.37090/jwputb.v8i2.1469</w:t>
        </w:r>
      </w:hyperlink>
      <w:r w:rsidR="00A667B9" w:rsidRPr="00F012AC">
        <w:rPr>
          <w:b/>
        </w:rPr>
        <w:t xml:space="preserve"> </w:t>
      </w:r>
    </w:p>
    <w:p w14:paraId="7C82E59B" w14:textId="0DE9C579" w:rsidR="003D5B40" w:rsidRPr="00F012AC" w:rsidRDefault="003D5B40" w:rsidP="00F012AC">
      <w:pPr>
        <w:pStyle w:val="ListParagraph"/>
        <w:widowControl w:val="0"/>
        <w:numPr>
          <w:ilvl w:val="0"/>
          <w:numId w:val="31"/>
        </w:numPr>
        <w:autoSpaceDE w:val="0"/>
        <w:autoSpaceDN w:val="0"/>
        <w:adjustRightInd w:val="0"/>
        <w:spacing w:after="240"/>
        <w:jc w:val="both"/>
        <w:rPr>
          <w:b/>
        </w:rPr>
      </w:pPr>
      <w:proofErr w:type="spellStart"/>
      <w:r w:rsidRPr="00F012AC">
        <w:rPr>
          <w:b/>
        </w:rPr>
        <w:t>Sunardi</w:t>
      </w:r>
      <w:proofErr w:type="spellEnd"/>
      <w:r w:rsidRPr="00F012AC">
        <w:rPr>
          <w:b/>
        </w:rPr>
        <w:t xml:space="preserve">, S., </w:t>
      </w:r>
      <w:proofErr w:type="spellStart"/>
      <w:r w:rsidRPr="00F012AC">
        <w:rPr>
          <w:b/>
        </w:rPr>
        <w:t>Yustika</w:t>
      </w:r>
      <w:proofErr w:type="spellEnd"/>
      <w:r w:rsidRPr="00F012AC">
        <w:rPr>
          <w:b/>
        </w:rPr>
        <w:t xml:space="preserve">, D., &amp; Hartati, P. (2023). Correlation Between Body Size and Udder Size on Sapera Goat Milk Production at UD. Mitra </w:t>
      </w:r>
      <w:proofErr w:type="spellStart"/>
      <w:r w:rsidRPr="00F012AC">
        <w:rPr>
          <w:b/>
        </w:rPr>
        <w:t>Agro</w:t>
      </w:r>
      <w:proofErr w:type="spellEnd"/>
      <w:r w:rsidRPr="00F012AC">
        <w:rPr>
          <w:b/>
        </w:rPr>
        <w:t xml:space="preserve">. J. Integrated Animal Husbandry Research, 5(2), 172–176. </w:t>
      </w:r>
      <w:hyperlink r:id="rId34" w:history="1">
        <w:r w:rsidR="00A667B9" w:rsidRPr="00F012AC">
          <w:rPr>
            <w:rStyle w:val="Hyperlink"/>
            <w:b/>
          </w:rPr>
          <w:t>https://doi.org/10.36626/jppt.v5i2.1184</w:t>
        </w:r>
      </w:hyperlink>
      <w:r w:rsidR="00A667B9" w:rsidRPr="00F012AC">
        <w:rPr>
          <w:b/>
        </w:rPr>
        <w:t xml:space="preserve"> </w:t>
      </w:r>
    </w:p>
    <w:p w14:paraId="44AF78B3" w14:textId="6DD16964" w:rsidR="003D5B40" w:rsidRPr="00F012AC" w:rsidRDefault="003D5B40" w:rsidP="00F012AC">
      <w:pPr>
        <w:pStyle w:val="ListParagraph"/>
        <w:widowControl w:val="0"/>
        <w:numPr>
          <w:ilvl w:val="0"/>
          <w:numId w:val="31"/>
        </w:numPr>
        <w:autoSpaceDE w:val="0"/>
        <w:autoSpaceDN w:val="0"/>
        <w:adjustRightInd w:val="0"/>
        <w:spacing w:after="240"/>
        <w:jc w:val="both"/>
        <w:rPr>
          <w:b/>
        </w:rPr>
      </w:pPr>
      <w:proofErr w:type="spellStart"/>
      <w:r w:rsidRPr="00F012AC">
        <w:rPr>
          <w:b/>
        </w:rPr>
        <w:t>Supriyati</w:t>
      </w:r>
      <w:proofErr w:type="spellEnd"/>
      <w:r w:rsidRPr="00F012AC">
        <w:rPr>
          <w:b/>
        </w:rPr>
        <w:t xml:space="preserve">, S., </w:t>
      </w:r>
      <w:proofErr w:type="spellStart"/>
      <w:r w:rsidRPr="00F012AC">
        <w:rPr>
          <w:b/>
        </w:rPr>
        <w:t>Budiarsana</w:t>
      </w:r>
      <w:proofErr w:type="spellEnd"/>
      <w:r w:rsidRPr="00F012AC">
        <w:rPr>
          <w:b/>
        </w:rPr>
        <w:t xml:space="preserve">, I. G. M., Praharani, L., </w:t>
      </w:r>
      <w:proofErr w:type="spellStart"/>
      <w:r w:rsidRPr="00F012AC">
        <w:rPr>
          <w:b/>
        </w:rPr>
        <w:t>Krisnan</w:t>
      </w:r>
      <w:proofErr w:type="spellEnd"/>
      <w:r w:rsidRPr="00F012AC">
        <w:rPr>
          <w:b/>
        </w:rPr>
        <w:t xml:space="preserve">, R., &amp; </w:t>
      </w:r>
      <w:proofErr w:type="spellStart"/>
      <w:r w:rsidRPr="00F012AC">
        <w:rPr>
          <w:b/>
        </w:rPr>
        <w:t>Sutama</w:t>
      </w:r>
      <w:proofErr w:type="spellEnd"/>
      <w:r w:rsidRPr="00F012AC">
        <w:rPr>
          <w:b/>
        </w:rPr>
        <w:t xml:space="preserve">, I. K. (2016). Effect of Choline Chloride Supplementation on Milk Production and Milk Composition of Etawah Grade Goats. J. of Animal Science and Technology, 58(30), 1–12. </w:t>
      </w:r>
      <w:hyperlink r:id="rId35" w:history="1">
        <w:r w:rsidR="00FC37EE" w:rsidRPr="00F012AC">
          <w:rPr>
            <w:rStyle w:val="Hyperlink"/>
            <w:b/>
          </w:rPr>
          <w:t>https://doi.org/10.1186/s40781-016-0113-5</w:t>
        </w:r>
      </w:hyperlink>
      <w:r w:rsidR="00FC37EE" w:rsidRPr="00F012AC">
        <w:rPr>
          <w:b/>
        </w:rPr>
        <w:t xml:space="preserve"> </w:t>
      </w:r>
    </w:p>
    <w:p w14:paraId="4899272F" w14:textId="222743AF" w:rsidR="00CF69F9" w:rsidRPr="00986FC7" w:rsidRDefault="00CF69F9" w:rsidP="00F012AC">
      <w:pPr>
        <w:pStyle w:val="ListParagraph"/>
        <w:numPr>
          <w:ilvl w:val="0"/>
          <w:numId w:val="31"/>
        </w:numPr>
        <w:jc w:val="both"/>
        <w:rPr>
          <w:b/>
          <w:bCs/>
          <w:highlight w:val="yellow"/>
        </w:rPr>
      </w:pPr>
      <w:r w:rsidRPr="00986FC7">
        <w:rPr>
          <w:b/>
          <w:bCs/>
          <w:highlight w:val="yellow"/>
        </w:rPr>
        <w:t xml:space="preserve">Suryani, I. N., I. K. M. </w:t>
      </w:r>
      <w:proofErr w:type="spellStart"/>
      <w:r w:rsidRPr="00986FC7">
        <w:rPr>
          <w:b/>
          <w:bCs/>
          <w:highlight w:val="yellow"/>
        </w:rPr>
        <w:t>Budiasa</w:t>
      </w:r>
      <w:proofErr w:type="spellEnd"/>
      <w:r w:rsidRPr="00986FC7">
        <w:rPr>
          <w:b/>
          <w:bCs/>
          <w:highlight w:val="yellow"/>
        </w:rPr>
        <w:t xml:space="preserve">., &amp; I. P. A. </w:t>
      </w:r>
      <w:proofErr w:type="spellStart"/>
      <w:r w:rsidRPr="00986FC7">
        <w:rPr>
          <w:b/>
          <w:bCs/>
          <w:highlight w:val="yellow"/>
        </w:rPr>
        <w:t>Astawa</w:t>
      </w:r>
      <w:proofErr w:type="spellEnd"/>
      <w:r w:rsidRPr="00986FC7">
        <w:rPr>
          <w:b/>
          <w:bCs/>
          <w:highlight w:val="yellow"/>
        </w:rPr>
        <w:t xml:space="preserve">. 2014. Rumen Fermentation and Microbial Protein Synthesis of </w:t>
      </w:r>
      <w:proofErr w:type="spellStart"/>
      <w:r w:rsidRPr="00986FC7">
        <w:rPr>
          <w:b/>
          <w:bCs/>
          <w:highlight w:val="yellow"/>
        </w:rPr>
        <w:t>Ettawa</w:t>
      </w:r>
      <w:proofErr w:type="spellEnd"/>
      <w:r w:rsidRPr="00986FC7">
        <w:rPr>
          <w:b/>
          <w:bCs/>
          <w:highlight w:val="yellow"/>
        </w:rPr>
        <w:t xml:space="preserve"> Crossbred Goats Fed with Feeds with Various Forage Compositions and Different Concentrate Levels. J. scientific Magazine of Animal Husbandry. 17 (2): 54-60. DOI: </w:t>
      </w:r>
      <w:hyperlink r:id="rId36" w:tgtFrame="_blank" w:history="1">
        <w:r w:rsidRPr="00986FC7">
          <w:rPr>
            <w:rStyle w:val="Hyperlink"/>
            <w:b/>
            <w:bCs/>
            <w:highlight w:val="yellow"/>
          </w:rPr>
          <w:t>10.24843/MIP.2014.v17.i02.p04</w:t>
        </w:r>
      </w:hyperlink>
    </w:p>
    <w:p w14:paraId="7FF88BE6" w14:textId="77777777" w:rsidR="00CF69F9" w:rsidRPr="00986FC7" w:rsidRDefault="00CF69F9" w:rsidP="00CF69F9">
      <w:pPr>
        <w:ind w:left="851" w:hanging="851"/>
        <w:jc w:val="both"/>
        <w:rPr>
          <w:rFonts w:ascii="Times New Roman" w:hAnsi="Times New Roman"/>
          <w:sz w:val="24"/>
          <w:szCs w:val="24"/>
          <w:highlight w:val="yellow"/>
        </w:rPr>
      </w:pPr>
    </w:p>
    <w:p w14:paraId="4FE5C80E" w14:textId="3957E5B1" w:rsidR="00011220" w:rsidRPr="00986FC7" w:rsidRDefault="00011220" w:rsidP="00F012AC">
      <w:pPr>
        <w:pStyle w:val="ListParagraph"/>
        <w:widowControl w:val="0"/>
        <w:numPr>
          <w:ilvl w:val="0"/>
          <w:numId w:val="31"/>
        </w:numPr>
        <w:autoSpaceDE w:val="0"/>
        <w:autoSpaceDN w:val="0"/>
        <w:adjustRightInd w:val="0"/>
        <w:spacing w:after="240"/>
        <w:jc w:val="both"/>
        <w:rPr>
          <w:b/>
          <w:highlight w:val="yellow"/>
        </w:rPr>
      </w:pPr>
      <w:r w:rsidRPr="00986FC7">
        <w:rPr>
          <w:b/>
          <w:highlight w:val="yellow"/>
        </w:rPr>
        <w:t xml:space="preserve">Tanggela, F. I., I. G. N. </w:t>
      </w:r>
      <w:proofErr w:type="spellStart"/>
      <w:r w:rsidRPr="00986FC7">
        <w:rPr>
          <w:b/>
          <w:highlight w:val="yellow"/>
        </w:rPr>
        <w:t>Jelantik</w:t>
      </w:r>
      <w:proofErr w:type="spellEnd"/>
      <w:r w:rsidRPr="00986FC7">
        <w:rPr>
          <w:b/>
          <w:highlight w:val="yellow"/>
        </w:rPr>
        <w:t xml:space="preserve">., M. M. </w:t>
      </w:r>
      <w:proofErr w:type="spellStart"/>
      <w:r w:rsidRPr="00986FC7">
        <w:rPr>
          <w:b/>
          <w:highlight w:val="yellow"/>
        </w:rPr>
        <w:t>Kleden</w:t>
      </w:r>
      <w:proofErr w:type="spellEnd"/>
      <w:r w:rsidRPr="00986FC7">
        <w:rPr>
          <w:b/>
          <w:highlight w:val="yellow"/>
        </w:rPr>
        <w:t>., &amp; G. A. Y. Lestari. 2024. The Effect of Providing Complete Silage Based on Sorghum (</w:t>
      </w:r>
      <w:proofErr w:type="spellStart"/>
      <w:r w:rsidRPr="00986FC7">
        <w:rPr>
          <w:b/>
          <w:highlight w:val="yellow"/>
        </w:rPr>
        <w:t>Clitoria</w:t>
      </w:r>
      <w:proofErr w:type="spellEnd"/>
      <w:r w:rsidRPr="00986FC7">
        <w:rPr>
          <w:b/>
          <w:highlight w:val="yellow"/>
        </w:rPr>
        <w:t xml:space="preserve"> </w:t>
      </w:r>
      <w:proofErr w:type="spellStart"/>
      <w:r w:rsidRPr="00986FC7">
        <w:rPr>
          <w:b/>
          <w:highlight w:val="yellow"/>
        </w:rPr>
        <w:t>Ternatea</w:t>
      </w:r>
      <w:proofErr w:type="spellEnd"/>
      <w:r w:rsidRPr="00986FC7">
        <w:rPr>
          <w:b/>
          <w:highlight w:val="yellow"/>
        </w:rPr>
        <w:t xml:space="preserve">) with Concentrates Containing ZnSO4 and </w:t>
      </w:r>
      <w:proofErr w:type="spellStart"/>
      <w:r w:rsidRPr="00986FC7">
        <w:rPr>
          <w:b/>
          <w:highlight w:val="yellow"/>
        </w:rPr>
        <w:t>ZnCu</w:t>
      </w:r>
      <w:proofErr w:type="spellEnd"/>
      <w:r w:rsidRPr="00986FC7">
        <w:rPr>
          <w:b/>
          <w:highlight w:val="yellow"/>
        </w:rPr>
        <w:t xml:space="preserve"> </w:t>
      </w:r>
      <w:proofErr w:type="spellStart"/>
      <w:r w:rsidRPr="00986FC7">
        <w:rPr>
          <w:b/>
          <w:highlight w:val="yellow"/>
        </w:rPr>
        <w:t>Isoleucinate</w:t>
      </w:r>
      <w:proofErr w:type="spellEnd"/>
      <w:r w:rsidRPr="00986FC7">
        <w:rPr>
          <w:b/>
          <w:highlight w:val="yellow"/>
        </w:rPr>
        <w:t xml:space="preserve"> at Different Levels on Rumen Fermentation in </w:t>
      </w:r>
      <w:proofErr w:type="spellStart"/>
      <w:r w:rsidRPr="00986FC7">
        <w:rPr>
          <w:b/>
          <w:highlight w:val="yellow"/>
        </w:rPr>
        <w:t>Kacang</w:t>
      </w:r>
      <w:proofErr w:type="spellEnd"/>
      <w:r w:rsidRPr="00986FC7">
        <w:rPr>
          <w:b/>
          <w:highlight w:val="yellow"/>
        </w:rPr>
        <w:t xml:space="preserve"> Goats. J. Animal Agriculture. 2(2):678-684. DOI:</w:t>
      </w:r>
      <w:r w:rsidRPr="00986FC7">
        <w:rPr>
          <w:highlight w:val="yellow"/>
        </w:rPr>
        <w:t xml:space="preserve"> </w:t>
      </w:r>
      <w:hyperlink r:id="rId37" w:tgtFrame="_blank" w:history="1">
        <w:r w:rsidRPr="00986FC7">
          <w:rPr>
            <w:rStyle w:val="Hyperlink"/>
            <w:b/>
            <w:bCs/>
            <w:highlight w:val="yellow"/>
          </w:rPr>
          <w:t xml:space="preserve">10.59891/animacultura.v2i2.88 </w:t>
        </w:r>
      </w:hyperlink>
    </w:p>
    <w:p w14:paraId="1AB63B94" w14:textId="63A51A10" w:rsidR="003D5B40" w:rsidRPr="00F012AC" w:rsidRDefault="003D5B40" w:rsidP="00F012AC">
      <w:pPr>
        <w:pStyle w:val="ListParagraph"/>
        <w:widowControl w:val="0"/>
        <w:numPr>
          <w:ilvl w:val="0"/>
          <w:numId w:val="31"/>
        </w:numPr>
        <w:autoSpaceDE w:val="0"/>
        <w:autoSpaceDN w:val="0"/>
        <w:adjustRightInd w:val="0"/>
        <w:spacing w:after="240"/>
        <w:jc w:val="both"/>
        <w:rPr>
          <w:b/>
        </w:rPr>
      </w:pPr>
      <w:r w:rsidRPr="00F012AC">
        <w:rPr>
          <w:b/>
        </w:rPr>
        <w:t>Tilley, J. M. A., &amp; Terry, R. A. (1963). A Two-Stage Technique for the In Vitro Digestion of Forage Crops. J. British Grassland, 104–111.</w:t>
      </w:r>
      <w:r w:rsidR="00030DE6" w:rsidRPr="00030DE6">
        <w:t xml:space="preserve"> </w:t>
      </w:r>
      <w:hyperlink r:id="rId38" w:history="1">
        <w:r w:rsidR="00030DE6" w:rsidRPr="00F012AC">
          <w:rPr>
            <w:rStyle w:val="Hyperlink"/>
            <w:b/>
          </w:rPr>
          <w:t>https://doi.org/10.1111/j.1365-2494.1963.tb00335.x</w:t>
        </w:r>
      </w:hyperlink>
      <w:r w:rsidR="00030DE6" w:rsidRPr="00F012AC">
        <w:rPr>
          <w:b/>
        </w:rPr>
        <w:t xml:space="preserve"> </w:t>
      </w:r>
    </w:p>
    <w:p w14:paraId="310D7349" w14:textId="26ADF862" w:rsidR="00B01FCD" w:rsidRPr="00F012AC" w:rsidRDefault="003D5B40" w:rsidP="00F012AC">
      <w:pPr>
        <w:pStyle w:val="ListParagraph"/>
        <w:widowControl w:val="0"/>
        <w:numPr>
          <w:ilvl w:val="0"/>
          <w:numId w:val="31"/>
        </w:numPr>
        <w:autoSpaceDE w:val="0"/>
        <w:autoSpaceDN w:val="0"/>
        <w:adjustRightInd w:val="0"/>
        <w:spacing w:after="240"/>
        <w:jc w:val="both"/>
        <w:rPr>
          <w:b/>
        </w:rPr>
      </w:pPr>
      <w:proofErr w:type="spellStart"/>
      <w:r w:rsidRPr="00F012AC">
        <w:rPr>
          <w:b/>
        </w:rPr>
        <w:t>Widayati</w:t>
      </w:r>
      <w:proofErr w:type="spellEnd"/>
      <w:r w:rsidRPr="00F012AC">
        <w:rPr>
          <w:b/>
        </w:rPr>
        <w:t xml:space="preserve">, W., &amp; </w:t>
      </w:r>
      <w:proofErr w:type="spellStart"/>
      <w:r w:rsidRPr="00F012AC">
        <w:rPr>
          <w:b/>
        </w:rPr>
        <w:t>Muktiani</w:t>
      </w:r>
      <w:proofErr w:type="spellEnd"/>
      <w:r w:rsidRPr="00F012AC">
        <w:rPr>
          <w:b/>
        </w:rPr>
        <w:t xml:space="preserve">, A. (2021). Effects of Palm Oil and Palm Oil Zinc Soap Supplementation on Feed Intake, Feed Digestibility, and Performance in Lamb. IOP Conf. Series: Earth and Environmental Science, 1–7. </w:t>
      </w:r>
      <w:hyperlink r:id="rId39" w:history="1">
        <w:r w:rsidR="00030DE6" w:rsidRPr="00F012AC">
          <w:rPr>
            <w:rStyle w:val="Hyperlink"/>
            <w:b/>
          </w:rPr>
          <w:t>https://doi.org/10.1088/1755-1315/803/1/012009</w:t>
        </w:r>
      </w:hyperlink>
      <w:r w:rsidR="00030DE6" w:rsidRPr="00F012AC">
        <w:rPr>
          <w:b/>
        </w:rPr>
        <w:t xml:space="preserve"> </w:t>
      </w:r>
    </w:p>
    <w:sectPr w:rsidR="00B01FCD" w:rsidRPr="00F012AC" w:rsidSect="001758F8">
      <w:headerReference w:type="even" r:id="rId40"/>
      <w:headerReference w:type="default" r:id="rId41"/>
      <w:footerReference w:type="default" r:id="rId42"/>
      <w:headerReference w:type="first" r:id="rId43"/>
      <w:type w:val="continuous"/>
      <w:pgSz w:w="12240" w:h="15840"/>
      <w:pgMar w:top="1440" w:right="2034"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668DB" w14:textId="77777777" w:rsidR="00277E1D" w:rsidRDefault="00277E1D" w:rsidP="00C37E61">
      <w:r>
        <w:separator/>
      </w:r>
    </w:p>
  </w:endnote>
  <w:endnote w:type="continuationSeparator" w:id="0">
    <w:p w14:paraId="3A52930A" w14:textId="77777777" w:rsidR="00277E1D" w:rsidRDefault="00277E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7FA4" w14:textId="77777777" w:rsidR="001758F8" w:rsidRDefault="00175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6A4DA" w14:textId="77777777" w:rsidR="001758F8" w:rsidRDefault="001758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8A90F" w14:textId="10C9AF2A" w:rsidR="00754C9A" w:rsidRPr="001758F8" w:rsidRDefault="00754C9A" w:rsidP="001758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2A8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0424D" w14:textId="77777777" w:rsidR="00277E1D" w:rsidRDefault="00277E1D" w:rsidP="00C37E61">
      <w:r>
        <w:separator/>
      </w:r>
    </w:p>
  </w:footnote>
  <w:footnote w:type="continuationSeparator" w:id="0">
    <w:p w14:paraId="53E37FF5" w14:textId="77777777" w:rsidR="00277E1D" w:rsidRDefault="00277E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69AF2" w14:textId="50B47295" w:rsidR="001758F8" w:rsidRDefault="00277E1D">
    <w:pPr>
      <w:pStyle w:val="Header"/>
    </w:pPr>
    <w:r>
      <w:rPr>
        <w:noProof/>
      </w:rPr>
      <w:pict w14:anchorId="15509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3" o:spid="_x0000_s2050" type="#_x0000_t136" style="position:absolute;margin-left:0;margin-top:0;width:518.75pt;height:5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B658D" w14:textId="4AD5A62E" w:rsidR="001758F8" w:rsidRDefault="00277E1D">
    <w:pPr>
      <w:pStyle w:val="Header"/>
    </w:pPr>
    <w:r>
      <w:rPr>
        <w:noProof/>
      </w:rPr>
      <w:pict w14:anchorId="33EDF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4" o:spid="_x0000_s2051" type="#_x0000_t136" style="position:absolute;margin-left:0;margin-top:0;width:518.75pt;height:5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6524" w14:textId="61137693" w:rsidR="00296529" w:rsidRPr="00296529" w:rsidRDefault="00277E1D" w:rsidP="00296529">
    <w:pPr>
      <w:ind w:left="2160"/>
      <w:jc w:val="center"/>
      <w:rPr>
        <w:rFonts w:ascii="Times New Roman" w:eastAsia="Calibri" w:hAnsi="Times New Roman"/>
        <w:i/>
        <w:sz w:val="18"/>
        <w:szCs w:val="22"/>
      </w:rPr>
    </w:pPr>
    <w:r>
      <w:rPr>
        <w:noProof/>
      </w:rPr>
      <w:pict w14:anchorId="0D3C6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2" o:spid="_x0000_s2049" type="#_x0000_t136" style="position:absolute;left:0;text-align:left;margin-left:0;margin-top:0;width:518.75pt;height:5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35ACB9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40BA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49CE6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8090D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41B49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B9E41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69A7D" w14:textId="18AF757E" w:rsidR="001758F8" w:rsidRDefault="00277E1D">
    <w:pPr>
      <w:pStyle w:val="Header"/>
    </w:pPr>
    <w:r>
      <w:rPr>
        <w:noProof/>
      </w:rPr>
      <w:pict w14:anchorId="221EF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6" o:spid="_x0000_s2053" type="#_x0000_t136" style="position:absolute;margin-left:0;margin-top:0;width:518.75pt;height:5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CFB35" w14:textId="43222A9D" w:rsidR="001758F8" w:rsidRDefault="00277E1D">
    <w:pPr>
      <w:pStyle w:val="Header"/>
    </w:pPr>
    <w:r>
      <w:rPr>
        <w:noProof/>
      </w:rPr>
      <w:pict w14:anchorId="72E12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7" o:spid="_x0000_s2054" type="#_x0000_t136" style="position:absolute;margin-left:0;margin-top:0;width:518.75pt;height:5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CD073" w14:textId="0E044F54" w:rsidR="001758F8" w:rsidRDefault="00277E1D">
    <w:pPr>
      <w:pStyle w:val="Header"/>
    </w:pPr>
    <w:r>
      <w:rPr>
        <w:noProof/>
      </w:rPr>
      <w:pict w14:anchorId="17E6D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5" o:spid="_x0000_s2052" type="#_x0000_t136" style="position:absolute;margin-left:0;margin-top:0;width:518.75pt;height:5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DD2C4A"/>
    <w:multiLevelType w:val="hybridMultilevel"/>
    <w:tmpl w:val="78D4FF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01A"/>
    <w:rsid w:val="0000408D"/>
    <w:rsid w:val="00006984"/>
    <w:rsid w:val="00011220"/>
    <w:rsid w:val="00011D6E"/>
    <w:rsid w:val="00013735"/>
    <w:rsid w:val="00025E4B"/>
    <w:rsid w:val="000262E3"/>
    <w:rsid w:val="00026FAD"/>
    <w:rsid w:val="00030174"/>
    <w:rsid w:val="00030DE6"/>
    <w:rsid w:val="0003231A"/>
    <w:rsid w:val="0003510C"/>
    <w:rsid w:val="00040A15"/>
    <w:rsid w:val="00041C10"/>
    <w:rsid w:val="0004579C"/>
    <w:rsid w:val="00054543"/>
    <w:rsid w:val="000548F3"/>
    <w:rsid w:val="00057B78"/>
    <w:rsid w:val="000661EE"/>
    <w:rsid w:val="00066B8F"/>
    <w:rsid w:val="00072A48"/>
    <w:rsid w:val="00073398"/>
    <w:rsid w:val="000855DF"/>
    <w:rsid w:val="00094C6B"/>
    <w:rsid w:val="000A47FA"/>
    <w:rsid w:val="000A49E7"/>
    <w:rsid w:val="000A65D3"/>
    <w:rsid w:val="000A7CA6"/>
    <w:rsid w:val="000B1E33"/>
    <w:rsid w:val="000C1640"/>
    <w:rsid w:val="000C2634"/>
    <w:rsid w:val="000C6350"/>
    <w:rsid w:val="000D0B88"/>
    <w:rsid w:val="000D0D47"/>
    <w:rsid w:val="000D3BF6"/>
    <w:rsid w:val="000D580F"/>
    <w:rsid w:val="000D689F"/>
    <w:rsid w:val="000D6F82"/>
    <w:rsid w:val="000E13D6"/>
    <w:rsid w:val="000E5608"/>
    <w:rsid w:val="000E7B7B"/>
    <w:rsid w:val="000E7D62"/>
    <w:rsid w:val="00100EA7"/>
    <w:rsid w:val="00103357"/>
    <w:rsid w:val="00111984"/>
    <w:rsid w:val="00114B69"/>
    <w:rsid w:val="00123C9F"/>
    <w:rsid w:val="00126190"/>
    <w:rsid w:val="00130F17"/>
    <w:rsid w:val="001320BF"/>
    <w:rsid w:val="00133C6E"/>
    <w:rsid w:val="00140297"/>
    <w:rsid w:val="00145AA3"/>
    <w:rsid w:val="001548DD"/>
    <w:rsid w:val="0016037C"/>
    <w:rsid w:val="00161127"/>
    <w:rsid w:val="00161767"/>
    <w:rsid w:val="001620AE"/>
    <w:rsid w:val="00163BC4"/>
    <w:rsid w:val="0016611F"/>
    <w:rsid w:val="0016645C"/>
    <w:rsid w:val="00171B8C"/>
    <w:rsid w:val="0017216D"/>
    <w:rsid w:val="00173B60"/>
    <w:rsid w:val="00175121"/>
    <w:rsid w:val="001758F8"/>
    <w:rsid w:val="00175B62"/>
    <w:rsid w:val="00191062"/>
    <w:rsid w:val="00192B72"/>
    <w:rsid w:val="00197637"/>
    <w:rsid w:val="001A037F"/>
    <w:rsid w:val="001A29D8"/>
    <w:rsid w:val="001A4D26"/>
    <w:rsid w:val="001A5CAA"/>
    <w:rsid w:val="001A6955"/>
    <w:rsid w:val="001A7D5B"/>
    <w:rsid w:val="001B0427"/>
    <w:rsid w:val="001B26C2"/>
    <w:rsid w:val="001B6579"/>
    <w:rsid w:val="001C280C"/>
    <w:rsid w:val="001C7D5F"/>
    <w:rsid w:val="001D3A51"/>
    <w:rsid w:val="001D5929"/>
    <w:rsid w:val="001D678D"/>
    <w:rsid w:val="001E10D2"/>
    <w:rsid w:val="001E25B4"/>
    <w:rsid w:val="001E44FE"/>
    <w:rsid w:val="001F23CB"/>
    <w:rsid w:val="001F5A53"/>
    <w:rsid w:val="001F5A60"/>
    <w:rsid w:val="001F67BE"/>
    <w:rsid w:val="00200595"/>
    <w:rsid w:val="002018F5"/>
    <w:rsid w:val="00204835"/>
    <w:rsid w:val="00204C13"/>
    <w:rsid w:val="002065F6"/>
    <w:rsid w:val="00210C1B"/>
    <w:rsid w:val="0021759A"/>
    <w:rsid w:val="00221BEB"/>
    <w:rsid w:val="00231920"/>
    <w:rsid w:val="0023195C"/>
    <w:rsid w:val="002421B6"/>
    <w:rsid w:val="0024282C"/>
    <w:rsid w:val="00242F34"/>
    <w:rsid w:val="002460DC"/>
    <w:rsid w:val="0024771A"/>
    <w:rsid w:val="00250985"/>
    <w:rsid w:val="002520AB"/>
    <w:rsid w:val="002556F6"/>
    <w:rsid w:val="00273D0E"/>
    <w:rsid w:val="00277CC4"/>
    <w:rsid w:val="00277E1D"/>
    <w:rsid w:val="00283105"/>
    <w:rsid w:val="002847B8"/>
    <w:rsid w:val="00284C4C"/>
    <w:rsid w:val="00287E68"/>
    <w:rsid w:val="0029002F"/>
    <w:rsid w:val="00290510"/>
    <w:rsid w:val="00296529"/>
    <w:rsid w:val="002A2EB2"/>
    <w:rsid w:val="002B27FB"/>
    <w:rsid w:val="002B4AFB"/>
    <w:rsid w:val="002B685A"/>
    <w:rsid w:val="002B6940"/>
    <w:rsid w:val="002C0102"/>
    <w:rsid w:val="002C57D2"/>
    <w:rsid w:val="002D36CB"/>
    <w:rsid w:val="002E0D56"/>
    <w:rsid w:val="002E1C06"/>
    <w:rsid w:val="002E7126"/>
    <w:rsid w:val="002F0638"/>
    <w:rsid w:val="00300B28"/>
    <w:rsid w:val="003039E9"/>
    <w:rsid w:val="00311E47"/>
    <w:rsid w:val="00312A23"/>
    <w:rsid w:val="00312CCD"/>
    <w:rsid w:val="00315186"/>
    <w:rsid w:val="00315BD5"/>
    <w:rsid w:val="00320929"/>
    <w:rsid w:val="0033134E"/>
    <w:rsid w:val="0033343E"/>
    <w:rsid w:val="00340218"/>
    <w:rsid w:val="00340BF0"/>
    <w:rsid w:val="00343B5C"/>
    <w:rsid w:val="00346F17"/>
    <w:rsid w:val="003512C2"/>
    <w:rsid w:val="003614F7"/>
    <w:rsid w:val="00371FB6"/>
    <w:rsid w:val="003763C1"/>
    <w:rsid w:val="00376BBE"/>
    <w:rsid w:val="00377106"/>
    <w:rsid w:val="0038536D"/>
    <w:rsid w:val="0039224F"/>
    <w:rsid w:val="003A0E0F"/>
    <w:rsid w:val="003A12D6"/>
    <w:rsid w:val="003A43A4"/>
    <w:rsid w:val="003A7E18"/>
    <w:rsid w:val="003B3E93"/>
    <w:rsid w:val="003B51F3"/>
    <w:rsid w:val="003C1B26"/>
    <w:rsid w:val="003C27AB"/>
    <w:rsid w:val="003C4C86"/>
    <w:rsid w:val="003C6089"/>
    <w:rsid w:val="003C6258"/>
    <w:rsid w:val="003D2741"/>
    <w:rsid w:val="003D3B32"/>
    <w:rsid w:val="003D5B40"/>
    <w:rsid w:val="003D6AB7"/>
    <w:rsid w:val="003D70AD"/>
    <w:rsid w:val="003E2904"/>
    <w:rsid w:val="003F71C0"/>
    <w:rsid w:val="00401927"/>
    <w:rsid w:val="00405EBC"/>
    <w:rsid w:val="0041027F"/>
    <w:rsid w:val="00412475"/>
    <w:rsid w:val="00423789"/>
    <w:rsid w:val="00440F43"/>
    <w:rsid w:val="00441B6F"/>
    <w:rsid w:val="00444359"/>
    <w:rsid w:val="00446221"/>
    <w:rsid w:val="00450E62"/>
    <w:rsid w:val="004539DB"/>
    <w:rsid w:val="00453A75"/>
    <w:rsid w:val="004673D7"/>
    <w:rsid w:val="00471A80"/>
    <w:rsid w:val="00472701"/>
    <w:rsid w:val="004749A9"/>
    <w:rsid w:val="004816B3"/>
    <w:rsid w:val="00485DBB"/>
    <w:rsid w:val="00490FA8"/>
    <w:rsid w:val="004A28DD"/>
    <w:rsid w:val="004A3397"/>
    <w:rsid w:val="004A6239"/>
    <w:rsid w:val="004B0763"/>
    <w:rsid w:val="004B2454"/>
    <w:rsid w:val="004B470E"/>
    <w:rsid w:val="004B6A49"/>
    <w:rsid w:val="004C665D"/>
    <w:rsid w:val="004D1498"/>
    <w:rsid w:val="004D1A12"/>
    <w:rsid w:val="004D2E8C"/>
    <w:rsid w:val="004D305E"/>
    <w:rsid w:val="004D4277"/>
    <w:rsid w:val="004F3AB1"/>
    <w:rsid w:val="004F7106"/>
    <w:rsid w:val="00501330"/>
    <w:rsid w:val="00502516"/>
    <w:rsid w:val="00505F06"/>
    <w:rsid w:val="00506828"/>
    <w:rsid w:val="005302AE"/>
    <w:rsid w:val="0053056E"/>
    <w:rsid w:val="0054475B"/>
    <w:rsid w:val="0055086E"/>
    <w:rsid w:val="00553DEE"/>
    <w:rsid w:val="00554FDA"/>
    <w:rsid w:val="005561AA"/>
    <w:rsid w:val="00560AC6"/>
    <w:rsid w:val="005627BD"/>
    <w:rsid w:val="00570256"/>
    <w:rsid w:val="00575D7B"/>
    <w:rsid w:val="00580F5F"/>
    <w:rsid w:val="00581370"/>
    <w:rsid w:val="0058522C"/>
    <w:rsid w:val="005A0C66"/>
    <w:rsid w:val="005A1CD1"/>
    <w:rsid w:val="005A1E40"/>
    <w:rsid w:val="005A353F"/>
    <w:rsid w:val="005A454A"/>
    <w:rsid w:val="005A4F3E"/>
    <w:rsid w:val="005B58F3"/>
    <w:rsid w:val="005C784C"/>
    <w:rsid w:val="005D03A6"/>
    <w:rsid w:val="005D17F6"/>
    <w:rsid w:val="005D4ADB"/>
    <w:rsid w:val="005D6672"/>
    <w:rsid w:val="005E5539"/>
    <w:rsid w:val="005E7AC6"/>
    <w:rsid w:val="005F055B"/>
    <w:rsid w:val="005F34E8"/>
    <w:rsid w:val="005F4C86"/>
    <w:rsid w:val="006017AB"/>
    <w:rsid w:val="00602BF5"/>
    <w:rsid w:val="006067CC"/>
    <w:rsid w:val="0061504E"/>
    <w:rsid w:val="00617FDD"/>
    <w:rsid w:val="006218C5"/>
    <w:rsid w:val="0062401D"/>
    <w:rsid w:val="0062704C"/>
    <w:rsid w:val="00633614"/>
    <w:rsid w:val="00633F68"/>
    <w:rsid w:val="00636EB2"/>
    <w:rsid w:val="006375B8"/>
    <w:rsid w:val="00640CB0"/>
    <w:rsid w:val="00646C06"/>
    <w:rsid w:val="00647854"/>
    <w:rsid w:val="00647997"/>
    <w:rsid w:val="00647FA9"/>
    <w:rsid w:val="00660A24"/>
    <w:rsid w:val="00661B84"/>
    <w:rsid w:val="0066510A"/>
    <w:rsid w:val="00665274"/>
    <w:rsid w:val="00673F9F"/>
    <w:rsid w:val="006802A6"/>
    <w:rsid w:val="00686953"/>
    <w:rsid w:val="00687DEA"/>
    <w:rsid w:val="00687E67"/>
    <w:rsid w:val="006967F7"/>
    <w:rsid w:val="006A1E98"/>
    <w:rsid w:val="006A250C"/>
    <w:rsid w:val="006B21D3"/>
    <w:rsid w:val="006B57D0"/>
    <w:rsid w:val="006B5E27"/>
    <w:rsid w:val="006B6344"/>
    <w:rsid w:val="006C23F1"/>
    <w:rsid w:val="006C51F0"/>
    <w:rsid w:val="006D30FF"/>
    <w:rsid w:val="006D40E3"/>
    <w:rsid w:val="006D5FFE"/>
    <w:rsid w:val="006D6940"/>
    <w:rsid w:val="006E28AE"/>
    <w:rsid w:val="006F0025"/>
    <w:rsid w:val="006F11EC"/>
    <w:rsid w:val="0070082C"/>
    <w:rsid w:val="00705632"/>
    <w:rsid w:val="00720F7C"/>
    <w:rsid w:val="007259D6"/>
    <w:rsid w:val="00734580"/>
    <w:rsid w:val="007369E6"/>
    <w:rsid w:val="007463CB"/>
    <w:rsid w:val="00746E59"/>
    <w:rsid w:val="00750ADD"/>
    <w:rsid w:val="00754C9A"/>
    <w:rsid w:val="0075599A"/>
    <w:rsid w:val="007602F4"/>
    <w:rsid w:val="00761D52"/>
    <w:rsid w:val="0077749E"/>
    <w:rsid w:val="00783899"/>
    <w:rsid w:val="00785494"/>
    <w:rsid w:val="0079044A"/>
    <w:rsid w:val="00790ADA"/>
    <w:rsid w:val="00791C45"/>
    <w:rsid w:val="00796640"/>
    <w:rsid w:val="00797FCF"/>
    <w:rsid w:val="007A2E30"/>
    <w:rsid w:val="007A5993"/>
    <w:rsid w:val="007A7B4B"/>
    <w:rsid w:val="007C5D54"/>
    <w:rsid w:val="007D2288"/>
    <w:rsid w:val="007E088F"/>
    <w:rsid w:val="007E4038"/>
    <w:rsid w:val="007E487F"/>
    <w:rsid w:val="007E4E69"/>
    <w:rsid w:val="007E7AF6"/>
    <w:rsid w:val="007F3279"/>
    <w:rsid w:val="007F7B32"/>
    <w:rsid w:val="00804BC2"/>
    <w:rsid w:val="0081121B"/>
    <w:rsid w:val="00813FF9"/>
    <w:rsid w:val="0081431A"/>
    <w:rsid w:val="00822A21"/>
    <w:rsid w:val="00823025"/>
    <w:rsid w:val="0082434C"/>
    <w:rsid w:val="0083216F"/>
    <w:rsid w:val="00832523"/>
    <w:rsid w:val="00843EEF"/>
    <w:rsid w:val="00844A2D"/>
    <w:rsid w:val="00850DD2"/>
    <w:rsid w:val="00860000"/>
    <w:rsid w:val="0086106A"/>
    <w:rsid w:val="00863BD3"/>
    <w:rsid w:val="008641ED"/>
    <w:rsid w:val="00866D66"/>
    <w:rsid w:val="008671C6"/>
    <w:rsid w:val="00875803"/>
    <w:rsid w:val="00881B41"/>
    <w:rsid w:val="008916A1"/>
    <w:rsid w:val="00897A79"/>
    <w:rsid w:val="008B459E"/>
    <w:rsid w:val="008B5587"/>
    <w:rsid w:val="008E13AE"/>
    <w:rsid w:val="008E1506"/>
    <w:rsid w:val="008E710C"/>
    <w:rsid w:val="008F5FCE"/>
    <w:rsid w:val="008F69D6"/>
    <w:rsid w:val="008F69F4"/>
    <w:rsid w:val="00902823"/>
    <w:rsid w:val="00903204"/>
    <w:rsid w:val="00903B35"/>
    <w:rsid w:val="00913835"/>
    <w:rsid w:val="00915CA6"/>
    <w:rsid w:val="0092440A"/>
    <w:rsid w:val="00927834"/>
    <w:rsid w:val="009344E9"/>
    <w:rsid w:val="00937A24"/>
    <w:rsid w:val="00946D9B"/>
    <w:rsid w:val="00947961"/>
    <w:rsid w:val="009500A6"/>
    <w:rsid w:val="009509B3"/>
    <w:rsid w:val="0095437F"/>
    <w:rsid w:val="00957C18"/>
    <w:rsid w:val="00964FD4"/>
    <w:rsid w:val="009659BA"/>
    <w:rsid w:val="0098136E"/>
    <w:rsid w:val="00983040"/>
    <w:rsid w:val="00985DDA"/>
    <w:rsid w:val="00986FC7"/>
    <w:rsid w:val="009A57A1"/>
    <w:rsid w:val="009A7267"/>
    <w:rsid w:val="009B2EF6"/>
    <w:rsid w:val="009B3FB9"/>
    <w:rsid w:val="009B569E"/>
    <w:rsid w:val="009C2465"/>
    <w:rsid w:val="009D12F6"/>
    <w:rsid w:val="009D2BD2"/>
    <w:rsid w:val="009D35A0"/>
    <w:rsid w:val="009D5197"/>
    <w:rsid w:val="009D7EB7"/>
    <w:rsid w:val="009E048A"/>
    <w:rsid w:val="009E08E9"/>
    <w:rsid w:val="009E3DB9"/>
    <w:rsid w:val="009E6E35"/>
    <w:rsid w:val="009F0EDA"/>
    <w:rsid w:val="009F19A2"/>
    <w:rsid w:val="009F44BB"/>
    <w:rsid w:val="009F7D86"/>
    <w:rsid w:val="00A024BD"/>
    <w:rsid w:val="00A03B96"/>
    <w:rsid w:val="00A04324"/>
    <w:rsid w:val="00A05B19"/>
    <w:rsid w:val="00A07F44"/>
    <w:rsid w:val="00A1134E"/>
    <w:rsid w:val="00A1422F"/>
    <w:rsid w:val="00A1455B"/>
    <w:rsid w:val="00A1661C"/>
    <w:rsid w:val="00A24E7E"/>
    <w:rsid w:val="00A2563B"/>
    <w:rsid w:val="00A258C3"/>
    <w:rsid w:val="00A3240E"/>
    <w:rsid w:val="00A347C0"/>
    <w:rsid w:val="00A369FD"/>
    <w:rsid w:val="00A416B7"/>
    <w:rsid w:val="00A45628"/>
    <w:rsid w:val="00A46535"/>
    <w:rsid w:val="00A50F8E"/>
    <w:rsid w:val="00A51431"/>
    <w:rsid w:val="00A539AD"/>
    <w:rsid w:val="00A54DE7"/>
    <w:rsid w:val="00A57C90"/>
    <w:rsid w:val="00A61A07"/>
    <w:rsid w:val="00A667B9"/>
    <w:rsid w:val="00A67725"/>
    <w:rsid w:val="00A81194"/>
    <w:rsid w:val="00A82446"/>
    <w:rsid w:val="00A90238"/>
    <w:rsid w:val="00A90ED4"/>
    <w:rsid w:val="00A93267"/>
    <w:rsid w:val="00A94063"/>
    <w:rsid w:val="00A965FE"/>
    <w:rsid w:val="00AA3686"/>
    <w:rsid w:val="00AA6219"/>
    <w:rsid w:val="00AA74E0"/>
    <w:rsid w:val="00AB2880"/>
    <w:rsid w:val="00AB4169"/>
    <w:rsid w:val="00AB703F"/>
    <w:rsid w:val="00AC0896"/>
    <w:rsid w:val="00AC1C34"/>
    <w:rsid w:val="00AC29B2"/>
    <w:rsid w:val="00AC6BB8"/>
    <w:rsid w:val="00AD7506"/>
    <w:rsid w:val="00AE008F"/>
    <w:rsid w:val="00AE6447"/>
    <w:rsid w:val="00AE6A63"/>
    <w:rsid w:val="00AF0FAE"/>
    <w:rsid w:val="00AF1177"/>
    <w:rsid w:val="00AF2854"/>
    <w:rsid w:val="00B01FCD"/>
    <w:rsid w:val="00B03354"/>
    <w:rsid w:val="00B07E12"/>
    <w:rsid w:val="00B1078F"/>
    <w:rsid w:val="00B1776C"/>
    <w:rsid w:val="00B225C4"/>
    <w:rsid w:val="00B2389B"/>
    <w:rsid w:val="00B31C12"/>
    <w:rsid w:val="00B338C5"/>
    <w:rsid w:val="00B4413B"/>
    <w:rsid w:val="00B45A0C"/>
    <w:rsid w:val="00B52583"/>
    <w:rsid w:val="00B52896"/>
    <w:rsid w:val="00B63EA8"/>
    <w:rsid w:val="00B6798F"/>
    <w:rsid w:val="00B75500"/>
    <w:rsid w:val="00B83F69"/>
    <w:rsid w:val="00B84D9A"/>
    <w:rsid w:val="00B86751"/>
    <w:rsid w:val="00B928DF"/>
    <w:rsid w:val="00B95236"/>
    <w:rsid w:val="00B958B5"/>
    <w:rsid w:val="00B96BD9"/>
    <w:rsid w:val="00BA1B01"/>
    <w:rsid w:val="00BA2641"/>
    <w:rsid w:val="00BA41B0"/>
    <w:rsid w:val="00BB37AA"/>
    <w:rsid w:val="00BB3AEB"/>
    <w:rsid w:val="00BB6650"/>
    <w:rsid w:val="00BC238A"/>
    <w:rsid w:val="00BC400D"/>
    <w:rsid w:val="00BC53A0"/>
    <w:rsid w:val="00BE1919"/>
    <w:rsid w:val="00BE62AD"/>
    <w:rsid w:val="00BF121F"/>
    <w:rsid w:val="00BF1F80"/>
    <w:rsid w:val="00C034FC"/>
    <w:rsid w:val="00C0469B"/>
    <w:rsid w:val="00C067A7"/>
    <w:rsid w:val="00C103B3"/>
    <w:rsid w:val="00C15006"/>
    <w:rsid w:val="00C166EF"/>
    <w:rsid w:val="00C17EB0"/>
    <w:rsid w:val="00C22093"/>
    <w:rsid w:val="00C27F5F"/>
    <w:rsid w:val="00C30A0F"/>
    <w:rsid w:val="00C33394"/>
    <w:rsid w:val="00C37E61"/>
    <w:rsid w:val="00C40BE5"/>
    <w:rsid w:val="00C53990"/>
    <w:rsid w:val="00C56DEA"/>
    <w:rsid w:val="00C65420"/>
    <w:rsid w:val="00C66583"/>
    <w:rsid w:val="00C66691"/>
    <w:rsid w:val="00C70F1B"/>
    <w:rsid w:val="00C71A47"/>
    <w:rsid w:val="00C71AA3"/>
    <w:rsid w:val="00C73915"/>
    <w:rsid w:val="00C740A7"/>
    <w:rsid w:val="00C7464C"/>
    <w:rsid w:val="00C85588"/>
    <w:rsid w:val="00C85C8B"/>
    <w:rsid w:val="00C86E48"/>
    <w:rsid w:val="00C94203"/>
    <w:rsid w:val="00C951FC"/>
    <w:rsid w:val="00C97332"/>
    <w:rsid w:val="00CA6B35"/>
    <w:rsid w:val="00CA7DB1"/>
    <w:rsid w:val="00CC0226"/>
    <w:rsid w:val="00CC0E40"/>
    <w:rsid w:val="00CD27B5"/>
    <w:rsid w:val="00CD3F56"/>
    <w:rsid w:val="00CD55B6"/>
    <w:rsid w:val="00CD6755"/>
    <w:rsid w:val="00CD6856"/>
    <w:rsid w:val="00CD6A41"/>
    <w:rsid w:val="00CE0089"/>
    <w:rsid w:val="00CE316F"/>
    <w:rsid w:val="00CE793C"/>
    <w:rsid w:val="00CF08DB"/>
    <w:rsid w:val="00CF193C"/>
    <w:rsid w:val="00CF2516"/>
    <w:rsid w:val="00CF46E0"/>
    <w:rsid w:val="00CF69F9"/>
    <w:rsid w:val="00D10964"/>
    <w:rsid w:val="00D13963"/>
    <w:rsid w:val="00D14791"/>
    <w:rsid w:val="00D173F1"/>
    <w:rsid w:val="00D60C93"/>
    <w:rsid w:val="00D6145F"/>
    <w:rsid w:val="00D674FA"/>
    <w:rsid w:val="00D70922"/>
    <w:rsid w:val="00D7186D"/>
    <w:rsid w:val="00D74CB0"/>
    <w:rsid w:val="00D81F40"/>
    <w:rsid w:val="00D8295D"/>
    <w:rsid w:val="00DB0DD4"/>
    <w:rsid w:val="00DB734D"/>
    <w:rsid w:val="00DB7BCC"/>
    <w:rsid w:val="00DC2A65"/>
    <w:rsid w:val="00DD58E6"/>
    <w:rsid w:val="00DD7EBC"/>
    <w:rsid w:val="00DE15F0"/>
    <w:rsid w:val="00DE4403"/>
    <w:rsid w:val="00DE5663"/>
    <w:rsid w:val="00DE78AA"/>
    <w:rsid w:val="00E02791"/>
    <w:rsid w:val="00E053D0"/>
    <w:rsid w:val="00E06123"/>
    <w:rsid w:val="00E14D8C"/>
    <w:rsid w:val="00E15994"/>
    <w:rsid w:val="00E1702C"/>
    <w:rsid w:val="00E17C5B"/>
    <w:rsid w:val="00E2122B"/>
    <w:rsid w:val="00E23CE8"/>
    <w:rsid w:val="00E27B1A"/>
    <w:rsid w:val="00E3114E"/>
    <w:rsid w:val="00E31A70"/>
    <w:rsid w:val="00E32E55"/>
    <w:rsid w:val="00E35B02"/>
    <w:rsid w:val="00E52131"/>
    <w:rsid w:val="00E529DD"/>
    <w:rsid w:val="00E62DC3"/>
    <w:rsid w:val="00E647FB"/>
    <w:rsid w:val="00E66111"/>
    <w:rsid w:val="00E66496"/>
    <w:rsid w:val="00E66B35"/>
    <w:rsid w:val="00E66E10"/>
    <w:rsid w:val="00E722F4"/>
    <w:rsid w:val="00E769F6"/>
    <w:rsid w:val="00E8407C"/>
    <w:rsid w:val="00E84F3C"/>
    <w:rsid w:val="00E87086"/>
    <w:rsid w:val="00EA012C"/>
    <w:rsid w:val="00EB0A6C"/>
    <w:rsid w:val="00EB105C"/>
    <w:rsid w:val="00EB2887"/>
    <w:rsid w:val="00EC2E24"/>
    <w:rsid w:val="00EC6A55"/>
    <w:rsid w:val="00ED0288"/>
    <w:rsid w:val="00EE52CB"/>
    <w:rsid w:val="00EF581D"/>
    <w:rsid w:val="00EF6A47"/>
    <w:rsid w:val="00EF7FD8"/>
    <w:rsid w:val="00F012AC"/>
    <w:rsid w:val="00F06F59"/>
    <w:rsid w:val="00F12678"/>
    <w:rsid w:val="00F13EA4"/>
    <w:rsid w:val="00F16E4C"/>
    <w:rsid w:val="00F17988"/>
    <w:rsid w:val="00F17AED"/>
    <w:rsid w:val="00F3350E"/>
    <w:rsid w:val="00F353AD"/>
    <w:rsid w:val="00F36988"/>
    <w:rsid w:val="00F42664"/>
    <w:rsid w:val="00F43DF0"/>
    <w:rsid w:val="00F44317"/>
    <w:rsid w:val="00F469F0"/>
    <w:rsid w:val="00F52A32"/>
    <w:rsid w:val="00F53273"/>
    <w:rsid w:val="00F604FF"/>
    <w:rsid w:val="00F67ADE"/>
    <w:rsid w:val="00F732AD"/>
    <w:rsid w:val="00F732BE"/>
    <w:rsid w:val="00F755E4"/>
    <w:rsid w:val="00F77D02"/>
    <w:rsid w:val="00F80BD5"/>
    <w:rsid w:val="00F9063E"/>
    <w:rsid w:val="00FA1F9A"/>
    <w:rsid w:val="00FB3A86"/>
    <w:rsid w:val="00FC37EE"/>
    <w:rsid w:val="00FD36C8"/>
    <w:rsid w:val="00FE0634"/>
    <w:rsid w:val="00FE65F2"/>
    <w:rsid w:val="00FE66D8"/>
    <w:rsid w:val="00FF2E9A"/>
    <w:rsid w:val="00FF79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EA8337C"/>
  <w15:docId w15:val="{4C51417F-2F63-463A-8DE7-D7035751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030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nama">
    <w:name w:val="nama"/>
    <w:basedOn w:val="Normal"/>
    <w:link w:val="namaChar"/>
    <w:rsid w:val="00AB2880"/>
    <w:pPr>
      <w:spacing w:after="240"/>
      <w:jc w:val="center"/>
    </w:pPr>
    <w:rPr>
      <w:rFonts w:ascii="Times New Roman" w:hAnsi="Times New Roman"/>
      <w:b/>
      <w:smallCaps/>
      <w:sz w:val="18"/>
    </w:rPr>
  </w:style>
  <w:style w:type="character" w:customStyle="1" w:styleId="namaChar">
    <w:name w:val="nama Char"/>
    <w:link w:val="nama"/>
    <w:rsid w:val="00AB2880"/>
    <w:rPr>
      <w:b/>
      <w:smallCaps/>
      <w:sz w:val="18"/>
    </w:rPr>
  </w:style>
  <w:style w:type="paragraph" w:customStyle="1" w:styleId="instansi">
    <w:name w:val="instansi"/>
    <w:basedOn w:val="nama"/>
    <w:link w:val="instansiChar"/>
    <w:rsid w:val="00AB2880"/>
    <w:rPr>
      <w:i/>
      <w:sz w:val="16"/>
    </w:rPr>
  </w:style>
  <w:style w:type="character" w:customStyle="1" w:styleId="instansiChar">
    <w:name w:val="instansi Char"/>
    <w:link w:val="instansi"/>
    <w:rsid w:val="00AB2880"/>
    <w:rPr>
      <w:b/>
      <w:i/>
      <w:smallCaps/>
      <w:sz w:val="16"/>
    </w:rPr>
  </w:style>
  <w:style w:type="character" w:customStyle="1" w:styleId="Heading3Char">
    <w:name w:val="Heading 3 Char"/>
    <w:basedOn w:val="DefaultParagraphFont"/>
    <w:link w:val="Heading3"/>
    <w:uiPriority w:val="9"/>
    <w:rsid w:val="0000301A"/>
    <w:rPr>
      <w:rFonts w:asciiTheme="majorHAnsi" w:eastAsiaTheme="majorEastAsia" w:hAnsiTheme="majorHAnsi" w:cstheme="majorBidi"/>
      <w:color w:val="243F60" w:themeColor="accent1" w:themeShade="7F"/>
      <w:sz w:val="24"/>
      <w:szCs w:val="24"/>
    </w:rPr>
  </w:style>
  <w:style w:type="paragraph" w:customStyle="1" w:styleId="Default">
    <w:name w:val="Default"/>
    <w:link w:val="DefaultChar"/>
    <w:rsid w:val="0000301A"/>
    <w:pPr>
      <w:widowControl w:val="0"/>
      <w:autoSpaceDE w:val="0"/>
      <w:autoSpaceDN w:val="0"/>
      <w:adjustRightInd w:val="0"/>
    </w:pPr>
    <w:rPr>
      <w:rFonts w:ascii="Book Antiqua" w:eastAsia="MS Mincho" w:hAnsi="Book Antiqua"/>
      <w:color w:val="000000"/>
      <w:sz w:val="24"/>
      <w:szCs w:val="24"/>
    </w:rPr>
  </w:style>
  <w:style w:type="character" w:customStyle="1" w:styleId="DefaultChar">
    <w:name w:val="Default Char"/>
    <w:link w:val="Default"/>
    <w:locked/>
    <w:rsid w:val="0000301A"/>
    <w:rPr>
      <w:rFonts w:ascii="Book Antiqua" w:eastAsia="MS Mincho" w:hAnsi="Book Antiqua"/>
      <w:color w:val="000000"/>
      <w:sz w:val="24"/>
      <w:szCs w:val="24"/>
    </w:rPr>
  </w:style>
  <w:style w:type="character" w:customStyle="1" w:styleId="style2">
    <w:name w:val="style2"/>
    <w:rsid w:val="0000301A"/>
    <w:rPr>
      <w:rFonts w:ascii="Times New Roman" w:hAnsi="Times New Roman" w:cs="Times New Roman"/>
      <w:b/>
      <w:sz w:val="24"/>
      <w:szCs w:val="24"/>
    </w:rPr>
  </w:style>
  <w:style w:type="paragraph" w:styleId="ListParagraph">
    <w:name w:val="List Paragraph"/>
    <w:basedOn w:val="Normal"/>
    <w:link w:val="ListParagraphChar"/>
    <w:uiPriority w:val="34"/>
    <w:qFormat/>
    <w:rsid w:val="004B2454"/>
    <w:pPr>
      <w:ind w:left="720"/>
    </w:pPr>
    <w:rPr>
      <w:rFonts w:ascii="Times New Roman" w:hAnsi="Times New Roman"/>
      <w:sz w:val="24"/>
      <w:szCs w:val="24"/>
      <w:lang w:val="id-ID"/>
    </w:rPr>
  </w:style>
  <w:style w:type="character" w:customStyle="1" w:styleId="ListParagraphChar">
    <w:name w:val="List Paragraph Char"/>
    <w:link w:val="ListParagraph"/>
    <w:uiPriority w:val="34"/>
    <w:qFormat/>
    <w:locked/>
    <w:rsid w:val="004B2454"/>
    <w:rPr>
      <w:sz w:val="24"/>
      <w:szCs w:val="24"/>
      <w:lang w:val="id-ID"/>
    </w:rPr>
  </w:style>
  <w:style w:type="paragraph" w:customStyle="1" w:styleId="subsub">
    <w:name w:val="subsub"/>
    <w:basedOn w:val="Normal"/>
    <w:rsid w:val="005F055B"/>
    <w:pPr>
      <w:spacing w:before="240" w:after="240"/>
    </w:pPr>
    <w:rPr>
      <w:rFonts w:ascii="Times New Roman" w:hAnsi="Times New Roman"/>
      <w:b/>
    </w:rPr>
  </w:style>
  <w:style w:type="paragraph" w:customStyle="1" w:styleId="pustaka">
    <w:name w:val="pustaka"/>
    <w:basedOn w:val="subsub"/>
    <w:rsid w:val="00175121"/>
    <w:pPr>
      <w:spacing w:before="0" w:after="120"/>
      <w:ind w:left="431" w:hanging="431"/>
      <w:jc w:val="both"/>
    </w:pPr>
    <w:rPr>
      <w:b w:val="0"/>
      <w:sz w:val="18"/>
    </w:rPr>
  </w:style>
  <w:style w:type="character" w:styleId="PlaceholderText">
    <w:name w:val="Placeholder Text"/>
    <w:basedOn w:val="DefaultParagraphFont"/>
    <w:uiPriority w:val="99"/>
    <w:semiHidden/>
    <w:rsid w:val="00796640"/>
    <w:rPr>
      <w:color w:val="666666"/>
    </w:rPr>
  </w:style>
  <w:style w:type="paragraph" w:styleId="Revision">
    <w:name w:val="Revision"/>
    <w:hidden/>
    <w:uiPriority w:val="99"/>
    <w:semiHidden/>
    <w:rsid w:val="000C1640"/>
    <w:rPr>
      <w:rFonts w:ascii="Helvetica" w:hAnsi="Helvetica"/>
    </w:rPr>
  </w:style>
  <w:style w:type="character" w:customStyle="1" w:styleId="rynqvb">
    <w:name w:val="rynqvb"/>
    <w:basedOn w:val="DefaultParagraphFont"/>
    <w:rsid w:val="002D36CB"/>
  </w:style>
  <w:style w:type="paragraph" w:styleId="NormalWeb">
    <w:name w:val="Normal (Web)"/>
    <w:basedOn w:val="Normal"/>
    <w:uiPriority w:val="99"/>
    <w:unhideWhenUsed/>
    <w:rsid w:val="005D6672"/>
    <w:pPr>
      <w:spacing w:before="100" w:beforeAutospacing="1" w:after="100" w:afterAutospacing="1"/>
    </w:pPr>
    <w:rPr>
      <w:rFonts w:ascii="Times New Roman" w:hAnsi="Times New Roman"/>
      <w:sz w:val="24"/>
      <w:szCs w:val="24"/>
      <w:lang w:val="en-ID" w:eastAsia="en-ID"/>
    </w:rPr>
  </w:style>
  <w:style w:type="character" w:customStyle="1" w:styleId="ai-insert">
    <w:name w:val="ai-insert"/>
    <w:basedOn w:val="DefaultParagraphFont"/>
    <w:rsid w:val="005D6672"/>
  </w:style>
  <w:style w:type="character" w:customStyle="1" w:styleId="st">
    <w:name w:val="st"/>
    <w:rsid w:val="003A0E0F"/>
  </w:style>
  <w:style w:type="character" w:styleId="UnresolvedMention">
    <w:name w:val="Unresolved Mention"/>
    <w:basedOn w:val="DefaultParagraphFont"/>
    <w:uiPriority w:val="99"/>
    <w:semiHidden/>
    <w:unhideWhenUsed/>
    <w:rsid w:val="002C0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3960/jrip.2024.8.1.091-099" TargetMode="External"/><Relationship Id="rId26" Type="http://schemas.openxmlformats.org/officeDocument/2006/relationships/hyperlink" Target="https://doi.org/10.23960/jrip.2023.7.1.63-71" TargetMode="External"/><Relationship Id="rId39" Type="http://schemas.openxmlformats.org/officeDocument/2006/relationships/hyperlink" Target="https://doi.org/10.1088/1755-1315/803/1/012009" TargetMode="External"/><Relationship Id="rId21" Type="http://schemas.openxmlformats.org/officeDocument/2006/relationships/hyperlink" Target="https://doi.org/10.37090/jwputb.v8i3.1877" TargetMode="External"/><Relationship Id="rId34" Type="http://schemas.openxmlformats.org/officeDocument/2006/relationships/hyperlink" Target="https://doi.org/10.36626/jppt.v5i2.1184"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2938/jtast.v6i1.5483" TargetMode="External"/><Relationship Id="rId29" Type="http://schemas.openxmlformats.org/officeDocument/2006/relationships/hyperlink" Target="https://doi.org/10.29303/jbt.v24i1.63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9891/animacultura.v2i3.111%20%20" TargetMode="External"/><Relationship Id="rId32" Type="http://schemas.openxmlformats.org/officeDocument/2006/relationships/hyperlink" Target="https://jpa.ub.ac.id/index.php/jpa/article/view/305" TargetMode="External"/><Relationship Id="rId37" Type="http://schemas.openxmlformats.org/officeDocument/2006/relationships/hyperlink" Target="https://doi.org/10.24843/MIP.2014.v17.i02.p04"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2437/jiiip.v26i2.28413" TargetMode="External"/><Relationship Id="rId23" Type="http://schemas.openxmlformats.org/officeDocument/2006/relationships/hyperlink" Target="https://doi.org/10.36762/jurnaljateng.v17i1.791" TargetMode="External"/><Relationship Id="rId28" Type="http://schemas.openxmlformats.org/officeDocument/2006/relationships/hyperlink" Target="https://doi.org/10.5398/tasj.2024.47.3.371" TargetMode="External"/><Relationship Id="rId36" Type="http://schemas.openxmlformats.org/officeDocument/2006/relationships/hyperlink" Target="https://doi.org/10.24843/MIP.2014.v17.i02.p04" TargetMode="External"/><Relationship Id="rId10" Type="http://schemas.openxmlformats.org/officeDocument/2006/relationships/footer" Target="footer1.xml"/><Relationship Id="rId19" Type="http://schemas.openxmlformats.org/officeDocument/2006/relationships/hyperlink" Target="https://doi.org/10.36762/jurnaljateng.v18i1.807" TargetMode="External"/><Relationship Id="rId31" Type="http://schemas.openxmlformats.org/officeDocument/2006/relationships/hyperlink" Target="https://doi.org/10.20527/jpplb.v3i1.172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5077/jpi.24.3.270-280.2022" TargetMode="External"/><Relationship Id="rId22" Type="http://schemas.openxmlformats.org/officeDocument/2006/relationships/hyperlink" Target="https://doi.org/10.36706/JPS.11.1.2022.17204" TargetMode="External"/><Relationship Id="rId27" Type="http://schemas.openxmlformats.org/officeDocument/2006/relationships/hyperlink" Target="https://doi.org/10.36490/jpu.v7i1.794" TargetMode="External"/><Relationship Id="rId30" Type="http://schemas.openxmlformats.org/officeDocument/2006/relationships/hyperlink" Target="https://doi.org/10.20884/1.jap.2021.23.3.116" TargetMode="External"/><Relationship Id="rId35" Type="http://schemas.openxmlformats.org/officeDocument/2006/relationships/hyperlink" Target="https://doi.org/10.1186/s40781-016-0113-5"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https://doi.org/10.33366/bs.v22i3.4486" TargetMode="External"/><Relationship Id="rId25" Type="http://schemas.openxmlformats.org/officeDocument/2006/relationships/hyperlink" Target="https://doi.org/10.59891/animacultura.v1i3.42" TargetMode="External"/><Relationship Id="rId33" Type="http://schemas.openxmlformats.org/officeDocument/2006/relationships/hyperlink" Target="https://doi.org/10.37090/jwputb.v8i2.1469" TargetMode="External"/><Relationship Id="rId38" Type="http://schemas.openxmlformats.org/officeDocument/2006/relationships/hyperlink" Target="https://doi.org/10.1111/j.1365-2494.1963.tb00335.x" TargetMode="External"/><Relationship Id="rId20" Type="http://schemas.openxmlformats.org/officeDocument/2006/relationships/hyperlink" Target="https://doi.org/10.35792/zot.44.1.2024.54112"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DBD1E-6DEE-4400-A7DD-BE4AF42A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3045</TotalTime>
  <Pages>11</Pages>
  <Words>8759</Words>
  <Characters>49930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58572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1186</cp:lastModifiedBy>
  <cp:revision>50</cp:revision>
  <cp:lastPrinted>1999-07-06T11:00:00Z</cp:lastPrinted>
  <dcterms:created xsi:type="dcterms:W3CDTF">2025-11-18T15:49:00Z</dcterms:created>
  <dcterms:modified xsi:type="dcterms:W3CDTF">2025-12-05T10:19:00Z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http://csl.mendeley.com/styles/604531771/american-sociological-association-2</vt:lpwstr>
  </property>
  <property fmtid="{D5CDD505-2E9C-101B-9397-08002B2CF9AE}" pid="7" name="Mendeley Recent Style Name 2_1">
    <vt:lpwstr>American Sociological Association 6th/7th edition - Dian Sulistiyono</vt:lpwstr>
  </property>
  <property fmtid="{D5CDD505-2E9C-101B-9397-08002B2CF9AE}" pid="8" name="Mendeley Recent Style Id 3_1">
    <vt:lpwstr>http://csl.mendeley.com/styles/604531771/american-sociological-association</vt:lpwstr>
  </property>
  <property fmtid="{D5CDD505-2E9C-101B-9397-08002B2CF9AE}" pid="9" name="Mendeley Recent Style Name 3_1">
    <vt:lpwstr>American Sociological Association 6th/7th edition - Dian Sulistiyono</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http://www.zotero.org/styles/taylor-and-francis-council-of-science-editors-author-date</vt:lpwstr>
  </property>
  <property fmtid="{D5CDD505-2E9C-101B-9397-08002B2CF9AE}" pid="21" name="Mendeley Recent Style Name 9_1">
    <vt:lpwstr>Taylor &amp; Francis - Council of Science Editors (author-date)</vt:lpwstr>
  </property>
  <property fmtid="{D5CDD505-2E9C-101B-9397-08002B2CF9AE}" pid="22" name="Mendeley Document_1">
    <vt:lpwstr>True</vt:lpwstr>
  </property>
  <property fmtid="{D5CDD505-2E9C-101B-9397-08002B2CF9AE}" pid="23" name="Mendeley Unique User Id_1">
    <vt:lpwstr>84b2240c-54b6-33d3-a25a-1bf7b2c16d03</vt:lpwstr>
  </property>
  <property fmtid="{D5CDD505-2E9C-101B-9397-08002B2CF9AE}" pid="24" name="Mendeley Citation Style_1">
    <vt:lpwstr>http://www.zotero.org/styles/apa</vt:lpwstr>
  </property>
</Properties>
</file>