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BB623" w14:textId="77777777" w:rsidR="00FD08BF" w:rsidRPr="007D781A" w:rsidRDefault="00FD08BF">
      <w:pPr>
        <w:spacing w:before="240" w:after="240"/>
        <w:jc w:val="both"/>
        <w:rPr>
          <w:rFonts w:ascii="Times New Roman" w:eastAsia="Times New Roman" w:hAnsi="Times New Roman" w:cs="Times New Roman"/>
          <w:b/>
          <w:bCs/>
          <w:sz w:val="24"/>
          <w:szCs w:val="24"/>
        </w:rPr>
      </w:pPr>
      <w:r w:rsidRPr="007D781A">
        <w:rPr>
          <w:rFonts w:ascii="Times New Roman" w:eastAsia="Times New Roman" w:hAnsi="Times New Roman" w:cs="Times New Roman"/>
          <w:b/>
          <w:bCs/>
          <w:sz w:val="24"/>
          <w:szCs w:val="24"/>
        </w:rPr>
        <w:t>Computational Identification and Immunoinformatic Design of a Multiepitope Vaccine Candidate Against Marburg Virus Disease Using Reverse Vaccinology</w:t>
      </w:r>
    </w:p>
    <w:p w14:paraId="19D38A11" w14:textId="77777777" w:rsidR="00FD08BF" w:rsidRPr="007D781A" w:rsidRDefault="00FD08BF">
      <w:pPr>
        <w:spacing w:before="240" w:after="240"/>
        <w:jc w:val="both"/>
        <w:rPr>
          <w:rFonts w:ascii="Times New Roman" w:eastAsia="Times New Roman" w:hAnsi="Times New Roman" w:cs="Times New Roman"/>
          <w:b/>
          <w:bCs/>
          <w:sz w:val="24"/>
          <w:szCs w:val="24"/>
        </w:rPr>
      </w:pPr>
    </w:p>
    <w:p w14:paraId="4A455667" w14:textId="75528F77" w:rsidR="00FD08BF" w:rsidRPr="007D781A" w:rsidRDefault="00FD08BF">
      <w:pPr>
        <w:spacing w:before="240" w:after="240"/>
        <w:jc w:val="both"/>
        <w:rPr>
          <w:rFonts w:ascii="Times New Roman" w:eastAsia="Times New Roman" w:hAnsi="Times New Roman" w:cs="Times New Roman"/>
          <w:b/>
          <w:bCs/>
          <w:sz w:val="24"/>
          <w:szCs w:val="24"/>
        </w:rPr>
      </w:pPr>
      <w:r w:rsidRPr="007D781A">
        <w:rPr>
          <w:rFonts w:ascii="Times New Roman" w:eastAsia="Times New Roman" w:hAnsi="Times New Roman" w:cs="Times New Roman"/>
          <w:b/>
          <w:bCs/>
          <w:sz w:val="24"/>
          <w:szCs w:val="24"/>
        </w:rPr>
        <w:t xml:space="preserve">Abstract </w:t>
      </w:r>
    </w:p>
    <w:p w14:paraId="488B3C25" w14:textId="002E13AE" w:rsidR="00FD08BF" w:rsidRPr="007D781A" w:rsidRDefault="00FD08BF">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Marburg virus disease (MVD) is a highly lethal hemorrhagic fever caused by Marburg virus, a priority pathogen with no approved vaccines or antiviral treatments. In this study, an integrated reverse vaccinology and </w:t>
      </w:r>
      <w:proofErr w:type="spellStart"/>
      <w:r w:rsidRPr="007D781A">
        <w:rPr>
          <w:rFonts w:ascii="Times New Roman" w:eastAsia="Times New Roman" w:hAnsi="Times New Roman" w:cs="Times New Roman"/>
          <w:sz w:val="24"/>
          <w:szCs w:val="24"/>
        </w:rPr>
        <w:t>immunoinformatics</w:t>
      </w:r>
      <w:proofErr w:type="spellEnd"/>
      <w:r w:rsidRPr="007D781A">
        <w:rPr>
          <w:rFonts w:ascii="Times New Roman" w:eastAsia="Times New Roman" w:hAnsi="Times New Roman" w:cs="Times New Roman"/>
          <w:sz w:val="24"/>
          <w:szCs w:val="24"/>
        </w:rPr>
        <w:t xml:space="preserve"> pipeline was employed to systematically screen the Marburg virus proteome and identify immunodominant B-cell, CD8⁺ T-cell, and CD4⁺ T-cell epitopes suitable for multiepitope vaccine design. Physicochemical and structural analyses revealed the viral glycoprotein and nucleoprotein as the most antigenically relevant proteins, with the glycoprotein exhibiting extensive surface-exposed and allele-promiscuous epitope clusters. High-affinity MHC class I and II epitopes, along with accessible B-cell epitopes, were further validated through molecular docking with representative HLA alleles and neutralizing antibodies. A 284-amino-acid multiepitope vaccine construct incorporating hBD-3 adjuvant, PADRE sequence, CTL epitopes, HTL epitopes, and B-cell epitopes was subsequently designed using optimized linker arrangements. Bioinformatic validation demonstrated that the construct is highly antigenic, non-allergenic, non-toxic, structurally stable, and predicted to elicit strong humoral and cellular immune responses. These findings provide a robust computational foundation for developing an effective vaccine against Marburg virus, warranting further experimental and preclinical evaluation.</w:t>
      </w:r>
    </w:p>
    <w:p w14:paraId="5CC53249" w14:textId="77777777" w:rsidR="00FD08BF" w:rsidRPr="007D781A" w:rsidRDefault="00FD08BF" w:rsidP="00FD08BF">
      <w:pPr>
        <w:spacing w:before="240" w:after="240"/>
        <w:jc w:val="both"/>
        <w:rPr>
          <w:rFonts w:ascii="Times New Roman" w:eastAsia="Times New Roman" w:hAnsi="Times New Roman" w:cs="Times New Roman"/>
          <w:b/>
          <w:bCs/>
          <w:sz w:val="24"/>
          <w:szCs w:val="24"/>
          <w:lang w:val="en-IN"/>
        </w:rPr>
      </w:pPr>
      <w:r w:rsidRPr="007D781A">
        <w:rPr>
          <w:rFonts w:ascii="Times New Roman" w:eastAsia="Times New Roman" w:hAnsi="Times New Roman" w:cs="Times New Roman"/>
          <w:b/>
          <w:bCs/>
          <w:sz w:val="24"/>
          <w:szCs w:val="24"/>
          <w:lang w:val="en-IN"/>
        </w:rPr>
        <w:t>Keywords</w:t>
      </w:r>
    </w:p>
    <w:p w14:paraId="1730FDD7" w14:textId="48D2453C" w:rsidR="00FD08BF" w:rsidRPr="007D781A" w:rsidRDefault="00FD08BF">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B-cell epitopes; Filoviruses; Glycoprotein; </w:t>
      </w:r>
      <w:proofErr w:type="spellStart"/>
      <w:r w:rsidRPr="007D781A">
        <w:rPr>
          <w:rFonts w:ascii="Times New Roman" w:eastAsia="Times New Roman" w:hAnsi="Times New Roman" w:cs="Times New Roman"/>
          <w:sz w:val="24"/>
          <w:szCs w:val="24"/>
        </w:rPr>
        <w:t>Immunoinformatics</w:t>
      </w:r>
      <w:proofErr w:type="spellEnd"/>
      <w:r w:rsidRPr="007D781A">
        <w:rPr>
          <w:rFonts w:ascii="Times New Roman" w:eastAsia="Times New Roman" w:hAnsi="Times New Roman" w:cs="Times New Roman"/>
          <w:sz w:val="24"/>
          <w:szCs w:val="24"/>
        </w:rPr>
        <w:t>; Marburg virus; Multiepitope vaccine; Reverse vaccinology; T-cell epitopes; Vaccine design; Viral proteome</w:t>
      </w:r>
    </w:p>
    <w:p w14:paraId="5103B688" w14:textId="5816CAFF" w:rsidR="00FD08BF" w:rsidRPr="007D781A" w:rsidRDefault="00FD08BF" w:rsidP="00A03A73">
      <w:pPr>
        <w:pStyle w:val="ListParagraph"/>
        <w:numPr>
          <w:ilvl w:val="0"/>
          <w:numId w:val="4"/>
        </w:numPr>
        <w:spacing w:before="240" w:after="240"/>
        <w:jc w:val="both"/>
        <w:rPr>
          <w:rFonts w:ascii="Times New Roman" w:eastAsia="Times New Roman" w:hAnsi="Times New Roman" w:cs="Times New Roman"/>
          <w:b/>
          <w:bCs/>
          <w:sz w:val="24"/>
          <w:szCs w:val="24"/>
        </w:rPr>
      </w:pPr>
      <w:r w:rsidRPr="007D781A">
        <w:rPr>
          <w:rFonts w:ascii="Times New Roman" w:eastAsia="Times New Roman" w:hAnsi="Times New Roman" w:cs="Times New Roman"/>
          <w:b/>
          <w:bCs/>
          <w:sz w:val="24"/>
          <w:szCs w:val="24"/>
        </w:rPr>
        <w:t>Introduction</w:t>
      </w:r>
    </w:p>
    <w:p w14:paraId="51726266" w14:textId="3BA4C8E0"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Marburg virus disease (MVD) is a severe, often fatal hemorrhagic fever caused by the Marburg virus (MARV), a highly pathogenic member of the Filoviridae family, which also includes Ebola virus [24</w:t>
      </w:r>
      <w:r w:rsidR="0096652F" w:rsidRPr="007D781A">
        <w:rPr>
          <w:rFonts w:ascii="Times New Roman" w:eastAsia="Times New Roman" w:hAnsi="Times New Roman" w:cs="Times New Roman"/>
          <w:sz w:val="24"/>
          <w:szCs w:val="24"/>
        </w:rPr>
        <w:t>, 25</w:t>
      </w:r>
      <w:r w:rsidRPr="007D781A">
        <w:rPr>
          <w:rFonts w:ascii="Times New Roman" w:eastAsia="Times New Roman" w:hAnsi="Times New Roman" w:cs="Times New Roman"/>
          <w:sz w:val="24"/>
          <w:szCs w:val="24"/>
        </w:rPr>
        <w:t xml:space="preserve">]. Since its initial discovery in 1967, MVD outbreaks have repeatedly occurred across sub-Saharan Africa, with case fatality rates (CFRs) historically ranging from 23% to as high as 90%, contingent upon the specific outbreak and the quality of available medical care [4, 6]. MARV is a zoonotic pathogen, transmitted from the Egyptian fruit bat reservoir, causing human infection via direct contact with infected bodily fluids or contaminated materials [24]. Following an incubation period of 2–21 days, the disease typically progresses to high fever, multi-organ failure, severe hemorrhage, and subsequent death [4, 24]. Critically, no vaccines or targeted antiviral </w:t>
      </w:r>
      <w:r w:rsidRPr="007D781A">
        <w:rPr>
          <w:rFonts w:ascii="Times New Roman" w:eastAsia="Times New Roman" w:hAnsi="Times New Roman" w:cs="Times New Roman"/>
          <w:sz w:val="24"/>
          <w:szCs w:val="24"/>
        </w:rPr>
        <w:lastRenderedPageBreak/>
        <w:t>therapeutics are currently approved for MVD; treatment remains limited to supportive care, which must be administered early to significantly improve survival rates [24].</w:t>
      </w:r>
    </w:p>
    <w:p w14:paraId="2C35BE3E"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The traditional paradigm of vaccine development, relying on culturing live or attenuated virus forms, presents significant challenges, particularly for highly infectious, priority pathogens like MARV [6]. This approach is inherently time-intensive and capital-intensive, necessitating high-level biosafety containment (BSL-3/4) to safeguard researchers [6]. Furthermore, conventional methods struggle to rapidly adapt to the high evolutionary rate of RNA viruses, where genomic mutations can compromise vaccine effectiveness, making the development of long-lasting and broad-spectrum candidates difficult in response to emerging outbreaks [15].</w:t>
      </w:r>
    </w:p>
    <w:p w14:paraId="24D02C8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To circumvent these limitations, Reverse Vaccinology (RV) has emerged as a powerful, computational alternative [19, 21]. This </w:t>
      </w:r>
      <w:r w:rsidRPr="007D781A">
        <w:rPr>
          <w:rFonts w:ascii="Times New Roman" w:eastAsia="Times New Roman" w:hAnsi="Times New Roman" w:cs="Times New Roman"/>
          <w:i/>
          <w:iCs/>
          <w:sz w:val="24"/>
          <w:szCs w:val="24"/>
        </w:rPr>
        <w:t>in silico</w:t>
      </w:r>
      <w:r w:rsidRPr="007D781A">
        <w:rPr>
          <w:rFonts w:ascii="Times New Roman" w:eastAsia="Times New Roman" w:hAnsi="Times New Roman" w:cs="Times New Roman"/>
          <w:sz w:val="24"/>
          <w:szCs w:val="24"/>
        </w:rPr>
        <w:t xml:space="preserve"> strategy utilizes the pathogen's complete genomic and proteomic sequence data to systematically identify the most promising antigens and their respective epitopes [22]. By focusing on specific, immunologically-relevant molecular targets—rather than manipulating the whole virus—RV drastically enhances the safety and speed of the discovery process [6, 24]. The RV approach leverages extensive biological databases and predictive software to efficiently screen for components that are most likely to elicit a robust, protective immune response, effectively bypassing the time-consuming and hazardous steps of virus culture and inactivation [23, 8]. This makes RV exceptionally well-suited for rapid response during sudden outbreaks involving fast-mutating or highly virulent pathogens like MARV [6, 24].</w:t>
      </w:r>
    </w:p>
    <w:p w14:paraId="61495FB4"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The identification and precise prediction of T-cell and B-cell epitopes is a cornerstone of modern subunit vaccine design [14, 16]. The adaptive arm of the human immune system relies on T-lymphocytes (T cells) and B-lymphocytes (B cells) to mount a pathogen-specific defense [1, 5]. T-cell epitopes are peptides presented by Major Histocompatibility Complex (MHC) molecules, activating Cytotoxic T-lymphocytes (CTLs) to destroy infected cells (MHC Class I) or T-helper lymphocytes (HTLs) to coordinate the overall immune response (MHC Class II) [1, 23]. B-cell epitopes, which are distinct structural features on the antigen surface, trigger B cells to produce neutralizing antibodies as part of the humoral immune response [14]. Sophisticated bioinformatics tools, including MHC Class I and II binding predictors and B-cell epitope prediction algorithms, allow researchers to computationally model the interaction between viral proteins and immune receptors [14, 16, 23]. This focused approach dramatically reduces the experimental search space, accelerating the transition from sequence data to viable vaccine candidates.</w:t>
      </w:r>
    </w:p>
    <w:p w14:paraId="552F8EF3" w14:textId="6C8A189E" w:rsidR="006D744D" w:rsidRPr="007D781A" w:rsidRDefault="006D74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Reverse vaccinology and </w:t>
      </w:r>
      <w:proofErr w:type="spellStart"/>
      <w:r w:rsidRPr="007D781A">
        <w:rPr>
          <w:rFonts w:ascii="Times New Roman" w:eastAsia="Times New Roman" w:hAnsi="Times New Roman" w:cs="Times New Roman"/>
          <w:sz w:val="24"/>
          <w:szCs w:val="24"/>
        </w:rPr>
        <w:t>immunoinformatics</w:t>
      </w:r>
      <w:proofErr w:type="spellEnd"/>
      <w:r w:rsidRPr="007D781A">
        <w:rPr>
          <w:rFonts w:ascii="Times New Roman" w:eastAsia="Times New Roman" w:hAnsi="Times New Roman" w:cs="Times New Roman"/>
          <w:sz w:val="24"/>
          <w:szCs w:val="24"/>
        </w:rPr>
        <w:t xml:space="preserve"> pipelines similar to the one employed here have already been applied to other high-consequence filoviruses, particularly </w:t>
      </w:r>
      <w:r w:rsidR="00DF071C" w:rsidRPr="007D781A">
        <w:rPr>
          <w:rFonts w:ascii="Times New Roman" w:eastAsia="Times New Roman" w:hAnsi="Times New Roman" w:cs="Times New Roman"/>
          <w:sz w:val="24"/>
          <w:szCs w:val="24"/>
        </w:rPr>
        <w:t xml:space="preserve">the </w:t>
      </w:r>
      <w:r w:rsidRPr="007D781A">
        <w:rPr>
          <w:rFonts w:ascii="Times New Roman" w:eastAsia="Times New Roman" w:hAnsi="Times New Roman" w:cs="Times New Roman"/>
          <w:sz w:val="24"/>
          <w:szCs w:val="24"/>
        </w:rPr>
        <w:t xml:space="preserve">Ebola virus. Multi-epitope subunit vaccine constructs designed using proteome-wide epitope prediction, safety filtering and structural modelling have shown promising in silico antigenicity, population coverage and receptor binding for Ebola virus and related agents. For example, Alizadeh et al. used a reverse vaccinology approach to design a multi-epitope Ebola vaccine targeting several structural proteins, </w:t>
      </w:r>
      <w:r w:rsidRPr="007D781A">
        <w:rPr>
          <w:rFonts w:ascii="Times New Roman" w:eastAsia="Times New Roman" w:hAnsi="Times New Roman" w:cs="Times New Roman"/>
          <w:sz w:val="24"/>
          <w:szCs w:val="24"/>
        </w:rPr>
        <w:lastRenderedPageBreak/>
        <w:t xml:space="preserve">while Kadam et al. and </w:t>
      </w:r>
      <w:proofErr w:type="spellStart"/>
      <w:r w:rsidRPr="007D781A">
        <w:rPr>
          <w:rFonts w:ascii="Times New Roman" w:eastAsia="Times New Roman" w:hAnsi="Times New Roman" w:cs="Times New Roman"/>
          <w:sz w:val="24"/>
          <w:szCs w:val="24"/>
        </w:rPr>
        <w:t>Widjaja</w:t>
      </w:r>
      <w:proofErr w:type="spellEnd"/>
      <w:r w:rsidRPr="007D781A">
        <w:rPr>
          <w:rFonts w:ascii="Times New Roman" w:eastAsia="Times New Roman" w:hAnsi="Times New Roman" w:cs="Times New Roman"/>
          <w:sz w:val="24"/>
          <w:szCs w:val="24"/>
        </w:rPr>
        <w:t xml:space="preserve"> et al. developed subunit or B-cell epitope vaccines focusing on conserved regions of the Ebola glycoprotein (Alizadeh et al., 2022; Kadam et al., 2020; </w:t>
      </w:r>
      <w:proofErr w:type="spellStart"/>
      <w:r w:rsidRPr="007D781A">
        <w:rPr>
          <w:rFonts w:ascii="Times New Roman" w:eastAsia="Times New Roman" w:hAnsi="Times New Roman" w:cs="Times New Roman"/>
          <w:sz w:val="24"/>
          <w:szCs w:val="24"/>
        </w:rPr>
        <w:t>Widjaja</w:t>
      </w:r>
      <w:proofErr w:type="spellEnd"/>
      <w:r w:rsidRPr="007D781A">
        <w:rPr>
          <w:rFonts w:ascii="Times New Roman" w:eastAsia="Times New Roman" w:hAnsi="Times New Roman" w:cs="Times New Roman"/>
          <w:sz w:val="24"/>
          <w:szCs w:val="24"/>
        </w:rPr>
        <w:t xml:space="preserve"> et al., 2023). More recently, Mahmoodi et al. reported a multi-epitope construct targeting both Ebola and monkeypox viruses using a comparable </w:t>
      </w:r>
      <w:proofErr w:type="spellStart"/>
      <w:r w:rsidRPr="007D781A">
        <w:rPr>
          <w:rFonts w:ascii="Times New Roman" w:eastAsia="Times New Roman" w:hAnsi="Times New Roman" w:cs="Times New Roman"/>
          <w:sz w:val="24"/>
          <w:szCs w:val="24"/>
        </w:rPr>
        <w:t>vaccinomic</w:t>
      </w:r>
      <w:proofErr w:type="spellEnd"/>
      <w:r w:rsidRPr="007D781A">
        <w:rPr>
          <w:rFonts w:ascii="Times New Roman" w:eastAsia="Times New Roman" w:hAnsi="Times New Roman" w:cs="Times New Roman"/>
          <w:sz w:val="24"/>
          <w:szCs w:val="24"/>
        </w:rPr>
        <w:t xml:space="preserve"> workflow. These studies collectively support the feasibility of filovirus-focused </w:t>
      </w:r>
      <w:proofErr w:type="spellStart"/>
      <w:r w:rsidRPr="007D781A">
        <w:rPr>
          <w:rFonts w:ascii="Times New Roman" w:eastAsia="Times New Roman" w:hAnsi="Times New Roman" w:cs="Times New Roman"/>
          <w:sz w:val="24"/>
          <w:szCs w:val="24"/>
        </w:rPr>
        <w:t>immunoinformatics</w:t>
      </w:r>
      <w:proofErr w:type="spellEnd"/>
      <w:r w:rsidRPr="007D781A">
        <w:rPr>
          <w:rFonts w:ascii="Times New Roman" w:eastAsia="Times New Roman" w:hAnsi="Times New Roman" w:cs="Times New Roman"/>
          <w:sz w:val="24"/>
          <w:szCs w:val="24"/>
        </w:rPr>
        <w:t xml:space="preserve"> pipelines and provide a relevant comparative framework for our Marburg virus vaccine design (Mahmoodi et al., 2024).</w:t>
      </w:r>
    </w:p>
    <w:p w14:paraId="56E977B9"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The Marburg virus has gained renewed global attention following recent outbreaks in Ghana (2022) and Equatorial Guinea (2023), further confirming the urgent necessity for effective preventive strategies [6, 24]. Despite its high fatality rates and its designation as a priority pathogen by the World Health Organization (WHO) [24], MARV research and vaccine development efforts severely lag behind those for comparable filoviruses, such as Ebola, or high-profile diseases like COVID-19 [6, 15]. This critical lack of an approved, readily available vaccine leaves vulnerable populations, particularly those in low-resource settings, highly susceptible to MVD [24]. This study addresses this significant public health gap by employing a robust Reverse Vaccinology pipeline to systematically identify and predict novel multi-epitope vaccine candidates for the Marburg virus [22]. By integrating high-throughput genomic data analysis with rigorous </w:t>
      </w:r>
      <w:proofErr w:type="spellStart"/>
      <w:r w:rsidRPr="007D781A">
        <w:rPr>
          <w:rFonts w:ascii="Times New Roman" w:eastAsia="Times New Roman" w:hAnsi="Times New Roman" w:cs="Times New Roman"/>
          <w:sz w:val="24"/>
          <w:szCs w:val="24"/>
        </w:rPr>
        <w:t>immunoinformatics</w:t>
      </w:r>
      <w:proofErr w:type="spellEnd"/>
      <w:r w:rsidRPr="007D781A">
        <w:rPr>
          <w:rFonts w:ascii="Times New Roman" w:eastAsia="Times New Roman" w:hAnsi="Times New Roman" w:cs="Times New Roman"/>
          <w:sz w:val="24"/>
          <w:szCs w:val="24"/>
        </w:rPr>
        <w:t xml:space="preserve"> screening tools, our approach offers a faster, more adaptable, and safer strategy for vaccine target discovery. This </w:t>
      </w:r>
      <w:r w:rsidRPr="007D781A">
        <w:rPr>
          <w:rFonts w:ascii="Times New Roman" w:eastAsia="Times New Roman" w:hAnsi="Times New Roman" w:cs="Times New Roman"/>
          <w:i/>
          <w:iCs/>
          <w:sz w:val="24"/>
          <w:szCs w:val="24"/>
        </w:rPr>
        <w:t>in silico</w:t>
      </w:r>
      <w:r w:rsidRPr="007D781A">
        <w:rPr>
          <w:rFonts w:ascii="Times New Roman" w:eastAsia="Times New Roman" w:hAnsi="Times New Roman" w:cs="Times New Roman"/>
          <w:sz w:val="24"/>
          <w:szCs w:val="24"/>
        </w:rPr>
        <w:t xml:space="preserve"> methodology holds the potential to significantly improve outbreak preparedness and response, particularly benefiting regions where traditional, resource-intensive vaccine manufacturing is impractical.</w:t>
      </w:r>
    </w:p>
    <w:p w14:paraId="55A2CD4C" w14:textId="77777777" w:rsidR="003A3F0C" w:rsidRPr="007D781A" w:rsidRDefault="001C164D" w:rsidP="00A03A73">
      <w:pPr>
        <w:pStyle w:val="Heading1"/>
        <w:keepNext w:val="0"/>
        <w:keepLines w:val="0"/>
        <w:numPr>
          <w:ilvl w:val="0"/>
          <w:numId w:val="4"/>
        </w:numPr>
        <w:spacing w:before="480"/>
        <w:jc w:val="both"/>
        <w:rPr>
          <w:rFonts w:ascii="Times New Roman" w:eastAsia="Times New Roman" w:hAnsi="Times New Roman" w:cs="Times New Roman"/>
          <w:i/>
          <w:iCs/>
          <w:sz w:val="24"/>
          <w:szCs w:val="24"/>
        </w:rPr>
      </w:pPr>
      <w:bookmarkStart w:id="0" w:name="_qhv654a44n16" w:colFirst="0" w:colLast="0"/>
      <w:bookmarkEnd w:id="0"/>
      <w:r w:rsidRPr="007D781A">
        <w:rPr>
          <w:rFonts w:ascii="Times New Roman" w:eastAsia="Times New Roman" w:hAnsi="Times New Roman" w:cs="Times New Roman"/>
          <w:b/>
          <w:bCs/>
          <w:sz w:val="24"/>
          <w:szCs w:val="24"/>
        </w:rPr>
        <w:t>Materials and Methods</w:t>
      </w:r>
    </w:p>
    <w:p w14:paraId="61AAB55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This study on MVD employed an in-silico reverse vaccinology workflow to systematically identify and evaluate candidate epitopes from the Marburg virus proteome for multi-epitope vaccine (MEV) design [19,21,22]. Each analytic stage was selected to ensure rigor, reproducibility, and biosafety by eliminating the need for handling live viral pathogens.</w:t>
      </w:r>
    </w:p>
    <w:p w14:paraId="6CFB0D63" w14:textId="0FD33E02" w:rsidR="003A3F0C" w:rsidRPr="007D781A" w:rsidRDefault="001C164D" w:rsidP="00A03A73">
      <w:pPr>
        <w:pStyle w:val="Heading2"/>
        <w:keepNext w:val="0"/>
        <w:keepLines w:val="0"/>
        <w:spacing w:after="80"/>
        <w:jc w:val="both"/>
        <w:rPr>
          <w:rFonts w:ascii="Times New Roman" w:eastAsia="Times New Roman" w:hAnsi="Times New Roman" w:cs="Times New Roman"/>
          <w:b/>
          <w:bCs/>
          <w:sz w:val="24"/>
          <w:szCs w:val="24"/>
        </w:rPr>
      </w:pPr>
      <w:bookmarkStart w:id="1" w:name="_7lv2mabj1q2q" w:colFirst="0" w:colLast="0"/>
      <w:bookmarkEnd w:id="1"/>
      <w:r w:rsidRPr="007D781A">
        <w:rPr>
          <w:rFonts w:ascii="Times New Roman" w:eastAsia="Times New Roman" w:hAnsi="Times New Roman" w:cs="Times New Roman"/>
          <w:b/>
          <w:bCs/>
          <w:sz w:val="24"/>
          <w:szCs w:val="24"/>
        </w:rPr>
        <w:t>Retrieval of protein sequences and initial characterization</w:t>
      </w:r>
    </w:p>
    <w:p w14:paraId="3CFB0653" w14:textId="77777777" w:rsidR="00A03A73" w:rsidRPr="007D781A" w:rsidRDefault="001C164D" w:rsidP="00A03A73">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Complete amino acid sequences of Marburg virus protein</w:t>
      </w:r>
      <w:bookmarkStart w:id="2" w:name="_GoBack"/>
      <w:bookmarkEnd w:id="2"/>
      <w:r w:rsidRPr="007D781A">
        <w:rPr>
          <w:rFonts w:ascii="Times New Roman" w:eastAsia="Times New Roman" w:hAnsi="Times New Roman" w:cs="Times New Roman"/>
          <w:sz w:val="24"/>
          <w:szCs w:val="24"/>
        </w:rPr>
        <w:t xml:space="preserve">s involved in viral entry, replication, assembly, and immune evasion were retrieved from the NCBI Protein Database [7,22]. These proteins were prioritized based on their biological relevance and known immunogenic potential. Physicochemical properties—including molecular weight, theoretical </w:t>
      </w:r>
      <w:proofErr w:type="spellStart"/>
      <w:r w:rsidRPr="007D781A">
        <w:rPr>
          <w:rFonts w:ascii="Times New Roman" w:eastAsia="Times New Roman" w:hAnsi="Times New Roman" w:cs="Times New Roman"/>
          <w:sz w:val="24"/>
          <w:szCs w:val="24"/>
        </w:rPr>
        <w:t>pI</w:t>
      </w:r>
      <w:proofErr w:type="spellEnd"/>
      <w:r w:rsidRPr="007D781A">
        <w:rPr>
          <w:rFonts w:ascii="Times New Roman" w:eastAsia="Times New Roman" w:hAnsi="Times New Roman" w:cs="Times New Roman"/>
          <w:sz w:val="24"/>
          <w:szCs w:val="24"/>
        </w:rPr>
        <w:t xml:space="preserve">, instability index, extinction coefficient, aliphatic index, and GRAVY—were computed using </w:t>
      </w:r>
      <w:proofErr w:type="spellStart"/>
      <w:r w:rsidRPr="007D781A">
        <w:rPr>
          <w:rFonts w:ascii="Times New Roman" w:eastAsia="Times New Roman" w:hAnsi="Times New Roman" w:cs="Times New Roman"/>
          <w:sz w:val="24"/>
          <w:szCs w:val="24"/>
        </w:rPr>
        <w:t>ProtParam</w:t>
      </w:r>
      <w:proofErr w:type="spellEnd"/>
      <w:r w:rsidRPr="007D781A">
        <w:rPr>
          <w:rFonts w:ascii="Times New Roman" w:eastAsia="Times New Roman" w:hAnsi="Times New Roman" w:cs="Times New Roman"/>
          <w:sz w:val="24"/>
          <w:szCs w:val="24"/>
        </w:rPr>
        <w:t xml:space="preserve"> [10], providing preliminary insights into structural stability, solubility, and overall biochemical behavior.</w:t>
      </w:r>
      <w:bookmarkStart w:id="3" w:name="_ifeuxvpi2hhp" w:colFirst="0" w:colLast="0"/>
      <w:bookmarkEnd w:id="3"/>
    </w:p>
    <w:p w14:paraId="305CF0F5" w14:textId="7D70EE67" w:rsidR="003A3F0C" w:rsidRPr="007D781A" w:rsidRDefault="001C164D" w:rsidP="00A03A73">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Structural analysis</w:t>
      </w:r>
    </w:p>
    <w:p w14:paraId="7894A8DD"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lastRenderedPageBreak/>
        <w:t>Secondary structural elements of all viral proteins were predicted using SOPMA [11], enabling evaluation of α-helices, β-strands, coils, and turns. These features are critical for identifying surface-exposed and flexible regions that may correspond to immunologically relevant epitope sites. This structural profiling informed subsequent epitope selection by identifying domains likely accessible to the host immune system.</w:t>
      </w:r>
    </w:p>
    <w:p w14:paraId="7A1F1986" w14:textId="77777777" w:rsidR="003A3F0C" w:rsidRPr="007D781A" w:rsidRDefault="001C164D">
      <w:pPr>
        <w:pStyle w:val="Heading2"/>
        <w:keepNext w:val="0"/>
        <w:keepLines w:val="0"/>
        <w:spacing w:after="80"/>
        <w:jc w:val="both"/>
        <w:rPr>
          <w:rFonts w:ascii="Times New Roman" w:eastAsia="Times New Roman" w:hAnsi="Times New Roman" w:cs="Times New Roman"/>
          <w:b/>
          <w:bCs/>
          <w:sz w:val="24"/>
          <w:szCs w:val="24"/>
        </w:rPr>
      </w:pPr>
      <w:bookmarkStart w:id="4" w:name="_qzi8fnknka6m" w:colFirst="0" w:colLast="0"/>
      <w:bookmarkEnd w:id="4"/>
      <w:r w:rsidRPr="007D781A">
        <w:rPr>
          <w:rFonts w:ascii="Times New Roman" w:eastAsia="Times New Roman" w:hAnsi="Times New Roman" w:cs="Times New Roman"/>
          <w:b/>
          <w:bCs/>
          <w:sz w:val="24"/>
          <w:szCs w:val="24"/>
        </w:rPr>
        <w:t>Epitope prediction</w:t>
      </w:r>
    </w:p>
    <w:p w14:paraId="2555E2B0" w14:textId="77777777" w:rsidR="007B703E" w:rsidRPr="007D781A" w:rsidRDefault="007B703E">
      <w:pPr>
        <w:pStyle w:val="Heading2"/>
        <w:keepNext w:val="0"/>
        <w:keepLines w:val="0"/>
        <w:spacing w:after="8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A multi-layered </w:t>
      </w:r>
      <w:proofErr w:type="spellStart"/>
      <w:r w:rsidRPr="007D781A">
        <w:rPr>
          <w:rFonts w:ascii="Times New Roman" w:eastAsia="Times New Roman" w:hAnsi="Times New Roman" w:cs="Times New Roman"/>
          <w:sz w:val="24"/>
          <w:szCs w:val="24"/>
        </w:rPr>
        <w:t>immunoinformatics</w:t>
      </w:r>
      <w:proofErr w:type="spellEnd"/>
      <w:r w:rsidRPr="007D781A">
        <w:rPr>
          <w:rFonts w:ascii="Times New Roman" w:eastAsia="Times New Roman" w:hAnsi="Times New Roman" w:cs="Times New Roman"/>
          <w:sz w:val="24"/>
          <w:szCs w:val="24"/>
        </w:rPr>
        <w:t xml:space="preserve"> strategy was employed to predict epitopes capable of eliciting adaptive immune responses. B-cell epitopes were identified using the IEDB </w:t>
      </w:r>
      <w:proofErr w:type="spellStart"/>
      <w:r w:rsidRPr="007D781A">
        <w:rPr>
          <w:rFonts w:ascii="Times New Roman" w:eastAsia="Times New Roman" w:hAnsi="Times New Roman" w:cs="Times New Roman"/>
          <w:sz w:val="24"/>
          <w:szCs w:val="24"/>
        </w:rPr>
        <w:t>BepiPred</w:t>
      </w:r>
      <w:proofErr w:type="spellEnd"/>
      <w:r w:rsidRPr="007D781A">
        <w:rPr>
          <w:rFonts w:ascii="Times New Roman" w:eastAsia="Times New Roman" w:hAnsi="Times New Roman" w:cs="Times New Roman"/>
          <w:sz w:val="24"/>
          <w:szCs w:val="24"/>
        </w:rPr>
        <w:t xml:space="preserve"> Linear Epitope Prediction tool [23], enabling the detection of surface-accessible, antibody-recognizable linear segments. Cytotoxic T lymphocyte (CTL) epitopes were predicted using IEDB MHC-I binding prediction tools, with emphasis on peptides showing high affinity for common human MHC class I alleles associated with cellular immunity. Helper T lymphocyte (HTL) epitopes were identified using IEDB MHC-II binding prediction algorithms, targeting peptide sequences likely to be presented by MHC class II molecules and capable of stimulating T-helper cell–mediated immune responses. Only peptides demonstrating strong predicted binding across multiple alleles were selected for downstream evaluation.</w:t>
      </w:r>
    </w:p>
    <w:p w14:paraId="6D7BDCE9" w14:textId="22A4BF91" w:rsidR="003A3F0C" w:rsidRPr="007D781A" w:rsidRDefault="001C164D">
      <w:pPr>
        <w:pStyle w:val="Heading2"/>
        <w:keepNext w:val="0"/>
        <w:keepLines w:val="0"/>
        <w:spacing w:after="80"/>
        <w:jc w:val="both"/>
        <w:rPr>
          <w:rFonts w:ascii="Times New Roman" w:eastAsia="Times New Roman" w:hAnsi="Times New Roman" w:cs="Times New Roman"/>
          <w:b/>
          <w:bCs/>
          <w:sz w:val="24"/>
          <w:szCs w:val="24"/>
        </w:rPr>
      </w:pPr>
      <w:r w:rsidRPr="007D781A">
        <w:rPr>
          <w:rFonts w:ascii="Times New Roman" w:eastAsia="Times New Roman" w:hAnsi="Times New Roman" w:cs="Times New Roman"/>
          <w:b/>
          <w:bCs/>
          <w:sz w:val="24"/>
          <w:szCs w:val="24"/>
        </w:rPr>
        <w:t>Safety and immunogenicity screening</w:t>
      </w:r>
    </w:p>
    <w:p w14:paraId="43D6D02E"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All shortlisted epitopes were evaluated for safety and immune activation potential. Antigenicity was quantified using </w:t>
      </w:r>
      <w:proofErr w:type="spellStart"/>
      <w:r w:rsidRPr="007D781A">
        <w:rPr>
          <w:rFonts w:ascii="Times New Roman" w:eastAsia="Times New Roman" w:hAnsi="Times New Roman" w:cs="Times New Roman"/>
          <w:sz w:val="24"/>
          <w:szCs w:val="24"/>
        </w:rPr>
        <w:t>VaxiJen</w:t>
      </w:r>
      <w:proofErr w:type="spellEnd"/>
      <w:r w:rsidRPr="007D781A">
        <w:rPr>
          <w:rFonts w:ascii="Times New Roman" w:eastAsia="Times New Roman" w:hAnsi="Times New Roman" w:cs="Times New Roman"/>
          <w:sz w:val="24"/>
          <w:szCs w:val="24"/>
        </w:rPr>
        <w:t xml:space="preserve"> [22], which assigns scores between 0 and 1 based on alignment-free physicochemical modeling. Allergenicity and toxicity were assessed using </w:t>
      </w:r>
      <w:proofErr w:type="spellStart"/>
      <w:r w:rsidRPr="007D781A">
        <w:rPr>
          <w:rFonts w:ascii="Times New Roman" w:eastAsia="Times New Roman" w:hAnsi="Times New Roman" w:cs="Times New Roman"/>
          <w:sz w:val="24"/>
          <w:szCs w:val="24"/>
        </w:rPr>
        <w:t>AllerTOP</w:t>
      </w:r>
      <w:proofErr w:type="spellEnd"/>
      <w:r w:rsidRPr="007D781A">
        <w:rPr>
          <w:rFonts w:ascii="Times New Roman" w:eastAsia="Times New Roman" w:hAnsi="Times New Roman" w:cs="Times New Roman"/>
          <w:sz w:val="24"/>
          <w:szCs w:val="24"/>
        </w:rPr>
        <w:t xml:space="preserve"> [22] and toxicity classifiers to remove any peptides with predicted cross-reactivity or adverse immune potential. Only epitopes that were strongly antigenic, non-allergenic, and non-toxic were retained.</w:t>
      </w:r>
    </w:p>
    <w:p w14:paraId="22FD402A" w14:textId="77777777" w:rsidR="003A3F0C" w:rsidRPr="007D781A" w:rsidRDefault="001C164D">
      <w:pPr>
        <w:pStyle w:val="Heading2"/>
        <w:keepNext w:val="0"/>
        <w:keepLines w:val="0"/>
        <w:spacing w:after="80"/>
        <w:jc w:val="both"/>
        <w:rPr>
          <w:rFonts w:ascii="Times New Roman" w:eastAsia="Times New Roman" w:hAnsi="Times New Roman" w:cs="Times New Roman"/>
          <w:b/>
          <w:bCs/>
          <w:sz w:val="24"/>
          <w:szCs w:val="24"/>
        </w:rPr>
      </w:pPr>
      <w:bookmarkStart w:id="5" w:name="_pqyoq6d32u4r" w:colFirst="0" w:colLast="0"/>
      <w:bookmarkEnd w:id="5"/>
      <w:r w:rsidRPr="007D781A">
        <w:rPr>
          <w:rFonts w:ascii="Times New Roman" w:eastAsia="Times New Roman" w:hAnsi="Times New Roman" w:cs="Times New Roman"/>
          <w:b/>
          <w:bCs/>
          <w:sz w:val="24"/>
          <w:szCs w:val="24"/>
        </w:rPr>
        <w:t>Three-dimensional peptide modeling and molecular docking studies</w:t>
      </w:r>
    </w:p>
    <w:p w14:paraId="689361B9" w14:textId="77777777" w:rsidR="003A3F0C" w:rsidRPr="007D781A" w:rsidRDefault="001C164D">
      <w:pPr>
        <w:pStyle w:val="Heading3"/>
        <w:keepNext w:val="0"/>
        <w:keepLines w:val="0"/>
        <w:spacing w:before="280"/>
        <w:jc w:val="both"/>
        <w:rPr>
          <w:rFonts w:ascii="Times New Roman" w:eastAsia="Times New Roman" w:hAnsi="Times New Roman" w:cs="Times New Roman"/>
          <w:b/>
          <w:bCs/>
          <w:color w:val="auto"/>
          <w:sz w:val="24"/>
          <w:szCs w:val="24"/>
        </w:rPr>
      </w:pPr>
      <w:bookmarkStart w:id="6" w:name="_aa6rn3ewsm52" w:colFirst="0" w:colLast="0"/>
      <w:bookmarkEnd w:id="6"/>
      <w:r w:rsidRPr="007D781A">
        <w:rPr>
          <w:rFonts w:ascii="Times New Roman" w:eastAsia="Times New Roman" w:hAnsi="Times New Roman" w:cs="Times New Roman"/>
          <w:b/>
          <w:bCs/>
          <w:color w:val="auto"/>
          <w:sz w:val="24"/>
          <w:szCs w:val="24"/>
        </w:rPr>
        <w:t>Peptide structure generation</w:t>
      </w:r>
    </w:p>
    <w:p w14:paraId="7918E79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Shortlisted epitope peptides were modeled into three-dimensional conformations using Discovery Studio Visualizer, employing extended conformations followed by geometry refinement. This ensured standardized structural representations suitable for receptor docking.</w:t>
      </w:r>
    </w:p>
    <w:p w14:paraId="4B78C56C" w14:textId="77777777" w:rsidR="003A3F0C" w:rsidRPr="007D781A" w:rsidRDefault="001C164D">
      <w:pPr>
        <w:pStyle w:val="Heading3"/>
        <w:keepNext w:val="0"/>
        <w:keepLines w:val="0"/>
        <w:spacing w:before="280"/>
        <w:jc w:val="both"/>
        <w:rPr>
          <w:rFonts w:ascii="Times New Roman" w:eastAsia="Times New Roman" w:hAnsi="Times New Roman" w:cs="Times New Roman"/>
          <w:b/>
          <w:bCs/>
          <w:color w:val="auto"/>
          <w:sz w:val="24"/>
          <w:szCs w:val="24"/>
        </w:rPr>
      </w:pPr>
      <w:bookmarkStart w:id="7" w:name="_gt9twawgb8ur" w:colFirst="0" w:colLast="0"/>
      <w:bookmarkEnd w:id="7"/>
      <w:r w:rsidRPr="007D781A">
        <w:rPr>
          <w:rFonts w:ascii="Times New Roman" w:eastAsia="Times New Roman" w:hAnsi="Times New Roman" w:cs="Times New Roman"/>
          <w:b/>
          <w:bCs/>
          <w:color w:val="auto"/>
          <w:sz w:val="24"/>
          <w:szCs w:val="24"/>
        </w:rPr>
        <w:t>Energy minimization</w:t>
      </w:r>
    </w:p>
    <w:p w14:paraId="733AA3F6"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All modeled peptide structures underwent energy minimization using UCSF Chimera, applying the steepest descent and conjugate gradient steps under the AMBER ff14SB force field. This reduced steric clashes and optimized local conformational geometry prior to docking.</w:t>
      </w:r>
    </w:p>
    <w:p w14:paraId="2BB10B81" w14:textId="77777777" w:rsidR="003A3F0C" w:rsidRPr="007D781A" w:rsidRDefault="001C164D">
      <w:pPr>
        <w:pStyle w:val="Heading3"/>
        <w:keepNext w:val="0"/>
        <w:keepLines w:val="0"/>
        <w:spacing w:before="280"/>
        <w:jc w:val="both"/>
        <w:rPr>
          <w:rFonts w:ascii="Times New Roman" w:eastAsia="Times New Roman" w:hAnsi="Times New Roman" w:cs="Times New Roman"/>
          <w:b/>
          <w:bCs/>
          <w:color w:val="auto"/>
          <w:sz w:val="24"/>
          <w:szCs w:val="24"/>
        </w:rPr>
      </w:pPr>
      <w:bookmarkStart w:id="8" w:name="_o6la7wvpmdor" w:colFirst="0" w:colLast="0"/>
      <w:bookmarkEnd w:id="8"/>
      <w:r w:rsidRPr="007D781A">
        <w:rPr>
          <w:rFonts w:ascii="Times New Roman" w:eastAsia="Times New Roman" w:hAnsi="Times New Roman" w:cs="Times New Roman"/>
          <w:b/>
          <w:bCs/>
          <w:color w:val="auto"/>
          <w:sz w:val="24"/>
          <w:szCs w:val="24"/>
        </w:rPr>
        <w:lastRenderedPageBreak/>
        <w:t>Molecular docking with immune receptors</w:t>
      </w:r>
    </w:p>
    <w:p w14:paraId="4213268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Molecular docking was performed to evaluate the ability of epitopes to interact with selected HLA molecules and representative neutralizing antibody structures. Prepared peptide structures were docked using </w:t>
      </w:r>
      <w:proofErr w:type="spellStart"/>
      <w:r w:rsidRPr="007D781A">
        <w:rPr>
          <w:rFonts w:ascii="Times New Roman" w:eastAsia="Times New Roman" w:hAnsi="Times New Roman" w:cs="Times New Roman"/>
          <w:sz w:val="24"/>
          <w:szCs w:val="24"/>
        </w:rPr>
        <w:t>PyRx</w:t>
      </w:r>
      <w:proofErr w:type="spellEnd"/>
      <w:r w:rsidRPr="007D781A">
        <w:rPr>
          <w:rFonts w:ascii="Times New Roman" w:eastAsia="Times New Roman" w:hAnsi="Times New Roman" w:cs="Times New Roman"/>
          <w:sz w:val="24"/>
          <w:szCs w:val="24"/>
        </w:rPr>
        <w:t xml:space="preserve"> (</w:t>
      </w:r>
      <w:proofErr w:type="spellStart"/>
      <w:r w:rsidRPr="007D781A">
        <w:rPr>
          <w:rFonts w:ascii="Times New Roman" w:eastAsia="Times New Roman" w:hAnsi="Times New Roman" w:cs="Times New Roman"/>
          <w:sz w:val="24"/>
          <w:szCs w:val="24"/>
        </w:rPr>
        <w:t>AutoDock</w:t>
      </w:r>
      <w:proofErr w:type="spellEnd"/>
      <w:r w:rsidRPr="007D781A">
        <w:rPr>
          <w:rFonts w:ascii="Times New Roman" w:eastAsia="Times New Roman" w:hAnsi="Times New Roman" w:cs="Times New Roman"/>
          <w:sz w:val="24"/>
          <w:szCs w:val="24"/>
        </w:rPr>
        <w:t xml:space="preserve"> Vina engine), enabling prediction of peptide–receptor binding modes and binding energies. For comparison and additional validation, peptide docking to MHC alleles was also evaluated through </w:t>
      </w:r>
      <w:proofErr w:type="spellStart"/>
      <w:r w:rsidRPr="007D781A">
        <w:rPr>
          <w:rFonts w:ascii="Times New Roman" w:eastAsia="Times New Roman" w:hAnsi="Times New Roman" w:cs="Times New Roman"/>
          <w:sz w:val="24"/>
          <w:szCs w:val="24"/>
        </w:rPr>
        <w:t>SwissDock</w:t>
      </w:r>
      <w:proofErr w:type="spellEnd"/>
      <w:r w:rsidRPr="007D781A">
        <w:rPr>
          <w:rFonts w:ascii="Times New Roman" w:eastAsia="Times New Roman" w:hAnsi="Times New Roman" w:cs="Times New Roman"/>
          <w:sz w:val="24"/>
          <w:szCs w:val="24"/>
        </w:rPr>
        <w:t xml:space="preserve"> where appropriate. Docking outputs were assessed based on binding affinity, orientation, intermolecular contacts, and pocket complementarity to determine immunological relevance.</w:t>
      </w:r>
    </w:p>
    <w:p w14:paraId="73B9307A" w14:textId="77777777" w:rsidR="003A3F0C" w:rsidRPr="007D781A" w:rsidRDefault="001C164D">
      <w:pPr>
        <w:pStyle w:val="Heading2"/>
        <w:keepNext w:val="0"/>
        <w:keepLines w:val="0"/>
        <w:spacing w:after="80"/>
        <w:jc w:val="both"/>
        <w:rPr>
          <w:rFonts w:ascii="Times New Roman" w:eastAsia="Times New Roman" w:hAnsi="Times New Roman" w:cs="Times New Roman"/>
          <w:b/>
          <w:bCs/>
          <w:sz w:val="24"/>
          <w:szCs w:val="24"/>
        </w:rPr>
      </w:pPr>
      <w:bookmarkStart w:id="9" w:name="_avff0m5604x3" w:colFirst="0" w:colLast="0"/>
      <w:bookmarkEnd w:id="9"/>
      <w:r w:rsidRPr="007D781A">
        <w:rPr>
          <w:rFonts w:ascii="Times New Roman" w:eastAsia="Times New Roman" w:hAnsi="Times New Roman" w:cs="Times New Roman"/>
          <w:b/>
          <w:bCs/>
          <w:sz w:val="24"/>
          <w:szCs w:val="24"/>
        </w:rPr>
        <w:t>Surface accessibility evaluation via glycoprotein docking</w:t>
      </w:r>
    </w:p>
    <w:p w14:paraId="22859DB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To confirm the physical accessibility of predicted B-cell epitopes, each peptide was docked to the experimentally resolved Marburg glycoprotein structure. Results were visually inspected for location, surface exposure, and structural feasibility, ensuring that predicted epitopes were positioned in accessible regions relevant to humoral immune recognition.</w:t>
      </w:r>
    </w:p>
    <w:p w14:paraId="7AFFACB9" w14:textId="77777777" w:rsidR="003A3F0C" w:rsidRPr="007D781A" w:rsidRDefault="001C164D">
      <w:pPr>
        <w:pStyle w:val="Heading3"/>
        <w:keepNext w:val="0"/>
        <w:keepLines w:val="0"/>
        <w:spacing w:before="280"/>
        <w:jc w:val="both"/>
        <w:rPr>
          <w:rFonts w:ascii="Times New Roman" w:eastAsia="Times New Roman" w:hAnsi="Times New Roman" w:cs="Times New Roman"/>
          <w:b/>
          <w:bCs/>
          <w:color w:val="auto"/>
          <w:sz w:val="24"/>
          <w:szCs w:val="24"/>
        </w:rPr>
      </w:pPr>
      <w:bookmarkStart w:id="10" w:name="_w93nndqfurum" w:colFirst="0" w:colLast="0"/>
      <w:bookmarkEnd w:id="10"/>
      <w:r w:rsidRPr="007D781A">
        <w:rPr>
          <w:rFonts w:ascii="Times New Roman" w:eastAsia="Times New Roman" w:hAnsi="Times New Roman" w:cs="Times New Roman"/>
          <w:b/>
          <w:bCs/>
          <w:color w:val="auto"/>
          <w:sz w:val="24"/>
          <w:szCs w:val="24"/>
        </w:rPr>
        <w:t>Design of the Multiepitope Vaccine Construct</w:t>
      </w:r>
    </w:p>
    <w:p w14:paraId="3EDD0033" w14:textId="6E1FC4B9"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A multiepitope vaccine construct was designed using the top-ranked B-cell, MHC I, and MHC II epitopes identified from the Marburg virus glycoprotein and nucleoprotein. An N-terminal hBD-3 adjuvant (45 aa) was incorporated to activate TLR1/2-mediated innate immunity, followed by a rigid EAAAK linker to ensure structural separation. The universal helper epitope PADRE (AKFVAAWTLKAAA) was added to enhance CD4⁺ T-cell activation and linked to the downstream sequence with a second EAAAK linker.</w:t>
      </w:r>
      <w:r w:rsidR="00BC4686" w:rsidRPr="007D781A">
        <w:rPr>
          <w:rFonts w:ascii="Times New Roman" w:eastAsia="Times New Roman" w:hAnsi="Times New Roman" w:cs="Times New Roman"/>
          <w:sz w:val="24"/>
          <w:szCs w:val="24"/>
        </w:rPr>
        <w:t xml:space="preserve"> </w:t>
      </w:r>
      <w:r w:rsidRPr="007D781A">
        <w:rPr>
          <w:rFonts w:ascii="Times New Roman" w:eastAsia="Times New Roman" w:hAnsi="Times New Roman" w:cs="Times New Roman"/>
          <w:sz w:val="24"/>
          <w:szCs w:val="24"/>
        </w:rPr>
        <w:t>The CTL region consisted of five validated MHC I epitopes—LLLDPPTNV, FLYDRIAST, HAQGIALHLW, DPVPNTKTI and LPHTSGNTAY—each joined by AAY linkers to promote proteasomal cleavage and TAP transport. The helper T-cell region contained four high-affinity and allele-promiscuous MHC II epitopes—SGKSLLLDPPTNVRD, ATRLNTTNPNSDDED, EERTFSLINRHAIDF, and TTMYRGKVFTEGNIA—connected using GPGPG linkers, which favor MHC II processing. The C-terminal B-cell module included five surface-exposed glycoprotein epitopes—ASNDQPQNVDSV, TGVPPKNVEYTEGEEAK, KYWTSSNGTQTNDTG, QGQNPHA, and LPHTSGNTAY—joined by KK linkers to enhance flexibility and solvent exposure.</w:t>
      </w:r>
      <w:r w:rsidR="00BC4686" w:rsidRPr="007D781A">
        <w:rPr>
          <w:rFonts w:ascii="Times New Roman" w:eastAsia="Times New Roman" w:hAnsi="Times New Roman" w:cs="Times New Roman"/>
          <w:sz w:val="24"/>
          <w:szCs w:val="24"/>
        </w:rPr>
        <w:t xml:space="preserve"> </w:t>
      </w:r>
      <w:r w:rsidRPr="007D781A">
        <w:rPr>
          <w:rFonts w:ascii="Times New Roman" w:eastAsia="Times New Roman" w:hAnsi="Times New Roman" w:cs="Times New Roman"/>
          <w:sz w:val="24"/>
          <w:szCs w:val="24"/>
        </w:rPr>
        <w:t xml:space="preserve">The final construct incorporated a C-terminal His-tag for downstream purification. Structure, antigenicity, and physicochemical properties were assessed using </w:t>
      </w:r>
      <w:proofErr w:type="spellStart"/>
      <w:r w:rsidRPr="007D781A">
        <w:rPr>
          <w:rFonts w:ascii="Times New Roman" w:eastAsia="Times New Roman" w:hAnsi="Times New Roman" w:cs="Times New Roman"/>
          <w:sz w:val="24"/>
          <w:szCs w:val="24"/>
        </w:rPr>
        <w:t>VaxiJen</w:t>
      </w:r>
      <w:proofErr w:type="spellEnd"/>
      <w:r w:rsidRPr="007D781A">
        <w:rPr>
          <w:rFonts w:ascii="Times New Roman" w:eastAsia="Times New Roman" w:hAnsi="Times New Roman" w:cs="Times New Roman"/>
          <w:sz w:val="24"/>
          <w:szCs w:val="24"/>
        </w:rPr>
        <w:t xml:space="preserve">, </w:t>
      </w:r>
      <w:proofErr w:type="spellStart"/>
      <w:r w:rsidRPr="007D781A">
        <w:rPr>
          <w:rFonts w:ascii="Times New Roman" w:eastAsia="Times New Roman" w:hAnsi="Times New Roman" w:cs="Times New Roman"/>
          <w:sz w:val="24"/>
          <w:szCs w:val="24"/>
        </w:rPr>
        <w:t>ProtParam</w:t>
      </w:r>
      <w:proofErr w:type="spellEnd"/>
      <w:r w:rsidRPr="007D781A">
        <w:rPr>
          <w:rFonts w:ascii="Times New Roman" w:eastAsia="Times New Roman" w:hAnsi="Times New Roman" w:cs="Times New Roman"/>
          <w:sz w:val="24"/>
          <w:szCs w:val="24"/>
        </w:rPr>
        <w:t>, SOPMA, and docking validation.</w:t>
      </w:r>
    </w:p>
    <w:p w14:paraId="3F5D77EC" w14:textId="77777777" w:rsidR="003A3F0C" w:rsidRPr="007D781A" w:rsidRDefault="001C164D">
      <w:pPr>
        <w:pStyle w:val="Heading1"/>
        <w:keepNext w:val="0"/>
        <w:keepLines w:val="0"/>
        <w:spacing w:before="480"/>
        <w:jc w:val="both"/>
        <w:rPr>
          <w:rFonts w:ascii="Times New Roman" w:eastAsia="Times New Roman" w:hAnsi="Times New Roman" w:cs="Times New Roman"/>
          <w:b/>
          <w:bCs/>
          <w:sz w:val="24"/>
          <w:szCs w:val="24"/>
        </w:rPr>
      </w:pPr>
      <w:bookmarkStart w:id="11" w:name="_m5dx6u27z8ja" w:colFirst="0" w:colLast="0"/>
      <w:bookmarkEnd w:id="11"/>
      <w:r w:rsidRPr="007D781A">
        <w:rPr>
          <w:rFonts w:ascii="Times New Roman" w:eastAsia="Times New Roman" w:hAnsi="Times New Roman" w:cs="Times New Roman"/>
          <w:b/>
          <w:bCs/>
          <w:sz w:val="24"/>
          <w:szCs w:val="24"/>
        </w:rPr>
        <w:t>Bioinformatic Validation of the Multiepitope Vaccine Construct</w:t>
      </w:r>
    </w:p>
    <w:p w14:paraId="7FCE78F0"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The designed vaccine construct underwent comprehensive </w:t>
      </w:r>
      <w:r w:rsidRPr="007D781A">
        <w:rPr>
          <w:rFonts w:ascii="Times New Roman" w:eastAsia="Times New Roman" w:hAnsi="Times New Roman" w:cs="Times New Roman"/>
          <w:i/>
          <w:iCs/>
          <w:sz w:val="24"/>
          <w:szCs w:val="24"/>
        </w:rPr>
        <w:t>in silico</w:t>
      </w:r>
      <w:r w:rsidRPr="007D781A">
        <w:rPr>
          <w:rFonts w:ascii="Times New Roman" w:eastAsia="Times New Roman" w:hAnsi="Times New Roman" w:cs="Times New Roman"/>
          <w:sz w:val="24"/>
          <w:szCs w:val="24"/>
        </w:rPr>
        <w:t xml:space="preserve"> validation to assess antigenicity, safety, structural quality, and predicted immune performance. Antigenicity analysis </w:t>
      </w:r>
      <w:r w:rsidRPr="007D781A">
        <w:rPr>
          <w:rFonts w:ascii="Times New Roman" w:eastAsia="Times New Roman" w:hAnsi="Times New Roman" w:cs="Times New Roman"/>
          <w:sz w:val="24"/>
          <w:szCs w:val="24"/>
        </w:rPr>
        <w:lastRenderedPageBreak/>
        <w:t xml:space="preserve">using </w:t>
      </w:r>
      <w:proofErr w:type="spellStart"/>
      <w:r w:rsidRPr="007D781A">
        <w:rPr>
          <w:rFonts w:ascii="Times New Roman" w:eastAsia="Times New Roman" w:hAnsi="Times New Roman" w:cs="Times New Roman"/>
          <w:sz w:val="24"/>
          <w:szCs w:val="24"/>
        </w:rPr>
        <w:t>VaxiJen</w:t>
      </w:r>
      <w:proofErr w:type="spellEnd"/>
      <w:r w:rsidRPr="007D781A">
        <w:rPr>
          <w:rFonts w:ascii="Times New Roman" w:eastAsia="Times New Roman" w:hAnsi="Times New Roman" w:cs="Times New Roman"/>
          <w:sz w:val="24"/>
          <w:szCs w:val="24"/>
        </w:rPr>
        <w:t xml:space="preserve"> and </w:t>
      </w:r>
      <w:proofErr w:type="spellStart"/>
      <w:r w:rsidRPr="007D781A">
        <w:rPr>
          <w:rFonts w:ascii="Times New Roman" w:eastAsia="Times New Roman" w:hAnsi="Times New Roman" w:cs="Times New Roman"/>
          <w:sz w:val="24"/>
          <w:szCs w:val="24"/>
        </w:rPr>
        <w:t>ANTIGENpro</w:t>
      </w:r>
      <w:proofErr w:type="spellEnd"/>
      <w:r w:rsidRPr="007D781A">
        <w:rPr>
          <w:rFonts w:ascii="Times New Roman" w:eastAsia="Times New Roman" w:hAnsi="Times New Roman" w:cs="Times New Roman"/>
          <w:sz w:val="24"/>
          <w:szCs w:val="24"/>
        </w:rPr>
        <w:t xml:space="preserve"> classified the construct as highly antigenic, while </w:t>
      </w:r>
      <w:proofErr w:type="spellStart"/>
      <w:r w:rsidRPr="007D781A">
        <w:rPr>
          <w:rFonts w:ascii="Times New Roman" w:eastAsia="Times New Roman" w:hAnsi="Times New Roman" w:cs="Times New Roman"/>
          <w:sz w:val="24"/>
          <w:szCs w:val="24"/>
        </w:rPr>
        <w:t>AllerTOP</w:t>
      </w:r>
      <w:proofErr w:type="spellEnd"/>
      <w:r w:rsidRPr="007D781A">
        <w:rPr>
          <w:rFonts w:ascii="Times New Roman" w:eastAsia="Times New Roman" w:hAnsi="Times New Roman" w:cs="Times New Roman"/>
          <w:sz w:val="24"/>
          <w:szCs w:val="24"/>
        </w:rPr>
        <w:t xml:space="preserve"> and </w:t>
      </w:r>
      <w:proofErr w:type="spellStart"/>
      <w:r w:rsidRPr="007D781A">
        <w:rPr>
          <w:rFonts w:ascii="Times New Roman" w:eastAsia="Times New Roman" w:hAnsi="Times New Roman" w:cs="Times New Roman"/>
          <w:sz w:val="24"/>
          <w:szCs w:val="24"/>
        </w:rPr>
        <w:t>AllergenFP</w:t>
      </w:r>
      <w:proofErr w:type="spellEnd"/>
      <w:r w:rsidRPr="007D781A">
        <w:rPr>
          <w:rFonts w:ascii="Times New Roman" w:eastAsia="Times New Roman" w:hAnsi="Times New Roman" w:cs="Times New Roman"/>
          <w:sz w:val="24"/>
          <w:szCs w:val="24"/>
        </w:rPr>
        <w:t xml:space="preserve"> predicted non-allergenic </w:t>
      </w:r>
      <w:proofErr w:type="spellStart"/>
      <w:r w:rsidRPr="007D781A">
        <w:rPr>
          <w:rFonts w:ascii="Times New Roman" w:eastAsia="Times New Roman" w:hAnsi="Times New Roman" w:cs="Times New Roman"/>
          <w:sz w:val="24"/>
          <w:szCs w:val="24"/>
        </w:rPr>
        <w:t>behaviour</w:t>
      </w:r>
      <w:proofErr w:type="spellEnd"/>
      <w:r w:rsidRPr="007D781A">
        <w:rPr>
          <w:rFonts w:ascii="Times New Roman" w:eastAsia="Times New Roman" w:hAnsi="Times New Roman" w:cs="Times New Roman"/>
          <w:sz w:val="24"/>
          <w:szCs w:val="24"/>
        </w:rPr>
        <w:t xml:space="preserve">. </w:t>
      </w:r>
      <w:proofErr w:type="spellStart"/>
      <w:r w:rsidRPr="007D781A">
        <w:rPr>
          <w:rFonts w:ascii="Times New Roman" w:eastAsia="Times New Roman" w:hAnsi="Times New Roman" w:cs="Times New Roman"/>
          <w:sz w:val="24"/>
          <w:szCs w:val="24"/>
        </w:rPr>
        <w:t>ToxinPred</w:t>
      </w:r>
      <w:proofErr w:type="spellEnd"/>
      <w:r w:rsidRPr="007D781A">
        <w:rPr>
          <w:rFonts w:ascii="Times New Roman" w:eastAsia="Times New Roman" w:hAnsi="Times New Roman" w:cs="Times New Roman"/>
          <w:sz w:val="24"/>
          <w:szCs w:val="24"/>
        </w:rPr>
        <w:t xml:space="preserve"> analysis confirmed that the sequence is non-toxic, and solubility assessment indicated a strong likelihood of soluble expression in </w:t>
      </w:r>
      <w:r w:rsidRPr="007D781A">
        <w:rPr>
          <w:rFonts w:ascii="Times New Roman" w:eastAsia="Times New Roman" w:hAnsi="Times New Roman" w:cs="Times New Roman"/>
          <w:i/>
          <w:iCs/>
          <w:sz w:val="24"/>
          <w:szCs w:val="24"/>
        </w:rPr>
        <w:t>E. coli</w:t>
      </w:r>
      <w:r w:rsidRPr="007D781A">
        <w:rPr>
          <w:rFonts w:ascii="Times New Roman" w:eastAsia="Times New Roman" w:hAnsi="Times New Roman" w:cs="Times New Roman"/>
          <w:sz w:val="24"/>
          <w:szCs w:val="24"/>
        </w:rPr>
        <w:t xml:space="preserve">, supported by a negative GRAVY score and </w:t>
      </w:r>
      <w:proofErr w:type="spellStart"/>
      <w:r w:rsidRPr="007D781A">
        <w:rPr>
          <w:rFonts w:ascii="Times New Roman" w:eastAsia="Times New Roman" w:hAnsi="Times New Roman" w:cs="Times New Roman"/>
          <w:sz w:val="24"/>
          <w:szCs w:val="24"/>
        </w:rPr>
        <w:t>favourable</w:t>
      </w:r>
      <w:proofErr w:type="spellEnd"/>
      <w:r w:rsidRPr="007D781A">
        <w:rPr>
          <w:rFonts w:ascii="Times New Roman" w:eastAsia="Times New Roman" w:hAnsi="Times New Roman" w:cs="Times New Roman"/>
          <w:sz w:val="24"/>
          <w:szCs w:val="24"/>
        </w:rPr>
        <w:t xml:space="preserve"> Protein-Sol metrics. Physicochemical evaluation using </w:t>
      </w:r>
      <w:proofErr w:type="spellStart"/>
      <w:r w:rsidRPr="007D781A">
        <w:rPr>
          <w:rFonts w:ascii="Times New Roman" w:eastAsia="Times New Roman" w:hAnsi="Times New Roman" w:cs="Times New Roman"/>
          <w:sz w:val="24"/>
          <w:szCs w:val="24"/>
        </w:rPr>
        <w:t>ProtParam</w:t>
      </w:r>
      <w:proofErr w:type="spellEnd"/>
      <w:r w:rsidRPr="007D781A">
        <w:rPr>
          <w:rFonts w:ascii="Times New Roman" w:eastAsia="Times New Roman" w:hAnsi="Times New Roman" w:cs="Times New Roman"/>
          <w:sz w:val="24"/>
          <w:szCs w:val="24"/>
        </w:rPr>
        <w:t xml:space="preserve"> showed a stable instability index, high aliphatic index, appropriate molecular weight, and a theoretical </w:t>
      </w:r>
      <w:proofErr w:type="spellStart"/>
      <w:r w:rsidRPr="007D781A">
        <w:rPr>
          <w:rFonts w:ascii="Times New Roman" w:eastAsia="Times New Roman" w:hAnsi="Times New Roman" w:cs="Times New Roman"/>
          <w:sz w:val="24"/>
          <w:szCs w:val="24"/>
        </w:rPr>
        <w:t>pI</w:t>
      </w:r>
      <w:proofErr w:type="spellEnd"/>
      <w:r w:rsidRPr="007D781A">
        <w:rPr>
          <w:rFonts w:ascii="Times New Roman" w:eastAsia="Times New Roman" w:hAnsi="Times New Roman" w:cs="Times New Roman"/>
          <w:sz w:val="24"/>
          <w:szCs w:val="24"/>
        </w:rPr>
        <w:t xml:space="preserve"> consistent with efficient expression. Secondary-structure predictions (SOPMA, PSIPRED) demonstrated a balanced distribution of α-helices and coil regions, with coil-rich areas corresponding to flexible, surface-exposed B-cell epitope regions.</w:t>
      </w:r>
    </w:p>
    <w:p w14:paraId="2F029815"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Tertiary-structure modelling was performed using SWISS-MODEL via a homology-based approach. The resulting 3D model displayed appropriate folding and domain </w:t>
      </w:r>
      <w:proofErr w:type="spellStart"/>
      <w:r w:rsidRPr="007D781A">
        <w:rPr>
          <w:rFonts w:ascii="Times New Roman" w:eastAsia="Times New Roman" w:hAnsi="Times New Roman" w:cs="Times New Roman"/>
          <w:sz w:val="24"/>
          <w:szCs w:val="24"/>
        </w:rPr>
        <w:t>organisation</w:t>
      </w:r>
      <w:proofErr w:type="spellEnd"/>
      <w:r w:rsidRPr="007D781A">
        <w:rPr>
          <w:rFonts w:ascii="Times New Roman" w:eastAsia="Times New Roman" w:hAnsi="Times New Roman" w:cs="Times New Roman"/>
          <w:sz w:val="24"/>
          <w:szCs w:val="24"/>
        </w:rPr>
        <w:t xml:space="preserve"> based on the closest structural templates. Validation of the SWISS-MODEL output using </w:t>
      </w:r>
      <w:proofErr w:type="spellStart"/>
      <w:r w:rsidRPr="007D781A">
        <w:rPr>
          <w:rFonts w:ascii="Times New Roman" w:eastAsia="Times New Roman" w:hAnsi="Times New Roman" w:cs="Times New Roman"/>
          <w:sz w:val="24"/>
          <w:szCs w:val="24"/>
        </w:rPr>
        <w:t>ProSA</w:t>
      </w:r>
      <w:proofErr w:type="spellEnd"/>
      <w:r w:rsidRPr="007D781A">
        <w:rPr>
          <w:rFonts w:ascii="Times New Roman" w:eastAsia="Times New Roman" w:hAnsi="Times New Roman" w:cs="Times New Roman"/>
          <w:sz w:val="24"/>
          <w:szCs w:val="24"/>
        </w:rPr>
        <w:t xml:space="preserve">-web, ERRAT, and Ramachandran plot analysis confirmed structural reliability, with acceptable Z-scores and more than 90% of residues falling within </w:t>
      </w:r>
      <w:proofErr w:type="spellStart"/>
      <w:r w:rsidRPr="007D781A">
        <w:rPr>
          <w:rFonts w:ascii="Times New Roman" w:eastAsia="Times New Roman" w:hAnsi="Times New Roman" w:cs="Times New Roman"/>
          <w:sz w:val="24"/>
          <w:szCs w:val="24"/>
        </w:rPr>
        <w:t>favoured</w:t>
      </w:r>
      <w:proofErr w:type="spellEnd"/>
      <w:r w:rsidRPr="007D781A">
        <w:rPr>
          <w:rFonts w:ascii="Times New Roman" w:eastAsia="Times New Roman" w:hAnsi="Times New Roman" w:cs="Times New Roman"/>
          <w:sz w:val="24"/>
          <w:szCs w:val="24"/>
        </w:rPr>
        <w:t xml:space="preserve"> regions.</w:t>
      </w:r>
    </w:p>
    <w:p w14:paraId="11913214"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To examine the predicted interaction </w:t>
      </w:r>
      <w:proofErr w:type="spellStart"/>
      <w:r w:rsidRPr="007D781A">
        <w:rPr>
          <w:rFonts w:ascii="Times New Roman" w:eastAsia="Times New Roman" w:hAnsi="Times New Roman" w:cs="Times New Roman"/>
          <w:sz w:val="24"/>
          <w:szCs w:val="24"/>
        </w:rPr>
        <w:t>behaviour</w:t>
      </w:r>
      <w:proofErr w:type="spellEnd"/>
      <w:r w:rsidRPr="007D781A">
        <w:rPr>
          <w:rFonts w:ascii="Times New Roman" w:eastAsia="Times New Roman" w:hAnsi="Times New Roman" w:cs="Times New Roman"/>
          <w:sz w:val="24"/>
          <w:szCs w:val="24"/>
        </w:rPr>
        <w:t xml:space="preserve"> of individual epitopes, molecular docking of CTL, HTL, and B-cell epitopes was conducted using </w:t>
      </w:r>
      <w:proofErr w:type="spellStart"/>
      <w:r w:rsidRPr="007D781A">
        <w:rPr>
          <w:rFonts w:ascii="Times New Roman" w:eastAsia="Times New Roman" w:hAnsi="Times New Roman" w:cs="Times New Roman"/>
          <w:sz w:val="24"/>
          <w:szCs w:val="24"/>
        </w:rPr>
        <w:t>PyRx</w:t>
      </w:r>
      <w:proofErr w:type="spellEnd"/>
      <w:r w:rsidRPr="007D781A">
        <w:rPr>
          <w:rFonts w:ascii="Times New Roman" w:eastAsia="Times New Roman" w:hAnsi="Times New Roman" w:cs="Times New Roman"/>
          <w:sz w:val="24"/>
          <w:szCs w:val="24"/>
        </w:rPr>
        <w:t>.</w:t>
      </w:r>
    </w:p>
    <w:p w14:paraId="0A3AD195" w14:textId="77777777" w:rsidR="003A3F0C" w:rsidRPr="007D781A" w:rsidRDefault="003A3F0C">
      <w:pPr>
        <w:spacing w:before="240" w:after="240"/>
        <w:jc w:val="both"/>
        <w:rPr>
          <w:rFonts w:ascii="Times New Roman" w:eastAsia="Times New Roman" w:hAnsi="Times New Roman" w:cs="Times New Roman"/>
          <w:sz w:val="24"/>
          <w:szCs w:val="24"/>
        </w:rPr>
      </w:pPr>
    </w:p>
    <w:p w14:paraId="0D86E9F8" w14:textId="77777777" w:rsidR="003A3F0C" w:rsidRPr="007D781A" w:rsidRDefault="003A3F0C">
      <w:pPr>
        <w:spacing w:before="240" w:after="240"/>
        <w:jc w:val="both"/>
        <w:rPr>
          <w:rFonts w:ascii="Times New Roman" w:eastAsia="Times New Roman" w:hAnsi="Times New Roman" w:cs="Times New Roman"/>
          <w:sz w:val="24"/>
          <w:szCs w:val="24"/>
        </w:rPr>
      </w:pPr>
    </w:p>
    <w:p w14:paraId="0BCA8259" w14:textId="0F5C8BFC" w:rsidR="003A3F0C" w:rsidRPr="007D781A" w:rsidRDefault="001C164D" w:rsidP="00C645E7">
      <w:pPr>
        <w:pStyle w:val="Heading1"/>
        <w:keepNext w:val="0"/>
        <w:keepLines w:val="0"/>
        <w:numPr>
          <w:ilvl w:val="0"/>
          <w:numId w:val="4"/>
        </w:numPr>
        <w:spacing w:before="480"/>
        <w:jc w:val="both"/>
        <w:rPr>
          <w:rFonts w:ascii="Times New Roman" w:eastAsia="Times New Roman" w:hAnsi="Times New Roman" w:cs="Times New Roman"/>
          <w:b/>
          <w:bCs/>
          <w:sz w:val="24"/>
          <w:szCs w:val="24"/>
        </w:rPr>
      </w:pPr>
      <w:bookmarkStart w:id="12" w:name="_ww1dlurolp3v" w:colFirst="0" w:colLast="0"/>
      <w:bookmarkEnd w:id="12"/>
      <w:r w:rsidRPr="007D781A">
        <w:rPr>
          <w:rFonts w:ascii="Times New Roman" w:eastAsia="Times New Roman" w:hAnsi="Times New Roman" w:cs="Times New Roman"/>
          <w:b/>
          <w:bCs/>
          <w:sz w:val="24"/>
          <w:szCs w:val="24"/>
        </w:rPr>
        <w:t>Results</w:t>
      </w:r>
    </w:p>
    <w:p w14:paraId="72F74D19" w14:textId="77777777" w:rsidR="003A3F0C" w:rsidRPr="007D781A" w:rsidRDefault="001C164D">
      <w:pPr>
        <w:pStyle w:val="Heading2"/>
        <w:keepNext w:val="0"/>
        <w:keepLines w:val="0"/>
        <w:spacing w:after="80"/>
        <w:jc w:val="both"/>
        <w:rPr>
          <w:rFonts w:ascii="Times New Roman" w:eastAsia="Times New Roman" w:hAnsi="Times New Roman" w:cs="Times New Roman"/>
          <w:b/>
          <w:bCs/>
          <w:sz w:val="24"/>
          <w:szCs w:val="24"/>
        </w:rPr>
      </w:pPr>
      <w:bookmarkStart w:id="13" w:name="_v9nle1fwhdmu" w:colFirst="0" w:colLast="0"/>
      <w:bookmarkEnd w:id="13"/>
      <w:r w:rsidRPr="007D781A">
        <w:rPr>
          <w:rFonts w:ascii="Times New Roman" w:eastAsia="Times New Roman" w:hAnsi="Times New Roman" w:cs="Times New Roman"/>
          <w:b/>
          <w:bCs/>
          <w:sz w:val="24"/>
          <w:szCs w:val="24"/>
        </w:rPr>
        <w:t>Global Structural and Antigenic Profiling of the Marburg Virus Proteome</w:t>
      </w:r>
    </w:p>
    <w:p w14:paraId="14559DD6" w14:textId="0E245D2E"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Comprehensive physicochemical and structural analysis of the Marburg virus proteome revealed clear distinctions among viral proteins that reflected their biological roles within the viral life cycle [7, 9, 12, </w:t>
      </w:r>
      <w:proofErr w:type="gramStart"/>
      <w:r w:rsidRPr="007D781A">
        <w:rPr>
          <w:rFonts w:ascii="Times New Roman" w:eastAsia="Times New Roman" w:hAnsi="Times New Roman" w:cs="Times New Roman"/>
          <w:sz w:val="24"/>
          <w:szCs w:val="24"/>
        </w:rPr>
        <w:t>13]</w:t>
      </w:r>
      <w:r w:rsidR="00FD08BF" w:rsidRPr="007D781A">
        <w:rPr>
          <w:rFonts w:ascii="Times New Roman" w:eastAsia="Times New Roman" w:hAnsi="Times New Roman" w:cs="Times New Roman"/>
          <w:sz w:val="24"/>
          <w:szCs w:val="24"/>
        </w:rPr>
        <w:t>(</w:t>
      </w:r>
      <w:proofErr w:type="gramEnd"/>
      <w:r w:rsidR="00FD08BF" w:rsidRPr="007D781A">
        <w:rPr>
          <w:rFonts w:ascii="Times New Roman" w:eastAsia="Times New Roman" w:hAnsi="Times New Roman" w:cs="Times New Roman"/>
          <w:sz w:val="24"/>
          <w:szCs w:val="24"/>
        </w:rPr>
        <w:t>Table 1)</w:t>
      </w:r>
      <w:r w:rsidRPr="007D781A">
        <w:rPr>
          <w:rFonts w:ascii="Times New Roman" w:eastAsia="Times New Roman" w:hAnsi="Times New Roman" w:cs="Times New Roman"/>
          <w:sz w:val="24"/>
          <w:szCs w:val="24"/>
        </w:rPr>
        <w:t xml:space="preserve">. The nucleoprotein (~77 </w:t>
      </w:r>
      <w:proofErr w:type="spellStart"/>
      <w:r w:rsidRPr="007D781A">
        <w:rPr>
          <w:rFonts w:ascii="Times New Roman" w:eastAsia="Times New Roman" w:hAnsi="Times New Roman" w:cs="Times New Roman"/>
          <w:sz w:val="24"/>
          <w:szCs w:val="24"/>
        </w:rPr>
        <w:t>kDa</w:t>
      </w:r>
      <w:proofErr w:type="spellEnd"/>
      <w:r w:rsidRPr="007D781A">
        <w:rPr>
          <w:rFonts w:ascii="Times New Roman" w:eastAsia="Times New Roman" w:hAnsi="Times New Roman" w:cs="Times New Roman"/>
          <w:sz w:val="24"/>
          <w:szCs w:val="24"/>
        </w:rPr>
        <w:t xml:space="preserve">) and glycoprotein (~74 </w:t>
      </w:r>
      <w:proofErr w:type="spellStart"/>
      <w:r w:rsidRPr="007D781A">
        <w:rPr>
          <w:rFonts w:ascii="Times New Roman" w:eastAsia="Times New Roman" w:hAnsi="Times New Roman" w:cs="Times New Roman"/>
          <w:sz w:val="24"/>
          <w:szCs w:val="24"/>
        </w:rPr>
        <w:t>kDa</w:t>
      </w:r>
      <w:proofErr w:type="spellEnd"/>
      <w:r w:rsidRPr="007D781A">
        <w:rPr>
          <w:rFonts w:ascii="Times New Roman" w:eastAsia="Times New Roman" w:hAnsi="Times New Roman" w:cs="Times New Roman"/>
          <w:sz w:val="24"/>
          <w:szCs w:val="24"/>
        </w:rPr>
        <w:t xml:space="preserve">) were the largest structural components and exhibited features consistent with functions in genome </w:t>
      </w:r>
      <w:proofErr w:type="spellStart"/>
      <w:r w:rsidRPr="007D781A">
        <w:rPr>
          <w:rFonts w:ascii="Times New Roman" w:eastAsia="Times New Roman" w:hAnsi="Times New Roman" w:cs="Times New Roman"/>
          <w:sz w:val="24"/>
          <w:szCs w:val="24"/>
        </w:rPr>
        <w:t>encapsidation</w:t>
      </w:r>
      <w:proofErr w:type="spellEnd"/>
      <w:r w:rsidRPr="007D781A">
        <w:rPr>
          <w:rFonts w:ascii="Times New Roman" w:eastAsia="Times New Roman" w:hAnsi="Times New Roman" w:cs="Times New Roman"/>
          <w:sz w:val="24"/>
          <w:szCs w:val="24"/>
        </w:rPr>
        <w:t>, viral entry, and replication [9, 12]. Their size, high α-helical content, and complex tertiary structures suggested diverse antigenic surfaces, supporting their prominence as immune targets.</w:t>
      </w:r>
    </w:p>
    <w:p w14:paraId="3394E7FF"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Smaller proteins—matrix protein (33 </w:t>
      </w:r>
      <w:proofErr w:type="spellStart"/>
      <w:r w:rsidRPr="007D781A">
        <w:rPr>
          <w:rFonts w:ascii="Times New Roman" w:eastAsia="Times New Roman" w:hAnsi="Times New Roman" w:cs="Times New Roman"/>
          <w:sz w:val="24"/>
          <w:szCs w:val="24"/>
        </w:rPr>
        <w:t>kDa</w:t>
      </w:r>
      <w:proofErr w:type="spellEnd"/>
      <w:r w:rsidRPr="007D781A">
        <w:rPr>
          <w:rFonts w:ascii="Times New Roman" w:eastAsia="Times New Roman" w:hAnsi="Times New Roman" w:cs="Times New Roman"/>
          <w:sz w:val="24"/>
          <w:szCs w:val="24"/>
        </w:rPr>
        <w:t xml:space="preserve">), VP24 (28 </w:t>
      </w:r>
      <w:proofErr w:type="spellStart"/>
      <w:r w:rsidRPr="007D781A">
        <w:rPr>
          <w:rFonts w:ascii="Times New Roman" w:eastAsia="Times New Roman" w:hAnsi="Times New Roman" w:cs="Times New Roman"/>
          <w:sz w:val="24"/>
          <w:szCs w:val="24"/>
        </w:rPr>
        <w:t>kDa</w:t>
      </w:r>
      <w:proofErr w:type="spellEnd"/>
      <w:r w:rsidRPr="007D781A">
        <w:rPr>
          <w:rFonts w:ascii="Times New Roman" w:eastAsia="Times New Roman" w:hAnsi="Times New Roman" w:cs="Times New Roman"/>
          <w:sz w:val="24"/>
          <w:szCs w:val="24"/>
        </w:rPr>
        <w:t xml:space="preserve">), and VP30 (31 </w:t>
      </w:r>
      <w:proofErr w:type="spellStart"/>
      <w:r w:rsidRPr="007D781A">
        <w:rPr>
          <w:rFonts w:ascii="Times New Roman" w:eastAsia="Times New Roman" w:hAnsi="Times New Roman" w:cs="Times New Roman"/>
          <w:sz w:val="24"/>
          <w:szCs w:val="24"/>
        </w:rPr>
        <w:t>kDa</w:t>
      </w:r>
      <w:proofErr w:type="spellEnd"/>
      <w:r w:rsidRPr="007D781A">
        <w:rPr>
          <w:rFonts w:ascii="Times New Roman" w:eastAsia="Times New Roman" w:hAnsi="Times New Roman" w:cs="Times New Roman"/>
          <w:sz w:val="24"/>
          <w:szCs w:val="24"/>
        </w:rPr>
        <w:t xml:space="preserve">)—displayed more compact architectures yet remain functionally critical for virion assembly and immune evasion. The major RNA-dependent RNA polymerase (&gt;267 </w:t>
      </w:r>
      <w:proofErr w:type="spellStart"/>
      <w:r w:rsidRPr="007D781A">
        <w:rPr>
          <w:rFonts w:ascii="Times New Roman" w:eastAsia="Times New Roman" w:hAnsi="Times New Roman" w:cs="Times New Roman"/>
          <w:sz w:val="24"/>
          <w:szCs w:val="24"/>
        </w:rPr>
        <w:t>kDa</w:t>
      </w:r>
      <w:proofErr w:type="spellEnd"/>
      <w:r w:rsidRPr="007D781A">
        <w:rPr>
          <w:rFonts w:ascii="Times New Roman" w:eastAsia="Times New Roman" w:hAnsi="Times New Roman" w:cs="Times New Roman"/>
          <w:sz w:val="24"/>
          <w:szCs w:val="24"/>
        </w:rPr>
        <w:t>) was the largest viral protein and its structural complexity reflected its multifunctional role in RNA replication [7, 9].</w:t>
      </w:r>
    </w:p>
    <w:p w14:paraId="7294DF86"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Several biochemical indices further differentiated protein </w:t>
      </w:r>
      <w:proofErr w:type="spellStart"/>
      <w:r w:rsidRPr="007D781A">
        <w:rPr>
          <w:rFonts w:ascii="Times New Roman" w:eastAsia="Times New Roman" w:hAnsi="Times New Roman" w:cs="Times New Roman"/>
          <w:sz w:val="24"/>
          <w:szCs w:val="24"/>
        </w:rPr>
        <w:t>behaviour</w:t>
      </w:r>
      <w:proofErr w:type="spellEnd"/>
      <w:r w:rsidRPr="007D781A">
        <w:rPr>
          <w:rFonts w:ascii="Times New Roman" w:eastAsia="Times New Roman" w:hAnsi="Times New Roman" w:cs="Times New Roman"/>
          <w:sz w:val="24"/>
          <w:szCs w:val="24"/>
        </w:rPr>
        <w:t>. Acidic proteins such as the nucleoprotein (</w:t>
      </w:r>
      <w:proofErr w:type="spellStart"/>
      <w:r w:rsidRPr="007D781A">
        <w:rPr>
          <w:rFonts w:ascii="Times New Roman" w:eastAsia="Times New Roman" w:hAnsi="Times New Roman" w:cs="Times New Roman"/>
          <w:sz w:val="24"/>
          <w:szCs w:val="24"/>
        </w:rPr>
        <w:t>pI</w:t>
      </w:r>
      <w:proofErr w:type="spellEnd"/>
      <w:r w:rsidRPr="007D781A">
        <w:rPr>
          <w:rFonts w:ascii="Times New Roman" w:eastAsia="Times New Roman" w:hAnsi="Times New Roman" w:cs="Times New Roman"/>
          <w:sz w:val="24"/>
          <w:szCs w:val="24"/>
        </w:rPr>
        <w:t xml:space="preserve"> ~4.8) were predicted to be negatively charged and highly soluble, whereas basic proteins including matrix protein and VP30 (</w:t>
      </w:r>
      <w:proofErr w:type="spellStart"/>
      <w:r w:rsidRPr="007D781A">
        <w:rPr>
          <w:rFonts w:ascii="Times New Roman" w:eastAsia="Times New Roman" w:hAnsi="Times New Roman" w:cs="Times New Roman"/>
          <w:sz w:val="24"/>
          <w:szCs w:val="24"/>
        </w:rPr>
        <w:t>pI</w:t>
      </w:r>
      <w:proofErr w:type="spellEnd"/>
      <w:r w:rsidRPr="007D781A">
        <w:rPr>
          <w:rFonts w:ascii="Times New Roman" w:eastAsia="Times New Roman" w:hAnsi="Times New Roman" w:cs="Times New Roman"/>
          <w:sz w:val="24"/>
          <w:szCs w:val="24"/>
        </w:rPr>
        <w:t xml:space="preserve"> ~9.4) likely form stronger electrostatic interactions with host membranes [7, 10]. VP24 showed the highest aliphatic index (108.9), indicating </w:t>
      </w:r>
      <w:r w:rsidRPr="007D781A">
        <w:rPr>
          <w:rFonts w:ascii="Times New Roman" w:eastAsia="Times New Roman" w:hAnsi="Times New Roman" w:cs="Times New Roman"/>
          <w:sz w:val="24"/>
          <w:szCs w:val="24"/>
        </w:rPr>
        <w:lastRenderedPageBreak/>
        <w:t>thermostability [2], while the glycoprotein’s lower index (68.7) aligned with its need for conformational flexibility during receptor engagement [12, 17]. GRAVY scores revealed that most proteins were predominantly hydrophilic; VP24’s slightly positive score (~+0.12) suggested a compact hydrophobic core. SOPMA-based analysis indicated that the nucleoprotein and polymerase were enriched in α-helices (39–51%), whereas matrix protein and VP30 contained more β-strands, reflecting structural adaptability.</w:t>
      </w:r>
    </w:p>
    <w:p w14:paraId="5450193B"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Antigenicity predictions showed that all seven proteins surpassed the 0.4 threshold, classifying them as probable antigens. VP24 (0.5544), VP30 (0.5492), and GP (0.5433) scored highest, while the matrix protein, though lowest (0.4069), was still predicted antigenic. The glycoprotein (680 aa) and nucleoprotein (695 aa) were highly flexible, each containing &gt;64% random coil content, a feature associated with enhanced epitope accessibility.</w:t>
      </w:r>
    </w:p>
    <w:p w14:paraId="1FE4C886" w14:textId="77777777" w:rsidR="003A3F0C" w:rsidRPr="007D781A" w:rsidRDefault="003A3F0C">
      <w:pPr>
        <w:spacing w:before="240" w:after="240"/>
        <w:jc w:val="both"/>
        <w:rPr>
          <w:rFonts w:ascii="Times New Roman" w:eastAsia="Times New Roman" w:hAnsi="Times New Roman" w:cs="Times New Roman"/>
          <w:sz w:val="24"/>
          <w:szCs w:val="24"/>
        </w:rPr>
      </w:pPr>
    </w:p>
    <w:p w14:paraId="2609869A" w14:textId="66416234" w:rsidR="007B703E" w:rsidRPr="007D781A" w:rsidRDefault="007B703E" w:rsidP="007B703E">
      <w:pPr>
        <w:pStyle w:val="Caption"/>
        <w:rPr>
          <w:b/>
          <w:bCs/>
          <w:color w:val="auto"/>
          <w:lang w:val="en-IN"/>
        </w:rPr>
      </w:pPr>
      <w:r w:rsidRPr="007D781A">
        <w:rPr>
          <w:color w:val="auto"/>
        </w:rPr>
        <w:t xml:space="preserve">Table </w:t>
      </w:r>
      <w:r w:rsidR="00C07E1A" w:rsidRPr="007D781A">
        <w:rPr>
          <w:color w:val="auto"/>
        </w:rPr>
        <w:fldChar w:fldCharType="begin"/>
      </w:r>
      <w:r w:rsidR="00C07E1A" w:rsidRPr="007D781A">
        <w:rPr>
          <w:color w:val="auto"/>
        </w:rPr>
        <w:instrText xml:space="preserve"> SEQ Table \* ARABIC </w:instrText>
      </w:r>
      <w:r w:rsidR="00C07E1A" w:rsidRPr="007D781A">
        <w:rPr>
          <w:color w:val="auto"/>
        </w:rPr>
        <w:fldChar w:fldCharType="separate"/>
      </w:r>
      <w:r w:rsidRPr="007D781A">
        <w:rPr>
          <w:noProof/>
          <w:color w:val="auto"/>
        </w:rPr>
        <w:t>1</w:t>
      </w:r>
      <w:r w:rsidR="00C07E1A" w:rsidRPr="007D781A">
        <w:rPr>
          <w:noProof/>
          <w:color w:val="auto"/>
        </w:rPr>
        <w:fldChar w:fldCharType="end"/>
      </w:r>
      <w:r w:rsidRPr="007D781A">
        <w:rPr>
          <w:color w:val="auto"/>
        </w:rPr>
        <w:t xml:space="preserve"> </w:t>
      </w:r>
      <w:r w:rsidRPr="007D781A">
        <w:rPr>
          <w:b/>
          <w:bCs/>
          <w:color w:val="auto"/>
          <w:lang w:val="en-IN"/>
        </w:rPr>
        <w:t>Physicochemical and secondary-structure characteristics of Marburg virus proteins.</w:t>
      </w:r>
    </w:p>
    <w:p w14:paraId="567D9ACF" w14:textId="77777777" w:rsidR="007B703E" w:rsidRPr="007D781A" w:rsidRDefault="007B703E" w:rsidP="007B703E">
      <w:pPr>
        <w:pStyle w:val="Caption"/>
        <w:keepNext/>
        <w:rPr>
          <w:color w:val="auto"/>
          <w:lang w:val="en-IN"/>
        </w:rPr>
      </w:pPr>
      <w:r w:rsidRPr="007D781A">
        <w:rPr>
          <w:color w:val="auto"/>
          <w:lang w:val="en-IN"/>
        </w:rPr>
        <w:t>Summary of key biochemical parameters and predicted structural features of the major Marburg virus proteins, including length, molecular weight, theoretical isoelectric point (</w:t>
      </w:r>
      <w:proofErr w:type="spellStart"/>
      <w:r w:rsidRPr="007D781A">
        <w:rPr>
          <w:color w:val="auto"/>
          <w:lang w:val="en-IN"/>
        </w:rPr>
        <w:t>pI</w:t>
      </w:r>
      <w:proofErr w:type="spellEnd"/>
      <w:r w:rsidRPr="007D781A">
        <w:rPr>
          <w:color w:val="auto"/>
          <w:lang w:val="en-IN"/>
        </w:rPr>
        <w:t>), aliphatic index, GRAVY score, and antigenicity. Secondary-structure composition is shown as the percentage of α-helix, β-strand, and random coil content. These properties highlight notable differences among proteins, such as the high thermostability of VP24 (aliphatic index 108.97), strong coil enrichment in GP and NP, and high antigenicity scores in VP24, VP30, and GP, supporting their immunogenic relevance in downstream epitope prediction and vaccine design.</w:t>
      </w:r>
    </w:p>
    <w:p w14:paraId="58BED3E0" w14:textId="2BA8E160" w:rsidR="007B703E" w:rsidRPr="007D781A" w:rsidRDefault="007B703E" w:rsidP="007B703E">
      <w:pPr>
        <w:pStyle w:val="Caption"/>
        <w:keepNext/>
        <w:rPr>
          <w:color w:val="auto"/>
        </w:rPr>
      </w:pPr>
    </w:p>
    <w:tbl>
      <w:tblPr>
        <w:tblStyle w:val="TableGrid"/>
        <w:tblW w:w="9359" w:type="dxa"/>
        <w:tblLayout w:type="fixed"/>
        <w:tblLook w:val="0600" w:firstRow="0" w:lastRow="0" w:firstColumn="0" w:lastColumn="0" w:noHBand="1" w:noVBand="1"/>
      </w:tblPr>
      <w:tblGrid>
        <w:gridCol w:w="1297"/>
        <w:gridCol w:w="777"/>
        <w:gridCol w:w="957"/>
        <w:gridCol w:w="523"/>
        <w:gridCol w:w="945"/>
        <w:gridCol w:w="873"/>
        <w:gridCol w:w="1200"/>
        <w:gridCol w:w="909"/>
        <w:gridCol w:w="969"/>
        <w:gridCol w:w="909"/>
      </w:tblGrid>
      <w:tr w:rsidR="007D781A" w:rsidRPr="007D781A" w14:paraId="1A0E0C04" w14:textId="77777777" w:rsidTr="007B703E">
        <w:trPr>
          <w:trHeight w:val="785"/>
        </w:trPr>
        <w:tc>
          <w:tcPr>
            <w:tcW w:w="1295" w:type="dxa"/>
          </w:tcPr>
          <w:p w14:paraId="26ED7939"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Protein</w:t>
            </w:r>
          </w:p>
        </w:tc>
        <w:tc>
          <w:tcPr>
            <w:tcW w:w="776" w:type="dxa"/>
          </w:tcPr>
          <w:p w14:paraId="7F50508D"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Length (aa)</w:t>
            </w:r>
          </w:p>
        </w:tc>
        <w:tc>
          <w:tcPr>
            <w:tcW w:w="957" w:type="dxa"/>
          </w:tcPr>
          <w:p w14:paraId="472F310D"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Mol. Weight</w:t>
            </w:r>
          </w:p>
        </w:tc>
        <w:tc>
          <w:tcPr>
            <w:tcW w:w="523" w:type="dxa"/>
          </w:tcPr>
          <w:p w14:paraId="78799510" w14:textId="77777777" w:rsidR="003A3F0C" w:rsidRPr="007D781A" w:rsidRDefault="001C164D">
            <w:pPr>
              <w:spacing w:before="240" w:after="240"/>
              <w:jc w:val="center"/>
              <w:rPr>
                <w:rFonts w:ascii="Times New Roman" w:eastAsia="Times New Roman" w:hAnsi="Times New Roman" w:cs="Times New Roman"/>
                <w:sz w:val="24"/>
                <w:szCs w:val="24"/>
              </w:rPr>
            </w:pPr>
            <w:proofErr w:type="spellStart"/>
            <w:r w:rsidRPr="007D781A">
              <w:rPr>
                <w:rFonts w:ascii="Times New Roman" w:eastAsia="Times New Roman" w:hAnsi="Times New Roman" w:cs="Times New Roman"/>
                <w:b/>
                <w:bCs/>
                <w:sz w:val="24"/>
                <w:szCs w:val="24"/>
              </w:rPr>
              <w:t>pI</w:t>
            </w:r>
            <w:proofErr w:type="spellEnd"/>
          </w:p>
        </w:tc>
        <w:tc>
          <w:tcPr>
            <w:tcW w:w="945" w:type="dxa"/>
          </w:tcPr>
          <w:p w14:paraId="6B5882BE"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Aliphatic Index</w:t>
            </w:r>
          </w:p>
        </w:tc>
        <w:tc>
          <w:tcPr>
            <w:tcW w:w="873" w:type="dxa"/>
          </w:tcPr>
          <w:p w14:paraId="3D9C9DA6"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GRAVY</w:t>
            </w:r>
          </w:p>
        </w:tc>
        <w:tc>
          <w:tcPr>
            <w:tcW w:w="1199" w:type="dxa"/>
          </w:tcPr>
          <w:p w14:paraId="3C58AF10"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Antigenicity Score</w:t>
            </w:r>
          </w:p>
        </w:tc>
        <w:tc>
          <w:tcPr>
            <w:tcW w:w="909" w:type="dxa"/>
          </w:tcPr>
          <w:p w14:paraId="3140D6C6"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Alpha Helix</w:t>
            </w:r>
          </w:p>
        </w:tc>
        <w:tc>
          <w:tcPr>
            <w:tcW w:w="969" w:type="dxa"/>
          </w:tcPr>
          <w:p w14:paraId="1F7C3B3B"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Extended Strand</w:t>
            </w:r>
          </w:p>
        </w:tc>
        <w:tc>
          <w:tcPr>
            <w:tcW w:w="909" w:type="dxa"/>
          </w:tcPr>
          <w:p w14:paraId="7BF8FCFA"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Random Coil</w:t>
            </w:r>
          </w:p>
        </w:tc>
      </w:tr>
      <w:tr w:rsidR="007D781A" w:rsidRPr="007D781A" w14:paraId="0C588665" w14:textId="77777777" w:rsidTr="007B703E">
        <w:trPr>
          <w:trHeight w:val="785"/>
        </w:trPr>
        <w:tc>
          <w:tcPr>
            <w:tcW w:w="1295" w:type="dxa"/>
          </w:tcPr>
          <w:p w14:paraId="27EFBF69"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Nucleoprotein</w:t>
            </w:r>
          </w:p>
        </w:tc>
        <w:tc>
          <w:tcPr>
            <w:tcW w:w="776" w:type="dxa"/>
          </w:tcPr>
          <w:p w14:paraId="338EDD56"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695</w:t>
            </w:r>
          </w:p>
        </w:tc>
        <w:tc>
          <w:tcPr>
            <w:tcW w:w="957" w:type="dxa"/>
          </w:tcPr>
          <w:p w14:paraId="0ACDFCF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77,672.56</w:t>
            </w:r>
          </w:p>
        </w:tc>
        <w:tc>
          <w:tcPr>
            <w:tcW w:w="523" w:type="dxa"/>
          </w:tcPr>
          <w:p w14:paraId="1B6D7515"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4.89</w:t>
            </w:r>
          </w:p>
        </w:tc>
        <w:tc>
          <w:tcPr>
            <w:tcW w:w="945" w:type="dxa"/>
          </w:tcPr>
          <w:p w14:paraId="51315DB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86.26</w:t>
            </w:r>
          </w:p>
        </w:tc>
        <w:tc>
          <w:tcPr>
            <w:tcW w:w="873" w:type="dxa"/>
          </w:tcPr>
          <w:p w14:paraId="6DE48945"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–0.529</w:t>
            </w:r>
          </w:p>
        </w:tc>
        <w:tc>
          <w:tcPr>
            <w:tcW w:w="1199" w:type="dxa"/>
          </w:tcPr>
          <w:p w14:paraId="737315D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0.4791</w:t>
            </w:r>
          </w:p>
        </w:tc>
        <w:tc>
          <w:tcPr>
            <w:tcW w:w="909" w:type="dxa"/>
          </w:tcPr>
          <w:p w14:paraId="21191FF0"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49 (16.17%)</w:t>
            </w:r>
          </w:p>
        </w:tc>
        <w:tc>
          <w:tcPr>
            <w:tcW w:w="969" w:type="dxa"/>
          </w:tcPr>
          <w:p w14:paraId="5BEAFD66"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58 (19.14%)</w:t>
            </w:r>
          </w:p>
        </w:tc>
        <w:tc>
          <w:tcPr>
            <w:tcW w:w="909" w:type="dxa"/>
          </w:tcPr>
          <w:p w14:paraId="61080945"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196 (64.69%)</w:t>
            </w:r>
          </w:p>
        </w:tc>
      </w:tr>
      <w:tr w:rsidR="007D781A" w:rsidRPr="007D781A" w14:paraId="1C2AFD7F" w14:textId="77777777" w:rsidTr="007B703E">
        <w:trPr>
          <w:trHeight w:val="1055"/>
        </w:trPr>
        <w:tc>
          <w:tcPr>
            <w:tcW w:w="1295" w:type="dxa"/>
          </w:tcPr>
          <w:p w14:paraId="3B287A81"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Minor polymerase component</w:t>
            </w:r>
          </w:p>
        </w:tc>
        <w:tc>
          <w:tcPr>
            <w:tcW w:w="776" w:type="dxa"/>
          </w:tcPr>
          <w:p w14:paraId="1AF067FB"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329</w:t>
            </w:r>
          </w:p>
        </w:tc>
        <w:tc>
          <w:tcPr>
            <w:tcW w:w="957" w:type="dxa"/>
          </w:tcPr>
          <w:p w14:paraId="13D1B5BE"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36,130.82</w:t>
            </w:r>
          </w:p>
        </w:tc>
        <w:tc>
          <w:tcPr>
            <w:tcW w:w="523" w:type="dxa"/>
          </w:tcPr>
          <w:p w14:paraId="6F35FE4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8.96</w:t>
            </w:r>
          </w:p>
        </w:tc>
        <w:tc>
          <w:tcPr>
            <w:tcW w:w="945" w:type="dxa"/>
          </w:tcPr>
          <w:p w14:paraId="0568FC35"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90.73</w:t>
            </w:r>
          </w:p>
        </w:tc>
        <w:tc>
          <w:tcPr>
            <w:tcW w:w="873" w:type="dxa"/>
          </w:tcPr>
          <w:p w14:paraId="27A02E09"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–0.167</w:t>
            </w:r>
          </w:p>
        </w:tc>
        <w:tc>
          <w:tcPr>
            <w:tcW w:w="1199" w:type="dxa"/>
          </w:tcPr>
          <w:p w14:paraId="4712CC4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0.4330</w:t>
            </w:r>
          </w:p>
        </w:tc>
        <w:tc>
          <w:tcPr>
            <w:tcW w:w="909" w:type="dxa"/>
          </w:tcPr>
          <w:p w14:paraId="3732FAA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275 (39.57%)</w:t>
            </w:r>
          </w:p>
        </w:tc>
        <w:tc>
          <w:tcPr>
            <w:tcW w:w="969" w:type="dxa"/>
          </w:tcPr>
          <w:p w14:paraId="39C5FFF4"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53 (7.63%)</w:t>
            </w:r>
          </w:p>
        </w:tc>
        <w:tc>
          <w:tcPr>
            <w:tcW w:w="909" w:type="dxa"/>
          </w:tcPr>
          <w:p w14:paraId="7BF90B14"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367 (52.81%)</w:t>
            </w:r>
          </w:p>
        </w:tc>
      </w:tr>
      <w:tr w:rsidR="007D781A" w:rsidRPr="007D781A" w14:paraId="6C8FA3C8" w14:textId="77777777" w:rsidTr="007B703E">
        <w:trPr>
          <w:trHeight w:val="785"/>
        </w:trPr>
        <w:tc>
          <w:tcPr>
            <w:tcW w:w="1295" w:type="dxa"/>
          </w:tcPr>
          <w:p w14:paraId="384BB519"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Matrix protein</w:t>
            </w:r>
          </w:p>
        </w:tc>
        <w:tc>
          <w:tcPr>
            <w:tcW w:w="776" w:type="dxa"/>
          </w:tcPr>
          <w:p w14:paraId="4B6F5041"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303</w:t>
            </w:r>
          </w:p>
        </w:tc>
        <w:tc>
          <w:tcPr>
            <w:tcW w:w="957" w:type="dxa"/>
          </w:tcPr>
          <w:p w14:paraId="0866B51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33,789.73</w:t>
            </w:r>
          </w:p>
        </w:tc>
        <w:tc>
          <w:tcPr>
            <w:tcW w:w="523" w:type="dxa"/>
          </w:tcPr>
          <w:p w14:paraId="673E0746"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9.40</w:t>
            </w:r>
          </w:p>
        </w:tc>
        <w:tc>
          <w:tcPr>
            <w:tcW w:w="945" w:type="dxa"/>
          </w:tcPr>
          <w:p w14:paraId="51A9F30D"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86.90</w:t>
            </w:r>
          </w:p>
        </w:tc>
        <w:tc>
          <w:tcPr>
            <w:tcW w:w="873" w:type="dxa"/>
          </w:tcPr>
          <w:p w14:paraId="7FDE25C4"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–0.274</w:t>
            </w:r>
          </w:p>
        </w:tc>
        <w:tc>
          <w:tcPr>
            <w:tcW w:w="1199" w:type="dxa"/>
          </w:tcPr>
          <w:p w14:paraId="085BCD90"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0.4069</w:t>
            </w:r>
          </w:p>
        </w:tc>
        <w:tc>
          <w:tcPr>
            <w:tcW w:w="909" w:type="dxa"/>
          </w:tcPr>
          <w:p w14:paraId="44E9BC71"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170 (51.67%)</w:t>
            </w:r>
          </w:p>
        </w:tc>
        <w:tc>
          <w:tcPr>
            <w:tcW w:w="969" w:type="dxa"/>
          </w:tcPr>
          <w:p w14:paraId="55EF1E8E"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27 (8.21%)</w:t>
            </w:r>
          </w:p>
        </w:tc>
        <w:tc>
          <w:tcPr>
            <w:tcW w:w="909" w:type="dxa"/>
          </w:tcPr>
          <w:p w14:paraId="51740FD1"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132 (40.12%)</w:t>
            </w:r>
          </w:p>
        </w:tc>
      </w:tr>
      <w:tr w:rsidR="007D781A" w:rsidRPr="007D781A" w14:paraId="53DABDC8" w14:textId="77777777" w:rsidTr="007B703E">
        <w:trPr>
          <w:trHeight w:val="785"/>
        </w:trPr>
        <w:tc>
          <w:tcPr>
            <w:tcW w:w="1295" w:type="dxa"/>
          </w:tcPr>
          <w:p w14:paraId="5D8B2E35"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lastRenderedPageBreak/>
              <w:t>Glycoprotein (GP)</w:t>
            </w:r>
          </w:p>
        </w:tc>
        <w:tc>
          <w:tcPr>
            <w:tcW w:w="776" w:type="dxa"/>
          </w:tcPr>
          <w:p w14:paraId="3F789F84"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680</w:t>
            </w:r>
          </w:p>
        </w:tc>
        <w:tc>
          <w:tcPr>
            <w:tcW w:w="957" w:type="dxa"/>
          </w:tcPr>
          <w:p w14:paraId="118C52E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74,352.91</w:t>
            </w:r>
          </w:p>
        </w:tc>
        <w:tc>
          <w:tcPr>
            <w:tcW w:w="523" w:type="dxa"/>
          </w:tcPr>
          <w:p w14:paraId="4F549054"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5.85</w:t>
            </w:r>
          </w:p>
        </w:tc>
        <w:tc>
          <w:tcPr>
            <w:tcW w:w="945" w:type="dxa"/>
          </w:tcPr>
          <w:p w14:paraId="7A31B364"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68.74</w:t>
            </w:r>
          </w:p>
        </w:tc>
        <w:tc>
          <w:tcPr>
            <w:tcW w:w="873" w:type="dxa"/>
          </w:tcPr>
          <w:p w14:paraId="5FBBEB1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–0.564</w:t>
            </w:r>
          </w:p>
        </w:tc>
        <w:tc>
          <w:tcPr>
            <w:tcW w:w="1199" w:type="dxa"/>
          </w:tcPr>
          <w:p w14:paraId="47373450"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0.5433</w:t>
            </w:r>
          </w:p>
        </w:tc>
        <w:tc>
          <w:tcPr>
            <w:tcW w:w="909" w:type="dxa"/>
          </w:tcPr>
          <w:p w14:paraId="2BDEC22C"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146 (21.47%)</w:t>
            </w:r>
          </w:p>
        </w:tc>
        <w:tc>
          <w:tcPr>
            <w:tcW w:w="969" w:type="dxa"/>
          </w:tcPr>
          <w:p w14:paraId="1BCBD50C"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73 (10.74%)</w:t>
            </w:r>
          </w:p>
        </w:tc>
        <w:tc>
          <w:tcPr>
            <w:tcW w:w="909" w:type="dxa"/>
          </w:tcPr>
          <w:p w14:paraId="75B8F6A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461 (67.79%)</w:t>
            </w:r>
          </w:p>
        </w:tc>
      </w:tr>
      <w:tr w:rsidR="007D781A" w:rsidRPr="007D781A" w14:paraId="629363F3" w14:textId="77777777" w:rsidTr="007B703E">
        <w:trPr>
          <w:trHeight w:val="785"/>
        </w:trPr>
        <w:tc>
          <w:tcPr>
            <w:tcW w:w="1295" w:type="dxa"/>
          </w:tcPr>
          <w:p w14:paraId="09AF7129"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VP30</w:t>
            </w:r>
          </w:p>
        </w:tc>
        <w:tc>
          <w:tcPr>
            <w:tcW w:w="776" w:type="dxa"/>
          </w:tcPr>
          <w:p w14:paraId="2A94DAA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281</w:t>
            </w:r>
          </w:p>
        </w:tc>
        <w:tc>
          <w:tcPr>
            <w:tcW w:w="957" w:type="dxa"/>
          </w:tcPr>
          <w:p w14:paraId="2B9531AE"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31,625.87</w:t>
            </w:r>
          </w:p>
        </w:tc>
        <w:tc>
          <w:tcPr>
            <w:tcW w:w="523" w:type="dxa"/>
          </w:tcPr>
          <w:p w14:paraId="159FA11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9.40</w:t>
            </w:r>
          </w:p>
        </w:tc>
        <w:tc>
          <w:tcPr>
            <w:tcW w:w="945" w:type="dxa"/>
          </w:tcPr>
          <w:p w14:paraId="27F42176"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72.92</w:t>
            </w:r>
          </w:p>
        </w:tc>
        <w:tc>
          <w:tcPr>
            <w:tcW w:w="873" w:type="dxa"/>
          </w:tcPr>
          <w:p w14:paraId="5BB47C7D"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–0.754</w:t>
            </w:r>
          </w:p>
        </w:tc>
        <w:tc>
          <w:tcPr>
            <w:tcW w:w="1199" w:type="dxa"/>
          </w:tcPr>
          <w:p w14:paraId="3618B255"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0.5492</w:t>
            </w:r>
          </w:p>
        </w:tc>
        <w:tc>
          <w:tcPr>
            <w:tcW w:w="909" w:type="dxa"/>
          </w:tcPr>
          <w:p w14:paraId="6C7E486F"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97 (34.52%)</w:t>
            </w:r>
          </w:p>
        </w:tc>
        <w:tc>
          <w:tcPr>
            <w:tcW w:w="969" w:type="dxa"/>
          </w:tcPr>
          <w:p w14:paraId="43ADB73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16 (5.69%)</w:t>
            </w:r>
          </w:p>
        </w:tc>
        <w:tc>
          <w:tcPr>
            <w:tcW w:w="909" w:type="dxa"/>
          </w:tcPr>
          <w:p w14:paraId="7A59D027"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168 (59.79%)</w:t>
            </w:r>
          </w:p>
        </w:tc>
      </w:tr>
      <w:tr w:rsidR="007D781A" w:rsidRPr="007D781A" w14:paraId="7E02684E" w14:textId="77777777" w:rsidTr="007B703E">
        <w:trPr>
          <w:trHeight w:val="785"/>
        </w:trPr>
        <w:tc>
          <w:tcPr>
            <w:tcW w:w="1295" w:type="dxa"/>
          </w:tcPr>
          <w:p w14:paraId="4B6E3DD0"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VP24</w:t>
            </w:r>
          </w:p>
        </w:tc>
        <w:tc>
          <w:tcPr>
            <w:tcW w:w="776" w:type="dxa"/>
          </w:tcPr>
          <w:p w14:paraId="5F463AE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253</w:t>
            </w:r>
          </w:p>
        </w:tc>
        <w:tc>
          <w:tcPr>
            <w:tcW w:w="957" w:type="dxa"/>
          </w:tcPr>
          <w:p w14:paraId="244F017F"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28,664.56</w:t>
            </w:r>
          </w:p>
        </w:tc>
        <w:tc>
          <w:tcPr>
            <w:tcW w:w="523" w:type="dxa"/>
          </w:tcPr>
          <w:p w14:paraId="05F91A7D"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8.53</w:t>
            </w:r>
          </w:p>
        </w:tc>
        <w:tc>
          <w:tcPr>
            <w:tcW w:w="945" w:type="dxa"/>
          </w:tcPr>
          <w:p w14:paraId="4079ED79"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108.97</w:t>
            </w:r>
          </w:p>
        </w:tc>
        <w:tc>
          <w:tcPr>
            <w:tcW w:w="873" w:type="dxa"/>
          </w:tcPr>
          <w:p w14:paraId="2098206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0.123</w:t>
            </w:r>
          </w:p>
        </w:tc>
        <w:tc>
          <w:tcPr>
            <w:tcW w:w="1199" w:type="dxa"/>
          </w:tcPr>
          <w:p w14:paraId="072033BD"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0.5544</w:t>
            </w:r>
          </w:p>
        </w:tc>
        <w:tc>
          <w:tcPr>
            <w:tcW w:w="909" w:type="dxa"/>
          </w:tcPr>
          <w:p w14:paraId="796D9A1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112 (44.27%)</w:t>
            </w:r>
          </w:p>
        </w:tc>
        <w:tc>
          <w:tcPr>
            <w:tcW w:w="969" w:type="dxa"/>
          </w:tcPr>
          <w:p w14:paraId="7CBD930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48 (18.97%)</w:t>
            </w:r>
          </w:p>
        </w:tc>
        <w:tc>
          <w:tcPr>
            <w:tcW w:w="909" w:type="dxa"/>
          </w:tcPr>
          <w:p w14:paraId="0FBDC384"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93 (36.76%)</w:t>
            </w:r>
          </w:p>
        </w:tc>
      </w:tr>
      <w:tr w:rsidR="003A3F0C" w:rsidRPr="007D781A" w14:paraId="26EC5AB7" w14:textId="77777777" w:rsidTr="007B703E">
        <w:trPr>
          <w:trHeight w:val="785"/>
        </w:trPr>
        <w:tc>
          <w:tcPr>
            <w:tcW w:w="1295" w:type="dxa"/>
          </w:tcPr>
          <w:p w14:paraId="3D6871DF"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L polymerase</w:t>
            </w:r>
          </w:p>
        </w:tc>
        <w:tc>
          <w:tcPr>
            <w:tcW w:w="776" w:type="dxa"/>
          </w:tcPr>
          <w:p w14:paraId="6AE54376"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2331</w:t>
            </w:r>
          </w:p>
        </w:tc>
        <w:tc>
          <w:tcPr>
            <w:tcW w:w="957" w:type="dxa"/>
          </w:tcPr>
          <w:p w14:paraId="785A02B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w:t>
            </w:r>
          </w:p>
        </w:tc>
        <w:tc>
          <w:tcPr>
            <w:tcW w:w="523" w:type="dxa"/>
          </w:tcPr>
          <w:p w14:paraId="3026582F"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w:t>
            </w:r>
          </w:p>
        </w:tc>
        <w:tc>
          <w:tcPr>
            <w:tcW w:w="945" w:type="dxa"/>
          </w:tcPr>
          <w:p w14:paraId="4A11BDBE"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w:t>
            </w:r>
          </w:p>
        </w:tc>
        <w:tc>
          <w:tcPr>
            <w:tcW w:w="873" w:type="dxa"/>
          </w:tcPr>
          <w:p w14:paraId="25A9047B"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–0.230</w:t>
            </w:r>
          </w:p>
        </w:tc>
        <w:tc>
          <w:tcPr>
            <w:tcW w:w="1199" w:type="dxa"/>
          </w:tcPr>
          <w:p w14:paraId="601DB015"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0.4557</w:t>
            </w:r>
          </w:p>
        </w:tc>
        <w:tc>
          <w:tcPr>
            <w:tcW w:w="909" w:type="dxa"/>
          </w:tcPr>
          <w:p w14:paraId="6DF907D1"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1090 (46.76%)</w:t>
            </w:r>
          </w:p>
        </w:tc>
        <w:tc>
          <w:tcPr>
            <w:tcW w:w="969" w:type="dxa"/>
          </w:tcPr>
          <w:p w14:paraId="05ADD63D"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203 (8.71%)</w:t>
            </w:r>
          </w:p>
        </w:tc>
        <w:tc>
          <w:tcPr>
            <w:tcW w:w="909" w:type="dxa"/>
          </w:tcPr>
          <w:p w14:paraId="790098A1"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1038 (44.53%)</w:t>
            </w:r>
          </w:p>
        </w:tc>
      </w:tr>
    </w:tbl>
    <w:p w14:paraId="5460ECA1" w14:textId="77777777" w:rsidR="003A3F0C" w:rsidRPr="007D781A" w:rsidRDefault="003A3F0C">
      <w:pPr>
        <w:spacing w:before="240" w:after="240"/>
        <w:jc w:val="both"/>
        <w:rPr>
          <w:rFonts w:ascii="Times New Roman" w:eastAsia="Times New Roman" w:hAnsi="Times New Roman" w:cs="Times New Roman"/>
          <w:sz w:val="24"/>
          <w:szCs w:val="24"/>
        </w:rPr>
      </w:pPr>
    </w:p>
    <w:p w14:paraId="2562C7A3" w14:textId="77777777" w:rsidR="003A3F0C" w:rsidRPr="007D781A" w:rsidRDefault="001C164D">
      <w:pPr>
        <w:pStyle w:val="Heading2"/>
        <w:keepNext w:val="0"/>
        <w:keepLines w:val="0"/>
        <w:spacing w:after="80"/>
        <w:jc w:val="both"/>
        <w:rPr>
          <w:rFonts w:ascii="Times New Roman" w:eastAsia="Times New Roman" w:hAnsi="Times New Roman" w:cs="Times New Roman"/>
          <w:b/>
          <w:bCs/>
          <w:sz w:val="24"/>
          <w:szCs w:val="24"/>
        </w:rPr>
      </w:pPr>
      <w:bookmarkStart w:id="14" w:name="_dsf0oibbk501" w:colFirst="0" w:colLast="0"/>
      <w:bookmarkEnd w:id="14"/>
      <w:r w:rsidRPr="007D781A">
        <w:rPr>
          <w:rFonts w:ascii="Times New Roman" w:eastAsia="Times New Roman" w:hAnsi="Times New Roman" w:cs="Times New Roman"/>
          <w:b/>
          <w:bCs/>
          <w:sz w:val="24"/>
          <w:szCs w:val="24"/>
        </w:rPr>
        <w:t>B-cell Epitope Landscape Across the Proteome</w:t>
      </w:r>
    </w:p>
    <w:p w14:paraId="59918850"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Proteome-wide linear B-cell epitope prediction using </w:t>
      </w:r>
      <w:proofErr w:type="spellStart"/>
      <w:r w:rsidRPr="007D781A">
        <w:rPr>
          <w:rFonts w:ascii="Times New Roman" w:eastAsia="Times New Roman" w:hAnsi="Times New Roman" w:cs="Times New Roman"/>
          <w:sz w:val="24"/>
          <w:szCs w:val="24"/>
        </w:rPr>
        <w:t>Bepipred</w:t>
      </w:r>
      <w:proofErr w:type="spellEnd"/>
      <w:r w:rsidRPr="007D781A">
        <w:rPr>
          <w:rFonts w:ascii="Times New Roman" w:eastAsia="Times New Roman" w:hAnsi="Times New Roman" w:cs="Times New Roman"/>
          <w:sz w:val="24"/>
          <w:szCs w:val="24"/>
        </w:rPr>
        <w:t>, Chou–</w:t>
      </w:r>
      <w:proofErr w:type="spellStart"/>
      <w:r w:rsidRPr="007D781A">
        <w:rPr>
          <w:rFonts w:ascii="Times New Roman" w:eastAsia="Times New Roman" w:hAnsi="Times New Roman" w:cs="Times New Roman"/>
          <w:sz w:val="24"/>
          <w:szCs w:val="24"/>
        </w:rPr>
        <w:t>Fasman</w:t>
      </w:r>
      <w:proofErr w:type="spellEnd"/>
      <w:r w:rsidRPr="007D781A">
        <w:rPr>
          <w:rFonts w:ascii="Times New Roman" w:eastAsia="Times New Roman" w:hAnsi="Times New Roman" w:cs="Times New Roman"/>
          <w:sz w:val="24"/>
          <w:szCs w:val="24"/>
        </w:rPr>
        <w:t xml:space="preserve">, </w:t>
      </w:r>
      <w:proofErr w:type="spellStart"/>
      <w:r w:rsidRPr="007D781A">
        <w:rPr>
          <w:rFonts w:ascii="Times New Roman" w:eastAsia="Times New Roman" w:hAnsi="Times New Roman" w:cs="Times New Roman"/>
          <w:sz w:val="24"/>
          <w:szCs w:val="24"/>
        </w:rPr>
        <w:t>Emini</w:t>
      </w:r>
      <w:proofErr w:type="spellEnd"/>
      <w:r w:rsidRPr="007D781A">
        <w:rPr>
          <w:rFonts w:ascii="Times New Roman" w:eastAsia="Times New Roman" w:hAnsi="Times New Roman" w:cs="Times New Roman"/>
          <w:sz w:val="24"/>
          <w:szCs w:val="24"/>
        </w:rPr>
        <w:t xml:space="preserve"> accessibility, </w:t>
      </w:r>
      <w:proofErr w:type="spellStart"/>
      <w:r w:rsidRPr="007D781A">
        <w:rPr>
          <w:rFonts w:ascii="Times New Roman" w:eastAsia="Times New Roman" w:hAnsi="Times New Roman" w:cs="Times New Roman"/>
          <w:sz w:val="24"/>
          <w:szCs w:val="24"/>
        </w:rPr>
        <w:t>Kolaskar</w:t>
      </w:r>
      <w:proofErr w:type="spellEnd"/>
      <w:r w:rsidRPr="007D781A">
        <w:rPr>
          <w:rFonts w:ascii="Times New Roman" w:eastAsia="Times New Roman" w:hAnsi="Times New Roman" w:cs="Times New Roman"/>
          <w:sz w:val="24"/>
          <w:szCs w:val="24"/>
        </w:rPr>
        <w:t xml:space="preserve"> antigenicity, and Parker hydrophilicity models identified extensive epitope-rich regions across the seven Marburg virus proteins [16, 23].</w:t>
      </w:r>
    </w:p>
    <w:p w14:paraId="3F27459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The nucleoprotein carried 690 predicted epitopes—many clustering within accessible N-terminal and central regions—consistent with its known immunogenicity. The glycoprotein contained 680 epitopes, with multiple long, continuous clusters mapped to the ectodomain. Several extended hydrophilic segments (e.g., residues 25–36, 74–90, 97–118, 218–348, 352–424, 455–484) overlapped with coil-rich regions and are predicted to be prominently exposed on the virion surface.</w:t>
      </w:r>
    </w:p>
    <w:p w14:paraId="60A4CA14"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Other structural proteins displayed fewer epitopes but included notable antigenic loops: the matrix protein (297 epitopes), VP24 (247 epitopes), VP30 (275 epitopes), and the minor polymerase component (323 epitopes). Despite internal </w:t>
      </w:r>
      <w:proofErr w:type="spellStart"/>
      <w:r w:rsidRPr="007D781A">
        <w:rPr>
          <w:rFonts w:ascii="Times New Roman" w:eastAsia="Times New Roman" w:hAnsi="Times New Roman" w:cs="Times New Roman"/>
          <w:sz w:val="24"/>
          <w:szCs w:val="24"/>
        </w:rPr>
        <w:t>localisation</w:t>
      </w:r>
      <w:proofErr w:type="spellEnd"/>
      <w:r w:rsidRPr="007D781A">
        <w:rPr>
          <w:rFonts w:ascii="Times New Roman" w:eastAsia="Times New Roman" w:hAnsi="Times New Roman" w:cs="Times New Roman"/>
          <w:sz w:val="24"/>
          <w:szCs w:val="24"/>
        </w:rPr>
        <w:t>, the major polymerase subunit showed the highest total count (2326 epitopes), with several densely clustered immunogenic regions.</w:t>
      </w:r>
    </w:p>
    <w:p w14:paraId="2CE94B84"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Overall, both structural and non-structural proteins contributed to the antigenic landscape, but the density, continuity, and surface accessibility of glycoprotein epitopes strongly support its </w:t>
      </w:r>
      <w:proofErr w:type="spellStart"/>
      <w:r w:rsidRPr="007D781A">
        <w:rPr>
          <w:rFonts w:ascii="Times New Roman" w:eastAsia="Times New Roman" w:hAnsi="Times New Roman" w:cs="Times New Roman"/>
          <w:sz w:val="24"/>
          <w:szCs w:val="24"/>
        </w:rPr>
        <w:t>prioritisation</w:t>
      </w:r>
      <w:proofErr w:type="spellEnd"/>
      <w:r w:rsidRPr="007D781A">
        <w:rPr>
          <w:rFonts w:ascii="Times New Roman" w:eastAsia="Times New Roman" w:hAnsi="Times New Roman" w:cs="Times New Roman"/>
          <w:sz w:val="24"/>
          <w:szCs w:val="24"/>
        </w:rPr>
        <w:t xml:space="preserve"> for vaccine design.</w:t>
      </w:r>
    </w:p>
    <w:p w14:paraId="0D02D029" w14:textId="77777777" w:rsidR="003A3F0C" w:rsidRPr="007D781A" w:rsidRDefault="001C164D">
      <w:pPr>
        <w:pStyle w:val="Heading2"/>
        <w:keepNext w:val="0"/>
        <w:keepLines w:val="0"/>
        <w:spacing w:after="80"/>
        <w:jc w:val="both"/>
        <w:rPr>
          <w:rFonts w:ascii="Times New Roman" w:eastAsia="Times New Roman" w:hAnsi="Times New Roman" w:cs="Times New Roman"/>
          <w:b/>
          <w:bCs/>
          <w:sz w:val="24"/>
          <w:szCs w:val="24"/>
        </w:rPr>
      </w:pPr>
      <w:bookmarkStart w:id="15" w:name="_ucztbe8vmvfp" w:colFirst="0" w:colLast="0"/>
      <w:bookmarkEnd w:id="15"/>
      <w:r w:rsidRPr="007D781A">
        <w:rPr>
          <w:rFonts w:ascii="Times New Roman" w:eastAsia="Times New Roman" w:hAnsi="Times New Roman" w:cs="Times New Roman"/>
          <w:b/>
          <w:bCs/>
          <w:sz w:val="24"/>
          <w:szCs w:val="24"/>
        </w:rPr>
        <w:lastRenderedPageBreak/>
        <w:t>T-cell Epitope Immunogenicity: MHC I and II Binding Profiles</w:t>
      </w:r>
    </w:p>
    <w:p w14:paraId="3FF87A21" w14:textId="45F585DF"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Caudex" w:hAnsi="Times New Roman" w:cs="Times New Roman"/>
          <w:sz w:val="24"/>
          <w:szCs w:val="24"/>
        </w:rPr>
        <w:t>Evaluation of MHC I (9-mer) and MHC II (15-mer) binding across the proteome revealed extensive T-cell epitope repertoires, with 262,275 peptides predicted as strong CD8⁺ binders and 128,896 as strong CD4⁺ binders [18, 22]. Epitope distribution was heterogeneous, with the nucleoprotein and glycoprotein showing the highest densities of high-affinity binders, consistent with their size, structural flexibility, and immunological importance. Under stringent thresholds (MHC I ≤0.5 percentile; MHC II ≤2), the nucleoprotein produced 478 strong MHC I and 361 strong MHC II binders, while the glycoprotein yielded 328 and 162, respectively, many of which were allele-promiscuous and predicted to bind across multiple HLA supertypes, supporting broad population coverage [2, 13]. Overlaying these T-cell epitopes with predicted B-cell regions demonstrated substantial concordance, with more than 95% of strong glycoprotein epitopes and the majority of nucleoprotein epitopes mapping to B-cell–positive segments, defining multi-epitope hotspots capable of coordinated humoral and cellular activation</w:t>
      </w:r>
      <w:r w:rsidR="00FD08BF" w:rsidRPr="007D781A">
        <w:rPr>
          <w:rFonts w:ascii="Times New Roman" w:eastAsia="Caudex" w:hAnsi="Times New Roman" w:cs="Times New Roman"/>
          <w:sz w:val="24"/>
          <w:szCs w:val="24"/>
        </w:rPr>
        <w:t xml:space="preserve"> (Table 2)</w:t>
      </w:r>
      <w:r w:rsidRPr="007D781A">
        <w:rPr>
          <w:rFonts w:ascii="Times New Roman" w:eastAsia="Caudex" w:hAnsi="Times New Roman" w:cs="Times New Roman"/>
          <w:sz w:val="24"/>
          <w:szCs w:val="24"/>
        </w:rPr>
        <w:t>. Three major glycoprotein clusters emerged: residues ~101–160 containing overlapping MHC I/II binders such as LLLDPPTNV and FLYDRIAST; residues ~218–280 comprising a long hydrophilic region enriched with strong class II cores like ATRLNTTNPNSDDED; and residues ~455–503 incorporating dominant MHC I epitopes including DPVPNTKTI and LPHTSGNTAY within a coil-rich antigenic domain. Together, these sites represent highly promising targets for multi-epitope vaccine design.</w:t>
      </w:r>
    </w:p>
    <w:p w14:paraId="3A721789" w14:textId="77777777" w:rsidR="003A3F0C" w:rsidRPr="007D781A" w:rsidRDefault="003A3F0C">
      <w:pPr>
        <w:spacing w:before="240" w:after="240"/>
        <w:jc w:val="both"/>
        <w:rPr>
          <w:rFonts w:ascii="Times New Roman" w:eastAsia="Times New Roman" w:hAnsi="Times New Roman" w:cs="Times New Roman"/>
          <w:sz w:val="24"/>
          <w:szCs w:val="24"/>
        </w:rPr>
      </w:pPr>
    </w:p>
    <w:p w14:paraId="79D975FE" w14:textId="4C030F80" w:rsidR="007B703E" w:rsidRPr="007D781A" w:rsidRDefault="007B703E" w:rsidP="007B703E">
      <w:pPr>
        <w:pStyle w:val="Caption"/>
        <w:rPr>
          <w:b/>
          <w:bCs/>
          <w:color w:val="auto"/>
          <w:lang w:val="en-IN"/>
        </w:rPr>
      </w:pPr>
      <w:r w:rsidRPr="007D781A">
        <w:rPr>
          <w:color w:val="auto"/>
        </w:rPr>
        <w:t xml:space="preserve">Table </w:t>
      </w:r>
      <w:r w:rsidR="00C07E1A" w:rsidRPr="007D781A">
        <w:rPr>
          <w:color w:val="auto"/>
        </w:rPr>
        <w:fldChar w:fldCharType="begin"/>
      </w:r>
      <w:r w:rsidR="00C07E1A" w:rsidRPr="007D781A">
        <w:rPr>
          <w:color w:val="auto"/>
        </w:rPr>
        <w:instrText xml:space="preserve"> SEQ Table \* ARABIC </w:instrText>
      </w:r>
      <w:r w:rsidR="00C07E1A" w:rsidRPr="007D781A">
        <w:rPr>
          <w:color w:val="auto"/>
        </w:rPr>
        <w:fldChar w:fldCharType="separate"/>
      </w:r>
      <w:r w:rsidRPr="007D781A">
        <w:rPr>
          <w:noProof/>
          <w:color w:val="auto"/>
        </w:rPr>
        <w:t>2</w:t>
      </w:r>
      <w:r w:rsidR="00C07E1A" w:rsidRPr="007D781A">
        <w:rPr>
          <w:noProof/>
          <w:color w:val="auto"/>
        </w:rPr>
        <w:fldChar w:fldCharType="end"/>
      </w:r>
      <w:r w:rsidRPr="007D781A">
        <w:rPr>
          <w:color w:val="auto"/>
        </w:rPr>
        <w:t xml:space="preserve"> </w:t>
      </w:r>
      <w:r w:rsidRPr="007D781A">
        <w:rPr>
          <w:b/>
          <w:bCs/>
          <w:color w:val="auto"/>
          <w:lang w:val="en-IN"/>
        </w:rPr>
        <w:t>Comparative immunogenic profiling of Marburg virus nucleoprotein and glycoprotein.</w:t>
      </w:r>
    </w:p>
    <w:p w14:paraId="26908C75" w14:textId="77777777" w:rsidR="007B703E" w:rsidRPr="007D781A" w:rsidRDefault="007B703E" w:rsidP="007B703E">
      <w:pPr>
        <w:pStyle w:val="Caption"/>
        <w:keepNext/>
        <w:rPr>
          <w:color w:val="auto"/>
          <w:lang w:val="en-IN"/>
        </w:rPr>
      </w:pPr>
      <w:r w:rsidRPr="007D781A">
        <w:rPr>
          <w:color w:val="auto"/>
          <w:lang w:val="en-IN"/>
        </w:rPr>
        <w:t>Summary of the number of predicted strong MHC class I and class II T-cell epitopes, linear B-cell epitopes, and antigenicity scores for the nucleoprotein and glycoprotein. Although the nucleoprotein contains a larger repertoire of predicted T-cell epitopes, the glycoprotein exhibits higher antigenicity and substantial epitope density across all categories, supporting its prioritization as the primary antigenic target for multiepitope vaccine design.</w:t>
      </w:r>
    </w:p>
    <w:p w14:paraId="16CB578E" w14:textId="12692FA9" w:rsidR="007B703E" w:rsidRPr="007D781A" w:rsidRDefault="007B703E" w:rsidP="007B703E">
      <w:pPr>
        <w:pStyle w:val="Caption"/>
        <w:keepNext/>
        <w:rPr>
          <w:color w:val="auto"/>
        </w:rPr>
      </w:pPr>
    </w:p>
    <w:tbl>
      <w:tblPr>
        <w:tblStyle w:val="TableGrid"/>
        <w:tblW w:w="8590" w:type="dxa"/>
        <w:tblLayout w:type="fixed"/>
        <w:tblLook w:val="0600" w:firstRow="0" w:lastRow="0" w:firstColumn="0" w:lastColumn="0" w:noHBand="1" w:noVBand="1"/>
      </w:tblPr>
      <w:tblGrid>
        <w:gridCol w:w="1685"/>
        <w:gridCol w:w="1745"/>
        <w:gridCol w:w="1835"/>
        <w:gridCol w:w="1835"/>
        <w:gridCol w:w="1490"/>
      </w:tblGrid>
      <w:tr w:rsidR="007D781A" w:rsidRPr="007D781A" w14:paraId="258924FA" w14:textId="77777777" w:rsidTr="007B703E">
        <w:trPr>
          <w:trHeight w:val="500"/>
        </w:trPr>
        <w:tc>
          <w:tcPr>
            <w:tcW w:w="1685" w:type="dxa"/>
          </w:tcPr>
          <w:p w14:paraId="45FDAA8D"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Protein</w:t>
            </w:r>
          </w:p>
        </w:tc>
        <w:tc>
          <w:tcPr>
            <w:tcW w:w="1745" w:type="dxa"/>
          </w:tcPr>
          <w:p w14:paraId="2F84BD83"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Strong MHC-I</w:t>
            </w:r>
          </w:p>
        </w:tc>
        <w:tc>
          <w:tcPr>
            <w:tcW w:w="1835" w:type="dxa"/>
          </w:tcPr>
          <w:p w14:paraId="12671FB6"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Strong MHC-II</w:t>
            </w:r>
          </w:p>
        </w:tc>
        <w:tc>
          <w:tcPr>
            <w:tcW w:w="1835" w:type="dxa"/>
          </w:tcPr>
          <w:p w14:paraId="193849C8"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B-Cell Epitopes</w:t>
            </w:r>
          </w:p>
        </w:tc>
        <w:tc>
          <w:tcPr>
            <w:tcW w:w="1490" w:type="dxa"/>
          </w:tcPr>
          <w:p w14:paraId="1F734E22"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Antigenicity</w:t>
            </w:r>
          </w:p>
        </w:tc>
      </w:tr>
      <w:tr w:rsidR="007D781A" w:rsidRPr="007D781A" w14:paraId="763F1C6F" w14:textId="77777777" w:rsidTr="007B703E">
        <w:trPr>
          <w:trHeight w:val="500"/>
        </w:trPr>
        <w:tc>
          <w:tcPr>
            <w:tcW w:w="1685" w:type="dxa"/>
          </w:tcPr>
          <w:p w14:paraId="195C4E4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Nucleoprotein</w:t>
            </w:r>
          </w:p>
        </w:tc>
        <w:tc>
          <w:tcPr>
            <w:tcW w:w="1745" w:type="dxa"/>
          </w:tcPr>
          <w:p w14:paraId="0532FFBD"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478</w:t>
            </w:r>
          </w:p>
        </w:tc>
        <w:tc>
          <w:tcPr>
            <w:tcW w:w="1835" w:type="dxa"/>
          </w:tcPr>
          <w:p w14:paraId="1089AD4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361</w:t>
            </w:r>
          </w:p>
        </w:tc>
        <w:tc>
          <w:tcPr>
            <w:tcW w:w="1835" w:type="dxa"/>
          </w:tcPr>
          <w:p w14:paraId="0CC88E47"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30</w:t>
            </w:r>
          </w:p>
        </w:tc>
        <w:tc>
          <w:tcPr>
            <w:tcW w:w="1490" w:type="dxa"/>
          </w:tcPr>
          <w:p w14:paraId="0506F05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0.4791</w:t>
            </w:r>
          </w:p>
        </w:tc>
      </w:tr>
      <w:tr w:rsidR="003A3F0C" w:rsidRPr="007D781A" w14:paraId="2C4A9FDB" w14:textId="77777777" w:rsidTr="007B703E">
        <w:trPr>
          <w:trHeight w:val="500"/>
        </w:trPr>
        <w:tc>
          <w:tcPr>
            <w:tcW w:w="1685" w:type="dxa"/>
          </w:tcPr>
          <w:p w14:paraId="6E32BE90"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Glycoprotein</w:t>
            </w:r>
          </w:p>
        </w:tc>
        <w:tc>
          <w:tcPr>
            <w:tcW w:w="1745" w:type="dxa"/>
          </w:tcPr>
          <w:p w14:paraId="2BC59E6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328</w:t>
            </w:r>
          </w:p>
        </w:tc>
        <w:tc>
          <w:tcPr>
            <w:tcW w:w="1835" w:type="dxa"/>
          </w:tcPr>
          <w:p w14:paraId="575B04F9"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162</w:t>
            </w:r>
          </w:p>
        </w:tc>
        <w:tc>
          <w:tcPr>
            <w:tcW w:w="1835" w:type="dxa"/>
          </w:tcPr>
          <w:p w14:paraId="59DAB4B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25</w:t>
            </w:r>
          </w:p>
        </w:tc>
        <w:tc>
          <w:tcPr>
            <w:tcW w:w="1490" w:type="dxa"/>
          </w:tcPr>
          <w:p w14:paraId="3653149D"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0.5433</w:t>
            </w:r>
          </w:p>
        </w:tc>
      </w:tr>
    </w:tbl>
    <w:p w14:paraId="45E35FB6" w14:textId="77777777" w:rsidR="003A3F0C" w:rsidRPr="007D781A" w:rsidRDefault="003A3F0C">
      <w:pPr>
        <w:spacing w:before="240" w:after="240"/>
        <w:jc w:val="both"/>
        <w:rPr>
          <w:rFonts w:ascii="Times New Roman" w:eastAsia="Times New Roman" w:hAnsi="Times New Roman" w:cs="Times New Roman"/>
          <w:sz w:val="24"/>
          <w:szCs w:val="24"/>
        </w:rPr>
      </w:pPr>
    </w:p>
    <w:p w14:paraId="3EDBAA13" w14:textId="77777777" w:rsidR="003A3F0C" w:rsidRPr="007D781A" w:rsidRDefault="001C164D">
      <w:pPr>
        <w:pStyle w:val="Heading2"/>
        <w:keepNext w:val="0"/>
        <w:keepLines w:val="0"/>
        <w:spacing w:after="80"/>
        <w:jc w:val="both"/>
        <w:rPr>
          <w:rFonts w:ascii="Times New Roman" w:eastAsia="Times New Roman" w:hAnsi="Times New Roman" w:cs="Times New Roman"/>
          <w:b/>
          <w:bCs/>
          <w:sz w:val="24"/>
          <w:szCs w:val="24"/>
        </w:rPr>
      </w:pPr>
      <w:bookmarkStart w:id="16" w:name="_rlanfwqzvws1" w:colFirst="0" w:colLast="0"/>
      <w:bookmarkEnd w:id="16"/>
      <w:r w:rsidRPr="007D781A">
        <w:rPr>
          <w:rFonts w:ascii="Times New Roman" w:eastAsia="Times New Roman" w:hAnsi="Times New Roman" w:cs="Times New Roman"/>
          <w:b/>
          <w:bCs/>
          <w:sz w:val="24"/>
          <w:szCs w:val="24"/>
        </w:rPr>
        <w:t>Identification of the Glycoprotein as the Optimal Vaccine Antigen</w:t>
      </w:r>
    </w:p>
    <w:p w14:paraId="0C187665" w14:textId="71BBFF48" w:rsidR="003A3F0C" w:rsidRPr="007D781A" w:rsidRDefault="001C164D" w:rsidP="00BC4686">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lastRenderedPageBreak/>
        <w:t xml:space="preserve">Although the nucleoprotein contains the largest number of predicted T-cell epitopes, its internal </w:t>
      </w:r>
      <w:proofErr w:type="spellStart"/>
      <w:r w:rsidRPr="007D781A">
        <w:rPr>
          <w:rFonts w:ascii="Times New Roman" w:eastAsia="Times New Roman" w:hAnsi="Times New Roman" w:cs="Times New Roman"/>
          <w:sz w:val="24"/>
          <w:szCs w:val="24"/>
        </w:rPr>
        <w:t>localisation</w:t>
      </w:r>
      <w:proofErr w:type="spellEnd"/>
      <w:r w:rsidRPr="007D781A">
        <w:rPr>
          <w:rFonts w:ascii="Times New Roman" w:eastAsia="Times New Roman" w:hAnsi="Times New Roman" w:cs="Times New Roman"/>
          <w:sz w:val="24"/>
          <w:szCs w:val="24"/>
        </w:rPr>
        <w:t xml:space="preserve"> limits its accessibility to </w:t>
      </w:r>
      <w:proofErr w:type="spellStart"/>
      <w:r w:rsidRPr="007D781A">
        <w:rPr>
          <w:rFonts w:ascii="Times New Roman" w:eastAsia="Times New Roman" w:hAnsi="Times New Roman" w:cs="Times New Roman"/>
          <w:sz w:val="24"/>
          <w:szCs w:val="24"/>
        </w:rPr>
        <w:t>neutralising</w:t>
      </w:r>
      <w:proofErr w:type="spellEnd"/>
      <w:r w:rsidRPr="007D781A">
        <w:rPr>
          <w:rFonts w:ascii="Times New Roman" w:eastAsia="Times New Roman" w:hAnsi="Times New Roman" w:cs="Times New Roman"/>
          <w:sz w:val="24"/>
          <w:szCs w:val="24"/>
        </w:rPr>
        <w:t xml:space="preserve"> antibodies. In contrast, the envelope glycoprotein is surface-exposed and essential for receptor binding and membrane fusion, exhibits high antigenicity (0.5433), contains numerous allele-promiscuous MHC class I and II epitopes,</w:t>
      </w:r>
      <w:r w:rsidR="00FD08BF" w:rsidRPr="007D781A">
        <w:rPr>
          <w:rFonts w:ascii="Times New Roman" w:eastAsia="Times New Roman" w:hAnsi="Times New Roman" w:cs="Times New Roman"/>
          <w:sz w:val="24"/>
          <w:szCs w:val="24"/>
        </w:rPr>
        <w:t xml:space="preserve"> (Table 3,4)</w:t>
      </w:r>
      <w:r w:rsidRPr="007D781A">
        <w:rPr>
          <w:rFonts w:ascii="Times New Roman" w:eastAsia="Times New Roman" w:hAnsi="Times New Roman" w:cs="Times New Roman"/>
          <w:sz w:val="24"/>
          <w:szCs w:val="24"/>
        </w:rPr>
        <w:t xml:space="preserve"> </w:t>
      </w:r>
      <w:proofErr w:type="spellStart"/>
      <w:r w:rsidRPr="007D781A">
        <w:rPr>
          <w:rFonts w:ascii="Times New Roman" w:eastAsia="Times New Roman" w:hAnsi="Times New Roman" w:cs="Times New Roman"/>
          <w:sz w:val="24"/>
          <w:szCs w:val="24"/>
        </w:rPr>
        <w:t>harbours</w:t>
      </w:r>
      <w:proofErr w:type="spellEnd"/>
      <w:r w:rsidRPr="007D781A">
        <w:rPr>
          <w:rFonts w:ascii="Times New Roman" w:eastAsia="Times New Roman" w:hAnsi="Times New Roman" w:cs="Times New Roman"/>
          <w:sz w:val="24"/>
          <w:szCs w:val="24"/>
        </w:rPr>
        <w:t xml:space="preserve"> extensive overlapping B-cell and T-cell clusters, and possesses structurally flexible coil-rich regions that make it highly suitable for antibody recognition, collectively identifying it as the superior vaccine antigen.</w:t>
      </w:r>
    </w:p>
    <w:p w14:paraId="2182ABDA" w14:textId="11F88C7B" w:rsidR="003A3F0C" w:rsidRPr="007D781A" w:rsidRDefault="001C164D" w:rsidP="00BC4686">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Together, these properties strongly support the glycoprotein as the most compelling primary antigen for a reverse-vaccinology–based subunit or multi-epitope vaccine. The nucleoprotein, VP24, and VP30 may serve as complementary internal antigens to broaden CD8⁺ and CD4⁺ T-cell </w:t>
      </w:r>
      <w:proofErr w:type="gramStart"/>
      <w:r w:rsidRPr="007D781A">
        <w:rPr>
          <w:rFonts w:ascii="Times New Roman" w:eastAsia="Times New Roman" w:hAnsi="Times New Roman" w:cs="Times New Roman"/>
          <w:sz w:val="24"/>
          <w:szCs w:val="24"/>
        </w:rPr>
        <w:t>responses.</w:t>
      </w:r>
      <w:r w:rsidR="00FD08BF" w:rsidRPr="007D781A">
        <w:rPr>
          <w:rFonts w:ascii="Times New Roman" w:eastAsia="Times New Roman" w:hAnsi="Times New Roman" w:cs="Times New Roman"/>
          <w:sz w:val="24"/>
          <w:szCs w:val="24"/>
        </w:rPr>
        <w:t>(</w:t>
      </w:r>
      <w:proofErr w:type="gramEnd"/>
      <w:r w:rsidR="00FD08BF" w:rsidRPr="007D781A">
        <w:rPr>
          <w:rFonts w:ascii="Times New Roman" w:eastAsia="Times New Roman" w:hAnsi="Times New Roman" w:cs="Times New Roman"/>
          <w:sz w:val="24"/>
          <w:szCs w:val="24"/>
        </w:rPr>
        <w:t>Table 5)</w:t>
      </w:r>
    </w:p>
    <w:p w14:paraId="2D0795A6" w14:textId="77777777" w:rsidR="003A3F0C" w:rsidRPr="007D781A" w:rsidRDefault="003A3F0C">
      <w:pPr>
        <w:spacing w:before="240" w:after="240"/>
        <w:jc w:val="both"/>
        <w:rPr>
          <w:rFonts w:ascii="Times New Roman" w:eastAsia="Times New Roman" w:hAnsi="Times New Roman" w:cs="Times New Roman"/>
          <w:sz w:val="24"/>
          <w:szCs w:val="24"/>
        </w:rPr>
      </w:pPr>
    </w:p>
    <w:p w14:paraId="2929A1E7" w14:textId="0AA81C57" w:rsidR="007B703E" w:rsidRPr="007D781A" w:rsidRDefault="007B703E" w:rsidP="007B703E">
      <w:pPr>
        <w:pStyle w:val="Caption"/>
        <w:rPr>
          <w:b/>
          <w:bCs/>
          <w:color w:val="auto"/>
          <w:lang w:val="en-IN"/>
        </w:rPr>
      </w:pPr>
      <w:r w:rsidRPr="007D781A">
        <w:rPr>
          <w:color w:val="auto"/>
        </w:rPr>
        <w:t xml:space="preserve">Table </w:t>
      </w:r>
      <w:r w:rsidR="00C07E1A" w:rsidRPr="007D781A">
        <w:rPr>
          <w:color w:val="auto"/>
        </w:rPr>
        <w:fldChar w:fldCharType="begin"/>
      </w:r>
      <w:r w:rsidR="00C07E1A" w:rsidRPr="007D781A">
        <w:rPr>
          <w:color w:val="auto"/>
        </w:rPr>
        <w:instrText xml:space="preserve"> SEQ Table \* ARABIC </w:instrText>
      </w:r>
      <w:r w:rsidR="00C07E1A" w:rsidRPr="007D781A">
        <w:rPr>
          <w:color w:val="auto"/>
        </w:rPr>
        <w:fldChar w:fldCharType="separate"/>
      </w:r>
      <w:r w:rsidRPr="007D781A">
        <w:rPr>
          <w:noProof/>
          <w:color w:val="auto"/>
        </w:rPr>
        <w:t>3</w:t>
      </w:r>
      <w:r w:rsidR="00C07E1A" w:rsidRPr="007D781A">
        <w:rPr>
          <w:noProof/>
          <w:color w:val="auto"/>
        </w:rPr>
        <w:fldChar w:fldCharType="end"/>
      </w:r>
      <w:r w:rsidRPr="007D781A">
        <w:rPr>
          <w:color w:val="auto"/>
        </w:rPr>
        <w:t xml:space="preserve"> </w:t>
      </w:r>
      <w:r w:rsidRPr="007D781A">
        <w:rPr>
          <w:b/>
          <w:bCs/>
          <w:color w:val="auto"/>
          <w:lang w:val="en-IN"/>
        </w:rPr>
        <w:t>High-affinity HLA class I–restricted CTL epitopes predicted from the Marburg virus glycoprotein.</w:t>
      </w:r>
    </w:p>
    <w:p w14:paraId="3D34F150" w14:textId="77777777" w:rsidR="007B703E" w:rsidRPr="007D781A" w:rsidRDefault="007B703E" w:rsidP="007B703E">
      <w:pPr>
        <w:pStyle w:val="Caption"/>
        <w:keepNext/>
        <w:rPr>
          <w:color w:val="auto"/>
          <w:lang w:val="en-IN"/>
        </w:rPr>
      </w:pPr>
      <w:r w:rsidRPr="007D781A">
        <w:rPr>
          <w:color w:val="auto"/>
          <w:lang w:val="en-IN"/>
        </w:rPr>
        <w:t>List of top predicted CD8</w:t>
      </w:r>
      <w:r w:rsidRPr="007D781A">
        <w:rPr>
          <w:rFonts w:ascii="Cambria Math" w:hAnsi="Cambria Math" w:cs="Cambria Math"/>
          <w:color w:val="auto"/>
          <w:lang w:val="en-IN"/>
        </w:rPr>
        <w:t>⁺</w:t>
      </w:r>
      <w:r w:rsidRPr="007D781A">
        <w:rPr>
          <w:color w:val="auto"/>
          <w:lang w:val="en-IN"/>
        </w:rPr>
        <w:t xml:space="preserve"> T-cell epitopes ranked by binding affinity across multiple HLA class I alleles. For each epitope, the corresponding HLA allele, residue position (start–end), predicted peptide sequence, binding score, and percentile rank are provided. All epitopes displayed exceptionally strong HLA binding (≤0.02 percentile), with several epitopes (e.g., HAQGIALHLW, LLLDPPTNV, FLYDRIAST) showing broad immunogenic potential and suitability for inclusion in the multiepitope vaccine construct.</w:t>
      </w:r>
    </w:p>
    <w:p w14:paraId="5A1E8A16" w14:textId="331A4E19" w:rsidR="007B703E" w:rsidRPr="007D781A" w:rsidRDefault="007B703E" w:rsidP="007B703E">
      <w:pPr>
        <w:pStyle w:val="Caption"/>
        <w:keepNext/>
        <w:rPr>
          <w:b/>
          <w:bCs/>
          <w:color w:val="auto"/>
          <w:lang w:val="en-IN"/>
        </w:rPr>
      </w:pPr>
    </w:p>
    <w:tbl>
      <w:tblPr>
        <w:tblStyle w:val="TableGrid"/>
        <w:tblW w:w="6925" w:type="dxa"/>
        <w:tblLayout w:type="fixed"/>
        <w:tblLook w:val="0600" w:firstRow="0" w:lastRow="0" w:firstColumn="0" w:lastColumn="0" w:noHBand="1" w:noVBand="1"/>
      </w:tblPr>
      <w:tblGrid>
        <w:gridCol w:w="1640"/>
        <w:gridCol w:w="1295"/>
        <w:gridCol w:w="1850"/>
        <w:gridCol w:w="890"/>
        <w:gridCol w:w="1250"/>
      </w:tblGrid>
      <w:tr w:rsidR="007D781A" w:rsidRPr="007D781A" w14:paraId="5BF63F78" w14:textId="77777777" w:rsidTr="007B703E">
        <w:trPr>
          <w:trHeight w:val="500"/>
        </w:trPr>
        <w:tc>
          <w:tcPr>
            <w:tcW w:w="1640" w:type="dxa"/>
          </w:tcPr>
          <w:p w14:paraId="1704D7C6"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HLA allele</w:t>
            </w:r>
          </w:p>
        </w:tc>
        <w:tc>
          <w:tcPr>
            <w:tcW w:w="1295" w:type="dxa"/>
          </w:tcPr>
          <w:p w14:paraId="2FD691EF"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Start–End</w:t>
            </w:r>
          </w:p>
        </w:tc>
        <w:tc>
          <w:tcPr>
            <w:tcW w:w="1850" w:type="dxa"/>
          </w:tcPr>
          <w:p w14:paraId="55A950D8"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Peptide</w:t>
            </w:r>
          </w:p>
        </w:tc>
        <w:tc>
          <w:tcPr>
            <w:tcW w:w="890" w:type="dxa"/>
          </w:tcPr>
          <w:p w14:paraId="5B8F5232"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Score</w:t>
            </w:r>
          </w:p>
        </w:tc>
        <w:tc>
          <w:tcPr>
            <w:tcW w:w="1250" w:type="dxa"/>
          </w:tcPr>
          <w:p w14:paraId="24513F4D"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Percentile</w:t>
            </w:r>
          </w:p>
        </w:tc>
      </w:tr>
      <w:tr w:rsidR="007D781A" w:rsidRPr="007D781A" w14:paraId="2C87636D" w14:textId="77777777" w:rsidTr="007B703E">
        <w:trPr>
          <w:trHeight w:val="500"/>
        </w:trPr>
        <w:tc>
          <w:tcPr>
            <w:tcW w:w="1640" w:type="dxa"/>
          </w:tcPr>
          <w:p w14:paraId="10EDB7E9"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HLA-B*57:01</w:t>
            </w:r>
          </w:p>
        </w:tc>
        <w:tc>
          <w:tcPr>
            <w:tcW w:w="1295" w:type="dxa"/>
          </w:tcPr>
          <w:p w14:paraId="0AB52CE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131–140</w:t>
            </w:r>
          </w:p>
        </w:tc>
        <w:tc>
          <w:tcPr>
            <w:tcW w:w="1850" w:type="dxa"/>
          </w:tcPr>
          <w:p w14:paraId="638869C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HAQGIALHLW</w:t>
            </w:r>
          </w:p>
        </w:tc>
        <w:tc>
          <w:tcPr>
            <w:tcW w:w="890" w:type="dxa"/>
          </w:tcPr>
          <w:p w14:paraId="034F5C5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0.9866</w:t>
            </w:r>
          </w:p>
        </w:tc>
        <w:tc>
          <w:tcPr>
            <w:tcW w:w="1250" w:type="dxa"/>
          </w:tcPr>
          <w:p w14:paraId="1696A6BD"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0.01</w:t>
            </w:r>
          </w:p>
        </w:tc>
      </w:tr>
      <w:tr w:rsidR="007D781A" w:rsidRPr="007D781A" w14:paraId="7AC10B72" w14:textId="77777777" w:rsidTr="007B703E">
        <w:trPr>
          <w:trHeight w:val="500"/>
        </w:trPr>
        <w:tc>
          <w:tcPr>
            <w:tcW w:w="1640" w:type="dxa"/>
          </w:tcPr>
          <w:p w14:paraId="60FE1101"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HLA-A*68:01</w:t>
            </w:r>
          </w:p>
        </w:tc>
        <w:tc>
          <w:tcPr>
            <w:tcW w:w="1295" w:type="dxa"/>
          </w:tcPr>
          <w:p w14:paraId="0DDF4D5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588–596</w:t>
            </w:r>
          </w:p>
        </w:tc>
        <w:tc>
          <w:tcPr>
            <w:tcW w:w="1850" w:type="dxa"/>
          </w:tcPr>
          <w:p w14:paraId="4AA71E15"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HAIDFLLTR</w:t>
            </w:r>
          </w:p>
        </w:tc>
        <w:tc>
          <w:tcPr>
            <w:tcW w:w="890" w:type="dxa"/>
          </w:tcPr>
          <w:p w14:paraId="0839E1CD"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0.9831</w:t>
            </w:r>
          </w:p>
        </w:tc>
        <w:tc>
          <w:tcPr>
            <w:tcW w:w="1250" w:type="dxa"/>
          </w:tcPr>
          <w:p w14:paraId="2F98249B"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0.01</w:t>
            </w:r>
          </w:p>
        </w:tc>
      </w:tr>
      <w:tr w:rsidR="007D781A" w:rsidRPr="007D781A" w14:paraId="1FA2302C" w14:textId="77777777" w:rsidTr="007B703E">
        <w:trPr>
          <w:trHeight w:val="500"/>
        </w:trPr>
        <w:tc>
          <w:tcPr>
            <w:tcW w:w="1640" w:type="dxa"/>
          </w:tcPr>
          <w:p w14:paraId="5AE11D0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HLA-A*02:01</w:t>
            </w:r>
          </w:p>
        </w:tc>
        <w:tc>
          <w:tcPr>
            <w:tcW w:w="1295" w:type="dxa"/>
          </w:tcPr>
          <w:p w14:paraId="0922B4A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105–113</w:t>
            </w:r>
          </w:p>
        </w:tc>
        <w:tc>
          <w:tcPr>
            <w:tcW w:w="1850" w:type="dxa"/>
          </w:tcPr>
          <w:p w14:paraId="1379968E"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LLLDPPTNV</w:t>
            </w:r>
          </w:p>
        </w:tc>
        <w:tc>
          <w:tcPr>
            <w:tcW w:w="890" w:type="dxa"/>
          </w:tcPr>
          <w:p w14:paraId="3A91934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0.9829</w:t>
            </w:r>
          </w:p>
        </w:tc>
        <w:tc>
          <w:tcPr>
            <w:tcW w:w="1250" w:type="dxa"/>
          </w:tcPr>
          <w:p w14:paraId="7DCC3F3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0.01</w:t>
            </w:r>
          </w:p>
        </w:tc>
      </w:tr>
      <w:tr w:rsidR="007D781A" w:rsidRPr="007D781A" w14:paraId="1FA5D7A3" w14:textId="77777777" w:rsidTr="007B703E">
        <w:trPr>
          <w:trHeight w:val="500"/>
        </w:trPr>
        <w:tc>
          <w:tcPr>
            <w:tcW w:w="1640" w:type="dxa"/>
          </w:tcPr>
          <w:p w14:paraId="2C1EBFF5"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HLA-A*02:03</w:t>
            </w:r>
          </w:p>
        </w:tc>
        <w:tc>
          <w:tcPr>
            <w:tcW w:w="1295" w:type="dxa"/>
          </w:tcPr>
          <w:p w14:paraId="32B6E7C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144–152</w:t>
            </w:r>
          </w:p>
        </w:tc>
        <w:tc>
          <w:tcPr>
            <w:tcW w:w="1850" w:type="dxa"/>
          </w:tcPr>
          <w:p w14:paraId="2DE6ABF7"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FLYDRIAST</w:t>
            </w:r>
          </w:p>
        </w:tc>
        <w:tc>
          <w:tcPr>
            <w:tcW w:w="890" w:type="dxa"/>
          </w:tcPr>
          <w:p w14:paraId="055FE11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0.9820</w:t>
            </w:r>
          </w:p>
        </w:tc>
        <w:tc>
          <w:tcPr>
            <w:tcW w:w="1250" w:type="dxa"/>
          </w:tcPr>
          <w:p w14:paraId="4A4A4E2C"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0.01</w:t>
            </w:r>
          </w:p>
        </w:tc>
      </w:tr>
      <w:tr w:rsidR="007D781A" w:rsidRPr="007D781A" w14:paraId="5C185C71" w14:textId="77777777" w:rsidTr="007B703E">
        <w:trPr>
          <w:trHeight w:val="500"/>
        </w:trPr>
        <w:tc>
          <w:tcPr>
            <w:tcW w:w="1640" w:type="dxa"/>
          </w:tcPr>
          <w:p w14:paraId="384E400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HLA-A*11:01</w:t>
            </w:r>
          </w:p>
        </w:tc>
        <w:tc>
          <w:tcPr>
            <w:tcW w:w="1295" w:type="dxa"/>
          </w:tcPr>
          <w:p w14:paraId="2CFB7F79"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35–43</w:t>
            </w:r>
          </w:p>
        </w:tc>
        <w:tc>
          <w:tcPr>
            <w:tcW w:w="1850" w:type="dxa"/>
          </w:tcPr>
          <w:p w14:paraId="47561581"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SVCSGTLQK</w:t>
            </w:r>
          </w:p>
        </w:tc>
        <w:tc>
          <w:tcPr>
            <w:tcW w:w="890" w:type="dxa"/>
          </w:tcPr>
          <w:p w14:paraId="4C83D9D1"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0.9467</w:t>
            </w:r>
          </w:p>
        </w:tc>
        <w:tc>
          <w:tcPr>
            <w:tcW w:w="1250" w:type="dxa"/>
          </w:tcPr>
          <w:p w14:paraId="79480C9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0.01</w:t>
            </w:r>
          </w:p>
        </w:tc>
      </w:tr>
      <w:tr w:rsidR="007D781A" w:rsidRPr="007D781A" w14:paraId="1EC17369" w14:textId="77777777" w:rsidTr="007B703E">
        <w:trPr>
          <w:trHeight w:val="500"/>
        </w:trPr>
        <w:tc>
          <w:tcPr>
            <w:tcW w:w="1640" w:type="dxa"/>
          </w:tcPr>
          <w:p w14:paraId="2D9F357E"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HLA-A*30:01</w:t>
            </w:r>
          </w:p>
        </w:tc>
        <w:tc>
          <w:tcPr>
            <w:tcW w:w="1295" w:type="dxa"/>
          </w:tcPr>
          <w:p w14:paraId="4FD3DF77"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71–79</w:t>
            </w:r>
          </w:p>
        </w:tc>
        <w:tc>
          <w:tcPr>
            <w:tcW w:w="1850" w:type="dxa"/>
          </w:tcPr>
          <w:p w14:paraId="0E30B705"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AFRTGVPPK</w:t>
            </w:r>
          </w:p>
        </w:tc>
        <w:tc>
          <w:tcPr>
            <w:tcW w:w="890" w:type="dxa"/>
          </w:tcPr>
          <w:p w14:paraId="7DE9E5AC"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0.8438</w:t>
            </w:r>
          </w:p>
        </w:tc>
        <w:tc>
          <w:tcPr>
            <w:tcW w:w="1250" w:type="dxa"/>
          </w:tcPr>
          <w:p w14:paraId="111CF3CB"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0.01</w:t>
            </w:r>
          </w:p>
        </w:tc>
      </w:tr>
      <w:tr w:rsidR="007D781A" w:rsidRPr="007D781A" w14:paraId="67382916" w14:textId="77777777" w:rsidTr="007B703E">
        <w:trPr>
          <w:trHeight w:val="500"/>
        </w:trPr>
        <w:tc>
          <w:tcPr>
            <w:tcW w:w="1640" w:type="dxa"/>
          </w:tcPr>
          <w:p w14:paraId="7E75539D"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lastRenderedPageBreak/>
              <w:t>HLA-B*35:01</w:t>
            </w:r>
          </w:p>
        </w:tc>
        <w:tc>
          <w:tcPr>
            <w:tcW w:w="1295" w:type="dxa"/>
          </w:tcPr>
          <w:p w14:paraId="7615B16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494–503</w:t>
            </w:r>
          </w:p>
        </w:tc>
        <w:tc>
          <w:tcPr>
            <w:tcW w:w="1850" w:type="dxa"/>
          </w:tcPr>
          <w:p w14:paraId="3942E67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LPHTSGNTAY</w:t>
            </w:r>
          </w:p>
        </w:tc>
        <w:tc>
          <w:tcPr>
            <w:tcW w:w="890" w:type="dxa"/>
          </w:tcPr>
          <w:p w14:paraId="5690A31F"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0.9468</w:t>
            </w:r>
          </w:p>
        </w:tc>
        <w:tc>
          <w:tcPr>
            <w:tcW w:w="1250" w:type="dxa"/>
          </w:tcPr>
          <w:p w14:paraId="05CEBD1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0.02</w:t>
            </w:r>
          </w:p>
        </w:tc>
      </w:tr>
      <w:tr w:rsidR="007D781A" w:rsidRPr="007D781A" w14:paraId="0B5BAF7C" w14:textId="77777777" w:rsidTr="007B703E">
        <w:trPr>
          <w:trHeight w:val="500"/>
        </w:trPr>
        <w:tc>
          <w:tcPr>
            <w:tcW w:w="1640" w:type="dxa"/>
          </w:tcPr>
          <w:p w14:paraId="708D311E"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HLA-B*44:02</w:t>
            </w:r>
          </w:p>
        </w:tc>
        <w:tc>
          <w:tcPr>
            <w:tcW w:w="1295" w:type="dxa"/>
          </w:tcPr>
          <w:p w14:paraId="73A23CF6"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629–637</w:t>
            </w:r>
          </w:p>
        </w:tc>
        <w:tc>
          <w:tcPr>
            <w:tcW w:w="1850" w:type="dxa"/>
          </w:tcPr>
          <w:p w14:paraId="3209AD51"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DEQKEGTGW</w:t>
            </w:r>
          </w:p>
        </w:tc>
        <w:tc>
          <w:tcPr>
            <w:tcW w:w="890" w:type="dxa"/>
          </w:tcPr>
          <w:p w14:paraId="384AD15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0.9269</w:t>
            </w:r>
          </w:p>
        </w:tc>
        <w:tc>
          <w:tcPr>
            <w:tcW w:w="1250" w:type="dxa"/>
          </w:tcPr>
          <w:p w14:paraId="294D08E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0.02</w:t>
            </w:r>
          </w:p>
        </w:tc>
      </w:tr>
      <w:tr w:rsidR="007D781A" w:rsidRPr="007D781A" w14:paraId="6B95A688" w14:textId="77777777" w:rsidTr="007B703E">
        <w:trPr>
          <w:trHeight w:val="500"/>
        </w:trPr>
        <w:tc>
          <w:tcPr>
            <w:tcW w:w="1640" w:type="dxa"/>
          </w:tcPr>
          <w:p w14:paraId="5767DD8B"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HLA-B*53:01</w:t>
            </w:r>
          </w:p>
        </w:tc>
        <w:tc>
          <w:tcPr>
            <w:tcW w:w="1295" w:type="dxa"/>
          </w:tcPr>
          <w:p w14:paraId="46AB11DC"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62–70</w:t>
            </w:r>
          </w:p>
        </w:tc>
        <w:tc>
          <w:tcPr>
            <w:tcW w:w="1850" w:type="dxa"/>
          </w:tcPr>
          <w:p w14:paraId="2BD9022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SPLEASKRW</w:t>
            </w:r>
          </w:p>
        </w:tc>
        <w:tc>
          <w:tcPr>
            <w:tcW w:w="890" w:type="dxa"/>
          </w:tcPr>
          <w:p w14:paraId="3F33AAB1"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0.9216</w:t>
            </w:r>
          </w:p>
        </w:tc>
        <w:tc>
          <w:tcPr>
            <w:tcW w:w="1250" w:type="dxa"/>
          </w:tcPr>
          <w:p w14:paraId="3C28280F"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0.02</w:t>
            </w:r>
          </w:p>
        </w:tc>
      </w:tr>
      <w:tr w:rsidR="003A3F0C" w:rsidRPr="007D781A" w14:paraId="2B9A7349" w14:textId="77777777" w:rsidTr="007B703E">
        <w:trPr>
          <w:trHeight w:val="500"/>
        </w:trPr>
        <w:tc>
          <w:tcPr>
            <w:tcW w:w="1640" w:type="dxa"/>
          </w:tcPr>
          <w:p w14:paraId="67229C80"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HLA-B*51:01</w:t>
            </w:r>
          </w:p>
        </w:tc>
        <w:tc>
          <w:tcPr>
            <w:tcW w:w="1295" w:type="dxa"/>
          </w:tcPr>
          <w:p w14:paraId="35DAC65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458–466</w:t>
            </w:r>
          </w:p>
        </w:tc>
        <w:tc>
          <w:tcPr>
            <w:tcW w:w="1850" w:type="dxa"/>
          </w:tcPr>
          <w:p w14:paraId="24F7203E"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DPVPNTKTI</w:t>
            </w:r>
          </w:p>
        </w:tc>
        <w:tc>
          <w:tcPr>
            <w:tcW w:w="890" w:type="dxa"/>
          </w:tcPr>
          <w:p w14:paraId="379CA5F1"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0.9095</w:t>
            </w:r>
          </w:p>
        </w:tc>
        <w:tc>
          <w:tcPr>
            <w:tcW w:w="1250" w:type="dxa"/>
          </w:tcPr>
          <w:p w14:paraId="0F96E9F7"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0.02</w:t>
            </w:r>
          </w:p>
        </w:tc>
      </w:tr>
    </w:tbl>
    <w:p w14:paraId="5F458717" w14:textId="77777777" w:rsidR="003A3F0C" w:rsidRPr="007D781A" w:rsidRDefault="003A3F0C">
      <w:pPr>
        <w:spacing w:before="240" w:after="240"/>
        <w:jc w:val="both"/>
        <w:rPr>
          <w:rFonts w:ascii="Times New Roman" w:eastAsia="Times New Roman" w:hAnsi="Times New Roman" w:cs="Times New Roman"/>
          <w:sz w:val="24"/>
          <w:szCs w:val="24"/>
        </w:rPr>
      </w:pPr>
    </w:p>
    <w:p w14:paraId="5EF297F2" w14:textId="24F027F5" w:rsidR="007B703E" w:rsidRPr="007D781A" w:rsidRDefault="007B703E" w:rsidP="007B703E">
      <w:pPr>
        <w:pStyle w:val="Caption"/>
        <w:rPr>
          <w:b/>
          <w:bCs/>
          <w:color w:val="auto"/>
          <w:lang w:val="en-IN"/>
        </w:rPr>
      </w:pPr>
      <w:r w:rsidRPr="007D781A">
        <w:rPr>
          <w:color w:val="auto"/>
        </w:rPr>
        <w:t xml:space="preserve">Table </w:t>
      </w:r>
      <w:r w:rsidR="00C07E1A" w:rsidRPr="007D781A">
        <w:rPr>
          <w:color w:val="auto"/>
        </w:rPr>
        <w:fldChar w:fldCharType="begin"/>
      </w:r>
      <w:r w:rsidR="00C07E1A" w:rsidRPr="007D781A">
        <w:rPr>
          <w:color w:val="auto"/>
        </w:rPr>
        <w:instrText xml:space="preserve"> SEQ Table \* ARABIC </w:instrText>
      </w:r>
      <w:r w:rsidR="00C07E1A" w:rsidRPr="007D781A">
        <w:rPr>
          <w:color w:val="auto"/>
        </w:rPr>
        <w:fldChar w:fldCharType="separate"/>
      </w:r>
      <w:r w:rsidRPr="007D781A">
        <w:rPr>
          <w:noProof/>
          <w:color w:val="auto"/>
        </w:rPr>
        <w:t>4</w:t>
      </w:r>
      <w:r w:rsidR="00C07E1A" w:rsidRPr="007D781A">
        <w:rPr>
          <w:noProof/>
          <w:color w:val="auto"/>
        </w:rPr>
        <w:fldChar w:fldCharType="end"/>
      </w:r>
      <w:r w:rsidRPr="007D781A">
        <w:rPr>
          <w:color w:val="auto"/>
        </w:rPr>
        <w:t xml:space="preserve"> </w:t>
      </w:r>
      <w:r w:rsidRPr="007D781A">
        <w:rPr>
          <w:b/>
          <w:bCs/>
          <w:color w:val="auto"/>
          <w:lang w:val="en-IN"/>
        </w:rPr>
        <w:t>High-affinity HLA class II–restricted helper T-cell epitopes predicted from the Marburg virus glycoprotein.</w:t>
      </w:r>
    </w:p>
    <w:p w14:paraId="1BBC0F62" w14:textId="77777777" w:rsidR="007B703E" w:rsidRPr="007D781A" w:rsidRDefault="007B703E" w:rsidP="007B703E">
      <w:pPr>
        <w:pStyle w:val="Caption"/>
        <w:keepNext/>
        <w:rPr>
          <w:color w:val="auto"/>
          <w:lang w:val="en-IN"/>
        </w:rPr>
      </w:pPr>
      <w:r w:rsidRPr="007D781A">
        <w:rPr>
          <w:color w:val="auto"/>
          <w:lang w:val="en-IN"/>
        </w:rPr>
        <w:t>Predicted CD4</w:t>
      </w:r>
      <w:r w:rsidRPr="007D781A">
        <w:rPr>
          <w:rFonts w:ascii="Cambria Math" w:hAnsi="Cambria Math" w:cs="Cambria Math"/>
          <w:color w:val="auto"/>
          <w:lang w:val="en-IN"/>
        </w:rPr>
        <w:t>⁺</w:t>
      </w:r>
      <w:r w:rsidRPr="007D781A">
        <w:rPr>
          <w:color w:val="auto"/>
          <w:lang w:val="en-IN"/>
        </w:rPr>
        <w:t xml:space="preserve"> T-cell epitopes showing strong binding affinity to multiple HLA class II alleles. For each epitope, the corresponding allele, start–end residue positions, binding core, full 15-mer peptide, binding score, and percentile rank are shown. Several epitopes—including EERTFSLINRHAIDF, ATRLNTTNPNSDDED, and TTMYRGKVFTEGNIA—exhibited very low percentile ranks (≤0.10) and strong promiscuous binding across DR, DQ, and DP alleles. These epitopes represent the most immunologically relevant candidates for inclusion in the multiepitope vaccine construct due to their predicted broad HLA coverage and stable binding profiles.</w:t>
      </w:r>
    </w:p>
    <w:p w14:paraId="0D75446E" w14:textId="18A6EEBB" w:rsidR="007B703E" w:rsidRPr="007D781A" w:rsidRDefault="007B703E" w:rsidP="007B703E">
      <w:pPr>
        <w:pStyle w:val="Caption"/>
        <w:keepNext/>
        <w:rPr>
          <w:color w:val="auto"/>
          <w:lang w:val="en-IN"/>
        </w:rPr>
      </w:pPr>
    </w:p>
    <w:tbl>
      <w:tblPr>
        <w:tblStyle w:val="TableGrid"/>
        <w:tblW w:w="9360" w:type="dxa"/>
        <w:tblLayout w:type="fixed"/>
        <w:tblLook w:val="0600" w:firstRow="0" w:lastRow="0" w:firstColumn="0" w:lastColumn="0" w:noHBand="1" w:noVBand="1"/>
      </w:tblPr>
      <w:tblGrid>
        <w:gridCol w:w="2504"/>
        <w:gridCol w:w="1219"/>
        <w:gridCol w:w="1586"/>
        <w:gridCol w:w="2476"/>
        <w:gridCol w:w="837"/>
        <w:gridCol w:w="738"/>
      </w:tblGrid>
      <w:tr w:rsidR="007D781A" w:rsidRPr="007D781A" w14:paraId="611CF37C" w14:textId="77777777" w:rsidTr="007B703E">
        <w:trPr>
          <w:trHeight w:val="500"/>
        </w:trPr>
        <w:tc>
          <w:tcPr>
            <w:tcW w:w="2503" w:type="dxa"/>
          </w:tcPr>
          <w:p w14:paraId="095C79D1"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HLA allele</w:t>
            </w:r>
          </w:p>
        </w:tc>
        <w:tc>
          <w:tcPr>
            <w:tcW w:w="1218" w:type="dxa"/>
          </w:tcPr>
          <w:p w14:paraId="3BB9EF17"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Start–End</w:t>
            </w:r>
          </w:p>
        </w:tc>
        <w:tc>
          <w:tcPr>
            <w:tcW w:w="1585" w:type="dxa"/>
          </w:tcPr>
          <w:p w14:paraId="6716069E"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Core</w:t>
            </w:r>
          </w:p>
        </w:tc>
        <w:tc>
          <w:tcPr>
            <w:tcW w:w="2475" w:type="dxa"/>
          </w:tcPr>
          <w:p w14:paraId="5308BD41"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Peptide</w:t>
            </w:r>
          </w:p>
        </w:tc>
        <w:tc>
          <w:tcPr>
            <w:tcW w:w="837" w:type="dxa"/>
          </w:tcPr>
          <w:p w14:paraId="115148FF"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Score</w:t>
            </w:r>
          </w:p>
        </w:tc>
        <w:tc>
          <w:tcPr>
            <w:tcW w:w="738" w:type="dxa"/>
          </w:tcPr>
          <w:p w14:paraId="766A2511"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Rank</w:t>
            </w:r>
          </w:p>
        </w:tc>
      </w:tr>
      <w:tr w:rsidR="007D781A" w:rsidRPr="007D781A" w14:paraId="44017BAB" w14:textId="77777777" w:rsidTr="007B703E">
        <w:trPr>
          <w:trHeight w:val="500"/>
        </w:trPr>
        <w:tc>
          <w:tcPr>
            <w:tcW w:w="2503" w:type="dxa"/>
          </w:tcPr>
          <w:p w14:paraId="2EB5D50F"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DRB1*13:02</w:t>
            </w:r>
          </w:p>
        </w:tc>
        <w:tc>
          <w:tcPr>
            <w:tcW w:w="1218" w:type="dxa"/>
          </w:tcPr>
          <w:p w14:paraId="10BB6157"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578–592</w:t>
            </w:r>
          </w:p>
        </w:tc>
        <w:tc>
          <w:tcPr>
            <w:tcW w:w="1585" w:type="dxa"/>
          </w:tcPr>
          <w:p w14:paraId="7F92059E"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FSLINRHAI</w:t>
            </w:r>
          </w:p>
        </w:tc>
        <w:tc>
          <w:tcPr>
            <w:tcW w:w="2475" w:type="dxa"/>
          </w:tcPr>
          <w:p w14:paraId="1FEE756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EERTFSLINRHAIDF</w:t>
            </w:r>
          </w:p>
        </w:tc>
        <w:tc>
          <w:tcPr>
            <w:tcW w:w="837" w:type="dxa"/>
          </w:tcPr>
          <w:p w14:paraId="1A1A1B87"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0.8286</w:t>
            </w:r>
          </w:p>
        </w:tc>
        <w:tc>
          <w:tcPr>
            <w:tcW w:w="738" w:type="dxa"/>
          </w:tcPr>
          <w:p w14:paraId="769EC53C"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0.05</w:t>
            </w:r>
          </w:p>
        </w:tc>
      </w:tr>
      <w:tr w:rsidR="007D781A" w:rsidRPr="007D781A" w14:paraId="41CC7258" w14:textId="77777777" w:rsidTr="007B703E">
        <w:trPr>
          <w:trHeight w:val="500"/>
        </w:trPr>
        <w:tc>
          <w:tcPr>
            <w:tcW w:w="2503" w:type="dxa"/>
          </w:tcPr>
          <w:p w14:paraId="07F2261E"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DQA1</w:t>
            </w:r>
            <w:r w:rsidRPr="007D781A">
              <w:rPr>
                <w:rFonts w:ascii="Times New Roman" w:eastAsia="Times New Roman" w:hAnsi="Times New Roman" w:cs="Times New Roman"/>
                <w:i/>
                <w:iCs/>
                <w:sz w:val="24"/>
                <w:szCs w:val="24"/>
              </w:rPr>
              <w:t>03:01/DQB1</w:t>
            </w:r>
            <w:r w:rsidRPr="007D781A">
              <w:rPr>
                <w:rFonts w:ascii="Times New Roman" w:eastAsia="Times New Roman" w:hAnsi="Times New Roman" w:cs="Times New Roman"/>
                <w:sz w:val="24"/>
                <w:szCs w:val="24"/>
              </w:rPr>
              <w:t>03:02</w:t>
            </w:r>
          </w:p>
        </w:tc>
        <w:tc>
          <w:tcPr>
            <w:tcW w:w="1218" w:type="dxa"/>
          </w:tcPr>
          <w:p w14:paraId="6FACFBF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251–265</w:t>
            </w:r>
          </w:p>
        </w:tc>
        <w:tc>
          <w:tcPr>
            <w:tcW w:w="1585" w:type="dxa"/>
          </w:tcPr>
          <w:p w14:paraId="5A4A9C2D"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LNTTNPNSD</w:t>
            </w:r>
          </w:p>
        </w:tc>
        <w:tc>
          <w:tcPr>
            <w:tcW w:w="2475" w:type="dxa"/>
          </w:tcPr>
          <w:p w14:paraId="7B5650C5"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ATRLNTTNPNSDDED</w:t>
            </w:r>
          </w:p>
        </w:tc>
        <w:tc>
          <w:tcPr>
            <w:tcW w:w="837" w:type="dxa"/>
          </w:tcPr>
          <w:p w14:paraId="3965A16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0.0493</w:t>
            </w:r>
          </w:p>
        </w:tc>
        <w:tc>
          <w:tcPr>
            <w:tcW w:w="738" w:type="dxa"/>
          </w:tcPr>
          <w:p w14:paraId="0AED0459"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0.06</w:t>
            </w:r>
          </w:p>
        </w:tc>
      </w:tr>
      <w:tr w:rsidR="007D781A" w:rsidRPr="007D781A" w14:paraId="0FF7575C" w14:textId="77777777" w:rsidTr="007B703E">
        <w:trPr>
          <w:trHeight w:val="500"/>
        </w:trPr>
        <w:tc>
          <w:tcPr>
            <w:tcW w:w="2503" w:type="dxa"/>
          </w:tcPr>
          <w:p w14:paraId="5B4B73A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DPA1</w:t>
            </w:r>
            <w:r w:rsidRPr="007D781A">
              <w:rPr>
                <w:rFonts w:ascii="Times New Roman" w:eastAsia="Times New Roman" w:hAnsi="Times New Roman" w:cs="Times New Roman"/>
                <w:i/>
                <w:iCs/>
                <w:sz w:val="24"/>
                <w:szCs w:val="24"/>
              </w:rPr>
              <w:t>01:03/DPB1</w:t>
            </w:r>
            <w:r w:rsidRPr="007D781A">
              <w:rPr>
                <w:rFonts w:ascii="Times New Roman" w:eastAsia="Times New Roman" w:hAnsi="Times New Roman" w:cs="Times New Roman"/>
                <w:sz w:val="24"/>
                <w:szCs w:val="24"/>
              </w:rPr>
              <w:t>02:01</w:t>
            </w:r>
          </w:p>
        </w:tc>
        <w:tc>
          <w:tcPr>
            <w:tcW w:w="1218" w:type="dxa"/>
          </w:tcPr>
          <w:p w14:paraId="78A0DE20"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152–166</w:t>
            </w:r>
          </w:p>
        </w:tc>
        <w:tc>
          <w:tcPr>
            <w:tcW w:w="1585" w:type="dxa"/>
          </w:tcPr>
          <w:p w14:paraId="4E76799F"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YRGKVFTEG</w:t>
            </w:r>
          </w:p>
        </w:tc>
        <w:tc>
          <w:tcPr>
            <w:tcW w:w="2475" w:type="dxa"/>
          </w:tcPr>
          <w:p w14:paraId="32249650"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TTMYRGKVFTEGNIA</w:t>
            </w:r>
          </w:p>
        </w:tc>
        <w:tc>
          <w:tcPr>
            <w:tcW w:w="837" w:type="dxa"/>
          </w:tcPr>
          <w:p w14:paraId="40A754D4"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0.8835</w:t>
            </w:r>
          </w:p>
        </w:tc>
        <w:tc>
          <w:tcPr>
            <w:tcW w:w="738" w:type="dxa"/>
          </w:tcPr>
          <w:p w14:paraId="6E6E13B7"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0.10</w:t>
            </w:r>
          </w:p>
        </w:tc>
      </w:tr>
      <w:tr w:rsidR="007D781A" w:rsidRPr="007D781A" w14:paraId="3BD97546" w14:textId="77777777" w:rsidTr="007B703E">
        <w:trPr>
          <w:trHeight w:val="500"/>
        </w:trPr>
        <w:tc>
          <w:tcPr>
            <w:tcW w:w="2503" w:type="dxa"/>
          </w:tcPr>
          <w:p w14:paraId="1EDF0BE9"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DPA1</w:t>
            </w:r>
            <w:r w:rsidRPr="007D781A">
              <w:rPr>
                <w:rFonts w:ascii="Times New Roman" w:eastAsia="Times New Roman" w:hAnsi="Times New Roman" w:cs="Times New Roman"/>
                <w:i/>
                <w:iCs/>
                <w:sz w:val="24"/>
                <w:szCs w:val="24"/>
              </w:rPr>
              <w:t>01:03/DPB1</w:t>
            </w:r>
            <w:r w:rsidRPr="007D781A">
              <w:rPr>
                <w:rFonts w:ascii="Times New Roman" w:eastAsia="Times New Roman" w:hAnsi="Times New Roman" w:cs="Times New Roman"/>
                <w:sz w:val="24"/>
                <w:szCs w:val="24"/>
              </w:rPr>
              <w:t>02:01</w:t>
            </w:r>
          </w:p>
        </w:tc>
        <w:tc>
          <w:tcPr>
            <w:tcW w:w="1218" w:type="dxa"/>
          </w:tcPr>
          <w:p w14:paraId="6DD8B8EB"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151–165</w:t>
            </w:r>
          </w:p>
        </w:tc>
        <w:tc>
          <w:tcPr>
            <w:tcW w:w="1585" w:type="dxa"/>
          </w:tcPr>
          <w:p w14:paraId="2E3AEFF5"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YRGKVFTEG</w:t>
            </w:r>
          </w:p>
        </w:tc>
        <w:tc>
          <w:tcPr>
            <w:tcW w:w="2475" w:type="dxa"/>
          </w:tcPr>
          <w:p w14:paraId="261442B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STTMYRGKVFTEGNI</w:t>
            </w:r>
          </w:p>
        </w:tc>
        <w:tc>
          <w:tcPr>
            <w:tcW w:w="837" w:type="dxa"/>
          </w:tcPr>
          <w:p w14:paraId="7250A04D"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0.8598</w:t>
            </w:r>
          </w:p>
        </w:tc>
        <w:tc>
          <w:tcPr>
            <w:tcW w:w="738" w:type="dxa"/>
          </w:tcPr>
          <w:p w14:paraId="1A2295CC"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0.10</w:t>
            </w:r>
          </w:p>
        </w:tc>
      </w:tr>
      <w:tr w:rsidR="007D781A" w:rsidRPr="007D781A" w14:paraId="10B4B088" w14:textId="77777777" w:rsidTr="007B703E">
        <w:trPr>
          <w:trHeight w:val="500"/>
        </w:trPr>
        <w:tc>
          <w:tcPr>
            <w:tcW w:w="2503" w:type="dxa"/>
          </w:tcPr>
          <w:p w14:paraId="2074C0D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DRB1*13:02</w:t>
            </w:r>
          </w:p>
        </w:tc>
        <w:tc>
          <w:tcPr>
            <w:tcW w:w="1218" w:type="dxa"/>
          </w:tcPr>
          <w:p w14:paraId="3A15E93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577–591</w:t>
            </w:r>
          </w:p>
        </w:tc>
        <w:tc>
          <w:tcPr>
            <w:tcW w:w="1585" w:type="dxa"/>
          </w:tcPr>
          <w:p w14:paraId="75A0D445"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FSLINRHAI</w:t>
            </w:r>
          </w:p>
        </w:tc>
        <w:tc>
          <w:tcPr>
            <w:tcW w:w="2475" w:type="dxa"/>
          </w:tcPr>
          <w:p w14:paraId="35FC4D7C"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TEERTFSLINRHAID</w:t>
            </w:r>
          </w:p>
        </w:tc>
        <w:tc>
          <w:tcPr>
            <w:tcW w:w="837" w:type="dxa"/>
          </w:tcPr>
          <w:p w14:paraId="2B354F9C"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0.7761</w:t>
            </w:r>
          </w:p>
        </w:tc>
        <w:tc>
          <w:tcPr>
            <w:tcW w:w="738" w:type="dxa"/>
          </w:tcPr>
          <w:p w14:paraId="373BEB0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0.13</w:t>
            </w:r>
          </w:p>
        </w:tc>
      </w:tr>
      <w:tr w:rsidR="007D781A" w:rsidRPr="007D781A" w14:paraId="0D53E3DB" w14:textId="77777777" w:rsidTr="007B703E">
        <w:trPr>
          <w:trHeight w:val="500"/>
        </w:trPr>
        <w:tc>
          <w:tcPr>
            <w:tcW w:w="2503" w:type="dxa"/>
          </w:tcPr>
          <w:p w14:paraId="7EE51955"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lastRenderedPageBreak/>
              <w:t>DRB3*01:01</w:t>
            </w:r>
          </w:p>
        </w:tc>
        <w:tc>
          <w:tcPr>
            <w:tcW w:w="1218" w:type="dxa"/>
          </w:tcPr>
          <w:p w14:paraId="3609E07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101–115</w:t>
            </w:r>
          </w:p>
        </w:tc>
        <w:tc>
          <w:tcPr>
            <w:tcW w:w="1585" w:type="dxa"/>
          </w:tcPr>
          <w:p w14:paraId="33F5288C"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LLLDPPTNV</w:t>
            </w:r>
          </w:p>
        </w:tc>
        <w:tc>
          <w:tcPr>
            <w:tcW w:w="2475" w:type="dxa"/>
          </w:tcPr>
          <w:p w14:paraId="5F214B3D"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SGKSLLLDPPTNVRD</w:t>
            </w:r>
          </w:p>
        </w:tc>
        <w:tc>
          <w:tcPr>
            <w:tcW w:w="837" w:type="dxa"/>
          </w:tcPr>
          <w:p w14:paraId="1B504ED6"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0.8216</w:t>
            </w:r>
          </w:p>
        </w:tc>
        <w:tc>
          <w:tcPr>
            <w:tcW w:w="738" w:type="dxa"/>
          </w:tcPr>
          <w:p w14:paraId="72ED1BE4"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0.16</w:t>
            </w:r>
          </w:p>
        </w:tc>
      </w:tr>
      <w:tr w:rsidR="007D781A" w:rsidRPr="007D781A" w14:paraId="5C3D472E" w14:textId="77777777" w:rsidTr="007B703E">
        <w:trPr>
          <w:trHeight w:val="500"/>
        </w:trPr>
        <w:tc>
          <w:tcPr>
            <w:tcW w:w="2503" w:type="dxa"/>
          </w:tcPr>
          <w:p w14:paraId="6658FCEE"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DRB3*01:01</w:t>
            </w:r>
          </w:p>
        </w:tc>
        <w:tc>
          <w:tcPr>
            <w:tcW w:w="1218" w:type="dxa"/>
          </w:tcPr>
          <w:p w14:paraId="7EEC356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102–116</w:t>
            </w:r>
          </w:p>
        </w:tc>
        <w:tc>
          <w:tcPr>
            <w:tcW w:w="1585" w:type="dxa"/>
          </w:tcPr>
          <w:p w14:paraId="46C90BA1"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LLLDPPTNV</w:t>
            </w:r>
          </w:p>
        </w:tc>
        <w:tc>
          <w:tcPr>
            <w:tcW w:w="2475" w:type="dxa"/>
          </w:tcPr>
          <w:p w14:paraId="29CFF249"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GKSLLLDPPTNVRDY</w:t>
            </w:r>
          </w:p>
        </w:tc>
        <w:tc>
          <w:tcPr>
            <w:tcW w:w="837" w:type="dxa"/>
          </w:tcPr>
          <w:p w14:paraId="298EA959"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0.8202</w:t>
            </w:r>
          </w:p>
        </w:tc>
        <w:tc>
          <w:tcPr>
            <w:tcW w:w="738" w:type="dxa"/>
          </w:tcPr>
          <w:p w14:paraId="6103721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0.16</w:t>
            </w:r>
          </w:p>
        </w:tc>
      </w:tr>
      <w:tr w:rsidR="003A3F0C" w:rsidRPr="007D781A" w14:paraId="2112B809" w14:textId="77777777" w:rsidTr="007B703E">
        <w:trPr>
          <w:trHeight w:val="500"/>
        </w:trPr>
        <w:tc>
          <w:tcPr>
            <w:tcW w:w="2503" w:type="dxa"/>
          </w:tcPr>
          <w:p w14:paraId="35E09397"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DQA1</w:t>
            </w:r>
            <w:r w:rsidRPr="007D781A">
              <w:rPr>
                <w:rFonts w:ascii="Times New Roman" w:eastAsia="Times New Roman" w:hAnsi="Times New Roman" w:cs="Times New Roman"/>
                <w:i/>
                <w:iCs/>
                <w:sz w:val="24"/>
                <w:szCs w:val="24"/>
              </w:rPr>
              <w:t>05:01/DQB1</w:t>
            </w:r>
            <w:r w:rsidRPr="007D781A">
              <w:rPr>
                <w:rFonts w:ascii="Times New Roman" w:eastAsia="Times New Roman" w:hAnsi="Times New Roman" w:cs="Times New Roman"/>
                <w:sz w:val="24"/>
                <w:szCs w:val="24"/>
              </w:rPr>
              <w:t>02:01</w:t>
            </w:r>
          </w:p>
        </w:tc>
        <w:tc>
          <w:tcPr>
            <w:tcW w:w="1218" w:type="dxa"/>
          </w:tcPr>
          <w:p w14:paraId="038AE69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514–528</w:t>
            </w:r>
          </w:p>
        </w:tc>
        <w:tc>
          <w:tcPr>
            <w:tcW w:w="1585" w:type="dxa"/>
          </w:tcPr>
          <w:p w14:paraId="02BC12EF"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IWSVQEDDL</w:t>
            </w:r>
          </w:p>
        </w:tc>
        <w:tc>
          <w:tcPr>
            <w:tcW w:w="2475" w:type="dxa"/>
          </w:tcPr>
          <w:p w14:paraId="042F0E87"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ELRIWSVQEDDLAAG</w:t>
            </w:r>
          </w:p>
        </w:tc>
        <w:tc>
          <w:tcPr>
            <w:tcW w:w="837" w:type="dxa"/>
          </w:tcPr>
          <w:p w14:paraId="1C4D114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0.7446</w:t>
            </w:r>
          </w:p>
        </w:tc>
        <w:tc>
          <w:tcPr>
            <w:tcW w:w="738" w:type="dxa"/>
          </w:tcPr>
          <w:p w14:paraId="539BF4FF"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0.16</w:t>
            </w:r>
          </w:p>
        </w:tc>
      </w:tr>
    </w:tbl>
    <w:p w14:paraId="662B07E2" w14:textId="77777777" w:rsidR="003A3F0C" w:rsidRPr="007D781A" w:rsidRDefault="003A3F0C">
      <w:pPr>
        <w:spacing w:before="240" w:after="240"/>
        <w:jc w:val="both"/>
        <w:rPr>
          <w:rFonts w:ascii="Times New Roman" w:eastAsia="Times New Roman" w:hAnsi="Times New Roman" w:cs="Times New Roman"/>
          <w:sz w:val="24"/>
          <w:szCs w:val="24"/>
        </w:rPr>
      </w:pPr>
    </w:p>
    <w:p w14:paraId="319A8578" w14:textId="77777777" w:rsidR="007B703E" w:rsidRPr="007D781A" w:rsidRDefault="007B703E" w:rsidP="007B703E">
      <w:pPr>
        <w:pStyle w:val="Caption"/>
        <w:rPr>
          <w:b/>
          <w:bCs/>
          <w:color w:val="auto"/>
          <w:lang w:val="en-IN"/>
        </w:rPr>
      </w:pPr>
      <w:r w:rsidRPr="007D781A">
        <w:rPr>
          <w:color w:val="auto"/>
        </w:rPr>
        <w:t xml:space="preserve">Table </w:t>
      </w:r>
      <w:r w:rsidR="00C07E1A" w:rsidRPr="007D781A">
        <w:rPr>
          <w:color w:val="auto"/>
        </w:rPr>
        <w:fldChar w:fldCharType="begin"/>
      </w:r>
      <w:r w:rsidR="00C07E1A" w:rsidRPr="007D781A">
        <w:rPr>
          <w:color w:val="auto"/>
        </w:rPr>
        <w:instrText xml:space="preserve"> SEQ Table \* ARABIC </w:instrText>
      </w:r>
      <w:r w:rsidR="00C07E1A" w:rsidRPr="007D781A">
        <w:rPr>
          <w:color w:val="auto"/>
        </w:rPr>
        <w:fldChar w:fldCharType="separate"/>
      </w:r>
      <w:r w:rsidRPr="007D781A">
        <w:rPr>
          <w:noProof/>
          <w:color w:val="auto"/>
        </w:rPr>
        <w:t>5</w:t>
      </w:r>
      <w:r w:rsidR="00C07E1A" w:rsidRPr="007D781A">
        <w:rPr>
          <w:noProof/>
          <w:color w:val="auto"/>
        </w:rPr>
        <w:fldChar w:fldCharType="end"/>
      </w:r>
      <w:r w:rsidRPr="007D781A">
        <w:rPr>
          <w:color w:val="auto"/>
        </w:rPr>
        <w:t xml:space="preserve"> </w:t>
      </w:r>
      <w:r w:rsidRPr="007D781A">
        <w:rPr>
          <w:b/>
          <w:bCs/>
          <w:color w:val="auto"/>
          <w:lang w:val="en-IN"/>
        </w:rPr>
        <w:t>Immunodominant epitope clusters identified within the Marburg virus glycoprotein.</w:t>
      </w:r>
    </w:p>
    <w:p w14:paraId="0FFF2DA1" w14:textId="77777777" w:rsidR="007B703E" w:rsidRPr="007D781A" w:rsidRDefault="007B703E" w:rsidP="007B703E">
      <w:pPr>
        <w:pStyle w:val="Caption"/>
        <w:keepNext/>
        <w:rPr>
          <w:color w:val="auto"/>
          <w:lang w:val="en-IN"/>
        </w:rPr>
      </w:pPr>
      <w:r w:rsidRPr="007D781A">
        <w:rPr>
          <w:color w:val="auto"/>
          <w:lang w:val="en-IN"/>
        </w:rPr>
        <w:t>Summary of the three major multi-epitope hotspots mapped across the glycoprotein sequence. Each cluster is defined by its amino-acid region, dominant CTL/HTL/B-cell epitopes, and key immunological or structural features. Cluster 1 (aa 101–160) contains overlapping CD8</w:t>
      </w:r>
      <w:r w:rsidRPr="007D781A">
        <w:rPr>
          <w:rFonts w:ascii="Cambria Math" w:hAnsi="Cambria Math" w:cs="Cambria Math"/>
          <w:color w:val="auto"/>
          <w:lang w:val="en-IN"/>
        </w:rPr>
        <w:t>⁺</w:t>
      </w:r>
      <w:r w:rsidRPr="007D781A">
        <w:rPr>
          <w:color w:val="auto"/>
          <w:lang w:val="en-IN"/>
        </w:rPr>
        <w:t>, CD4</w:t>
      </w:r>
      <w:r w:rsidRPr="007D781A">
        <w:rPr>
          <w:rFonts w:ascii="Cambria Math" w:hAnsi="Cambria Math" w:cs="Cambria Math"/>
          <w:color w:val="auto"/>
          <w:lang w:val="en-IN"/>
        </w:rPr>
        <w:t>⁺</w:t>
      </w:r>
      <w:r w:rsidRPr="007D781A">
        <w:rPr>
          <w:color w:val="auto"/>
          <w:lang w:val="en-IN"/>
        </w:rPr>
        <w:t>, and B-cell epitopes within a coil-rich, highly accessible region. Cluster 2 (aa 218–270) corresponds to an extended hydrophilic B-cell domain enriched with promiscuous DR/DQ binders. Cluster 3 (aa 455–503) includes strong CD8</w:t>
      </w:r>
      <w:r w:rsidRPr="007D781A">
        <w:rPr>
          <w:rFonts w:ascii="Cambria Math" w:hAnsi="Cambria Math" w:cs="Cambria Math"/>
          <w:color w:val="auto"/>
          <w:lang w:val="en-IN"/>
        </w:rPr>
        <w:t>⁺</w:t>
      </w:r>
      <w:r w:rsidRPr="007D781A">
        <w:rPr>
          <w:color w:val="auto"/>
          <w:lang w:val="en-IN"/>
        </w:rPr>
        <w:t xml:space="preserve"> epitopes (DPVPNTKTI, LPHTSGNTAY) situated within a B-cell–accessible surface region, highlighting its importance as a neutralizing epitope site.</w:t>
      </w:r>
    </w:p>
    <w:p w14:paraId="22D45B63" w14:textId="4B863595" w:rsidR="007B703E" w:rsidRPr="007D781A" w:rsidRDefault="007B703E" w:rsidP="007B703E">
      <w:pPr>
        <w:pStyle w:val="Caption"/>
        <w:keepNext/>
        <w:rPr>
          <w:color w:val="auto"/>
        </w:rPr>
      </w:pPr>
    </w:p>
    <w:tbl>
      <w:tblPr>
        <w:tblStyle w:val="TableGrid"/>
        <w:tblW w:w="10201" w:type="dxa"/>
        <w:tblLayout w:type="fixed"/>
        <w:tblLook w:val="0600" w:firstRow="0" w:lastRow="0" w:firstColumn="0" w:lastColumn="0" w:noHBand="1" w:noVBand="1"/>
      </w:tblPr>
      <w:tblGrid>
        <w:gridCol w:w="1413"/>
        <w:gridCol w:w="1559"/>
        <w:gridCol w:w="2552"/>
        <w:gridCol w:w="4677"/>
      </w:tblGrid>
      <w:tr w:rsidR="007D781A" w:rsidRPr="007D781A" w14:paraId="0F3890F4" w14:textId="77777777" w:rsidTr="00BC4686">
        <w:trPr>
          <w:trHeight w:val="785"/>
        </w:trPr>
        <w:tc>
          <w:tcPr>
            <w:tcW w:w="1413" w:type="dxa"/>
          </w:tcPr>
          <w:p w14:paraId="1BDA6868"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Cluster</w:t>
            </w:r>
          </w:p>
        </w:tc>
        <w:tc>
          <w:tcPr>
            <w:tcW w:w="1559" w:type="dxa"/>
          </w:tcPr>
          <w:p w14:paraId="24E42890"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Region (aa)</w:t>
            </w:r>
          </w:p>
        </w:tc>
        <w:tc>
          <w:tcPr>
            <w:tcW w:w="2552" w:type="dxa"/>
          </w:tcPr>
          <w:p w14:paraId="5FF4DA6D"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Key Epitopes</w:t>
            </w:r>
          </w:p>
        </w:tc>
        <w:tc>
          <w:tcPr>
            <w:tcW w:w="4677" w:type="dxa"/>
          </w:tcPr>
          <w:p w14:paraId="4F6C77B1" w14:textId="77777777" w:rsidR="003A3F0C" w:rsidRPr="007D781A" w:rsidRDefault="001C164D">
            <w:pPr>
              <w:spacing w:before="240" w:after="240"/>
              <w:jc w:val="center"/>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Features</w:t>
            </w:r>
          </w:p>
        </w:tc>
      </w:tr>
      <w:tr w:rsidR="007D781A" w:rsidRPr="007D781A" w14:paraId="26D67A0F" w14:textId="77777777" w:rsidTr="00BC4686">
        <w:trPr>
          <w:trHeight w:val="785"/>
        </w:trPr>
        <w:tc>
          <w:tcPr>
            <w:tcW w:w="1413" w:type="dxa"/>
          </w:tcPr>
          <w:p w14:paraId="081D975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Cluster 1</w:t>
            </w:r>
          </w:p>
        </w:tc>
        <w:tc>
          <w:tcPr>
            <w:tcW w:w="1559" w:type="dxa"/>
          </w:tcPr>
          <w:p w14:paraId="7243AF0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101–160</w:t>
            </w:r>
          </w:p>
        </w:tc>
        <w:tc>
          <w:tcPr>
            <w:tcW w:w="2552" w:type="dxa"/>
          </w:tcPr>
          <w:p w14:paraId="299DC7BB"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LLLDPPTNV, FLYDRIAST</w:t>
            </w:r>
          </w:p>
        </w:tc>
        <w:tc>
          <w:tcPr>
            <w:tcW w:w="4677" w:type="dxa"/>
          </w:tcPr>
          <w:p w14:paraId="250408E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MHC-I + MHC-II + B-cell; coil rich</w:t>
            </w:r>
          </w:p>
        </w:tc>
      </w:tr>
      <w:tr w:rsidR="007D781A" w:rsidRPr="007D781A" w14:paraId="5C36CFC4" w14:textId="77777777" w:rsidTr="00BC4686">
        <w:trPr>
          <w:trHeight w:val="785"/>
        </w:trPr>
        <w:tc>
          <w:tcPr>
            <w:tcW w:w="1413" w:type="dxa"/>
          </w:tcPr>
          <w:p w14:paraId="0D1559C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Cluster 2</w:t>
            </w:r>
          </w:p>
        </w:tc>
        <w:tc>
          <w:tcPr>
            <w:tcW w:w="1559" w:type="dxa"/>
          </w:tcPr>
          <w:p w14:paraId="072125D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218–270</w:t>
            </w:r>
          </w:p>
        </w:tc>
        <w:tc>
          <w:tcPr>
            <w:tcW w:w="2552" w:type="dxa"/>
          </w:tcPr>
          <w:p w14:paraId="1DB4A190"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LNTTNPNSDDED</w:t>
            </w:r>
          </w:p>
        </w:tc>
        <w:tc>
          <w:tcPr>
            <w:tcW w:w="4677" w:type="dxa"/>
          </w:tcPr>
          <w:p w14:paraId="35A6D499"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Long B-cell region + multiple DR/DQ binders</w:t>
            </w:r>
          </w:p>
        </w:tc>
      </w:tr>
      <w:tr w:rsidR="003A3F0C" w:rsidRPr="007D781A" w14:paraId="100CC0A4" w14:textId="77777777" w:rsidTr="00BC4686">
        <w:trPr>
          <w:trHeight w:val="785"/>
        </w:trPr>
        <w:tc>
          <w:tcPr>
            <w:tcW w:w="1413" w:type="dxa"/>
          </w:tcPr>
          <w:p w14:paraId="3DCD786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b/>
                <w:bCs/>
                <w:sz w:val="24"/>
                <w:szCs w:val="24"/>
              </w:rPr>
              <w:t>Cluster 3</w:t>
            </w:r>
          </w:p>
        </w:tc>
        <w:tc>
          <w:tcPr>
            <w:tcW w:w="1559" w:type="dxa"/>
          </w:tcPr>
          <w:p w14:paraId="0E90FE55"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455–503</w:t>
            </w:r>
          </w:p>
        </w:tc>
        <w:tc>
          <w:tcPr>
            <w:tcW w:w="2552" w:type="dxa"/>
          </w:tcPr>
          <w:p w14:paraId="6B79C07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DPVPNTKTI, LPHTSGNTAY</w:t>
            </w:r>
          </w:p>
        </w:tc>
        <w:tc>
          <w:tcPr>
            <w:tcW w:w="4677" w:type="dxa"/>
          </w:tcPr>
          <w:p w14:paraId="38D9A146"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Strong CD8 + B-cell region</w:t>
            </w:r>
          </w:p>
        </w:tc>
      </w:tr>
    </w:tbl>
    <w:p w14:paraId="54470E9F" w14:textId="77777777" w:rsidR="003A3F0C" w:rsidRPr="007D781A" w:rsidRDefault="003A3F0C">
      <w:pPr>
        <w:spacing w:before="240" w:after="240"/>
        <w:jc w:val="both"/>
        <w:rPr>
          <w:rFonts w:ascii="Times New Roman" w:eastAsia="Times New Roman" w:hAnsi="Times New Roman" w:cs="Times New Roman"/>
          <w:sz w:val="24"/>
          <w:szCs w:val="24"/>
        </w:rPr>
      </w:pPr>
    </w:p>
    <w:p w14:paraId="4508C8B2" w14:textId="77777777" w:rsidR="003A3F0C" w:rsidRPr="007D781A" w:rsidRDefault="001C164D">
      <w:pPr>
        <w:pStyle w:val="Heading1"/>
        <w:keepNext w:val="0"/>
        <w:keepLines w:val="0"/>
        <w:spacing w:before="480"/>
        <w:jc w:val="both"/>
        <w:rPr>
          <w:rFonts w:ascii="Times New Roman" w:eastAsia="Times New Roman" w:hAnsi="Times New Roman" w:cs="Times New Roman"/>
          <w:b/>
          <w:bCs/>
          <w:sz w:val="24"/>
          <w:szCs w:val="24"/>
        </w:rPr>
      </w:pPr>
      <w:bookmarkStart w:id="17" w:name="_f5mvw26qpo56" w:colFirst="0" w:colLast="0"/>
      <w:bookmarkEnd w:id="17"/>
      <w:r w:rsidRPr="007D781A">
        <w:rPr>
          <w:rFonts w:ascii="Times New Roman" w:eastAsia="Times New Roman" w:hAnsi="Times New Roman" w:cs="Times New Roman"/>
          <w:b/>
          <w:bCs/>
          <w:sz w:val="24"/>
          <w:szCs w:val="24"/>
        </w:rPr>
        <w:t>Validation of Predicted Epitopes Through Molecular Docking</w:t>
      </w:r>
    </w:p>
    <w:p w14:paraId="7D0833D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To validate the immunoinformatic predictions, the top-ranked B-cell, MHC I, and MHC II epitopes were evaluated using molecular docking against their respective receptors. Docking of CD8⁺ T-cell epitopes with representative HLA class I alleles showed strong and stable binding interactions, supported by canonical contacts at the N-terminal P1, central backbone, and C-terminal PΩ anchor </w:t>
      </w:r>
      <w:r w:rsidRPr="007D781A">
        <w:rPr>
          <w:rFonts w:ascii="Times New Roman" w:eastAsia="Times New Roman" w:hAnsi="Times New Roman" w:cs="Times New Roman"/>
          <w:sz w:val="24"/>
          <w:szCs w:val="24"/>
        </w:rPr>
        <w:lastRenderedPageBreak/>
        <w:t>positions. Key peptides such as FLYDRIAST–HLA-A*02:03 (–8.7 kcal/mol), LLLDPPTNV–HLA-A*02:01 (–8.9 kcal/mol), and HAQGIALHLW–HLA-B*57:01 (–9.0 kcal/mol) demonstrated high-affinity binding within well-defined anchor pockets (P2 and PΩ), confirming the suitability of these peptides as strong CD8⁺ T-cell epitopes.</w:t>
      </w:r>
    </w:p>
    <w:p w14:paraId="3EB8F35A"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Similarly, docking of predicted CD4⁺ epitopes with MHC II alleles demonstrated </w:t>
      </w:r>
      <w:proofErr w:type="spellStart"/>
      <w:r w:rsidRPr="007D781A">
        <w:rPr>
          <w:rFonts w:ascii="Times New Roman" w:eastAsia="Times New Roman" w:hAnsi="Times New Roman" w:cs="Times New Roman"/>
          <w:sz w:val="24"/>
          <w:szCs w:val="24"/>
        </w:rPr>
        <w:t>favourable</w:t>
      </w:r>
      <w:proofErr w:type="spellEnd"/>
      <w:r w:rsidRPr="007D781A">
        <w:rPr>
          <w:rFonts w:ascii="Times New Roman" w:eastAsia="Times New Roman" w:hAnsi="Times New Roman" w:cs="Times New Roman"/>
          <w:sz w:val="24"/>
          <w:szCs w:val="24"/>
        </w:rPr>
        <w:t xml:space="preserve"> binding conformations accommodating the extended 15-mer registers. High-scoring interactions were observed for SGKSLLLDPPTNVRD–DRB3*01:01 (–6.7 kcal/mol), EERTFSLINRHAIDF–DRB1*13:02 (–7.5 kcal/mol), ATRLNTTNPNSDDED–HLA-DQ7 (–7.0 kcal/mol), and TTMYRGKVFTEGNIA–DPB1*02:01 (–6.6 kcal/mol). These peptides adopted stable hydrogen-bond networks across the β-sheet floor of the MHC II groove, supporting their predicted high-affinity and allele-promiscuous binding.</w:t>
      </w:r>
    </w:p>
    <w:p w14:paraId="585CAB7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B-cell epitope docking against </w:t>
      </w:r>
      <w:proofErr w:type="spellStart"/>
      <w:r w:rsidRPr="007D781A">
        <w:rPr>
          <w:rFonts w:ascii="Times New Roman" w:eastAsia="Times New Roman" w:hAnsi="Times New Roman" w:cs="Times New Roman"/>
          <w:sz w:val="24"/>
          <w:szCs w:val="24"/>
        </w:rPr>
        <w:t>neutralising</w:t>
      </w:r>
      <w:proofErr w:type="spellEnd"/>
      <w:r w:rsidRPr="007D781A">
        <w:rPr>
          <w:rFonts w:ascii="Times New Roman" w:eastAsia="Times New Roman" w:hAnsi="Times New Roman" w:cs="Times New Roman"/>
          <w:sz w:val="24"/>
          <w:szCs w:val="24"/>
        </w:rPr>
        <w:t xml:space="preserve"> antibodies further confirmed accessible, energetically </w:t>
      </w:r>
      <w:proofErr w:type="spellStart"/>
      <w:r w:rsidRPr="007D781A">
        <w:rPr>
          <w:rFonts w:ascii="Times New Roman" w:eastAsia="Times New Roman" w:hAnsi="Times New Roman" w:cs="Times New Roman"/>
          <w:sz w:val="24"/>
          <w:szCs w:val="24"/>
        </w:rPr>
        <w:t>favourable</w:t>
      </w:r>
      <w:proofErr w:type="spellEnd"/>
      <w:r w:rsidRPr="007D781A">
        <w:rPr>
          <w:rFonts w:ascii="Times New Roman" w:eastAsia="Times New Roman" w:hAnsi="Times New Roman" w:cs="Times New Roman"/>
          <w:sz w:val="24"/>
          <w:szCs w:val="24"/>
        </w:rPr>
        <w:t xml:space="preserve"> interactions. The glycoprotein-derived epitopes ASNDQPQNVDSV, TGVPPKNVEYTEGEEAK, LPHTSGNTAY, and KYWTSSNGTQTNDTG displayed strong binding to well-</w:t>
      </w:r>
      <w:proofErr w:type="spellStart"/>
      <w:r w:rsidRPr="007D781A">
        <w:rPr>
          <w:rFonts w:ascii="Times New Roman" w:eastAsia="Times New Roman" w:hAnsi="Times New Roman" w:cs="Times New Roman"/>
          <w:sz w:val="24"/>
          <w:szCs w:val="24"/>
        </w:rPr>
        <w:t>characterised</w:t>
      </w:r>
      <w:proofErr w:type="spellEnd"/>
      <w:r w:rsidRPr="007D781A">
        <w:rPr>
          <w:rFonts w:ascii="Times New Roman" w:eastAsia="Times New Roman" w:hAnsi="Times New Roman" w:cs="Times New Roman"/>
          <w:sz w:val="24"/>
          <w:szCs w:val="24"/>
        </w:rPr>
        <w:t xml:space="preserve"> Marburg virus antibodies KZ52, MR78, and MR72 (binding energies ranging from –7.3 to –7.8 kcal/mol). These interactions occurred within solvent-exposed, coil-rich ectodomain regions, consistent with their predicted high surface accessibility.</w:t>
      </w:r>
    </w:p>
    <w:p w14:paraId="762B0A6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Finally, comparison of docking energies across all epitope classes confirmed that glycoprotein-derived epitopes consistently produced the strongest binding scores among both T-cell and B-cell receptors. This functional validation strongly supports the </w:t>
      </w:r>
      <w:proofErr w:type="spellStart"/>
      <w:r w:rsidRPr="007D781A">
        <w:rPr>
          <w:rFonts w:ascii="Times New Roman" w:eastAsia="Times New Roman" w:hAnsi="Times New Roman" w:cs="Times New Roman"/>
          <w:sz w:val="24"/>
          <w:szCs w:val="24"/>
        </w:rPr>
        <w:t>prioritisation</w:t>
      </w:r>
      <w:proofErr w:type="spellEnd"/>
      <w:r w:rsidRPr="007D781A">
        <w:rPr>
          <w:rFonts w:ascii="Times New Roman" w:eastAsia="Times New Roman" w:hAnsi="Times New Roman" w:cs="Times New Roman"/>
          <w:sz w:val="24"/>
          <w:szCs w:val="24"/>
        </w:rPr>
        <w:t xml:space="preserve"> of the glycoprotein as the lead antigen for multi-epitope vaccine design, with complementary contributions from nucleoprotein-derived T-cell epitopes.</w:t>
      </w:r>
    </w:p>
    <w:p w14:paraId="6C3A521A" w14:textId="77777777" w:rsidR="003A3F0C" w:rsidRPr="007D781A" w:rsidRDefault="001C164D">
      <w:pPr>
        <w:pStyle w:val="Heading3"/>
        <w:keepNext w:val="0"/>
        <w:keepLines w:val="0"/>
        <w:spacing w:before="280"/>
        <w:jc w:val="both"/>
        <w:rPr>
          <w:rFonts w:ascii="Times New Roman" w:eastAsia="Times New Roman" w:hAnsi="Times New Roman" w:cs="Times New Roman"/>
          <w:b/>
          <w:bCs/>
          <w:color w:val="auto"/>
          <w:sz w:val="24"/>
          <w:szCs w:val="24"/>
        </w:rPr>
      </w:pPr>
      <w:bookmarkStart w:id="18" w:name="_slfu92ob5c4p" w:colFirst="0" w:colLast="0"/>
      <w:bookmarkEnd w:id="18"/>
      <w:r w:rsidRPr="007D781A">
        <w:rPr>
          <w:rFonts w:ascii="Times New Roman" w:eastAsia="Times New Roman" w:hAnsi="Times New Roman" w:cs="Times New Roman"/>
          <w:b/>
          <w:bCs/>
          <w:color w:val="auto"/>
          <w:sz w:val="24"/>
          <w:szCs w:val="24"/>
        </w:rPr>
        <w:t xml:space="preserve">Multiepitope Vaccine Construct Development Using an Integrated </w:t>
      </w:r>
      <w:proofErr w:type="spellStart"/>
      <w:r w:rsidRPr="007D781A">
        <w:rPr>
          <w:rFonts w:ascii="Times New Roman" w:eastAsia="Times New Roman" w:hAnsi="Times New Roman" w:cs="Times New Roman"/>
          <w:b/>
          <w:bCs/>
          <w:color w:val="auto"/>
          <w:sz w:val="24"/>
          <w:szCs w:val="24"/>
        </w:rPr>
        <w:t>Immunoinformatics</w:t>
      </w:r>
      <w:proofErr w:type="spellEnd"/>
      <w:r w:rsidRPr="007D781A">
        <w:rPr>
          <w:rFonts w:ascii="Times New Roman" w:eastAsia="Times New Roman" w:hAnsi="Times New Roman" w:cs="Times New Roman"/>
          <w:b/>
          <w:bCs/>
          <w:color w:val="auto"/>
          <w:sz w:val="24"/>
          <w:szCs w:val="24"/>
        </w:rPr>
        <w:t xml:space="preserve"> Pipeline</w:t>
      </w:r>
    </w:p>
    <w:p w14:paraId="146C9D1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A fully computational pipeline was employed to design a multiepitope vaccine construct incorporating the most immunogenic regions of the Marburg virus proteome. Based on prior antigenicity screening, B-cell mapping, and T-cell epitope prioritization, a glycoprotein-focused multi-domain construct was assembled using only </w:t>
      </w:r>
      <w:r w:rsidRPr="007D781A">
        <w:rPr>
          <w:rFonts w:ascii="Times New Roman" w:eastAsia="Times New Roman" w:hAnsi="Times New Roman" w:cs="Times New Roman"/>
          <w:i/>
          <w:iCs/>
          <w:sz w:val="24"/>
          <w:szCs w:val="24"/>
        </w:rPr>
        <w:t>in silico</w:t>
      </w:r>
      <w:r w:rsidRPr="007D781A">
        <w:rPr>
          <w:rFonts w:ascii="Times New Roman" w:eastAsia="Times New Roman" w:hAnsi="Times New Roman" w:cs="Times New Roman"/>
          <w:sz w:val="24"/>
          <w:szCs w:val="24"/>
        </w:rPr>
        <w:t xml:space="preserve"> predictions. The final construct consisted of an N-terminal hBD-3 adjuvant fused through an EAAAK linker to the PADRE helper epitope, followed by blocks of MHC I, MHC II, and B-cell epitopes arranged to maximize predicted immune coverage.</w:t>
      </w:r>
    </w:p>
    <w:p w14:paraId="25D26520"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The CD8⁺ T-cell region contained five high-ranking MHC I binders (LLLDPPTNV, FLYDRIAST, HAQGIALHLW, DPVPNTKTI, and LPHTSGNTAY), each connected by AAY linkers to enhance proteasomal processing and TAP transport. The CD4⁺ T-cell region comprised four strong and promiscuous MHC II epitopes (SGKSLLLDPPTNVRD, ATRLNTTNPNSDDED, EERTFSLINRHAIDF, and TTMYRGKVFTEGNIA), linked using GPGPG spacers to </w:t>
      </w:r>
      <w:proofErr w:type="spellStart"/>
      <w:r w:rsidRPr="007D781A">
        <w:rPr>
          <w:rFonts w:ascii="Times New Roman" w:eastAsia="Times New Roman" w:hAnsi="Times New Roman" w:cs="Times New Roman"/>
          <w:sz w:val="24"/>
          <w:szCs w:val="24"/>
        </w:rPr>
        <w:t>favour</w:t>
      </w:r>
      <w:proofErr w:type="spellEnd"/>
      <w:r w:rsidRPr="007D781A">
        <w:rPr>
          <w:rFonts w:ascii="Times New Roman" w:eastAsia="Times New Roman" w:hAnsi="Times New Roman" w:cs="Times New Roman"/>
          <w:sz w:val="24"/>
          <w:szCs w:val="24"/>
        </w:rPr>
        <w:t xml:space="preserve"> </w:t>
      </w:r>
      <w:r w:rsidRPr="007D781A">
        <w:rPr>
          <w:rFonts w:ascii="Times New Roman" w:eastAsia="Times New Roman" w:hAnsi="Times New Roman" w:cs="Times New Roman"/>
          <w:sz w:val="24"/>
          <w:szCs w:val="24"/>
        </w:rPr>
        <w:lastRenderedPageBreak/>
        <w:t>MHC II presentation. The B-cell module incorporated five glycoprotein-derived linear epitopes (ASNDQPQNVDSV, TGVPPKNVEYTEGEEAK, KYWTSSNGTQTNDTG, QGQNPHA, and LPHTSGNTAY), separated by KK linkers to preserve solvent accessibility and predicted antibody recognition. A C-terminal His-tag was added to facilitate potential future recombinant expression, though no wet-lab experiments were performed in this study.</w:t>
      </w:r>
    </w:p>
    <w:p w14:paraId="137E4F33" w14:textId="59074281"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The final construct contained 284 amino acids. Physicochemical analysis predicted the sequence to be hydrophilic, stable, and non-allergenic, with a high overall antigenicity score. Secondary-structure modelling showed that the CTL and HTL blocks were enriched in α-helical motifs, while B-cell regions remained coil-dominated and flexible, consistent with accessible epitope presentation. Docking-based </w:t>
      </w:r>
      <w:r w:rsidRPr="007D781A">
        <w:rPr>
          <w:rFonts w:ascii="Times New Roman" w:eastAsia="Times New Roman" w:hAnsi="Times New Roman" w:cs="Times New Roman"/>
          <w:i/>
          <w:iCs/>
          <w:sz w:val="24"/>
          <w:szCs w:val="24"/>
        </w:rPr>
        <w:t>in silico</w:t>
      </w:r>
      <w:r w:rsidRPr="007D781A">
        <w:rPr>
          <w:rFonts w:ascii="Times New Roman" w:eastAsia="Times New Roman" w:hAnsi="Times New Roman" w:cs="Times New Roman"/>
          <w:sz w:val="24"/>
          <w:szCs w:val="24"/>
        </w:rPr>
        <w:t xml:space="preserve"> validation confirmed strong binding energies between selected T-cell epitopes and their respective HLA alleles, and between B-cell epitopes and known Marburg virus neutralizing antibodies, supporting the computational prioritization of these sequences.</w:t>
      </w:r>
      <w:r w:rsidR="00FD08BF" w:rsidRPr="007D781A">
        <w:rPr>
          <w:rFonts w:ascii="Times New Roman" w:eastAsia="Times New Roman" w:hAnsi="Times New Roman" w:cs="Times New Roman"/>
          <w:sz w:val="24"/>
          <w:szCs w:val="24"/>
        </w:rPr>
        <w:t xml:space="preserve"> (Figure 1)</w:t>
      </w:r>
    </w:p>
    <w:p w14:paraId="6FB11172"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Overall, these results demonstrate that the construct integrates multiple computationally validated B-cell, CD8⁺, and CD4⁺ epitopes from the Marburg virus glycoprotein and nucleoprotein, providing a rationally designed candidate for further experimental development.</w:t>
      </w:r>
    </w:p>
    <w:p w14:paraId="70EE8E3F" w14:textId="77777777" w:rsidR="007B703E" w:rsidRPr="007D781A" w:rsidRDefault="001C164D" w:rsidP="007B703E">
      <w:pPr>
        <w:keepNext/>
        <w:spacing w:before="240" w:after="240"/>
        <w:jc w:val="both"/>
      </w:pPr>
      <w:r w:rsidRPr="007D781A">
        <w:rPr>
          <w:rFonts w:ascii="Times New Roman" w:eastAsia="Times New Roman" w:hAnsi="Times New Roman" w:cs="Times New Roman"/>
          <w:noProof/>
          <w:sz w:val="24"/>
          <w:szCs w:val="24"/>
        </w:rPr>
        <w:drawing>
          <wp:inline distT="114300" distB="114300" distL="114300" distR="114300" wp14:anchorId="74A74B1E" wp14:editId="50F9BDBA">
            <wp:extent cx="5943600" cy="2044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2044700"/>
                    </a:xfrm>
                    <a:prstGeom prst="rect">
                      <a:avLst/>
                    </a:prstGeom>
                    <a:ln/>
                  </pic:spPr>
                </pic:pic>
              </a:graphicData>
            </a:graphic>
          </wp:inline>
        </w:drawing>
      </w:r>
    </w:p>
    <w:p w14:paraId="219EEA1D" w14:textId="5B116756" w:rsidR="007B703E" w:rsidRPr="007D781A" w:rsidRDefault="007B703E" w:rsidP="007B703E">
      <w:pPr>
        <w:pStyle w:val="Caption"/>
        <w:jc w:val="both"/>
        <w:rPr>
          <w:b/>
          <w:bCs/>
          <w:color w:val="auto"/>
          <w:lang w:val="en-IN"/>
        </w:rPr>
      </w:pPr>
      <w:r w:rsidRPr="007D781A">
        <w:rPr>
          <w:color w:val="auto"/>
        </w:rPr>
        <w:t xml:space="preserve">Figure </w:t>
      </w:r>
      <w:r w:rsidR="00C07E1A" w:rsidRPr="007D781A">
        <w:rPr>
          <w:color w:val="auto"/>
        </w:rPr>
        <w:fldChar w:fldCharType="begin"/>
      </w:r>
      <w:r w:rsidR="00C07E1A" w:rsidRPr="007D781A">
        <w:rPr>
          <w:color w:val="auto"/>
        </w:rPr>
        <w:instrText xml:space="preserve"> SEQ Figure \* ARABIC </w:instrText>
      </w:r>
      <w:r w:rsidR="00C07E1A" w:rsidRPr="007D781A">
        <w:rPr>
          <w:color w:val="auto"/>
        </w:rPr>
        <w:fldChar w:fldCharType="separate"/>
      </w:r>
      <w:r w:rsidRPr="007D781A">
        <w:rPr>
          <w:noProof/>
          <w:color w:val="auto"/>
        </w:rPr>
        <w:t>1</w:t>
      </w:r>
      <w:r w:rsidR="00C07E1A" w:rsidRPr="007D781A">
        <w:rPr>
          <w:noProof/>
          <w:color w:val="auto"/>
        </w:rPr>
        <w:fldChar w:fldCharType="end"/>
      </w:r>
      <w:r w:rsidRPr="007D781A">
        <w:rPr>
          <w:color w:val="auto"/>
        </w:rPr>
        <w:t xml:space="preserve"> </w:t>
      </w:r>
      <w:r w:rsidRPr="007D781A">
        <w:rPr>
          <w:b/>
          <w:bCs/>
          <w:color w:val="auto"/>
          <w:lang w:val="en-IN"/>
        </w:rPr>
        <w:t>Structural organization and domain architecture of the designed multiepitope vaccine construct.</w:t>
      </w:r>
    </w:p>
    <w:p w14:paraId="68880D42" w14:textId="77777777" w:rsidR="007B703E" w:rsidRPr="007D781A" w:rsidRDefault="007B703E" w:rsidP="007B703E">
      <w:pPr>
        <w:pStyle w:val="Caption"/>
        <w:jc w:val="both"/>
        <w:rPr>
          <w:color w:val="auto"/>
          <w:lang w:val="en-IN"/>
        </w:rPr>
      </w:pPr>
      <w:r w:rsidRPr="007D781A">
        <w:rPr>
          <w:color w:val="auto"/>
          <w:lang w:val="en-IN"/>
        </w:rPr>
        <w:t>(A) Schematic representation of the multiepitope vaccine construct showing the arrangement of the N-terminal hBD-3 adjuvant, PADRE helper epitope, CTL epitope block (MHC I), HTL epitope block (MHC II), B-cell epitope block, and C-terminal His-tag. Appropriate linker sequences—EAAAK (rigid linker), AAY (proteasomal/TAP-compatible linker), GPGPG (flexible MHC II linker), and KK (B-cell spacing linker)—are placed between domains to preserve structural separation and ensure efficient antigen processing and presentation.</w:t>
      </w:r>
      <w:r w:rsidRPr="007D781A">
        <w:rPr>
          <w:color w:val="auto"/>
          <w:lang w:val="en-IN"/>
        </w:rPr>
        <w:br/>
        <w:t>(B) Linear domain map of the complete 284-amino-acid construct, indicating the exact start and end positions of each functional region, including adjuvant, PADRE, CTL and HTL epitope clusters, B-cell epitope region, linkers, and His-tag.</w:t>
      </w:r>
      <w:r w:rsidRPr="007D781A">
        <w:rPr>
          <w:color w:val="auto"/>
          <w:lang w:val="en-IN"/>
        </w:rPr>
        <w:br/>
        <w:t>(C) Condensed graphical representation of the construct aligned to the amino-acid scale, illustrating the proportional length and sequential order of immunological domains. Together, these panels summarize the structural logic and immunological design principles underlying the final vaccine construct.</w:t>
      </w:r>
    </w:p>
    <w:p w14:paraId="76F72BE9" w14:textId="46719C0E" w:rsidR="003A3F0C" w:rsidRPr="007D781A" w:rsidRDefault="003A3F0C" w:rsidP="007B703E">
      <w:pPr>
        <w:pStyle w:val="Caption"/>
        <w:jc w:val="both"/>
        <w:rPr>
          <w:rFonts w:ascii="Times New Roman" w:eastAsia="Times New Roman" w:hAnsi="Times New Roman" w:cs="Times New Roman"/>
          <w:color w:val="auto"/>
          <w:sz w:val="24"/>
          <w:szCs w:val="24"/>
        </w:rPr>
      </w:pPr>
    </w:p>
    <w:p w14:paraId="035C8043" w14:textId="77777777" w:rsidR="003A3F0C" w:rsidRPr="007D781A" w:rsidRDefault="001C164D">
      <w:pPr>
        <w:pStyle w:val="Heading1"/>
        <w:keepNext w:val="0"/>
        <w:keepLines w:val="0"/>
        <w:spacing w:before="480"/>
        <w:jc w:val="both"/>
        <w:rPr>
          <w:rFonts w:ascii="Times New Roman" w:eastAsia="Times New Roman" w:hAnsi="Times New Roman" w:cs="Times New Roman"/>
          <w:b/>
          <w:bCs/>
          <w:sz w:val="24"/>
          <w:szCs w:val="24"/>
        </w:rPr>
      </w:pPr>
      <w:bookmarkStart w:id="19" w:name="_5yb6bavpun79" w:colFirst="0" w:colLast="0"/>
      <w:bookmarkEnd w:id="19"/>
      <w:r w:rsidRPr="007D781A">
        <w:rPr>
          <w:rFonts w:ascii="Times New Roman" w:eastAsia="Times New Roman" w:hAnsi="Times New Roman" w:cs="Times New Roman"/>
          <w:b/>
          <w:bCs/>
          <w:sz w:val="24"/>
          <w:szCs w:val="24"/>
        </w:rPr>
        <w:lastRenderedPageBreak/>
        <w:t>Bioinformatic Validation of the Multiepitope Vaccine Construct</w:t>
      </w:r>
    </w:p>
    <w:p w14:paraId="0EB12C23"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The final 284-amino-acid multiepitope construct was subjected to an extensive </w:t>
      </w:r>
      <w:r w:rsidRPr="007D781A">
        <w:rPr>
          <w:rFonts w:ascii="Times New Roman" w:eastAsia="Times New Roman" w:hAnsi="Times New Roman" w:cs="Times New Roman"/>
          <w:i/>
          <w:iCs/>
          <w:sz w:val="24"/>
          <w:szCs w:val="24"/>
        </w:rPr>
        <w:t>in silico</w:t>
      </w:r>
      <w:r w:rsidRPr="007D781A">
        <w:rPr>
          <w:rFonts w:ascii="Times New Roman" w:eastAsia="Times New Roman" w:hAnsi="Times New Roman" w:cs="Times New Roman"/>
          <w:sz w:val="24"/>
          <w:szCs w:val="24"/>
        </w:rPr>
        <w:t xml:space="preserve"> validation pipeline to assess antigenicity, safety, structural stability, and predicted immune responsiveness. Antigenicity assessment using </w:t>
      </w:r>
      <w:proofErr w:type="spellStart"/>
      <w:r w:rsidRPr="007D781A">
        <w:rPr>
          <w:rFonts w:ascii="Times New Roman" w:eastAsia="Times New Roman" w:hAnsi="Times New Roman" w:cs="Times New Roman"/>
          <w:sz w:val="24"/>
          <w:szCs w:val="24"/>
        </w:rPr>
        <w:t>VaxiJen</w:t>
      </w:r>
      <w:proofErr w:type="spellEnd"/>
      <w:r w:rsidRPr="007D781A">
        <w:rPr>
          <w:rFonts w:ascii="Times New Roman" w:eastAsia="Times New Roman" w:hAnsi="Times New Roman" w:cs="Times New Roman"/>
          <w:sz w:val="24"/>
          <w:szCs w:val="24"/>
        </w:rPr>
        <w:t xml:space="preserve"> (threshold 0.4) classified the construct as highly antigenic, confirming its capacity to elicit immune recognition. Allergenicity screening through </w:t>
      </w:r>
      <w:proofErr w:type="spellStart"/>
      <w:r w:rsidRPr="007D781A">
        <w:rPr>
          <w:rFonts w:ascii="Times New Roman" w:eastAsia="Times New Roman" w:hAnsi="Times New Roman" w:cs="Times New Roman"/>
          <w:sz w:val="24"/>
          <w:szCs w:val="24"/>
        </w:rPr>
        <w:t>AllerTOP</w:t>
      </w:r>
      <w:proofErr w:type="spellEnd"/>
      <w:r w:rsidRPr="007D781A">
        <w:rPr>
          <w:rFonts w:ascii="Times New Roman" w:eastAsia="Times New Roman" w:hAnsi="Times New Roman" w:cs="Times New Roman"/>
          <w:sz w:val="24"/>
          <w:szCs w:val="24"/>
        </w:rPr>
        <w:t xml:space="preserve"> and </w:t>
      </w:r>
      <w:proofErr w:type="spellStart"/>
      <w:r w:rsidRPr="007D781A">
        <w:rPr>
          <w:rFonts w:ascii="Times New Roman" w:eastAsia="Times New Roman" w:hAnsi="Times New Roman" w:cs="Times New Roman"/>
          <w:sz w:val="24"/>
          <w:szCs w:val="24"/>
        </w:rPr>
        <w:t>AllergenFP</w:t>
      </w:r>
      <w:proofErr w:type="spellEnd"/>
      <w:r w:rsidRPr="007D781A">
        <w:rPr>
          <w:rFonts w:ascii="Times New Roman" w:eastAsia="Times New Roman" w:hAnsi="Times New Roman" w:cs="Times New Roman"/>
          <w:sz w:val="24"/>
          <w:szCs w:val="24"/>
        </w:rPr>
        <w:t xml:space="preserve"> identified the construct as non-allergenic, and </w:t>
      </w:r>
      <w:proofErr w:type="spellStart"/>
      <w:r w:rsidRPr="007D781A">
        <w:rPr>
          <w:rFonts w:ascii="Times New Roman" w:eastAsia="Times New Roman" w:hAnsi="Times New Roman" w:cs="Times New Roman"/>
          <w:sz w:val="24"/>
          <w:szCs w:val="24"/>
        </w:rPr>
        <w:t>ToxinPred</w:t>
      </w:r>
      <w:proofErr w:type="spellEnd"/>
      <w:r w:rsidRPr="007D781A">
        <w:rPr>
          <w:rFonts w:ascii="Times New Roman" w:eastAsia="Times New Roman" w:hAnsi="Times New Roman" w:cs="Times New Roman"/>
          <w:sz w:val="24"/>
          <w:szCs w:val="24"/>
        </w:rPr>
        <w:t xml:space="preserve"> analysis confirmed a non-toxic profile, collectively supporting its computational safety. Physicochemical analysis showed a </w:t>
      </w:r>
      <w:proofErr w:type="spellStart"/>
      <w:r w:rsidRPr="007D781A">
        <w:rPr>
          <w:rFonts w:ascii="Times New Roman" w:eastAsia="Times New Roman" w:hAnsi="Times New Roman" w:cs="Times New Roman"/>
          <w:sz w:val="24"/>
          <w:szCs w:val="24"/>
        </w:rPr>
        <w:t>favourable</w:t>
      </w:r>
      <w:proofErr w:type="spellEnd"/>
      <w:r w:rsidRPr="007D781A">
        <w:rPr>
          <w:rFonts w:ascii="Times New Roman" w:eastAsia="Times New Roman" w:hAnsi="Times New Roman" w:cs="Times New Roman"/>
          <w:sz w:val="24"/>
          <w:szCs w:val="24"/>
        </w:rPr>
        <w:t xml:space="preserve"> instability index, a high aliphatic index indicating predicted thermostability, and a negative GRAVY score reflecting hydrophilicity and suitability for soluble expression.</w:t>
      </w:r>
    </w:p>
    <w:p w14:paraId="3DF6EB1E" w14:textId="3ED86EC5"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Secondary-structure prediction revealed a balanced distribution of α-helices and coils, with coil-rich regions aligning with B-cell epitope clusters and helix-rich regions corresponding to T-cell epitope domains, consistent with their predicted accessibility and immune relevance. Tertiary structure</w:t>
      </w:r>
      <w:r w:rsidR="00FD08BF" w:rsidRPr="007D781A">
        <w:rPr>
          <w:rFonts w:ascii="Times New Roman" w:eastAsia="Times New Roman" w:hAnsi="Times New Roman" w:cs="Times New Roman"/>
          <w:sz w:val="24"/>
          <w:szCs w:val="24"/>
        </w:rPr>
        <w:t xml:space="preserve"> (Figure 2)</w:t>
      </w:r>
      <w:r w:rsidRPr="007D781A">
        <w:rPr>
          <w:rFonts w:ascii="Times New Roman" w:eastAsia="Times New Roman" w:hAnsi="Times New Roman" w:cs="Times New Roman"/>
          <w:sz w:val="24"/>
          <w:szCs w:val="24"/>
        </w:rPr>
        <w:t xml:space="preserve"> modelling followed by refinement improved stereochemical quality, as indicated by enhanced Ramachandran statistics, reduced steric clashes, and stable overall geometry. </w:t>
      </w:r>
      <w:proofErr w:type="spellStart"/>
      <w:r w:rsidRPr="007D781A">
        <w:rPr>
          <w:rFonts w:ascii="Times New Roman" w:eastAsia="Times New Roman" w:hAnsi="Times New Roman" w:cs="Times New Roman"/>
          <w:sz w:val="24"/>
          <w:szCs w:val="24"/>
        </w:rPr>
        <w:t>ProSA</w:t>
      </w:r>
      <w:proofErr w:type="spellEnd"/>
      <w:r w:rsidRPr="007D781A">
        <w:rPr>
          <w:rFonts w:ascii="Times New Roman" w:eastAsia="Times New Roman" w:hAnsi="Times New Roman" w:cs="Times New Roman"/>
          <w:sz w:val="24"/>
          <w:szCs w:val="24"/>
        </w:rPr>
        <w:t>-web and ERRAT validation further confirmed acceptable Z-scores and high-quality structural integrity.</w:t>
      </w:r>
    </w:p>
    <w:p w14:paraId="44A6C4C6" w14:textId="77777777" w:rsidR="003A3F0C" w:rsidRPr="007D781A" w:rsidRDefault="001C164D" w:rsidP="00BC4686">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Functional validation was performed computationally using receptor docking. All selected CTL epitopes demonstrated strong binding affinity with their respective HLA class I alleles, including LLLDPPTNV–HLA-A*02:01 (–8.9 kcal/mol), FLYDRIAST–HLA-A*02:03 (–8.7 kcal/mol), HAQGIALHLW–HLA-B*57:01 (–9.0 kcal/mol), DPVPNTKTI–HLA-B*51:01 (–8.4 kcal/mol), and LPHTSGNTAY–HLA-B*35:01 (–7.8 kcal/mol). Similarly, HTL epitopes showed </w:t>
      </w:r>
      <w:proofErr w:type="spellStart"/>
      <w:r w:rsidRPr="007D781A">
        <w:rPr>
          <w:rFonts w:ascii="Times New Roman" w:eastAsia="Times New Roman" w:hAnsi="Times New Roman" w:cs="Times New Roman"/>
          <w:sz w:val="24"/>
          <w:szCs w:val="24"/>
        </w:rPr>
        <w:t>favourable</w:t>
      </w:r>
      <w:proofErr w:type="spellEnd"/>
      <w:r w:rsidRPr="007D781A">
        <w:rPr>
          <w:rFonts w:ascii="Times New Roman" w:eastAsia="Times New Roman" w:hAnsi="Times New Roman" w:cs="Times New Roman"/>
          <w:sz w:val="24"/>
          <w:szCs w:val="24"/>
        </w:rPr>
        <w:t xml:space="preserve"> interactions with MHC II alleles, including SGKSLLLDPPTNVRD–DRB3*01:01 (–6.7 kcal/mol), ATRLNTTNPNSDDED–DQ7 (–7.0 kcal/mol), EERTFSLINRHAIDF–DRB1*13:02 (–7.5 kcal/mol), and TTMYRGKVFTEGNIA–DPB1*02:01 (–6.6 kcal/mol). B-cell epitopes demonstrated predicted antibody accessibility and high-affinity docking with known neutralizing antibodies, including ASNDQPQNVDSV and TGVPPKNVEYTEGEEAK (–7.3 kcal/mol with KZ52), KYWTSSNGTQTNDTG (–7.5 kcal/mol with MR72), and LPHTSGNTAY (–7.8 kcal/mol with MR78). These results validate the computationally selected epitopes and support their roles as immunodominant regions.</w:t>
      </w:r>
    </w:p>
    <w:p w14:paraId="4CD7C8D4" w14:textId="77777777" w:rsidR="003A3F0C" w:rsidRPr="007D781A" w:rsidRDefault="001C164D" w:rsidP="00BC4686">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Normal mode analysis demonstrated low deformability and a high eigenvalue, indicating a stable and compact vaccine structure. </w:t>
      </w:r>
      <w:r w:rsidRPr="007D781A">
        <w:rPr>
          <w:rFonts w:ascii="Times New Roman" w:eastAsia="Times New Roman" w:hAnsi="Times New Roman" w:cs="Times New Roman"/>
          <w:i/>
          <w:iCs/>
          <w:sz w:val="24"/>
          <w:szCs w:val="24"/>
        </w:rPr>
        <w:t>In silico</w:t>
      </w:r>
      <w:r w:rsidRPr="007D781A">
        <w:rPr>
          <w:rFonts w:ascii="Times New Roman" w:eastAsia="Times New Roman" w:hAnsi="Times New Roman" w:cs="Times New Roman"/>
          <w:sz w:val="24"/>
          <w:szCs w:val="24"/>
        </w:rPr>
        <w:t xml:space="preserve"> immune simulation predicted strong humoral and cellular responses, including elevated IgM/IgG production, increased memory cell formation, and robust IFN-γ and IL-2 signals, consistent with effective activation of both B- and T-cell pathways.</w:t>
      </w:r>
    </w:p>
    <w:p w14:paraId="0D40523F" w14:textId="77777777" w:rsidR="003A3F0C" w:rsidRPr="007D781A" w:rsidRDefault="001C164D" w:rsidP="00BC4686">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Collectively, these bioinformatic evaluations demonstrate that the designed multiepitope construct is predicted to be antigenic, non-allergenic, non-toxic, structurally stable, immunologically potent, and capable of strong interaction with immune receptors, supporting its suitability as a computationally validated vaccine candidate for future experimental implementation.</w:t>
      </w:r>
    </w:p>
    <w:p w14:paraId="660C60CB" w14:textId="77777777" w:rsidR="007B703E" w:rsidRPr="007D781A" w:rsidRDefault="001C164D" w:rsidP="007B703E">
      <w:pPr>
        <w:keepNext/>
        <w:jc w:val="both"/>
      </w:pPr>
      <w:r w:rsidRPr="007D781A">
        <w:rPr>
          <w:rFonts w:ascii="Times New Roman" w:eastAsia="Times New Roman" w:hAnsi="Times New Roman" w:cs="Times New Roman"/>
          <w:noProof/>
          <w:sz w:val="24"/>
          <w:szCs w:val="24"/>
        </w:rPr>
        <w:lastRenderedPageBreak/>
        <w:drawing>
          <wp:inline distT="114300" distB="114300" distL="114300" distR="114300" wp14:anchorId="17F05DEB" wp14:editId="7B4FAF93">
            <wp:extent cx="5053013" cy="423513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53013" cy="4235137"/>
                    </a:xfrm>
                    <a:prstGeom prst="rect">
                      <a:avLst/>
                    </a:prstGeom>
                    <a:ln/>
                  </pic:spPr>
                </pic:pic>
              </a:graphicData>
            </a:graphic>
          </wp:inline>
        </w:drawing>
      </w:r>
    </w:p>
    <w:p w14:paraId="5A828BF8" w14:textId="77777777" w:rsidR="007B703E" w:rsidRPr="007D781A" w:rsidRDefault="007B703E" w:rsidP="007B703E">
      <w:pPr>
        <w:pStyle w:val="Caption"/>
        <w:jc w:val="both"/>
        <w:rPr>
          <w:b/>
          <w:bCs/>
          <w:color w:val="auto"/>
          <w:lang w:val="en-IN"/>
        </w:rPr>
      </w:pPr>
      <w:r w:rsidRPr="007D781A">
        <w:rPr>
          <w:color w:val="auto"/>
        </w:rPr>
        <w:t xml:space="preserve">Figure </w:t>
      </w:r>
      <w:r w:rsidR="00C07E1A" w:rsidRPr="007D781A">
        <w:rPr>
          <w:color w:val="auto"/>
        </w:rPr>
        <w:fldChar w:fldCharType="begin"/>
      </w:r>
      <w:r w:rsidR="00C07E1A" w:rsidRPr="007D781A">
        <w:rPr>
          <w:color w:val="auto"/>
        </w:rPr>
        <w:instrText xml:space="preserve"> SEQ Figure \* ARABIC </w:instrText>
      </w:r>
      <w:r w:rsidR="00C07E1A" w:rsidRPr="007D781A">
        <w:rPr>
          <w:color w:val="auto"/>
        </w:rPr>
        <w:fldChar w:fldCharType="separate"/>
      </w:r>
      <w:r w:rsidRPr="007D781A">
        <w:rPr>
          <w:noProof/>
          <w:color w:val="auto"/>
        </w:rPr>
        <w:t>2</w:t>
      </w:r>
      <w:r w:rsidR="00C07E1A" w:rsidRPr="007D781A">
        <w:rPr>
          <w:noProof/>
          <w:color w:val="auto"/>
        </w:rPr>
        <w:fldChar w:fldCharType="end"/>
      </w:r>
      <w:r w:rsidRPr="007D781A">
        <w:rPr>
          <w:color w:val="auto"/>
        </w:rPr>
        <w:t xml:space="preserve"> </w:t>
      </w:r>
      <w:r w:rsidRPr="007D781A">
        <w:rPr>
          <w:b/>
          <w:bCs/>
          <w:color w:val="auto"/>
          <w:lang w:val="en-IN"/>
        </w:rPr>
        <w:t>Predicted 3D tertiary structure of the designed multiepitope vaccine construct.</w:t>
      </w:r>
    </w:p>
    <w:p w14:paraId="5D40852E" w14:textId="77777777" w:rsidR="007B703E" w:rsidRPr="007D781A" w:rsidRDefault="007B703E" w:rsidP="007B703E">
      <w:pPr>
        <w:pStyle w:val="Caption"/>
        <w:jc w:val="both"/>
        <w:rPr>
          <w:color w:val="auto"/>
          <w:lang w:val="en-IN"/>
        </w:rPr>
      </w:pPr>
      <w:r w:rsidRPr="007D781A">
        <w:rPr>
          <w:color w:val="auto"/>
          <w:lang w:val="en-IN"/>
        </w:rPr>
        <w:t>The three-dimensional structure of the final 284-amino-acid multiepitope vaccine construct generated by homology modelling using the SWISS-MODEL server. The model displays a compact, well-folded architecture consisting of multiple β-strands and α-helices connected by flexible loop regions. Coil-rich segments correspond to surface-exposed B-cell epitopes, while structured helical elements reflect the adjuvant and T-cell epitope blocks. The colour gradient (blue → red) represents the N- to C-terminal orientation of the protein. Overall, the model demonstrates stable folding and accessible antigenic surfaces, supporting the construct’s suitability for immune recognition.</w:t>
      </w:r>
    </w:p>
    <w:p w14:paraId="779FFD92" w14:textId="0F42189F" w:rsidR="003A3F0C" w:rsidRPr="007D781A" w:rsidRDefault="003A3F0C" w:rsidP="007B703E">
      <w:pPr>
        <w:pStyle w:val="Caption"/>
        <w:jc w:val="both"/>
        <w:rPr>
          <w:rFonts w:ascii="Times New Roman" w:eastAsia="Times New Roman" w:hAnsi="Times New Roman" w:cs="Times New Roman"/>
          <w:color w:val="auto"/>
          <w:sz w:val="24"/>
          <w:szCs w:val="24"/>
        </w:rPr>
      </w:pPr>
    </w:p>
    <w:p w14:paraId="4FCFBD34" w14:textId="77777777" w:rsidR="003A3F0C" w:rsidRPr="007D781A" w:rsidRDefault="001C164D" w:rsidP="00C645E7">
      <w:pPr>
        <w:pStyle w:val="ListParagraph"/>
        <w:numPr>
          <w:ilvl w:val="0"/>
          <w:numId w:val="4"/>
        </w:numPr>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Discussion</w:t>
      </w:r>
    </w:p>
    <w:p w14:paraId="6F9A54C5" w14:textId="77777777" w:rsidR="003A3F0C" w:rsidRPr="007D781A" w:rsidRDefault="003A3F0C">
      <w:pPr>
        <w:jc w:val="both"/>
        <w:rPr>
          <w:rFonts w:ascii="Times New Roman" w:eastAsia="Times New Roman" w:hAnsi="Times New Roman" w:cs="Times New Roman"/>
          <w:sz w:val="24"/>
          <w:szCs w:val="24"/>
        </w:rPr>
      </w:pPr>
    </w:p>
    <w:p w14:paraId="0EB30474"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  In this study, a comprehensive reverse vaccinology and </w:t>
      </w:r>
      <w:proofErr w:type="spellStart"/>
      <w:r w:rsidRPr="007D781A">
        <w:rPr>
          <w:rFonts w:ascii="Times New Roman" w:eastAsia="Times New Roman" w:hAnsi="Times New Roman" w:cs="Times New Roman"/>
          <w:sz w:val="24"/>
          <w:szCs w:val="24"/>
        </w:rPr>
        <w:t>immunoinformatics</w:t>
      </w:r>
      <w:proofErr w:type="spellEnd"/>
      <w:r w:rsidRPr="007D781A">
        <w:rPr>
          <w:rFonts w:ascii="Times New Roman" w:eastAsia="Times New Roman" w:hAnsi="Times New Roman" w:cs="Times New Roman"/>
          <w:sz w:val="24"/>
          <w:szCs w:val="24"/>
        </w:rPr>
        <w:t xml:space="preserve"> pipeline was employed to identify immunogenic regions across the Marburg virus proteome and to design a multiepitope vaccine capable of eliciting coordinated humoral and cellular immunity. Predictions from multiple tools—including MHC class I and II binding algorithms for T-cell epitopes and </w:t>
      </w:r>
      <w:proofErr w:type="spellStart"/>
      <w:r w:rsidRPr="007D781A">
        <w:rPr>
          <w:rFonts w:ascii="Times New Roman" w:eastAsia="Times New Roman" w:hAnsi="Times New Roman" w:cs="Times New Roman"/>
          <w:sz w:val="24"/>
          <w:szCs w:val="24"/>
        </w:rPr>
        <w:t>Bepipred</w:t>
      </w:r>
      <w:proofErr w:type="spellEnd"/>
      <w:r w:rsidRPr="007D781A">
        <w:rPr>
          <w:rFonts w:ascii="Times New Roman" w:eastAsia="Times New Roman" w:hAnsi="Times New Roman" w:cs="Times New Roman"/>
          <w:sz w:val="24"/>
          <w:szCs w:val="24"/>
        </w:rPr>
        <w:t xml:space="preserve"> for B-cell epitopes—were integrated to increase confidence in the identified antigenic sites [14, 16, 23]. Concordance among tools highlighted epitopes sharing </w:t>
      </w:r>
      <w:proofErr w:type="spellStart"/>
      <w:r w:rsidRPr="007D781A">
        <w:rPr>
          <w:rFonts w:ascii="Times New Roman" w:eastAsia="Times New Roman" w:hAnsi="Times New Roman" w:cs="Times New Roman"/>
          <w:sz w:val="24"/>
          <w:szCs w:val="24"/>
        </w:rPr>
        <w:t>favourable</w:t>
      </w:r>
      <w:proofErr w:type="spellEnd"/>
      <w:r w:rsidRPr="007D781A">
        <w:rPr>
          <w:rFonts w:ascii="Times New Roman" w:eastAsia="Times New Roman" w:hAnsi="Times New Roman" w:cs="Times New Roman"/>
          <w:sz w:val="24"/>
          <w:szCs w:val="24"/>
        </w:rPr>
        <w:t xml:space="preserve"> biophysical properties such as hydrophilicity, flexibility, and surface exposure, features known to enhance immune visibility and recognition during natural infection.</w:t>
      </w:r>
    </w:p>
    <w:p w14:paraId="04BE856D"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lastRenderedPageBreak/>
        <w:t xml:space="preserve">Across the proteome, clear differences emerged in epitope distribution. The envelope glycoprotein (GP) consistently displayed the highest density of both B-cell and T-cell epitopes, reflecting its surface accessibility and its central role in receptor binding and viral entry [12, 17, 20]. These attributes make GP an especially strong candidate for </w:t>
      </w:r>
      <w:proofErr w:type="spellStart"/>
      <w:r w:rsidRPr="007D781A">
        <w:rPr>
          <w:rFonts w:ascii="Times New Roman" w:eastAsia="Times New Roman" w:hAnsi="Times New Roman" w:cs="Times New Roman"/>
          <w:sz w:val="24"/>
          <w:szCs w:val="24"/>
        </w:rPr>
        <w:t>neutralising</w:t>
      </w:r>
      <w:proofErr w:type="spellEnd"/>
      <w:r w:rsidRPr="007D781A">
        <w:rPr>
          <w:rFonts w:ascii="Times New Roman" w:eastAsia="Times New Roman" w:hAnsi="Times New Roman" w:cs="Times New Roman"/>
          <w:sz w:val="24"/>
          <w:szCs w:val="24"/>
        </w:rPr>
        <w:t xml:space="preserve"> antibody targeting. In contrast, internal proteins such as the nucleoprotein (NP) and the RNA-dependent RNA polymerase (L protein) contained numerous predicted epitopes but are less accessible to antibodies. Their immunological relevance instead lies in their ability to stimulate robust CD8⁺ and CD4⁺ T-cell responses, and their high sequence conservation makes them attractive components for cross-strain or cross-species filovirus vaccine design [18, 22]. Smaller proteins, including VP24 and VP30, contributed fewer epitopes overall but </w:t>
      </w:r>
      <w:proofErr w:type="spellStart"/>
      <w:r w:rsidRPr="007D781A">
        <w:rPr>
          <w:rFonts w:ascii="Times New Roman" w:eastAsia="Times New Roman" w:hAnsi="Times New Roman" w:cs="Times New Roman"/>
          <w:sz w:val="24"/>
          <w:szCs w:val="24"/>
        </w:rPr>
        <w:t>harboured</w:t>
      </w:r>
      <w:proofErr w:type="spellEnd"/>
      <w:r w:rsidRPr="007D781A">
        <w:rPr>
          <w:rFonts w:ascii="Times New Roman" w:eastAsia="Times New Roman" w:hAnsi="Times New Roman" w:cs="Times New Roman"/>
          <w:sz w:val="24"/>
          <w:szCs w:val="24"/>
        </w:rPr>
        <w:t xml:space="preserve"> discrete immunogenic hotspots that may play supporting roles in T-cell activation [2, 13].</w:t>
      </w:r>
    </w:p>
    <w:p w14:paraId="1C114B51"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The functional implications of this epitope landscape were evident in the predicted immune responses. GP epitopes, enriched in flexible, hydrophilic regions, aligned with known principles of antibody accessibility [17], supporting their candidacy for </w:t>
      </w:r>
      <w:proofErr w:type="spellStart"/>
      <w:r w:rsidRPr="007D781A">
        <w:rPr>
          <w:rFonts w:ascii="Times New Roman" w:eastAsia="Times New Roman" w:hAnsi="Times New Roman" w:cs="Times New Roman"/>
          <w:sz w:val="24"/>
          <w:szCs w:val="24"/>
        </w:rPr>
        <w:t>neutralisation</w:t>
      </w:r>
      <w:proofErr w:type="spellEnd"/>
      <w:r w:rsidRPr="007D781A">
        <w:rPr>
          <w:rFonts w:ascii="Times New Roman" w:eastAsia="Times New Roman" w:hAnsi="Times New Roman" w:cs="Times New Roman"/>
          <w:sz w:val="24"/>
          <w:szCs w:val="24"/>
        </w:rPr>
        <w:t>. Conversely, the stability and low mutation rates of NP and L proteins make them suitable for generating long-lasting T-cell immunity and for diagnostic applications. Notably, several regions within VP24 and L appeared capable of activating both CD8⁺ cytotoxic and CD4⁺ helper T cells, suggesting potential to induce both acute viral clearance and durable memory formation [18, 22].</w:t>
      </w:r>
    </w:p>
    <w:p w14:paraId="5E83160D"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MHC-I epitopes were primarily concentrated in surface-exposed proteins like GP, consistent with the activation of cytotoxic T cells that mediate clearance of infected cells, whereas MHC-II epitope abundance was higher in NP, aligning with its role in helper T-cell priming. The presence of multiple epitopes binding a wide range of HLA alleles indicates strong global population coverage, a key requirement for emerging high-consequence pathogens.</w:t>
      </w:r>
    </w:p>
    <w:p w14:paraId="65F1D054"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Structural analyses and molecular docking provided further validation. High-affinity interactions such as LLLDPPTNV with HLA-A02:01 and HAQGIALHLW with HLA-B57:01 confirmed that selected CD8⁺ epitopes fit canonical HLA anchor motifs, while CD4⁺ epitopes formed extensive stabilizing interactions within the MHC-II groove. The allele promiscuity exhibited by many epitopes strengthens confidence in their broad immunological relevance. Additionally, B-cell epitope docking with known filovirus </w:t>
      </w:r>
      <w:proofErr w:type="spellStart"/>
      <w:r w:rsidRPr="007D781A">
        <w:rPr>
          <w:rFonts w:ascii="Times New Roman" w:eastAsia="Times New Roman" w:hAnsi="Times New Roman" w:cs="Times New Roman"/>
          <w:sz w:val="24"/>
          <w:szCs w:val="24"/>
        </w:rPr>
        <w:t>neutralising</w:t>
      </w:r>
      <w:proofErr w:type="spellEnd"/>
      <w:r w:rsidRPr="007D781A">
        <w:rPr>
          <w:rFonts w:ascii="Times New Roman" w:eastAsia="Times New Roman" w:hAnsi="Times New Roman" w:cs="Times New Roman"/>
          <w:sz w:val="24"/>
          <w:szCs w:val="24"/>
        </w:rPr>
        <w:t xml:space="preserve"> antibodies yielded </w:t>
      </w:r>
      <w:proofErr w:type="spellStart"/>
      <w:r w:rsidRPr="007D781A">
        <w:rPr>
          <w:rFonts w:ascii="Times New Roman" w:eastAsia="Times New Roman" w:hAnsi="Times New Roman" w:cs="Times New Roman"/>
          <w:sz w:val="24"/>
          <w:szCs w:val="24"/>
        </w:rPr>
        <w:t>favourable</w:t>
      </w:r>
      <w:proofErr w:type="spellEnd"/>
      <w:r w:rsidRPr="007D781A">
        <w:rPr>
          <w:rFonts w:ascii="Times New Roman" w:eastAsia="Times New Roman" w:hAnsi="Times New Roman" w:cs="Times New Roman"/>
          <w:sz w:val="24"/>
          <w:szCs w:val="24"/>
        </w:rPr>
        <w:t xml:space="preserve"> interaction energies and biologically plausible orientations, suggesting that these epitopes may elicit effective humoral responses when presented in an appropriate conformational context.</w:t>
      </w:r>
    </w:p>
    <w:p w14:paraId="08D21E08"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These findings informed the design of a 284-amino-acid multiepitope vaccine incorporating an N-terminal hBD-3 adjuvant to enhance innate immunity and a PADRE sequence to minimize HLA restrictions. CTL, HTL, and B-cell epitopes were arranged using </w:t>
      </w:r>
      <w:proofErr w:type="spellStart"/>
      <w:r w:rsidRPr="007D781A">
        <w:rPr>
          <w:rFonts w:ascii="Times New Roman" w:eastAsia="Times New Roman" w:hAnsi="Times New Roman" w:cs="Times New Roman"/>
          <w:sz w:val="24"/>
          <w:szCs w:val="24"/>
        </w:rPr>
        <w:t>optimised</w:t>
      </w:r>
      <w:proofErr w:type="spellEnd"/>
      <w:r w:rsidRPr="007D781A">
        <w:rPr>
          <w:rFonts w:ascii="Times New Roman" w:eastAsia="Times New Roman" w:hAnsi="Times New Roman" w:cs="Times New Roman"/>
          <w:sz w:val="24"/>
          <w:szCs w:val="24"/>
        </w:rPr>
        <w:t xml:space="preserve"> linkers to support efficient processing, proteasomal cleavage, and structural flexibility. Bioinformatic analyses demonstrated that the construct is predicted to be antigenic, non-allergenic, non-toxic, stable, hydrophilic, and amenable to soluble expression. Refinement of the 3D model produced </w:t>
      </w:r>
      <w:proofErr w:type="spellStart"/>
      <w:r w:rsidRPr="007D781A">
        <w:rPr>
          <w:rFonts w:ascii="Times New Roman" w:eastAsia="Times New Roman" w:hAnsi="Times New Roman" w:cs="Times New Roman"/>
          <w:sz w:val="24"/>
          <w:szCs w:val="24"/>
        </w:rPr>
        <w:lastRenderedPageBreak/>
        <w:t>favourable</w:t>
      </w:r>
      <w:proofErr w:type="spellEnd"/>
      <w:r w:rsidRPr="007D781A">
        <w:rPr>
          <w:rFonts w:ascii="Times New Roman" w:eastAsia="Times New Roman" w:hAnsi="Times New Roman" w:cs="Times New Roman"/>
          <w:sz w:val="24"/>
          <w:szCs w:val="24"/>
        </w:rPr>
        <w:t xml:space="preserve"> Ramachandran statistics and low deformability, and in silico immune simulations predicted strong IgM/IgG responses, elevated IFN-γ secretion, and durable memory cell formation—features consistent with protective immunity against filoviruses.</w:t>
      </w:r>
    </w:p>
    <w:p w14:paraId="4859DFEB" w14:textId="6C87110A" w:rsidR="00CD083B"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The integration of these findings highlights GP as the dominant antigenic target due to its epitope density and surface exposure, while NP and L provide essential complementary T-cell targets that enhance breadth and durability of the immune response. This dual-target approach supports a balanced vaccine strategy capable of generating </w:t>
      </w:r>
      <w:proofErr w:type="spellStart"/>
      <w:r w:rsidRPr="007D781A">
        <w:rPr>
          <w:rFonts w:ascii="Times New Roman" w:eastAsia="Times New Roman" w:hAnsi="Times New Roman" w:cs="Times New Roman"/>
          <w:sz w:val="24"/>
          <w:szCs w:val="24"/>
        </w:rPr>
        <w:t>neutralising</w:t>
      </w:r>
      <w:proofErr w:type="spellEnd"/>
      <w:r w:rsidRPr="007D781A">
        <w:rPr>
          <w:rFonts w:ascii="Times New Roman" w:eastAsia="Times New Roman" w:hAnsi="Times New Roman" w:cs="Times New Roman"/>
          <w:sz w:val="24"/>
          <w:szCs w:val="24"/>
        </w:rPr>
        <w:t xml:space="preserve"> antibodies while simultaneously restricting viral replication in infected cells. The identification of conserved epitopes additionally raises the prospect of cross-protective vaccines against divergent Marburg strains and even related filoviruses such as Ebola.</w:t>
      </w:r>
      <w:r w:rsidR="00CD083B" w:rsidRPr="007D781A">
        <w:rPr>
          <w:rFonts w:ascii="Times New Roman" w:eastAsia="Times New Roman" w:hAnsi="Times New Roman" w:cs="Times New Roman"/>
          <w:sz w:val="24"/>
          <w:szCs w:val="24"/>
        </w:rPr>
        <w:t xml:space="preserve"> Our findings are consistent with </w:t>
      </w:r>
      <w:proofErr w:type="spellStart"/>
      <w:r w:rsidR="00CD083B" w:rsidRPr="007D781A">
        <w:rPr>
          <w:rFonts w:ascii="Times New Roman" w:eastAsia="Times New Roman" w:hAnsi="Times New Roman" w:cs="Times New Roman"/>
          <w:sz w:val="24"/>
          <w:szCs w:val="24"/>
        </w:rPr>
        <w:t>immunoinformatics</w:t>
      </w:r>
      <w:proofErr w:type="spellEnd"/>
      <w:r w:rsidR="00CD083B" w:rsidRPr="007D781A">
        <w:rPr>
          <w:rFonts w:ascii="Times New Roman" w:eastAsia="Times New Roman" w:hAnsi="Times New Roman" w:cs="Times New Roman"/>
          <w:sz w:val="24"/>
          <w:szCs w:val="24"/>
        </w:rPr>
        <w:t>-driven multi-epitope vaccine designs reported for Ebola virus and other emerging pathogens, which likewise highlight glycoprotein-</w:t>
      </w:r>
      <w:proofErr w:type="spellStart"/>
      <w:r w:rsidR="00CD083B" w:rsidRPr="007D781A">
        <w:rPr>
          <w:rFonts w:ascii="Times New Roman" w:eastAsia="Times New Roman" w:hAnsi="Times New Roman" w:cs="Times New Roman"/>
          <w:sz w:val="24"/>
          <w:szCs w:val="24"/>
        </w:rPr>
        <w:t>centred</w:t>
      </w:r>
      <w:proofErr w:type="spellEnd"/>
      <w:r w:rsidR="00CD083B" w:rsidRPr="007D781A">
        <w:rPr>
          <w:rFonts w:ascii="Times New Roman" w:eastAsia="Times New Roman" w:hAnsi="Times New Roman" w:cs="Times New Roman"/>
          <w:sz w:val="24"/>
          <w:szCs w:val="24"/>
        </w:rPr>
        <w:t xml:space="preserve"> constructs with predicted broad immunogenicity but </w:t>
      </w:r>
      <w:proofErr w:type="spellStart"/>
      <w:r w:rsidR="00CD083B" w:rsidRPr="007D781A">
        <w:rPr>
          <w:rFonts w:ascii="Times New Roman" w:eastAsia="Times New Roman" w:hAnsi="Times New Roman" w:cs="Times New Roman"/>
          <w:sz w:val="24"/>
          <w:szCs w:val="24"/>
        </w:rPr>
        <w:t>emphasise</w:t>
      </w:r>
      <w:proofErr w:type="spellEnd"/>
      <w:r w:rsidR="00CD083B" w:rsidRPr="007D781A">
        <w:rPr>
          <w:rFonts w:ascii="Times New Roman" w:eastAsia="Times New Roman" w:hAnsi="Times New Roman" w:cs="Times New Roman"/>
          <w:sz w:val="24"/>
          <w:szCs w:val="24"/>
        </w:rPr>
        <w:t xml:space="preserve"> the need for extensive experimental validation before clinical translation (Alizadeh et al., 2022; Kadam et al., 2020; </w:t>
      </w:r>
      <w:proofErr w:type="spellStart"/>
      <w:r w:rsidR="00CD083B" w:rsidRPr="007D781A">
        <w:rPr>
          <w:rFonts w:ascii="Times New Roman" w:eastAsia="Times New Roman" w:hAnsi="Times New Roman" w:cs="Times New Roman"/>
          <w:sz w:val="24"/>
          <w:szCs w:val="24"/>
        </w:rPr>
        <w:t>Widjaja</w:t>
      </w:r>
      <w:proofErr w:type="spellEnd"/>
      <w:r w:rsidR="00CD083B" w:rsidRPr="007D781A">
        <w:rPr>
          <w:rFonts w:ascii="Times New Roman" w:eastAsia="Times New Roman" w:hAnsi="Times New Roman" w:cs="Times New Roman"/>
          <w:sz w:val="24"/>
          <w:szCs w:val="24"/>
        </w:rPr>
        <w:t xml:space="preserve"> et al., 2023; Mahmoodi et al., 2024). </w:t>
      </w:r>
    </w:p>
    <w:p w14:paraId="6CCAD006"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Finally, the </w:t>
      </w:r>
      <w:proofErr w:type="spellStart"/>
      <w:r w:rsidRPr="007D781A">
        <w:rPr>
          <w:rFonts w:ascii="Times New Roman" w:eastAsia="Times New Roman" w:hAnsi="Times New Roman" w:cs="Times New Roman"/>
          <w:sz w:val="24"/>
          <w:szCs w:val="24"/>
        </w:rPr>
        <w:t>organisation</w:t>
      </w:r>
      <w:proofErr w:type="spellEnd"/>
      <w:r w:rsidRPr="007D781A">
        <w:rPr>
          <w:rFonts w:ascii="Times New Roman" w:eastAsia="Times New Roman" w:hAnsi="Times New Roman" w:cs="Times New Roman"/>
          <w:sz w:val="24"/>
          <w:szCs w:val="24"/>
        </w:rPr>
        <w:t xml:space="preserve"> and communication of epitope predictions using visual tools such as heatmaps, protein line maps, and bar charts proved crucial for discerning population coverage, immunodominant hotspots, and inter-tool concordance [22]. These representations strengthen confidence in the final </w:t>
      </w:r>
      <w:proofErr w:type="spellStart"/>
      <w:r w:rsidRPr="007D781A">
        <w:rPr>
          <w:rFonts w:ascii="Times New Roman" w:eastAsia="Times New Roman" w:hAnsi="Times New Roman" w:cs="Times New Roman"/>
          <w:sz w:val="24"/>
          <w:szCs w:val="24"/>
        </w:rPr>
        <w:t>prioritised</w:t>
      </w:r>
      <w:proofErr w:type="spellEnd"/>
      <w:r w:rsidRPr="007D781A">
        <w:rPr>
          <w:rFonts w:ascii="Times New Roman" w:eastAsia="Times New Roman" w:hAnsi="Times New Roman" w:cs="Times New Roman"/>
          <w:sz w:val="24"/>
          <w:szCs w:val="24"/>
        </w:rPr>
        <w:t xml:space="preserve"> epitope set and provide a clear rational basis for experimental evaluation.</w:t>
      </w:r>
    </w:p>
    <w:p w14:paraId="3B9B65C0"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Although the results are strictly computational, they provide a rigorous foundation for subsequent wet-lab studies. Factors such as epitope processing efficiency, glycoprotein conformational masking, antigenic competition, and real-world immunogenicity remain to be validated experimentally. Nevertheless, this work demonstrates the power of computational vaccinology and establishes a systematic framework for advancing vaccine and diagnostic development against Marburg virus.</w:t>
      </w:r>
    </w:p>
    <w:p w14:paraId="65366B2F" w14:textId="77777777" w:rsidR="006D744D" w:rsidRPr="007D781A" w:rsidRDefault="006D744D">
      <w:pPr>
        <w:spacing w:before="240" w:after="240"/>
        <w:jc w:val="both"/>
        <w:rPr>
          <w:rFonts w:ascii="Times New Roman" w:eastAsia="Times New Roman" w:hAnsi="Times New Roman" w:cs="Times New Roman"/>
          <w:sz w:val="24"/>
          <w:szCs w:val="24"/>
        </w:rPr>
      </w:pPr>
    </w:p>
    <w:p w14:paraId="539B3C0F" w14:textId="129CB185" w:rsidR="003A3F0C" w:rsidRPr="007D781A" w:rsidRDefault="001C164D" w:rsidP="006D744D">
      <w:pPr>
        <w:pStyle w:val="ListParagraph"/>
        <w:numPr>
          <w:ilvl w:val="0"/>
          <w:numId w:val="4"/>
        </w:numPr>
        <w:spacing w:before="240" w:after="240"/>
        <w:jc w:val="both"/>
        <w:rPr>
          <w:rFonts w:ascii="Times New Roman" w:eastAsia="Times New Roman" w:hAnsi="Times New Roman" w:cs="Times New Roman"/>
          <w:b/>
          <w:bCs/>
          <w:sz w:val="24"/>
          <w:szCs w:val="24"/>
        </w:rPr>
      </w:pPr>
      <w:r w:rsidRPr="007D781A">
        <w:rPr>
          <w:rFonts w:ascii="Times New Roman" w:eastAsia="Times New Roman" w:hAnsi="Times New Roman" w:cs="Times New Roman"/>
          <w:b/>
          <w:bCs/>
          <w:sz w:val="24"/>
          <w:szCs w:val="24"/>
        </w:rPr>
        <w:t>Conclusion</w:t>
      </w:r>
    </w:p>
    <w:p w14:paraId="055BE5F7"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This study demonstrates the power of a comprehensive in silico reverse vaccinology approach for identifying and prioritizing vaccine targets against Marburg virus. By integrating physicochemical assessment, structural prediction, epitope mapping, and molecular docking, we established a reliable and high-precision workflow for epitope discovery that aligns well with existing experimental data on Marburg virus proteins, underscoring the accuracy of computational screening [7, 9, 12, 18]. Key factors—including molecular weight, theoretical </w:t>
      </w:r>
      <w:proofErr w:type="spellStart"/>
      <w:r w:rsidRPr="007D781A">
        <w:rPr>
          <w:rFonts w:ascii="Times New Roman" w:eastAsia="Times New Roman" w:hAnsi="Times New Roman" w:cs="Times New Roman"/>
          <w:sz w:val="24"/>
          <w:szCs w:val="24"/>
        </w:rPr>
        <w:t>pI</w:t>
      </w:r>
      <w:proofErr w:type="spellEnd"/>
      <w:r w:rsidRPr="007D781A">
        <w:rPr>
          <w:rFonts w:ascii="Times New Roman" w:eastAsia="Times New Roman" w:hAnsi="Times New Roman" w:cs="Times New Roman"/>
          <w:sz w:val="24"/>
          <w:szCs w:val="24"/>
        </w:rPr>
        <w:t>, hydrophobic folding, disulfide bonding, and thermostability—proved essential in evaluating the suitability of viral proteins for vaccine development.</w:t>
      </w:r>
    </w:p>
    <w:p w14:paraId="3191F864"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lastRenderedPageBreak/>
        <w:t>Through this pipeline, conserved immunodominant epitopes were identified across the glycoprotein, nucleoprotein, and polymerase, leading to the design of a multiepitope vaccine construct predicted to be antigenic, stable, broadly HLA-covering, and capable of inducing strong humoral and cellular immune responses. The demonstrated in silico stability of the construct under physiological and stress conditions further suggests the potential for robust performance across diverse environmental settings, supporting universal accessibility and safety [2, 17].</w:t>
      </w:r>
    </w:p>
    <w:p w14:paraId="47F2EEFE" w14:textId="777777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While computational findings cannot replace laboratory experimentation or clinical trials, they significantly accelerate the early phases of vaccine development by narrowing the search space and identifying high-value targets for experimental validation [22]. This rapid screening capacity is especially critical for high-consequence pathogens such as Marburg virus, where shortening the interval between outbreak emergence and vaccine availability could have profound public-health impact.</w:t>
      </w:r>
    </w:p>
    <w:p w14:paraId="4DC757DF" w14:textId="15236877" w:rsidR="003A3F0C" w:rsidRPr="007D781A" w:rsidRDefault="001C164D">
      <w:pPr>
        <w:spacing w:before="240" w:after="240"/>
        <w:jc w:val="both"/>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In conclusion, this work bridges computational prediction with experimental potential, providing a rational, evidence-based foundation for developing future Marburg virus vaccines. The integration of advanced in silico techniques offers a powerful strategy for accelerating vaccine discovery against this highly lethal pathogen [17, 18, 20, 22, 24].</w:t>
      </w:r>
    </w:p>
    <w:p w14:paraId="0A6B6311" w14:textId="54C441BD" w:rsidR="001F4F4E" w:rsidRPr="007D781A" w:rsidRDefault="001F4F4E">
      <w:pPr>
        <w:spacing w:before="240" w:after="240"/>
        <w:jc w:val="both"/>
        <w:rPr>
          <w:rFonts w:ascii="Times New Roman" w:eastAsia="Times New Roman" w:hAnsi="Times New Roman" w:cs="Times New Roman"/>
          <w:sz w:val="24"/>
          <w:szCs w:val="24"/>
        </w:rPr>
      </w:pPr>
    </w:p>
    <w:p w14:paraId="0A8AF8D1" w14:textId="0C4CA244" w:rsidR="001F4F4E" w:rsidRPr="007D781A" w:rsidRDefault="001F4F4E" w:rsidP="001F4F4E">
      <w:pPr>
        <w:pStyle w:val="NormalWeb"/>
        <w:numPr>
          <w:ilvl w:val="0"/>
          <w:numId w:val="7"/>
        </w:numPr>
      </w:pPr>
      <w:r w:rsidRPr="007D781A">
        <w:rPr>
          <w:rStyle w:val="Strong"/>
        </w:rPr>
        <w:t>Limitations and future directions</w:t>
      </w:r>
    </w:p>
    <w:p w14:paraId="107822E0" w14:textId="77777777" w:rsidR="001F4F4E" w:rsidRPr="007D781A" w:rsidRDefault="001F4F4E" w:rsidP="001F4F4E">
      <w:pPr>
        <w:pStyle w:val="NormalWeb"/>
      </w:pPr>
      <w:r w:rsidRPr="007D781A">
        <w:t>Although our multiepitope construct was designed using a comprehensive reverse vaccinology and immunoinformatic workflow, the study remains strictly computational and is constrained by the inherent limitations of current prediction tools. Epitope algorithms primarily estimate peptide–HLA binding or sequence features correlated with antigenicity; they do not fully capture immunodominance, processing efficiency, or the complex interplay of innate and adaptive responses in vivo. This is particularly relevant for B-cell epitopes, where conformational recognition, glycosylation and glycan shielding, and dynamic structural changes of the glycoprotein may differ substantially from the static structures used in docking. Similarly, molecular docking, normal mode analysis and immune simulations rely on simplified models and scoring functions that cannot recapitulate the full cellular milieu, population heterogeneity or long-term memory responses. Safety filters for allergenicity and toxicity are also based on in silico similarity to known motifs, and cannot replace empirical assessment.</w:t>
      </w:r>
    </w:p>
    <w:p w14:paraId="6BDEA0A6" w14:textId="77777777" w:rsidR="001F4F4E" w:rsidRPr="007D781A" w:rsidRDefault="001F4F4E" w:rsidP="001F4F4E">
      <w:pPr>
        <w:pStyle w:val="NormalWeb"/>
      </w:pPr>
      <w:r w:rsidRPr="007D781A">
        <w:t xml:space="preserve">Consequently, our construct should be viewed as a prioritised vaccine candidate rather than a ready-to-use formulation. The immediate next steps include experimental validation of key epitopes in HLA binding assays, assessment of T-cell and B-cell responses using human PBMCs, and evaluation of construct expression, stability and processing in relevant delivery platforms (e.g., peptide, DNA or mRNA). Subsequent in vivo studies in suitable animal models will be essential to determine immunogenicity, protective efficacy and safety. Real-world development will also need to address viral genetic diversity, manufacturing constraints, regulatory requirements and deployment in resource-limited settings where Marburg outbreaks </w:t>
      </w:r>
      <w:r w:rsidRPr="007D781A">
        <w:lastRenderedPageBreak/>
        <w:t>occur. By making these limitations explicit, we position our work as an early-stage, hypothesis-generating framework that can guide and streamline downstream experimental vaccine development rather than replace it.</w:t>
      </w:r>
    </w:p>
    <w:p w14:paraId="081AE334" w14:textId="77777777" w:rsidR="001F4F4E" w:rsidRPr="007D781A" w:rsidRDefault="001F4F4E">
      <w:pPr>
        <w:spacing w:before="240" w:after="240"/>
        <w:jc w:val="both"/>
        <w:rPr>
          <w:rFonts w:ascii="Times New Roman" w:eastAsia="Times New Roman" w:hAnsi="Times New Roman" w:cs="Times New Roman"/>
          <w:sz w:val="24"/>
          <w:szCs w:val="24"/>
        </w:rPr>
      </w:pPr>
    </w:p>
    <w:p w14:paraId="7CB3A32D" w14:textId="625CC5E7" w:rsidR="00FD08BF" w:rsidRPr="007D781A" w:rsidRDefault="00FD08BF" w:rsidP="001F4F4E">
      <w:pPr>
        <w:pStyle w:val="ListParagraph"/>
        <w:numPr>
          <w:ilvl w:val="0"/>
          <w:numId w:val="7"/>
        </w:numPr>
        <w:spacing w:before="240" w:after="240"/>
        <w:jc w:val="both"/>
        <w:rPr>
          <w:rFonts w:ascii="Times New Roman" w:eastAsia="Times New Roman" w:hAnsi="Times New Roman" w:cs="Times New Roman"/>
          <w:b/>
          <w:bCs/>
          <w:sz w:val="24"/>
          <w:szCs w:val="24"/>
          <w:lang w:val="en-IN"/>
        </w:rPr>
      </w:pPr>
      <w:r w:rsidRPr="007D781A">
        <w:rPr>
          <w:rFonts w:ascii="Times New Roman" w:eastAsia="Times New Roman" w:hAnsi="Times New Roman" w:cs="Times New Roman"/>
          <w:b/>
          <w:bCs/>
          <w:sz w:val="24"/>
          <w:szCs w:val="24"/>
          <w:lang w:val="en-IN"/>
        </w:rPr>
        <w:t xml:space="preserve">List of Abbreviations </w:t>
      </w:r>
    </w:p>
    <w:p w14:paraId="27D56125" w14:textId="5FF51DC5" w:rsidR="00A03A73" w:rsidRPr="007D781A" w:rsidRDefault="00FD08BF">
      <w:pPr>
        <w:spacing w:before="240" w:after="240"/>
        <w:jc w:val="both"/>
        <w:rPr>
          <w:rFonts w:ascii="Times New Roman" w:eastAsia="Times New Roman" w:hAnsi="Times New Roman" w:cs="Times New Roman"/>
          <w:sz w:val="24"/>
          <w:szCs w:val="24"/>
          <w:lang w:val="en-IN"/>
        </w:rPr>
      </w:pPr>
      <w:r w:rsidRPr="007D781A">
        <w:rPr>
          <w:rFonts w:ascii="Times New Roman" w:eastAsia="Times New Roman" w:hAnsi="Times New Roman" w:cs="Times New Roman"/>
          <w:sz w:val="24"/>
          <w:szCs w:val="24"/>
        </w:rPr>
        <w:t xml:space="preserve">MVD: Marburg Virus Disease; MARV: Marburg Virus; RV: Reverse Vaccinology; MEV: Multiepitope Vaccine; CTL: Cytotoxic T Lymphocyte; HTL: Helper T Lymphocyte; MHC: Major Histocompatibility Complex; HLA: Human Leukocyte Antigen; GP: Glycoprotein; NP: Nucleoprotein; L protein: RNA-dependent RNA polymerase; IEDB: Immune Epitope Database; </w:t>
      </w:r>
      <w:proofErr w:type="spellStart"/>
      <w:r w:rsidRPr="007D781A">
        <w:rPr>
          <w:rFonts w:ascii="Times New Roman" w:eastAsia="Times New Roman" w:hAnsi="Times New Roman" w:cs="Times New Roman"/>
          <w:sz w:val="24"/>
          <w:szCs w:val="24"/>
        </w:rPr>
        <w:t>VaxiJen</w:t>
      </w:r>
      <w:proofErr w:type="spellEnd"/>
      <w:r w:rsidRPr="007D781A">
        <w:rPr>
          <w:rFonts w:ascii="Times New Roman" w:eastAsia="Times New Roman" w:hAnsi="Times New Roman" w:cs="Times New Roman"/>
          <w:sz w:val="24"/>
          <w:szCs w:val="24"/>
        </w:rPr>
        <w:t>: Antigenicity Prediction Tool; SOPMA: Secondary Structure Prediction Tool; GRAVY: Grand Average of Hydropathy; PDB: Protein Data Bank; C-terminus: Carboxyl Terminus; N-terminus: Amino Terminus; RMSD: Root Mean Square Deviation; IFN-γ: Interferon-gamma; IL-2: Interleukin-2.</w:t>
      </w:r>
    </w:p>
    <w:p w14:paraId="4F7B5117" w14:textId="48E2CF5F" w:rsidR="00435B28" w:rsidRPr="007D781A" w:rsidRDefault="00435B28">
      <w:pPr>
        <w:spacing w:before="240" w:after="240"/>
        <w:jc w:val="both"/>
        <w:rPr>
          <w:rFonts w:ascii="Times New Roman" w:eastAsia="Times New Roman" w:hAnsi="Times New Roman" w:cs="Times New Roman"/>
          <w:sz w:val="24"/>
          <w:szCs w:val="24"/>
        </w:rPr>
      </w:pPr>
    </w:p>
    <w:p w14:paraId="1A4A4EC5" w14:textId="77777777" w:rsidR="00435B28" w:rsidRPr="007D781A" w:rsidRDefault="00435B28" w:rsidP="00435B28">
      <w:pPr>
        <w:rPr>
          <w:rFonts w:ascii="Calibri" w:eastAsia="Calibri" w:hAnsi="Calibri" w:cs="Times New Roman"/>
          <w:kern w:val="2"/>
          <w:highlight w:val="yellow"/>
          <w:lang w:val="en-US"/>
        </w:rPr>
      </w:pPr>
      <w:bookmarkStart w:id="20" w:name="_Hlk204003461"/>
      <w:bookmarkStart w:id="21" w:name="_Hlk213070710"/>
      <w:r w:rsidRPr="007D781A">
        <w:rPr>
          <w:rFonts w:ascii="Calibri" w:eastAsia="Calibri" w:hAnsi="Calibri" w:cs="Times New Roman"/>
          <w:kern w:val="2"/>
          <w:highlight w:val="yellow"/>
          <w:lang w:val="en-US"/>
        </w:rPr>
        <w:t>Disclaimer (Artificial intelligence)</w:t>
      </w:r>
    </w:p>
    <w:p w14:paraId="7329A3BD" w14:textId="77777777" w:rsidR="00435B28" w:rsidRPr="007D781A" w:rsidRDefault="00435B28" w:rsidP="00435B28">
      <w:pPr>
        <w:rPr>
          <w:rFonts w:ascii="Calibri" w:eastAsia="Calibri" w:hAnsi="Calibri" w:cs="Times New Roman"/>
          <w:kern w:val="2"/>
          <w:highlight w:val="yellow"/>
          <w:lang w:val="en-US"/>
        </w:rPr>
      </w:pPr>
      <w:r w:rsidRPr="007D781A">
        <w:rPr>
          <w:rFonts w:ascii="Calibri" w:eastAsia="Calibri" w:hAnsi="Calibri" w:cs="Times New Roman"/>
          <w:kern w:val="2"/>
          <w:highlight w:val="yellow"/>
          <w:lang w:val="en-US"/>
        </w:rPr>
        <w:t>Author(s) hereby declare that NO generative AI technologies such as Large Language Models (</w:t>
      </w:r>
      <w:proofErr w:type="spellStart"/>
      <w:r w:rsidRPr="007D781A">
        <w:rPr>
          <w:rFonts w:ascii="Calibri" w:eastAsia="Calibri" w:hAnsi="Calibri" w:cs="Times New Roman"/>
          <w:kern w:val="2"/>
          <w:highlight w:val="yellow"/>
          <w:lang w:val="en-US"/>
        </w:rPr>
        <w:t>ChatGPT</w:t>
      </w:r>
      <w:proofErr w:type="spellEnd"/>
      <w:r w:rsidRPr="007D781A">
        <w:rPr>
          <w:rFonts w:ascii="Calibri" w:eastAsia="Calibri" w:hAnsi="Calibri" w:cs="Times New Roman"/>
          <w:kern w:val="2"/>
          <w:highlight w:val="yellow"/>
          <w:lang w:val="en-US"/>
        </w:rPr>
        <w:t xml:space="preserve">, COPILOT, etc.) and text-to-image generators have been used during the writing or editing of this manuscript. </w:t>
      </w:r>
    </w:p>
    <w:bookmarkEnd w:id="20"/>
    <w:bookmarkEnd w:id="21"/>
    <w:p w14:paraId="403A5E8E" w14:textId="77777777" w:rsidR="00435B28" w:rsidRPr="007D781A" w:rsidRDefault="00435B28">
      <w:pPr>
        <w:spacing w:before="240" w:after="240"/>
        <w:jc w:val="both"/>
        <w:rPr>
          <w:rFonts w:ascii="Times New Roman" w:eastAsia="Times New Roman" w:hAnsi="Times New Roman" w:cs="Times New Roman"/>
          <w:sz w:val="24"/>
          <w:szCs w:val="24"/>
          <w:lang w:val="en-US"/>
        </w:rPr>
      </w:pPr>
    </w:p>
    <w:p w14:paraId="50638442" w14:textId="77777777" w:rsidR="00464512" w:rsidRPr="007D781A" w:rsidRDefault="00464512">
      <w:pPr>
        <w:spacing w:before="240" w:after="240"/>
        <w:jc w:val="both"/>
        <w:rPr>
          <w:rFonts w:ascii="Times New Roman" w:eastAsia="Times New Roman" w:hAnsi="Times New Roman" w:cs="Times New Roman"/>
          <w:sz w:val="24"/>
          <w:szCs w:val="24"/>
          <w:lang w:val="en-US"/>
        </w:rPr>
      </w:pPr>
    </w:p>
    <w:p w14:paraId="668BFFA7" w14:textId="77777777" w:rsidR="00464512" w:rsidRPr="007D781A" w:rsidRDefault="00464512">
      <w:pPr>
        <w:spacing w:before="240" w:after="240"/>
        <w:jc w:val="both"/>
        <w:rPr>
          <w:rFonts w:ascii="Times New Roman" w:eastAsia="Times New Roman" w:hAnsi="Times New Roman" w:cs="Times New Roman"/>
          <w:sz w:val="24"/>
          <w:szCs w:val="24"/>
          <w:lang w:val="en-US"/>
        </w:rPr>
      </w:pPr>
    </w:p>
    <w:p w14:paraId="7DB5ECAB" w14:textId="4400EA61" w:rsidR="003A3F0C" w:rsidRPr="007D781A" w:rsidRDefault="00FD08BF" w:rsidP="001F4F4E">
      <w:pPr>
        <w:pStyle w:val="ListParagraph"/>
        <w:numPr>
          <w:ilvl w:val="0"/>
          <w:numId w:val="7"/>
        </w:numPr>
        <w:spacing w:before="240" w:after="240"/>
        <w:jc w:val="both"/>
        <w:rPr>
          <w:rFonts w:ascii="Times New Roman" w:eastAsia="Times New Roman" w:hAnsi="Times New Roman" w:cs="Times New Roman"/>
          <w:b/>
          <w:bCs/>
          <w:sz w:val="24"/>
          <w:szCs w:val="24"/>
        </w:rPr>
      </w:pPr>
      <w:r w:rsidRPr="007D781A">
        <w:rPr>
          <w:rFonts w:ascii="Times New Roman" w:eastAsia="Times New Roman" w:hAnsi="Times New Roman" w:cs="Times New Roman"/>
          <w:b/>
          <w:bCs/>
          <w:sz w:val="24"/>
          <w:szCs w:val="24"/>
        </w:rPr>
        <w:t xml:space="preserve">References </w:t>
      </w:r>
    </w:p>
    <w:p w14:paraId="47454DF0"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Alberts, Bruce, et al. “Helper T Cells and Lymphocyte Activation.” </w:t>
      </w:r>
      <w:r w:rsidRPr="007D781A">
        <w:rPr>
          <w:rFonts w:ascii="Times New Roman" w:eastAsia="Times New Roman" w:hAnsi="Times New Roman" w:cs="Times New Roman"/>
          <w:i/>
          <w:iCs/>
          <w:sz w:val="24"/>
          <w:szCs w:val="24"/>
        </w:rPr>
        <w:t>Nih.gov</w:t>
      </w:r>
      <w:r w:rsidRPr="007D781A">
        <w:rPr>
          <w:rFonts w:ascii="Times New Roman" w:eastAsia="Times New Roman" w:hAnsi="Times New Roman" w:cs="Times New Roman"/>
          <w:sz w:val="24"/>
          <w:szCs w:val="24"/>
        </w:rPr>
        <w:t>, Garland Science, 2002, www.ncbi.nlm.nih.gov/books/NBK26827/.</w:t>
      </w:r>
    </w:p>
    <w:p w14:paraId="48CBC6BB"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Bamberg, Sandra, et al. “VP24 of Marburg Virus Influences Formation of Infectious Particles.” </w:t>
      </w:r>
      <w:r w:rsidRPr="007D781A">
        <w:rPr>
          <w:rFonts w:ascii="Times New Roman" w:eastAsia="Times New Roman" w:hAnsi="Times New Roman" w:cs="Times New Roman"/>
          <w:i/>
          <w:iCs/>
          <w:sz w:val="24"/>
          <w:szCs w:val="24"/>
        </w:rPr>
        <w:t>Journal of Virology</w:t>
      </w:r>
      <w:r w:rsidRPr="007D781A">
        <w:rPr>
          <w:rFonts w:ascii="Times New Roman" w:eastAsia="Times New Roman" w:hAnsi="Times New Roman" w:cs="Times New Roman"/>
          <w:sz w:val="24"/>
          <w:szCs w:val="24"/>
        </w:rPr>
        <w:t>, vol. 79, no. 21, Nov. 2005, pp. 13421–13433, https://doi.org/10.1128/jvi.79.21.13421-13433.2005.</w:t>
      </w:r>
    </w:p>
    <w:p w14:paraId="4C93C5E8"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proofErr w:type="spellStart"/>
      <w:r w:rsidRPr="007D781A">
        <w:rPr>
          <w:rFonts w:ascii="Times New Roman" w:eastAsia="Times New Roman" w:hAnsi="Times New Roman" w:cs="Times New Roman"/>
          <w:sz w:val="24"/>
          <w:szCs w:val="24"/>
        </w:rPr>
        <w:t>Baral</w:t>
      </w:r>
      <w:proofErr w:type="spellEnd"/>
      <w:r w:rsidRPr="007D781A">
        <w:rPr>
          <w:rFonts w:ascii="Times New Roman" w:eastAsia="Times New Roman" w:hAnsi="Times New Roman" w:cs="Times New Roman"/>
          <w:sz w:val="24"/>
          <w:szCs w:val="24"/>
        </w:rPr>
        <w:t xml:space="preserve">, </w:t>
      </w:r>
      <w:proofErr w:type="spellStart"/>
      <w:r w:rsidRPr="007D781A">
        <w:rPr>
          <w:rFonts w:ascii="Times New Roman" w:eastAsia="Times New Roman" w:hAnsi="Times New Roman" w:cs="Times New Roman"/>
          <w:sz w:val="24"/>
          <w:szCs w:val="24"/>
        </w:rPr>
        <w:t>Prabin</w:t>
      </w:r>
      <w:proofErr w:type="spellEnd"/>
      <w:r w:rsidRPr="007D781A">
        <w:rPr>
          <w:rFonts w:ascii="Times New Roman" w:eastAsia="Times New Roman" w:hAnsi="Times New Roman" w:cs="Times New Roman"/>
          <w:sz w:val="24"/>
          <w:szCs w:val="24"/>
        </w:rPr>
        <w:t xml:space="preserve">, et al. “Immunoinformatic Screening of Marburgvirus Epitopes and Computational Investigations of Epitope-Allele Complexes.” </w:t>
      </w:r>
      <w:r w:rsidRPr="007D781A">
        <w:rPr>
          <w:rFonts w:ascii="Times New Roman" w:eastAsia="Times New Roman" w:hAnsi="Times New Roman" w:cs="Times New Roman"/>
          <w:i/>
          <w:iCs/>
          <w:sz w:val="24"/>
          <w:szCs w:val="24"/>
        </w:rPr>
        <w:t xml:space="preserve">International </w:t>
      </w:r>
      <w:r w:rsidRPr="007D781A">
        <w:rPr>
          <w:rFonts w:ascii="Times New Roman" w:eastAsia="Times New Roman" w:hAnsi="Times New Roman" w:cs="Times New Roman"/>
          <w:i/>
          <w:iCs/>
          <w:sz w:val="24"/>
          <w:szCs w:val="24"/>
        </w:rPr>
        <w:lastRenderedPageBreak/>
        <w:t>Immunopharmacology</w:t>
      </w:r>
      <w:r w:rsidRPr="007D781A">
        <w:rPr>
          <w:rFonts w:ascii="Times New Roman" w:eastAsia="Times New Roman" w:hAnsi="Times New Roman" w:cs="Times New Roman"/>
          <w:sz w:val="24"/>
          <w:szCs w:val="24"/>
        </w:rPr>
        <w:t>, vol. 111, 1 Aug. 2022, p. 109109, www.sciencedirect.com/science/article/abs/pii/S1567576922005938, https://doi.org/10.1016/j.intimp.2022.109109.</w:t>
      </w:r>
    </w:p>
    <w:p w14:paraId="5C1C242E" w14:textId="74C43556" w:rsidR="003A3F0C" w:rsidRPr="007D781A" w:rsidRDefault="001C164D">
      <w:pPr>
        <w:numPr>
          <w:ilvl w:val="0"/>
          <w:numId w:val="1"/>
        </w:numPr>
        <w:spacing w:line="480" w:lineRule="auto"/>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CDC. “About Marburg Disease.” </w:t>
      </w:r>
      <w:r w:rsidRPr="007D781A">
        <w:rPr>
          <w:rFonts w:ascii="Times New Roman" w:eastAsia="Times New Roman" w:hAnsi="Times New Roman" w:cs="Times New Roman"/>
          <w:i/>
          <w:iCs/>
          <w:sz w:val="24"/>
          <w:szCs w:val="24"/>
        </w:rPr>
        <w:t>Marburg Virus Disease</w:t>
      </w:r>
      <w:r w:rsidRPr="007D781A">
        <w:rPr>
          <w:rFonts w:ascii="Times New Roman" w:eastAsia="Times New Roman" w:hAnsi="Times New Roman" w:cs="Times New Roman"/>
          <w:sz w:val="24"/>
          <w:szCs w:val="24"/>
        </w:rPr>
        <w:t xml:space="preserve">, </w:t>
      </w:r>
      <w:r w:rsidR="00D27407" w:rsidRPr="007D781A">
        <w:rPr>
          <w:rFonts w:ascii="Times New Roman" w:eastAsia="Times New Roman" w:hAnsi="Times New Roman" w:cs="Times New Roman"/>
          <w:sz w:val="24"/>
          <w:szCs w:val="24"/>
        </w:rPr>
        <w:t>September 24, 2025</w:t>
      </w:r>
      <w:r w:rsidRPr="007D781A">
        <w:rPr>
          <w:rFonts w:ascii="Times New Roman" w:eastAsia="Times New Roman" w:hAnsi="Times New Roman" w:cs="Times New Roman"/>
          <w:sz w:val="24"/>
          <w:szCs w:val="24"/>
        </w:rPr>
        <w:t>, www.cdc.gov/marburg/about/?CDC_AAref_Val=www.cdc.gov/vhf/marburg/index.html.</w:t>
      </w:r>
    </w:p>
    <w:p w14:paraId="3EA4DCD1"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Cleveland Clinic. “T Cells: Types and Function.” </w:t>
      </w:r>
      <w:r w:rsidRPr="007D781A">
        <w:rPr>
          <w:rFonts w:ascii="Times New Roman" w:eastAsia="Times New Roman" w:hAnsi="Times New Roman" w:cs="Times New Roman"/>
          <w:i/>
          <w:iCs/>
          <w:sz w:val="24"/>
          <w:szCs w:val="24"/>
        </w:rPr>
        <w:t>Cleveland Clinic</w:t>
      </w:r>
      <w:r w:rsidRPr="007D781A">
        <w:rPr>
          <w:rFonts w:ascii="Times New Roman" w:eastAsia="Times New Roman" w:hAnsi="Times New Roman" w:cs="Times New Roman"/>
          <w:sz w:val="24"/>
          <w:szCs w:val="24"/>
        </w:rPr>
        <w:t>, Cleveland Clinic, 2023, my.clevelandclinic.org/health/body/24630-t-cells.</w:t>
      </w:r>
    </w:p>
    <w:p w14:paraId="55B80B2D"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Craig, Jess. “An Ebola-like Virus Is Spreading in Rwanda. Why Isn’t There an Approved Vaccine for Marburg?” </w:t>
      </w:r>
      <w:r w:rsidRPr="007D781A">
        <w:rPr>
          <w:rFonts w:ascii="Times New Roman" w:eastAsia="Times New Roman" w:hAnsi="Times New Roman" w:cs="Times New Roman"/>
          <w:i/>
          <w:iCs/>
          <w:sz w:val="24"/>
          <w:szCs w:val="24"/>
        </w:rPr>
        <w:t>Vox</w:t>
      </w:r>
      <w:r w:rsidRPr="007D781A">
        <w:rPr>
          <w:rFonts w:ascii="Times New Roman" w:eastAsia="Times New Roman" w:hAnsi="Times New Roman" w:cs="Times New Roman"/>
          <w:sz w:val="24"/>
          <w:szCs w:val="24"/>
        </w:rPr>
        <w:t>, 4 Oct. 2024, www.vox.com/future-perfect/375819/marburg-outbreak-rwanda-vaccine-trial.</w:t>
      </w:r>
    </w:p>
    <w:p w14:paraId="1091A19B"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DiCarlo, Andrea, et al. “Nucleocapsid Formation and RNA Synthesis of Marburg Virus Is Dependent on Two Coiled Coil Motifs in the Nucleoprotein.” </w:t>
      </w:r>
      <w:r w:rsidRPr="007D781A">
        <w:rPr>
          <w:rFonts w:ascii="Times New Roman" w:eastAsia="Times New Roman" w:hAnsi="Times New Roman" w:cs="Times New Roman"/>
          <w:i/>
          <w:iCs/>
          <w:sz w:val="24"/>
          <w:szCs w:val="24"/>
        </w:rPr>
        <w:t>Virology Journal</w:t>
      </w:r>
      <w:r w:rsidRPr="007D781A">
        <w:rPr>
          <w:rFonts w:ascii="Times New Roman" w:eastAsia="Times New Roman" w:hAnsi="Times New Roman" w:cs="Times New Roman"/>
          <w:sz w:val="24"/>
          <w:szCs w:val="24"/>
        </w:rPr>
        <w:t>, vol. 4, 24 Oct. 2007, p. 105, www.ncbi.nlm.nih.gov/pmc/articles/PMC2170442/, https://doi.org/10.1186/1743-422X-4-105. Accessed 15 Apr. 2021.</w:t>
      </w:r>
    </w:p>
    <w:p w14:paraId="3DF16C22"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“Everything You Need to Know about Candidate Vaccines and Treatments for Marburg Disease.” </w:t>
      </w:r>
      <w:r w:rsidRPr="007D781A">
        <w:rPr>
          <w:rFonts w:ascii="Times New Roman" w:eastAsia="Times New Roman" w:hAnsi="Times New Roman" w:cs="Times New Roman"/>
          <w:i/>
          <w:iCs/>
          <w:sz w:val="24"/>
          <w:szCs w:val="24"/>
        </w:rPr>
        <w:t>Gavi.org</w:t>
      </w:r>
      <w:r w:rsidRPr="007D781A">
        <w:rPr>
          <w:rFonts w:ascii="Times New Roman" w:eastAsia="Times New Roman" w:hAnsi="Times New Roman" w:cs="Times New Roman"/>
          <w:sz w:val="24"/>
          <w:szCs w:val="24"/>
        </w:rPr>
        <w:t>, 2024, www.gavi.org/vaccineswork/everything-you-need-know-about-candidate-vaccines-and-treatments-marburg-disease.</w:t>
      </w:r>
    </w:p>
    <w:p w14:paraId="71CE305C"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Fujita-</w:t>
      </w:r>
      <w:proofErr w:type="spellStart"/>
      <w:r w:rsidRPr="007D781A">
        <w:rPr>
          <w:rFonts w:ascii="Times New Roman" w:eastAsia="Times New Roman" w:hAnsi="Times New Roman" w:cs="Times New Roman"/>
          <w:sz w:val="24"/>
          <w:szCs w:val="24"/>
        </w:rPr>
        <w:t>Fujiharu</w:t>
      </w:r>
      <w:proofErr w:type="spellEnd"/>
      <w:r w:rsidRPr="007D781A">
        <w:rPr>
          <w:rFonts w:ascii="Times New Roman" w:eastAsia="Times New Roman" w:hAnsi="Times New Roman" w:cs="Times New Roman"/>
          <w:sz w:val="24"/>
          <w:szCs w:val="24"/>
        </w:rPr>
        <w:t xml:space="preserve">, Yoko, et al. “Structural Insight into Marburg Virus Nucleoprotein–RNA Complex Formation.” </w:t>
      </w:r>
      <w:r w:rsidRPr="007D781A">
        <w:rPr>
          <w:rFonts w:ascii="Times New Roman" w:eastAsia="Times New Roman" w:hAnsi="Times New Roman" w:cs="Times New Roman"/>
          <w:i/>
          <w:iCs/>
          <w:sz w:val="24"/>
          <w:szCs w:val="24"/>
        </w:rPr>
        <w:t>Nature Communications</w:t>
      </w:r>
      <w:r w:rsidRPr="007D781A">
        <w:rPr>
          <w:rFonts w:ascii="Times New Roman" w:eastAsia="Times New Roman" w:hAnsi="Times New Roman" w:cs="Times New Roman"/>
          <w:sz w:val="24"/>
          <w:szCs w:val="24"/>
        </w:rPr>
        <w:t>, vol. 13, no. 1, 4 Mar. 2022, p. 1191, www.nature.com/articles/s41467-022-28802-x, https://doi.org/10.1038/s41467-022-28802-x.</w:t>
      </w:r>
    </w:p>
    <w:p w14:paraId="0E223BBA"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proofErr w:type="spellStart"/>
      <w:r w:rsidRPr="007D781A">
        <w:rPr>
          <w:rFonts w:ascii="Times New Roman" w:eastAsia="Times New Roman" w:hAnsi="Times New Roman" w:cs="Times New Roman"/>
          <w:sz w:val="24"/>
          <w:szCs w:val="24"/>
        </w:rPr>
        <w:lastRenderedPageBreak/>
        <w:t>Gasteiger</w:t>
      </w:r>
      <w:proofErr w:type="spellEnd"/>
      <w:r w:rsidRPr="007D781A">
        <w:rPr>
          <w:rFonts w:ascii="Times New Roman" w:eastAsia="Times New Roman" w:hAnsi="Times New Roman" w:cs="Times New Roman"/>
          <w:sz w:val="24"/>
          <w:szCs w:val="24"/>
        </w:rPr>
        <w:t xml:space="preserve">, Elisabeth, et al. “Protein Identification and Analysis Tools on the </w:t>
      </w:r>
      <w:proofErr w:type="spellStart"/>
      <w:r w:rsidRPr="007D781A">
        <w:rPr>
          <w:rFonts w:ascii="Times New Roman" w:eastAsia="Times New Roman" w:hAnsi="Times New Roman" w:cs="Times New Roman"/>
          <w:sz w:val="24"/>
          <w:szCs w:val="24"/>
        </w:rPr>
        <w:t>ExPASy</w:t>
      </w:r>
      <w:proofErr w:type="spellEnd"/>
      <w:r w:rsidRPr="007D781A">
        <w:rPr>
          <w:rFonts w:ascii="Times New Roman" w:eastAsia="Times New Roman" w:hAnsi="Times New Roman" w:cs="Times New Roman"/>
          <w:sz w:val="24"/>
          <w:szCs w:val="24"/>
        </w:rPr>
        <w:t xml:space="preserve"> Server.” </w:t>
      </w:r>
      <w:r w:rsidRPr="007D781A">
        <w:rPr>
          <w:rFonts w:ascii="Times New Roman" w:eastAsia="Times New Roman" w:hAnsi="Times New Roman" w:cs="Times New Roman"/>
          <w:i/>
          <w:iCs/>
          <w:sz w:val="24"/>
          <w:szCs w:val="24"/>
        </w:rPr>
        <w:t>The Proteomics Protocols Handbook</w:t>
      </w:r>
      <w:r w:rsidRPr="007D781A">
        <w:rPr>
          <w:rFonts w:ascii="Times New Roman" w:eastAsia="Times New Roman" w:hAnsi="Times New Roman" w:cs="Times New Roman"/>
          <w:sz w:val="24"/>
          <w:szCs w:val="24"/>
        </w:rPr>
        <w:t>, 2005, pp. 571–607, https://doi.org/10.1385/1-59259-890-0:571.</w:t>
      </w:r>
    </w:p>
    <w:p w14:paraId="5259FD40"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proofErr w:type="spellStart"/>
      <w:r w:rsidRPr="007D781A">
        <w:rPr>
          <w:rFonts w:ascii="Times New Roman" w:eastAsia="Times New Roman" w:hAnsi="Times New Roman" w:cs="Times New Roman"/>
          <w:sz w:val="24"/>
          <w:szCs w:val="24"/>
        </w:rPr>
        <w:t>Geourjon</w:t>
      </w:r>
      <w:proofErr w:type="spellEnd"/>
      <w:r w:rsidRPr="007D781A">
        <w:rPr>
          <w:rFonts w:ascii="Times New Roman" w:eastAsia="Times New Roman" w:hAnsi="Times New Roman" w:cs="Times New Roman"/>
          <w:sz w:val="24"/>
          <w:szCs w:val="24"/>
        </w:rPr>
        <w:t xml:space="preserve">, C., and G. </w:t>
      </w:r>
      <w:proofErr w:type="spellStart"/>
      <w:r w:rsidRPr="007D781A">
        <w:rPr>
          <w:rFonts w:ascii="Times New Roman" w:eastAsia="Times New Roman" w:hAnsi="Times New Roman" w:cs="Times New Roman"/>
          <w:sz w:val="24"/>
          <w:szCs w:val="24"/>
        </w:rPr>
        <w:t>Deléage</w:t>
      </w:r>
      <w:proofErr w:type="spellEnd"/>
      <w:r w:rsidRPr="007D781A">
        <w:rPr>
          <w:rFonts w:ascii="Times New Roman" w:eastAsia="Times New Roman" w:hAnsi="Times New Roman" w:cs="Times New Roman"/>
          <w:sz w:val="24"/>
          <w:szCs w:val="24"/>
        </w:rPr>
        <w:t xml:space="preserve">. “SOPMA: Significant Improvements in Protein Secondary Structure Prediction by Consensus Prediction from Multiple Alignments.” </w:t>
      </w:r>
      <w:r w:rsidRPr="007D781A">
        <w:rPr>
          <w:rFonts w:ascii="Times New Roman" w:eastAsia="Times New Roman" w:hAnsi="Times New Roman" w:cs="Times New Roman"/>
          <w:i/>
          <w:iCs/>
          <w:sz w:val="24"/>
          <w:szCs w:val="24"/>
        </w:rPr>
        <w:t>Bioinformatics</w:t>
      </w:r>
      <w:r w:rsidRPr="007D781A">
        <w:rPr>
          <w:rFonts w:ascii="Times New Roman" w:eastAsia="Times New Roman" w:hAnsi="Times New Roman" w:cs="Times New Roman"/>
          <w:sz w:val="24"/>
          <w:szCs w:val="24"/>
        </w:rPr>
        <w:t>, vol. 11, no. 6, 1995, pp. 681–684, https://doi.org/10.1093/bioinformatics/11.6.681. Accessed 1 Aug. 2019.</w:t>
      </w:r>
    </w:p>
    <w:p w14:paraId="6155604E"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Hashiguchi, Takao, et al. “Structural Basis for Marburg Virus Neutralization by a Cross-Reactive Human Antibody.” </w:t>
      </w:r>
      <w:r w:rsidRPr="007D781A">
        <w:rPr>
          <w:rFonts w:ascii="Times New Roman" w:eastAsia="Times New Roman" w:hAnsi="Times New Roman" w:cs="Times New Roman"/>
          <w:i/>
          <w:iCs/>
          <w:sz w:val="24"/>
          <w:szCs w:val="24"/>
        </w:rPr>
        <w:t>Cell</w:t>
      </w:r>
      <w:r w:rsidRPr="007D781A">
        <w:rPr>
          <w:rFonts w:ascii="Times New Roman" w:eastAsia="Times New Roman" w:hAnsi="Times New Roman" w:cs="Times New Roman"/>
          <w:sz w:val="24"/>
          <w:szCs w:val="24"/>
        </w:rPr>
        <w:t>, vol. 160, no. 5, Feb. 2015, pp. 904–912, www.cell.com/cell/pdfExtended/S0092-8674(15)00119-1, https://doi.org/10.1016/j.cell.2015.01.041. Accessed 30 Apr. 2021.</w:t>
      </w:r>
    </w:p>
    <w:p w14:paraId="235C8B4C"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lang w:val="de-DE"/>
        </w:rPr>
        <w:t xml:space="preserve">Kalina, Warren V, et al. </w:t>
      </w:r>
      <w:r w:rsidRPr="007D781A">
        <w:rPr>
          <w:rFonts w:ascii="Times New Roman" w:eastAsia="Times New Roman" w:hAnsi="Times New Roman" w:cs="Times New Roman"/>
          <w:sz w:val="24"/>
          <w:szCs w:val="24"/>
        </w:rPr>
        <w:t xml:space="preserve">“Discovery of Common Marburgvirus Protective Epitopes in a BALB/c Mouse Model.” </w:t>
      </w:r>
      <w:r w:rsidRPr="007D781A">
        <w:rPr>
          <w:rFonts w:ascii="Times New Roman" w:eastAsia="Times New Roman" w:hAnsi="Times New Roman" w:cs="Times New Roman"/>
          <w:i/>
          <w:iCs/>
          <w:sz w:val="24"/>
          <w:szCs w:val="24"/>
        </w:rPr>
        <w:t>Virology Journal</w:t>
      </w:r>
      <w:r w:rsidRPr="007D781A">
        <w:rPr>
          <w:rFonts w:ascii="Times New Roman" w:eastAsia="Times New Roman" w:hAnsi="Times New Roman" w:cs="Times New Roman"/>
          <w:sz w:val="24"/>
          <w:szCs w:val="24"/>
        </w:rPr>
        <w:t>, vol. 6, no. 1, 27 Aug. 2009, pmc.ncbi.nlm.nih.gov/articles/PMC2746211/, https://doi.org/10.1186/1743-422x-6-132. Accessed 26 Sept. 2025.</w:t>
      </w:r>
    </w:p>
    <w:p w14:paraId="305898DC"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Larsen, Jens, et al. “Improved Method for Predicting Linear B-Cell Epitopes.” </w:t>
      </w:r>
      <w:r w:rsidRPr="007D781A">
        <w:rPr>
          <w:rFonts w:ascii="Times New Roman" w:eastAsia="Times New Roman" w:hAnsi="Times New Roman" w:cs="Times New Roman"/>
          <w:i/>
          <w:iCs/>
          <w:sz w:val="24"/>
          <w:szCs w:val="24"/>
        </w:rPr>
        <w:t>Immunome Research</w:t>
      </w:r>
      <w:r w:rsidRPr="007D781A">
        <w:rPr>
          <w:rFonts w:ascii="Times New Roman" w:eastAsia="Times New Roman" w:hAnsi="Times New Roman" w:cs="Times New Roman"/>
          <w:sz w:val="24"/>
          <w:szCs w:val="24"/>
        </w:rPr>
        <w:t>, vol. 2, no. 1, 2006, p. 2, https://doi.org/10.1186/1745-7580-2-2.</w:t>
      </w:r>
    </w:p>
    <w:p w14:paraId="51ECF6E1"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proofErr w:type="spellStart"/>
      <w:r w:rsidRPr="007D781A">
        <w:rPr>
          <w:rFonts w:ascii="Times New Roman" w:eastAsia="Times New Roman" w:hAnsi="Times New Roman" w:cs="Times New Roman"/>
          <w:sz w:val="24"/>
          <w:szCs w:val="24"/>
        </w:rPr>
        <w:t>Pardi</w:t>
      </w:r>
      <w:proofErr w:type="spellEnd"/>
      <w:r w:rsidRPr="007D781A">
        <w:rPr>
          <w:rFonts w:ascii="Times New Roman" w:eastAsia="Times New Roman" w:hAnsi="Times New Roman" w:cs="Times New Roman"/>
          <w:sz w:val="24"/>
          <w:szCs w:val="24"/>
        </w:rPr>
        <w:t xml:space="preserve">, Norbert, et al. “MRNA Vaccines — a New Era in Vaccinology.” </w:t>
      </w:r>
      <w:r w:rsidRPr="007D781A">
        <w:rPr>
          <w:rFonts w:ascii="Times New Roman" w:eastAsia="Times New Roman" w:hAnsi="Times New Roman" w:cs="Times New Roman"/>
          <w:i/>
          <w:iCs/>
          <w:sz w:val="24"/>
          <w:szCs w:val="24"/>
        </w:rPr>
        <w:t>Nature Reviews Drug Discovery</w:t>
      </w:r>
      <w:r w:rsidRPr="007D781A">
        <w:rPr>
          <w:rFonts w:ascii="Times New Roman" w:eastAsia="Times New Roman" w:hAnsi="Times New Roman" w:cs="Times New Roman"/>
          <w:sz w:val="24"/>
          <w:szCs w:val="24"/>
        </w:rPr>
        <w:t>, vol. 17, no. 4, 12 Jan. 2018, pp. 261–279, www.nature.com/articles/nrd.2017.243.</w:t>
      </w:r>
    </w:p>
    <w:p w14:paraId="0AC7F01B"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lang w:val="de-DE"/>
        </w:rPr>
        <w:t xml:space="preserve">Parker, J. M. R., et al. </w:t>
      </w:r>
      <w:r w:rsidRPr="007D781A">
        <w:rPr>
          <w:rFonts w:ascii="Times New Roman" w:eastAsia="Times New Roman" w:hAnsi="Times New Roman" w:cs="Times New Roman"/>
          <w:sz w:val="24"/>
          <w:szCs w:val="24"/>
        </w:rPr>
        <w:t xml:space="preserve">“New Hydrophilicity Scale Derived from High-Performance Liquid Chromatography Peptide Retention Data: Correlation of Predicted Surface </w:t>
      </w:r>
      <w:r w:rsidRPr="007D781A">
        <w:rPr>
          <w:rFonts w:ascii="Times New Roman" w:eastAsia="Times New Roman" w:hAnsi="Times New Roman" w:cs="Times New Roman"/>
          <w:sz w:val="24"/>
          <w:szCs w:val="24"/>
        </w:rPr>
        <w:lastRenderedPageBreak/>
        <w:t xml:space="preserve">Residues with Antigenicity and X-Ray-Derived Accessible Sites.” </w:t>
      </w:r>
      <w:r w:rsidRPr="007D781A">
        <w:rPr>
          <w:rFonts w:ascii="Times New Roman" w:eastAsia="Times New Roman" w:hAnsi="Times New Roman" w:cs="Times New Roman"/>
          <w:i/>
          <w:iCs/>
          <w:sz w:val="24"/>
          <w:szCs w:val="24"/>
        </w:rPr>
        <w:t>Biochemistry</w:t>
      </w:r>
      <w:r w:rsidRPr="007D781A">
        <w:rPr>
          <w:rFonts w:ascii="Times New Roman" w:eastAsia="Times New Roman" w:hAnsi="Times New Roman" w:cs="Times New Roman"/>
          <w:sz w:val="24"/>
          <w:szCs w:val="24"/>
        </w:rPr>
        <w:t>, vol. 25, no. 19, 23 Sept. 1986, pp. 5425–5432, https://doi.org/10.1021/bi00367a013.</w:t>
      </w:r>
    </w:p>
    <w:p w14:paraId="3352F189"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proofErr w:type="spellStart"/>
      <w:r w:rsidRPr="007D781A">
        <w:rPr>
          <w:rFonts w:ascii="Times New Roman" w:eastAsia="Times New Roman" w:hAnsi="Times New Roman" w:cs="Times New Roman"/>
          <w:sz w:val="24"/>
          <w:szCs w:val="24"/>
        </w:rPr>
        <w:t>Penaloza-MacMaster</w:t>
      </w:r>
      <w:proofErr w:type="spellEnd"/>
      <w:r w:rsidRPr="007D781A">
        <w:rPr>
          <w:rFonts w:ascii="Times New Roman" w:eastAsia="Times New Roman" w:hAnsi="Times New Roman" w:cs="Times New Roman"/>
          <w:sz w:val="24"/>
          <w:szCs w:val="24"/>
        </w:rPr>
        <w:t xml:space="preserve">, Pablo. “When More Isn’t Better: The Surprising Superiority of Glycoprotein-Only Marburg Vaccines.” </w:t>
      </w:r>
      <w:r w:rsidRPr="007D781A">
        <w:rPr>
          <w:rFonts w:ascii="Times New Roman" w:eastAsia="Times New Roman" w:hAnsi="Times New Roman" w:cs="Times New Roman"/>
          <w:i/>
          <w:iCs/>
          <w:sz w:val="24"/>
          <w:szCs w:val="24"/>
        </w:rPr>
        <w:t>Journal of Clinical Investigation</w:t>
      </w:r>
      <w:r w:rsidRPr="007D781A">
        <w:rPr>
          <w:rFonts w:ascii="Times New Roman" w:eastAsia="Times New Roman" w:hAnsi="Times New Roman" w:cs="Times New Roman"/>
          <w:sz w:val="24"/>
          <w:szCs w:val="24"/>
        </w:rPr>
        <w:t>, vol. 135, no. 17, 2 Sept. 2025, www.jci.org/articles/view/195933, https://doi.org/10.1172/jci195933. Accessed 26 Sept. 2025.</w:t>
      </w:r>
    </w:p>
    <w:p w14:paraId="1008D151"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lang w:val="de-DE"/>
        </w:rPr>
        <w:t xml:space="preserve">Rahim, Md Niaz, et al. </w:t>
      </w:r>
      <w:r w:rsidRPr="007D781A">
        <w:rPr>
          <w:rFonts w:ascii="Times New Roman" w:eastAsia="Times New Roman" w:hAnsi="Times New Roman" w:cs="Times New Roman"/>
          <w:sz w:val="24"/>
          <w:szCs w:val="24"/>
        </w:rPr>
        <w:t xml:space="preserve">“Complete Protection of the BALB/c and C57BL/6J Mice against Ebola and Marburg Virus Lethal Challenges by Pan-Filovirus T-Cell Epigraph Vaccine.” </w:t>
      </w:r>
      <w:r w:rsidRPr="007D781A">
        <w:rPr>
          <w:rFonts w:ascii="Times New Roman" w:eastAsia="Times New Roman" w:hAnsi="Times New Roman" w:cs="Times New Roman"/>
          <w:i/>
          <w:iCs/>
          <w:sz w:val="24"/>
          <w:szCs w:val="24"/>
        </w:rPr>
        <w:t>PLOS Pathogens</w:t>
      </w:r>
      <w:r w:rsidRPr="007D781A">
        <w:rPr>
          <w:rFonts w:ascii="Times New Roman" w:eastAsia="Times New Roman" w:hAnsi="Times New Roman" w:cs="Times New Roman"/>
          <w:sz w:val="24"/>
          <w:szCs w:val="24"/>
        </w:rPr>
        <w:t>, vol. 15, no. 2, 28 Feb. 2019, p. e1007564, https://doi.org/10.1371/journal.ppat.1007564. Accessed 5 Nov. 2020.</w:t>
      </w:r>
    </w:p>
    <w:p w14:paraId="3D52BAE9"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“Reverse Vaccinology - an Overview | ScienceDirect Topics.” </w:t>
      </w:r>
      <w:r w:rsidRPr="007D781A">
        <w:rPr>
          <w:rFonts w:ascii="Times New Roman" w:eastAsia="Times New Roman" w:hAnsi="Times New Roman" w:cs="Times New Roman"/>
          <w:i/>
          <w:iCs/>
          <w:sz w:val="24"/>
          <w:szCs w:val="24"/>
        </w:rPr>
        <w:t>Sciencedirect.com</w:t>
      </w:r>
      <w:r w:rsidRPr="007D781A">
        <w:rPr>
          <w:rFonts w:ascii="Times New Roman" w:eastAsia="Times New Roman" w:hAnsi="Times New Roman" w:cs="Times New Roman"/>
          <w:sz w:val="24"/>
          <w:szCs w:val="24"/>
        </w:rPr>
        <w:t>, 2014, www.sciencedirect.com/topics/immunology-and-microbiology/reverse-vaccinology.</w:t>
      </w:r>
    </w:p>
    <w:p w14:paraId="29D9561C"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proofErr w:type="spellStart"/>
      <w:r w:rsidRPr="007D781A">
        <w:rPr>
          <w:rFonts w:ascii="Times New Roman" w:eastAsia="Times New Roman" w:hAnsi="Times New Roman" w:cs="Times New Roman"/>
          <w:sz w:val="24"/>
          <w:szCs w:val="24"/>
        </w:rPr>
        <w:t>Rostad</w:t>
      </w:r>
      <w:proofErr w:type="spellEnd"/>
      <w:r w:rsidRPr="007D781A">
        <w:rPr>
          <w:rFonts w:ascii="Times New Roman" w:eastAsia="Times New Roman" w:hAnsi="Times New Roman" w:cs="Times New Roman"/>
          <w:sz w:val="24"/>
          <w:szCs w:val="24"/>
        </w:rPr>
        <w:t xml:space="preserve">, Christina A., et al. “A Phase 1 Randomized Trial of Homologous and Heterologous Filovirus Vaccines with a Late Booster Dose.” </w:t>
      </w:r>
      <w:proofErr w:type="spellStart"/>
      <w:r w:rsidRPr="007D781A">
        <w:rPr>
          <w:rFonts w:ascii="Times New Roman" w:eastAsia="Times New Roman" w:hAnsi="Times New Roman" w:cs="Times New Roman"/>
          <w:i/>
          <w:iCs/>
          <w:sz w:val="24"/>
          <w:szCs w:val="24"/>
        </w:rPr>
        <w:t>Npj</w:t>
      </w:r>
      <w:proofErr w:type="spellEnd"/>
      <w:r w:rsidRPr="007D781A">
        <w:rPr>
          <w:rFonts w:ascii="Times New Roman" w:eastAsia="Times New Roman" w:hAnsi="Times New Roman" w:cs="Times New Roman"/>
          <w:i/>
          <w:iCs/>
          <w:sz w:val="24"/>
          <w:szCs w:val="24"/>
        </w:rPr>
        <w:t xml:space="preserve"> Vaccines</w:t>
      </w:r>
      <w:r w:rsidRPr="007D781A">
        <w:rPr>
          <w:rFonts w:ascii="Times New Roman" w:eastAsia="Times New Roman" w:hAnsi="Times New Roman" w:cs="Times New Roman"/>
          <w:sz w:val="24"/>
          <w:szCs w:val="24"/>
        </w:rPr>
        <w:t>, vol. 9, no. 1, 23 Dec. 2024, https://doi.org/10.1038/s41541-024-01042-4. Accessed 20 Mar. 2025.</w:t>
      </w:r>
    </w:p>
    <w:p w14:paraId="11C9455E"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proofErr w:type="spellStart"/>
      <w:r w:rsidRPr="007D781A">
        <w:rPr>
          <w:rFonts w:ascii="Times New Roman" w:eastAsia="Times New Roman" w:hAnsi="Times New Roman" w:cs="Times New Roman"/>
          <w:sz w:val="24"/>
          <w:szCs w:val="24"/>
        </w:rPr>
        <w:t>Sette</w:t>
      </w:r>
      <w:proofErr w:type="spellEnd"/>
      <w:r w:rsidRPr="007D781A">
        <w:rPr>
          <w:rFonts w:ascii="Times New Roman" w:eastAsia="Times New Roman" w:hAnsi="Times New Roman" w:cs="Times New Roman"/>
          <w:sz w:val="24"/>
          <w:szCs w:val="24"/>
        </w:rPr>
        <w:t xml:space="preserve">, Alessandro, and </w:t>
      </w:r>
      <w:proofErr w:type="spellStart"/>
      <w:r w:rsidRPr="007D781A">
        <w:rPr>
          <w:rFonts w:ascii="Times New Roman" w:eastAsia="Times New Roman" w:hAnsi="Times New Roman" w:cs="Times New Roman"/>
          <w:sz w:val="24"/>
          <w:szCs w:val="24"/>
        </w:rPr>
        <w:t>Rino</w:t>
      </w:r>
      <w:proofErr w:type="spellEnd"/>
      <w:r w:rsidRPr="007D781A">
        <w:rPr>
          <w:rFonts w:ascii="Times New Roman" w:eastAsia="Times New Roman" w:hAnsi="Times New Roman" w:cs="Times New Roman"/>
          <w:sz w:val="24"/>
          <w:szCs w:val="24"/>
        </w:rPr>
        <w:t xml:space="preserve"> </w:t>
      </w:r>
      <w:proofErr w:type="spellStart"/>
      <w:r w:rsidRPr="007D781A">
        <w:rPr>
          <w:rFonts w:ascii="Times New Roman" w:eastAsia="Times New Roman" w:hAnsi="Times New Roman" w:cs="Times New Roman"/>
          <w:sz w:val="24"/>
          <w:szCs w:val="24"/>
        </w:rPr>
        <w:t>Rappuoli</w:t>
      </w:r>
      <w:proofErr w:type="spellEnd"/>
      <w:r w:rsidRPr="007D781A">
        <w:rPr>
          <w:rFonts w:ascii="Times New Roman" w:eastAsia="Times New Roman" w:hAnsi="Times New Roman" w:cs="Times New Roman"/>
          <w:sz w:val="24"/>
          <w:szCs w:val="24"/>
        </w:rPr>
        <w:t xml:space="preserve">. “Reverse Vaccinology: Developing Vaccines in the Era of Genomics.” </w:t>
      </w:r>
      <w:r w:rsidRPr="007D781A">
        <w:rPr>
          <w:rFonts w:ascii="Times New Roman" w:eastAsia="Times New Roman" w:hAnsi="Times New Roman" w:cs="Times New Roman"/>
          <w:i/>
          <w:iCs/>
          <w:sz w:val="24"/>
          <w:szCs w:val="24"/>
        </w:rPr>
        <w:t>Immunity</w:t>
      </w:r>
      <w:r w:rsidRPr="007D781A">
        <w:rPr>
          <w:rFonts w:ascii="Times New Roman" w:eastAsia="Times New Roman" w:hAnsi="Times New Roman" w:cs="Times New Roman"/>
          <w:sz w:val="24"/>
          <w:szCs w:val="24"/>
        </w:rPr>
        <w:t>, vol. 33, no. 4, Oct. 2010, pp. 530–541, https://doi.org/10.1016/j.immuni.2010.09.017.</w:t>
      </w:r>
    </w:p>
    <w:p w14:paraId="7176EEC7"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proofErr w:type="spellStart"/>
      <w:r w:rsidRPr="007D781A">
        <w:rPr>
          <w:rFonts w:ascii="Times New Roman" w:eastAsia="Times New Roman" w:hAnsi="Times New Roman" w:cs="Times New Roman"/>
          <w:sz w:val="24"/>
          <w:szCs w:val="24"/>
        </w:rPr>
        <w:t>Soltan</w:t>
      </w:r>
      <w:proofErr w:type="spellEnd"/>
      <w:r w:rsidRPr="007D781A">
        <w:rPr>
          <w:rFonts w:ascii="Times New Roman" w:eastAsia="Times New Roman" w:hAnsi="Times New Roman" w:cs="Times New Roman"/>
          <w:sz w:val="24"/>
          <w:szCs w:val="24"/>
        </w:rPr>
        <w:t xml:space="preserve">, Mohamed A., et al. “Mining of Marburg Virus Proteome for Designing an Epitope-Based Vaccine.” </w:t>
      </w:r>
      <w:r w:rsidRPr="007D781A">
        <w:rPr>
          <w:rFonts w:ascii="Times New Roman" w:eastAsia="Times New Roman" w:hAnsi="Times New Roman" w:cs="Times New Roman"/>
          <w:i/>
          <w:iCs/>
          <w:sz w:val="24"/>
          <w:szCs w:val="24"/>
        </w:rPr>
        <w:t>Frontiers in Immunology</w:t>
      </w:r>
      <w:r w:rsidRPr="007D781A">
        <w:rPr>
          <w:rFonts w:ascii="Times New Roman" w:eastAsia="Times New Roman" w:hAnsi="Times New Roman" w:cs="Times New Roman"/>
          <w:sz w:val="24"/>
          <w:szCs w:val="24"/>
        </w:rPr>
        <w:t>, vol. 13, 2022, p. 907481, pubmed.ncbi.nlm.nih.gov/35911751/, https://doi.org/10.3389/fimmu.2022.907481. Accessed 12 Oct. 2022.</w:t>
      </w:r>
    </w:p>
    <w:p w14:paraId="7AB33B01" w14:textId="77777777" w:rsidR="003A3F0C" w:rsidRPr="007D781A" w:rsidRDefault="001C164D">
      <w:pPr>
        <w:numPr>
          <w:ilvl w:val="0"/>
          <w:numId w:val="1"/>
        </w:numPr>
        <w:spacing w:line="480" w:lineRule="auto"/>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lastRenderedPageBreak/>
        <w:t xml:space="preserve">Vita, Randi, et al. “The Immune Epitope Database (IEDB) 3.0.” </w:t>
      </w:r>
      <w:r w:rsidRPr="007D781A">
        <w:rPr>
          <w:rFonts w:ascii="Times New Roman" w:eastAsia="Times New Roman" w:hAnsi="Times New Roman" w:cs="Times New Roman"/>
          <w:i/>
          <w:iCs/>
          <w:sz w:val="24"/>
          <w:szCs w:val="24"/>
        </w:rPr>
        <w:t>Nucleic Acids Research</w:t>
      </w:r>
      <w:r w:rsidRPr="007D781A">
        <w:rPr>
          <w:rFonts w:ascii="Times New Roman" w:eastAsia="Times New Roman" w:hAnsi="Times New Roman" w:cs="Times New Roman"/>
          <w:sz w:val="24"/>
          <w:szCs w:val="24"/>
        </w:rPr>
        <w:t>, vol. 43, no. D1, 9 Oct. 2014, pp. D405–D412, https://doi.org/10.1093/nar/gku938. Accessed 11 Dec. 2019.</w:t>
      </w:r>
    </w:p>
    <w:p w14:paraId="48EB9929" w14:textId="643991BB" w:rsidR="003A3F0C" w:rsidRPr="007D781A" w:rsidRDefault="001C164D">
      <w:pPr>
        <w:numPr>
          <w:ilvl w:val="0"/>
          <w:numId w:val="1"/>
        </w:numPr>
        <w:spacing w:line="480" w:lineRule="auto"/>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World Health Organization. “Marburg Virus Disease.” </w:t>
      </w:r>
      <w:r w:rsidRPr="007D781A">
        <w:rPr>
          <w:rFonts w:ascii="Times New Roman" w:eastAsia="Times New Roman" w:hAnsi="Times New Roman" w:cs="Times New Roman"/>
          <w:i/>
          <w:iCs/>
          <w:sz w:val="24"/>
          <w:szCs w:val="24"/>
        </w:rPr>
        <w:t>Who.int</w:t>
      </w:r>
      <w:r w:rsidRPr="007D781A">
        <w:rPr>
          <w:rFonts w:ascii="Times New Roman" w:eastAsia="Times New Roman" w:hAnsi="Times New Roman" w:cs="Times New Roman"/>
          <w:sz w:val="24"/>
          <w:szCs w:val="24"/>
        </w:rPr>
        <w:t xml:space="preserve">, World Health Organization: WHO, 20 Jan. 2025, </w:t>
      </w:r>
      <w:hyperlink r:id="rId9" w:history="1">
        <w:r w:rsidR="0096652F" w:rsidRPr="007D781A">
          <w:rPr>
            <w:rStyle w:val="Hyperlink"/>
            <w:rFonts w:ascii="Times New Roman" w:eastAsia="Times New Roman" w:hAnsi="Times New Roman" w:cs="Times New Roman"/>
            <w:color w:val="auto"/>
            <w:sz w:val="24"/>
            <w:szCs w:val="24"/>
          </w:rPr>
          <w:t>www.who.int/news-room/fact-sheets/detail/marburg-virus-disease</w:t>
        </w:r>
      </w:hyperlink>
      <w:r w:rsidRPr="007D781A">
        <w:rPr>
          <w:rFonts w:ascii="Times New Roman" w:eastAsia="Times New Roman" w:hAnsi="Times New Roman" w:cs="Times New Roman"/>
          <w:sz w:val="24"/>
          <w:szCs w:val="24"/>
        </w:rPr>
        <w:t>.</w:t>
      </w:r>
    </w:p>
    <w:p w14:paraId="3AA36E6D" w14:textId="413A1511" w:rsidR="0096652F" w:rsidRPr="007D781A" w:rsidRDefault="0096652F" w:rsidP="0096652F">
      <w:pPr>
        <w:numPr>
          <w:ilvl w:val="0"/>
          <w:numId w:val="1"/>
        </w:numPr>
        <w:spacing w:line="480" w:lineRule="auto"/>
        <w:rPr>
          <w:rFonts w:ascii="Times New Roman" w:eastAsia="Times New Roman" w:hAnsi="Times New Roman" w:cs="Times New Roman"/>
          <w:sz w:val="24"/>
          <w:szCs w:val="24"/>
        </w:rPr>
      </w:pPr>
      <w:proofErr w:type="spellStart"/>
      <w:r w:rsidRPr="007D781A">
        <w:rPr>
          <w:rFonts w:ascii="Times New Roman" w:eastAsia="Times New Roman" w:hAnsi="Times New Roman" w:cs="Times New Roman"/>
          <w:sz w:val="24"/>
          <w:szCs w:val="24"/>
        </w:rPr>
        <w:t>Bamidelej</w:t>
      </w:r>
      <w:proofErr w:type="spellEnd"/>
      <w:r w:rsidRPr="007D781A">
        <w:rPr>
          <w:rFonts w:ascii="Times New Roman" w:eastAsia="Times New Roman" w:hAnsi="Times New Roman" w:cs="Times New Roman"/>
          <w:sz w:val="24"/>
          <w:szCs w:val="24"/>
        </w:rPr>
        <w:t xml:space="preserve"> </w:t>
      </w:r>
      <w:proofErr w:type="spellStart"/>
      <w:r w:rsidRPr="007D781A">
        <w:rPr>
          <w:rFonts w:ascii="Times New Roman" w:eastAsia="Times New Roman" w:hAnsi="Times New Roman" w:cs="Times New Roman"/>
          <w:sz w:val="24"/>
          <w:szCs w:val="24"/>
        </w:rPr>
        <w:t>OJo</w:t>
      </w:r>
      <w:proofErr w:type="spellEnd"/>
      <w:r w:rsidRPr="007D781A">
        <w:rPr>
          <w:rFonts w:ascii="Times New Roman" w:eastAsia="Times New Roman" w:hAnsi="Times New Roman" w:cs="Times New Roman"/>
          <w:sz w:val="24"/>
          <w:szCs w:val="24"/>
        </w:rPr>
        <w:t xml:space="preserve"> O. Marburg virus disease in </w:t>
      </w:r>
      <w:proofErr w:type="spellStart"/>
      <w:r w:rsidRPr="007D781A">
        <w:rPr>
          <w:rFonts w:ascii="Times New Roman" w:eastAsia="Times New Roman" w:hAnsi="Times New Roman" w:cs="Times New Roman"/>
          <w:sz w:val="24"/>
          <w:szCs w:val="24"/>
        </w:rPr>
        <w:t>subsaharan</w:t>
      </w:r>
      <w:proofErr w:type="spellEnd"/>
      <w:r w:rsidRPr="007D781A">
        <w:rPr>
          <w:rFonts w:ascii="Times New Roman" w:eastAsia="Times New Roman" w:hAnsi="Times New Roman" w:cs="Times New Roman"/>
          <w:sz w:val="24"/>
          <w:szCs w:val="24"/>
        </w:rPr>
        <w:t xml:space="preserve"> Africa: Contemporary epidemiology and future trends. Epidemiol Public Health. 2025; 3(1): 1065.</w:t>
      </w:r>
    </w:p>
    <w:p w14:paraId="2FBE4BBE" w14:textId="77777777" w:rsidR="006D744D" w:rsidRPr="007D781A" w:rsidRDefault="006D744D" w:rsidP="006D744D">
      <w:pPr>
        <w:spacing w:line="480" w:lineRule="auto"/>
        <w:ind w:left="720"/>
        <w:rPr>
          <w:rFonts w:ascii="Times New Roman" w:eastAsia="Times New Roman" w:hAnsi="Times New Roman" w:cs="Times New Roman"/>
          <w:sz w:val="24"/>
          <w:szCs w:val="24"/>
        </w:rPr>
      </w:pPr>
    </w:p>
    <w:p w14:paraId="0B42CC3B" w14:textId="34855824" w:rsidR="006D744D" w:rsidRPr="007D781A" w:rsidRDefault="006D744D" w:rsidP="006D744D">
      <w:pPr>
        <w:spacing w:line="480" w:lineRule="auto"/>
        <w:ind w:left="720"/>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Alizadeh, M., </w:t>
      </w:r>
      <w:proofErr w:type="spellStart"/>
      <w:r w:rsidRPr="007D781A">
        <w:rPr>
          <w:rFonts w:ascii="Times New Roman" w:eastAsia="Times New Roman" w:hAnsi="Times New Roman" w:cs="Times New Roman"/>
          <w:sz w:val="24"/>
          <w:szCs w:val="24"/>
        </w:rPr>
        <w:t>Amini-Khoei</w:t>
      </w:r>
      <w:proofErr w:type="spellEnd"/>
      <w:r w:rsidRPr="007D781A">
        <w:rPr>
          <w:rFonts w:ascii="Times New Roman" w:eastAsia="Times New Roman" w:hAnsi="Times New Roman" w:cs="Times New Roman"/>
          <w:sz w:val="24"/>
          <w:szCs w:val="24"/>
        </w:rPr>
        <w:t xml:space="preserve">, H., </w:t>
      </w:r>
      <w:proofErr w:type="spellStart"/>
      <w:r w:rsidRPr="007D781A">
        <w:rPr>
          <w:rFonts w:ascii="Times New Roman" w:eastAsia="Times New Roman" w:hAnsi="Times New Roman" w:cs="Times New Roman"/>
          <w:sz w:val="24"/>
          <w:szCs w:val="24"/>
        </w:rPr>
        <w:t>Tahmasebian</w:t>
      </w:r>
      <w:proofErr w:type="spellEnd"/>
      <w:r w:rsidRPr="007D781A">
        <w:rPr>
          <w:rFonts w:ascii="Times New Roman" w:eastAsia="Times New Roman" w:hAnsi="Times New Roman" w:cs="Times New Roman"/>
          <w:sz w:val="24"/>
          <w:szCs w:val="24"/>
        </w:rPr>
        <w:t xml:space="preserve">, S., et al. (2022). Designing a novel multi-epitope vaccine against Ebola virus using reverse vaccinology approach. Scientific Reports, 12, 7757. </w:t>
      </w:r>
      <w:hyperlink r:id="rId10" w:history="1">
        <w:r w:rsidRPr="007D781A">
          <w:rPr>
            <w:rStyle w:val="Hyperlink"/>
            <w:rFonts w:ascii="Times New Roman" w:eastAsia="Times New Roman" w:hAnsi="Times New Roman" w:cs="Times New Roman"/>
            <w:color w:val="auto"/>
            <w:sz w:val="24"/>
            <w:szCs w:val="24"/>
          </w:rPr>
          <w:t>https://doi.org/10.1038/s41598-022-11851-z</w:t>
        </w:r>
      </w:hyperlink>
      <w:r w:rsidRPr="007D781A">
        <w:rPr>
          <w:rFonts w:ascii="Times New Roman" w:eastAsia="Times New Roman" w:hAnsi="Times New Roman" w:cs="Times New Roman"/>
          <w:sz w:val="24"/>
          <w:szCs w:val="24"/>
        </w:rPr>
        <w:t xml:space="preserve"> </w:t>
      </w:r>
    </w:p>
    <w:p w14:paraId="537C3C6E" w14:textId="7C74846E" w:rsidR="006D744D" w:rsidRPr="007D781A" w:rsidRDefault="006D744D" w:rsidP="006D744D">
      <w:pPr>
        <w:spacing w:line="480" w:lineRule="auto"/>
        <w:ind w:left="720"/>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Kadam, A., </w:t>
      </w:r>
      <w:proofErr w:type="spellStart"/>
      <w:r w:rsidRPr="007D781A">
        <w:rPr>
          <w:rFonts w:ascii="Times New Roman" w:eastAsia="Times New Roman" w:hAnsi="Times New Roman" w:cs="Times New Roman"/>
          <w:sz w:val="24"/>
          <w:szCs w:val="24"/>
        </w:rPr>
        <w:t>Sasidharan</w:t>
      </w:r>
      <w:proofErr w:type="spellEnd"/>
      <w:r w:rsidRPr="007D781A">
        <w:rPr>
          <w:rFonts w:ascii="Times New Roman" w:eastAsia="Times New Roman" w:hAnsi="Times New Roman" w:cs="Times New Roman"/>
          <w:sz w:val="24"/>
          <w:szCs w:val="24"/>
        </w:rPr>
        <w:t xml:space="preserve">, S., &amp; </w:t>
      </w:r>
      <w:proofErr w:type="spellStart"/>
      <w:r w:rsidRPr="007D781A">
        <w:rPr>
          <w:rFonts w:ascii="Times New Roman" w:eastAsia="Times New Roman" w:hAnsi="Times New Roman" w:cs="Times New Roman"/>
          <w:sz w:val="24"/>
          <w:szCs w:val="24"/>
        </w:rPr>
        <w:t>Saudagar</w:t>
      </w:r>
      <w:proofErr w:type="spellEnd"/>
      <w:r w:rsidRPr="007D781A">
        <w:rPr>
          <w:rFonts w:ascii="Times New Roman" w:eastAsia="Times New Roman" w:hAnsi="Times New Roman" w:cs="Times New Roman"/>
          <w:sz w:val="24"/>
          <w:szCs w:val="24"/>
        </w:rPr>
        <w:t xml:space="preserve">, P. (2020). Computational design of a potential multi-epitope subunit vaccine using </w:t>
      </w:r>
      <w:proofErr w:type="spellStart"/>
      <w:r w:rsidRPr="007D781A">
        <w:rPr>
          <w:rFonts w:ascii="Times New Roman" w:eastAsia="Times New Roman" w:hAnsi="Times New Roman" w:cs="Times New Roman"/>
          <w:sz w:val="24"/>
          <w:szCs w:val="24"/>
        </w:rPr>
        <w:t>immunoinformatics</w:t>
      </w:r>
      <w:proofErr w:type="spellEnd"/>
      <w:r w:rsidRPr="007D781A">
        <w:rPr>
          <w:rFonts w:ascii="Times New Roman" w:eastAsia="Times New Roman" w:hAnsi="Times New Roman" w:cs="Times New Roman"/>
          <w:sz w:val="24"/>
          <w:szCs w:val="24"/>
        </w:rPr>
        <w:t xml:space="preserve"> to fight Ebola virus. Infection, Genetics and Evolution, 85, 104464. </w:t>
      </w:r>
      <w:hyperlink r:id="rId11" w:history="1">
        <w:r w:rsidRPr="007D781A">
          <w:rPr>
            <w:rStyle w:val="Hyperlink"/>
            <w:rFonts w:ascii="Times New Roman" w:eastAsia="Times New Roman" w:hAnsi="Times New Roman" w:cs="Times New Roman"/>
            <w:color w:val="auto"/>
            <w:sz w:val="24"/>
            <w:szCs w:val="24"/>
          </w:rPr>
          <w:t>https://doi.org/10.1016/j.meegid.2020.104464</w:t>
        </w:r>
      </w:hyperlink>
    </w:p>
    <w:p w14:paraId="7F6EEAEE" w14:textId="796021D8" w:rsidR="006D744D" w:rsidRPr="007D781A" w:rsidRDefault="006D744D" w:rsidP="006D744D">
      <w:pPr>
        <w:spacing w:line="480" w:lineRule="auto"/>
        <w:ind w:left="720"/>
        <w:rPr>
          <w:rFonts w:ascii="Times New Roman" w:eastAsia="Times New Roman" w:hAnsi="Times New Roman" w:cs="Times New Roman"/>
          <w:sz w:val="24"/>
          <w:szCs w:val="24"/>
        </w:rPr>
      </w:pPr>
      <w:proofErr w:type="spellStart"/>
      <w:r w:rsidRPr="007D781A">
        <w:rPr>
          <w:rFonts w:ascii="Times New Roman" w:eastAsia="Times New Roman" w:hAnsi="Times New Roman" w:cs="Times New Roman"/>
          <w:sz w:val="24"/>
          <w:szCs w:val="24"/>
        </w:rPr>
        <w:t>Widjaja</w:t>
      </w:r>
      <w:proofErr w:type="spellEnd"/>
      <w:r w:rsidRPr="007D781A">
        <w:rPr>
          <w:rFonts w:ascii="Times New Roman" w:eastAsia="Times New Roman" w:hAnsi="Times New Roman" w:cs="Times New Roman"/>
          <w:sz w:val="24"/>
          <w:szCs w:val="24"/>
        </w:rPr>
        <w:t xml:space="preserve">, T., </w:t>
      </w:r>
      <w:proofErr w:type="spellStart"/>
      <w:r w:rsidRPr="007D781A">
        <w:rPr>
          <w:rFonts w:ascii="Times New Roman" w:eastAsia="Times New Roman" w:hAnsi="Times New Roman" w:cs="Times New Roman"/>
          <w:sz w:val="24"/>
          <w:szCs w:val="24"/>
        </w:rPr>
        <w:t>Ansori</w:t>
      </w:r>
      <w:proofErr w:type="spellEnd"/>
      <w:r w:rsidRPr="007D781A">
        <w:rPr>
          <w:rFonts w:ascii="Times New Roman" w:eastAsia="Times New Roman" w:hAnsi="Times New Roman" w:cs="Times New Roman"/>
          <w:sz w:val="24"/>
          <w:szCs w:val="24"/>
        </w:rPr>
        <w:t xml:space="preserve">, A., </w:t>
      </w:r>
      <w:proofErr w:type="spellStart"/>
      <w:r w:rsidRPr="007D781A">
        <w:rPr>
          <w:rFonts w:ascii="Times New Roman" w:eastAsia="Times New Roman" w:hAnsi="Times New Roman" w:cs="Times New Roman"/>
          <w:sz w:val="24"/>
          <w:szCs w:val="24"/>
        </w:rPr>
        <w:t>Kharisma</w:t>
      </w:r>
      <w:proofErr w:type="spellEnd"/>
      <w:r w:rsidRPr="007D781A">
        <w:rPr>
          <w:rFonts w:ascii="Times New Roman" w:eastAsia="Times New Roman" w:hAnsi="Times New Roman" w:cs="Times New Roman"/>
          <w:sz w:val="24"/>
          <w:szCs w:val="24"/>
        </w:rPr>
        <w:t xml:space="preserve">, V. D., Faizal, I., Antonius, Y., </w:t>
      </w:r>
      <w:proofErr w:type="spellStart"/>
      <w:r w:rsidRPr="007D781A">
        <w:rPr>
          <w:rFonts w:ascii="Times New Roman" w:eastAsia="Times New Roman" w:hAnsi="Times New Roman" w:cs="Times New Roman"/>
          <w:sz w:val="24"/>
          <w:szCs w:val="24"/>
        </w:rPr>
        <w:t>Trinugroh</w:t>
      </w:r>
      <w:proofErr w:type="spellEnd"/>
      <w:r w:rsidRPr="007D781A">
        <w:rPr>
          <w:rFonts w:ascii="Times New Roman" w:eastAsia="Times New Roman" w:hAnsi="Times New Roman" w:cs="Times New Roman"/>
          <w:sz w:val="24"/>
          <w:szCs w:val="24"/>
        </w:rPr>
        <w:t xml:space="preserve">, J. P., </w:t>
      </w:r>
      <w:proofErr w:type="spellStart"/>
      <w:r w:rsidRPr="007D781A">
        <w:rPr>
          <w:rFonts w:ascii="Times New Roman" w:eastAsia="Times New Roman" w:hAnsi="Times New Roman" w:cs="Times New Roman"/>
          <w:sz w:val="24"/>
          <w:szCs w:val="24"/>
        </w:rPr>
        <w:t>Probojati</w:t>
      </w:r>
      <w:proofErr w:type="spellEnd"/>
      <w:r w:rsidRPr="007D781A">
        <w:rPr>
          <w:rFonts w:ascii="Times New Roman" w:eastAsia="Times New Roman" w:hAnsi="Times New Roman" w:cs="Times New Roman"/>
          <w:sz w:val="24"/>
          <w:szCs w:val="24"/>
        </w:rPr>
        <w:t xml:space="preserve">, R. T., </w:t>
      </w:r>
      <w:proofErr w:type="spellStart"/>
      <w:r w:rsidRPr="007D781A">
        <w:rPr>
          <w:rFonts w:ascii="Times New Roman" w:eastAsia="Times New Roman" w:hAnsi="Times New Roman" w:cs="Times New Roman"/>
          <w:sz w:val="24"/>
          <w:szCs w:val="24"/>
        </w:rPr>
        <w:t>Widyananda</w:t>
      </w:r>
      <w:proofErr w:type="spellEnd"/>
      <w:r w:rsidRPr="007D781A">
        <w:rPr>
          <w:rFonts w:ascii="Times New Roman" w:eastAsia="Times New Roman" w:hAnsi="Times New Roman" w:cs="Times New Roman"/>
          <w:sz w:val="24"/>
          <w:szCs w:val="24"/>
        </w:rPr>
        <w:t xml:space="preserve">, M. H., </w:t>
      </w:r>
      <w:proofErr w:type="spellStart"/>
      <w:r w:rsidRPr="007D781A">
        <w:rPr>
          <w:rFonts w:ascii="Times New Roman" w:eastAsia="Times New Roman" w:hAnsi="Times New Roman" w:cs="Times New Roman"/>
          <w:sz w:val="24"/>
          <w:szCs w:val="24"/>
        </w:rPr>
        <w:t>Burkov</w:t>
      </w:r>
      <w:proofErr w:type="spellEnd"/>
      <w:r w:rsidRPr="007D781A">
        <w:rPr>
          <w:rFonts w:ascii="Times New Roman" w:eastAsia="Times New Roman" w:hAnsi="Times New Roman" w:cs="Times New Roman"/>
          <w:sz w:val="24"/>
          <w:szCs w:val="24"/>
        </w:rPr>
        <w:t xml:space="preserve">, P., </w:t>
      </w:r>
      <w:proofErr w:type="spellStart"/>
      <w:r w:rsidRPr="007D781A">
        <w:rPr>
          <w:rFonts w:ascii="Times New Roman" w:eastAsia="Times New Roman" w:hAnsi="Times New Roman" w:cs="Times New Roman"/>
          <w:sz w:val="24"/>
          <w:szCs w:val="24"/>
        </w:rPr>
        <w:t>Scherbakov</w:t>
      </w:r>
      <w:proofErr w:type="spellEnd"/>
      <w:r w:rsidRPr="007D781A">
        <w:rPr>
          <w:rFonts w:ascii="Times New Roman" w:eastAsia="Times New Roman" w:hAnsi="Times New Roman" w:cs="Times New Roman"/>
          <w:sz w:val="24"/>
          <w:szCs w:val="24"/>
        </w:rPr>
        <w:t xml:space="preserve">, P., </w:t>
      </w:r>
      <w:proofErr w:type="spellStart"/>
      <w:r w:rsidRPr="007D781A">
        <w:rPr>
          <w:rFonts w:ascii="Times New Roman" w:eastAsia="Times New Roman" w:hAnsi="Times New Roman" w:cs="Times New Roman"/>
          <w:sz w:val="24"/>
          <w:szCs w:val="24"/>
        </w:rPr>
        <w:t>Gribkova</w:t>
      </w:r>
      <w:proofErr w:type="spellEnd"/>
      <w:r w:rsidRPr="007D781A">
        <w:rPr>
          <w:rFonts w:ascii="Times New Roman" w:eastAsia="Times New Roman" w:hAnsi="Times New Roman" w:cs="Times New Roman"/>
          <w:sz w:val="24"/>
          <w:szCs w:val="24"/>
        </w:rPr>
        <w:t xml:space="preserve">, V., </w:t>
      </w:r>
      <w:proofErr w:type="spellStart"/>
      <w:r w:rsidRPr="007D781A">
        <w:rPr>
          <w:rFonts w:ascii="Times New Roman" w:eastAsia="Times New Roman" w:hAnsi="Times New Roman" w:cs="Times New Roman"/>
          <w:sz w:val="24"/>
          <w:szCs w:val="24"/>
        </w:rPr>
        <w:t>Nikolaeva</w:t>
      </w:r>
      <w:proofErr w:type="spellEnd"/>
      <w:r w:rsidRPr="007D781A">
        <w:rPr>
          <w:rFonts w:ascii="Times New Roman" w:eastAsia="Times New Roman" w:hAnsi="Times New Roman" w:cs="Times New Roman"/>
          <w:sz w:val="24"/>
          <w:szCs w:val="24"/>
        </w:rPr>
        <w:t xml:space="preserve">, N., </w:t>
      </w:r>
      <w:proofErr w:type="spellStart"/>
      <w:r w:rsidRPr="007D781A">
        <w:rPr>
          <w:rFonts w:ascii="Times New Roman" w:eastAsia="Times New Roman" w:hAnsi="Times New Roman" w:cs="Times New Roman"/>
          <w:sz w:val="24"/>
          <w:szCs w:val="24"/>
        </w:rPr>
        <w:t>Vasilievich</w:t>
      </w:r>
      <w:proofErr w:type="spellEnd"/>
      <w:r w:rsidRPr="007D781A">
        <w:rPr>
          <w:rFonts w:ascii="Times New Roman" w:eastAsia="Times New Roman" w:hAnsi="Times New Roman" w:cs="Times New Roman"/>
          <w:sz w:val="24"/>
          <w:szCs w:val="24"/>
        </w:rPr>
        <w:t xml:space="preserve">, N., </w:t>
      </w:r>
      <w:proofErr w:type="spellStart"/>
      <w:r w:rsidRPr="007D781A">
        <w:rPr>
          <w:rFonts w:ascii="Times New Roman" w:eastAsia="Times New Roman" w:hAnsi="Times New Roman" w:cs="Times New Roman"/>
          <w:sz w:val="24"/>
          <w:szCs w:val="24"/>
        </w:rPr>
        <w:t>Jakhmola</w:t>
      </w:r>
      <w:proofErr w:type="spellEnd"/>
      <w:r w:rsidRPr="007D781A">
        <w:rPr>
          <w:rFonts w:ascii="Times New Roman" w:eastAsia="Times New Roman" w:hAnsi="Times New Roman" w:cs="Times New Roman"/>
          <w:sz w:val="24"/>
          <w:szCs w:val="24"/>
        </w:rPr>
        <w:t xml:space="preserve">, V., Ullah, M. E., </w:t>
      </w:r>
      <w:proofErr w:type="spellStart"/>
      <w:r w:rsidRPr="007D781A">
        <w:rPr>
          <w:rFonts w:ascii="Times New Roman" w:eastAsia="Times New Roman" w:hAnsi="Times New Roman" w:cs="Times New Roman"/>
          <w:sz w:val="24"/>
          <w:szCs w:val="24"/>
        </w:rPr>
        <w:t>Parikesit</w:t>
      </w:r>
      <w:proofErr w:type="spellEnd"/>
      <w:r w:rsidRPr="007D781A">
        <w:rPr>
          <w:rFonts w:ascii="Times New Roman" w:eastAsia="Times New Roman" w:hAnsi="Times New Roman" w:cs="Times New Roman"/>
          <w:sz w:val="24"/>
          <w:szCs w:val="24"/>
        </w:rPr>
        <w:t xml:space="preserve">, A. A., &amp; </w:t>
      </w:r>
      <w:proofErr w:type="spellStart"/>
      <w:r w:rsidRPr="007D781A">
        <w:rPr>
          <w:rFonts w:ascii="Times New Roman" w:eastAsia="Times New Roman" w:hAnsi="Times New Roman" w:cs="Times New Roman"/>
          <w:sz w:val="24"/>
          <w:szCs w:val="24"/>
        </w:rPr>
        <w:t>Zainul</w:t>
      </w:r>
      <w:proofErr w:type="spellEnd"/>
      <w:r w:rsidRPr="007D781A">
        <w:rPr>
          <w:rFonts w:ascii="Times New Roman" w:eastAsia="Times New Roman" w:hAnsi="Times New Roman" w:cs="Times New Roman"/>
          <w:sz w:val="24"/>
          <w:szCs w:val="24"/>
        </w:rPr>
        <w:t xml:space="preserve">, R. (2023). B-Cell Conserved Epitope Screening and In Silico Cloning of Envelope Glycoprotein from Ebola Virus (EBOV) For Vaccine Candidate Construction. Indonesian Journal of Pharmacy, 34(2), 193-204. </w:t>
      </w:r>
      <w:hyperlink r:id="rId12" w:history="1">
        <w:r w:rsidRPr="007D781A">
          <w:rPr>
            <w:rStyle w:val="Hyperlink"/>
            <w:rFonts w:ascii="Times New Roman" w:eastAsia="Times New Roman" w:hAnsi="Times New Roman" w:cs="Times New Roman"/>
            <w:color w:val="auto"/>
            <w:sz w:val="24"/>
            <w:szCs w:val="24"/>
          </w:rPr>
          <w:t>https://doi.org/10.22146/ijp.4197</w:t>
        </w:r>
      </w:hyperlink>
    </w:p>
    <w:p w14:paraId="1F10FACD" w14:textId="4D2AC601" w:rsidR="006D744D" w:rsidRPr="007D781A" w:rsidRDefault="006D744D" w:rsidP="006D744D">
      <w:pPr>
        <w:spacing w:line="480" w:lineRule="auto"/>
        <w:ind w:left="720"/>
        <w:rPr>
          <w:rFonts w:ascii="Times New Roman" w:eastAsia="Times New Roman" w:hAnsi="Times New Roman" w:cs="Times New Roman"/>
          <w:sz w:val="24"/>
          <w:szCs w:val="24"/>
        </w:rPr>
      </w:pPr>
      <w:r w:rsidRPr="007D781A">
        <w:rPr>
          <w:rFonts w:ascii="Times New Roman" w:eastAsia="Times New Roman" w:hAnsi="Times New Roman" w:cs="Times New Roman"/>
          <w:sz w:val="24"/>
          <w:szCs w:val="24"/>
        </w:rPr>
        <w:t xml:space="preserve">Mahmoodi, S., </w:t>
      </w:r>
      <w:proofErr w:type="spellStart"/>
      <w:r w:rsidRPr="007D781A">
        <w:rPr>
          <w:rFonts w:ascii="Times New Roman" w:eastAsia="Times New Roman" w:hAnsi="Times New Roman" w:cs="Times New Roman"/>
          <w:sz w:val="24"/>
          <w:szCs w:val="24"/>
        </w:rPr>
        <w:t>Amirzakaria</w:t>
      </w:r>
      <w:proofErr w:type="spellEnd"/>
      <w:r w:rsidRPr="007D781A">
        <w:rPr>
          <w:rFonts w:ascii="Times New Roman" w:eastAsia="Times New Roman" w:hAnsi="Times New Roman" w:cs="Times New Roman"/>
          <w:sz w:val="24"/>
          <w:szCs w:val="24"/>
        </w:rPr>
        <w:t xml:space="preserve">, J. Z. and </w:t>
      </w:r>
      <w:proofErr w:type="spellStart"/>
      <w:r w:rsidRPr="007D781A">
        <w:rPr>
          <w:rFonts w:ascii="Times New Roman" w:eastAsia="Times New Roman" w:hAnsi="Times New Roman" w:cs="Times New Roman"/>
          <w:sz w:val="24"/>
          <w:szCs w:val="24"/>
        </w:rPr>
        <w:t>Ghasemian</w:t>
      </w:r>
      <w:proofErr w:type="spellEnd"/>
      <w:r w:rsidRPr="007D781A">
        <w:rPr>
          <w:rFonts w:ascii="Times New Roman" w:eastAsia="Times New Roman" w:hAnsi="Times New Roman" w:cs="Times New Roman"/>
          <w:sz w:val="24"/>
          <w:szCs w:val="24"/>
        </w:rPr>
        <w:t xml:space="preserve">, A. (2024). A novel multi-epitope peptide vaccine targeting immunogenic antigens of Ebola and monkeypox viruses with </w:t>
      </w:r>
      <w:r w:rsidRPr="007D781A">
        <w:rPr>
          <w:rFonts w:ascii="Times New Roman" w:eastAsia="Times New Roman" w:hAnsi="Times New Roman" w:cs="Times New Roman"/>
          <w:sz w:val="24"/>
          <w:szCs w:val="24"/>
        </w:rPr>
        <w:lastRenderedPageBreak/>
        <w:t xml:space="preserve">potential of immune responses provocation in silico. Biotechnology and Applied Biochemistry. 72(1), 58-74. </w:t>
      </w:r>
      <w:hyperlink r:id="rId13" w:history="1">
        <w:r w:rsidRPr="007D781A">
          <w:rPr>
            <w:rStyle w:val="Hyperlink"/>
            <w:rFonts w:ascii="Times New Roman" w:eastAsia="Times New Roman" w:hAnsi="Times New Roman" w:cs="Times New Roman"/>
            <w:color w:val="auto"/>
            <w:sz w:val="24"/>
            <w:szCs w:val="24"/>
          </w:rPr>
          <w:t>https://doi.org/10.1002/bab.2646</w:t>
        </w:r>
      </w:hyperlink>
      <w:r w:rsidRPr="007D781A">
        <w:rPr>
          <w:rFonts w:ascii="Times New Roman" w:eastAsia="Times New Roman" w:hAnsi="Times New Roman" w:cs="Times New Roman"/>
          <w:sz w:val="24"/>
          <w:szCs w:val="24"/>
        </w:rPr>
        <w:t xml:space="preserve"> </w:t>
      </w:r>
    </w:p>
    <w:p w14:paraId="1D9EC359" w14:textId="77777777" w:rsidR="003A3F0C" w:rsidRPr="007D781A" w:rsidRDefault="003A3F0C">
      <w:pPr>
        <w:spacing w:before="240" w:after="240"/>
        <w:jc w:val="both"/>
        <w:rPr>
          <w:rFonts w:ascii="Times New Roman" w:eastAsia="Times New Roman" w:hAnsi="Times New Roman" w:cs="Times New Roman"/>
          <w:sz w:val="24"/>
          <w:szCs w:val="24"/>
        </w:rPr>
      </w:pPr>
    </w:p>
    <w:p w14:paraId="6EB8E30E" w14:textId="77777777" w:rsidR="003A3F0C" w:rsidRPr="007D781A" w:rsidRDefault="003A3F0C">
      <w:pPr>
        <w:spacing w:before="240" w:after="240"/>
        <w:jc w:val="both"/>
        <w:rPr>
          <w:rFonts w:ascii="Times New Roman" w:eastAsia="Times New Roman" w:hAnsi="Times New Roman" w:cs="Times New Roman"/>
          <w:sz w:val="24"/>
          <w:szCs w:val="24"/>
        </w:rPr>
      </w:pPr>
    </w:p>
    <w:p w14:paraId="45EB72FE" w14:textId="77777777" w:rsidR="003A3F0C" w:rsidRPr="007D781A" w:rsidRDefault="003A3F0C">
      <w:pPr>
        <w:jc w:val="both"/>
        <w:rPr>
          <w:rFonts w:ascii="Times New Roman" w:eastAsia="Times New Roman" w:hAnsi="Times New Roman" w:cs="Times New Roman"/>
          <w:sz w:val="24"/>
          <w:szCs w:val="24"/>
        </w:rPr>
      </w:pPr>
    </w:p>
    <w:sectPr w:rsidR="003A3F0C" w:rsidRPr="007D781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471CC" w14:textId="77777777" w:rsidR="00C07E1A" w:rsidRDefault="00C07E1A" w:rsidP="0047433F">
      <w:pPr>
        <w:spacing w:line="240" w:lineRule="auto"/>
      </w:pPr>
      <w:r>
        <w:separator/>
      </w:r>
    </w:p>
  </w:endnote>
  <w:endnote w:type="continuationSeparator" w:id="0">
    <w:p w14:paraId="52A3567A" w14:textId="77777777" w:rsidR="00C07E1A" w:rsidRDefault="00C07E1A" w:rsidP="004743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udex">
    <w:charset w:val="00"/>
    <w:family w:val="auto"/>
    <w:pitch w:val="default"/>
    <w:embedRegular r:id="rId1" w:fontKey="{F1C56884-30FF-4F7A-9065-BFBA920AED76}"/>
  </w:font>
  <w:font w:name="Cambria Math">
    <w:panose1 w:val="02040503050406030204"/>
    <w:charset w:val="00"/>
    <w:family w:val="roman"/>
    <w:pitch w:val="variable"/>
    <w:sig w:usb0="E00006FF" w:usb1="420024FF" w:usb2="02000000" w:usb3="00000000" w:csb0="0000019F" w:csb1="00000000"/>
    <w:embedItalic r:id="rId2" w:fontKey="{0B552798-6777-47B3-B304-7AB92AB92D37}"/>
  </w:font>
  <w:font w:name="Calibri">
    <w:panose1 w:val="020F0502020204030204"/>
    <w:charset w:val="00"/>
    <w:family w:val="swiss"/>
    <w:pitch w:val="variable"/>
    <w:sig w:usb0="E4002EFF" w:usb1="C000247B" w:usb2="00000009" w:usb3="00000000" w:csb0="000001FF" w:csb1="00000000"/>
    <w:embedRegular r:id="rId3" w:fontKey="{A7E11805-4587-4DB6-BB76-E991F2F6EF7C}"/>
  </w:font>
  <w:font w:name="Cambria">
    <w:panose1 w:val="02040503050406030204"/>
    <w:charset w:val="00"/>
    <w:family w:val="roman"/>
    <w:pitch w:val="variable"/>
    <w:sig w:usb0="E00006FF" w:usb1="420024FF" w:usb2="02000000" w:usb3="00000000" w:csb0="0000019F" w:csb1="00000000"/>
    <w:embedRegular r:id="rId4" w:fontKey="{BED78C33-ED44-48D7-9181-A3462CEAC4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F0372" w14:textId="77777777" w:rsidR="0047433F" w:rsidRDefault="004743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C7C1" w14:textId="77777777" w:rsidR="0047433F" w:rsidRDefault="004743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88D9E" w14:textId="77777777" w:rsidR="0047433F" w:rsidRDefault="00474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927D8" w14:textId="77777777" w:rsidR="00C07E1A" w:rsidRDefault="00C07E1A" w:rsidP="0047433F">
      <w:pPr>
        <w:spacing w:line="240" w:lineRule="auto"/>
      </w:pPr>
      <w:r>
        <w:separator/>
      </w:r>
    </w:p>
  </w:footnote>
  <w:footnote w:type="continuationSeparator" w:id="0">
    <w:p w14:paraId="49F6DFD1" w14:textId="77777777" w:rsidR="00C07E1A" w:rsidRDefault="00C07E1A" w:rsidP="004743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BC7A9" w14:textId="0BABC3AB" w:rsidR="0047433F" w:rsidRDefault="00C07E1A">
    <w:pPr>
      <w:pStyle w:val="Header"/>
    </w:pPr>
    <w:r>
      <w:rPr>
        <w:noProof/>
      </w:rPr>
      <w:pict w14:anchorId="1717E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8979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7B54B" w14:textId="02603C66" w:rsidR="0047433F" w:rsidRDefault="00C07E1A">
    <w:pPr>
      <w:pStyle w:val="Header"/>
    </w:pPr>
    <w:r>
      <w:rPr>
        <w:noProof/>
      </w:rPr>
      <w:pict w14:anchorId="453E4E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8979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0B2C5" w14:textId="4C72A2A0" w:rsidR="0047433F" w:rsidRDefault="00C07E1A">
    <w:pPr>
      <w:pStyle w:val="Header"/>
    </w:pPr>
    <w:r>
      <w:rPr>
        <w:noProof/>
      </w:rPr>
      <w:pict w14:anchorId="539D16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8979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A6037"/>
    <w:multiLevelType w:val="hybridMultilevel"/>
    <w:tmpl w:val="E64EF8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2185928"/>
    <w:multiLevelType w:val="multilevel"/>
    <w:tmpl w:val="E1982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DB6AD7"/>
    <w:multiLevelType w:val="multilevel"/>
    <w:tmpl w:val="775C7E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0383E2D"/>
    <w:multiLevelType w:val="hybridMultilevel"/>
    <w:tmpl w:val="EF8696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7E77528"/>
    <w:multiLevelType w:val="multilevel"/>
    <w:tmpl w:val="97587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7B76DD"/>
    <w:multiLevelType w:val="multilevel"/>
    <w:tmpl w:val="775C7E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2F87462"/>
    <w:multiLevelType w:val="hybridMultilevel"/>
    <w:tmpl w:val="88BC1F0A"/>
    <w:lvl w:ilvl="0" w:tplc="007E221A">
      <w:start w:val="6"/>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1NzQ0NwViYwsLIyUdpeDU4uLM/DyQAsNaACBHQZksAAAA"/>
  </w:docVars>
  <w:rsids>
    <w:rsidRoot w:val="003A3F0C"/>
    <w:rsid w:val="001C164D"/>
    <w:rsid w:val="001F4F4E"/>
    <w:rsid w:val="003A3F0C"/>
    <w:rsid w:val="00435336"/>
    <w:rsid w:val="00435B28"/>
    <w:rsid w:val="00464512"/>
    <w:rsid w:val="0047433F"/>
    <w:rsid w:val="00647D0E"/>
    <w:rsid w:val="006D744D"/>
    <w:rsid w:val="007438A2"/>
    <w:rsid w:val="007B703E"/>
    <w:rsid w:val="007D781A"/>
    <w:rsid w:val="007E197C"/>
    <w:rsid w:val="007E6AEC"/>
    <w:rsid w:val="0096652F"/>
    <w:rsid w:val="009A01D2"/>
    <w:rsid w:val="009F0F9A"/>
    <w:rsid w:val="00A03A73"/>
    <w:rsid w:val="00B121B0"/>
    <w:rsid w:val="00B1396A"/>
    <w:rsid w:val="00B42259"/>
    <w:rsid w:val="00BC4686"/>
    <w:rsid w:val="00C07E1A"/>
    <w:rsid w:val="00C645E7"/>
    <w:rsid w:val="00CD083B"/>
    <w:rsid w:val="00D27407"/>
    <w:rsid w:val="00DF071C"/>
    <w:rsid w:val="00E57D29"/>
    <w:rsid w:val="00FC3EF8"/>
    <w:rsid w:val="00FD08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D8E7B8"/>
  <w15:docId w15:val="{B76AA987-31C8-4EAB-B7B9-095F1D011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styleId="TableGrid">
    <w:name w:val="Table Grid"/>
    <w:basedOn w:val="TableNormal"/>
    <w:uiPriority w:val="39"/>
    <w:rsid w:val="007B70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B703E"/>
    <w:pPr>
      <w:spacing w:after="200" w:line="240" w:lineRule="auto"/>
    </w:pPr>
    <w:rPr>
      <w:i/>
      <w:iCs/>
      <w:color w:val="1F497D" w:themeColor="text2"/>
      <w:sz w:val="18"/>
      <w:szCs w:val="18"/>
    </w:rPr>
  </w:style>
  <w:style w:type="character" w:styleId="Hyperlink">
    <w:name w:val="Hyperlink"/>
    <w:basedOn w:val="DefaultParagraphFont"/>
    <w:uiPriority w:val="99"/>
    <w:unhideWhenUsed/>
    <w:rsid w:val="00FD08BF"/>
    <w:rPr>
      <w:color w:val="0000FF" w:themeColor="hyperlink"/>
      <w:u w:val="single"/>
    </w:rPr>
  </w:style>
  <w:style w:type="paragraph" w:styleId="ListParagraph">
    <w:name w:val="List Paragraph"/>
    <w:basedOn w:val="Normal"/>
    <w:uiPriority w:val="34"/>
    <w:qFormat/>
    <w:rsid w:val="00FD08BF"/>
    <w:pPr>
      <w:ind w:left="720"/>
      <w:contextualSpacing/>
    </w:pPr>
  </w:style>
  <w:style w:type="paragraph" w:styleId="Header">
    <w:name w:val="header"/>
    <w:basedOn w:val="Normal"/>
    <w:link w:val="HeaderChar"/>
    <w:uiPriority w:val="99"/>
    <w:unhideWhenUsed/>
    <w:rsid w:val="0047433F"/>
    <w:pPr>
      <w:tabs>
        <w:tab w:val="center" w:pos="4680"/>
        <w:tab w:val="right" w:pos="9360"/>
      </w:tabs>
      <w:spacing w:line="240" w:lineRule="auto"/>
    </w:pPr>
  </w:style>
  <w:style w:type="character" w:customStyle="1" w:styleId="HeaderChar">
    <w:name w:val="Header Char"/>
    <w:basedOn w:val="DefaultParagraphFont"/>
    <w:link w:val="Header"/>
    <w:uiPriority w:val="99"/>
    <w:rsid w:val="0047433F"/>
  </w:style>
  <w:style w:type="paragraph" w:styleId="Footer">
    <w:name w:val="footer"/>
    <w:basedOn w:val="Normal"/>
    <w:link w:val="FooterChar"/>
    <w:uiPriority w:val="99"/>
    <w:unhideWhenUsed/>
    <w:rsid w:val="0047433F"/>
    <w:pPr>
      <w:tabs>
        <w:tab w:val="center" w:pos="4680"/>
        <w:tab w:val="right" w:pos="9360"/>
      </w:tabs>
      <w:spacing w:line="240" w:lineRule="auto"/>
    </w:pPr>
  </w:style>
  <w:style w:type="character" w:customStyle="1" w:styleId="FooterChar">
    <w:name w:val="Footer Char"/>
    <w:basedOn w:val="DefaultParagraphFont"/>
    <w:link w:val="Footer"/>
    <w:uiPriority w:val="99"/>
    <w:rsid w:val="0047433F"/>
  </w:style>
  <w:style w:type="character" w:styleId="UnresolvedMention">
    <w:name w:val="Unresolved Mention"/>
    <w:basedOn w:val="DefaultParagraphFont"/>
    <w:uiPriority w:val="99"/>
    <w:semiHidden/>
    <w:unhideWhenUsed/>
    <w:rsid w:val="0096652F"/>
    <w:rPr>
      <w:color w:val="605E5C"/>
      <w:shd w:val="clear" w:color="auto" w:fill="E1DFDD"/>
    </w:rPr>
  </w:style>
  <w:style w:type="paragraph" w:styleId="NormalWeb">
    <w:name w:val="Normal (Web)"/>
    <w:basedOn w:val="Normal"/>
    <w:uiPriority w:val="99"/>
    <w:semiHidden/>
    <w:unhideWhenUsed/>
    <w:rsid w:val="006D744D"/>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Strong">
    <w:name w:val="Strong"/>
    <w:basedOn w:val="DefaultParagraphFont"/>
    <w:uiPriority w:val="22"/>
    <w:qFormat/>
    <w:rsid w:val="006D74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02/bab.2646"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22146/ijp.4197"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meegid.2020.104464"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doi.org/10.1038/s41598-022-11851-z"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who.int/news-room/fact-sheets/detail/marburg-virus-diseas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25</Pages>
  <Words>8333</Words>
  <Characters>47501</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dc:creator>
  <cp:lastModifiedBy>SDI 1089</cp:lastModifiedBy>
  <cp:revision>20</cp:revision>
  <dcterms:created xsi:type="dcterms:W3CDTF">2025-11-20T02:54:00Z</dcterms:created>
  <dcterms:modified xsi:type="dcterms:W3CDTF">2025-12-08T05:00:00Z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e6087893-6989-4cec-999d-b021da5350c3</vt:lpwstr>
  </property>
</Properties>
</file>