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A27461" w14:textId="77777777" w:rsidR="00565054" w:rsidRDefault="00565054" w:rsidP="00E86205">
      <w:pPr>
        <w:spacing w:line="360" w:lineRule="auto"/>
        <w:jc w:val="center"/>
        <w:rPr>
          <w:rFonts w:ascii="Times New Roman" w:hAnsi="Times New Roman" w:cs="Times New Roman"/>
          <w:b/>
          <w:bCs/>
          <w:i/>
          <w:iCs/>
          <w:sz w:val="24"/>
          <w:szCs w:val="24"/>
          <w:u w:val="single"/>
        </w:rPr>
      </w:pPr>
      <w:bookmarkStart w:id="0" w:name="_GoBack"/>
      <w:bookmarkEnd w:id="0"/>
    </w:p>
    <w:p w14:paraId="38715980" w14:textId="191444DC" w:rsidR="00E86205" w:rsidRPr="00E86205" w:rsidRDefault="00E86205" w:rsidP="00E86205">
      <w:pPr>
        <w:spacing w:line="360" w:lineRule="auto"/>
        <w:jc w:val="center"/>
        <w:rPr>
          <w:rFonts w:ascii="Times New Roman" w:hAnsi="Times New Roman" w:cs="Times New Roman"/>
          <w:b/>
          <w:bCs/>
          <w:i/>
          <w:iCs/>
          <w:sz w:val="24"/>
          <w:szCs w:val="24"/>
          <w:u w:val="single"/>
        </w:rPr>
      </w:pPr>
      <w:r w:rsidRPr="00E86205">
        <w:rPr>
          <w:rFonts w:ascii="Times New Roman" w:hAnsi="Times New Roman" w:cs="Times New Roman"/>
          <w:b/>
          <w:bCs/>
          <w:i/>
          <w:iCs/>
          <w:sz w:val="24"/>
          <w:szCs w:val="24"/>
          <w:u w:val="single"/>
        </w:rPr>
        <w:t>Original Research Article</w:t>
      </w:r>
    </w:p>
    <w:p w14:paraId="33B734E1" w14:textId="77777777" w:rsidR="002111B8" w:rsidRDefault="00C03025" w:rsidP="00343885">
      <w:pPr>
        <w:spacing w:line="360" w:lineRule="auto"/>
        <w:jc w:val="center"/>
        <w:rPr>
          <w:rFonts w:ascii="Times New Roman" w:hAnsi="Times New Roman" w:cs="Times New Roman"/>
          <w:b/>
          <w:bCs/>
          <w:sz w:val="24"/>
          <w:szCs w:val="24"/>
          <w:lang w:val="en-GB"/>
        </w:rPr>
      </w:pPr>
      <w:r w:rsidRPr="00C03025">
        <w:rPr>
          <w:rFonts w:ascii="Times New Roman" w:hAnsi="Times New Roman" w:cs="Times New Roman"/>
          <w:b/>
          <w:bCs/>
          <w:sz w:val="24"/>
          <w:szCs w:val="24"/>
          <w:lang w:val="en-GB"/>
        </w:rPr>
        <w:t>Low-Cost High-Throughput Method for Determining Electron-Beam Irradiation Doses for Antibiotic Degradation</w:t>
      </w:r>
    </w:p>
    <w:p w14:paraId="366D2917" w14:textId="77777777" w:rsidR="00D02586" w:rsidRDefault="00D02586" w:rsidP="00343885">
      <w:pPr>
        <w:spacing w:line="360" w:lineRule="auto"/>
        <w:jc w:val="both"/>
        <w:rPr>
          <w:rFonts w:ascii="Times New Roman" w:hAnsi="Times New Roman" w:cs="Times New Roman"/>
          <w:b/>
          <w:sz w:val="24"/>
          <w:szCs w:val="24"/>
        </w:rPr>
      </w:pPr>
    </w:p>
    <w:p w14:paraId="0325A1DF" w14:textId="772736C5" w:rsidR="003C1BB8" w:rsidRPr="00343885" w:rsidRDefault="00F033E4" w:rsidP="00343885">
      <w:pPr>
        <w:spacing w:line="360" w:lineRule="auto"/>
        <w:jc w:val="both"/>
        <w:rPr>
          <w:rFonts w:ascii="Times New Roman" w:hAnsi="Times New Roman" w:cs="Times New Roman"/>
          <w:b/>
          <w:sz w:val="24"/>
          <w:szCs w:val="24"/>
        </w:rPr>
      </w:pPr>
      <w:r w:rsidRPr="00343885">
        <w:rPr>
          <w:rFonts w:ascii="Times New Roman" w:hAnsi="Times New Roman" w:cs="Times New Roman"/>
          <w:b/>
          <w:sz w:val="24"/>
          <w:szCs w:val="24"/>
        </w:rPr>
        <w:t>ABSTRACT:</w:t>
      </w:r>
    </w:p>
    <w:p w14:paraId="5F8319A9" w14:textId="0DD20134" w:rsidR="00D70E28" w:rsidRDefault="001C5229" w:rsidP="00AC63D4">
      <w:pPr>
        <w:spacing w:line="360" w:lineRule="auto"/>
        <w:ind w:firstLine="720"/>
        <w:jc w:val="both"/>
        <w:rPr>
          <w:rFonts w:ascii="Times New Roman" w:hAnsi="Times New Roman" w:cs="Times New Roman"/>
          <w:sz w:val="24"/>
          <w:szCs w:val="24"/>
          <w:shd w:val="clear" w:color="auto" w:fill="FFFFFF"/>
        </w:rPr>
      </w:pPr>
      <w:r w:rsidRPr="00343885">
        <w:rPr>
          <w:rFonts w:ascii="Times New Roman" w:hAnsi="Times New Roman" w:cs="Times New Roman"/>
          <w:sz w:val="24"/>
          <w:szCs w:val="24"/>
          <w:shd w:val="clear" w:color="auto" w:fill="FFFFFF"/>
        </w:rPr>
        <w:t xml:space="preserve">In recent years, there's been growing interest in using Electron Beam Irradiation (EBI) to break down medical waste and help control the spread of antimicrobial resistance. The amount of EBI required to degrade antibiotics varies depending on whether they are in a free aqueous form or bound to another material. </w:t>
      </w:r>
      <w:r w:rsidR="00214D9C" w:rsidRPr="00343885">
        <w:rPr>
          <w:rFonts w:ascii="Times New Roman" w:hAnsi="Times New Roman" w:cs="Times New Roman"/>
          <w:sz w:val="24"/>
          <w:szCs w:val="24"/>
          <w:shd w:val="clear" w:color="auto" w:fill="FFFFFF"/>
        </w:rPr>
        <w:t>There is no standard method to identify the exact dose required to degrade each antibiotic</w:t>
      </w:r>
      <w:r w:rsidR="007F5623" w:rsidRPr="00343885">
        <w:rPr>
          <w:rFonts w:ascii="Times New Roman" w:hAnsi="Times New Roman" w:cs="Times New Roman"/>
          <w:sz w:val="24"/>
          <w:szCs w:val="24"/>
          <w:shd w:val="clear" w:color="auto" w:fill="FFFFFF"/>
        </w:rPr>
        <w:t xml:space="preserve">; hence, </w:t>
      </w:r>
      <w:r w:rsidR="00214D9C" w:rsidRPr="00343885">
        <w:rPr>
          <w:rFonts w:ascii="Times New Roman" w:hAnsi="Times New Roman" w:cs="Times New Roman"/>
          <w:sz w:val="24"/>
          <w:szCs w:val="24"/>
          <w:shd w:val="clear" w:color="auto" w:fill="FFFFFF"/>
        </w:rPr>
        <w:t xml:space="preserve">to </w:t>
      </w:r>
      <w:r w:rsidRPr="00343885">
        <w:rPr>
          <w:rFonts w:ascii="Times New Roman" w:hAnsi="Times New Roman" w:cs="Times New Roman"/>
          <w:sz w:val="24"/>
          <w:szCs w:val="24"/>
          <w:shd w:val="clear" w:color="auto" w:fill="FFFFFF"/>
        </w:rPr>
        <w:t>determine the precise dose needed for antibiotics in both water and cellulose-bound states</w:t>
      </w:r>
      <w:r w:rsidR="00214D9C" w:rsidRPr="00343885">
        <w:rPr>
          <w:rFonts w:ascii="Times New Roman" w:hAnsi="Times New Roman" w:cs="Times New Roman"/>
          <w:sz w:val="24"/>
          <w:szCs w:val="24"/>
          <w:shd w:val="clear" w:color="auto" w:fill="FFFFFF"/>
        </w:rPr>
        <w:t xml:space="preserve">, a </w:t>
      </w:r>
      <w:r w:rsidRPr="00343885">
        <w:rPr>
          <w:rFonts w:ascii="Times New Roman" w:hAnsi="Times New Roman" w:cs="Times New Roman"/>
          <w:sz w:val="24"/>
          <w:szCs w:val="24"/>
          <w:shd w:val="clear" w:color="auto" w:fill="FFFFFF"/>
        </w:rPr>
        <w:t xml:space="preserve">high-throughput technique </w:t>
      </w:r>
      <w:r w:rsidR="00214D9C" w:rsidRPr="00343885">
        <w:rPr>
          <w:rFonts w:ascii="Times New Roman" w:hAnsi="Times New Roman" w:cs="Times New Roman"/>
          <w:sz w:val="24"/>
          <w:szCs w:val="24"/>
          <w:shd w:val="clear" w:color="auto" w:fill="FFFFFF"/>
        </w:rPr>
        <w:t xml:space="preserve">has been </w:t>
      </w:r>
      <w:proofErr w:type="spellStart"/>
      <w:r w:rsidR="00155366">
        <w:rPr>
          <w:rFonts w:ascii="Times New Roman" w:hAnsi="Times New Roman" w:cs="Times New Roman"/>
          <w:sz w:val="24"/>
          <w:szCs w:val="24"/>
          <w:shd w:val="clear" w:color="auto" w:fill="FFFFFF"/>
        </w:rPr>
        <w:t>optimised</w:t>
      </w:r>
      <w:proofErr w:type="spellEnd"/>
      <w:r w:rsidR="00214D9C" w:rsidRPr="00343885">
        <w:rPr>
          <w:rFonts w:ascii="Times New Roman" w:hAnsi="Times New Roman" w:cs="Times New Roman"/>
          <w:sz w:val="24"/>
          <w:szCs w:val="24"/>
          <w:shd w:val="clear" w:color="auto" w:fill="FFFFFF"/>
        </w:rPr>
        <w:t xml:space="preserve"> using </w:t>
      </w:r>
      <w:r w:rsidR="00155366">
        <w:rPr>
          <w:rFonts w:ascii="Times New Roman" w:hAnsi="Times New Roman" w:cs="Times New Roman"/>
          <w:sz w:val="24"/>
          <w:szCs w:val="24"/>
          <w:shd w:val="clear" w:color="auto" w:fill="FFFFFF"/>
        </w:rPr>
        <w:t xml:space="preserve">a </w:t>
      </w:r>
      <w:r w:rsidRPr="00343885">
        <w:rPr>
          <w:rFonts w:ascii="Times New Roman" w:hAnsi="Times New Roman" w:cs="Times New Roman"/>
          <w:sz w:val="24"/>
          <w:szCs w:val="24"/>
          <w:shd w:val="clear" w:color="auto" w:fill="FFFFFF"/>
        </w:rPr>
        <w:t>sterile 96-well plate</w:t>
      </w:r>
      <w:r w:rsidR="00214D9C" w:rsidRPr="00343885">
        <w:rPr>
          <w:rFonts w:ascii="Times New Roman" w:hAnsi="Times New Roman" w:cs="Times New Roman"/>
          <w:sz w:val="24"/>
          <w:szCs w:val="24"/>
          <w:shd w:val="clear" w:color="auto" w:fill="FFFFFF"/>
        </w:rPr>
        <w:t xml:space="preserve">. </w:t>
      </w:r>
      <w:r w:rsidRPr="00343885">
        <w:rPr>
          <w:rFonts w:ascii="Times New Roman" w:hAnsi="Times New Roman" w:cs="Times New Roman"/>
          <w:sz w:val="24"/>
          <w:szCs w:val="24"/>
          <w:shd w:val="clear" w:color="auto" w:fill="FFFFFF"/>
        </w:rPr>
        <w:t xml:space="preserve"> </w:t>
      </w:r>
    </w:p>
    <w:p w14:paraId="23179D34" w14:textId="7E368D74" w:rsidR="00A90BF4" w:rsidRDefault="00D70E28" w:rsidP="00AC63D4">
      <w:pPr>
        <w:spacing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w:t>
      </w:r>
      <w:r w:rsidR="001C5229" w:rsidRPr="00343885">
        <w:rPr>
          <w:rFonts w:ascii="Times New Roman" w:hAnsi="Times New Roman" w:cs="Times New Roman"/>
          <w:sz w:val="24"/>
          <w:szCs w:val="24"/>
          <w:shd w:val="clear" w:color="auto" w:fill="FFFFFF"/>
        </w:rPr>
        <w:t>ifferent concentrations of Chloramphenicol (CAP) and Oxy-Tetracycline (OT) in their aqueous form</w:t>
      </w:r>
      <w:r w:rsidR="00214D9C" w:rsidRPr="00343885">
        <w:rPr>
          <w:rFonts w:ascii="Times New Roman" w:hAnsi="Times New Roman" w:cs="Times New Roman"/>
          <w:sz w:val="24"/>
          <w:szCs w:val="24"/>
          <w:shd w:val="clear" w:color="auto" w:fill="FFFFFF"/>
        </w:rPr>
        <w:t xml:space="preserve"> were exposed to </w:t>
      </w:r>
      <w:r w:rsidR="001C5229" w:rsidRPr="00343885">
        <w:rPr>
          <w:rFonts w:ascii="Times New Roman" w:hAnsi="Times New Roman" w:cs="Times New Roman"/>
          <w:sz w:val="24"/>
          <w:szCs w:val="24"/>
          <w:shd w:val="clear" w:color="auto" w:fill="FFFFFF"/>
        </w:rPr>
        <w:t>EBI</w:t>
      </w:r>
      <w:r w:rsidR="00214D9C" w:rsidRPr="00343885">
        <w:rPr>
          <w:rFonts w:ascii="Times New Roman" w:hAnsi="Times New Roman" w:cs="Times New Roman"/>
          <w:sz w:val="24"/>
          <w:szCs w:val="24"/>
          <w:shd w:val="clear" w:color="auto" w:fill="FFFFFF"/>
        </w:rPr>
        <w:t xml:space="preserve">. The </w:t>
      </w:r>
      <w:r w:rsidR="001C5229" w:rsidRPr="00343885">
        <w:rPr>
          <w:rFonts w:ascii="Times New Roman" w:hAnsi="Times New Roman" w:cs="Times New Roman"/>
          <w:sz w:val="24"/>
          <w:szCs w:val="24"/>
          <w:shd w:val="clear" w:color="auto" w:fill="FFFFFF"/>
        </w:rPr>
        <w:t xml:space="preserve">degradation </w:t>
      </w:r>
      <w:r w:rsidR="00214D9C" w:rsidRPr="00343885">
        <w:rPr>
          <w:rFonts w:ascii="Times New Roman" w:hAnsi="Times New Roman" w:cs="Times New Roman"/>
          <w:sz w:val="24"/>
          <w:szCs w:val="24"/>
          <w:shd w:val="clear" w:color="auto" w:fill="FFFFFF"/>
        </w:rPr>
        <w:t xml:space="preserve">was assessed </w:t>
      </w:r>
      <w:r w:rsidR="007F5623" w:rsidRPr="00343885">
        <w:rPr>
          <w:rFonts w:ascii="Times New Roman" w:hAnsi="Times New Roman" w:cs="Times New Roman"/>
          <w:sz w:val="24"/>
          <w:szCs w:val="24"/>
          <w:shd w:val="clear" w:color="auto" w:fill="FFFFFF"/>
        </w:rPr>
        <w:t xml:space="preserve">using </w:t>
      </w:r>
      <w:r w:rsidR="00214D9C" w:rsidRPr="00343885">
        <w:rPr>
          <w:rFonts w:ascii="Times New Roman" w:hAnsi="Times New Roman" w:cs="Times New Roman"/>
          <w:sz w:val="24"/>
          <w:szCs w:val="24"/>
          <w:shd w:val="clear" w:color="auto" w:fill="FFFFFF"/>
        </w:rPr>
        <w:t xml:space="preserve">a </w:t>
      </w:r>
      <w:r w:rsidR="001C5229" w:rsidRPr="00343885">
        <w:rPr>
          <w:rFonts w:ascii="Times New Roman" w:hAnsi="Times New Roman" w:cs="Times New Roman"/>
          <w:sz w:val="24"/>
          <w:szCs w:val="24"/>
          <w:shd w:val="clear" w:color="auto" w:fill="FFFFFF"/>
        </w:rPr>
        <w:t xml:space="preserve">simple well diffusion assay. </w:t>
      </w:r>
      <w:r w:rsidR="00214D9C" w:rsidRPr="00343885">
        <w:rPr>
          <w:rFonts w:ascii="Times New Roman" w:hAnsi="Times New Roman" w:cs="Times New Roman"/>
          <w:sz w:val="24"/>
          <w:szCs w:val="24"/>
          <w:shd w:val="clear" w:color="auto" w:fill="FFFFFF"/>
        </w:rPr>
        <w:t>Similarly</w:t>
      </w:r>
      <w:proofErr w:type="gramStart"/>
      <w:r w:rsidR="00214D9C" w:rsidRPr="00343885">
        <w:rPr>
          <w:rFonts w:ascii="Times New Roman" w:hAnsi="Times New Roman" w:cs="Times New Roman"/>
          <w:sz w:val="24"/>
          <w:szCs w:val="24"/>
          <w:shd w:val="clear" w:color="auto" w:fill="FFFFFF"/>
        </w:rPr>
        <w:t>, ,</w:t>
      </w:r>
      <w:proofErr w:type="gramEnd"/>
      <w:r w:rsidR="00214D9C" w:rsidRPr="00343885">
        <w:rPr>
          <w:rFonts w:ascii="Times New Roman" w:hAnsi="Times New Roman" w:cs="Times New Roman"/>
          <w:sz w:val="24"/>
          <w:szCs w:val="24"/>
          <w:shd w:val="clear" w:color="auto" w:fill="FFFFFF"/>
        </w:rPr>
        <w:t xml:space="preserve"> </w:t>
      </w:r>
      <w:r w:rsidR="001C5229" w:rsidRPr="00343885">
        <w:rPr>
          <w:rFonts w:ascii="Times New Roman" w:hAnsi="Times New Roman" w:cs="Times New Roman"/>
          <w:sz w:val="24"/>
          <w:szCs w:val="24"/>
          <w:shd w:val="clear" w:color="auto" w:fill="FFFFFF"/>
        </w:rPr>
        <w:t xml:space="preserve">48 antibiotics </w:t>
      </w:r>
      <w:r w:rsidR="00B20183">
        <w:rPr>
          <w:rFonts w:ascii="Times New Roman" w:hAnsi="Times New Roman" w:cs="Times New Roman"/>
          <w:sz w:val="24"/>
          <w:szCs w:val="24"/>
          <w:shd w:val="clear" w:color="auto" w:fill="FFFFFF"/>
        </w:rPr>
        <w:t>impregnated in a</w:t>
      </w:r>
      <w:r w:rsidR="001C5229" w:rsidRPr="00343885">
        <w:rPr>
          <w:rFonts w:ascii="Times New Roman" w:hAnsi="Times New Roman" w:cs="Times New Roman"/>
          <w:sz w:val="24"/>
          <w:szCs w:val="24"/>
          <w:shd w:val="clear" w:color="auto" w:fill="FFFFFF"/>
        </w:rPr>
        <w:t xml:space="preserve"> cellulose matrix</w:t>
      </w:r>
      <w:r w:rsidR="007F5623" w:rsidRPr="00343885">
        <w:rPr>
          <w:rFonts w:ascii="Times New Roman" w:hAnsi="Times New Roman" w:cs="Times New Roman"/>
          <w:sz w:val="24"/>
          <w:szCs w:val="24"/>
          <w:shd w:val="clear" w:color="auto" w:fill="FFFFFF"/>
        </w:rPr>
        <w:t>,</w:t>
      </w:r>
      <w:r w:rsidR="001C5229" w:rsidRPr="00343885">
        <w:rPr>
          <w:rFonts w:ascii="Times New Roman" w:hAnsi="Times New Roman" w:cs="Times New Roman"/>
          <w:sz w:val="24"/>
          <w:szCs w:val="24"/>
          <w:shd w:val="clear" w:color="auto" w:fill="FFFFFF"/>
        </w:rPr>
        <w:t xml:space="preserve"> were exposed to EBI, with degradation measured through a disc diffusion method.</w:t>
      </w:r>
    </w:p>
    <w:p w14:paraId="2374ADF3" w14:textId="77777777" w:rsidR="005B5DB0" w:rsidRDefault="005B5DB0" w:rsidP="00AC63D4">
      <w:pPr>
        <w:spacing w:line="360" w:lineRule="auto"/>
        <w:ind w:firstLine="720"/>
        <w:jc w:val="both"/>
        <w:rPr>
          <w:rFonts w:ascii="Times New Roman" w:hAnsi="Times New Roman" w:cs="Times New Roman"/>
          <w:sz w:val="24"/>
          <w:szCs w:val="24"/>
          <w:shd w:val="clear" w:color="auto" w:fill="FFFFFF"/>
        </w:rPr>
      </w:pPr>
      <w:r w:rsidRPr="005B5DB0">
        <w:rPr>
          <w:rFonts w:ascii="Times New Roman" w:hAnsi="Times New Roman" w:cs="Times New Roman"/>
          <w:sz w:val="24"/>
          <w:szCs w:val="24"/>
          <w:shd w:val="clear" w:color="auto" w:fill="FFFFFF"/>
        </w:rPr>
        <w:t>EBI-exposed 96-well plates containing different concentrations of antibiotics showed degradation, as indicated by a reduced zone of inhibition. Similarly, cellulose-bound antibiotics exposed to EBI also exhibited a decreased zone of inhibition.</w:t>
      </w:r>
    </w:p>
    <w:p w14:paraId="1CDFE542" w14:textId="169E478C" w:rsidR="006B5683" w:rsidRPr="00CD0343" w:rsidRDefault="00A90BF4" w:rsidP="00AC63D4">
      <w:pPr>
        <w:spacing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It </w:t>
      </w:r>
      <w:r w:rsidR="006B5683">
        <w:rPr>
          <w:rFonts w:ascii="Times New Roman" w:hAnsi="Times New Roman" w:cs="Times New Roman"/>
          <w:sz w:val="24"/>
          <w:szCs w:val="24"/>
          <w:shd w:val="clear" w:color="auto" w:fill="FFFFFF"/>
        </w:rPr>
        <w:t xml:space="preserve">concludes </w:t>
      </w:r>
      <w:r w:rsidR="006B5683" w:rsidRPr="00CD0343">
        <w:rPr>
          <w:rFonts w:ascii="Times New Roman" w:hAnsi="Times New Roman" w:cs="Times New Roman"/>
          <w:sz w:val="24"/>
          <w:szCs w:val="24"/>
          <w:shd w:val="clear" w:color="auto" w:fill="FFFFFF"/>
        </w:rPr>
        <w:t xml:space="preserve">that </w:t>
      </w:r>
      <w:r w:rsidR="00D70E28" w:rsidRPr="00CD0343">
        <w:rPr>
          <w:rFonts w:ascii="Times New Roman" w:hAnsi="Times New Roman" w:cs="Times New Roman"/>
          <w:sz w:val="24"/>
          <w:szCs w:val="24"/>
          <w:shd w:val="clear" w:color="auto" w:fill="FFFFFF"/>
        </w:rPr>
        <w:t xml:space="preserve">1. </w:t>
      </w:r>
      <w:r w:rsidR="006B5683" w:rsidRPr="00CD0343">
        <w:rPr>
          <w:rFonts w:ascii="Times New Roman" w:hAnsi="Times New Roman" w:cs="Times New Roman"/>
          <w:sz w:val="24"/>
          <w:szCs w:val="24"/>
          <w:shd w:val="clear" w:color="auto" w:fill="FFFFFF"/>
        </w:rPr>
        <w:t xml:space="preserve">Cost </w:t>
      </w:r>
      <w:r w:rsidR="00CD0343" w:rsidRPr="00CD0343">
        <w:rPr>
          <w:rFonts w:ascii="Times New Roman" w:hAnsi="Times New Roman" w:cs="Times New Roman"/>
          <w:sz w:val="24"/>
          <w:szCs w:val="24"/>
          <w:shd w:val="clear" w:color="auto" w:fill="FFFFFF"/>
        </w:rPr>
        <w:t>Optimization</w:t>
      </w:r>
      <w:r w:rsidR="006B5683" w:rsidRPr="00CD0343">
        <w:rPr>
          <w:rFonts w:ascii="Times New Roman" w:hAnsi="Times New Roman" w:cs="Times New Roman"/>
          <w:sz w:val="24"/>
          <w:szCs w:val="24"/>
          <w:shd w:val="clear" w:color="auto" w:fill="FFFFFF"/>
        </w:rPr>
        <w:t>: Electron beam treatment is expensive, but diluting antibiotic solutions reduces the required dose and overall operating cost</w:t>
      </w:r>
      <w:r w:rsidR="00D70E28" w:rsidRPr="00CD0343">
        <w:rPr>
          <w:rFonts w:ascii="Times New Roman" w:hAnsi="Times New Roman" w:cs="Times New Roman"/>
          <w:sz w:val="24"/>
          <w:szCs w:val="24"/>
          <w:shd w:val="clear" w:color="auto" w:fill="FFFFFF"/>
        </w:rPr>
        <w:t xml:space="preserve">, 2. </w:t>
      </w:r>
      <w:r w:rsidR="006B5683" w:rsidRPr="00CD0343">
        <w:rPr>
          <w:rFonts w:ascii="Times New Roman" w:hAnsi="Times New Roman" w:cs="Times New Roman"/>
          <w:sz w:val="24"/>
          <w:szCs w:val="24"/>
          <w:shd w:val="clear" w:color="auto" w:fill="FFFFFF"/>
        </w:rPr>
        <w:t>Form Effect: Antibiotics bound to cellulose need higher doses; extracting them into an aqueous form lowers the dose and processing cost.</w:t>
      </w:r>
      <w:r w:rsidR="00D70E28" w:rsidRPr="00CD0343">
        <w:rPr>
          <w:rFonts w:ascii="Times New Roman" w:hAnsi="Times New Roman" w:cs="Times New Roman"/>
          <w:sz w:val="24"/>
          <w:szCs w:val="24"/>
          <w:shd w:val="clear" w:color="auto" w:fill="FFFFFF"/>
        </w:rPr>
        <w:t xml:space="preserve"> 3. </w:t>
      </w:r>
      <w:r w:rsidR="006B5683" w:rsidRPr="00CD0343">
        <w:rPr>
          <w:rFonts w:ascii="Times New Roman" w:hAnsi="Times New Roman" w:cs="Times New Roman"/>
          <w:sz w:val="24"/>
          <w:szCs w:val="24"/>
          <w:shd w:val="clear" w:color="auto" w:fill="FFFFFF"/>
        </w:rPr>
        <w:t>Simple Testing: No special equipment</w:t>
      </w:r>
      <w:r w:rsidR="00E30ADB">
        <w:rPr>
          <w:rFonts w:ascii="Times New Roman" w:hAnsi="Times New Roman" w:cs="Times New Roman"/>
          <w:sz w:val="24"/>
          <w:szCs w:val="24"/>
          <w:shd w:val="clear" w:color="auto" w:fill="FFFFFF"/>
        </w:rPr>
        <w:t>,</w:t>
      </w:r>
      <w:r w:rsidR="006B5683" w:rsidRPr="00CD0343">
        <w:rPr>
          <w:rFonts w:ascii="Times New Roman" w:hAnsi="Times New Roman" w:cs="Times New Roman"/>
          <w:sz w:val="24"/>
          <w:szCs w:val="24"/>
          <w:shd w:val="clear" w:color="auto" w:fill="FFFFFF"/>
        </w:rPr>
        <w:t xml:space="preserve"> </w:t>
      </w:r>
      <w:r w:rsidR="00EA5171">
        <w:rPr>
          <w:rFonts w:ascii="Times New Roman" w:hAnsi="Times New Roman" w:cs="Times New Roman"/>
          <w:sz w:val="24"/>
          <w:szCs w:val="24"/>
          <w:shd w:val="clear" w:color="auto" w:fill="FFFFFF"/>
        </w:rPr>
        <w:t>such as LC-M</w:t>
      </w:r>
      <w:r w:rsidR="00E30ADB">
        <w:rPr>
          <w:rFonts w:ascii="Times New Roman" w:hAnsi="Times New Roman" w:cs="Times New Roman"/>
          <w:sz w:val="24"/>
          <w:szCs w:val="24"/>
          <w:shd w:val="clear" w:color="auto" w:fill="FFFFFF"/>
        </w:rPr>
        <w:t xml:space="preserve">S </w:t>
      </w:r>
      <w:r w:rsidR="00BF141E">
        <w:rPr>
          <w:rFonts w:ascii="Times New Roman" w:hAnsi="Times New Roman" w:cs="Times New Roman"/>
          <w:sz w:val="24"/>
          <w:szCs w:val="24"/>
          <w:shd w:val="clear" w:color="auto" w:fill="FFFFFF"/>
        </w:rPr>
        <w:t xml:space="preserve">are </w:t>
      </w:r>
      <w:r w:rsidR="00E30ADB">
        <w:rPr>
          <w:rFonts w:ascii="Times New Roman" w:hAnsi="Times New Roman" w:cs="Times New Roman"/>
          <w:sz w:val="24"/>
          <w:szCs w:val="24"/>
          <w:shd w:val="clear" w:color="auto" w:fill="FFFFFF"/>
        </w:rPr>
        <w:t xml:space="preserve">not </w:t>
      </w:r>
      <w:proofErr w:type="gramStart"/>
      <w:r w:rsidR="00BF141E">
        <w:rPr>
          <w:rFonts w:ascii="Times New Roman" w:hAnsi="Times New Roman" w:cs="Times New Roman"/>
          <w:sz w:val="24"/>
          <w:szCs w:val="24"/>
          <w:shd w:val="clear" w:color="auto" w:fill="FFFFFF"/>
        </w:rPr>
        <w:t>required ,</w:t>
      </w:r>
      <w:proofErr w:type="gramEnd"/>
      <w:r w:rsidR="007573D7">
        <w:rPr>
          <w:rFonts w:ascii="Times New Roman" w:hAnsi="Times New Roman" w:cs="Times New Roman"/>
          <w:sz w:val="24"/>
          <w:szCs w:val="24"/>
          <w:shd w:val="clear" w:color="auto" w:fill="FFFFFF"/>
        </w:rPr>
        <w:t xml:space="preserve"> using a simple </w:t>
      </w:r>
      <w:r w:rsidR="006B5683" w:rsidRPr="00CD0343">
        <w:rPr>
          <w:rFonts w:ascii="Times New Roman" w:hAnsi="Times New Roman" w:cs="Times New Roman"/>
          <w:sz w:val="24"/>
          <w:szCs w:val="24"/>
          <w:shd w:val="clear" w:color="auto" w:fill="FFFFFF"/>
        </w:rPr>
        <w:t>agar well or disc diffusion tests can effectively determine the required degradation dose.</w:t>
      </w:r>
    </w:p>
    <w:p w14:paraId="01B1B29B" w14:textId="77777777" w:rsidR="00AC63D4" w:rsidRDefault="00AC63D4" w:rsidP="00343885">
      <w:pPr>
        <w:spacing w:line="360" w:lineRule="auto"/>
        <w:jc w:val="both"/>
        <w:rPr>
          <w:rFonts w:ascii="Times New Roman" w:hAnsi="Times New Roman" w:cs="Times New Roman"/>
          <w:b/>
          <w:bCs/>
          <w:sz w:val="24"/>
          <w:szCs w:val="24"/>
          <w:shd w:val="clear" w:color="auto" w:fill="FFFFFF"/>
        </w:rPr>
      </w:pPr>
    </w:p>
    <w:p w14:paraId="3418AC70" w14:textId="1A712553" w:rsidR="00D13100" w:rsidRPr="00343885" w:rsidRDefault="005D25C2" w:rsidP="00343885">
      <w:pPr>
        <w:spacing w:line="360" w:lineRule="auto"/>
        <w:jc w:val="both"/>
        <w:rPr>
          <w:rFonts w:ascii="Times New Roman" w:hAnsi="Times New Roman" w:cs="Times New Roman"/>
          <w:sz w:val="24"/>
          <w:szCs w:val="24"/>
          <w:shd w:val="clear" w:color="auto" w:fill="FFFFFF"/>
        </w:rPr>
      </w:pPr>
      <w:r w:rsidRPr="00343885">
        <w:rPr>
          <w:rFonts w:ascii="Times New Roman" w:hAnsi="Times New Roman" w:cs="Times New Roman"/>
          <w:b/>
          <w:bCs/>
          <w:sz w:val="24"/>
          <w:szCs w:val="24"/>
          <w:shd w:val="clear" w:color="auto" w:fill="FFFFFF"/>
        </w:rPr>
        <w:lastRenderedPageBreak/>
        <w:t>Keywords:</w:t>
      </w:r>
      <w:r w:rsidRPr="00343885">
        <w:rPr>
          <w:rFonts w:ascii="Times New Roman" w:hAnsi="Times New Roman" w:cs="Times New Roman"/>
          <w:sz w:val="24"/>
          <w:szCs w:val="24"/>
          <w:shd w:val="clear" w:color="auto" w:fill="FFFFFF"/>
        </w:rPr>
        <w:t xml:space="preserve"> Electron Bea</w:t>
      </w:r>
      <w:r w:rsidR="001D14F0" w:rsidRPr="00343885">
        <w:rPr>
          <w:rFonts w:ascii="Times New Roman" w:hAnsi="Times New Roman" w:cs="Times New Roman"/>
          <w:sz w:val="24"/>
          <w:szCs w:val="24"/>
          <w:shd w:val="clear" w:color="auto" w:fill="FFFFFF"/>
        </w:rPr>
        <w:t>m</w:t>
      </w:r>
      <w:r w:rsidRPr="00343885">
        <w:rPr>
          <w:rFonts w:ascii="Times New Roman" w:hAnsi="Times New Roman" w:cs="Times New Roman"/>
          <w:sz w:val="24"/>
          <w:szCs w:val="24"/>
          <w:shd w:val="clear" w:color="auto" w:fill="FFFFFF"/>
        </w:rPr>
        <w:t xml:space="preserve"> Irradiation, EBI, Irradiation, Antibiotics, Antibiogram, well diffusion assay</w:t>
      </w:r>
    </w:p>
    <w:p w14:paraId="3785CE50" w14:textId="2833C7EC" w:rsidR="0042061A" w:rsidRPr="00343885" w:rsidRDefault="0042061A" w:rsidP="00343885">
      <w:pPr>
        <w:spacing w:line="360" w:lineRule="auto"/>
        <w:rPr>
          <w:rFonts w:ascii="Times New Roman" w:hAnsi="Times New Roman" w:cs="Times New Roman"/>
          <w:b/>
          <w:color w:val="000000" w:themeColor="text1"/>
          <w:sz w:val="24"/>
          <w:szCs w:val="24"/>
        </w:rPr>
      </w:pPr>
    </w:p>
    <w:p w14:paraId="441CEEA9" w14:textId="77777777" w:rsidR="008866A4" w:rsidRPr="00343885" w:rsidRDefault="008866A4" w:rsidP="00343885">
      <w:pPr>
        <w:spacing w:line="360" w:lineRule="auto"/>
        <w:rPr>
          <w:rFonts w:ascii="Times New Roman" w:hAnsi="Times New Roman" w:cs="Times New Roman"/>
          <w:b/>
          <w:color w:val="000000" w:themeColor="text1"/>
          <w:sz w:val="24"/>
          <w:szCs w:val="24"/>
        </w:rPr>
      </w:pPr>
      <w:r w:rsidRPr="00343885">
        <w:rPr>
          <w:rFonts w:ascii="Times New Roman" w:hAnsi="Times New Roman" w:cs="Times New Roman"/>
          <w:b/>
          <w:color w:val="000000" w:themeColor="text1"/>
          <w:sz w:val="24"/>
          <w:szCs w:val="24"/>
        </w:rPr>
        <w:br w:type="page"/>
      </w:r>
    </w:p>
    <w:p w14:paraId="319C0ECB" w14:textId="545E6386" w:rsidR="002A5632" w:rsidRPr="00343885" w:rsidRDefault="00F033E4" w:rsidP="00343885">
      <w:pPr>
        <w:spacing w:line="360" w:lineRule="auto"/>
        <w:jc w:val="both"/>
        <w:rPr>
          <w:rFonts w:ascii="Times New Roman" w:hAnsi="Times New Roman" w:cs="Times New Roman"/>
          <w:b/>
          <w:color w:val="000000" w:themeColor="text1"/>
          <w:sz w:val="24"/>
          <w:szCs w:val="24"/>
        </w:rPr>
      </w:pPr>
      <w:r w:rsidRPr="00343885">
        <w:rPr>
          <w:rFonts w:ascii="Times New Roman" w:hAnsi="Times New Roman" w:cs="Times New Roman"/>
          <w:b/>
          <w:color w:val="000000" w:themeColor="text1"/>
          <w:sz w:val="24"/>
          <w:szCs w:val="24"/>
        </w:rPr>
        <w:lastRenderedPageBreak/>
        <w:t>INTRODUCTION:</w:t>
      </w:r>
    </w:p>
    <w:p w14:paraId="4AF04DDF" w14:textId="2D7CC1C5" w:rsidR="00B265B5" w:rsidRPr="00343885" w:rsidRDefault="00F033E4" w:rsidP="00343885">
      <w:pPr>
        <w:autoSpaceDE w:val="0"/>
        <w:autoSpaceDN w:val="0"/>
        <w:adjustRightInd w:val="0"/>
        <w:spacing w:after="0" w:line="360" w:lineRule="auto"/>
        <w:ind w:firstLine="720"/>
        <w:jc w:val="both"/>
        <w:rPr>
          <w:rFonts w:ascii="Times New Roman" w:hAnsi="Times New Roman" w:cs="Times New Roman"/>
          <w:color w:val="000000" w:themeColor="text1"/>
          <w:sz w:val="24"/>
          <w:szCs w:val="24"/>
          <w:shd w:val="clear" w:color="auto" w:fill="FFFFFF"/>
        </w:rPr>
      </w:pPr>
      <w:r w:rsidRPr="00343885">
        <w:rPr>
          <w:rFonts w:ascii="Times New Roman" w:hAnsi="Times New Roman" w:cs="Times New Roman"/>
          <w:color w:val="000000" w:themeColor="text1"/>
          <w:sz w:val="24"/>
          <w:szCs w:val="24"/>
          <w:shd w:val="clear" w:color="auto" w:fill="FFFFFF"/>
        </w:rPr>
        <w:t xml:space="preserve">The original purpose of antibiotics was to treat diseases in both people and animals, but as years passed, these antibiotics </w:t>
      </w:r>
      <w:r w:rsidR="00682EEE" w:rsidRPr="00343885">
        <w:rPr>
          <w:rFonts w:ascii="Times New Roman" w:hAnsi="Times New Roman" w:cs="Times New Roman"/>
          <w:color w:val="000000" w:themeColor="text1"/>
          <w:sz w:val="24"/>
          <w:szCs w:val="24"/>
          <w:shd w:val="clear" w:color="auto" w:fill="FFFFFF"/>
        </w:rPr>
        <w:t>are</w:t>
      </w:r>
      <w:r w:rsidRPr="00343885">
        <w:rPr>
          <w:rFonts w:ascii="Times New Roman" w:hAnsi="Times New Roman" w:cs="Times New Roman"/>
          <w:color w:val="000000" w:themeColor="text1"/>
          <w:sz w:val="24"/>
          <w:szCs w:val="24"/>
          <w:shd w:val="clear" w:color="auto" w:fill="FFFFFF"/>
        </w:rPr>
        <w:t xml:space="preserve"> highly </w:t>
      </w:r>
      <w:r w:rsidR="001D14F0" w:rsidRPr="00343885">
        <w:rPr>
          <w:rFonts w:ascii="Times New Roman" w:hAnsi="Times New Roman" w:cs="Times New Roman"/>
          <w:color w:val="000000" w:themeColor="text1"/>
          <w:sz w:val="24"/>
          <w:szCs w:val="24"/>
          <w:shd w:val="clear" w:color="auto" w:fill="FFFFFF"/>
        </w:rPr>
        <w:t>favoured</w:t>
      </w:r>
      <w:r w:rsidRPr="00343885">
        <w:rPr>
          <w:rFonts w:ascii="Times New Roman" w:hAnsi="Times New Roman" w:cs="Times New Roman"/>
          <w:color w:val="000000" w:themeColor="text1"/>
          <w:sz w:val="24"/>
          <w:szCs w:val="24"/>
          <w:shd w:val="clear" w:color="auto" w:fill="FFFFFF"/>
        </w:rPr>
        <w:t xml:space="preserve"> in manufacturing animal feeds since they </w:t>
      </w:r>
      <w:r w:rsidR="001D14F0" w:rsidRPr="00343885">
        <w:rPr>
          <w:rFonts w:ascii="Times New Roman" w:hAnsi="Times New Roman" w:cs="Times New Roman"/>
          <w:color w:val="000000" w:themeColor="text1"/>
          <w:sz w:val="24"/>
          <w:szCs w:val="24"/>
          <w:shd w:val="clear" w:color="auto" w:fill="FFFFFF"/>
        </w:rPr>
        <w:t>help</w:t>
      </w:r>
      <w:r w:rsidRPr="00343885">
        <w:rPr>
          <w:rFonts w:ascii="Times New Roman" w:hAnsi="Times New Roman" w:cs="Times New Roman"/>
          <w:color w:val="000000" w:themeColor="text1"/>
          <w:sz w:val="24"/>
          <w:szCs w:val="24"/>
          <w:shd w:val="clear" w:color="auto" w:fill="FFFFFF"/>
        </w:rPr>
        <w:t xml:space="preserve"> animals </w:t>
      </w:r>
      <w:r w:rsidR="001D14F0" w:rsidRPr="00343885">
        <w:rPr>
          <w:rFonts w:ascii="Times New Roman" w:hAnsi="Times New Roman" w:cs="Times New Roman"/>
          <w:color w:val="000000" w:themeColor="text1"/>
          <w:sz w:val="24"/>
          <w:szCs w:val="24"/>
          <w:shd w:val="clear" w:color="auto" w:fill="FFFFFF"/>
        </w:rPr>
        <w:t xml:space="preserve">to </w:t>
      </w:r>
      <w:r w:rsidRPr="00343885">
        <w:rPr>
          <w:rFonts w:ascii="Times New Roman" w:hAnsi="Times New Roman" w:cs="Times New Roman"/>
          <w:color w:val="000000" w:themeColor="text1"/>
          <w:sz w:val="24"/>
          <w:szCs w:val="24"/>
          <w:shd w:val="clear" w:color="auto" w:fill="FFFFFF"/>
        </w:rPr>
        <w:t>gain weight fast and quickly. Similarly, the aquaculture sector also leans toward the application of antibiotics in the name of prophylactic treatment</w:t>
      </w:r>
      <w:r w:rsidR="00142726" w:rsidRPr="00343885">
        <w:rPr>
          <w:rFonts w:ascii="Times New Roman" w:hAnsi="Times New Roman" w:cs="Times New Roman"/>
          <w:color w:val="000000" w:themeColor="text1"/>
          <w:sz w:val="24"/>
          <w:szCs w:val="24"/>
          <w:shd w:val="clear" w:color="auto" w:fill="FFFFFF"/>
        </w:rPr>
        <w:t xml:space="preserve"> </w:t>
      </w:r>
      <w:r w:rsidR="00B92B20" w:rsidRPr="00343885">
        <w:rPr>
          <w:rFonts w:ascii="Times New Roman" w:hAnsi="Times New Roman" w:cs="Times New Roman"/>
          <w:sz w:val="24"/>
          <w:szCs w:val="24"/>
        </w:rPr>
        <w:fldChar w:fldCharType="begin"/>
      </w:r>
      <w:r w:rsidR="000532B0">
        <w:rPr>
          <w:rFonts w:ascii="Times New Roman" w:hAnsi="Times New Roman" w:cs="Times New Roman"/>
          <w:sz w:val="24"/>
          <w:szCs w:val="24"/>
        </w:rPr>
        <w:instrText xml:space="preserve"> ADDIN ZOTERO_ITEM CSL_CITATION {"citationID":"Q26z4jDr","properties":{"formattedCitation":"\\super 1\\nosupersub{}","plainCitation":"1","noteIndex":0},"citationItems":[{"id":"AXwEQWfZ/2uqqAOn6","uris":["http://zotero.org/users/local/42Ekf4cZ/items/8FRHT8ZX"],"itemData":{"id":3,"type":"article-journal","abstract":"Summary\n            The worldwide growth of aquaculture has been accompanied by a rapid increase in therapeutic and prophylactic usage of antimicrobials including those important in human therapeutics. Approximately 80% of antimicrobials used in aquaculture enter the environment with their activity intact where they select for bacteria whose resistance arises from mutations or more importantly, from mobile genetic elements containing multiple resistance determinants transmissible to other bacteria. Such selection alters biodiversity in aquatic environments and the normal flora of fish and shellfish. The commonality of the mobilome (the total of all mobile genetic elements in a genome) between aquatic and terrestrial bacteria together with the presence of residual antimicrobials, biofilms, and high concentrations of bacteriophages where the aquatic environment may also be contaminated with pathogens of human and animal origin can stimulate exchange of genetic information between aquatic and terrestrial bacteria. Several recently found genetic elements and resistance determinants for quinolones, tetracyclines, and β‐lactamases are shared between aquatic bacteria, fish pathogens, and human pathogens, and appear to have originated in aquatic bacteria. Excessive use of antimicrobials in aquaculture can thus potentially negatively impact animal and human health as well as the aquatic environment and should be better assessed and regulated.","container-title":"Environmental Microbiology","DOI":"10.1111/1462-2920.12134","ISSN":"1462-2912, 1462-2920","issue":"7","journalAbbreviation":"Environmental Microbiology","language":"en","page":"1917-1942","source":"DOI.org (Crossref)","title":"Antimicrobial use in aquaculture re‐examined: its relevance to antimicrobial resistance and to animal and human health","title-short":"Antimicrobial use in aquaculture re‐examined","URL":"https://sfamjournals.onlinelibrary.wiley.com/doi/10.1111/1462-2920.12134","volume":"15","author":[{"family":"Cabello","given":"Felipe C."},{"family":"Godfrey","given":"Henry P."},{"family":"Tomova","given":"Alexandra"},{"family":"Ivanova","given":"Larisa"},{"family":"Dölz","given":"Humberto"},{"family":"Millanao","given":"Ana"},{"family":"Buschmann","given":"Alejandro H."}],"accessed":{"date-parts":[["2025",1,27]]},"issued":{"date-parts":[["2013",7]]}}}],"schema":"https://github.com/citation-style-language/schema/raw/master/csl-citation.json"} </w:instrText>
      </w:r>
      <w:r w:rsidR="00B92B20" w:rsidRPr="00343885">
        <w:rPr>
          <w:rFonts w:ascii="Times New Roman" w:hAnsi="Times New Roman" w:cs="Times New Roman"/>
          <w:sz w:val="24"/>
          <w:szCs w:val="24"/>
        </w:rPr>
        <w:fldChar w:fldCharType="separate"/>
      </w:r>
      <w:r w:rsidR="000532B0" w:rsidRPr="000532B0">
        <w:rPr>
          <w:rFonts w:ascii="Times New Roman" w:hAnsi="Times New Roman" w:cs="Times New Roman"/>
          <w:sz w:val="24"/>
          <w:vertAlign w:val="superscript"/>
        </w:rPr>
        <w:t>1</w:t>
      </w:r>
      <w:r w:rsidR="00B92B20" w:rsidRPr="00343885">
        <w:rPr>
          <w:rFonts w:ascii="Times New Roman" w:hAnsi="Times New Roman" w:cs="Times New Roman"/>
          <w:sz w:val="24"/>
          <w:szCs w:val="24"/>
        </w:rPr>
        <w:fldChar w:fldCharType="end"/>
      </w:r>
      <w:r w:rsidRPr="00343885">
        <w:rPr>
          <w:rFonts w:ascii="Times New Roman" w:hAnsi="Times New Roman" w:cs="Times New Roman"/>
          <w:color w:val="000000" w:themeColor="text1"/>
          <w:sz w:val="24"/>
          <w:szCs w:val="24"/>
          <w:shd w:val="clear" w:color="auto" w:fill="FFFFFF"/>
        </w:rPr>
        <w:t xml:space="preserve">. Under current regulations, only specific antibiotics are allowed to be used for therapeutic reasons in </w:t>
      </w:r>
      <w:r w:rsidR="00966A3A" w:rsidRPr="00343885">
        <w:rPr>
          <w:rFonts w:ascii="Times New Roman" w:hAnsi="Times New Roman" w:cs="Times New Roman"/>
          <w:color w:val="000000" w:themeColor="text1"/>
          <w:sz w:val="24"/>
          <w:szCs w:val="24"/>
          <w:shd w:val="clear" w:color="auto" w:fill="FFFFFF"/>
        </w:rPr>
        <w:t>aquaculture</w:t>
      </w:r>
      <w:r w:rsidRPr="00343885">
        <w:rPr>
          <w:rFonts w:ascii="Times New Roman" w:hAnsi="Times New Roman" w:cs="Times New Roman"/>
          <w:color w:val="000000" w:themeColor="text1"/>
          <w:sz w:val="24"/>
          <w:szCs w:val="24"/>
          <w:shd w:val="clear" w:color="auto" w:fill="FFFFFF"/>
        </w:rPr>
        <w:t xml:space="preserve">. But these antibiotics are overused due to shady monitoring practices in </w:t>
      </w:r>
      <w:r w:rsidR="001D14F0" w:rsidRPr="00343885">
        <w:rPr>
          <w:rFonts w:ascii="Times New Roman" w:hAnsi="Times New Roman" w:cs="Times New Roman"/>
          <w:color w:val="000000" w:themeColor="text1"/>
          <w:sz w:val="24"/>
          <w:szCs w:val="24"/>
          <w:shd w:val="clear" w:color="auto" w:fill="FFFFFF"/>
        </w:rPr>
        <w:t xml:space="preserve">the </w:t>
      </w:r>
      <w:r w:rsidRPr="00343885">
        <w:rPr>
          <w:rFonts w:ascii="Times New Roman" w:hAnsi="Times New Roman" w:cs="Times New Roman"/>
          <w:color w:val="000000" w:themeColor="text1"/>
          <w:sz w:val="24"/>
          <w:szCs w:val="24"/>
          <w:shd w:val="clear" w:color="auto" w:fill="FFFFFF"/>
        </w:rPr>
        <w:t xml:space="preserve">majority </w:t>
      </w:r>
      <w:r w:rsidR="001D14F0" w:rsidRPr="00343885">
        <w:rPr>
          <w:rFonts w:ascii="Times New Roman" w:hAnsi="Times New Roman" w:cs="Times New Roman"/>
          <w:color w:val="000000" w:themeColor="text1"/>
          <w:sz w:val="24"/>
          <w:szCs w:val="24"/>
          <w:shd w:val="clear" w:color="auto" w:fill="FFFFFF"/>
        </w:rPr>
        <w:t xml:space="preserve">of </w:t>
      </w:r>
      <w:r w:rsidRPr="00343885">
        <w:rPr>
          <w:rFonts w:ascii="Times New Roman" w:hAnsi="Times New Roman" w:cs="Times New Roman"/>
          <w:color w:val="000000" w:themeColor="text1"/>
          <w:sz w:val="24"/>
          <w:szCs w:val="24"/>
          <w:shd w:val="clear" w:color="auto" w:fill="FFFFFF"/>
        </w:rPr>
        <w:t>countries. Infringement on the use of antibiotics is a widespread practice in certain nations, i.e., without a prescription, one can get antibiotics for treatment, prevention, and faster weight gain</w:t>
      </w:r>
      <w:r w:rsidR="00485AB0" w:rsidRPr="00343885">
        <w:rPr>
          <w:rFonts w:ascii="Times New Roman" w:hAnsi="Times New Roman" w:cs="Times New Roman"/>
          <w:color w:val="000000" w:themeColor="text1"/>
          <w:sz w:val="24"/>
          <w:szCs w:val="24"/>
          <w:shd w:val="clear" w:color="auto" w:fill="FFFFFF"/>
        </w:rPr>
        <w:t xml:space="preserve"> </w:t>
      </w:r>
      <w:r w:rsidR="00B92B20" w:rsidRPr="00343885">
        <w:rPr>
          <w:rFonts w:ascii="Times New Roman" w:hAnsi="Times New Roman" w:cs="Times New Roman"/>
          <w:sz w:val="24"/>
          <w:szCs w:val="24"/>
        </w:rPr>
        <w:fldChar w:fldCharType="begin"/>
      </w:r>
      <w:r w:rsidR="000532B0">
        <w:rPr>
          <w:rFonts w:ascii="Times New Roman" w:hAnsi="Times New Roman" w:cs="Times New Roman"/>
          <w:sz w:val="24"/>
          <w:szCs w:val="24"/>
        </w:rPr>
        <w:instrText xml:space="preserve"> ADDIN ZOTERO_ITEM CSL_CITATION {"citationID":"dCDwJ8LL","properties":{"formattedCitation":"\\super 2\\nosupersub{}","plainCitation":"2","noteIndex":0},"citationItems":[{"id":"AXwEQWfZ/k9uTvCkj","uris":["http://zotero.org/users/local/42Ekf4cZ/items/2KW94SNJ"],"itemData":{"id":15,"type":"article-journal","container-title":"Clinical Infectious Diseases","DOI":"10.1086/340246","ISSN":"1058-4838, 1537-6591","issue":"s3","journalAbbreviation":"CLIN INFECT DIS","language":"en","page":"S93-S106","source":"DOI.org (Crossref)","title":"Antimicrobial Use and Resistance in Animals","URL":"https://academic.oup.com/cid/article-lookup/doi/10.1086/340246","volume":"34","author":[{"family":"McEwen","given":"Scott A."},{"family":"Fedorka‐Cray","given":"Paula J."}],"accessed":{"date-parts":[["2025",1,27]]},"issued":{"date-parts":[["2002",6]]}}}],"schema":"https://github.com/citation-style-language/schema/raw/master/csl-citation.json"} </w:instrText>
      </w:r>
      <w:r w:rsidR="00B92B20" w:rsidRPr="00343885">
        <w:rPr>
          <w:rFonts w:ascii="Times New Roman" w:hAnsi="Times New Roman" w:cs="Times New Roman"/>
          <w:sz w:val="24"/>
          <w:szCs w:val="24"/>
        </w:rPr>
        <w:fldChar w:fldCharType="separate"/>
      </w:r>
      <w:r w:rsidR="000532B0" w:rsidRPr="000532B0">
        <w:rPr>
          <w:rFonts w:ascii="Times New Roman" w:hAnsi="Times New Roman" w:cs="Times New Roman"/>
          <w:sz w:val="24"/>
          <w:vertAlign w:val="superscript"/>
        </w:rPr>
        <w:t>2</w:t>
      </w:r>
      <w:r w:rsidR="00B92B20" w:rsidRPr="00343885">
        <w:rPr>
          <w:rFonts w:ascii="Times New Roman" w:hAnsi="Times New Roman" w:cs="Times New Roman"/>
          <w:sz w:val="24"/>
          <w:szCs w:val="24"/>
        </w:rPr>
        <w:fldChar w:fldCharType="end"/>
      </w:r>
      <w:r w:rsidRPr="00343885">
        <w:rPr>
          <w:rFonts w:ascii="Times New Roman" w:hAnsi="Times New Roman" w:cs="Times New Roman"/>
          <w:color w:val="000000" w:themeColor="text1"/>
          <w:sz w:val="24"/>
          <w:szCs w:val="24"/>
          <w:shd w:val="clear" w:color="auto" w:fill="FFFFFF"/>
        </w:rPr>
        <w:t>.</w:t>
      </w:r>
    </w:p>
    <w:p w14:paraId="7FE852D4" w14:textId="77777777" w:rsidR="00D8662F" w:rsidRPr="00343885" w:rsidRDefault="00D8662F" w:rsidP="00343885">
      <w:pPr>
        <w:autoSpaceDE w:val="0"/>
        <w:autoSpaceDN w:val="0"/>
        <w:adjustRightInd w:val="0"/>
        <w:spacing w:after="0" w:line="360" w:lineRule="auto"/>
        <w:ind w:firstLine="720"/>
        <w:jc w:val="both"/>
        <w:rPr>
          <w:rFonts w:ascii="Times New Roman" w:hAnsi="Times New Roman" w:cs="Times New Roman"/>
          <w:sz w:val="24"/>
          <w:szCs w:val="24"/>
          <w:shd w:val="clear" w:color="auto" w:fill="FFFFFF"/>
        </w:rPr>
      </w:pPr>
    </w:p>
    <w:p w14:paraId="0EBE81A9" w14:textId="4AB1EF6D" w:rsidR="00751DFB" w:rsidRPr="00343885" w:rsidRDefault="00F033E4" w:rsidP="00343885">
      <w:pPr>
        <w:pStyle w:val="NormalWeb"/>
        <w:spacing w:before="0" w:beforeAutospacing="0" w:after="0" w:afterAutospacing="0" w:line="360" w:lineRule="auto"/>
        <w:jc w:val="both"/>
        <w:rPr>
          <w:color w:val="0E101A"/>
        </w:rPr>
      </w:pPr>
      <w:r w:rsidRPr="00343885">
        <w:rPr>
          <w:color w:val="0E101A"/>
        </w:rPr>
        <w:t xml:space="preserve">When antibiotic residue accumulates in some areas due to the </w:t>
      </w:r>
      <w:r w:rsidR="000D35B7" w:rsidRPr="00343885">
        <w:rPr>
          <w:color w:val="0E101A"/>
        </w:rPr>
        <w:t>persistent</w:t>
      </w:r>
      <w:r w:rsidRPr="00343885">
        <w:rPr>
          <w:color w:val="0E101A"/>
        </w:rPr>
        <w:t xml:space="preserve"> use of antibiotics in the environment</w:t>
      </w:r>
      <w:r w:rsidR="00A9565B" w:rsidRPr="00343885">
        <w:rPr>
          <w:color w:val="0E101A"/>
        </w:rPr>
        <w:t xml:space="preserve"> </w:t>
      </w:r>
      <w:r w:rsidR="00B92B20" w:rsidRPr="00343885">
        <w:rPr>
          <w:color w:val="0E101A"/>
        </w:rPr>
        <w:fldChar w:fldCharType="begin"/>
      </w:r>
      <w:r w:rsidR="000532B0">
        <w:rPr>
          <w:color w:val="0E101A"/>
        </w:rPr>
        <w:instrText xml:space="preserve"> ADDIN ZOTERO_ITEM CSL_CITATION {"citationID":"mrniRAPp","properties":{"formattedCitation":"\\super 3\\nosupersub{}","plainCitation":"3","noteIndex":0},"citationItems":[{"id":32,"uris":["http://zotero.org/users/16304525/items/C55WAWEY"],"itemData":{"id":32,"type":"article-journal","abstract":"The overuse of antibiotics and their disposal without processing are leading the environment and its inhabitants towards a serious health emergency. There is abundance of diverse antibiotic resistance genes and bacteria in environment, which demands immediate attention for the effective removal of antibiotics. There are physical and chemical methods for removal, but the generation of toxic byproducts has directed the efforts towards bioremediation for eco-friendly and sustainable elimination of antibiotics from the environment. Various effective and reliable bioremediation approaches have been used, but still antibiotic residues pose a major global threat. Recent developments in molecular and synthetic biology might offer better solution for engineering of microbe–metabolite biodevices and development of novel strains endowed with desirable properties. This review summarizes the impact of antibiotics on environment, mechanisms of resistance development, and different bioremediation approaches.","container-title":"Environmental Science and Pollution Research","DOI":"10.1007/s11356-021-17374-w","ISSN":"0944-1344, 1614-7499","issue":"3","journalAbbreviation":"Environ Sci Pollut Res","language":"en","page":"3355-3371","source":"DOI.org (Crossref)","title":"Antibiotic residues in environment: antimicrobial resistance development, ecological risks, and bioremediation","title-short":"Antibiotic residues in environment","volume":"29","author":[{"family":"Apreja","given":"Mansi"},{"family":"Sharma","given":"Aarjoo"},{"family":"Balda","given":"Sanjeev"},{"family":"Kataria","given":"Kirti"},{"family":"Capalash","given":"Neena"},{"family":"Sharma","given":"Prince"}],"issued":{"date-parts":[["2022",1]]}}}],"schema":"https://github.com/citation-style-language/schema/raw/master/csl-citation.json"} </w:instrText>
      </w:r>
      <w:r w:rsidR="00B92B20" w:rsidRPr="00343885">
        <w:rPr>
          <w:color w:val="0E101A"/>
        </w:rPr>
        <w:fldChar w:fldCharType="separate"/>
      </w:r>
      <w:r w:rsidR="000532B0" w:rsidRPr="000532B0">
        <w:rPr>
          <w:vertAlign w:val="superscript"/>
        </w:rPr>
        <w:t>3</w:t>
      </w:r>
      <w:r w:rsidR="00B92B20" w:rsidRPr="00343885">
        <w:rPr>
          <w:color w:val="0E101A"/>
        </w:rPr>
        <w:fldChar w:fldCharType="end"/>
      </w:r>
      <w:r w:rsidR="00835F56" w:rsidRPr="00343885">
        <w:rPr>
          <w:color w:val="0E101A"/>
        </w:rPr>
        <w:t xml:space="preserve"> </w:t>
      </w:r>
      <w:r w:rsidRPr="00343885">
        <w:rPr>
          <w:color w:val="0E101A"/>
        </w:rPr>
        <w:t xml:space="preserve">leads to the elimination of the native flora of the specific habitat and encourages the growth of </w:t>
      </w:r>
      <w:r w:rsidR="007B5308" w:rsidRPr="00343885">
        <w:rPr>
          <w:color w:val="0E101A"/>
        </w:rPr>
        <w:t>multidrug-resistant</w:t>
      </w:r>
      <w:r w:rsidRPr="00343885">
        <w:rPr>
          <w:color w:val="0E101A"/>
        </w:rPr>
        <w:t xml:space="preserve"> bacteria (MDRB) in the particular breeding ground. Recent studies have proven that EBI can degrade antibiotics in aqueous environments, and it is employed in some nations to accelerate the breakdown of antibiotics in groundwater </w:t>
      </w:r>
      <w:r w:rsidR="00ED558B" w:rsidRPr="00343885">
        <w:rPr>
          <w:color w:val="0E101A"/>
        </w:rPr>
        <w:t xml:space="preserve"> </w:t>
      </w:r>
      <w:r w:rsidR="00B92B20" w:rsidRPr="00343885">
        <w:fldChar w:fldCharType="begin"/>
      </w:r>
      <w:r w:rsidR="000532B0">
        <w:instrText xml:space="preserve"> ADDIN ZOTERO_ITEM CSL_CITATION {"citationID":"18NSXLJ0","properties":{"formattedCitation":"\\super 4\\nosupersub{}","plainCitation":"4","noteIndex":0},"citationItems":[{"id":"AXwEQWfZ/rYRhN4Ng","uris":["http://zotero.org/users/local/42Ekf4cZ/items/R463UQ92"],"itemData":{"id":54,"type":"article-journal","container-title":"High Energy Chemistry","DOI":"10.1007/BF02761832","ISSN":"0018-1439, 1608-3148","issue":"2","journalAbbreviation":"High Energy Chem","language":"en","license":"http://www.springer.com/tdm","note":"number: 2","page":"55-73","source":"DOI.org (Crossref)","title":"Current status of the application of ionizing radiation to environmental protection: II. Wastewater and other liquid wastes (A review)","title-short":"Current status of the application of ionizing radiation to environmental protection","URL":"http://link.springer.com/10.1007/BF02761832","volume":"34","author":[{"family":"Pikaev","given":"A. K."}],"accessed":{"date-parts":[["2025",1,27]]},"issued":{"date-parts":[["2000",3]]}}}],"schema":"https://github.com/citation-style-language/schema/raw/master/csl-citation.json"} </w:instrText>
      </w:r>
      <w:r w:rsidR="00B92B20" w:rsidRPr="00343885">
        <w:fldChar w:fldCharType="separate"/>
      </w:r>
      <w:r w:rsidR="000532B0" w:rsidRPr="000532B0">
        <w:rPr>
          <w:vertAlign w:val="superscript"/>
        </w:rPr>
        <w:t>4</w:t>
      </w:r>
      <w:r w:rsidR="00B92B20" w:rsidRPr="00343885">
        <w:fldChar w:fldCharType="end"/>
      </w:r>
      <w:r w:rsidRPr="00343885">
        <w:rPr>
          <w:color w:val="0E101A"/>
        </w:rPr>
        <w:t xml:space="preserve"> and wastewater</w:t>
      </w:r>
      <w:r w:rsidR="00EE734A" w:rsidRPr="00343885">
        <w:rPr>
          <w:color w:val="0E101A"/>
        </w:rPr>
        <w:t xml:space="preserve"> </w:t>
      </w:r>
      <w:r w:rsidR="00B92B20" w:rsidRPr="00343885">
        <w:fldChar w:fldCharType="begin"/>
      </w:r>
      <w:r w:rsidR="000532B0">
        <w:instrText xml:space="preserve"> ADDIN ZOTERO_ITEM CSL_CITATION {"citationID":"MNpk8n9o","properties":{"formattedCitation":"\\super 5\\nosupersub{}","plainCitation":"5","noteIndex":0},"citationItems":[{"id":"AXwEQWfZ/yT5hUhEX","uris":["http://zotero.org/users/local/42Ekf4cZ/items/MR4UJPUL"],"itemData":{"id":50,"type":"article-journal","container-title":"Radiation Physics and Chemistry","DOI":"10.1016/0969-806X(94)00075-1","ISSN":"0969806X","issue":"2","journalAbbreviation":"Radiation Physics and Chemistry","language":"en","note":"number: 2","page":"299-308","source":"DOI.org (Crossref)","title":"The Miami Electron Beam Research Facility: a large scale wastewater treatment application","title-short":"The Miami Electron Beam Research Facility","URL":"https://linkinghub.elsevier.com/retrieve/pii/0969806X94000751","volume":"45","author":[{"family":"Kurucz","given":"Charles N."},{"family":"Waite","given":"Thomas D."},{"family":"Cooper","given":"William J."}],"accessed":{"date-parts":[["2025",1,27]]},"issued":{"date-parts":[["1995",2]]}}}],"schema":"https://github.com/citation-style-language/schema/raw/master/csl-citation.json"} </w:instrText>
      </w:r>
      <w:r w:rsidR="00B92B20" w:rsidRPr="00343885">
        <w:fldChar w:fldCharType="separate"/>
      </w:r>
      <w:r w:rsidR="000532B0" w:rsidRPr="000532B0">
        <w:rPr>
          <w:vertAlign w:val="superscript"/>
        </w:rPr>
        <w:t>5</w:t>
      </w:r>
      <w:r w:rsidR="00B92B20" w:rsidRPr="00343885">
        <w:fldChar w:fldCharType="end"/>
      </w:r>
      <w:r w:rsidRPr="00343885">
        <w:rPr>
          <w:color w:val="0E101A"/>
        </w:rPr>
        <w:t>. Only a few countries install EBI units to degrade medical waste into sewage</w:t>
      </w:r>
      <w:r w:rsidR="000D35B7" w:rsidRPr="00343885">
        <w:rPr>
          <w:color w:val="0E101A"/>
        </w:rPr>
        <w:t xml:space="preserve"> waste</w:t>
      </w:r>
      <w:r w:rsidR="00917D22" w:rsidRPr="00343885">
        <w:rPr>
          <w:color w:val="0E101A"/>
        </w:rPr>
        <w:t xml:space="preserve"> </w:t>
      </w:r>
      <w:r w:rsidR="00B92B20" w:rsidRPr="00343885">
        <w:rPr>
          <w:color w:val="0E101A"/>
        </w:rPr>
        <w:fldChar w:fldCharType="begin"/>
      </w:r>
      <w:r w:rsidR="000532B0">
        <w:rPr>
          <w:color w:val="0E101A"/>
        </w:rPr>
        <w:instrText xml:space="preserve"> ADDIN ZOTERO_ITEM CSL_CITATION {"citationID":"P2e63Yy1","properties":{"formattedCitation":"\\super 6\\nosupersub{}","plainCitation":"6","noteIndex":0},"citationItems":[{"id":34,"uris":["http://zotero.org/users/16304525/items/53SJPMRN"],"itemData":{"id":34,"type":"article-journal","abstract":"Remediation of wastewater, sludge and removal of objectionable substances from our environment using radiation technology is neglected. Hardly, a couple of decades ago, application of electron beam (EB) technology has gained attention for waste management. When wastewater is irradiated with electron beam, the beam can alter the physico-chemical properties of irradiated aqueous material and also transform wastewater chemicals due to the excitation or ionization of chemical molecules. Thus, chemical reactions may be capable of producing new compounds. The beam of electrons initiates primary reactions to induce the excitation or ionization of molecules at varied rates. This review paper will help to a budding researcher how to optimize the irradiation process to achieve high efficiency with low electron beam energy which is economically viable/ feasible. Application of E-beam radiation for wastewater treatment may ensure future smart cities with sustainable water resources management.","container-title":"Applied Water Science","DOI":"10.1007/s13201-018-0645-6","ISSN":"2190-5487, 2190-5495","issue":"1","journalAbbreviation":"Appl Water Sci","language":"en","page":"6","source":"DOI.org (Crossref)","title":"Irradiation of wastewater with electron beam is a key to sustainable smart/green cities: a review","title-short":"Irradiation of wastewater with electron beam is a key to sustainable smart/green cities","volume":"8","author":[{"family":"Hossain","given":"Kaizar"},{"family":"Maruthi","given":"Y. Avasn"},{"family":"Das","given":"N. Lakshmana"},{"family":"Rawat","given":"K. P."},{"family":"Sarma","given":"K. S. S."}],"issued":{"date-parts":[["2018",3]]}}}],"schema":"https://github.com/citation-style-language/schema/raw/master/csl-citation.json"} </w:instrText>
      </w:r>
      <w:r w:rsidR="00B92B20" w:rsidRPr="00343885">
        <w:rPr>
          <w:color w:val="0E101A"/>
        </w:rPr>
        <w:fldChar w:fldCharType="separate"/>
      </w:r>
      <w:r w:rsidR="000532B0" w:rsidRPr="000532B0">
        <w:rPr>
          <w:vertAlign w:val="superscript"/>
        </w:rPr>
        <w:t>6</w:t>
      </w:r>
      <w:r w:rsidR="00B92B20" w:rsidRPr="00343885">
        <w:rPr>
          <w:color w:val="0E101A"/>
        </w:rPr>
        <w:fldChar w:fldCharType="end"/>
      </w:r>
      <w:r w:rsidRPr="00343885">
        <w:rPr>
          <w:color w:val="0E101A"/>
        </w:rPr>
        <w:t>. A higher dose is a prerequisite to eliminating the antibiotics in the hospital waste, taking into account the penetration dose to pass the plastic pouch or glass vials</w:t>
      </w:r>
      <w:r w:rsidR="007D278D" w:rsidRPr="00343885">
        <w:rPr>
          <w:color w:val="0E101A"/>
        </w:rPr>
        <w:t xml:space="preserve"> </w:t>
      </w:r>
      <w:r w:rsidR="00B92B20" w:rsidRPr="00343885">
        <w:rPr>
          <w:color w:val="0E101A"/>
        </w:rPr>
        <w:fldChar w:fldCharType="begin"/>
      </w:r>
      <w:r w:rsidR="000532B0">
        <w:rPr>
          <w:color w:val="0E101A"/>
        </w:rPr>
        <w:instrText xml:space="preserve"> ADDIN ZOTERO_ITEM CSL_CITATION {"citationID":"ruL7oUSZ","properties":{"formattedCitation":"\\super 7\\nosupersub{}","plainCitation":"7","noteIndex":0},"citationItems":[{"id":"AXwEQWfZ/uRRrNPO8","uris":["http://zotero.org/users/local/42Ekf4cZ/items/T6M229D5"],"itemData":{"id":"wFXTque0/cvMSULsS","type":"article-journal","container-title":"Journal of Environmental Biology","DOI":"10.22438/jeb/41/5/MRN-1259","ISSN":"02548704, 23940379","issue":"5","journalAbbreviation":"JEB","page":"1013-1017","source":"DOI.org (Crossref)","title":"Destructive dose determination of electron beam irradiation for pathogenic bacteria in water medium by 96 well plate assay","URL":"http://jeb.co.in/journal_issues/202009_sep20/paper_09.pdf","volume":"41","author":[{"family":"Visnuvinayagam","given":"S."},{"family":"Murthy","given":"L.N."},{"family":"Parvathy","given":"U."},{"family":"Jeyakumari","given":"A."},{"family":"Rawat","given":"K.P."},{"family":"Khadar","given":"S.A."},{"family":"Sarma","given":"K.S.S."}],"accessed":{"date-parts":[["2025",2,2]]},"issued":{"date-parts":[["2020",9,14]]}}}],"schema":"https://github.com/citation-style-language/schema/raw/master/csl-citation.json"} </w:instrText>
      </w:r>
      <w:r w:rsidR="00B92B20" w:rsidRPr="00343885">
        <w:rPr>
          <w:color w:val="0E101A"/>
        </w:rPr>
        <w:fldChar w:fldCharType="separate"/>
      </w:r>
      <w:r w:rsidR="000532B0" w:rsidRPr="000532B0">
        <w:rPr>
          <w:vertAlign w:val="superscript"/>
        </w:rPr>
        <w:t>7</w:t>
      </w:r>
      <w:r w:rsidR="00B92B20" w:rsidRPr="00343885">
        <w:rPr>
          <w:color w:val="0E101A"/>
        </w:rPr>
        <w:fldChar w:fldCharType="end"/>
      </w:r>
      <w:r w:rsidRPr="00343885">
        <w:rPr>
          <w:color w:val="0E101A"/>
        </w:rPr>
        <w:t>. As per the literature, a high EBI dose is being practiced to degrade the antibiotics, </w:t>
      </w:r>
      <w:r w:rsidRPr="00343885">
        <w:rPr>
          <w:rStyle w:val="Emphasis"/>
          <w:color w:val="0E101A"/>
        </w:rPr>
        <w:t>i.e.</w:t>
      </w:r>
      <w:r w:rsidRPr="00343885">
        <w:rPr>
          <w:color w:val="0E101A"/>
        </w:rPr>
        <w:t xml:space="preserve">,&gt;30kGy . </w:t>
      </w:r>
      <w:r w:rsidR="00E92B1C" w:rsidRPr="00343885">
        <w:rPr>
          <w:color w:val="0E101A"/>
        </w:rPr>
        <w:t xml:space="preserve">Researchers </w:t>
      </w:r>
      <w:r w:rsidRPr="00343885">
        <w:rPr>
          <w:color w:val="0E101A"/>
        </w:rPr>
        <w:t>reported that 100% degradation of Chloramphenicol was observed while using 10kGy of EBI in the aquatic medium</w:t>
      </w:r>
      <w:r w:rsidR="00182365" w:rsidRPr="00343885">
        <w:rPr>
          <w:color w:val="0E101A"/>
        </w:rPr>
        <w:t xml:space="preserve"> </w:t>
      </w:r>
      <w:r w:rsidR="00B92B20" w:rsidRPr="00343885">
        <w:fldChar w:fldCharType="begin"/>
      </w:r>
      <w:r w:rsidR="000532B0">
        <w:instrText xml:space="preserve"> ADDIN ZOTERO_ITEM CSL_CITATION {"citationID":"qINzRZWB","properties":{"formattedCitation":"\\super 8\\nosupersub{}","plainCitation":"8","noteIndex":0},"citationItems":[{"id":"AXwEQWfZ/jnxKWDdo","uris":["http://zotero.org/users/local/42Ekf4cZ/items/IIG47TEX"],"itemData":{"id":47,"type":"article-journal","container-title":"Chemosphere","DOI":"10.1016/j.chemosphere.2014.06.039","ISSN":"00456535","journalAbbreviation":"Chemosphere","language":"en","page":"158-163","source":"DOI.org (Crossref)","title":"Decomposition reaction of the veterinary antibiotic ciprofloxacin using electron ionizing energy","URL":"https://linkinghub.elsevier.com/retrieve/pii/S0045653514007759","volume":"117","author":[{"family":"Cho","given":"Jae Young"},{"family":"Chung","given":"Byung Yeoup"},{"family":"Lee","given":"Kyeong-Bo"},{"family":"Lee","given":"Geon-Hwi"},{"family":"Hwang","given":"Seon Ah"}],"accessed":{"date-parts":[["2025",1,27]]},"issued":{"date-parts":[["2014",12]]}}}],"schema":"https://github.com/citation-style-language/schema/raw/master/csl-citation.json"} </w:instrText>
      </w:r>
      <w:r w:rsidR="00B92B20" w:rsidRPr="00343885">
        <w:fldChar w:fldCharType="separate"/>
      </w:r>
      <w:r w:rsidR="000532B0" w:rsidRPr="000532B0">
        <w:rPr>
          <w:vertAlign w:val="superscript"/>
        </w:rPr>
        <w:t>8</w:t>
      </w:r>
      <w:r w:rsidR="00B92B20" w:rsidRPr="00343885">
        <w:fldChar w:fldCharType="end"/>
      </w:r>
      <w:r w:rsidRPr="00343885">
        <w:rPr>
          <w:color w:val="0E101A"/>
        </w:rPr>
        <w:t xml:space="preserve">; in contrast, </w:t>
      </w:r>
      <w:r w:rsidR="000A4BAE" w:rsidRPr="00343885">
        <w:rPr>
          <w:color w:val="0E101A"/>
        </w:rPr>
        <w:t xml:space="preserve"> </w:t>
      </w:r>
      <w:r w:rsidR="00B92B20" w:rsidRPr="00343885">
        <w:fldChar w:fldCharType="begin"/>
      </w:r>
      <w:r w:rsidR="000532B0">
        <w:instrText xml:space="preserve"> ADDIN ZOTERO_ITEM CSL_CITATION {"citationID":"2GegWUfI","properties":{"formattedCitation":"\\super 9\\nosupersub{}","plainCitation":"9","noteIndex":0},"citationItems":[{"id":"AXwEQWfZ/KJ5mnowt","uris":["http://zotero.org/users/local/42Ekf4cZ/items/3ABX4CYI"],"itemData":{"id":7,"type":"article-journal","container-title":"Journal of the Korean Society for Applied Biological Chemistry","DOI":"10.3839/jksabc.2009.112","ISSN":"17382203","issue":"6","journalAbbreviation":"J. Korean Soc. Appl. Biol. Chem.","page":"675-680","source":"DOI.org (Crossref)","title":"Advanced Oxidation Process of Veterinary Antibiotic Tetracycline by Electron Beam Irradiation","URL":"http://link.springer.com/10.3839/jksabc.2009.112","volume":"52","author":[{"family":"Chung","given":"Byung Yeoup"}],"accessed":{"date-parts":[["2025",1,27]]},"issued":{"date-parts":[["2009",12]]}}}],"schema":"https://github.com/citation-style-language/schema/raw/master/csl-citation.json"} </w:instrText>
      </w:r>
      <w:r w:rsidR="00B92B20" w:rsidRPr="00343885">
        <w:fldChar w:fldCharType="separate"/>
      </w:r>
      <w:r w:rsidR="000532B0" w:rsidRPr="000532B0">
        <w:rPr>
          <w:vertAlign w:val="superscript"/>
        </w:rPr>
        <w:t>9</w:t>
      </w:r>
      <w:r w:rsidR="00B92B20" w:rsidRPr="00343885">
        <w:fldChar w:fldCharType="end"/>
      </w:r>
      <w:r w:rsidR="002E722C" w:rsidRPr="00343885">
        <w:rPr>
          <w:color w:val="0E101A"/>
        </w:rPr>
        <w:t xml:space="preserve"> </w:t>
      </w:r>
      <w:r w:rsidRPr="00343885">
        <w:rPr>
          <w:color w:val="0E101A"/>
        </w:rPr>
        <w:t xml:space="preserve">said that even with 5kGy dose, 100% degradation. So, the variation in the report is due to organic content, initial concentration, and water </w:t>
      </w:r>
      <w:r w:rsidR="007D278D" w:rsidRPr="00343885">
        <w:rPr>
          <w:color w:val="0E101A"/>
        </w:rPr>
        <w:t>depth</w:t>
      </w:r>
      <w:r w:rsidR="00166282" w:rsidRPr="00343885">
        <w:rPr>
          <w:color w:val="0E101A"/>
        </w:rPr>
        <w:t xml:space="preserve"> </w:t>
      </w:r>
      <w:r w:rsidR="00B92B20" w:rsidRPr="00343885">
        <w:fldChar w:fldCharType="begin"/>
      </w:r>
      <w:r w:rsidR="000532B0">
        <w:instrText xml:space="preserve"> ADDIN ZOTERO_ITEM CSL_CITATION {"citationID":"KDLboGUk","properties":{"formattedCitation":"\\super 9\\nosupersub{}","plainCitation":"9","noteIndex":0},"citationItems":[{"id":"AXwEQWfZ/KJ5mnowt","uris":["http://zotero.org/users/local/42Ekf4cZ/items/3ABX4CYI"],"itemData":{"id":7,"type":"article-journal","container-title":"Journal of the Korean Society for Applied Biological Chemistry","DOI":"10.3839/jksabc.2009.112","ISSN":"17382203","issue":"6","journalAbbreviation":"J. Korean Soc. Appl. Biol. Chem.","page":"675-680","source":"DOI.org (Crossref)","title":"Advanced Oxidation Process of Veterinary Antibiotic Tetracycline by Electron Beam Irradiation","URL":"http://link.springer.com/10.3839/jksabc.2009.112","volume":"52","author":[{"family":"Chung","given":"Byung Yeoup"}],"accessed":{"date-parts":[["2025",1,27]]},"issued":{"date-parts":[["2009",12]]}}}],"schema":"https://github.com/citation-style-language/schema/raw/master/csl-citation.json"} </w:instrText>
      </w:r>
      <w:r w:rsidR="00B92B20" w:rsidRPr="00343885">
        <w:fldChar w:fldCharType="separate"/>
      </w:r>
      <w:r w:rsidR="000532B0" w:rsidRPr="000532B0">
        <w:rPr>
          <w:vertAlign w:val="superscript"/>
        </w:rPr>
        <w:t>9</w:t>
      </w:r>
      <w:r w:rsidR="00B92B20" w:rsidRPr="00343885">
        <w:fldChar w:fldCharType="end"/>
      </w:r>
      <w:r w:rsidRPr="00343885">
        <w:rPr>
          <w:color w:val="0E101A"/>
        </w:rPr>
        <w:t>. So, the dose required for the various waste will be varied with varied-waste-water. Besides, the assessment of degradation on antibiotics is a cumbersome and costly procedure; it needs an LC-MS-MS to detect antibiotics</w:t>
      </w:r>
      <w:r w:rsidR="001D2AE7">
        <w:rPr>
          <w:color w:val="0E101A"/>
        </w:rPr>
        <w:t xml:space="preserve"> </w:t>
      </w:r>
      <w:r w:rsidR="001D2AE7" w:rsidRPr="00343885">
        <w:fldChar w:fldCharType="begin"/>
      </w:r>
      <w:r w:rsidR="001D2AE7">
        <w:instrText xml:space="preserve"> ADDIN ZOTERO_ITEM CSL_CITATION {"citationID":"18NSXLJ0","properties":{"formattedCitation":"\\super 4\\nosupersub{}","plainCitation":"4","noteIndex":0},"citationItems":[{"id":"AXwEQWfZ/rYRhN4Ng","uris":["http://zotero.org/users/local/42Ekf4cZ/items/R463UQ92"],"itemData":{"id":54,"type":"article-journal","container-title":"High Energy Chemistry","DOI":"10.1007/BF02761832","ISSN":"0018-1439, 1608-3148","issue":"2","journalAbbreviation":"High Energy Chem","language":"en","license":"http://www.springer.com/tdm","note":"number: 2","page":"55-73","source":"DOI.org (Crossref)","title":"Current status of the application of ionizing radiation to environmental protection: II. Wastewater and other liquid wastes (A review)","title-short":"Current status of the application of ionizing radiation to environmental protection","URL":"http://link.springer.com/10.1007/BF02761832","volume":"34","author":[{"family":"Pikaev","given":"A. K."}],"accessed":{"date-parts":[["2025",1,27]]},"issued":{"date-parts":[["2000",3]]}}}],"schema":"https://github.com/citation-style-language/schema/raw/master/csl-citation.json"} </w:instrText>
      </w:r>
      <w:r w:rsidR="001D2AE7" w:rsidRPr="00343885">
        <w:fldChar w:fldCharType="separate"/>
      </w:r>
      <w:r w:rsidR="001D2AE7" w:rsidRPr="000532B0">
        <w:rPr>
          <w:vertAlign w:val="superscript"/>
        </w:rPr>
        <w:t>4</w:t>
      </w:r>
      <w:r w:rsidR="001D2AE7" w:rsidRPr="00343885">
        <w:fldChar w:fldCharType="end"/>
      </w:r>
      <w:r w:rsidR="001D2AE7">
        <w:t>,</w:t>
      </w:r>
      <w:r w:rsidR="001D2AE7" w:rsidRPr="00440181">
        <w:rPr>
          <w:vertAlign w:val="superscript"/>
        </w:rPr>
        <w:t>5</w:t>
      </w:r>
      <w:r w:rsidRPr="00343885">
        <w:rPr>
          <w:color w:val="0E101A"/>
        </w:rPr>
        <w:t>. </w:t>
      </w:r>
    </w:p>
    <w:p w14:paraId="3D80E093" w14:textId="77777777" w:rsidR="00751DFB" w:rsidRPr="00343885" w:rsidRDefault="00751DFB" w:rsidP="00343885">
      <w:pPr>
        <w:pStyle w:val="NormalWeb"/>
        <w:spacing w:before="0" w:beforeAutospacing="0" w:after="0" w:afterAutospacing="0" w:line="360" w:lineRule="auto"/>
        <w:jc w:val="both"/>
        <w:rPr>
          <w:color w:val="0E101A"/>
        </w:rPr>
      </w:pPr>
    </w:p>
    <w:p w14:paraId="14343960" w14:textId="58FB70B9" w:rsidR="00423DFE" w:rsidRPr="00343885" w:rsidRDefault="00F033E4" w:rsidP="00343885">
      <w:pPr>
        <w:spacing w:line="360" w:lineRule="auto"/>
        <w:jc w:val="both"/>
        <w:rPr>
          <w:rFonts w:ascii="Times New Roman" w:hAnsi="Times New Roman" w:cs="Times New Roman"/>
          <w:sz w:val="24"/>
          <w:szCs w:val="24"/>
        </w:rPr>
      </w:pPr>
      <w:r w:rsidRPr="00343885">
        <w:rPr>
          <w:rFonts w:ascii="Times New Roman" w:hAnsi="Times New Roman" w:cs="Times New Roman"/>
          <w:sz w:val="24"/>
          <w:szCs w:val="24"/>
          <w:shd w:val="clear" w:color="auto" w:fill="FFFFFF"/>
        </w:rPr>
        <w:tab/>
      </w:r>
      <w:r w:rsidR="00DE09F9" w:rsidRPr="00343885">
        <w:rPr>
          <w:rFonts w:ascii="Times New Roman" w:hAnsi="Times New Roman" w:cs="Times New Roman"/>
          <w:sz w:val="24"/>
          <w:szCs w:val="24"/>
          <w:shd w:val="clear" w:color="auto" w:fill="FFFFFF"/>
        </w:rPr>
        <w:t>Based on the above discussion, a novel and straight</w:t>
      </w:r>
      <w:r w:rsidR="00732790" w:rsidRPr="00343885">
        <w:rPr>
          <w:rFonts w:ascii="Times New Roman" w:hAnsi="Times New Roman" w:cs="Times New Roman"/>
          <w:sz w:val="24"/>
          <w:szCs w:val="24"/>
          <w:shd w:val="clear" w:color="auto" w:fill="FFFFFF"/>
        </w:rPr>
        <w:t>-</w:t>
      </w:r>
      <w:r w:rsidR="00DE09F9" w:rsidRPr="00343885">
        <w:rPr>
          <w:rFonts w:ascii="Times New Roman" w:hAnsi="Times New Roman" w:cs="Times New Roman"/>
          <w:sz w:val="24"/>
          <w:szCs w:val="24"/>
          <w:shd w:val="clear" w:color="auto" w:fill="FFFFFF"/>
        </w:rPr>
        <w:t xml:space="preserve">forward </w:t>
      </w:r>
      <w:r w:rsidR="00732790" w:rsidRPr="00343885">
        <w:rPr>
          <w:rFonts w:ascii="Times New Roman" w:hAnsi="Times New Roman" w:cs="Times New Roman"/>
          <w:sz w:val="24"/>
          <w:szCs w:val="24"/>
          <w:shd w:val="clear" w:color="auto" w:fill="FFFFFF"/>
        </w:rPr>
        <w:t>method</w:t>
      </w:r>
      <w:r w:rsidR="00DE09F9" w:rsidRPr="00343885">
        <w:rPr>
          <w:rFonts w:ascii="Times New Roman" w:hAnsi="Times New Roman" w:cs="Times New Roman"/>
          <w:sz w:val="24"/>
          <w:szCs w:val="24"/>
          <w:shd w:val="clear" w:color="auto" w:fill="FFFFFF"/>
        </w:rPr>
        <w:t xml:space="preserve"> </w:t>
      </w:r>
      <w:r w:rsidR="00732790" w:rsidRPr="00343885">
        <w:rPr>
          <w:rFonts w:ascii="Times New Roman" w:hAnsi="Times New Roman" w:cs="Times New Roman"/>
          <w:sz w:val="24"/>
          <w:szCs w:val="24"/>
          <w:shd w:val="clear" w:color="auto" w:fill="FFFFFF"/>
        </w:rPr>
        <w:t xml:space="preserve">is </w:t>
      </w:r>
      <w:r w:rsidR="00DE09F9" w:rsidRPr="00343885">
        <w:rPr>
          <w:rFonts w:ascii="Times New Roman" w:hAnsi="Times New Roman" w:cs="Times New Roman"/>
          <w:sz w:val="24"/>
          <w:szCs w:val="24"/>
          <w:shd w:val="clear" w:color="auto" w:fill="FFFFFF"/>
        </w:rPr>
        <w:t xml:space="preserve">required to determine the dosage of many aqueous media at once. So, in the present study, 96-micro-titer-plates (96-MTP) has been tried to control </w:t>
      </w:r>
      <w:r w:rsidR="007D278D" w:rsidRPr="00343885">
        <w:rPr>
          <w:rFonts w:ascii="Times New Roman" w:hAnsi="Times New Roman" w:cs="Times New Roman"/>
          <w:sz w:val="24"/>
          <w:szCs w:val="24"/>
          <w:shd w:val="clear" w:color="auto" w:fill="FFFFFF"/>
        </w:rPr>
        <w:t>variables</w:t>
      </w:r>
      <w:r w:rsidR="00DE09F9" w:rsidRPr="00343885">
        <w:rPr>
          <w:rFonts w:ascii="Times New Roman" w:hAnsi="Times New Roman" w:cs="Times New Roman"/>
          <w:sz w:val="24"/>
          <w:szCs w:val="24"/>
          <w:shd w:val="clear" w:color="auto" w:fill="FFFFFF"/>
        </w:rPr>
        <w:t xml:space="preserve"> such as depth. The use of different 8 rows of eight different aqueous mediums can be achieved. Besides, well diffusion has been used to assess the degradation level of antibiotics. </w:t>
      </w:r>
      <w:r w:rsidR="00943232" w:rsidRPr="00343885">
        <w:rPr>
          <w:rFonts w:ascii="Times New Roman" w:hAnsi="Times New Roman" w:cs="Times New Roman"/>
          <w:sz w:val="24"/>
          <w:szCs w:val="24"/>
          <w:shd w:val="clear" w:color="auto" w:fill="FFFFFF"/>
        </w:rPr>
        <w:t xml:space="preserve">After EBI exposure, </w:t>
      </w:r>
      <w:r w:rsidR="00732790" w:rsidRPr="00343885">
        <w:rPr>
          <w:rFonts w:ascii="Times New Roman" w:hAnsi="Times New Roman" w:cs="Times New Roman"/>
          <w:sz w:val="24"/>
          <w:szCs w:val="24"/>
          <w:shd w:val="clear" w:color="auto" w:fill="FFFFFF"/>
        </w:rPr>
        <w:t xml:space="preserve">the degraded antibiotics in the </w:t>
      </w:r>
      <w:r w:rsidR="00DE09F9" w:rsidRPr="00343885">
        <w:rPr>
          <w:rFonts w:ascii="Times New Roman" w:hAnsi="Times New Roman" w:cs="Times New Roman"/>
          <w:sz w:val="24"/>
          <w:szCs w:val="24"/>
          <w:shd w:val="clear" w:color="auto" w:fill="FFFFFF"/>
        </w:rPr>
        <w:t xml:space="preserve">96-MTP </w:t>
      </w:r>
      <w:r w:rsidR="00732790" w:rsidRPr="00343885">
        <w:rPr>
          <w:rFonts w:ascii="Times New Roman" w:hAnsi="Times New Roman" w:cs="Times New Roman"/>
          <w:sz w:val="24"/>
          <w:szCs w:val="24"/>
          <w:shd w:val="clear" w:color="auto" w:fill="FFFFFF"/>
        </w:rPr>
        <w:lastRenderedPageBreak/>
        <w:t xml:space="preserve">are directly </w:t>
      </w:r>
      <w:r w:rsidR="000C0B02" w:rsidRPr="00343885">
        <w:rPr>
          <w:rFonts w:ascii="Times New Roman" w:hAnsi="Times New Roman" w:cs="Times New Roman"/>
          <w:sz w:val="24"/>
          <w:szCs w:val="24"/>
          <w:shd w:val="clear" w:color="auto" w:fill="FFFFFF"/>
        </w:rPr>
        <w:t>added into the w</w:t>
      </w:r>
      <w:r w:rsidR="00DE09F9" w:rsidRPr="00343885">
        <w:rPr>
          <w:rFonts w:ascii="Times New Roman" w:hAnsi="Times New Roman" w:cs="Times New Roman"/>
          <w:sz w:val="24"/>
          <w:szCs w:val="24"/>
          <w:shd w:val="clear" w:color="auto" w:fill="FFFFFF"/>
        </w:rPr>
        <w:t xml:space="preserve">ell diffusion </w:t>
      </w:r>
      <w:r w:rsidR="000C0B02" w:rsidRPr="00343885">
        <w:rPr>
          <w:rFonts w:ascii="Times New Roman" w:hAnsi="Times New Roman" w:cs="Times New Roman"/>
          <w:sz w:val="24"/>
          <w:szCs w:val="24"/>
          <w:shd w:val="clear" w:color="auto" w:fill="FFFFFF"/>
        </w:rPr>
        <w:t xml:space="preserve">for </w:t>
      </w:r>
      <w:r w:rsidR="00C101A8" w:rsidRPr="00343885">
        <w:rPr>
          <w:rFonts w:ascii="Times New Roman" w:hAnsi="Times New Roman" w:cs="Times New Roman"/>
          <w:sz w:val="24"/>
          <w:szCs w:val="24"/>
          <w:shd w:val="clear" w:color="auto" w:fill="FFFFFF"/>
        </w:rPr>
        <w:t>level</w:t>
      </w:r>
      <w:r w:rsidR="000C0B02" w:rsidRPr="00343885">
        <w:rPr>
          <w:rFonts w:ascii="Times New Roman" w:hAnsi="Times New Roman" w:cs="Times New Roman"/>
          <w:sz w:val="24"/>
          <w:szCs w:val="24"/>
          <w:shd w:val="clear" w:color="auto" w:fill="FFFFFF"/>
        </w:rPr>
        <w:t xml:space="preserve"> of degradation</w:t>
      </w:r>
      <w:r w:rsidR="00DE09F9" w:rsidRPr="00343885">
        <w:rPr>
          <w:rFonts w:ascii="Times New Roman" w:hAnsi="Times New Roman" w:cs="Times New Roman"/>
          <w:sz w:val="24"/>
          <w:szCs w:val="24"/>
          <w:shd w:val="clear" w:color="auto" w:fill="FFFFFF"/>
        </w:rPr>
        <w:t>. In addition, other antibiotics in cellulose-disc are exposed to different amounts to find the hierarchy of antibiotic susceptibility.</w:t>
      </w:r>
    </w:p>
    <w:p w14:paraId="3289E6C7" w14:textId="77777777" w:rsidR="00E36369" w:rsidRPr="00343885" w:rsidRDefault="00F033E4" w:rsidP="00343885">
      <w:pPr>
        <w:spacing w:line="360" w:lineRule="auto"/>
        <w:jc w:val="both"/>
        <w:rPr>
          <w:rFonts w:ascii="Times New Roman" w:hAnsi="Times New Roman" w:cs="Times New Roman"/>
          <w:b/>
          <w:sz w:val="24"/>
          <w:szCs w:val="24"/>
        </w:rPr>
      </w:pPr>
      <w:r w:rsidRPr="00343885">
        <w:rPr>
          <w:rFonts w:ascii="Times New Roman" w:hAnsi="Times New Roman" w:cs="Times New Roman"/>
          <w:b/>
          <w:sz w:val="24"/>
          <w:szCs w:val="24"/>
        </w:rPr>
        <w:t>MATERIALS AND METHOD:</w:t>
      </w:r>
    </w:p>
    <w:p w14:paraId="6F671E08" w14:textId="2300A808" w:rsidR="00263C26" w:rsidRPr="00343885" w:rsidRDefault="00C101A8" w:rsidP="00343885">
      <w:pPr>
        <w:spacing w:line="360" w:lineRule="auto"/>
        <w:jc w:val="both"/>
        <w:rPr>
          <w:rFonts w:ascii="Times New Roman" w:hAnsi="Times New Roman" w:cs="Times New Roman"/>
          <w:b/>
          <w:sz w:val="24"/>
          <w:szCs w:val="24"/>
        </w:rPr>
      </w:pPr>
      <w:r w:rsidRPr="00343885">
        <w:rPr>
          <w:rFonts w:ascii="Times New Roman" w:hAnsi="Times New Roman" w:cs="Times New Roman"/>
          <w:b/>
          <w:sz w:val="24"/>
          <w:szCs w:val="24"/>
        </w:rPr>
        <w:t>Irradiation of</w:t>
      </w:r>
      <w:r w:rsidR="00F033E4" w:rsidRPr="00343885">
        <w:rPr>
          <w:rFonts w:ascii="Times New Roman" w:hAnsi="Times New Roman" w:cs="Times New Roman"/>
          <w:b/>
          <w:sz w:val="24"/>
          <w:szCs w:val="24"/>
        </w:rPr>
        <w:t xml:space="preserve"> Chloramphenicol</w:t>
      </w:r>
      <w:r w:rsidR="00C87404" w:rsidRPr="00343885">
        <w:rPr>
          <w:rFonts w:ascii="Times New Roman" w:hAnsi="Times New Roman" w:cs="Times New Roman"/>
          <w:b/>
          <w:sz w:val="24"/>
          <w:szCs w:val="24"/>
        </w:rPr>
        <w:t xml:space="preserve"> (CAP)</w:t>
      </w:r>
      <w:r w:rsidR="00F033E4" w:rsidRPr="00343885">
        <w:rPr>
          <w:rFonts w:ascii="Times New Roman" w:hAnsi="Times New Roman" w:cs="Times New Roman"/>
          <w:b/>
          <w:sz w:val="24"/>
          <w:szCs w:val="24"/>
        </w:rPr>
        <w:t xml:space="preserve"> and Oxy-</w:t>
      </w:r>
      <w:r w:rsidR="00672217" w:rsidRPr="00343885">
        <w:rPr>
          <w:rFonts w:ascii="Times New Roman" w:hAnsi="Times New Roman" w:cs="Times New Roman"/>
          <w:b/>
          <w:sz w:val="24"/>
          <w:szCs w:val="24"/>
        </w:rPr>
        <w:t>Tetracycline</w:t>
      </w:r>
      <w:r w:rsidR="00C87404" w:rsidRPr="00343885">
        <w:rPr>
          <w:rFonts w:ascii="Times New Roman" w:hAnsi="Times New Roman" w:cs="Times New Roman"/>
          <w:b/>
          <w:sz w:val="24"/>
          <w:szCs w:val="24"/>
        </w:rPr>
        <w:t xml:space="preserve"> (OT)</w:t>
      </w:r>
      <w:r w:rsidR="00F033E4" w:rsidRPr="00343885">
        <w:rPr>
          <w:rFonts w:ascii="Times New Roman" w:hAnsi="Times New Roman" w:cs="Times New Roman"/>
          <w:b/>
          <w:sz w:val="24"/>
          <w:szCs w:val="24"/>
        </w:rPr>
        <w:t xml:space="preserve"> by EB</w:t>
      </w:r>
      <w:r w:rsidR="006E3316" w:rsidRPr="00343885">
        <w:rPr>
          <w:rFonts w:ascii="Times New Roman" w:hAnsi="Times New Roman" w:cs="Times New Roman"/>
          <w:b/>
          <w:sz w:val="24"/>
          <w:szCs w:val="24"/>
        </w:rPr>
        <w:t>I</w:t>
      </w:r>
      <w:r w:rsidR="00F033E4" w:rsidRPr="00343885">
        <w:rPr>
          <w:rFonts w:ascii="Times New Roman" w:hAnsi="Times New Roman" w:cs="Times New Roman"/>
          <w:b/>
          <w:sz w:val="24"/>
          <w:szCs w:val="24"/>
        </w:rPr>
        <w:t xml:space="preserve">: </w:t>
      </w:r>
    </w:p>
    <w:p w14:paraId="61F80C85" w14:textId="7FCAC60F" w:rsidR="0023723C" w:rsidRPr="00343885" w:rsidRDefault="00F033E4" w:rsidP="00343885">
      <w:pPr>
        <w:autoSpaceDE w:val="0"/>
        <w:autoSpaceDN w:val="0"/>
        <w:adjustRightInd w:val="0"/>
        <w:spacing w:after="0" w:line="360" w:lineRule="auto"/>
        <w:ind w:firstLine="720"/>
        <w:jc w:val="both"/>
        <w:rPr>
          <w:rStyle w:val="Emphasis"/>
          <w:rFonts w:ascii="Times New Roman" w:hAnsi="Times New Roman" w:cs="Times New Roman"/>
          <w:b/>
          <w:bCs/>
          <w:color w:val="0E101A"/>
          <w:sz w:val="24"/>
          <w:szCs w:val="24"/>
        </w:rPr>
      </w:pPr>
      <w:r w:rsidRPr="00343885">
        <w:rPr>
          <w:rFonts w:ascii="Times New Roman" w:hAnsi="Times New Roman" w:cs="Times New Roman"/>
          <w:sz w:val="24"/>
          <w:szCs w:val="24"/>
        </w:rPr>
        <w:t>The 96-MTP was opened in a sterile condition, and all the wells were filled with 100µl of distilled water. 10ml of Ethanol was sterilized by syringe filters (</w:t>
      </w:r>
      <w:r w:rsidR="0012706A" w:rsidRPr="00343885">
        <w:rPr>
          <w:rFonts w:ascii="Times New Roman" w:hAnsi="Times New Roman" w:cs="Times New Roman"/>
          <w:sz w:val="24"/>
          <w:szCs w:val="24"/>
        </w:rPr>
        <w:t>HiMedia</w:t>
      </w:r>
      <w:r w:rsidRPr="00343885">
        <w:rPr>
          <w:rFonts w:ascii="Times New Roman" w:hAnsi="Times New Roman" w:cs="Times New Roman"/>
          <w:sz w:val="24"/>
          <w:szCs w:val="24"/>
        </w:rPr>
        <w:t xml:space="preserve">), and 500mg (5,00,000µg) of CAP (Hi Media, Mumbai) was added for complete dissolution. Then 200µl (10000 µg) was added to the first well, and then 100µl was transferred from the first well into the subsequent well (Row-wise) by </w:t>
      </w:r>
      <w:r w:rsidR="009C51BE" w:rsidRPr="00343885">
        <w:rPr>
          <w:rFonts w:ascii="Times New Roman" w:hAnsi="Times New Roman" w:cs="Times New Roman"/>
          <w:sz w:val="24"/>
          <w:szCs w:val="24"/>
        </w:rPr>
        <w:t>serial dilution</w:t>
      </w:r>
      <w:r w:rsidRPr="00343885">
        <w:rPr>
          <w:rFonts w:ascii="Times New Roman" w:hAnsi="Times New Roman" w:cs="Times New Roman"/>
          <w:sz w:val="24"/>
          <w:szCs w:val="24"/>
        </w:rPr>
        <w:t xml:space="preserve"> up to the 12</w:t>
      </w:r>
      <w:r w:rsidRPr="00343885">
        <w:rPr>
          <w:rFonts w:ascii="Times New Roman" w:hAnsi="Times New Roman" w:cs="Times New Roman"/>
          <w:sz w:val="24"/>
          <w:szCs w:val="24"/>
          <w:vertAlign w:val="superscript"/>
        </w:rPr>
        <w:t>th</w:t>
      </w:r>
      <w:r w:rsidR="00C101A8" w:rsidRPr="00343885">
        <w:rPr>
          <w:rFonts w:ascii="Times New Roman" w:hAnsi="Times New Roman" w:cs="Times New Roman"/>
          <w:sz w:val="24"/>
          <w:szCs w:val="24"/>
        </w:rPr>
        <w:t xml:space="preserve"> </w:t>
      </w:r>
      <w:r w:rsidRPr="00343885">
        <w:rPr>
          <w:rFonts w:ascii="Times New Roman" w:hAnsi="Times New Roman" w:cs="Times New Roman"/>
          <w:sz w:val="24"/>
          <w:szCs w:val="24"/>
        </w:rPr>
        <w:t>well (2-fold dilution</w:t>
      </w:r>
      <w:proofErr w:type="gramStart"/>
      <w:r w:rsidRPr="00343885">
        <w:rPr>
          <w:rFonts w:ascii="Times New Roman" w:hAnsi="Times New Roman" w:cs="Times New Roman"/>
          <w:sz w:val="24"/>
          <w:szCs w:val="24"/>
        </w:rPr>
        <w:t>)</w:t>
      </w:r>
      <w:r w:rsidR="00EA184F" w:rsidRPr="00343885">
        <w:rPr>
          <w:rFonts w:ascii="Times New Roman" w:hAnsi="Times New Roman" w:cs="Times New Roman"/>
          <w:sz w:val="24"/>
          <w:szCs w:val="24"/>
        </w:rPr>
        <w:t xml:space="preserve"> </w:t>
      </w:r>
      <w:r w:rsidRPr="00343885">
        <w:rPr>
          <w:rFonts w:ascii="Times New Roman" w:hAnsi="Times New Roman" w:cs="Times New Roman"/>
          <w:sz w:val="24"/>
          <w:szCs w:val="24"/>
        </w:rPr>
        <w:t>.</w:t>
      </w:r>
      <w:proofErr w:type="gramEnd"/>
      <w:r w:rsidRPr="00343885">
        <w:rPr>
          <w:rFonts w:ascii="Times New Roman" w:hAnsi="Times New Roman" w:cs="Times New Roman"/>
          <w:sz w:val="24"/>
          <w:szCs w:val="24"/>
        </w:rPr>
        <w:t xml:space="preserve"> In order to avoid contamination during EBI, all the plates were sealed with </w:t>
      </w:r>
      <w:r w:rsidR="00C101A8" w:rsidRPr="00343885">
        <w:rPr>
          <w:rFonts w:ascii="Times New Roman" w:hAnsi="Times New Roman" w:cs="Times New Roman"/>
          <w:sz w:val="24"/>
          <w:szCs w:val="24"/>
        </w:rPr>
        <w:t>cello tape</w:t>
      </w:r>
      <w:r w:rsidRPr="00343885">
        <w:rPr>
          <w:rFonts w:ascii="Times New Roman" w:hAnsi="Times New Roman" w:cs="Times New Roman"/>
          <w:sz w:val="24"/>
          <w:szCs w:val="24"/>
        </w:rPr>
        <w:t>. Similarly, 24 plates (in duplicates) were prepared for the Electron Beam Irradiation (including one non-irradiated control). Then the plates were exposed to 0.5, 1.0, 1.5, 2.0, 2.5, 5, 7.5, 10, 20, 30 and 40kGy. Similarly, oxy-tetracycline was also serially diluted in the 96-MTP and exposed to the 10, 20, 30, and 40kGy (Figure 1)</w:t>
      </w:r>
      <w:r w:rsidRPr="00343885">
        <w:rPr>
          <w:rStyle w:val="Emphasis"/>
          <w:rFonts w:ascii="Times New Roman" w:hAnsi="Times New Roman" w:cs="Times New Roman"/>
          <w:b/>
          <w:bCs/>
          <w:color w:val="0E101A"/>
          <w:sz w:val="24"/>
          <w:szCs w:val="24"/>
        </w:rPr>
        <w:t>. </w:t>
      </w:r>
    </w:p>
    <w:p w14:paraId="55DB5219" w14:textId="0E3EEE5F" w:rsidR="00CD4EC6" w:rsidRPr="00343885" w:rsidRDefault="00F033E4" w:rsidP="00343885">
      <w:pPr>
        <w:spacing w:line="360" w:lineRule="auto"/>
        <w:jc w:val="both"/>
        <w:rPr>
          <w:rFonts w:ascii="Times New Roman" w:hAnsi="Times New Roman" w:cs="Times New Roman"/>
          <w:sz w:val="24"/>
          <w:szCs w:val="24"/>
        </w:rPr>
      </w:pPr>
      <w:r w:rsidRPr="00343885">
        <w:rPr>
          <w:rStyle w:val="Emphasis"/>
          <w:rFonts w:ascii="Times New Roman" w:hAnsi="Times New Roman" w:cs="Times New Roman"/>
          <w:b/>
          <w:bCs/>
          <w:color w:val="0E101A"/>
          <w:sz w:val="24"/>
          <w:szCs w:val="24"/>
        </w:rPr>
        <w:t>Agar well diffusion assay:</w:t>
      </w:r>
      <w:r w:rsidRPr="00343885">
        <w:rPr>
          <w:rFonts w:ascii="Times New Roman" w:hAnsi="Times New Roman" w:cs="Times New Roman"/>
          <w:sz w:val="24"/>
          <w:szCs w:val="24"/>
        </w:rPr>
        <w:t xml:space="preserve">    Antibacterial activity was carried out per the standard well diffusion method CLSI (2014). Here, multiple drug-resistant bacteria were used to assess the antibacterial activity, </w:t>
      </w:r>
      <w:r w:rsidRPr="00343885">
        <w:rPr>
          <w:rFonts w:ascii="Times New Roman" w:hAnsi="Times New Roman" w:cs="Times New Roman"/>
          <w:i/>
          <w:iCs/>
          <w:sz w:val="24"/>
          <w:szCs w:val="24"/>
        </w:rPr>
        <w:t>viz.,</w:t>
      </w:r>
      <w:r w:rsidRPr="00343885">
        <w:rPr>
          <w:rFonts w:ascii="Times New Roman" w:hAnsi="Times New Roman" w:cs="Times New Roman"/>
          <w:sz w:val="24"/>
          <w:szCs w:val="24"/>
        </w:rPr>
        <w:t xml:space="preserve"> Methicillin-Resistant</w:t>
      </w:r>
      <w:r w:rsidRPr="00343885">
        <w:rPr>
          <w:rStyle w:val="Emphasis"/>
          <w:rFonts w:ascii="Times New Roman" w:hAnsi="Times New Roman" w:cs="Times New Roman"/>
          <w:color w:val="0E101A"/>
          <w:sz w:val="24"/>
          <w:szCs w:val="24"/>
        </w:rPr>
        <w:t> Staphylococcus aureus </w:t>
      </w:r>
      <w:r w:rsidRPr="00343885">
        <w:rPr>
          <w:rFonts w:ascii="Times New Roman" w:hAnsi="Times New Roman" w:cs="Times New Roman"/>
          <w:sz w:val="24"/>
          <w:szCs w:val="24"/>
        </w:rPr>
        <w:t>(ATCC 43300). The MRSA culture was inoculated in the BHI broth and incubated at 35</w:t>
      </w:r>
      <w:r w:rsidRPr="00343885">
        <w:rPr>
          <w:rFonts w:ascii="Times New Roman" w:hAnsi="Times New Roman" w:cs="Times New Roman"/>
          <w:sz w:val="24"/>
          <w:szCs w:val="24"/>
          <w:vertAlign w:val="superscript"/>
        </w:rPr>
        <w:t>o</w:t>
      </w:r>
      <w:r w:rsidRPr="00343885">
        <w:rPr>
          <w:rFonts w:ascii="Times New Roman" w:hAnsi="Times New Roman" w:cs="Times New Roman"/>
          <w:sz w:val="24"/>
          <w:szCs w:val="24"/>
        </w:rPr>
        <w:t xml:space="preserve">C for 2-4 hr. The culture was added into sterile normal saline until the turbidity reached 0.5 McFarland. Here for the plate preparation, a 200mm diameter Petri dish was used to accommodate the </w:t>
      </w:r>
      <w:r w:rsidR="00E83845" w:rsidRPr="00343885">
        <w:rPr>
          <w:rFonts w:ascii="Times New Roman" w:hAnsi="Times New Roman" w:cs="Times New Roman"/>
          <w:sz w:val="24"/>
          <w:szCs w:val="24"/>
        </w:rPr>
        <w:t>12</w:t>
      </w:r>
      <w:r w:rsidR="00E83845">
        <w:rPr>
          <w:rFonts w:ascii="Times New Roman" w:hAnsi="Times New Roman" w:cs="Times New Roman"/>
          <w:sz w:val="24"/>
          <w:szCs w:val="24"/>
        </w:rPr>
        <w:t>-</w:t>
      </w:r>
      <w:r w:rsidRPr="00343885">
        <w:rPr>
          <w:rFonts w:ascii="Times New Roman" w:hAnsi="Times New Roman" w:cs="Times New Roman"/>
          <w:sz w:val="24"/>
          <w:szCs w:val="24"/>
        </w:rPr>
        <w:t>well</w:t>
      </w:r>
      <w:r w:rsidR="00FF4401" w:rsidRPr="00343885">
        <w:rPr>
          <w:rFonts w:ascii="Times New Roman" w:hAnsi="Times New Roman" w:cs="Times New Roman"/>
          <w:sz w:val="24"/>
          <w:szCs w:val="24"/>
        </w:rPr>
        <w:t xml:space="preserve"> </w:t>
      </w:r>
      <w:r w:rsidR="00B92B20" w:rsidRPr="00343885">
        <w:rPr>
          <w:rFonts w:ascii="Times New Roman" w:hAnsi="Times New Roman" w:cs="Times New Roman"/>
          <w:sz w:val="24"/>
          <w:szCs w:val="24"/>
        </w:rPr>
        <w:fldChar w:fldCharType="begin"/>
      </w:r>
      <w:r w:rsidR="000532B0">
        <w:rPr>
          <w:rFonts w:ascii="Times New Roman" w:hAnsi="Times New Roman" w:cs="Times New Roman"/>
          <w:sz w:val="24"/>
          <w:szCs w:val="24"/>
        </w:rPr>
        <w:instrText xml:space="preserve"> ADDIN ZOTERO_ITEM CSL_CITATION {"citationID":"UXpVtBaX","properties":{"formattedCitation":"\\super 10\\nosupersub{}","plainCitation":"10","noteIndex":0},"citationItems":[{"id":77,"uris":["http://zotero.org/users/16304525/items/ZFDYW9KN"],"itemData":{"id":77,"type":"article-journal","abstract":"ZnO-Nanoparticle-Chitosan (ZnO-NP-CH) composite has potential biomedical and food applications due to its better antimicrobial activity. However, the presence of nano-metal-oxide in the composite makes the material unsuitable for any food applications. Moreover, the cost involved in the preparation of Zinc Oxide-Nano-Particle (ZnO-NP) is a major limitation for commercial food applications. Hence a suitable alternative for ZnO-NP is highly needed for food application. Since ZnO-Bulk Particles (ZnO-BP) are food grade and there is no study on the composite prepared from ZnO-Bulk Particle-Chitosan (ZnO-BP-CH), in the present study, antimicrobial activity was assessed for ZnO-BP-CH and compared with ZnO-NP-CH. Based on the study, it was observed that in the individual form of ZnO-NP possessed significantly higher antimicrobial activity than ZnO-BP. The composite form of ZnO-NP-CH and ZnO-BP-CH possessed higher antimicrobial activity than chitosan. However, no significant difference was observed between the composite forms. Hence, ZnO-BP-CH could be recommended as a suitable alternative to ZnO-NP-CH for future studies related to chitosan with ZnO composite to avoid costly nanomaterials preparation.","container-title":"FEMS Microbiology Letters","DOI":"10.1093/femsle/fnaa210","ISSN":"1574-6968","issue":"1","language":"en","license":"https://academic.oup.com/journals/pages/open_access/funder_policies/chorus/standard_publication_model","page":"fnaa210","source":"DOI.org (Crossref)","title":"Food grade zinc oxide bulk particle composite can replace the toxic zinc oxide nano composite towards the control of pathogenic and spoilage bacteria","volume":"368","author":[{"family":"Visnuvinayagam","given":"S"},{"family":"Murthy","given":"L N"},{"family":"Parvathy","given":"U"},{"family":"Jeyakumari","given":"A"},{"family":"Sivaraman","given":"G K"},{"family":"Karthikeyan","given":"D"}],"issued":{"date-parts":[["2021",1,26]]}}}],"schema":"https://github.com/citation-style-language/schema/raw/master/csl-citation.json"} </w:instrText>
      </w:r>
      <w:r w:rsidR="00B92B20" w:rsidRPr="00343885">
        <w:rPr>
          <w:rFonts w:ascii="Times New Roman" w:hAnsi="Times New Roman" w:cs="Times New Roman"/>
          <w:sz w:val="24"/>
          <w:szCs w:val="24"/>
        </w:rPr>
        <w:fldChar w:fldCharType="separate"/>
      </w:r>
      <w:r w:rsidR="000532B0" w:rsidRPr="000532B0">
        <w:rPr>
          <w:rFonts w:ascii="Times New Roman" w:hAnsi="Times New Roman" w:cs="Times New Roman"/>
          <w:sz w:val="24"/>
          <w:vertAlign w:val="superscript"/>
        </w:rPr>
        <w:t>10</w:t>
      </w:r>
      <w:r w:rsidR="00B92B20" w:rsidRPr="00343885">
        <w:rPr>
          <w:rFonts w:ascii="Times New Roman" w:hAnsi="Times New Roman" w:cs="Times New Roman"/>
          <w:sz w:val="24"/>
          <w:szCs w:val="24"/>
        </w:rPr>
        <w:fldChar w:fldCharType="end"/>
      </w:r>
      <w:r w:rsidRPr="00343885">
        <w:rPr>
          <w:rFonts w:ascii="Times New Roman" w:hAnsi="Times New Roman" w:cs="Times New Roman"/>
          <w:sz w:val="24"/>
          <w:szCs w:val="24"/>
        </w:rPr>
        <w:t xml:space="preserve">. Then after the plate preparation, 5-6 mm diameter size wells were created using a cork borer (LA 373, </w:t>
      </w:r>
      <w:r w:rsidR="0012706A" w:rsidRPr="00343885">
        <w:rPr>
          <w:rFonts w:ascii="Times New Roman" w:hAnsi="Times New Roman" w:cs="Times New Roman"/>
          <w:sz w:val="24"/>
          <w:szCs w:val="24"/>
        </w:rPr>
        <w:t>HiMedia</w:t>
      </w:r>
      <w:r w:rsidRPr="00343885">
        <w:rPr>
          <w:rFonts w:ascii="Times New Roman" w:hAnsi="Times New Roman" w:cs="Times New Roman"/>
          <w:sz w:val="24"/>
          <w:szCs w:val="24"/>
        </w:rPr>
        <w:t xml:space="preserve">). A sterile 1% molten agar was added to the well to avoid the leakage of the material. Then a cotton swab (sterile) was immersed in 0.5 </w:t>
      </w:r>
      <w:r w:rsidR="00D80642" w:rsidRPr="00343885">
        <w:rPr>
          <w:rFonts w:ascii="Times New Roman" w:hAnsi="Times New Roman" w:cs="Times New Roman"/>
          <w:sz w:val="24"/>
          <w:szCs w:val="24"/>
        </w:rPr>
        <w:t>McFarland</w:t>
      </w:r>
      <w:r w:rsidRPr="00343885">
        <w:rPr>
          <w:rFonts w:ascii="Times New Roman" w:hAnsi="Times New Roman" w:cs="Times New Roman"/>
          <w:sz w:val="24"/>
          <w:szCs w:val="24"/>
        </w:rPr>
        <w:t xml:space="preserve"> adjusted MRSA culture and spread over the culture. The irradiated 96-MTP was opened in sterile </w:t>
      </w:r>
      <w:r w:rsidR="00D80642" w:rsidRPr="00343885">
        <w:rPr>
          <w:rFonts w:ascii="Times New Roman" w:hAnsi="Times New Roman" w:cs="Times New Roman"/>
          <w:sz w:val="24"/>
          <w:szCs w:val="24"/>
        </w:rPr>
        <w:t>conditions</w:t>
      </w:r>
      <w:r w:rsidRPr="00343885">
        <w:rPr>
          <w:rFonts w:ascii="Times New Roman" w:hAnsi="Times New Roman" w:cs="Times New Roman"/>
          <w:sz w:val="24"/>
          <w:szCs w:val="24"/>
        </w:rPr>
        <w:t xml:space="preserve">, and 100µl was taken from each well, added to each well, and appropriately </w:t>
      </w:r>
      <w:r w:rsidR="001D1646" w:rsidRPr="00343885">
        <w:rPr>
          <w:rFonts w:ascii="Times New Roman" w:hAnsi="Times New Roman" w:cs="Times New Roman"/>
          <w:sz w:val="24"/>
          <w:szCs w:val="24"/>
        </w:rPr>
        <w:t>labelled</w:t>
      </w:r>
      <w:r w:rsidRPr="00343885">
        <w:rPr>
          <w:rFonts w:ascii="Times New Roman" w:hAnsi="Times New Roman" w:cs="Times New Roman"/>
          <w:sz w:val="24"/>
          <w:szCs w:val="24"/>
        </w:rPr>
        <w:t>. Then the plate was incubated at 35</w:t>
      </w:r>
      <w:r w:rsidRPr="00343885">
        <w:rPr>
          <w:rFonts w:ascii="Times New Roman" w:hAnsi="Times New Roman" w:cs="Times New Roman"/>
          <w:sz w:val="24"/>
          <w:szCs w:val="24"/>
          <w:vertAlign w:val="superscript"/>
        </w:rPr>
        <w:t>o</w:t>
      </w:r>
      <w:r w:rsidRPr="00343885">
        <w:rPr>
          <w:rFonts w:ascii="Times New Roman" w:hAnsi="Times New Roman" w:cs="Times New Roman"/>
          <w:sz w:val="24"/>
          <w:szCs w:val="24"/>
        </w:rPr>
        <w:t>C overnight. The zone of inhibition was measured using the scale (</w:t>
      </w:r>
      <w:r w:rsidR="0012706A" w:rsidRPr="00343885">
        <w:rPr>
          <w:rFonts w:ascii="Times New Roman" w:hAnsi="Times New Roman" w:cs="Times New Roman"/>
          <w:sz w:val="24"/>
          <w:szCs w:val="24"/>
        </w:rPr>
        <w:t>HiMedia</w:t>
      </w:r>
      <w:r w:rsidRPr="00343885">
        <w:rPr>
          <w:rFonts w:ascii="Times New Roman" w:hAnsi="Times New Roman" w:cs="Times New Roman"/>
          <w:sz w:val="24"/>
          <w:szCs w:val="24"/>
        </w:rPr>
        <w:t>, Mumbai) (Figures 2, 3 &amp;4). </w:t>
      </w:r>
    </w:p>
    <w:p w14:paraId="59E960F9" w14:textId="77777777" w:rsidR="00224E91" w:rsidRPr="00343885" w:rsidRDefault="00F033E4" w:rsidP="00343885">
      <w:pPr>
        <w:pStyle w:val="ListParagraph"/>
        <w:spacing w:after="0" w:line="360" w:lineRule="auto"/>
        <w:ind w:left="0"/>
        <w:jc w:val="both"/>
        <w:rPr>
          <w:rFonts w:ascii="Times New Roman" w:hAnsi="Times New Roman" w:cs="Times New Roman"/>
          <w:b/>
          <w:sz w:val="24"/>
          <w:szCs w:val="24"/>
        </w:rPr>
      </w:pPr>
      <w:r w:rsidRPr="00343885">
        <w:rPr>
          <w:rFonts w:ascii="Times New Roman" w:hAnsi="Times New Roman" w:cs="Times New Roman"/>
          <w:b/>
          <w:sz w:val="24"/>
          <w:szCs w:val="24"/>
        </w:rPr>
        <w:t>EBI on the 20 different antibiotics in the paper disc:</w:t>
      </w:r>
    </w:p>
    <w:p w14:paraId="7308B303" w14:textId="2B328578" w:rsidR="0023723C" w:rsidRPr="00343885" w:rsidRDefault="00F033E4" w:rsidP="00343885">
      <w:pPr>
        <w:pStyle w:val="NormalWeb"/>
        <w:spacing w:before="0" w:beforeAutospacing="0" w:after="0" w:afterAutospacing="0" w:line="360" w:lineRule="auto"/>
        <w:jc w:val="both"/>
        <w:rPr>
          <w:color w:val="0E101A"/>
        </w:rPr>
      </w:pPr>
      <w:r w:rsidRPr="00343885">
        <w:rPr>
          <w:color w:val="0E101A"/>
        </w:rPr>
        <w:t xml:space="preserve">Each Icosa disc was aseptically transferred into the sterile polypropylene bags and directly exposed to varying doses of EBI, </w:t>
      </w:r>
      <w:r w:rsidRPr="00343885">
        <w:rPr>
          <w:i/>
          <w:iCs/>
          <w:color w:val="0E101A"/>
        </w:rPr>
        <w:t>i.e.,</w:t>
      </w:r>
      <w:r w:rsidRPr="00343885">
        <w:rPr>
          <w:color w:val="0E101A"/>
        </w:rPr>
        <w:t xml:space="preserve"> 0.5, 1.0, 1.5, and 2.0 kGy. After EBI, all the discs were kept in the </w:t>
      </w:r>
      <w:r w:rsidRPr="00343885">
        <w:rPr>
          <w:color w:val="0E101A"/>
        </w:rPr>
        <w:lastRenderedPageBreak/>
        <w:t xml:space="preserve">20mm </w:t>
      </w:r>
      <w:proofErr w:type="spellStart"/>
      <w:r w:rsidRPr="00343885">
        <w:rPr>
          <w:color w:val="0E101A"/>
        </w:rPr>
        <w:t>preset</w:t>
      </w:r>
      <w:proofErr w:type="spellEnd"/>
      <w:r w:rsidRPr="00343885">
        <w:rPr>
          <w:color w:val="0E101A"/>
        </w:rPr>
        <w:t xml:space="preserve"> </w:t>
      </w:r>
      <w:r w:rsidR="00E83845" w:rsidRPr="00343885">
        <w:rPr>
          <w:color w:val="0E101A"/>
        </w:rPr>
        <w:t>Mueller</w:t>
      </w:r>
      <w:r w:rsidR="00E83845">
        <w:rPr>
          <w:color w:val="0E101A"/>
        </w:rPr>
        <w:t>-</w:t>
      </w:r>
      <w:r w:rsidRPr="00343885">
        <w:rPr>
          <w:color w:val="0E101A"/>
        </w:rPr>
        <w:t>Hinton agar plates spread with 0.5 McFarland culture of </w:t>
      </w:r>
      <w:r w:rsidRPr="00343885">
        <w:rPr>
          <w:rStyle w:val="Emphasis"/>
          <w:color w:val="0E101A"/>
        </w:rPr>
        <w:t>S. aureus</w:t>
      </w:r>
      <w:r w:rsidRPr="00343885">
        <w:rPr>
          <w:color w:val="0E101A"/>
        </w:rPr>
        <w:t> and </w:t>
      </w:r>
      <w:r w:rsidRPr="00343885">
        <w:rPr>
          <w:rStyle w:val="Emphasis"/>
          <w:color w:val="0E101A"/>
        </w:rPr>
        <w:t>E. coli</w:t>
      </w:r>
      <w:r w:rsidRPr="00343885">
        <w:rPr>
          <w:color w:val="0E101A"/>
        </w:rPr>
        <w:t>. </w:t>
      </w:r>
    </w:p>
    <w:p w14:paraId="2FC864F0" w14:textId="7B401CB1" w:rsidR="0023723C" w:rsidRPr="00343885" w:rsidRDefault="00F033E4" w:rsidP="00343885">
      <w:pPr>
        <w:pStyle w:val="NormalWeb"/>
        <w:spacing w:before="0" w:beforeAutospacing="0" w:after="0" w:afterAutospacing="0" w:line="360" w:lineRule="auto"/>
        <w:jc w:val="both"/>
        <w:rPr>
          <w:color w:val="0E101A"/>
        </w:rPr>
      </w:pPr>
      <w:r w:rsidRPr="00343885">
        <w:rPr>
          <w:color w:val="0E101A"/>
        </w:rPr>
        <w:t>For gram-positive and negative Icosa disc, bacteria </w:t>
      </w:r>
      <w:r w:rsidRPr="00343885">
        <w:rPr>
          <w:rStyle w:val="Emphasis"/>
          <w:color w:val="0E101A"/>
        </w:rPr>
        <w:t>Staphylococcus aureus</w:t>
      </w:r>
      <w:r w:rsidRPr="00343885">
        <w:rPr>
          <w:color w:val="0E101A"/>
        </w:rPr>
        <w:t> and </w:t>
      </w:r>
      <w:r w:rsidRPr="00343885">
        <w:rPr>
          <w:rStyle w:val="Emphasis"/>
          <w:color w:val="0E101A"/>
        </w:rPr>
        <w:t>Escherichia coli</w:t>
      </w:r>
      <w:r w:rsidRPr="00343885">
        <w:rPr>
          <w:color w:val="0E101A"/>
        </w:rPr>
        <w:t xml:space="preserve"> were used, respectively. Each Icosa disc was aseptically transferred into the sterile polypropylene bags and directly exposed to different doses of EBI, i. e., 0.5, 1.0, 1.5, and 2.0 kGy. After EBI, all the discs were kept in the 20mm </w:t>
      </w:r>
      <w:proofErr w:type="spellStart"/>
      <w:r w:rsidRPr="00343885">
        <w:rPr>
          <w:color w:val="0E101A"/>
        </w:rPr>
        <w:t>preset</w:t>
      </w:r>
      <w:proofErr w:type="spellEnd"/>
      <w:r w:rsidRPr="00343885">
        <w:rPr>
          <w:color w:val="0E101A"/>
        </w:rPr>
        <w:t xml:space="preserve"> </w:t>
      </w:r>
      <w:r w:rsidR="00E83845" w:rsidRPr="00343885">
        <w:rPr>
          <w:color w:val="0E101A"/>
        </w:rPr>
        <w:t>Mueller</w:t>
      </w:r>
      <w:r w:rsidR="00E83845">
        <w:rPr>
          <w:color w:val="0E101A"/>
        </w:rPr>
        <w:t>-</w:t>
      </w:r>
      <w:r w:rsidRPr="00343885">
        <w:rPr>
          <w:color w:val="0E101A"/>
        </w:rPr>
        <w:t>Hinton agar plates spread with 0.5 McFarland culture of </w:t>
      </w:r>
      <w:r w:rsidRPr="00343885">
        <w:rPr>
          <w:rStyle w:val="Emphasis"/>
          <w:color w:val="0E101A"/>
        </w:rPr>
        <w:t>S. aureus</w:t>
      </w:r>
      <w:r w:rsidRPr="00343885">
        <w:rPr>
          <w:color w:val="0E101A"/>
        </w:rPr>
        <w:t> and </w:t>
      </w:r>
      <w:r w:rsidRPr="00343885">
        <w:rPr>
          <w:rStyle w:val="Emphasis"/>
          <w:color w:val="0E101A"/>
        </w:rPr>
        <w:t>E. coli</w:t>
      </w:r>
      <w:r w:rsidRPr="00343885">
        <w:rPr>
          <w:color w:val="0E101A"/>
        </w:rPr>
        <w:t>. </w:t>
      </w:r>
    </w:p>
    <w:p w14:paraId="35D525ED" w14:textId="77777777" w:rsidR="0023723C" w:rsidRPr="00343885" w:rsidRDefault="00F033E4" w:rsidP="00343885">
      <w:pPr>
        <w:pStyle w:val="NormalWeb"/>
        <w:spacing w:before="0" w:beforeAutospacing="0" w:after="0" w:afterAutospacing="0" w:line="360" w:lineRule="auto"/>
        <w:jc w:val="both"/>
        <w:rPr>
          <w:color w:val="0E101A"/>
        </w:rPr>
      </w:pPr>
      <w:r w:rsidRPr="00343885">
        <w:rPr>
          <w:rStyle w:val="Strong"/>
          <w:color w:val="0E101A"/>
        </w:rPr>
        <w:t> </w:t>
      </w:r>
    </w:p>
    <w:p w14:paraId="4D1CCDAA" w14:textId="42561227" w:rsidR="0023723C" w:rsidRPr="00343885" w:rsidRDefault="00F033E4" w:rsidP="00343885">
      <w:pPr>
        <w:pStyle w:val="NormalWeb"/>
        <w:spacing w:before="0" w:beforeAutospacing="0" w:after="0" w:afterAutospacing="0" w:line="360" w:lineRule="auto"/>
        <w:jc w:val="both"/>
        <w:rPr>
          <w:color w:val="0E101A"/>
        </w:rPr>
      </w:pPr>
      <w:r w:rsidRPr="00343885">
        <w:rPr>
          <w:color w:val="0E101A"/>
        </w:rPr>
        <w:t xml:space="preserve">In the present study, the antibiotic concentration varied from 10µg to 30µg, and four different doses of EBI, </w:t>
      </w:r>
      <w:r w:rsidRPr="00343885">
        <w:rPr>
          <w:i/>
          <w:iCs/>
          <w:color w:val="0E101A"/>
        </w:rPr>
        <w:t>i.e.</w:t>
      </w:r>
      <w:r w:rsidRPr="00343885">
        <w:rPr>
          <w:color w:val="0E101A"/>
        </w:rPr>
        <w:t>, 0.5, 1.0, 1.5, and 2.0 kGy, were selected. One untreated control antibiotic disc was also used for comparison. Readymade impregnated discs for gram-positive bacteria (</w:t>
      </w:r>
      <w:r w:rsidR="0012706A" w:rsidRPr="00343885">
        <w:rPr>
          <w:color w:val="0E101A"/>
        </w:rPr>
        <w:t>HiMedia</w:t>
      </w:r>
      <w:r w:rsidRPr="00343885">
        <w:rPr>
          <w:color w:val="0E101A"/>
        </w:rPr>
        <w:t>- ICOO2) and gram-negative bacteria (</w:t>
      </w:r>
      <w:r w:rsidR="0012706A" w:rsidRPr="00343885">
        <w:rPr>
          <w:color w:val="0E101A"/>
        </w:rPr>
        <w:t>HiMedia</w:t>
      </w:r>
      <w:r w:rsidRPr="00343885">
        <w:rPr>
          <w:color w:val="0E101A"/>
        </w:rPr>
        <w:t xml:space="preserve"> - IC008) were used for the study. For gram-positive and negative Icosa disc, bacteria </w:t>
      </w:r>
      <w:r w:rsidRPr="00343885">
        <w:rPr>
          <w:rStyle w:val="Emphasis"/>
          <w:color w:val="0E101A"/>
        </w:rPr>
        <w:t>Staphylococcus aureus</w:t>
      </w:r>
      <w:r w:rsidRPr="00343885">
        <w:rPr>
          <w:color w:val="0E101A"/>
        </w:rPr>
        <w:t> and </w:t>
      </w:r>
      <w:r w:rsidRPr="00343885">
        <w:rPr>
          <w:rStyle w:val="Emphasis"/>
          <w:color w:val="0E101A"/>
        </w:rPr>
        <w:t>Escherichia coli</w:t>
      </w:r>
      <w:r w:rsidRPr="00343885">
        <w:rPr>
          <w:color w:val="0E101A"/>
        </w:rPr>
        <w:t> were used, respectively. Each Icosa disc was aseptically transferred into the sterile polypropylene bags and directly exposed to different doses of EBI, i. e., 0.5, 1.0, 1.5, and 2.0 kGy. After EBI, all the discs were kept in the 200mm preset Mueller Hinton agar plates spread with 0.5 Mc Farland culture of </w:t>
      </w:r>
      <w:r w:rsidRPr="00343885">
        <w:rPr>
          <w:rStyle w:val="Emphasis"/>
          <w:color w:val="0E101A"/>
        </w:rPr>
        <w:t>S. aureus</w:t>
      </w:r>
      <w:r w:rsidRPr="00343885">
        <w:rPr>
          <w:color w:val="0E101A"/>
        </w:rPr>
        <w:t> (Figure 5) and </w:t>
      </w:r>
      <w:r w:rsidRPr="00343885">
        <w:rPr>
          <w:rStyle w:val="Emphasis"/>
          <w:color w:val="0E101A"/>
        </w:rPr>
        <w:t>E. coli </w:t>
      </w:r>
      <w:r w:rsidRPr="00343885">
        <w:rPr>
          <w:color w:val="0E101A"/>
        </w:rPr>
        <w:t>(Figure 6). </w:t>
      </w:r>
    </w:p>
    <w:p w14:paraId="650AC10E" w14:textId="77777777" w:rsidR="0023723C" w:rsidRPr="00343885" w:rsidRDefault="00F033E4" w:rsidP="00343885">
      <w:pPr>
        <w:pStyle w:val="NormalWeb"/>
        <w:spacing w:before="0" w:beforeAutospacing="0" w:after="0" w:afterAutospacing="0" w:line="360" w:lineRule="auto"/>
        <w:jc w:val="both"/>
        <w:rPr>
          <w:color w:val="0E101A"/>
        </w:rPr>
      </w:pPr>
      <w:r w:rsidRPr="00343885">
        <w:rPr>
          <w:color w:val="0E101A"/>
        </w:rPr>
        <w:t> </w:t>
      </w:r>
    </w:p>
    <w:p w14:paraId="689D2F2B" w14:textId="77777777" w:rsidR="00224E91" w:rsidRPr="00343885" w:rsidRDefault="00224E91" w:rsidP="00343885">
      <w:pPr>
        <w:pStyle w:val="ListParagraph"/>
        <w:spacing w:after="0" w:line="360" w:lineRule="auto"/>
        <w:ind w:left="0"/>
        <w:jc w:val="both"/>
        <w:rPr>
          <w:rFonts w:ascii="Times New Roman" w:hAnsi="Times New Roman" w:cs="Times New Roman"/>
          <w:sz w:val="24"/>
          <w:szCs w:val="24"/>
        </w:rPr>
      </w:pPr>
    </w:p>
    <w:p w14:paraId="712772D7" w14:textId="77777777" w:rsidR="00E36369" w:rsidRPr="00343885" w:rsidRDefault="00F033E4" w:rsidP="00343885">
      <w:pPr>
        <w:spacing w:line="360" w:lineRule="auto"/>
        <w:jc w:val="both"/>
        <w:rPr>
          <w:rFonts w:ascii="Times New Roman" w:hAnsi="Times New Roman" w:cs="Times New Roman"/>
          <w:b/>
          <w:sz w:val="24"/>
          <w:szCs w:val="24"/>
        </w:rPr>
      </w:pPr>
      <w:r w:rsidRPr="00343885">
        <w:rPr>
          <w:rFonts w:ascii="Times New Roman" w:hAnsi="Times New Roman" w:cs="Times New Roman"/>
          <w:b/>
          <w:sz w:val="24"/>
          <w:szCs w:val="24"/>
        </w:rPr>
        <w:t>RESULT AND DISCUSSION:</w:t>
      </w:r>
    </w:p>
    <w:p w14:paraId="06812697" w14:textId="6599A28B" w:rsidR="001036FB" w:rsidRPr="00343885" w:rsidRDefault="00F033E4" w:rsidP="00343885">
      <w:pPr>
        <w:spacing w:line="360" w:lineRule="auto"/>
        <w:jc w:val="both"/>
        <w:rPr>
          <w:rFonts w:ascii="Times New Roman" w:hAnsi="Times New Roman" w:cs="Times New Roman"/>
          <w:sz w:val="24"/>
          <w:szCs w:val="24"/>
          <w:shd w:val="clear" w:color="auto" w:fill="FFFFFF"/>
        </w:rPr>
      </w:pPr>
      <w:r w:rsidRPr="00343885">
        <w:rPr>
          <w:rFonts w:ascii="Times New Roman" w:hAnsi="Times New Roman" w:cs="Times New Roman"/>
          <w:sz w:val="24"/>
          <w:szCs w:val="24"/>
          <w:shd w:val="clear" w:color="auto" w:fill="FFFFFF"/>
        </w:rPr>
        <w:t xml:space="preserve">Most scientists worldwide are searching for an effective strategy to lessen the threat of antibiotic resistance. The Electron Beam irradiation technique (EBIT) is unperceived because of the prodigious application of gamma irradiation (GI). Most researchers are unaware of EBI due to the limited number of facilities worldwide due to overpriced capital investment and the higher maintenance cost. In the case of Gamma irradiation (GI), a moderate investment with economic </w:t>
      </w:r>
      <w:r w:rsidRPr="00343885">
        <w:rPr>
          <w:rFonts w:ascii="Times New Roman" w:hAnsi="Times New Roman" w:cs="Times New Roman"/>
          <w:color w:val="000000" w:themeColor="text1"/>
          <w:sz w:val="24"/>
          <w:szCs w:val="24"/>
          <w:shd w:val="clear" w:color="auto" w:fill="FFFFFF"/>
        </w:rPr>
        <w:t xml:space="preserve">processing cost is required. </w:t>
      </w:r>
      <w:r w:rsidR="008A6741" w:rsidRPr="00343885">
        <w:rPr>
          <w:rFonts w:ascii="Times New Roman" w:hAnsi="Times New Roman" w:cs="Times New Roman"/>
          <w:color w:val="000000" w:themeColor="text1"/>
          <w:sz w:val="24"/>
          <w:szCs w:val="24"/>
          <w:shd w:val="clear" w:color="auto" w:fill="FFFFFF"/>
        </w:rPr>
        <w:t>But, t</w:t>
      </w:r>
      <w:r w:rsidRPr="00343885">
        <w:rPr>
          <w:rFonts w:ascii="Times New Roman" w:hAnsi="Times New Roman" w:cs="Times New Roman"/>
          <w:color w:val="000000" w:themeColor="text1"/>
          <w:sz w:val="24"/>
          <w:szCs w:val="24"/>
          <w:shd w:val="clear" w:color="auto" w:fill="FFFFFF"/>
        </w:rPr>
        <w:t>o set up a 5MeV Electron Beam Irradiat</w:t>
      </w:r>
      <w:r w:rsidR="000E5786" w:rsidRPr="00343885">
        <w:rPr>
          <w:rFonts w:ascii="Times New Roman" w:hAnsi="Times New Roman" w:cs="Times New Roman"/>
          <w:color w:val="000000" w:themeColor="text1"/>
          <w:sz w:val="24"/>
          <w:szCs w:val="24"/>
          <w:shd w:val="clear" w:color="auto" w:fill="FFFFFF"/>
        </w:rPr>
        <w:t>ion Facility (EBIF), nearly 150</w:t>
      </w:r>
      <w:r w:rsidRPr="00343885">
        <w:rPr>
          <w:rFonts w:ascii="Times New Roman" w:hAnsi="Times New Roman" w:cs="Times New Roman"/>
          <w:color w:val="000000" w:themeColor="text1"/>
          <w:sz w:val="24"/>
          <w:szCs w:val="24"/>
          <w:shd w:val="clear" w:color="auto" w:fill="FFFFFF"/>
        </w:rPr>
        <w:t xml:space="preserve"> million Indian rupees are required.   Until 2000, In In</w:t>
      </w:r>
      <w:r w:rsidR="00090BAE" w:rsidRPr="00343885">
        <w:rPr>
          <w:rFonts w:ascii="Times New Roman" w:hAnsi="Times New Roman" w:cs="Times New Roman"/>
          <w:color w:val="000000" w:themeColor="text1"/>
          <w:sz w:val="24"/>
          <w:szCs w:val="24"/>
          <w:shd w:val="clear" w:color="auto" w:fill="FFFFFF"/>
        </w:rPr>
        <w:t>dia, only BRIT (a Unit of DAE</w:t>
      </w:r>
      <w:r w:rsidRPr="00343885">
        <w:rPr>
          <w:rFonts w:ascii="Times New Roman" w:hAnsi="Times New Roman" w:cs="Times New Roman"/>
          <w:color w:val="000000" w:themeColor="text1"/>
          <w:sz w:val="24"/>
          <w:szCs w:val="24"/>
          <w:shd w:val="clear" w:color="auto" w:fill="FFFFFF"/>
        </w:rPr>
        <w:t>) has a facility in Navi Mumbai for various research and commercial purposes, including food</w:t>
      </w:r>
      <w:r w:rsidR="00E64F19" w:rsidRPr="00343885">
        <w:rPr>
          <w:rFonts w:ascii="Times New Roman" w:hAnsi="Times New Roman" w:cs="Times New Roman"/>
          <w:color w:val="000000" w:themeColor="text1"/>
          <w:sz w:val="24"/>
          <w:szCs w:val="24"/>
          <w:shd w:val="clear" w:color="auto" w:fill="FFFFFF"/>
        </w:rPr>
        <w:t xml:space="preserve"> </w:t>
      </w:r>
      <w:r w:rsidR="00B92B20" w:rsidRPr="00343885">
        <w:rPr>
          <w:rFonts w:ascii="Times New Roman" w:hAnsi="Times New Roman" w:cs="Times New Roman"/>
          <w:color w:val="000000" w:themeColor="text1"/>
          <w:sz w:val="24"/>
          <w:szCs w:val="24"/>
          <w:shd w:val="clear" w:color="auto" w:fill="FFFFFF"/>
        </w:rPr>
        <w:fldChar w:fldCharType="begin"/>
      </w:r>
      <w:r w:rsidR="000532B0">
        <w:rPr>
          <w:rFonts w:ascii="Times New Roman" w:hAnsi="Times New Roman" w:cs="Times New Roman"/>
          <w:color w:val="000000" w:themeColor="text1"/>
          <w:sz w:val="24"/>
          <w:szCs w:val="24"/>
          <w:shd w:val="clear" w:color="auto" w:fill="FFFFFF"/>
        </w:rPr>
        <w:instrText xml:space="preserve"> ADDIN ZOTERO_ITEM CSL_CITATION {"citationID":"eeHwUHP8","properties":{"formattedCitation":"\\super 11\\nosupersub{}","plainCitation":"11","noteIndex":0},"citationItems":[{"id":"AXwEQWfZ/lC0Zll8H","uris":["http://zotero.org/users/local/42Ekf4cZ/items/CDQ5QVQE"],"itemData":{"id":"dnMyecUW/TyYfLgJ3","type":"article-journal","container-title":"Journal of Food Science and Technology","DOI":"10.1007/s13197-020-04250-7","ISSN":"0022-1155, 0975-8402","issue":"6","journalAbbreviation":"J Food Sci Technol","language":"en","note":"number: 6","page":"2150-2158","source":"DOI.org (Crossref)","title":"Effect of electron beam irradiation on the biochemical, microbiological and sensory quality of Litopenaeus vannamei during chilled storage","URL":"http://link.springer.com/10.1007/s13197-020-04250-7","volume":"57","author":[{"family":"Annamalai","given":"Jeyakumari"},{"family":"Sivam","given":"Visnuvinayagam"},{"family":"Unnikrishnan","given":"Parvathy"},{"family":"Kuppa Sivasankara","given":"Sarma"},{"family":"Kaushlesh Pansingh","given":"Rawat"},{"family":"Shaik Abdul","given":"Khader"},{"family":"Lakshmi","given":"Narashimha Murthy"},{"family":"Chandragiri Nagarajarao","given":"Ravishankar"}],"accessed":{"date-parts":[["2025",1,27]]},"issued":{"date-parts":[["2020",6]]}}}],"schema":"https://github.com/citation-style-language/schema/raw/master/csl-citation.json"} </w:instrText>
      </w:r>
      <w:r w:rsidR="00B92B20" w:rsidRPr="00343885">
        <w:rPr>
          <w:rFonts w:ascii="Times New Roman" w:hAnsi="Times New Roman" w:cs="Times New Roman"/>
          <w:color w:val="000000" w:themeColor="text1"/>
          <w:sz w:val="24"/>
          <w:szCs w:val="24"/>
          <w:shd w:val="clear" w:color="auto" w:fill="FFFFFF"/>
        </w:rPr>
        <w:fldChar w:fldCharType="separate"/>
      </w:r>
      <w:r w:rsidR="000532B0" w:rsidRPr="000532B0">
        <w:rPr>
          <w:rFonts w:ascii="Times New Roman" w:hAnsi="Times New Roman" w:cs="Times New Roman"/>
          <w:sz w:val="24"/>
          <w:vertAlign w:val="superscript"/>
        </w:rPr>
        <w:t>11</w:t>
      </w:r>
      <w:r w:rsidR="00B92B20" w:rsidRPr="00343885">
        <w:rPr>
          <w:rFonts w:ascii="Times New Roman" w:hAnsi="Times New Roman" w:cs="Times New Roman"/>
          <w:color w:val="000000" w:themeColor="text1"/>
          <w:sz w:val="24"/>
          <w:szCs w:val="24"/>
          <w:shd w:val="clear" w:color="auto" w:fill="FFFFFF"/>
        </w:rPr>
        <w:fldChar w:fldCharType="end"/>
      </w:r>
      <w:r w:rsidRPr="00343885">
        <w:rPr>
          <w:rFonts w:ascii="Times New Roman" w:hAnsi="Times New Roman" w:cs="Times New Roman"/>
          <w:color w:val="000000" w:themeColor="text1"/>
          <w:sz w:val="24"/>
          <w:szCs w:val="24"/>
          <w:shd w:val="clear" w:color="auto" w:fill="FFFFFF"/>
        </w:rPr>
        <w:t xml:space="preserve">. Despite the fact that EBIT is an ionizing radiation method, it is not the same as GI. In </w:t>
      </w:r>
      <w:r w:rsidRPr="00343885">
        <w:rPr>
          <w:rFonts w:ascii="Times New Roman" w:hAnsi="Times New Roman" w:cs="Times New Roman"/>
          <w:sz w:val="24"/>
          <w:szCs w:val="24"/>
          <w:shd w:val="clear" w:color="auto" w:fill="FFFFFF"/>
        </w:rPr>
        <w:t xml:space="preserve">the case of GI, radioactive isotopes such as cobalt-60/ cesium-137 were used for irradiation, which is a highly radioactive, hazardous, and time-consuming processing technique. Even though the GI and EBI </w:t>
      </w:r>
      <w:r w:rsidRPr="00343885">
        <w:rPr>
          <w:rFonts w:ascii="Times New Roman" w:hAnsi="Times New Roman" w:cs="Times New Roman"/>
          <w:sz w:val="24"/>
          <w:szCs w:val="24"/>
          <w:shd w:val="clear" w:color="auto" w:fill="FFFFFF"/>
        </w:rPr>
        <w:lastRenderedPageBreak/>
        <w:t>doses were measured in Kilo Gray (</w:t>
      </w:r>
      <w:proofErr w:type="spellStart"/>
      <w:r w:rsidR="00E83845">
        <w:rPr>
          <w:rFonts w:ascii="Times New Roman" w:hAnsi="Times New Roman" w:cs="Times New Roman"/>
          <w:sz w:val="24"/>
          <w:szCs w:val="24"/>
          <w:shd w:val="clear" w:color="auto" w:fill="FFFFFF"/>
        </w:rPr>
        <w:t>k</w:t>
      </w:r>
      <w:r w:rsidRPr="00343885">
        <w:rPr>
          <w:rFonts w:ascii="Times New Roman" w:hAnsi="Times New Roman" w:cs="Times New Roman"/>
          <w:sz w:val="24"/>
          <w:szCs w:val="24"/>
          <w:shd w:val="clear" w:color="auto" w:fill="FFFFFF"/>
        </w:rPr>
        <w:t>Gy</w:t>
      </w:r>
      <w:proofErr w:type="spellEnd"/>
      <w:r w:rsidRPr="00343885">
        <w:rPr>
          <w:rFonts w:ascii="Times New Roman" w:hAnsi="Times New Roman" w:cs="Times New Roman"/>
          <w:sz w:val="24"/>
          <w:szCs w:val="24"/>
          <w:shd w:val="clear" w:color="auto" w:fill="FFFFFF"/>
        </w:rPr>
        <w:t xml:space="preserve">), EBI is a non-radioactive, worker-safe, simple, and fast processing technology. Recently, the application of EBIT in the polymer industry </w:t>
      </w:r>
      <w:r w:rsidR="00E83845">
        <w:rPr>
          <w:rFonts w:ascii="Times New Roman" w:hAnsi="Times New Roman" w:cs="Times New Roman"/>
          <w:sz w:val="24"/>
          <w:szCs w:val="24"/>
          <w:shd w:val="clear" w:color="auto" w:fill="FFFFFF"/>
        </w:rPr>
        <w:t xml:space="preserve">has </w:t>
      </w:r>
      <w:r w:rsidRPr="00343885">
        <w:rPr>
          <w:rFonts w:ascii="Times New Roman" w:hAnsi="Times New Roman" w:cs="Times New Roman"/>
          <w:sz w:val="24"/>
          <w:szCs w:val="24"/>
          <w:shd w:val="clear" w:color="auto" w:fill="FFFFFF"/>
        </w:rPr>
        <w:t>turned the industry to maximum benefit for the better quality of the rubber and cable sector to install a considerable number of EBI units in India and worldwide.</w:t>
      </w:r>
      <w:r w:rsidR="001036FB" w:rsidRPr="00343885">
        <w:rPr>
          <w:rFonts w:ascii="Times New Roman" w:hAnsi="Times New Roman" w:cs="Times New Roman"/>
          <w:sz w:val="24"/>
          <w:szCs w:val="24"/>
          <w:shd w:val="clear" w:color="auto" w:fill="FFFFFF"/>
        </w:rPr>
        <w:t xml:space="preserve"> </w:t>
      </w:r>
    </w:p>
    <w:p w14:paraId="116D835E" w14:textId="23B23152" w:rsidR="00B265B5" w:rsidRPr="00343885" w:rsidRDefault="00B265B5" w:rsidP="00343885">
      <w:pPr>
        <w:spacing w:line="360" w:lineRule="auto"/>
        <w:jc w:val="both"/>
        <w:rPr>
          <w:rFonts w:ascii="Times New Roman" w:hAnsi="Times New Roman" w:cs="Times New Roman"/>
          <w:b/>
          <w:sz w:val="24"/>
          <w:szCs w:val="24"/>
        </w:rPr>
      </w:pPr>
    </w:p>
    <w:p w14:paraId="315557EF" w14:textId="06F99631" w:rsidR="00B751AD" w:rsidRPr="00343885" w:rsidRDefault="00F033E4" w:rsidP="00343885">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343885">
        <w:rPr>
          <w:rFonts w:ascii="Times New Roman" w:hAnsi="Times New Roman" w:cs="Times New Roman"/>
          <w:sz w:val="24"/>
          <w:szCs w:val="24"/>
          <w:shd w:val="clear" w:color="auto" w:fill="FFFFFF"/>
        </w:rPr>
        <w:t>Every year</w:t>
      </w:r>
      <w:r w:rsidR="00E83845">
        <w:rPr>
          <w:rFonts w:ascii="Times New Roman" w:hAnsi="Times New Roman" w:cs="Times New Roman"/>
          <w:sz w:val="24"/>
          <w:szCs w:val="24"/>
          <w:shd w:val="clear" w:color="auto" w:fill="FFFFFF"/>
        </w:rPr>
        <w:t>,</w:t>
      </w:r>
      <w:r w:rsidRPr="00343885">
        <w:rPr>
          <w:rFonts w:ascii="Times New Roman" w:hAnsi="Times New Roman" w:cs="Times New Roman"/>
          <w:sz w:val="24"/>
          <w:szCs w:val="24"/>
          <w:shd w:val="clear" w:color="auto" w:fill="FFFFFF"/>
        </w:rPr>
        <w:t xml:space="preserve"> around 0.1 - 0.2 million metric tons of antibiotics are used worldwide. The activity of the antibiotics is very high, even with milligram levels </w:t>
      </w:r>
      <w:r w:rsidR="00B92B20" w:rsidRPr="00343885">
        <w:rPr>
          <w:rFonts w:ascii="Times New Roman" w:hAnsi="Times New Roman" w:cs="Times New Roman"/>
          <w:sz w:val="24"/>
          <w:szCs w:val="24"/>
        </w:rPr>
        <w:fldChar w:fldCharType="begin"/>
      </w:r>
      <w:r w:rsidR="000532B0">
        <w:rPr>
          <w:rFonts w:ascii="Times New Roman" w:hAnsi="Times New Roman" w:cs="Times New Roman"/>
          <w:sz w:val="24"/>
          <w:szCs w:val="24"/>
        </w:rPr>
        <w:instrText xml:space="preserve"> ADDIN ZOTERO_ITEM CSL_CITATION {"citationID":"rB34rdyw","properties":{"formattedCitation":"\\super 12,13\\nosupersub{}","plainCitation":"12,13","noteIndex":0},"citationItems":[{"id":"AXwEQWfZ/uzdPiByn","uris":["http://zotero.org/users/local/42Ekf4cZ/items/2TBLS4B8"],"itemData":{"id":20,"type":"article-journal","abstract":"Abstract\n            \n              This study reported an immediate approach for the degradation of three antibiotic (amoxicillin, ofloxacin, and cefradine) residues in medical intravenous infusion bottles (MIIBs) using high energy electron beam (HEEB) irradiation. The effects of irradiation doses, initial concentrations, initial pH, and scavengers of active radicals on the degradation of three antibiotic residues (ARs) were investigated, and the results displayed that 97.02%, 97.61% and 96.87% of amoxicillin, ofloxacin, and cefradine residues could be degraded\n              in situ\n              through HEEB irradiation respectively. Fourier transform infrared spectroscopy (FTIR) and high performance liquid chromatography-mass spectrometry (HPLC-MS) analysis demonstrated that ARs were mainly decomposed into inorganic ions and alkanes. Typically, the detailed degradation mechanism of ARs was also investigated, and the dominant active particle inducing the degradation of antibiotics during the HEEB irradiation process was demonstrated to be hydroxyl radical.","container-title":"Scientific Reports","DOI":"10.1038/srep39928","ISSN":"2045-2322","issue":"1","journalAbbreviation":"Sci Rep","language":"en","page":"39928","source":"DOI.org (Crossref)","title":"In situ degradation of antibiotic residues in medical intravenous infusion bottles using high energy electron beam irradiation","URL":"https://www.nature.com/articles/srep39928","volume":"7","author":[{"family":"Wang","given":"Min"},{"family":"Zhang","given":"Lele"},{"family":"Zhang","given":"Guilong"},{"family":"Pang","given":"Tao"},{"family":"Zhang","given":"Xin"},{"family":"Cai","given":"Dongqing"},{"family":"Wu","given":"Zhengyan"}],"accessed":{"date-parts":[["2025",1,27]]},"issued":{"date-parts":[["2017",1,3]]}}},{"id":97,"uris":["http://zotero.org/users/16304525/items/72F7K5QY"],"itemData":{"id":97,"type":"article-journal","abstract":"Abstract\n            \n              This study reported an immediate approach for the degradation of three antibiotic (amoxicillin, ofloxacin, and cefradine) residues in medical intravenous infusion bottles (MIIBs) using high energy electron beam (HEEB) irradiation. The effects of irradiation doses, initial concentrations, initial pH, and scavengers of active radicals on the degradation of three antibiotic residues (ARs) were investigated, and the results displayed that 97.02%, 97.61% and 96.87% of amoxicillin, ofloxacin, and cefradine residues could be degraded\n              in situ\n              through HEEB irradiation respectively. Fourier transform infrared spectroscopy (FTIR) and high performance liquid chromatography-mass spectrometry (HPLC-MS) analysis demonstrated that ARs were mainly decomposed into inorganic ions and alkanes. Typically, the detailed degradation mechanism of ARs was also investigated, and the dominant active particle inducing the degradation of antibiotics during the HEEB irradiation process was demonstrated to be hydroxyl radical.","container-title":"Scientific Reports","DOI":"10.1038/srep39928","ISSN":"2045-2322","issue":"1","journalAbbreviation":"Sci Rep","language":"en","page":"39928","source":"DOI.org (Crossref)","title":"In situ degradation of antibiotic residues in medical intravenous infusion bottles using high energy electron beam irradiation","volume":"7","author":[{"family":"Wang","given":"Min"},{"family":"Zhang","given":"Lele"},{"family":"Zhang","given":"Guilong"},{"family":"Pang","given":"Tao"},{"family":"Zhang","given":"Xin"},{"family":"Cai","given":"Dongqing"},{"family":"Wu","given":"Zhengyan"}],"issued":{"date-parts":[["2017",1,3]]}}}],"schema":"https://github.com/citation-style-language/schema/raw/master/csl-citation.json"} </w:instrText>
      </w:r>
      <w:r w:rsidR="00B92B20" w:rsidRPr="00343885">
        <w:rPr>
          <w:rFonts w:ascii="Times New Roman" w:hAnsi="Times New Roman" w:cs="Times New Roman"/>
          <w:sz w:val="24"/>
          <w:szCs w:val="24"/>
        </w:rPr>
        <w:fldChar w:fldCharType="separate"/>
      </w:r>
      <w:r w:rsidR="000532B0" w:rsidRPr="000532B0">
        <w:rPr>
          <w:rFonts w:ascii="Times New Roman" w:hAnsi="Times New Roman" w:cs="Times New Roman"/>
          <w:sz w:val="24"/>
          <w:vertAlign w:val="superscript"/>
        </w:rPr>
        <w:t>12,13</w:t>
      </w:r>
      <w:r w:rsidR="00B92B20" w:rsidRPr="00343885">
        <w:rPr>
          <w:rFonts w:ascii="Times New Roman" w:hAnsi="Times New Roman" w:cs="Times New Roman"/>
          <w:sz w:val="24"/>
          <w:szCs w:val="24"/>
        </w:rPr>
        <w:fldChar w:fldCharType="end"/>
      </w:r>
      <w:r w:rsidRPr="00343885">
        <w:rPr>
          <w:rFonts w:ascii="Times New Roman" w:hAnsi="Times New Roman" w:cs="Times New Roman"/>
          <w:sz w:val="24"/>
          <w:szCs w:val="24"/>
          <w:shd w:val="clear" w:color="auto" w:fill="FFFFFF"/>
        </w:rPr>
        <w:t xml:space="preserve">. The uses </w:t>
      </w:r>
      <w:r w:rsidR="00E83845">
        <w:rPr>
          <w:rFonts w:ascii="Times New Roman" w:hAnsi="Times New Roman" w:cs="Times New Roman"/>
          <w:sz w:val="24"/>
          <w:szCs w:val="24"/>
          <w:shd w:val="clear" w:color="auto" w:fill="FFFFFF"/>
        </w:rPr>
        <w:t xml:space="preserve">of </w:t>
      </w:r>
      <w:r w:rsidRPr="00343885">
        <w:rPr>
          <w:rFonts w:ascii="Times New Roman" w:hAnsi="Times New Roman" w:cs="Times New Roman"/>
          <w:sz w:val="24"/>
          <w:szCs w:val="24"/>
          <w:shd w:val="clear" w:color="auto" w:fill="FFFFFF"/>
        </w:rPr>
        <w:t>antibiotics in the form of intravenous, table</w:t>
      </w:r>
      <w:r w:rsidR="00E83845">
        <w:rPr>
          <w:rFonts w:ascii="Times New Roman" w:hAnsi="Times New Roman" w:cs="Times New Roman"/>
          <w:sz w:val="24"/>
          <w:szCs w:val="24"/>
          <w:shd w:val="clear" w:color="auto" w:fill="FFFFFF"/>
        </w:rPr>
        <w:t>t</w:t>
      </w:r>
      <w:r w:rsidRPr="00343885">
        <w:rPr>
          <w:rFonts w:ascii="Times New Roman" w:hAnsi="Times New Roman" w:cs="Times New Roman"/>
          <w:sz w:val="24"/>
          <w:szCs w:val="24"/>
          <w:shd w:val="clear" w:color="auto" w:fill="FFFFFF"/>
        </w:rPr>
        <w:t xml:space="preserve">s, and vials are discarded in the environment, which is harmful to the environment </w:t>
      </w:r>
      <w:r w:rsidR="00B92B20" w:rsidRPr="00343885">
        <w:rPr>
          <w:rFonts w:ascii="Times New Roman" w:hAnsi="Times New Roman" w:cs="Times New Roman"/>
          <w:sz w:val="24"/>
          <w:szCs w:val="24"/>
        </w:rPr>
        <w:fldChar w:fldCharType="begin"/>
      </w:r>
      <w:r w:rsidR="000532B0">
        <w:rPr>
          <w:rFonts w:ascii="Times New Roman" w:hAnsi="Times New Roman" w:cs="Times New Roman"/>
          <w:sz w:val="24"/>
          <w:szCs w:val="24"/>
        </w:rPr>
        <w:instrText xml:space="preserve"> ADDIN ZOTERO_ITEM CSL_CITATION {"citationID":"MogI4b9b","properties":{"formattedCitation":"\\super 12\\nosupersub{}","plainCitation":"12","noteIndex":0},"citationItems":[{"id":"AXwEQWfZ/uzdPiByn","uris":["http://zotero.org/users/local/42Ekf4cZ/items/2TBLS4B8"],"itemData":{"id":20,"type":"article-journal","abstract":"Abstract\n            \n              This study reported an immediate approach for the degradation of three antibiotic (amoxicillin, ofloxacin, and cefradine) residues in medical intravenous infusion bottles (MIIBs) using high energy electron beam (HEEB) irradiation. The effects of irradiation doses, initial concentrations, initial pH, and scavengers of active radicals on the degradation of three antibiotic residues (ARs) were investigated, and the results displayed that 97.02%, 97.61% and 96.87% of amoxicillin, ofloxacin, and cefradine residues could be degraded\n              in situ\n              through HEEB irradiation respectively. Fourier transform infrared spectroscopy (FTIR) and high performance liquid chromatography-mass spectrometry (HPLC-MS) analysis demonstrated that ARs were mainly decomposed into inorganic ions and alkanes. Typically, the detailed degradation mechanism of ARs was also investigated, and the dominant active particle inducing the degradation of antibiotics during the HEEB irradiation process was demonstrated to be hydroxyl radical.","container-title":"Scientific Reports","DOI":"10.1038/srep39928","ISSN":"2045-2322","issue":"1","journalAbbreviation":"Sci Rep","language":"en","page":"39928","source":"DOI.org (Crossref)","title":"In situ degradation of antibiotic residues in medical intravenous infusion bottles using high energy electron beam irradiation","URL":"https://www.nature.com/articles/srep39928","volume":"7","author":[{"family":"Wang","given":"Min"},{"family":"Zhang","given":"Lele"},{"family":"Zhang","given":"Guilong"},{"family":"Pang","given":"Tao"},{"family":"Zhang","given":"Xin"},{"family":"Cai","given":"Dongqing"},{"family":"Wu","given":"Zhengyan"}],"accessed":{"date-parts":[["2025",1,27]]},"issued":{"date-parts":[["2017",1,3]]}}}],"schema":"https://github.com/citation-style-language/schema/raw/master/csl-citation.json"} </w:instrText>
      </w:r>
      <w:r w:rsidR="00B92B20" w:rsidRPr="00343885">
        <w:rPr>
          <w:rFonts w:ascii="Times New Roman" w:hAnsi="Times New Roman" w:cs="Times New Roman"/>
          <w:sz w:val="24"/>
          <w:szCs w:val="24"/>
        </w:rPr>
        <w:fldChar w:fldCharType="separate"/>
      </w:r>
      <w:r w:rsidR="000532B0" w:rsidRPr="000532B0">
        <w:rPr>
          <w:rFonts w:ascii="Times New Roman" w:hAnsi="Times New Roman" w:cs="Times New Roman"/>
          <w:sz w:val="24"/>
          <w:vertAlign w:val="superscript"/>
        </w:rPr>
        <w:t>12</w:t>
      </w:r>
      <w:r w:rsidR="00B92B20" w:rsidRPr="00343885">
        <w:rPr>
          <w:rFonts w:ascii="Times New Roman" w:hAnsi="Times New Roman" w:cs="Times New Roman"/>
          <w:sz w:val="24"/>
          <w:szCs w:val="24"/>
        </w:rPr>
        <w:fldChar w:fldCharType="end"/>
      </w:r>
      <w:r w:rsidRPr="00343885">
        <w:rPr>
          <w:rFonts w:ascii="Times New Roman" w:hAnsi="Times New Roman" w:cs="Times New Roman"/>
          <w:sz w:val="24"/>
          <w:szCs w:val="24"/>
          <w:shd w:val="clear" w:color="auto" w:fill="FFFFFF"/>
        </w:rPr>
        <w:t>. Controlling antibiotic residue in the environment as well as in food and other sources</w:t>
      </w:r>
      <w:r w:rsidR="000C5149" w:rsidRPr="00343885">
        <w:rPr>
          <w:rFonts w:ascii="Times New Roman" w:hAnsi="Times New Roman" w:cs="Times New Roman"/>
          <w:sz w:val="24"/>
          <w:szCs w:val="24"/>
          <w:shd w:val="clear" w:color="auto" w:fill="FFFFFF"/>
        </w:rPr>
        <w:t>,</w:t>
      </w:r>
      <w:r w:rsidRPr="00343885">
        <w:rPr>
          <w:rFonts w:ascii="Times New Roman" w:hAnsi="Times New Roman" w:cs="Times New Roman"/>
          <w:sz w:val="24"/>
          <w:szCs w:val="24"/>
          <w:shd w:val="clear" w:color="auto" w:fill="FFFFFF"/>
        </w:rPr>
        <w:t xml:space="preserve"> is a current concern. </w:t>
      </w:r>
      <w:r w:rsidR="00F25A76" w:rsidRPr="00343885">
        <w:rPr>
          <w:rFonts w:ascii="Times New Roman" w:hAnsi="Times New Roman" w:cs="Times New Roman"/>
          <w:sz w:val="24"/>
          <w:szCs w:val="24"/>
          <w:shd w:val="clear" w:color="auto" w:fill="FFFFFF"/>
        </w:rPr>
        <w:t>A recent</w:t>
      </w:r>
      <w:r w:rsidRPr="00343885">
        <w:rPr>
          <w:rFonts w:ascii="Times New Roman" w:hAnsi="Times New Roman" w:cs="Times New Roman"/>
          <w:sz w:val="24"/>
          <w:szCs w:val="24"/>
          <w:shd w:val="clear" w:color="auto" w:fill="FFFFFF"/>
        </w:rPr>
        <w:t xml:space="preserve"> study has focused on breaking down antibiotics </w:t>
      </w:r>
      <w:r w:rsidR="00F25A76" w:rsidRPr="00343885">
        <w:rPr>
          <w:rFonts w:ascii="Times New Roman" w:hAnsi="Times New Roman" w:cs="Times New Roman"/>
          <w:sz w:val="24"/>
          <w:szCs w:val="24"/>
          <w:shd w:val="clear" w:color="auto" w:fill="FFFFFF"/>
        </w:rPr>
        <w:t xml:space="preserve">by </w:t>
      </w:r>
      <w:r w:rsidRPr="00343885">
        <w:rPr>
          <w:rFonts w:ascii="Times New Roman" w:hAnsi="Times New Roman" w:cs="Times New Roman"/>
          <w:sz w:val="24"/>
          <w:szCs w:val="24"/>
          <w:shd w:val="clear" w:color="auto" w:fill="FFFFFF"/>
        </w:rPr>
        <w:t xml:space="preserve">electron beam irradiation (EBI). </w:t>
      </w:r>
      <w:r w:rsidR="000C5149" w:rsidRPr="00343885">
        <w:rPr>
          <w:rFonts w:ascii="Times New Roman" w:hAnsi="Times New Roman" w:cs="Times New Roman"/>
          <w:sz w:val="24"/>
          <w:szCs w:val="24"/>
          <w:shd w:val="clear" w:color="auto" w:fill="FFFFFF"/>
        </w:rPr>
        <w:t>Worldwide</w:t>
      </w:r>
      <w:r w:rsidRPr="00343885">
        <w:rPr>
          <w:rFonts w:ascii="Times New Roman" w:hAnsi="Times New Roman" w:cs="Times New Roman"/>
          <w:sz w:val="24"/>
          <w:szCs w:val="24"/>
          <w:shd w:val="clear" w:color="auto" w:fill="FFFFFF"/>
        </w:rPr>
        <w:t xml:space="preserve">, few countries </w:t>
      </w:r>
      <w:r w:rsidR="00E83845">
        <w:rPr>
          <w:rFonts w:ascii="Times New Roman" w:hAnsi="Times New Roman" w:cs="Times New Roman"/>
          <w:sz w:val="24"/>
          <w:szCs w:val="24"/>
          <w:shd w:val="clear" w:color="auto" w:fill="FFFFFF"/>
        </w:rPr>
        <w:t>hav</w:t>
      </w:r>
      <w:r w:rsidR="00E83845" w:rsidRPr="00343885">
        <w:rPr>
          <w:rFonts w:ascii="Times New Roman" w:hAnsi="Times New Roman" w:cs="Times New Roman"/>
          <w:sz w:val="24"/>
          <w:szCs w:val="24"/>
          <w:shd w:val="clear" w:color="auto" w:fill="FFFFFF"/>
        </w:rPr>
        <w:t xml:space="preserve">e </w:t>
      </w:r>
      <w:r w:rsidRPr="00343885">
        <w:rPr>
          <w:rFonts w:ascii="Times New Roman" w:hAnsi="Times New Roman" w:cs="Times New Roman"/>
          <w:sz w:val="24"/>
          <w:szCs w:val="24"/>
          <w:shd w:val="clear" w:color="auto" w:fill="FFFFFF"/>
        </w:rPr>
        <w:t>started to degrade the antibiotic</w:t>
      </w:r>
      <w:r w:rsidR="00E83845">
        <w:rPr>
          <w:rFonts w:ascii="Times New Roman" w:hAnsi="Times New Roman" w:cs="Times New Roman"/>
          <w:sz w:val="24"/>
          <w:szCs w:val="24"/>
          <w:shd w:val="clear" w:color="auto" w:fill="FFFFFF"/>
        </w:rPr>
        <w:t>s</w:t>
      </w:r>
      <w:r w:rsidRPr="00343885">
        <w:rPr>
          <w:rFonts w:ascii="Times New Roman" w:hAnsi="Times New Roman" w:cs="Times New Roman"/>
          <w:sz w:val="24"/>
          <w:szCs w:val="24"/>
          <w:shd w:val="clear" w:color="auto" w:fill="FFFFFF"/>
        </w:rPr>
        <w:t xml:space="preserve"> residing in the hospital waste by the EBIT. The cost of EBI will greatly increase while increasing the dose. Based on the above discussion, not many studies were available because of the poor availability of EBIF. The existing practices mostly use higher doses to destroy the antibiotics in the bottles. Our aim of the study is to reduce the dose required for the EBIT by diluting it with water. So, in the present study, Chloramphenicol was diluted from high concentration to low concentration and exposed to 0.5kGy to 40 kGy, and the degradation was assessed by a simple technique</w:t>
      </w:r>
      <w:r w:rsidR="00E07611" w:rsidRPr="00343885">
        <w:rPr>
          <w:rFonts w:ascii="Times New Roman" w:hAnsi="Times New Roman" w:cs="Times New Roman"/>
          <w:sz w:val="24"/>
          <w:szCs w:val="24"/>
          <w:shd w:val="clear" w:color="auto" w:fill="FFFFFF"/>
        </w:rPr>
        <w:t xml:space="preserve"> (Table: 1)</w:t>
      </w:r>
      <w:r w:rsidRPr="00343885">
        <w:rPr>
          <w:rFonts w:ascii="Times New Roman" w:hAnsi="Times New Roman" w:cs="Times New Roman"/>
          <w:sz w:val="24"/>
          <w:szCs w:val="24"/>
          <w:shd w:val="clear" w:color="auto" w:fill="FFFFFF"/>
        </w:rPr>
        <w:t xml:space="preserve">. In addition, antibiotics attached to the paper strip were also evaluated for a better understanding.   The breakdown of antibiotics in aqueous media has only recently been the subject of a small number of investigations. In the current investigation, two antibiotics have been tested in the aqueous medium: one stable (Chloramphenicol) and one often used (Oxytetracycline). The antibacterial activity of 40 different antibiotics contained in the paper disc was also tested using the EBI. After the irradiation, the antibacterial activity and the level of degradation were assessed by the simple agar well diffusion assay and found that Based on the assay, it has been observed a simple well diffusion method is sufficient to evaluate the degradation level of antibiotics in the water. The paper disc method is simple to find the EBI resistant and EBI susceptible antibiotics within a short duration.        </w:t>
      </w:r>
    </w:p>
    <w:p w14:paraId="321B3ACD" w14:textId="77777777" w:rsidR="00CE1D19" w:rsidRPr="00343885" w:rsidRDefault="00CE1D19" w:rsidP="00343885">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59AB8F2E" w14:textId="3096F619" w:rsidR="009A6E0B" w:rsidRPr="00343885" w:rsidRDefault="00F033E4" w:rsidP="00343885">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343885">
        <w:rPr>
          <w:rFonts w:ascii="Times New Roman" w:hAnsi="Times New Roman" w:cs="Times New Roman"/>
          <w:sz w:val="24"/>
          <w:szCs w:val="24"/>
          <w:shd w:val="clear" w:color="auto" w:fill="FFFFFF"/>
        </w:rPr>
        <w:t xml:space="preserve">Electron beam (EB) is </w:t>
      </w:r>
      <w:r w:rsidR="00D80642" w:rsidRPr="00343885">
        <w:rPr>
          <w:rFonts w:ascii="Times New Roman" w:hAnsi="Times New Roman" w:cs="Times New Roman"/>
          <w:sz w:val="24"/>
          <w:szCs w:val="24"/>
          <w:shd w:val="clear" w:color="auto" w:fill="FFFFFF"/>
        </w:rPr>
        <w:t>a</w:t>
      </w:r>
      <w:r w:rsidRPr="00343885">
        <w:rPr>
          <w:rFonts w:ascii="Times New Roman" w:hAnsi="Times New Roman" w:cs="Times New Roman"/>
          <w:sz w:val="24"/>
          <w:szCs w:val="24"/>
          <w:shd w:val="clear" w:color="auto" w:fill="FFFFFF"/>
        </w:rPr>
        <w:t xml:space="preserve"> flow of </w:t>
      </w:r>
      <w:r w:rsidR="00520787" w:rsidRPr="00343885">
        <w:rPr>
          <w:rFonts w:ascii="Times New Roman" w:hAnsi="Times New Roman" w:cs="Times New Roman"/>
          <w:sz w:val="24"/>
          <w:szCs w:val="24"/>
          <w:shd w:val="clear" w:color="auto" w:fill="FFFFFF"/>
        </w:rPr>
        <w:t>high-energy</w:t>
      </w:r>
      <w:r w:rsidR="000E5786" w:rsidRPr="00343885">
        <w:rPr>
          <w:rFonts w:ascii="Times New Roman" w:hAnsi="Times New Roman" w:cs="Times New Roman"/>
          <w:sz w:val="24"/>
          <w:szCs w:val="24"/>
          <w:shd w:val="clear" w:color="auto" w:fill="FFFFFF"/>
        </w:rPr>
        <w:t xml:space="preserve"> </w:t>
      </w:r>
      <w:r w:rsidRPr="00343885">
        <w:rPr>
          <w:rFonts w:ascii="Times New Roman" w:hAnsi="Times New Roman" w:cs="Times New Roman"/>
          <w:sz w:val="24"/>
          <w:szCs w:val="24"/>
          <w:shd w:val="clear" w:color="auto" w:fill="FFFFFF"/>
        </w:rPr>
        <w:t>electrons</w:t>
      </w:r>
      <w:r w:rsidR="000E5786" w:rsidRPr="00343885">
        <w:rPr>
          <w:rFonts w:ascii="Times New Roman" w:hAnsi="Times New Roman" w:cs="Times New Roman"/>
          <w:sz w:val="24"/>
          <w:szCs w:val="24"/>
          <w:shd w:val="clear" w:color="auto" w:fill="FFFFFF"/>
        </w:rPr>
        <w:t>.</w:t>
      </w:r>
      <w:r w:rsidRPr="00343885">
        <w:rPr>
          <w:rFonts w:ascii="Times New Roman" w:hAnsi="Times New Roman" w:cs="Times New Roman"/>
          <w:sz w:val="24"/>
          <w:szCs w:val="24"/>
          <w:shd w:val="clear" w:color="auto" w:fill="FFFFFF"/>
        </w:rPr>
        <w:t xml:space="preserve"> Every year, around 0.1 - 0.2 million tons of antibiotics are used worldwide. The activity of the antibiotics is very high, even with milligram </w:t>
      </w:r>
      <w:r w:rsidRPr="00343885">
        <w:rPr>
          <w:rFonts w:ascii="Times New Roman" w:hAnsi="Times New Roman" w:cs="Times New Roman"/>
          <w:sz w:val="24"/>
          <w:szCs w:val="24"/>
          <w:shd w:val="clear" w:color="auto" w:fill="FFFFFF"/>
        </w:rPr>
        <w:lastRenderedPageBreak/>
        <w:t xml:space="preserve">levels </w:t>
      </w:r>
      <w:r w:rsidR="00B92B20" w:rsidRPr="00343885">
        <w:rPr>
          <w:rFonts w:ascii="Times New Roman" w:hAnsi="Times New Roman" w:cs="Times New Roman"/>
          <w:sz w:val="24"/>
          <w:szCs w:val="24"/>
        </w:rPr>
        <w:fldChar w:fldCharType="begin"/>
      </w:r>
      <w:r w:rsidR="000532B0">
        <w:rPr>
          <w:rFonts w:ascii="Times New Roman" w:hAnsi="Times New Roman" w:cs="Times New Roman"/>
          <w:sz w:val="24"/>
          <w:szCs w:val="24"/>
        </w:rPr>
        <w:instrText xml:space="preserve"> ADDIN ZOTERO_ITEM CSL_CITATION {"citationID":"C67r9qEE","properties":{"formattedCitation":"\\super 12\\nosupersub{}","plainCitation":"12","noteIndex":0},"citationItems":[{"id":"AXwEQWfZ/uzdPiByn","uris":["http://zotero.org/users/local/42Ekf4cZ/items/2TBLS4B8"],"itemData":{"id":20,"type":"article-journal","abstract":"Abstract\n            \n              This study reported an immediate approach for the degradation of three antibiotic (amoxicillin, ofloxacin, and cefradine) residues in medical intravenous infusion bottles (MIIBs) using high energy electron beam (HEEB) irradiation. The effects of irradiation doses, initial concentrations, initial pH, and scavengers of active radicals on the degradation of three antibiotic residues (ARs) were investigated, and the results displayed that 97.02%, 97.61% and 96.87% of amoxicillin, ofloxacin, and cefradine residues could be degraded\n              in situ\n              through HEEB irradiation respectively. Fourier transform infrared spectroscopy (FTIR) and high performance liquid chromatography-mass spectrometry (HPLC-MS) analysis demonstrated that ARs were mainly decomposed into inorganic ions and alkanes. Typically, the detailed degradation mechanism of ARs was also investigated, and the dominant active particle inducing the degradation of antibiotics during the HEEB irradiation process was demonstrated to be hydroxyl radical.","container-title":"Scientific Reports","DOI":"10.1038/srep39928","ISSN":"2045-2322","issue":"1","journalAbbreviation":"Sci Rep","language":"en","page":"39928","source":"DOI.org (Crossref)","title":"In situ degradation of antibiotic residues in medical intravenous infusion bottles using high energy electron beam irradiation","URL":"https://www.nature.com/articles/srep39928","volume":"7","author":[{"family":"Wang","given":"Min"},{"family":"Zhang","given":"Lele"},{"family":"Zhang","given":"Guilong"},{"family":"Pang","given":"Tao"},{"family":"Zhang","given":"Xin"},{"family":"Cai","given":"Dongqing"},{"family":"Wu","given":"Zhengyan"}],"accessed":{"date-parts":[["2025",1,27]]},"issued":{"date-parts":[["2017",1,3]]}}}],"schema":"https://github.com/citation-style-language/schema/raw/master/csl-citation.json"} </w:instrText>
      </w:r>
      <w:r w:rsidR="00B92B20" w:rsidRPr="00343885">
        <w:rPr>
          <w:rFonts w:ascii="Times New Roman" w:hAnsi="Times New Roman" w:cs="Times New Roman"/>
          <w:sz w:val="24"/>
          <w:szCs w:val="24"/>
        </w:rPr>
        <w:fldChar w:fldCharType="separate"/>
      </w:r>
      <w:r w:rsidR="000532B0" w:rsidRPr="000532B0">
        <w:rPr>
          <w:rFonts w:ascii="Times New Roman" w:hAnsi="Times New Roman" w:cs="Times New Roman"/>
          <w:sz w:val="24"/>
          <w:vertAlign w:val="superscript"/>
        </w:rPr>
        <w:t>12</w:t>
      </w:r>
      <w:r w:rsidR="00B92B20" w:rsidRPr="00343885">
        <w:rPr>
          <w:rFonts w:ascii="Times New Roman" w:hAnsi="Times New Roman" w:cs="Times New Roman"/>
          <w:sz w:val="24"/>
          <w:szCs w:val="24"/>
        </w:rPr>
        <w:fldChar w:fldCharType="end"/>
      </w:r>
      <w:r w:rsidRPr="00343885">
        <w:rPr>
          <w:rFonts w:ascii="Times New Roman" w:hAnsi="Times New Roman" w:cs="Times New Roman"/>
          <w:sz w:val="24"/>
          <w:szCs w:val="24"/>
          <w:shd w:val="clear" w:color="auto" w:fill="FFFFFF"/>
        </w:rPr>
        <w:t xml:space="preserve">. The </w:t>
      </w:r>
      <w:r w:rsidR="00CF35AE" w:rsidRPr="00343885">
        <w:rPr>
          <w:rFonts w:ascii="Times New Roman" w:hAnsi="Times New Roman" w:cs="Times New Roman"/>
          <w:sz w:val="24"/>
          <w:szCs w:val="24"/>
          <w:shd w:val="clear" w:color="auto" w:fill="FFFFFF"/>
        </w:rPr>
        <w:t>use</w:t>
      </w:r>
      <w:r w:rsidRPr="00343885">
        <w:rPr>
          <w:rFonts w:ascii="Times New Roman" w:hAnsi="Times New Roman" w:cs="Times New Roman"/>
          <w:sz w:val="24"/>
          <w:szCs w:val="24"/>
          <w:shd w:val="clear" w:color="auto" w:fill="FFFFFF"/>
        </w:rPr>
        <w:t xml:space="preserve"> </w:t>
      </w:r>
      <w:r w:rsidR="00CF35AE" w:rsidRPr="00343885">
        <w:rPr>
          <w:rFonts w:ascii="Times New Roman" w:hAnsi="Times New Roman" w:cs="Times New Roman"/>
          <w:sz w:val="24"/>
          <w:szCs w:val="24"/>
          <w:shd w:val="clear" w:color="auto" w:fill="FFFFFF"/>
        </w:rPr>
        <w:t xml:space="preserve">of </w:t>
      </w:r>
      <w:r w:rsidRPr="00343885">
        <w:rPr>
          <w:rFonts w:ascii="Times New Roman" w:hAnsi="Times New Roman" w:cs="Times New Roman"/>
          <w:sz w:val="24"/>
          <w:szCs w:val="24"/>
          <w:shd w:val="clear" w:color="auto" w:fill="FFFFFF"/>
        </w:rPr>
        <w:t>antibiotics in the form of intravenous</w:t>
      </w:r>
      <w:r w:rsidR="00CF35AE" w:rsidRPr="00343885">
        <w:rPr>
          <w:rFonts w:ascii="Times New Roman" w:hAnsi="Times New Roman" w:cs="Times New Roman"/>
          <w:sz w:val="24"/>
          <w:szCs w:val="24"/>
          <w:shd w:val="clear" w:color="auto" w:fill="FFFFFF"/>
        </w:rPr>
        <w:t xml:space="preserve"> injections</w:t>
      </w:r>
      <w:r w:rsidRPr="00343885">
        <w:rPr>
          <w:rFonts w:ascii="Times New Roman" w:hAnsi="Times New Roman" w:cs="Times New Roman"/>
          <w:sz w:val="24"/>
          <w:szCs w:val="24"/>
          <w:shd w:val="clear" w:color="auto" w:fill="FFFFFF"/>
        </w:rPr>
        <w:t xml:space="preserve">, </w:t>
      </w:r>
      <w:r w:rsidR="00CF35AE" w:rsidRPr="00343885">
        <w:rPr>
          <w:rFonts w:ascii="Times New Roman" w:hAnsi="Times New Roman" w:cs="Times New Roman"/>
          <w:sz w:val="24"/>
          <w:szCs w:val="24"/>
          <w:shd w:val="clear" w:color="auto" w:fill="FFFFFF"/>
        </w:rPr>
        <w:t>tablets</w:t>
      </w:r>
      <w:r w:rsidRPr="00343885">
        <w:rPr>
          <w:rFonts w:ascii="Times New Roman" w:hAnsi="Times New Roman" w:cs="Times New Roman"/>
          <w:sz w:val="24"/>
          <w:szCs w:val="24"/>
          <w:shd w:val="clear" w:color="auto" w:fill="FFFFFF"/>
        </w:rPr>
        <w:t xml:space="preserve">, </w:t>
      </w:r>
      <w:r w:rsidR="00CF35AE" w:rsidRPr="00343885">
        <w:rPr>
          <w:rFonts w:ascii="Times New Roman" w:hAnsi="Times New Roman" w:cs="Times New Roman"/>
          <w:sz w:val="24"/>
          <w:szCs w:val="24"/>
          <w:shd w:val="clear" w:color="auto" w:fill="FFFFFF"/>
        </w:rPr>
        <w:t xml:space="preserve">and </w:t>
      </w:r>
      <w:r w:rsidRPr="00343885">
        <w:rPr>
          <w:rFonts w:ascii="Times New Roman" w:hAnsi="Times New Roman" w:cs="Times New Roman"/>
          <w:sz w:val="24"/>
          <w:szCs w:val="24"/>
          <w:shd w:val="clear" w:color="auto" w:fill="FFFFFF"/>
        </w:rPr>
        <w:t xml:space="preserve">vials are discarded in the environment, which is harmful to the environment </w:t>
      </w:r>
      <w:r w:rsidR="00B92B20" w:rsidRPr="00343885">
        <w:rPr>
          <w:rFonts w:ascii="Times New Roman" w:hAnsi="Times New Roman" w:cs="Times New Roman"/>
          <w:sz w:val="24"/>
          <w:szCs w:val="24"/>
        </w:rPr>
        <w:fldChar w:fldCharType="begin"/>
      </w:r>
      <w:r w:rsidR="000532B0">
        <w:rPr>
          <w:rFonts w:ascii="Times New Roman" w:hAnsi="Times New Roman" w:cs="Times New Roman"/>
          <w:sz w:val="24"/>
          <w:szCs w:val="24"/>
        </w:rPr>
        <w:instrText xml:space="preserve"> ADDIN ZOTERO_ITEM CSL_CITATION {"citationID":"2ZjH4Nd6","properties":{"formattedCitation":"\\super 14\\nosupersub{}","plainCitation":"14","noteIndex":0},"citationItems":[{"id":"AXwEQWfZ/GeYgh3vr","uris":["http://zotero.org/users/local/42Ekf4cZ/items/9K5B2QJ7"],"itemData":{"id":56,"type":"article-journal","abstract":"Abstract\n            \n              This study reported an immediate approach for the degradation of three antibiotic (amoxicillin, ofloxacin, and cefradine) residues in medical intravenous infusion bottles (MIIBs) using high energy electron beam (HEEB) irradiation. The effects of irradiation doses, initial concentrations, initial pH, and scavengers of active radicals on the degradation of three antibiotic residues (ARs) were investigated, and the results displayed that 97.02%, 97.61% and 96.87% of amoxicillin, ofloxacin, and cefradine residues could be degraded\n              in situ\n              through HEEB irradiation respectively. Fourier transform infrared spectroscopy (FTIR) and high performance liquid chromatography-mass spectrometry (HPLC-MS) analysis demonstrated that ARs were mainly decomposed into inorganic ions and alkanes. Typically, the detailed degradation mechanism of ARs was also investigated, and the dominant active particle inducing the degradation of antibiotics during the HEEB irradiation process was demonstrated to be hydroxyl radical.","container-title":"Scientific Reports","DOI":"10.1038/srep39928","ISSN":"2045-2322","issue":"1","journalAbbreviation":"Sci Rep","language":"en","note":"number: 1","page":"39928","source":"DOI.org (Crossref)","title":"In situ degradation of antibiotic residues in medical intravenous infusion bottles using high energy electron beam irradiation","URL":"https://www.nature.com/articles/srep39928","volume":"7","author":[{"family":"Wang","given":"Min"},{"family":"Zhang","given":"Lele"},{"family":"Zhang","given":"Guilong"},{"family":"Pang","given":"Tao"},{"family":"Zhang","given":"Xin"},{"family":"Cai","given":"Dongqing"},{"family":"Wu","given":"Zhengyan"}],"accessed":{"date-parts":[["2025",1,27]]},"issued":{"date-parts":[["2017",1,3]]}}}],"schema":"https://github.com/citation-style-language/schema/raw/master/csl-citation.json"} </w:instrText>
      </w:r>
      <w:r w:rsidR="00B92B20" w:rsidRPr="00343885">
        <w:rPr>
          <w:rFonts w:ascii="Times New Roman" w:hAnsi="Times New Roman" w:cs="Times New Roman"/>
          <w:sz w:val="24"/>
          <w:szCs w:val="24"/>
        </w:rPr>
        <w:fldChar w:fldCharType="separate"/>
      </w:r>
      <w:r w:rsidR="000532B0" w:rsidRPr="000532B0">
        <w:rPr>
          <w:rFonts w:ascii="Times New Roman" w:hAnsi="Times New Roman" w:cs="Times New Roman"/>
          <w:sz w:val="24"/>
          <w:vertAlign w:val="superscript"/>
        </w:rPr>
        <w:t>14</w:t>
      </w:r>
      <w:r w:rsidR="00B92B20" w:rsidRPr="00343885">
        <w:rPr>
          <w:rFonts w:ascii="Times New Roman" w:hAnsi="Times New Roman" w:cs="Times New Roman"/>
          <w:sz w:val="24"/>
          <w:szCs w:val="24"/>
        </w:rPr>
        <w:fldChar w:fldCharType="end"/>
      </w:r>
      <w:r w:rsidRPr="00343885">
        <w:rPr>
          <w:rFonts w:ascii="Times New Roman" w:hAnsi="Times New Roman" w:cs="Times New Roman"/>
          <w:sz w:val="24"/>
          <w:szCs w:val="24"/>
          <w:shd w:val="clear" w:color="auto" w:fill="FFFFFF"/>
        </w:rPr>
        <w:t>. Controlling antibiotic residue in the environment</w:t>
      </w:r>
      <w:r w:rsidR="00E83845">
        <w:rPr>
          <w:rFonts w:ascii="Times New Roman" w:hAnsi="Times New Roman" w:cs="Times New Roman"/>
          <w:sz w:val="24"/>
          <w:szCs w:val="24"/>
          <w:shd w:val="clear" w:color="auto" w:fill="FFFFFF"/>
        </w:rPr>
        <w:t>,</w:t>
      </w:r>
      <w:r w:rsidRPr="00343885">
        <w:rPr>
          <w:rFonts w:ascii="Times New Roman" w:hAnsi="Times New Roman" w:cs="Times New Roman"/>
          <w:sz w:val="24"/>
          <w:szCs w:val="24"/>
          <w:shd w:val="clear" w:color="auto" w:fill="FFFFFF"/>
        </w:rPr>
        <w:t xml:space="preserve"> as well as in food and other sources</w:t>
      </w:r>
      <w:r w:rsidR="00E83845">
        <w:rPr>
          <w:rFonts w:ascii="Times New Roman" w:hAnsi="Times New Roman" w:cs="Times New Roman"/>
          <w:sz w:val="24"/>
          <w:szCs w:val="24"/>
          <w:shd w:val="clear" w:color="auto" w:fill="FFFFFF"/>
        </w:rPr>
        <w:t>,</w:t>
      </w:r>
      <w:r w:rsidRPr="00343885">
        <w:rPr>
          <w:rFonts w:ascii="Times New Roman" w:hAnsi="Times New Roman" w:cs="Times New Roman"/>
          <w:sz w:val="24"/>
          <w:szCs w:val="24"/>
          <w:shd w:val="clear" w:color="auto" w:fill="FFFFFF"/>
        </w:rPr>
        <w:t xml:space="preserve"> is a current concern. More focus has recently been placed on the breakdown of antibiotics and multidrug-resistant bacteria (MDRB) by Electron beam irradiation (EBI). </w:t>
      </w:r>
      <w:r w:rsidR="00E83845" w:rsidRPr="00343885">
        <w:rPr>
          <w:rFonts w:ascii="Times New Roman" w:hAnsi="Times New Roman" w:cs="Times New Roman"/>
          <w:sz w:val="24"/>
          <w:szCs w:val="24"/>
          <w:shd w:val="clear" w:color="auto" w:fill="FFFFFF"/>
        </w:rPr>
        <w:t>Wor</w:t>
      </w:r>
      <w:r w:rsidR="00E83845">
        <w:rPr>
          <w:rFonts w:ascii="Times New Roman" w:hAnsi="Times New Roman" w:cs="Times New Roman"/>
          <w:sz w:val="24"/>
          <w:szCs w:val="24"/>
          <w:shd w:val="clear" w:color="auto" w:fill="FFFFFF"/>
        </w:rPr>
        <w:t>ld</w:t>
      </w:r>
      <w:r w:rsidRPr="00343885">
        <w:rPr>
          <w:rFonts w:ascii="Times New Roman" w:hAnsi="Times New Roman" w:cs="Times New Roman"/>
          <w:sz w:val="24"/>
          <w:szCs w:val="24"/>
          <w:shd w:val="clear" w:color="auto" w:fill="FFFFFF"/>
        </w:rPr>
        <w:t xml:space="preserve">wide, </w:t>
      </w:r>
      <w:r w:rsidR="00E83845">
        <w:rPr>
          <w:rFonts w:ascii="Times New Roman" w:hAnsi="Times New Roman" w:cs="Times New Roman"/>
          <w:sz w:val="24"/>
          <w:szCs w:val="24"/>
          <w:shd w:val="clear" w:color="auto" w:fill="FFFFFF"/>
        </w:rPr>
        <w:t xml:space="preserve">a </w:t>
      </w:r>
      <w:r w:rsidRPr="00343885">
        <w:rPr>
          <w:rFonts w:ascii="Times New Roman" w:hAnsi="Times New Roman" w:cs="Times New Roman"/>
          <w:sz w:val="24"/>
          <w:szCs w:val="24"/>
          <w:shd w:val="clear" w:color="auto" w:fill="FFFFFF"/>
        </w:rPr>
        <w:t xml:space="preserve">few countries </w:t>
      </w:r>
      <w:r w:rsidR="00E83845">
        <w:rPr>
          <w:rFonts w:ascii="Times New Roman" w:hAnsi="Times New Roman" w:cs="Times New Roman"/>
          <w:sz w:val="24"/>
          <w:szCs w:val="24"/>
          <w:shd w:val="clear" w:color="auto" w:fill="FFFFFF"/>
        </w:rPr>
        <w:t>hav</w:t>
      </w:r>
      <w:r w:rsidR="00E83845" w:rsidRPr="00343885">
        <w:rPr>
          <w:rFonts w:ascii="Times New Roman" w:hAnsi="Times New Roman" w:cs="Times New Roman"/>
          <w:sz w:val="24"/>
          <w:szCs w:val="24"/>
          <w:shd w:val="clear" w:color="auto" w:fill="FFFFFF"/>
        </w:rPr>
        <w:t xml:space="preserve">e </w:t>
      </w:r>
      <w:r w:rsidRPr="00343885">
        <w:rPr>
          <w:rFonts w:ascii="Times New Roman" w:hAnsi="Times New Roman" w:cs="Times New Roman"/>
          <w:sz w:val="24"/>
          <w:szCs w:val="24"/>
          <w:shd w:val="clear" w:color="auto" w:fill="FFFFFF"/>
        </w:rPr>
        <w:t>started to degrade the antibiotic residing in the hospital waste by the EBIT. The cost of EBIT will greatly increase while increasing the dose. Based on the above discussion, not many studies were available because of the poor availability of EBI</w:t>
      </w:r>
      <w:r w:rsidR="00B10247">
        <w:rPr>
          <w:rFonts w:ascii="Times New Roman" w:hAnsi="Times New Roman" w:cs="Times New Roman"/>
          <w:sz w:val="24"/>
          <w:szCs w:val="24"/>
          <w:shd w:val="clear" w:color="auto" w:fill="FFFFFF"/>
        </w:rPr>
        <w:t>T</w:t>
      </w:r>
      <w:r w:rsidRPr="00343885">
        <w:rPr>
          <w:rFonts w:ascii="Times New Roman" w:hAnsi="Times New Roman" w:cs="Times New Roman"/>
          <w:sz w:val="24"/>
          <w:szCs w:val="24"/>
          <w:shd w:val="clear" w:color="auto" w:fill="FFFFFF"/>
        </w:rPr>
        <w:t xml:space="preserve">. The existing practices mostly use higher doses to destroy the antibiotics in the bottles. Our aim of the study is to reduce the dose required for the EBIT by diluting it with water. So, in the present study, a study Chloramphenicol was diluted from high concentration to low concentration and exposed to 0.5kGy to 40 kGy, and the degradation was assessed by a simple technique. In addition, antibiotics attached to the paper strip were also evaluated for a better understanding.   The breakdown of antibiotics in aqueous media has only recently been the subject of a small number of investigations. In the current investigation, two antibiotics have been tested in the aqueous medium: one stable (Chloramphenicol) and one often used (Oxytetracycline). The antibacterial activity of 40 different antibiotics contained in the paper disc was also tested using the EBI. After the irradiation, the antibacterial activity and the level of degradation were assessed by the simple agar well diffusion assay, and found that Based on the assay, it has been observed a simple well diffusion method is sufficient to evaluate the degradation level of antibiotics in the water. The paper disc method is simple to find the EBI resistant and EBI susceptible antibiotics within a short duration.        </w:t>
      </w:r>
    </w:p>
    <w:p w14:paraId="25A0C735" w14:textId="77777777" w:rsidR="00130E14" w:rsidRPr="00343885" w:rsidRDefault="00130E14" w:rsidP="00343885">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2406FA85" w14:textId="57188B60" w:rsidR="00F40E1A" w:rsidRPr="00343885" w:rsidRDefault="00F033E4" w:rsidP="00343885">
      <w:pPr>
        <w:autoSpaceDE w:val="0"/>
        <w:autoSpaceDN w:val="0"/>
        <w:adjustRightInd w:val="0"/>
        <w:spacing w:after="0" w:line="360" w:lineRule="auto"/>
        <w:jc w:val="both"/>
        <w:rPr>
          <w:rFonts w:ascii="Times New Roman" w:hAnsi="Times New Roman" w:cs="Times New Roman"/>
          <w:color w:val="000000"/>
          <w:sz w:val="24"/>
          <w:szCs w:val="24"/>
          <w:shd w:val="clear" w:color="auto" w:fill="FFFFFF"/>
        </w:rPr>
      </w:pPr>
      <w:r w:rsidRPr="00343885">
        <w:rPr>
          <w:rFonts w:ascii="Times New Roman" w:hAnsi="Times New Roman" w:cs="Times New Roman"/>
          <w:sz w:val="24"/>
          <w:szCs w:val="24"/>
          <w:shd w:val="clear" w:color="auto" w:fill="FFFFFF"/>
        </w:rPr>
        <w:t>The selection of suitable antibiotics for the experiment is almost crucial for a better result</w:t>
      </w:r>
      <w:r w:rsidR="00E83845">
        <w:rPr>
          <w:rFonts w:ascii="Times New Roman" w:hAnsi="Times New Roman" w:cs="Times New Roman"/>
          <w:sz w:val="24"/>
          <w:szCs w:val="24"/>
          <w:shd w:val="clear" w:color="auto" w:fill="FFFFFF"/>
        </w:rPr>
        <w:t>,</w:t>
      </w:r>
      <w:r w:rsidRPr="00343885">
        <w:rPr>
          <w:rFonts w:ascii="Times New Roman" w:hAnsi="Times New Roman" w:cs="Times New Roman"/>
          <w:sz w:val="24"/>
          <w:szCs w:val="24"/>
          <w:shd w:val="clear" w:color="auto" w:fill="FFFFFF"/>
        </w:rPr>
        <w:t xml:space="preserve"> even with the different replication</w:t>
      </w:r>
      <w:r w:rsidR="00E83845">
        <w:rPr>
          <w:rFonts w:ascii="Times New Roman" w:hAnsi="Times New Roman" w:cs="Times New Roman"/>
          <w:sz w:val="24"/>
          <w:szCs w:val="24"/>
          <w:shd w:val="clear" w:color="auto" w:fill="FFFFFF"/>
        </w:rPr>
        <w:t>s</w:t>
      </w:r>
      <w:r w:rsidRPr="00343885">
        <w:rPr>
          <w:rFonts w:ascii="Times New Roman" w:hAnsi="Times New Roman" w:cs="Times New Roman"/>
          <w:sz w:val="24"/>
          <w:szCs w:val="24"/>
          <w:shd w:val="clear" w:color="auto" w:fill="FFFFFF"/>
        </w:rPr>
        <w:t xml:space="preserve">. Among the antibiotics, the CAP is highly stable and </w:t>
      </w:r>
      <w:r w:rsidR="00FB3D50" w:rsidRPr="00343885">
        <w:rPr>
          <w:rFonts w:ascii="Times New Roman" w:hAnsi="Times New Roman" w:cs="Times New Roman"/>
          <w:sz w:val="24"/>
          <w:szCs w:val="24"/>
          <w:shd w:val="clear" w:color="auto" w:fill="FFFFFF"/>
        </w:rPr>
        <w:t>withstands</w:t>
      </w:r>
      <w:r w:rsidRPr="00343885">
        <w:rPr>
          <w:rFonts w:ascii="Times New Roman" w:hAnsi="Times New Roman" w:cs="Times New Roman"/>
          <w:sz w:val="24"/>
          <w:szCs w:val="24"/>
          <w:shd w:val="clear" w:color="auto" w:fill="FFFFFF"/>
        </w:rPr>
        <w:t xml:space="preserve"> even </w:t>
      </w:r>
      <w:r w:rsidR="00E83845" w:rsidRPr="00343885">
        <w:rPr>
          <w:rFonts w:ascii="Times New Roman" w:hAnsi="Times New Roman" w:cs="Times New Roman"/>
          <w:sz w:val="24"/>
          <w:szCs w:val="24"/>
          <w:shd w:val="clear" w:color="auto" w:fill="FFFFFF"/>
        </w:rPr>
        <w:t>121</w:t>
      </w:r>
      <w:r w:rsidR="00E83845">
        <w:rPr>
          <w:rFonts w:ascii="Times New Roman" w:hAnsi="Times New Roman" w:cs="Times New Roman"/>
          <w:sz w:val="24"/>
          <w:szCs w:val="24"/>
          <w:shd w:val="clear" w:color="auto" w:fill="FFFFFF"/>
          <w:vertAlign w:val="superscript"/>
        </w:rPr>
        <w:t xml:space="preserve"> °</w:t>
      </w:r>
      <w:r w:rsidR="00E83845" w:rsidRPr="00343885">
        <w:rPr>
          <w:rFonts w:ascii="Times New Roman" w:hAnsi="Times New Roman" w:cs="Times New Roman"/>
          <w:sz w:val="24"/>
          <w:szCs w:val="24"/>
          <w:shd w:val="clear" w:color="auto" w:fill="FFFFFF"/>
        </w:rPr>
        <w:t>C</w:t>
      </w:r>
      <w:r w:rsidRPr="00343885">
        <w:rPr>
          <w:rFonts w:ascii="Times New Roman" w:hAnsi="Times New Roman" w:cs="Times New Roman"/>
          <w:sz w:val="24"/>
          <w:szCs w:val="24"/>
          <w:shd w:val="clear" w:color="auto" w:fill="FFFFFF"/>
        </w:rPr>
        <w:t xml:space="preserve">. Hence, the CAP has been chosen for the study. In addition, the most commonly used antibiotics in aquaculture applications, viz. Oxytetracycline has been tried (Lulijwa et al., 2020). </w:t>
      </w:r>
      <w:r w:rsidR="0062241A" w:rsidRPr="00343885">
        <w:rPr>
          <w:rFonts w:ascii="Times New Roman" w:hAnsi="Times New Roman" w:cs="Times New Roman"/>
          <w:sz w:val="24"/>
          <w:szCs w:val="24"/>
          <w:shd w:val="clear" w:color="auto" w:fill="FFFFFF"/>
        </w:rPr>
        <w:t>The d</w:t>
      </w:r>
      <w:r w:rsidRPr="00343885">
        <w:rPr>
          <w:rFonts w:ascii="Times New Roman" w:hAnsi="Times New Roman" w:cs="Times New Roman"/>
          <w:sz w:val="24"/>
          <w:szCs w:val="24"/>
          <w:shd w:val="clear" w:color="auto" w:fill="FFFFFF"/>
        </w:rPr>
        <w:t xml:space="preserve">egree of destruction of antibiotics </w:t>
      </w:r>
      <w:r w:rsidRPr="00343885">
        <w:rPr>
          <w:rFonts w:ascii="Times New Roman" w:hAnsi="Times New Roman" w:cs="Times New Roman"/>
          <w:color w:val="000000"/>
          <w:sz w:val="24"/>
          <w:szCs w:val="24"/>
          <w:shd w:val="clear" w:color="auto" w:fill="FFFFFF"/>
        </w:rPr>
        <w:t xml:space="preserve">varies based on the materials in which the antibiotics are dissolved, density, size and </w:t>
      </w:r>
      <w:r w:rsidR="00D80642" w:rsidRPr="00343885">
        <w:rPr>
          <w:rFonts w:ascii="Times New Roman" w:eastAsiaTheme="minorHAnsi" w:hAnsi="Times New Roman" w:cs="Times New Roman"/>
          <w:sz w:val="24"/>
          <w:szCs w:val="24"/>
        </w:rPr>
        <w:t>obtained</w:t>
      </w:r>
      <w:r w:rsidR="00087E0B" w:rsidRPr="00343885">
        <w:rPr>
          <w:rFonts w:ascii="Times New Roman" w:eastAsiaTheme="minorHAnsi" w:hAnsi="Times New Roman" w:cs="Times New Roman"/>
          <w:sz w:val="24"/>
          <w:szCs w:val="24"/>
        </w:rPr>
        <w:t xml:space="preserve"> as kinetic energy when the electron moves in a high electric field. The penetration power of Electron Beam Irradiation (EBI) would vary based on the thickness of the materials</w:t>
      </w:r>
      <w:r w:rsidR="00E83845">
        <w:rPr>
          <w:rFonts w:ascii="Times New Roman" w:eastAsiaTheme="minorHAnsi" w:hAnsi="Times New Roman" w:cs="Times New Roman"/>
          <w:sz w:val="24"/>
          <w:szCs w:val="24"/>
        </w:rPr>
        <w:t>. I</w:t>
      </w:r>
      <w:r w:rsidR="00087E0B" w:rsidRPr="00343885">
        <w:rPr>
          <w:rFonts w:ascii="Times New Roman" w:eastAsiaTheme="minorHAnsi" w:hAnsi="Times New Roman" w:cs="Times New Roman"/>
          <w:sz w:val="24"/>
          <w:szCs w:val="24"/>
        </w:rPr>
        <w:t xml:space="preserve">f the thickness of the materials is higher, the dose required to pass the beam </w:t>
      </w:r>
      <w:r w:rsidR="00E83845">
        <w:rPr>
          <w:rFonts w:ascii="Times New Roman" w:eastAsiaTheme="minorHAnsi" w:hAnsi="Times New Roman" w:cs="Times New Roman"/>
          <w:sz w:val="24"/>
          <w:szCs w:val="24"/>
        </w:rPr>
        <w:t>will also</w:t>
      </w:r>
      <w:r w:rsidR="00087E0B" w:rsidRPr="00343885">
        <w:rPr>
          <w:rFonts w:ascii="Times New Roman" w:eastAsiaTheme="minorHAnsi" w:hAnsi="Times New Roman" w:cs="Times New Roman"/>
          <w:sz w:val="24"/>
          <w:szCs w:val="24"/>
        </w:rPr>
        <w:t xml:space="preserve"> be higher. In hospital waste, most antibiotics are either in plastic or glass ampoules/vials/ </w:t>
      </w:r>
      <w:r w:rsidR="00087E0B" w:rsidRPr="00343885">
        <w:rPr>
          <w:rFonts w:ascii="Times New Roman" w:eastAsiaTheme="minorHAnsi" w:hAnsi="Times New Roman" w:cs="Times New Roman"/>
          <w:sz w:val="24"/>
          <w:szCs w:val="24"/>
        </w:rPr>
        <w:lastRenderedPageBreak/>
        <w:t>intravenous plastic pouches. So, the dose required for the destruction of the antibiotics will be much higher than the direct exposure of the antibiotics in the aqueous medium. In the present study, Electron Beam (EB) irradiation technique was used to destroy the antibiotics present in an aqueous medium for the determination of the possible dose required for the destruction of Chloramphenicol (CAP) and Oxytetracycline (OTC). The degree of destruction of antibiotics varies based on the materials in which the antibiotics are dissolved, density, size, concentration, and thickness of the materials, etc. So, to control multiple factor variables, the 96-</w:t>
      </w:r>
      <w:r w:rsidR="00C45557">
        <w:rPr>
          <w:rFonts w:ascii="Times New Roman" w:eastAsiaTheme="minorHAnsi" w:hAnsi="Times New Roman" w:cs="Times New Roman"/>
          <w:sz w:val="24"/>
          <w:szCs w:val="24"/>
        </w:rPr>
        <w:t>well</w:t>
      </w:r>
      <w:r w:rsidR="00C45557" w:rsidRPr="00343885">
        <w:rPr>
          <w:rFonts w:ascii="Times New Roman" w:eastAsiaTheme="minorHAnsi" w:hAnsi="Times New Roman" w:cs="Times New Roman"/>
          <w:sz w:val="24"/>
          <w:szCs w:val="24"/>
        </w:rPr>
        <w:t xml:space="preserve"> </w:t>
      </w:r>
      <w:r w:rsidR="00087E0B" w:rsidRPr="00343885">
        <w:rPr>
          <w:rFonts w:ascii="Times New Roman" w:eastAsiaTheme="minorHAnsi" w:hAnsi="Times New Roman" w:cs="Times New Roman"/>
          <w:sz w:val="24"/>
          <w:szCs w:val="24"/>
        </w:rPr>
        <w:t>c</w:t>
      </w:r>
      <w:r w:rsidR="00C45557">
        <w:rPr>
          <w:rFonts w:ascii="Times New Roman" w:eastAsiaTheme="minorHAnsi" w:hAnsi="Times New Roman" w:cs="Times New Roman"/>
          <w:sz w:val="24"/>
          <w:szCs w:val="24"/>
        </w:rPr>
        <w:t>e</w:t>
      </w:r>
      <w:r w:rsidR="00087E0B" w:rsidRPr="00343885">
        <w:rPr>
          <w:rFonts w:ascii="Times New Roman" w:eastAsiaTheme="minorHAnsi" w:hAnsi="Times New Roman" w:cs="Times New Roman"/>
          <w:sz w:val="24"/>
          <w:szCs w:val="24"/>
        </w:rPr>
        <w:t>ll culture plate was chosen for the experiment</w:t>
      </w:r>
      <w:r w:rsidR="00E83845">
        <w:rPr>
          <w:rFonts w:ascii="Times New Roman" w:eastAsiaTheme="minorHAnsi" w:hAnsi="Times New Roman" w:cs="Times New Roman"/>
          <w:sz w:val="24"/>
          <w:szCs w:val="24"/>
        </w:rPr>
        <w:t>,</w:t>
      </w:r>
      <w:r w:rsidR="00087E0B" w:rsidRPr="00343885">
        <w:rPr>
          <w:rFonts w:ascii="Times New Roman" w:eastAsiaTheme="minorHAnsi" w:hAnsi="Times New Roman" w:cs="Times New Roman"/>
          <w:sz w:val="24"/>
          <w:szCs w:val="24"/>
        </w:rPr>
        <w:t xml:space="preserve"> where the inoculum size and the plate are of uniform dimension</w:t>
      </w:r>
      <w:r w:rsidR="00E83845">
        <w:rPr>
          <w:rFonts w:ascii="Times New Roman" w:eastAsiaTheme="minorHAnsi" w:hAnsi="Times New Roman" w:cs="Times New Roman"/>
          <w:sz w:val="24"/>
          <w:szCs w:val="24"/>
        </w:rPr>
        <w:t>s</w:t>
      </w:r>
      <w:r w:rsidR="00087E0B" w:rsidRPr="00343885">
        <w:rPr>
          <w:rFonts w:ascii="Times New Roman" w:eastAsiaTheme="minorHAnsi" w:hAnsi="Times New Roman" w:cs="Times New Roman"/>
          <w:sz w:val="24"/>
          <w:szCs w:val="24"/>
        </w:rPr>
        <w:t>. The complexity of the investigation is fixing the dose for the destruction because the dose requirement varies based on the initial concentration, depth of the water, and the attached materials</w:t>
      </w:r>
      <w:r w:rsidR="00B92B20" w:rsidRPr="00343885">
        <w:rPr>
          <w:rFonts w:ascii="Times New Roman" w:hAnsi="Times New Roman" w:cs="Times New Roman"/>
          <w:sz w:val="24"/>
          <w:szCs w:val="24"/>
        </w:rPr>
        <w:fldChar w:fldCharType="begin"/>
      </w:r>
      <w:r w:rsidR="000532B0">
        <w:rPr>
          <w:rFonts w:ascii="Times New Roman" w:hAnsi="Times New Roman" w:cs="Times New Roman"/>
          <w:sz w:val="24"/>
          <w:szCs w:val="24"/>
        </w:rPr>
        <w:instrText xml:space="preserve"> ADDIN ZOTERO_ITEM CSL_CITATION {"citationID":"jnzS7Xxs","properties":{"formattedCitation":"\\super 7\\nosupersub{}","plainCitation":"7","noteIndex":0},"citationItems":[{"id":"AXwEQWfZ/uRRrNPO8","uris":["http://zotero.org/users/local/42Ekf4cZ/items/T6M229D5"],"itemData":{"id":72,"type":"article-journal","container-title":"Journal of Environmental Biology","DOI":"10.22438/jeb/41/5/MRN-1259","ISSN":"02548704, 23940379","issue":"5","journalAbbreviation":"JEB","page":"1013-1017","source":"DOI.org (Crossref)","title":"Destructive dose determination of electron beam irradiation for pathogenic bacteria in water medium by 96 well plate assay","URL":"http://jeb.co.in/journal_issues/202009_sep20/paper_09.pdf","volume":"41","author":[{"family":"Visnuvinayagam","given":"S."},{"family":"Murthy","given":"L.N."},{"family":"Parvathy","given":"U."},{"family":"Jeyakumari","given":"A."},{"family":"Rawat","given":"K.P."},{"family":"Khadar","given":"S.A."},{"family":"Sarma","given":"K.S.S."}],"accessed":{"date-parts":[["2025",2,2]]},"issued":{"date-parts":[["2020",9,14]]}}}],"schema":"https://github.com/citation-style-language/schema/raw/master/csl-citation.json"} </w:instrText>
      </w:r>
      <w:r w:rsidR="00B92B20" w:rsidRPr="00343885">
        <w:rPr>
          <w:rFonts w:ascii="Times New Roman" w:hAnsi="Times New Roman" w:cs="Times New Roman"/>
          <w:sz w:val="24"/>
          <w:szCs w:val="24"/>
        </w:rPr>
        <w:fldChar w:fldCharType="separate"/>
      </w:r>
      <w:r w:rsidR="000532B0" w:rsidRPr="000532B0">
        <w:rPr>
          <w:rFonts w:ascii="Times New Roman" w:hAnsi="Times New Roman" w:cs="Times New Roman"/>
          <w:sz w:val="24"/>
          <w:vertAlign w:val="superscript"/>
        </w:rPr>
        <w:t>7</w:t>
      </w:r>
      <w:r w:rsidR="00B92B20" w:rsidRPr="00343885">
        <w:rPr>
          <w:rFonts w:ascii="Times New Roman" w:hAnsi="Times New Roman" w:cs="Times New Roman"/>
          <w:sz w:val="24"/>
          <w:szCs w:val="24"/>
        </w:rPr>
        <w:fldChar w:fldCharType="end"/>
      </w:r>
      <w:r w:rsidR="00087E0B" w:rsidRPr="00343885">
        <w:rPr>
          <w:rFonts w:ascii="Times New Roman" w:eastAsiaTheme="minorHAnsi" w:hAnsi="Times New Roman" w:cs="Times New Roman"/>
          <w:sz w:val="24"/>
          <w:szCs w:val="24"/>
        </w:rPr>
        <w:t xml:space="preserve">. So, in the present study, a simple method has been tried in </w:t>
      </w:r>
      <w:r w:rsidR="00E83845">
        <w:rPr>
          <w:rFonts w:ascii="Times New Roman" w:eastAsiaTheme="minorHAnsi" w:hAnsi="Times New Roman" w:cs="Times New Roman"/>
          <w:sz w:val="24"/>
          <w:szCs w:val="24"/>
        </w:rPr>
        <w:t>a</w:t>
      </w:r>
      <w:r w:rsidR="00E83845" w:rsidRPr="00343885">
        <w:rPr>
          <w:rFonts w:ascii="Times New Roman" w:eastAsiaTheme="minorHAnsi" w:hAnsi="Times New Roman" w:cs="Times New Roman"/>
          <w:sz w:val="24"/>
          <w:szCs w:val="24"/>
        </w:rPr>
        <w:t xml:space="preserve"> </w:t>
      </w:r>
      <w:r w:rsidR="00087E0B" w:rsidRPr="00343885">
        <w:rPr>
          <w:rFonts w:ascii="Times New Roman" w:eastAsiaTheme="minorHAnsi" w:hAnsi="Times New Roman" w:cs="Times New Roman"/>
          <w:sz w:val="24"/>
          <w:szCs w:val="24"/>
        </w:rPr>
        <w:t>single attempt; we can able to assess the different antibiotics in the various water</w:t>
      </w:r>
      <w:r w:rsidR="00E83845">
        <w:rPr>
          <w:rFonts w:ascii="Times New Roman" w:eastAsiaTheme="minorHAnsi" w:hAnsi="Times New Roman" w:cs="Times New Roman"/>
          <w:sz w:val="24"/>
          <w:szCs w:val="24"/>
        </w:rPr>
        <w:t>s</w:t>
      </w:r>
      <w:r w:rsidR="00087E0B" w:rsidRPr="00343885">
        <w:rPr>
          <w:rFonts w:ascii="Times New Roman" w:eastAsiaTheme="minorHAnsi" w:hAnsi="Times New Roman" w:cs="Times New Roman"/>
          <w:sz w:val="24"/>
          <w:szCs w:val="24"/>
        </w:rPr>
        <w:t xml:space="preserve">. In addition, the list of antibiotics susceptible to particular antibiotics can be separated for practical purposes. </w:t>
      </w:r>
      <w:r w:rsidR="00BF188C" w:rsidRPr="00343885">
        <w:rPr>
          <w:rFonts w:ascii="Times New Roman" w:eastAsiaTheme="minorHAnsi" w:hAnsi="Times New Roman" w:cs="Times New Roman"/>
          <w:sz w:val="24"/>
          <w:szCs w:val="24"/>
        </w:rPr>
        <w:t xml:space="preserve">The </w:t>
      </w:r>
      <w:r w:rsidRPr="00343885">
        <w:rPr>
          <w:rFonts w:ascii="Times New Roman" w:hAnsi="Times New Roman" w:cs="Times New Roman"/>
          <w:color w:val="000000"/>
          <w:sz w:val="24"/>
          <w:szCs w:val="24"/>
          <w:shd w:val="clear" w:color="auto" w:fill="FFFFFF"/>
        </w:rPr>
        <w:t>thickness of the materials</w:t>
      </w:r>
      <w:r w:rsidR="00E83845">
        <w:rPr>
          <w:rFonts w:ascii="Times New Roman" w:hAnsi="Times New Roman" w:cs="Times New Roman"/>
          <w:color w:val="000000"/>
          <w:sz w:val="24"/>
          <w:szCs w:val="24"/>
          <w:shd w:val="clear" w:color="auto" w:fill="FFFFFF"/>
        </w:rPr>
        <w:t>,</w:t>
      </w:r>
      <w:r w:rsidRPr="00343885">
        <w:rPr>
          <w:rFonts w:ascii="Times New Roman" w:hAnsi="Times New Roman" w:cs="Times New Roman"/>
          <w:color w:val="000000"/>
          <w:sz w:val="24"/>
          <w:szCs w:val="24"/>
          <w:shd w:val="clear" w:color="auto" w:fill="FFFFFF"/>
        </w:rPr>
        <w:t xml:space="preserve"> etc. So, in order to control multiple factor variables, the 96</w:t>
      </w:r>
      <w:r w:rsidR="0062241A" w:rsidRPr="00343885">
        <w:rPr>
          <w:rFonts w:ascii="Times New Roman" w:hAnsi="Times New Roman" w:cs="Times New Roman"/>
          <w:color w:val="000000"/>
          <w:sz w:val="24"/>
          <w:szCs w:val="24"/>
          <w:shd w:val="clear" w:color="auto" w:fill="FFFFFF"/>
        </w:rPr>
        <w:t xml:space="preserve">-MTP </w:t>
      </w:r>
      <w:r w:rsidRPr="00343885">
        <w:rPr>
          <w:rFonts w:ascii="Times New Roman" w:hAnsi="Times New Roman" w:cs="Times New Roman"/>
          <w:color w:val="000000"/>
          <w:sz w:val="24"/>
          <w:szCs w:val="24"/>
          <w:shd w:val="clear" w:color="auto" w:fill="FFFFFF"/>
        </w:rPr>
        <w:t>plate was chosen for the experiment</w:t>
      </w:r>
      <w:r w:rsidR="00E83845">
        <w:rPr>
          <w:rFonts w:ascii="Times New Roman" w:hAnsi="Times New Roman" w:cs="Times New Roman"/>
          <w:color w:val="000000"/>
          <w:sz w:val="24"/>
          <w:szCs w:val="24"/>
          <w:shd w:val="clear" w:color="auto" w:fill="FFFFFF"/>
        </w:rPr>
        <w:t>,</w:t>
      </w:r>
      <w:r w:rsidRPr="00343885">
        <w:rPr>
          <w:rFonts w:ascii="Times New Roman" w:hAnsi="Times New Roman" w:cs="Times New Roman"/>
          <w:color w:val="000000"/>
          <w:sz w:val="24"/>
          <w:szCs w:val="24"/>
          <w:shd w:val="clear" w:color="auto" w:fill="FFFFFF"/>
        </w:rPr>
        <w:t xml:space="preserve"> where the inoculum size and the plate are of uniform dimension</w:t>
      </w:r>
      <w:r w:rsidR="00E83845">
        <w:rPr>
          <w:rFonts w:ascii="Times New Roman" w:hAnsi="Times New Roman" w:cs="Times New Roman"/>
          <w:color w:val="000000"/>
          <w:sz w:val="24"/>
          <w:szCs w:val="24"/>
          <w:shd w:val="clear" w:color="auto" w:fill="FFFFFF"/>
        </w:rPr>
        <w:t>s</w:t>
      </w:r>
      <w:r w:rsidRPr="00343885">
        <w:rPr>
          <w:rFonts w:ascii="Times New Roman" w:hAnsi="Times New Roman" w:cs="Times New Roman"/>
          <w:color w:val="000000"/>
          <w:sz w:val="24"/>
          <w:szCs w:val="24"/>
          <w:shd w:val="clear" w:color="auto" w:fill="FFFFFF"/>
        </w:rPr>
        <w:t>.</w:t>
      </w:r>
    </w:p>
    <w:p w14:paraId="3AC597FC" w14:textId="77777777" w:rsidR="00B5340C" w:rsidRPr="00343885" w:rsidRDefault="00B5340C" w:rsidP="00343885">
      <w:pPr>
        <w:autoSpaceDE w:val="0"/>
        <w:autoSpaceDN w:val="0"/>
        <w:adjustRightInd w:val="0"/>
        <w:spacing w:after="0" w:line="360" w:lineRule="auto"/>
        <w:ind w:firstLine="720"/>
        <w:jc w:val="both"/>
        <w:rPr>
          <w:rFonts w:ascii="Times New Roman" w:hAnsi="Times New Roman" w:cs="Times New Roman"/>
          <w:color w:val="000000"/>
          <w:sz w:val="24"/>
          <w:szCs w:val="24"/>
          <w:shd w:val="clear" w:color="auto" w:fill="FFFFFF"/>
        </w:rPr>
      </w:pPr>
    </w:p>
    <w:p w14:paraId="496465F4" w14:textId="77777777" w:rsidR="00F35A60" w:rsidRPr="00343885" w:rsidRDefault="00F35A60" w:rsidP="00343885">
      <w:pPr>
        <w:autoSpaceDE w:val="0"/>
        <w:autoSpaceDN w:val="0"/>
        <w:adjustRightInd w:val="0"/>
        <w:spacing w:after="0" w:line="360" w:lineRule="auto"/>
        <w:ind w:firstLine="720"/>
        <w:jc w:val="both"/>
        <w:rPr>
          <w:rFonts w:ascii="Times New Roman" w:hAnsi="Times New Roman" w:cs="Times New Roman"/>
          <w:color w:val="000000"/>
          <w:sz w:val="24"/>
          <w:szCs w:val="24"/>
          <w:shd w:val="clear" w:color="auto" w:fill="FFFFFF"/>
        </w:rPr>
      </w:pPr>
    </w:p>
    <w:p w14:paraId="2BA81F74" w14:textId="63A7BB0A" w:rsidR="00B905BE" w:rsidRPr="00343885" w:rsidRDefault="00F033E4" w:rsidP="00343885">
      <w:pPr>
        <w:spacing w:line="360" w:lineRule="auto"/>
        <w:ind w:firstLine="720"/>
        <w:jc w:val="both"/>
        <w:rPr>
          <w:rFonts w:ascii="Times New Roman" w:hAnsi="Times New Roman" w:cs="Times New Roman"/>
          <w:sz w:val="24"/>
          <w:szCs w:val="24"/>
        </w:rPr>
      </w:pPr>
      <w:r w:rsidRPr="00343885">
        <w:rPr>
          <w:rFonts w:ascii="Times New Roman" w:hAnsi="Times New Roman" w:cs="Times New Roman"/>
          <w:sz w:val="24"/>
          <w:szCs w:val="24"/>
          <w:shd w:val="clear" w:color="auto" w:fill="FFFFFF"/>
        </w:rPr>
        <w:t>96-Well-Plate with varied concentration</w:t>
      </w:r>
      <w:r w:rsidR="0062241A" w:rsidRPr="00343885">
        <w:rPr>
          <w:rFonts w:ascii="Times New Roman" w:hAnsi="Times New Roman" w:cs="Times New Roman"/>
          <w:sz w:val="24"/>
          <w:szCs w:val="24"/>
          <w:shd w:val="clear" w:color="auto" w:fill="FFFFFF"/>
        </w:rPr>
        <w:t>s</w:t>
      </w:r>
      <w:r w:rsidRPr="00343885">
        <w:rPr>
          <w:rFonts w:ascii="Times New Roman" w:hAnsi="Times New Roman" w:cs="Times New Roman"/>
          <w:sz w:val="24"/>
          <w:szCs w:val="24"/>
          <w:shd w:val="clear" w:color="auto" w:fill="FFFFFF"/>
        </w:rPr>
        <w:t xml:space="preserve"> of CAP in the 1</w:t>
      </w:r>
      <w:r w:rsidRPr="00343885">
        <w:rPr>
          <w:rFonts w:ascii="Times New Roman" w:hAnsi="Times New Roman" w:cs="Times New Roman"/>
          <w:sz w:val="24"/>
          <w:szCs w:val="24"/>
        </w:rPr>
        <w:t>00µl in the row was exposed to 0.5, 1.0, 1.5, 2.0, 2.5, 5, 7.5, 10, 20, 30</w:t>
      </w:r>
      <w:r w:rsidR="00BF188C" w:rsidRPr="00343885">
        <w:rPr>
          <w:rFonts w:ascii="Times New Roman" w:hAnsi="Times New Roman" w:cs="Times New Roman"/>
          <w:sz w:val="24"/>
          <w:szCs w:val="24"/>
        </w:rPr>
        <w:t>,</w:t>
      </w:r>
      <w:r w:rsidRPr="00343885">
        <w:rPr>
          <w:rFonts w:ascii="Times New Roman" w:hAnsi="Times New Roman" w:cs="Times New Roman"/>
          <w:sz w:val="24"/>
          <w:szCs w:val="24"/>
        </w:rPr>
        <w:t xml:space="preserve"> and 40kGy along with </w:t>
      </w:r>
      <w:r w:rsidR="00983019" w:rsidRPr="00343885">
        <w:rPr>
          <w:rFonts w:ascii="Times New Roman" w:hAnsi="Times New Roman" w:cs="Times New Roman"/>
          <w:sz w:val="24"/>
          <w:szCs w:val="24"/>
        </w:rPr>
        <w:t xml:space="preserve">an </w:t>
      </w:r>
      <w:r w:rsidRPr="00343885">
        <w:rPr>
          <w:rFonts w:ascii="Times New Roman" w:hAnsi="Times New Roman" w:cs="Times New Roman"/>
          <w:sz w:val="24"/>
          <w:szCs w:val="24"/>
        </w:rPr>
        <w:t>unexposed con</w:t>
      </w:r>
      <w:r w:rsidR="0062241A" w:rsidRPr="00343885">
        <w:rPr>
          <w:rFonts w:ascii="Times New Roman" w:hAnsi="Times New Roman" w:cs="Times New Roman"/>
          <w:sz w:val="24"/>
          <w:szCs w:val="24"/>
        </w:rPr>
        <w:t>t</w:t>
      </w:r>
      <w:r w:rsidRPr="00343885">
        <w:rPr>
          <w:rFonts w:ascii="Times New Roman" w:hAnsi="Times New Roman" w:cs="Times New Roman"/>
          <w:sz w:val="24"/>
          <w:szCs w:val="24"/>
        </w:rPr>
        <w:t>rol plate</w:t>
      </w:r>
      <w:r w:rsidR="00125099" w:rsidRPr="00343885">
        <w:rPr>
          <w:rFonts w:ascii="Times New Roman" w:hAnsi="Times New Roman" w:cs="Times New Roman"/>
          <w:sz w:val="24"/>
          <w:szCs w:val="24"/>
        </w:rPr>
        <w:t xml:space="preserve"> (Figure 1)</w:t>
      </w:r>
      <w:r w:rsidRPr="00343885">
        <w:rPr>
          <w:rFonts w:ascii="Times New Roman" w:hAnsi="Times New Roman" w:cs="Times New Roman"/>
          <w:sz w:val="24"/>
          <w:szCs w:val="24"/>
        </w:rPr>
        <w:t xml:space="preserve">. </w:t>
      </w:r>
      <w:r w:rsidR="0062241A" w:rsidRPr="00343885">
        <w:rPr>
          <w:rFonts w:ascii="Times New Roman" w:hAnsi="Times New Roman" w:cs="Times New Roman"/>
          <w:sz w:val="24"/>
          <w:szCs w:val="24"/>
        </w:rPr>
        <w:t>The d</w:t>
      </w:r>
      <w:r w:rsidRPr="00343885">
        <w:rPr>
          <w:rFonts w:ascii="Times New Roman" w:hAnsi="Times New Roman" w:cs="Times New Roman"/>
          <w:sz w:val="24"/>
          <w:szCs w:val="24"/>
        </w:rPr>
        <w:t>egradation level was assessed by the well</w:t>
      </w:r>
      <w:r w:rsidR="0092383F" w:rsidRPr="00343885">
        <w:rPr>
          <w:rFonts w:ascii="Times New Roman" w:hAnsi="Times New Roman" w:cs="Times New Roman"/>
          <w:sz w:val="24"/>
          <w:szCs w:val="24"/>
        </w:rPr>
        <w:t xml:space="preserve"> </w:t>
      </w:r>
      <w:r w:rsidRPr="00343885">
        <w:rPr>
          <w:rFonts w:ascii="Times New Roman" w:hAnsi="Times New Roman" w:cs="Times New Roman"/>
          <w:sz w:val="24"/>
          <w:szCs w:val="24"/>
        </w:rPr>
        <w:t>diffusion</w:t>
      </w:r>
      <w:r w:rsidR="0092383F" w:rsidRPr="00343885">
        <w:rPr>
          <w:rFonts w:ascii="Times New Roman" w:hAnsi="Times New Roman" w:cs="Times New Roman"/>
          <w:sz w:val="24"/>
          <w:szCs w:val="24"/>
        </w:rPr>
        <w:t xml:space="preserve"> </w:t>
      </w:r>
      <w:r w:rsidRPr="00343885">
        <w:rPr>
          <w:rFonts w:ascii="Times New Roman" w:hAnsi="Times New Roman" w:cs="Times New Roman"/>
          <w:sz w:val="24"/>
          <w:szCs w:val="24"/>
        </w:rPr>
        <w:t>assay</w:t>
      </w:r>
      <w:r w:rsidR="00125099" w:rsidRPr="00343885">
        <w:rPr>
          <w:rFonts w:ascii="Times New Roman" w:hAnsi="Times New Roman" w:cs="Times New Roman"/>
          <w:sz w:val="24"/>
          <w:szCs w:val="24"/>
        </w:rPr>
        <w:t xml:space="preserve"> (Figure 2)</w:t>
      </w:r>
      <w:r w:rsidRPr="00343885">
        <w:rPr>
          <w:rFonts w:ascii="Times New Roman" w:hAnsi="Times New Roman" w:cs="Times New Roman"/>
          <w:sz w:val="24"/>
          <w:szCs w:val="24"/>
        </w:rPr>
        <w:t xml:space="preserve">. </w:t>
      </w:r>
      <w:r w:rsidR="00D46D55" w:rsidRPr="00343885">
        <w:rPr>
          <w:rFonts w:ascii="Times New Roman" w:hAnsi="Times New Roman" w:cs="Times New Roman"/>
          <w:sz w:val="24"/>
          <w:szCs w:val="24"/>
        </w:rPr>
        <w:t>In non-irradiated samples</w:t>
      </w:r>
      <w:r w:rsidR="00125099" w:rsidRPr="00343885">
        <w:rPr>
          <w:rFonts w:ascii="Times New Roman" w:hAnsi="Times New Roman" w:cs="Times New Roman"/>
          <w:sz w:val="24"/>
          <w:szCs w:val="24"/>
        </w:rPr>
        <w:t xml:space="preserve">, </w:t>
      </w:r>
      <w:r w:rsidR="0062241A" w:rsidRPr="00343885">
        <w:rPr>
          <w:rFonts w:ascii="Times New Roman" w:hAnsi="Times New Roman" w:cs="Times New Roman"/>
          <w:sz w:val="24"/>
          <w:szCs w:val="24"/>
        </w:rPr>
        <w:t xml:space="preserve">a </w:t>
      </w:r>
      <w:r w:rsidR="00D46D55" w:rsidRPr="00343885">
        <w:rPr>
          <w:rFonts w:ascii="Times New Roman" w:hAnsi="Times New Roman" w:cs="Times New Roman"/>
          <w:sz w:val="24"/>
          <w:szCs w:val="24"/>
        </w:rPr>
        <w:t xml:space="preserve">higher level of the zone of inhibition was observed because the antibiotics are not degraded. </w:t>
      </w:r>
      <w:r w:rsidR="0092383F" w:rsidRPr="00343885">
        <w:rPr>
          <w:rFonts w:ascii="Times New Roman" w:hAnsi="Times New Roman" w:cs="Times New Roman"/>
          <w:sz w:val="24"/>
          <w:szCs w:val="24"/>
        </w:rPr>
        <w:t>In the</w:t>
      </w:r>
      <w:r w:rsidR="0062241A" w:rsidRPr="00343885">
        <w:rPr>
          <w:rFonts w:ascii="Times New Roman" w:hAnsi="Times New Roman" w:cs="Times New Roman"/>
          <w:sz w:val="24"/>
          <w:szCs w:val="24"/>
        </w:rPr>
        <w:t xml:space="preserve"> </w:t>
      </w:r>
      <w:r w:rsidR="00D46D55" w:rsidRPr="00343885">
        <w:rPr>
          <w:rFonts w:ascii="Times New Roman" w:hAnsi="Times New Roman" w:cs="Times New Roman"/>
          <w:sz w:val="24"/>
          <w:szCs w:val="24"/>
        </w:rPr>
        <w:t xml:space="preserve">case of the </w:t>
      </w:r>
      <w:r w:rsidR="006A0CA8" w:rsidRPr="00343885">
        <w:rPr>
          <w:rFonts w:ascii="Times New Roman" w:hAnsi="Times New Roman" w:cs="Times New Roman"/>
          <w:sz w:val="24"/>
          <w:szCs w:val="24"/>
        </w:rPr>
        <w:t xml:space="preserve">irradiated </w:t>
      </w:r>
      <w:r w:rsidR="00125099" w:rsidRPr="00343885">
        <w:rPr>
          <w:rFonts w:ascii="Times New Roman" w:hAnsi="Times New Roman" w:cs="Times New Roman"/>
          <w:sz w:val="24"/>
          <w:szCs w:val="24"/>
        </w:rPr>
        <w:t xml:space="preserve">96-well-plates, </w:t>
      </w:r>
      <w:r w:rsidR="0062241A" w:rsidRPr="00343885">
        <w:rPr>
          <w:rFonts w:ascii="Times New Roman" w:hAnsi="Times New Roman" w:cs="Times New Roman"/>
          <w:sz w:val="24"/>
          <w:szCs w:val="24"/>
        </w:rPr>
        <w:t xml:space="preserve">the </w:t>
      </w:r>
      <w:r w:rsidR="00125099" w:rsidRPr="00343885">
        <w:rPr>
          <w:rFonts w:ascii="Times New Roman" w:hAnsi="Times New Roman" w:cs="Times New Roman"/>
          <w:sz w:val="24"/>
          <w:szCs w:val="24"/>
        </w:rPr>
        <w:t xml:space="preserve">initial dose </w:t>
      </w:r>
      <w:r w:rsidR="00125099" w:rsidRPr="00343885">
        <w:rPr>
          <w:rFonts w:ascii="Times New Roman" w:hAnsi="Times New Roman" w:cs="Times New Roman"/>
          <w:i/>
          <w:iCs/>
          <w:sz w:val="24"/>
          <w:szCs w:val="24"/>
        </w:rPr>
        <w:t>i.e.,</w:t>
      </w:r>
      <w:r w:rsidR="00125099" w:rsidRPr="00343885">
        <w:rPr>
          <w:rFonts w:ascii="Times New Roman" w:hAnsi="Times New Roman" w:cs="Times New Roman"/>
          <w:sz w:val="24"/>
          <w:szCs w:val="24"/>
        </w:rPr>
        <w:t xml:space="preserve"> </w:t>
      </w:r>
      <w:r w:rsidR="006A0CA8" w:rsidRPr="00343885">
        <w:rPr>
          <w:rFonts w:ascii="Times New Roman" w:hAnsi="Times New Roman" w:cs="Times New Roman"/>
          <w:sz w:val="24"/>
          <w:szCs w:val="24"/>
        </w:rPr>
        <w:t xml:space="preserve">0.5 </w:t>
      </w:r>
      <w:proofErr w:type="gramStart"/>
      <w:r w:rsidR="006A0CA8" w:rsidRPr="00343885">
        <w:rPr>
          <w:rFonts w:ascii="Times New Roman" w:hAnsi="Times New Roman" w:cs="Times New Roman"/>
          <w:sz w:val="24"/>
          <w:szCs w:val="24"/>
        </w:rPr>
        <w:t>kGy</w:t>
      </w:r>
      <w:r w:rsidR="00125099" w:rsidRPr="00343885">
        <w:rPr>
          <w:rFonts w:ascii="Times New Roman" w:hAnsi="Times New Roman" w:cs="Times New Roman"/>
          <w:sz w:val="24"/>
          <w:szCs w:val="24"/>
        </w:rPr>
        <w:t xml:space="preserve">, </w:t>
      </w:r>
      <w:r w:rsidR="006A0CA8" w:rsidRPr="00343885">
        <w:rPr>
          <w:rFonts w:ascii="Times New Roman" w:hAnsi="Times New Roman" w:cs="Times New Roman"/>
          <w:sz w:val="24"/>
          <w:szCs w:val="24"/>
        </w:rPr>
        <w:t xml:space="preserve"> there</w:t>
      </w:r>
      <w:proofErr w:type="gramEnd"/>
      <w:r w:rsidR="006A0CA8" w:rsidRPr="00343885">
        <w:rPr>
          <w:rFonts w:ascii="Times New Roman" w:hAnsi="Times New Roman" w:cs="Times New Roman"/>
          <w:sz w:val="24"/>
          <w:szCs w:val="24"/>
        </w:rPr>
        <w:t xml:space="preserve"> was no degradation. But, </w:t>
      </w:r>
      <w:r w:rsidR="0062241A" w:rsidRPr="00343885">
        <w:rPr>
          <w:rFonts w:ascii="Times New Roman" w:hAnsi="Times New Roman" w:cs="Times New Roman"/>
          <w:sz w:val="24"/>
          <w:szCs w:val="24"/>
        </w:rPr>
        <w:t xml:space="preserve">a </w:t>
      </w:r>
      <w:r w:rsidR="006A0CA8" w:rsidRPr="00343885">
        <w:rPr>
          <w:rFonts w:ascii="Times New Roman" w:hAnsi="Times New Roman" w:cs="Times New Roman"/>
          <w:sz w:val="24"/>
          <w:szCs w:val="24"/>
        </w:rPr>
        <w:t xml:space="preserve">slight reduction in the </w:t>
      </w:r>
      <w:r w:rsidR="00125099" w:rsidRPr="00343885">
        <w:rPr>
          <w:rFonts w:ascii="Times New Roman" w:hAnsi="Times New Roman" w:cs="Times New Roman"/>
          <w:sz w:val="24"/>
          <w:szCs w:val="24"/>
        </w:rPr>
        <w:t xml:space="preserve">zone of inhibition was observed in </w:t>
      </w:r>
      <w:r w:rsidR="006A0CA8" w:rsidRPr="00343885">
        <w:rPr>
          <w:rFonts w:ascii="Times New Roman" w:hAnsi="Times New Roman" w:cs="Times New Roman"/>
          <w:sz w:val="24"/>
          <w:szCs w:val="24"/>
        </w:rPr>
        <w:t>1.5 to 2.0kGy</w:t>
      </w:r>
      <w:r w:rsidR="00125099" w:rsidRPr="00343885">
        <w:rPr>
          <w:rFonts w:ascii="Times New Roman" w:hAnsi="Times New Roman" w:cs="Times New Roman"/>
          <w:sz w:val="24"/>
          <w:szCs w:val="24"/>
        </w:rPr>
        <w:t xml:space="preserve"> treated plates</w:t>
      </w:r>
      <w:r w:rsidR="006A0CA8" w:rsidRPr="00343885">
        <w:rPr>
          <w:rFonts w:ascii="Times New Roman" w:hAnsi="Times New Roman" w:cs="Times New Roman"/>
          <w:sz w:val="24"/>
          <w:szCs w:val="24"/>
        </w:rPr>
        <w:t>.</w:t>
      </w:r>
      <w:r w:rsidR="0087418A" w:rsidRPr="00343885">
        <w:rPr>
          <w:rFonts w:ascii="Times New Roman" w:hAnsi="Times New Roman" w:cs="Times New Roman"/>
          <w:sz w:val="24"/>
          <w:szCs w:val="24"/>
        </w:rPr>
        <w:t xml:space="preserve"> Based on the zone size, </w:t>
      </w:r>
      <w:r w:rsidR="00A8276D" w:rsidRPr="00343885">
        <w:rPr>
          <w:rFonts w:ascii="Times New Roman" w:hAnsi="Times New Roman" w:cs="Times New Roman"/>
          <w:sz w:val="24"/>
          <w:szCs w:val="24"/>
        </w:rPr>
        <w:t xml:space="preserve">1kGy; 1.5 kGy </w:t>
      </w:r>
      <w:r w:rsidR="0062241A" w:rsidRPr="00343885">
        <w:rPr>
          <w:rFonts w:ascii="Times New Roman" w:hAnsi="Times New Roman" w:cs="Times New Roman"/>
          <w:sz w:val="24"/>
          <w:szCs w:val="24"/>
        </w:rPr>
        <w:t>can</w:t>
      </w:r>
      <w:r w:rsidR="00A8276D" w:rsidRPr="00343885">
        <w:rPr>
          <w:rFonts w:ascii="Times New Roman" w:hAnsi="Times New Roman" w:cs="Times New Roman"/>
          <w:sz w:val="24"/>
          <w:szCs w:val="24"/>
        </w:rPr>
        <w:t xml:space="preserve"> destroy 2400 ng/100µL (Table 1). Similarly, </w:t>
      </w:r>
      <w:r w:rsidR="00BF3C6D">
        <w:rPr>
          <w:rFonts w:ascii="Times New Roman" w:hAnsi="Times New Roman" w:cs="Times New Roman"/>
          <w:sz w:val="24"/>
          <w:szCs w:val="24"/>
        </w:rPr>
        <w:t>2</w:t>
      </w:r>
      <w:r w:rsidR="00A8276D" w:rsidRPr="00343885">
        <w:rPr>
          <w:rFonts w:ascii="Times New Roman" w:hAnsi="Times New Roman" w:cs="Times New Roman"/>
          <w:sz w:val="24"/>
          <w:szCs w:val="24"/>
        </w:rPr>
        <w:t xml:space="preserve"> kGy can able to degrade 4800ng/ µL. Doses such as 2.5 kGy able to degrade 19500ng/100 µL; 5-10 kGy able to destroy 39000ng/ µL; 20-30 kGy able to destroy 78000 and 40kGy able to des</w:t>
      </w:r>
      <w:r w:rsidR="002164AB" w:rsidRPr="00343885">
        <w:rPr>
          <w:rFonts w:ascii="Times New Roman" w:hAnsi="Times New Roman" w:cs="Times New Roman"/>
          <w:sz w:val="24"/>
          <w:szCs w:val="24"/>
        </w:rPr>
        <w:t xml:space="preserve">troy 156000ng/ µL. As per </w:t>
      </w:r>
      <w:r w:rsidR="0062241A" w:rsidRPr="00343885">
        <w:rPr>
          <w:rFonts w:ascii="Times New Roman" w:hAnsi="Times New Roman" w:cs="Times New Roman"/>
          <w:sz w:val="24"/>
          <w:szCs w:val="24"/>
        </w:rPr>
        <w:t xml:space="preserve">a </w:t>
      </w:r>
      <w:r w:rsidR="002164AB" w:rsidRPr="00343885">
        <w:rPr>
          <w:rFonts w:ascii="Times New Roman" w:hAnsi="Times New Roman" w:cs="Times New Roman"/>
          <w:sz w:val="24"/>
          <w:szCs w:val="24"/>
        </w:rPr>
        <w:t xml:space="preserve">previous study on medical waste </w:t>
      </w:r>
      <w:r w:rsidR="00A8276D" w:rsidRPr="00343885">
        <w:rPr>
          <w:rFonts w:ascii="Times New Roman" w:hAnsi="Times New Roman" w:cs="Times New Roman"/>
          <w:sz w:val="24"/>
          <w:szCs w:val="24"/>
          <w:shd w:val="clear" w:color="auto" w:fill="FFFFFF"/>
        </w:rPr>
        <w:t>5000ng/100 µL</w:t>
      </w:r>
      <w:r w:rsidR="00A8276D" w:rsidRPr="00343885">
        <w:rPr>
          <w:rFonts w:ascii="Times New Roman" w:hAnsi="Times New Roman" w:cs="Times New Roman"/>
          <w:sz w:val="24"/>
          <w:szCs w:val="24"/>
        </w:rPr>
        <w:t xml:space="preserve"> degradation was observed at 30kGy </w:t>
      </w:r>
      <w:r w:rsidR="002164AB" w:rsidRPr="00343885">
        <w:rPr>
          <w:rFonts w:ascii="Times New Roman" w:hAnsi="Times New Roman" w:cs="Times New Roman"/>
          <w:sz w:val="24"/>
          <w:szCs w:val="24"/>
        </w:rPr>
        <w:t xml:space="preserve">(Wang et al. 2017); on </w:t>
      </w:r>
      <w:r w:rsidR="00D16EF6" w:rsidRPr="00343885">
        <w:rPr>
          <w:rFonts w:ascii="Times New Roman" w:hAnsi="Times New Roman" w:cs="Times New Roman"/>
          <w:sz w:val="24"/>
          <w:szCs w:val="24"/>
        </w:rPr>
        <w:t>contrary, in</w:t>
      </w:r>
      <w:r w:rsidR="00A8276D" w:rsidRPr="00343885">
        <w:rPr>
          <w:rFonts w:ascii="Times New Roman" w:hAnsi="Times New Roman" w:cs="Times New Roman"/>
          <w:sz w:val="24"/>
          <w:szCs w:val="24"/>
        </w:rPr>
        <w:t xml:space="preserve"> the present study 1.5kGy</w:t>
      </w:r>
      <w:r w:rsidR="0062241A" w:rsidRPr="00343885">
        <w:rPr>
          <w:rFonts w:ascii="Times New Roman" w:hAnsi="Times New Roman" w:cs="Times New Roman"/>
          <w:sz w:val="24"/>
          <w:szCs w:val="24"/>
        </w:rPr>
        <w:t>,</w:t>
      </w:r>
      <w:r w:rsidR="00A8276D" w:rsidRPr="00343885">
        <w:rPr>
          <w:rFonts w:ascii="Times New Roman" w:hAnsi="Times New Roman" w:cs="Times New Roman"/>
          <w:sz w:val="24"/>
          <w:szCs w:val="24"/>
        </w:rPr>
        <w:t xml:space="preserve"> is sufficient to degrade the 5000ng/mL. </w:t>
      </w:r>
      <w:r w:rsidR="002164AB" w:rsidRPr="00343885">
        <w:rPr>
          <w:rFonts w:ascii="Times New Roman" w:hAnsi="Times New Roman" w:cs="Times New Roman"/>
          <w:sz w:val="24"/>
          <w:szCs w:val="24"/>
        </w:rPr>
        <w:t xml:space="preserve">The high level of </w:t>
      </w:r>
      <w:r w:rsidR="0062241A" w:rsidRPr="00343885">
        <w:rPr>
          <w:rFonts w:ascii="Times New Roman" w:hAnsi="Times New Roman" w:cs="Times New Roman"/>
          <w:sz w:val="24"/>
          <w:szCs w:val="24"/>
        </w:rPr>
        <w:t xml:space="preserve">the </w:t>
      </w:r>
      <w:r w:rsidR="002164AB" w:rsidRPr="00343885">
        <w:rPr>
          <w:rFonts w:ascii="Times New Roman" w:hAnsi="Times New Roman" w:cs="Times New Roman"/>
          <w:sz w:val="24"/>
          <w:szCs w:val="24"/>
        </w:rPr>
        <w:t xml:space="preserve">dose required for the previous experiment is due to </w:t>
      </w:r>
      <w:r w:rsidR="00A8276D" w:rsidRPr="00343885">
        <w:rPr>
          <w:rFonts w:ascii="Times New Roman" w:hAnsi="Times New Roman" w:cs="Times New Roman"/>
          <w:sz w:val="24"/>
          <w:szCs w:val="24"/>
        </w:rPr>
        <w:t>the presence of antibiotics in the plastic container</w:t>
      </w:r>
      <w:r w:rsidR="002164AB" w:rsidRPr="00343885">
        <w:rPr>
          <w:rFonts w:ascii="Times New Roman" w:hAnsi="Times New Roman" w:cs="Times New Roman"/>
          <w:sz w:val="24"/>
          <w:szCs w:val="24"/>
        </w:rPr>
        <w:t>. Factor</w:t>
      </w:r>
      <w:r w:rsidR="0062241A" w:rsidRPr="00343885">
        <w:rPr>
          <w:rFonts w:ascii="Times New Roman" w:hAnsi="Times New Roman" w:cs="Times New Roman"/>
          <w:sz w:val="24"/>
          <w:szCs w:val="24"/>
        </w:rPr>
        <w:t>s</w:t>
      </w:r>
      <w:r w:rsidR="002164AB" w:rsidRPr="00343885">
        <w:rPr>
          <w:rFonts w:ascii="Times New Roman" w:hAnsi="Times New Roman" w:cs="Times New Roman"/>
          <w:sz w:val="24"/>
          <w:szCs w:val="24"/>
        </w:rPr>
        <w:t xml:space="preserve"> such as </w:t>
      </w:r>
      <w:r w:rsidR="00A8276D" w:rsidRPr="00343885">
        <w:rPr>
          <w:rFonts w:ascii="Times New Roman" w:hAnsi="Times New Roman" w:cs="Times New Roman"/>
          <w:sz w:val="24"/>
          <w:szCs w:val="24"/>
        </w:rPr>
        <w:t xml:space="preserve">initial concentration etc. </w:t>
      </w:r>
      <w:r w:rsidR="002164AB" w:rsidRPr="00343885">
        <w:rPr>
          <w:rFonts w:ascii="Times New Roman" w:hAnsi="Times New Roman" w:cs="Times New Roman"/>
          <w:sz w:val="24"/>
          <w:szCs w:val="24"/>
        </w:rPr>
        <w:t xml:space="preserve">also play a major role </w:t>
      </w:r>
      <w:r w:rsidR="0062241A" w:rsidRPr="00343885">
        <w:rPr>
          <w:rFonts w:ascii="Times New Roman" w:hAnsi="Times New Roman" w:cs="Times New Roman"/>
          <w:sz w:val="24"/>
          <w:szCs w:val="24"/>
        </w:rPr>
        <w:t>in</w:t>
      </w:r>
      <w:r w:rsidR="002164AB" w:rsidRPr="00343885">
        <w:rPr>
          <w:rFonts w:ascii="Times New Roman" w:hAnsi="Times New Roman" w:cs="Times New Roman"/>
          <w:sz w:val="24"/>
          <w:szCs w:val="24"/>
        </w:rPr>
        <w:t xml:space="preserve"> the degradation. </w:t>
      </w:r>
      <w:r w:rsidR="00A8276D" w:rsidRPr="00343885">
        <w:rPr>
          <w:rFonts w:ascii="Times New Roman" w:hAnsi="Times New Roman" w:cs="Times New Roman"/>
          <w:sz w:val="24"/>
          <w:szCs w:val="24"/>
        </w:rPr>
        <w:t xml:space="preserve">So, Based on the above experiment, it has been observed that </w:t>
      </w:r>
      <w:r w:rsidR="00A8276D" w:rsidRPr="00343885">
        <w:rPr>
          <w:rFonts w:ascii="Times New Roman" w:hAnsi="Times New Roman" w:cs="Times New Roman"/>
          <w:sz w:val="24"/>
          <w:szCs w:val="24"/>
        </w:rPr>
        <w:lastRenderedPageBreak/>
        <w:t xml:space="preserve">if the water was more diluted, even with </w:t>
      </w:r>
      <w:r w:rsidR="0062241A" w:rsidRPr="00343885">
        <w:rPr>
          <w:rFonts w:ascii="Times New Roman" w:hAnsi="Times New Roman" w:cs="Times New Roman"/>
          <w:sz w:val="24"/>
          <w:szCs w:val="24"/>
        </w:rPr>
        <w:t>a</w:t>
      </w:r>
      <w:r w:rsidR="00A8276D" w:rsidRPr="00343885">
        <w:rPr>
          <w:rFonts w:ascii="Times New Roman" w:hAnsi="Times New Roman" w:cs="Times New Roman"/>
          <w:sz w:val="24"/>
          <w:szCs w:val="24"/>
        </w:rPr>
        <w:t xml:space="preserve"> less dose most of the antibiotics can be destroyed. In addition, using the well diffusion assay, we </w:t>
      </w:r>
      <w:r w:rsidR="0062241A" w:rsidRPr="00343885">
        <w:rPr>
          <w:rFonts w:ascii="Times New Roman" w:hAnsi="Times New Roman" w:cs="Times New Roman"/>
          <w:sz w:val="24"/>
          <w:szCs w:val="24"/>
        </w:rPr>
        <w:t xml:space="preserve">were </w:t>
      </w:r>
      <w:r w:rsidR="00A8276D" w:rsidRPr="00343885">
        <w:rPr>
          <w:rFonts w:ascii="Times New Roman" w:hAnsi="Times New Roman" w:cs="Times New Roman"/>
          <w:sz w:val="24"/>
          <w:szCs w:val="24"/>
        </w:rPr>
        <w:t xml:space="preserve">able to assess the degradation level of the CAP. </w:t>
      </w:r>
      <w:r w:rsidR="002164AB" w:rsidRPr="00343885">
        <w:rPr>
          <w:rFonts w:ascii="Times New Roman" w:hAnsi="Times New Roman" w:cs="Times New Roman"/>
          <w:sz w:val="24"/>
          <w:szCs w:val="24"/>
        </w:rPr>
        <w:t>Compared to other antibi</w:t>
      </w:r>
      <w:r w:rsidR="0062241A" w:rsidRPr="00343885">
        <w:rPr>
          <w:rFonts w:ascii="Times New Roman" w:hAnsi="Times New Roman" w:cs="Times New Roman"/>
          <w:sz w:val="24"/>
          <w:szCs w:val="24"/>
        </w:rPr>
        <w:t>oti</w:t>
      </w:r>
      <w:r w:rsidR="002164AB" w:rsidRPr="00343885">
        <w:rPr>
          <w:rFonts w:ascii="Times New Roman" w:hAnsi="Times New Roman" w:cs="Times New Roman"/>
          <w:sz w:val="24"/>
          <w:szCs w:val="24"/>
        </w:rPr>
        <w:t>cs, CAP is a stable antibiotic; so, i</w:t>
      </w:r>
      <w:r w:rsidR="0062241A" w:rsidRPr="00343885">
        <w:rPr>
          <w:rFonts w:ascii="Times New Roman" w:hAnsi="Times New Roman" w:cs="Times New Roman"/>
          <w:sz w:val="24"/>
          <w:szCs w:val="24"/>
        </w:rPr>
        <w:t>f</w:t>
      </w:r>
      <w:r w:rsidR="002164AB" w:rsidRPr="00343885">
        <w:rPr>
          <w:rFonts w:ascii="Times New Roman" w:hAnsi="Times New Roman" w:cs="Times New Roman"/>
          <w:sz w:val="24"/>
          <w:szCs w:val="24"/>
        </w:rPr>
        <w:t xml:space="preserve"> the </w:t>
      </w:r>
      <w:r w:rsidR="00A8276D" w:rsidRPr="00343885">
        <w:rPr>
          <w:rFonts w:ascii="Times New Roman" w:hAnsi="Times New Roman" w:cs="Times New Roman"/>
          <w:sz w:val="24"/>
          <w:szCs w:val="24"/>
        </w:rPr>
        <w:t xml:space="preserve">CAP is degraded most of the antibiotics </w:t>
      </w:r>
      <w:r w:rsidR="002164AB" w:rsidRPr="00343885">
        <w:rPr>
          <w:rFonts w:ascii="Times New Roman" w:hAnsi="Times New Roman" w:cs="Times New Roman"/>
          <w:sz w:val="24"/>
          <w:szCs w:val="24"/>
        </w:rPr>
        <w:t xml:space="preserve">would </w:t>
      </w:r>
      <w:r w:rsidR="00A8276D" w:rsidRPr="00343885">
        <w:rPr>
          <w:rFonts w:ascii="Times New Roman" w:hAnsi="Times New Roman" w:cs="Times New Roman"/>
          <w:sz w:val="24"/>
          <w:szCs w:val="24"/>
        </w:rPr>
        <w:t>be degraded</w:t>
      </w:r>
      <w:r w:rsidR="002164AB" w:rsidRPr="00343885">
        <w:rPr>
          <w:rFonts w:ascii="Times New Roman" w:hAnsi="Times New Roman" w:cs="Times New Roman"/>
          <w:sz w:val="24"/>
          <w:szCs w:val="24"/>
        </w:rPr>
        <w:t xml:space="preserve"> at this dose</w:t>
      </w:r>
      <w:r w:rsidR="00A8276D" w:rsidRPr="00343885">
        <w:rPr>
          <w:rFonts w:ascii="Times New Roman" w:hAnsi="Times New Roman" w:cs="Times New Roman"/>
          <w:sz w:val="24"/>
          <w:szCs w:val="24"/>
        </w:rPr>
        <w:t xml:space="preserve">. So, CAP </w:t>
      </w:r>
      <w:r w:rsidR="0062241A" w:rsidRPr="00343885">
        <w:rPr>
          <w:rFonts w:ascii="Times New Roman" w:hAnsi="Times New Roman" w:cs="Times New Roman"/>
          <w:sz w:val="24"/>
          <w:szCs w:val="24"/>
        </w:rPr>
        <w:t>is</w:t>
      </w:r>
      <w:r w:rsidR="00A8276D" w:rsidRPr="00343885">
        <w:rPr>
          <w:rFonts w:ascii="Times New Roman" w:hAnsi="Times New Roman" w:cs="Times New Roman"/>
          <w:sz w:val="24"/>
          <w:szCs w:val="24"/>
        </w:rPr>
        <w:t xml:space="preserve"> recommended for candid </w:t>
      </w:r>
      <w:r w:rsidR="0092383F" w:rsidRPr="00343885">
        <w:rPr>
          <w:rFonts w:ascii="Times New Roman" w:hAnsi="Times New Roman" w:cs="Times New Roman"/>
          <w:sz w:val="24"/>
          <w:szCs w:val="24"/>
        </w:rPr>
        <w:t>substances by</w:t>
      </w:r>
      <w:r w:rsidR="0062241A" w:rsidRPr="00343885">
        <w:rPr>
          <w:rFonts w:ascii="Times New Roman" w:hAnsi="Times New Roman" w:cs="Times New Roman"/>
          <w:sz w:val="24"/>
          <w:szCs w:val="24"/>
        </w:rPr>
        <w:t xml:space="preserve"> </w:t>
      </w:r>
      <w:r w:rsidR="00A8276D" w:rsidRPr="00343885">
        <w:rPr>
          <w:rFonts w:ascii="Times New Roman" w:hAnsi="Times New Roman" w:cs="Times New Roman"/>
          <w:sz w:val="24"/>
          <w:szCs w:val="24"/>
        </w:rPr>
        <w:t xml:space="preserve">checking the degradation level of most antibiotics.  </w:t>
      </w:r>
    </w:p>
    <w:p w14:paraId="6BCB6880" w14:textId="4CC63C20" w:rsidR="006915A3" w:rsidRPr="00343885" w:rsidRDefault="00F033E4" w:rsidP="00343885">
      <w:pPr>
        <w:spacing w:line="360" w:lineRule="auto"/>
        <w:ind w:firstLine="720"/>
        <w:jc w:val="both"/>
        <w:rPr>
          <w:rFonts w:ascii="Times New Roman" w:eastAsiaTheme="minorHAnsi" w:hAnsi="Times New Roman" w:cs="Times New Roman"/>
          <w:sz w:val="24"/>
          <w:szCs w:val="24"/>
        </w:rPr>
      </w:pPr>
      <w:r w:rsidRPr="00343885">
        <w:rPr>
          <w:rFonts w:ascii="Times New Roman" w:hAnsi="Times New Roman" w:cs="Times New Roman"/>
          <w:sz w:val="24"/>
          <w:szCs w:val="24"/>
          <w:shd w:val="clear" w:color="auto" w:fill="FFFFFF"/>
        </w:rPr>
        <w:t>Similarly, oxytetracycline (OTC) was subjected to EBI to assess the degradation at different dost. Here, a better reduction was observed from the 10-40kGy in the CAP; the experiment was continued with the 10-40kGy dose for OTC</w:t>
      </w:r>
      <w:r w:rsidR="0011436E" w:rsidRPr="00343885">
        <w:rPr>
          <w:rFonts w:ascii="Times New Roman" w:hAnsi="Times New Roman" w:cs="Times New Roman"/>
          <w:sz w:val="24"/>
          <w:szCs w:val="24"/>
          <w:shd w:val="clear" w:color="auto" w:fill="FFFFFF"/>
        </w:rPr>
        <w:t xml:space="preserve"> (Table 2)</w:t>
      </w:r>
      <w:r w:rsidRPr="00343885">
        <w:rPr>
          <w:rFonts w:ascii="Times New Roman" w:hAnsi="Times New Roman" w:cs="Times New Roman"/>
          <w:sz w:val="24"/>
          <w:szCs w:val="24"/>
          <w:shd w:val="clear" w:color="auto" w:fill="FFFFFF"/>
        </w:rPr>
        <w:t xml:space="preserve">.  </w:t>
      </w:r>
    </w:p>
    <w:p w14:paraId="1F1B77E7" w14:textId="74B7A440" w:rsidR="00BF188C" w:rsidRPr="00343885" w:rsidRDefault="00F033E4" w:rsidP="00343885">
      <w:pPr>
        <w:autoSpaceDE w:val="0"/>
        <w:autoSpaceDN w:val="0"/>
        <w:adjustRightInd w:val="0"/>
        <w:spacing w:after="0" w:line="360" w:lineRule="auto"/>
        <w:ind w:firstLine="720"/>
        <w:jc w:val="both"/>
        <w:rPr>
          <w:rFonts w:ascii="Times New Roman" w:hAnsi="Times New Roman" w:cs="Times New Roman"/>
          <w:sz w:val="24"/>
          <w:szCs w:val="24"/>
          <w:shd w:val="clear" w:color="auto" w:fill="FFFFFF"/>
        </w:rPr>
      </w:pPr>
      <w:r w:rsidRPr="00343885">
        <w:rPr>
          <w:rFonts w:ascii="Times New Roman" w:hAnsi="Times New Roman" w:cs="Times New Roman"/>
          <w:sz w:val="24"/>
          <w:szCs w:val="24"/>
          <w:shd w:val="clear" w:color="auto" w:fill="FFFFFF"/>
        </w:rPr>
        <w:t xml:space="preserve">The report says that the degradation of Chloramphenicol by Electron beam in an aqueous solution was 32.4% at 1 kGy, 86.9% at 5 kGy, and 100% at 10 kGy </w:t>
      </w:r>
      <w:r w:rsidR="00B92B20" w:rsidRPr="00343885">
        <w:rPr>
          <w:rFonts w:ascii="Times New Roman" w:hAnsi="Times New Roman" w:cs="Times New Roman"/>
          <w:sz w:val="24"/>
          <w:szCs w:val="24"/>
          <w:shd w:val="clear" w:color="auto" w:fill="FFFFFF"/>
        </w:rPr>
        <w:fldChar w:fldCharType="begin"/>
      </w:r>
      <w:r w:rsidR="000532B0">
        <w:rPr>
          <w:rFonts w:ascii="Times New Roman" w:hAnsi="Times New Roman" w:cs="Times New Roman"/>
          <w:sz w:val="24"/>
          <w:szCs w:val="24"/>
          <w:shd w:val="clear" w:color="auto" w:fill="FFFFFF"/>
        </w:rPr>
        <w:instrText xml:space="preserve"> ADDIN ZOTERO_ITEM CSL_CITATION {"citationID":"LnoHK4jp","properties":{"formattedCitation":"\\super 15\\nosupersub{}","plainCitation":"15","noteIndex":0},"citationItems":[{"id":95,"uris":["http://zotero.org/users/16304525/items/C6TE4JYH"],"itemData":{"id":95,"type":"article-journal","abstract":"Electron beam irradiation has shown potential as an alternative process for the treatment of industrial effluents that contain toxic organic chemicals. This study investigated the effectiveness of electron beam in degrading chloramphenicol (CAP) in aqueous solution. The degradation efficiency was 32.4 % at 1 kGy, 86.9 % at 5 kGy, and 100 % at 10 kGy. The total organic carbon (TOC) of CAP in aqueous solution declined 4.6 % at 1 kGy, 12.1 % at 5 kGy, and 17.1 % at 10 kGy of irradiation with electron beam. The CAP degradation products after irradiation were CAP1 ([M + H] m/z 307.1), CAP2 ([M + H] m/z 291.1), and CAP3 ([M + H] m/z 321.1). The degradation products were tested for microbial toxicity against Escherichia coli, Pseudomonas putida, and Bacillus subtilis and did not show any toxic antimicrobial effects caused by the CAP degradation products after irradiation with electron beam. The results of this study suggest that electron beam irradiation is the best technology for the comprehensive treatment of veterinary antibiotics at wastewater treatment plants.","container-title":"Environmental Science and Pollution Research","DOI":"10.1007/s11356-015-4123-5","ISSN":"0944-1344, 1614-7499","issue":"13","journalAbbreviation":"Environ Sci Pollut Res","language":"en","page":"9637-9645","source":"DOI.org (Crossref)","title":"Detoxification of the veterinary antibiotic chloramphenicol using electron beam irradiation","volume":"22","author":[{"family":"Cho","given":"Jae Young"},{"family":"Chung","given":"Byung Yeoup"},{"family":"Hwang","given":"Seon Ah"}],"issued":{"date-parts":[["2015",7]]}}}],"schema":"https://github.com/citation-style-language/schema/raw/master/csl-citation.json"} </w:instrText>
      </w:r>
      <w:r w:rsidR="00B92B20" w:rsidRPr="00343885">
        <w:rPr>
          <w:rFonts w:ascii="Times New Roman" w:hAnsi="Times New Roman" w:cs="Times New Roman"/>
          <w:sz w:val="24"/>
          <w:szCs w:val="24"/>
          <w:shd w:val="clear" w:color="auto" w:fill="FFFFFF"/>
        </w:rPr>
        <w:fldChar w:fldCharType="separate"/>
      </w:r>
      <w:r w:rsidR="000532B0" w:rsidRPr="000532B0">
        <w:rPr>
          <w:rFonts w:ascii="Times New Roman" w:hAnsi="Times New Roman" w:cs="Times New Roman"/>
          <w:sz w:val="24"/>
          <w:vertAlign w:val="superscript"/>
        </w:rPr>
        <w:t>15</w:t>
      </w:r>
      <w:r w:rsidR="00B92B20" w:rsidRPr="00343885">
        <w:rPr>
          <w:rFonts w:ascii="Times New Roman" w:hAnsi="Times New Roman" w:cs="Times New Roman"/>
          <w:sz w:val="24"/>
          <w:szCs w:val="24"/>
          <w:shd w:val="clear" w:color="auto" w:fill="FFFFFF"/>
        </w:rPr>
        <w:fldChar w:fldCharType="end"/>
      </w:r>
      <w:r w:rsidRPr="00343885">
        <w:rPr>
          <w:rFonts w:ascii="Times New Roman" w:hAnsi="Times New Roman" w:cs="Times New Roman"/>
          <w:sz w:val="24"/>
          <w:szCs w:val="24"/>
          <w:shd w:val="clear" w:color="auto" w:fill="FFFFFF"/>
        </w:rPr>
        <w:t>. Similarly, the degradation efficiency of ciprofloxacin in an aqueous solution was 38% at 1 kGy, 80% at 5 kGy, and 97% at 10 kGy (Cho et al., 2014). The degradation efficiency of oxytetracycline in aqueous was 72.2% at 1 kGy, 99.2% at 5 kGy, and 100% at 10 kGy (Kiew et al., 2009). The results suggest that irradiation promotes the degradation of antibiotics but does not lead to their mineralization (i.e., its conversion to small molecules such as CO</w:t>
      </w:r>
      <w:r w:rsidRPr="00343885">
        <w:rPr>
          <w:rFonts w:ascii="Times New Roman" w:hAnsi="Times New Roman" w:cs="Times New Roman"/>
          <w:sz w:val="24"/>
          <w:szCs w:val="24"/>
          <w:shd w:val="clear" w:color="auto" w:fill="FFFFFF"/>
          <w:vertAlign w:val="subscript"/>
        </w:rPr>
        <w:t>2</w:t>
      </w:r>
      <w:r w:rsidRPr="00343885">
        <w:rPr>
          <w:rFonts w:ascii="Times New Roman" w:hAnsi="Times New Roman" w:cs="Times New Roman"/>
          <w:sz w:val="24"/>
          <w:szCs w:val="24"/>
          <w:shd w:val="clear" w:color="auto" w:fill="FFFFFF"/>
        </w:rPr>
        <w:t>, H</w:t>
      </w:r>
      <w:r w:rsidRPr="00343885">
        <w:rPr>
          <w:rFonts w:ascii="Times New Roman" w:hAnsi="Times New Roman" w:cs="Times New Roman"/>
          <w:sz w:val="24"/>
          <w:szCs w:val="24"/>
          <w:shd w:val="clear" w:color="auto" w:fill="FFFFFF"/>
          <w:vertAlign w:val="subscript"/>
        </w:rPr>
        <w:t>2</w:t>
      </w:r>
      <w:r w:rsidRPr="00343885">
        <w:rPr>
          <w:rFonts w:ascii="Times New Roman" w:hAnsi="Times New Roman" w:cs="Times New Roman"/>
          <w:sz w:val="24"/>
          <w:szCs w:val="24"/>
          <w:shd w:val="clear" w:color="auto" w:fill="FFFFFF"/>
        </w:rPr>
        <w:t>O, and NH</w:t>
      </w:r>
      <w:r w:rsidRPr="00343885">
        <w:rPr>
          <w:rFonts w:ascii="Times New Roman" w:hAnsi="Times New Roman" w:cs="Times New Roman"/>
          <w:sz w:val="24"/>
          <w:szCs w:val="24"/>
          <w:shd w:val="clear" w:color="auto" w:fill="FFFFFF"/>
          <w:vertAlign w:val="subscript"/>
        </w:rPr>
        <w:t>3</w:t>
      </w:r>
      <w:r w:rsidRPr="00343885">
        <w:rPr>
          <w:rFonts w:ascii="Times New Roman" w:hAnsi="Times New Roman" w:cs="Times New Roman"/>
          <w:sz w:val="24"/>
          <w:szCs w:val="24"/>
          <w:shd w:val="clear" w:color="auto" w:fill="FFFFFF"/>
        </w:rPr>
        <w:t>). No toxic antimicrobial effects are caused by the chloramphenicol and ciprofloxacin degradation products after irradiation with Electron Beam. Maximum degradation efficiency was achieved at an initial AR concentration of 50 mg L−1 with an irradiation dose of 30 kGy at pH 9.0 (Wang et al., 2017). 97.02%, 97.61% and 96.87% of amoxicillin, ofloxacin, and cefradine residues could be degraded by EBI At 30 kGy, the hierarchy of the degradation level was OFL &gt; AMX &gt; CED</w:t>
      </w:r>
      <w:r w:rsidR="008A3804" w:rsidRPr="00343885">
        <w:rPr>
          <w:rFonts w:ascii="Times New Roman" w:hAnsi="Times New Roman" w:cs="Times New Roman"/>
          <w:sz w:val="24"/>
          <w:szCs w:val="24"/>
          <w:shd w:val="clear" w:color="auto" w:fill="FFFFFF"/>
        </w:rPr>
        <w:t xml:space="preserve"> (wang et al., 2017).</w:t>
      </w:r>
    </w:p>
    <w:p w14:paraId="7BD3917C" w14:textId="4255BCBE" w:rsidR="0090606A" w:rsidRPr="00343885" w:rsidRDefault="00F033E4" w:rsidP="00343885">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343885">
        <w:rPr>
          <w:rFonts w:ascii="Times New Roman" w:hAnsi="Times New Roman" w:cs="Times New Roman"/>
          <w:i/>
          <w:iCs/>
          <w:sz w:val="24"/>
          <w:szCs w:val="24"/>
          <w:shd w:val="clear" w:color="auto" w:fill="FFFFFF"/>
        </w:rPr>
        <w:t>Hitherto,</w:t>
      </w:r>
      <w:r w:rsidRPr="00343885">
        <w:rPr>
          <w:rFonts w:ascii="Times New Roman" w:hAnsi="Times New Roman" w:cs="Times New Roman"/>
          <w:sz w:val="24"/>
          <w:szCs w:val="24"/>
          <w:shd w:val="clear" w:color="auto" w:fill="FFFFFF"/>
        </w:rPr>
        <w:t> </w:t>
      </w:r>
      <w:r w:rsidRPr="00343885">
        <w:rPr>
          <w:rFonts w:ascii="Times New Roman" w:hAnsi="Times New Roman" w:cs="Times New Roman"/>
          <w:i/>
          <w:iCs/>
          <w:sz w:val="24"/>
          <w:szCs w:val="24"/>
          <w:shd w:val="clear" w:color="auto" w:fill="FFFFFF"/>
        </w:rPr>
        <w:t>in vogue,</w:t>
      </w:r>
      <w:r w:rsidRPr="00343885">
        <w:rPr>
          <w:rFonts w:ascii="Times New Roman" w:hAnsi="Times New Roman" w:cs="Times New Roman"/>
          <w:sz w:val="24"/>
          <w:szCs w:val="24"/>
          <w:shd w:val="clear" w:color="auto" w:fill="FFFFFF"/>
        </w:rPr>
        <w:t xml:space="preserve"> in most of the previous studies, the level of degradation was assessed based on LC-MS-MS </w:t>
      </w:r>
      <w:r w:rsidR="00B92B20" w:rsidRPr="00343885">
        <w:rPr>
          <w:rFonts w:ascii="Times New Roman" w:hAnsi="Times New Roman" w:cs="Times New Roman"/>
          <w:sz w:val="24"/>
          <w:szCs w:val="24"/>
        </w:rPr>
        <w:fldChar w:fldCharType="begin"/>
      </w:r>
      <w:r w:rsidR="000532B0">
        <w:rPr>
          <w:rFonts w:ascii="Times New Roman" w:hAnsi="Times New Roman" w:cs="Times New Roman"/>
          <w:sz w:val="24"/>
          <w:szCs w:val="24"/>
        </w:rPr>
        <w:instrText xml:space="preserve"> ADDIN ZOTERO_ITEM CSL_CITATION {"citationID":"QgR8mDRX","properties":{"formattedCitation":"\\super 12\\nosupersub{}","plainCitation":"12","noteIndex":0},"citationItems":[{"id":"AXwEQWfZ/uzdPiByn","uris":["http://zotero.org/users/local/42Ekf4cZ/items/2TBLS4B8"],"itemData":{"id":20,"type":"article-journal","abstract":"Abstract\n            \n              This study reported an immediate approach for the degradation of three antibiotic (amoxicillin, ofloxacin, and cefradine) residues in medical intravenous infusion bottles (MIIBs) using high energy electron beam (HEEB) irradiation. The effects of irradiation doses, initial concentrations, initial pH, and scavengers of active radicals on the degradation of three antibiotic residues (ARs) were investigated, and the results displayed that 97.02%, 97.61% and 96.87% of amoxicillin, ofloxacin, and cefradine residues could be degraded\n              in situ\n              through HEEB irradiation respectively. Fourier transform infrared spectroscopy (FTIR) and high performance liquid chromatography-mass spectrometry (HPLC-MS) analysis demonstrated that ARs were mainly decomposed into inorganic ions and alkanes. Typically, the detailed degradation mechanism of ARs was also investigated, and the dominant active particle inducing the degradation of antibiotics during the HEEB irradiation process was demonstrated to be hydroxyl radical.","container-title":"Scientific Reports","DOI":"10.1038/srep39928","ISSN":"2045-2322","issue":"1","journalAbbreviation":"Sci Rep","language":"en","page":"39928","source":"DOI.org (Crossref)","title":"In situ degradation of antibiotic residues in medical intravenous infusion bottles using high energy electron beam irradiation","URL":"https://www.nature.com/articles/srep39928","volume":"7","author":[{"family":"Wang","given":"Min"},{"family":"Zhang","given":"Lele"},{"family":"Zhang","given":"Guilong"},{"family":"Pang","given":"Tao"},{"family":"Zhang","given":"Xin"},{"family":"Cai","given":"Dongqing"},{"family":"Wu","given":"Zhengyan"}],"accessed":{"date-parts":[["2025",1,27]]},"issued":{"date-parts":[["2017",1,3]]}}}],"schema":"https://github.com/citation-style-language/schema/raw/master/csl-citation.json"} </w:instrText>
      </w:r>
      <w:r w:rsidR="00B92B20" w:rsidRPr="00343885">
        <w:rPr>
          <w:rFonts w:ascii="Times New Roman" w:hAnsi="Times New Roman" w:cs="Times New Roman"/>
          <w:sz w:val="24"/>
          <w:szCs w:val="24"/>
        </w:rPr>
        <w:fldChar w:fldCharType="separate"/>
      </w:r>
      <w:r w:rsidR="000532B0" w:rsidRPr="000532B0">
        <w:rPr>
          <w:rFonts w:ascii="Times New Roman" w:hAnsi="Times New Roman" w:cs="Times New Roman"/>
          <w:sz w:val="24"/>
          <w:vertAlign w:val="superscript"/>
        </w:rPr>
        <w:t>12</w:t>
      </w:r>
      <w:r w:rsidR="00B92B20" w:rsidRPr="00343885">
        <w:rPr>
          <w:rFonts w:ascii="Times New Roman" w:hAnsi="Times New Roman" w:cs="Times New Roman"/>
          <w:sz w:val="24"/>
          <w:szCs w:val="24"/>
        </w:rPr>
        <w:fldChar w:fldCharType="end"/>
      </w:r>
      <w:r w:rsidRPr="00343885">
        <w:rPr>
          <w:rFonts w:ascii="Times New Roman" w:hAnsi="Times New Roman" w:cs="Times New Roman"/>
          <w:sz w:val="24"/>
          <w:szCs w:val="24"/>
          <w:shd w:val="clear" w:color="auto" w:fill="FFFFFF"/>
        </w:rPr>
        <w:t xml:space="preserve">. But it is a cumbersome and time-consuming procedure. Prerequisites for the LC-MS-MS are </w:t>
      </w:r>
      <w:r w:rsidR="00D80642" w:rsidRPr="00343885">
        <w:rPr>
          <w:rFonts w:ascii="Times New Roman" w:hAnsi="Times New Roman" w:cs="Times New Roman"/>
          <w:sz w:val="24"/>
          <w:szCs w:val="24"/>
          <w:shd w:val="clear" w:color="auto" w:fill="FFFFFF"/>
        </w:rPr>
        <w:t xml:space="preserve">the </w:t>
      </w:r>
      <w:r w:rsidRPr="00343885">
        <w:rPr>
          <w:rFonts w:ascii="Times New Roman" w:hAnsi="Times New Roman" w:cs="Times New Roman"/>
          <w:sz w:val="24"/>
          <w:szCs w:val="24"/>
          <w:shd w:val="clear" w:color="auto" w:fill="FFFFFF"/>
        </w:rPr>
        <w:t xml:space="preserve">separation of antibiotics from the water or sludge, requires more chemicals and time, and varies for different antibiotics. These difficulties are surpassed by </w:t>
      </w:r>
      <w:r w:rsidR="00D80642" w:rsidRPr="00343885">
        <w:rPr>
          <w:rFonts w:ascii="Times New Roman" w:hAnsi="Times New Roman" w:cs="Times New Roman"/>
          <w:sz w:val="24"/>
          <w:szCs w:val="24"/>
          <w:shd w:val="clear" w:color="auto" w:fill="FFFFFF"/>
        </w:rPr>
        <w:t xml:space="preserve">a </w:t>
      </w:r>
      <w:r w:rsidRPr="00343885">
        <w:rPr>
          <w:rFonts w:ascii="Times New Roman" w:hAnsi="Times New Roman" w:cs="Times New Roman"/>
          <w:sz w:val="24"/>
          <w:szCs w:val="24"/>
          <w:shd w:val="clear" w:color="auto" w:fill="FFFFFF"/>
        </w:rPr>
        <w:t>well-diffusion-assay. Practically</w:t>
      </w:r>
      <w:r w:rsidR="00D80642" w:rsidRPr="00343885">
        <w:rPr>
          <w:rFonts w:ascii="Times New Roman" w:hAnsi="Times New Roman" w:cs="Times New Roman"/>
          <w:sz w:val="24"/>
          <w:szCs w:val="24"/>
          <w:shd w:val="clear" w:color="auto" w:fill="FFFFFF"/>
        </w:rPr>
        <w:t>,</w:t>
      </w:r>
      <w:r w:rsidRPr="00343885">
        <w:rPr>
          <w:rFonts w:ascii="Times New Roman" w:hAnsi="Times New Roman" w:cs="Times New Roman"/>
          <w:sz w:val="24"/>
          <w:szCs w:val="24"/>
          <w:shd w:val="clear" w:color="auto" w:fill="FFFFFF"/>
        </w:rPr>
        <w:t xml:space="preserve"> it is feasible to detect all antibiotics. The limitation of the </w:t>
      </w:r>
      <w:r w:rsidR="00D80642" w:rsidRPr="00343885">
        <w:rPr>
          <w:rFonts w:ascii="Times New Roman" w:hAnsi="Times New Roman" w:cs="Times New Roman"/>
          <w:sz w:val="24"/>
          <w:szCs w:val="24"/>
          <w:shd w:val="clear" w:color="auto" w:fill="FFFFFF"/>
        </w:rPr>
        <w:t>well-diffusion assay</w:t>
      </w:r>
      <w:r w:rsidRPr="00343885">
        <w:rPr>
          <w:rFonts w:ascii="Times New Roman" w:hAnsi="Times New Roman" w:cs="Times New Roman"/>
          <w:sz w:val="24"/>
          <w:szCs w:val="24"/>
          <w:shd w:val="clear" w:color="auto" w:fill="FFFFFF"/>
        </w:rPr>
        <w:t xml:space="preserve"> is the sensitivity. But, in the present study, a higher initial concentration has been used in the experiment. So, the degradation can be detected. I can be tried in the sludge/wastewater, i.e., after the exposure, the sludge/wastewater can be added into the well, and the zone of inhibition can be detected. Hence, a well-diffusion assay has been studied to assess the degradation level of antibiotics. </w:t>
      </w:r>
    </w:p>
    <w:p w14:paraId="7E814791" w14:textId="77777777" w:rsidR="00B70669" w:rsidRPr="00343885" w:rsidRDefault="00B70669" w:rsidP="00343885">
      <w:pPr>
        <w:pStyle w:val="NoSpacing"/>
        <w:spacing w:line="360" w:lineRule="auto"/>
        <w:jc w:val="both"/>
        <w:rPr>
          <w:rFonts w:ascii="Times New Roman" w:hAnsi="Times New Roman" w:cs="Times New Roman"/>
          <w:sz w:val="24"/>
          <w:szCs w:val="24"/>
        </w:rPr>
      </w:pPr>
    </w:p>
    <w:p w14:paraId="40A379E4" w14:textId="77777777" w:rsidR="00F013A2" w:rsidRPr="00343885" w:rsidRDefault="00F033E4" w:rsidP="00343885">
      <w:pPr>
        <w:autoSpaceDE w:val="0"/>
        <w:autoSpaceDN w:val="0"/>
        <w:adjustRightInd w:val="0"/>
        <w:spacing w:after="0" w:line="360" w:lineRule="auto"/>
        <w:jc w:val="both"/>
        <w:rPr>
          <w:rFonts w:ascii="Times New Roman" w:hAnsi="Times New Roman" w:cs="Times New Roman"/>
          <w:b/>
          <w:i/>
          <w:iCs/>
          <w:color w:val="000000"/>
          <w:sz w:val="24"/>
          <w:szCs w:val="24"/>
        </w:rPr>
      </w:pPr>
      <w:r w:rsidRPr="00343885">
        <w:rPr>
          <w:rFonts w:ascii="Times New Roman" w:hAnsi="Times New Roman" w:cs="Times New Roman"/>
          <w:b/>
          <w:i/>
          <w:iCs/>
          <w:color w:val="000000"/>
          <w:sz w:val="24"/>
          <w:szCs w:val="24"/>
        </w:rPr>
        <w:lastRenderedPageBreak/>
        <w:t>Destruction of different antibiotic</w:t>
      </w:r>
      <w:r w:rsidR="00DD02E5" w:rsidRPr="00343885">
        <w:rPr>
          <w:rFonts w:ascii="Times New Roman" w:hAnsi="Times New Roman" w:cs="Times New Roman"/>
          <w:b/>
          <w:i/>
          <w:iCs/>
          <w:color w:val="000000"/>
          <w:sz w:val="24"/>
          <w:szCs w:val="24"/>
        </w:rPr>
        <w:t>s</w:t>
      </w:r>
      <w:r w:rsidRPr="00343885">
        <w:rPr>
          <w:rFonts w:ascii="Times New Roman" w:hAnsi="Times New Roman" w:cs="Times New Roman"/>
          <w:b/>
          <w:i/>
          <w:iCs/>
          <w:color w:val="000000"/>
          <w:sz w:val="24"/>
          <w:szCs w:val="24"/>
        </w:rPr>
        <w:t xml:space="preserve"> in the impregnated disc by Electron beam irradiation:</w:t>
      </w:r>
    </w:p>
    <w:p w14:paraId="2BEF78E6" w14:textId="395A9D97" w:rsidR="00B36ECE" w:rsidRPr="00343885" w:rsidRDefault="00F033E4" w:rsidP="00343885">
      <w:pPr>
        <w:autoSpaceDE w:val="0"/>
        <w:autoSpaceDN w:val="0"/>
        <w:adjustRightInd w:val="0"/>
        <w:spacing w:after="0" w:line="360" w:lineRule="auto"/>
        <w:jc w:val="both"/>
        <w:rPr>
          <w:rFonts w:ascii="Times New Roman" w:hAnsi="Times New Roman" w:cs="Times New Roman"/>
          <w:sz w:val="24"/>
          <w:szCs w:val="24"/>
        </w:rPr>
      </w:pPr>
      <w:r w:rsidRPr="00343885">
        <w:rPr>
          <w:rFonts w:ascii="Times New Roman" w:hAnsi="Times New Roman" w:cs="Times New Roman"/>
          <w:sz w:val="24"/>
          <w:szCs w:val="24"/>
        </w:rPr>
        <w:t xml:space="preserve">Destruction of antibiotics by Electron beam irradiation is gaining attention </w:t>
      </w:r>
      <w:r w:rsidR="0098094E" w:rsidRPr="00343885">
        <w:rPr>
          <w:rFonts w:ascii="Times New Roman" w:hAnsi="Times New Roman" w:cs="Times New Roman"/>
          <w:sz w:val="24"/>
          <w:szCs w:val="24"/>
        </w:rPr>
        <w:t>worldwide</w:t>
      </w:r>
      <w:r w:rsidRPr="00343885">
        <w:rPr>
          <w:rFonts w:ascii="Times New Roman" w:hAnsi="Times New Roman" w:cs="Times New Roman"/>
          <w:sz w:val="24"/>
          <w:szCs w:val="24"/>
        </w:rPr>
        <w:t xml:space="preserve"> in order to avoid the development of multiple drug-resistant bacteria. Few reports are available regarding the destruction of antibiotics in discarded materials. In the present study, the investigation was done on the destruction of antibiotics in the impregnated disc by application of EBI. 20 different types of antibiotics were treated with different doses on Electron Beam Irradiation (EBI). Based on the previous experiment, the destruction was observed in 5000 µg in 100µl dilution at 1 kGy dose. In the present study, the concentration of the antibiotic varied from 10 µg to 30 µg, and four different doses of EBI i. e., 0.5, 1.0, 1.5, and 2.0 kGy were selected. One untreated control antibiotics disc was also used for comparison. Readymade impregnated discs for gram-positive bacteria (</w:t>
      </w:r>
      <w:r w:rsidR="0012706A" w:rsidRPr="00343885">
        <w:rPr>
          <w:rFonts w:ascii="Times New Roman" w:hAnsi="Times New Roman" w:cs="Times New Roman"/>
          <w:sz w:val="24"/>
          <w:szCs w:val="24"/>
        </w:rPr>
        <w:t>HiMedia</w:t>
      </w:r>
      <w:r w:rsidRPr="00343885">
        <w:rPr>
          <w:rFonts w:ascii="Times New Roman" w:hAnsi="Times New Roman" w:cs="Times New Roman"/>
          <w:sz w:val="24"/>
          <w:szCs w:val="24"/>
        </w:rPr>
        <w:t>- ICOO2)</w:t>
      </w:r>
      <w:r w:rsidR="0011436E" w:rsidRPr="00343885">
        <w:rPr>
          <w:rFonts w:ascii="Times New Roman" w:hAnsi="Times New Roman" w:cs="Times New Roman"/>
          <w:sz w:val="24"/>
          <w:szCs w:val="24"/>
        </w:rPr>
        <w:t xml:space="preserve"> (Table: 3)</w:t>
      </w:r>
      <w:r w:rsidRPr="00343885">
        <w:rPr>
          <w:rFonts w:ascii="Times New Roman" w:hAnsi="Times New Roman" w:cs="Times New Roman"/>
          <w:sz w:val="24"/>
          <w:szCs w:val="24"/>
        </w:rPr>
        <w:t>, as well as gram-negative bacteria (</w:t>
      </w:r>
      <w:r w:rsidR="0012706A" w:rsidRPr="00343885">
        <w:rPr>
          <w:rFonts w:ascii="Times New Roman" w:hAnsi="Times New Roman" w:cs="Times New Roman"/>
          <w:sz w:val="24"/>
          <w:szCs w:val="24"/>
        </w:rPr>
        <w:t>HiMedia</w:t>
      </w:r>
      <w:r w:rsidRPr="00343885">
        <w:rPr>
          <w:rFonts w:ascii="Times New Roman" w:hAnsi="Times New Roman" w:cs="Times New Roman"/>
          <w:sz w:val="24"/>
          <w:szCs w:val="24"/>
        </w:rPr>
        <w:t xml:space="preserve"> - IC008)</w:t>
      </w:r>
      <w:r w:rsidR="0011436E" w:rsidRPr="00343885">
        <w:rPr>
          <w:rFonts w:ascii="Times New Roman" w:hAnsi="Times New Roman" w:cs="Times New Roman"/>
          <w:sz w:val="24"/>
          <w:szCs w:val="24"/>
        </w:rPr>
        <w:t xml:space="preserve"> (Table 4)</w:t>
      </w:r>
      <w:r w:rsidRPr="00343885">
        <w:rPr>
          <w:rFonts w:ascii="Times New Roman" w:hAnsi="Times New Roman" w:cs="Times New Roman"/>
          <w:sz w:val="24"/>
          <w:szCs w:val="24"/>
        </w:rPr>
        <w:t>, were used for the study. For gram-positive and negative Icosa disc, bacteria </w:t>
      </w:r>
      <w:r w:rsidRPr="00343885">
        <w:rPr>
          <w:rStyle w:val="Emphasis"/>
          <w:rFonts w:ascii="Times New Roman" w:hAnsi="Times New Roman" w:cs="Times New Roman"/>
          <w:color w:val="0E101A"/>
          <w:sz w:val="24"/>
          <w:szCs w:val="24"/>
        </w:rPr>
        <w:t>Staphylococcus aureus</w:t>
      </w:r>
      <w:r w:rsidRPr="00343885">
        <w:rPr>
          <w:rFonts w:ascii="Times New Roman" w:hAnsi="Times New Roman" w:cs="Times New Roman"/>
          <w:sz w:val="24"/>
          <w:szCs w:val="24"/>
        </w:rPr>
        <w:t> and </w:t>
      </w:r>
      <w:r w:rsidRPr="00343885">
        <w:rPr>
          <w:rStyle w:val="Emphasis"/>
          <w:rFonts w:ascii="Times New Roman" w:hAnsi="Times New Roman" w:cs="Times New Roman"/>
          <w:color w:val="0E101A"/>
          <w:sz w:val="24"/>
          <w:szCs w:val="24"/>
        </w:rPr>
        <w:t>Escherichia coli</w:t>
      </w:r>
      <w:r w:rsidRPr="00343885">
        <w:rPr>
          <w:rFonts w:ascii="Times New Roman" w:hAnsi="Times New Roman" w:cs="Times New Roman"/>
          <w:sz w:val="24"/>
          <w:szCs w:val="24"/>
        </w:rPr>
        <w:t> were used, respectively.</w:t>
      </w:r>
    </w:p>
    <w:p w14:paraId="1CFDEA72" w14:textId="77777777" w:rsidR="00B21838" w:rsidRPr="00343885" w:rsidRDefault="00B21838" w:rsidP="00343885">
      <w:pPr>
        <w:spacing w:line="360" w:lineRule="auto"/>
        <w:jc w:val="both"/>
        <w:rPr>
          <w:rFonts w:ascii="Times New Roman" w:hAnsi="Times New Roman" w:cs="Times New Roman"/>
          <w:bCs/>
          <w:color w:val="000000"/>
          <w:sz w:val="24"/>
          <w:szCs w:val="24"/>
        </w:rPr>
      </w:pPr>
    </w:p>
    <w:p w14:paraId="5417D78D" w14:textId="77777777" w:rsidR="00D51C49" w:rsidRPr="00343885" w:rsidRDefault="00F033E4" w:rsidP="00343885">
      <w:pPr>
        <w:spacing w:line="360" w:lineRule="auto"/>
        <w:jc w:val="both"/>
        <w:rPr>
          <w:rFonts w:ascii="Times New Roman" w:hAnsi="Times New Roman" w:cs="Times New Roman"/>
          <w:sz w:val="24"/>
          <w:szCs w:val="24"/>
        </w:rPr>
      </w:pPr>
      <w:r w:rsidRPr="00343885">
        <w:rPr>
          <w:rFonts w:ascii="Times New Roman" w:hAnsi="Times New Roman" w:cs="Times New Roman"/>
          <w:bCs/>
          <w:color w:val="000000"/>
          <w:sz w:val="24"/>
          <w:szCs w:val="24"/>
        </w:rPr>
        <w:t xml:space="preserve">20 different types of antibiotics were treated with varying doses on Electron Beam Irradiation (EBI). Based on antibiogram results, it was found that most of the antibiotics were stable to EBI doses of 0.5 to 2.0 kGy. However, few antibiotics, </w:t>
      </w:r>
      <w:r w:rsidRPr="00343885">
        <w:rPr>
          <w:rFonts w:ascii="Times New Roman" w:hAnsi="Times New Roman" w:cs="Times New Roman"/>
          <w:bCs/>
          <w:i/>
          <w:iCs/>
          <w:color w:val="000000"/>
          <w:sz w:val="24"/>
          <w:szCs w:val="24"/>
        </w:rPr>
        <w:t>viz.</w:t>
      </w:r>
      <w:r w:rsidRPr="00343885">
        <w:rPr>
          <w:rFonts w:ascii="Times New Roman" w:hAnsi="Times New Roman" w:cs="Times New Roman"/>
          <w:bCs/>
          <w:color w:val="000000"/>
          <w:sz w:val="24"/>
          <w:szCs w:val="24"/>
        </w:rPr>
        <w:t>, Ampicillin (10 µg), Amoxyclav (30 µg), Cefoxitin (30μg), and Cefpodoxime (10μg), showed considerable degradation towards EBI. Cefoxitin (30μg) and Cefpodoxime (10μg) were utterly destroyed even with a 0.5 kGy dose. Hence increased EBI doses are needed for the other antibiotic degradation. Based on the study, the antibiotic-impregnated disc method of analysis was observed as an easy and valuable method to assess the resistance and susceptibility of the antibiotics to EBI. Moreover, primary data will help fix the dose for the particular antibiotics.</w:t>
      </w:r>
    </w:p>
    <w:p w14:paraId="31B528A5" w14:textId="56191B3F" w:rsidR="00220C24" w:rsidRPr="00343885" w:rsidRDefault="00F033E4" w:rsidP="00343885">
      <w:pPr>
        <w:autoSpaceDE w:val="0"/>
        <w:autoSpaceDN w:val="0"/>
        <w:adjustRightInd w:val="0"/>
        <w:spacing w:after="0" w:line="360" w:lineRule="auto"/>
        <w:jc w:val="both"/>
        <w:rPr>
          <w:rFonts w:ascii="Times New Roman" w:hAnsi="Times New Roman" w:cs="Times New Roman"/>
          <w:sz w:val="24"/>
          <w:szCs w:val="24"/>
        </w:rPr>
      </w:pPr>
      <w:r w:rsidRPr="00343885">
        <w:rPr>
          <w:rFonts w:ascii="Times New Roman" w:hAnsi="Times New Roman" w:cs="Times New Roman"/>
          <w:sz w:val="24"/>
          <w:szCs w:val="24"/>
        </w:rPr>
        <w:t xml:space="preserve">There was no study on the effect of EBI on the antibiotic-impregnated paper disc </w:t>
      </w:r>
      <w:r w:rsidR="00B92B20" w:rsidRPr="00343885">
        <w:rPr>
          <w:rFonts w:ascii="Times New Roman" w:hAnsi="Times New Roman" w:cs="Times New Roman"/>
          <w:sz w:val="24"/>
          <w:szCs w:val="24"/>
        </w:rPr>
        <w:fldChar w:fldCharType="begin"/>
      </w:r>
      <w:r w:rsidR="000532B0">
        <w:rPr>
          <w:rFonts w:ascii="Times New Roman" w:hAnsi="Times New Roman" w:cs="Times New Roman"/>
          <w:sz w:val="24"/>
          <w:szCs w:val="24"/>
        </w:rPr>
        <w:instrText xml:space="preserve"> ADDIN ZOTERO_ITEM CSL_CITATION {"citationID":"XgUysmxn","properties":{"formattedCitation":"\\super 12\\nosupersub{}","plainCitation":"12","noteIndex":0},"citationItems":[{"id":"AXwEQWfZ/uzdPiByn","uris":["http://zotero.org/users/local/42Ekf4cZ/items/2TBLS4B8"],"itemData":{"id":20,"type":"article-journal","abstract":"Abstract\n            \n              This study reported an immediate approach for the degradation of three antibiotic (amoxicillin, ofloxacin, and cefradine) residues in medical intravenous infusion bottles (MIIBs) using high energy electron beam (HEEB) irradiation. The effects of irradiation doses, initial concentrations, initial pH, and scavengers of active radicals on the degradation of three antibiotic residues (ARs) were investigated, and the results displayed that 97.02%, 97.61% and 96.87% of amoxicillin, ofloxacin, and cefradine residues could be degraded\n              in situ\n              through HEEB irradiation respectively. Fourier transform infrared spectroscopy (FTIR) and high performance liquid chromatography-mass spectrometry (HPLC-MS) analysis demonstrated that ARs were mainly decomposed into inorganic ions and alkanes. Typically, the detailed degradation mechanism of ARs was also investigated, and the dominant active particle inducing the degradation of antibiotics during the HEEB irradiation process was demonstrated to be hydroxyl radical.","container-title":"Scientific Reports","DOI":"10.1038/srep39928","ISSN":"2045-2322","issue":"1","journalAbbreviation":"Sci Rep","language":"en","page":"39928","source":"DOI.org (Crossref)","title":"In situ degradation of antibiotic residues in medical intravenous infusion bottles using high energy electron beam irradiation","URL":"https://www.nature.com/articles/srep39928","volume":"7","author":[{"family":"Wang","given":"Min"},{"family":"Zhang","given":"Lele"},{"family":"Zhang","given":"Guilong"},{"family":"Pang","given":"Tao"},{"family":"Zhang","given":"Xin"},{"family":"Cai","given":"Dongqing"},{"family":"Wu","given":"Zhengyan"}],"accessed":{"date-parts":[["2025",1,27]]},"issued":{"date-parts":[["2017",1,3]]}}}],"schema":"https://github.com/citation-style-language/schema/raw/master/csl-citation.json"} </w:instrText>
      </w:r>
      <w:r w:rsidR="00B92B20" w:rsidRPr="00343885">
        <w:rPr>
          <w:rFonts w:ascii="Times New Roman" w:hAnsi="Times New Roman" w:cs="Times New Roman"/>
          <w:sz w:val="24"/>
          <w:szCs w:val="24"/>
        </w:rPr>
        <w:fldChar w:fldCharType="separate"/>
      </w:r>
      <w:r w:rsidR="000532B0" w:rsidRPr="000532B0">
        <w:rPr>
          <w:rFonts w:ascii="Times New Roman" w:hAnsi="Times New Roman" w:cs="Times New Roman"/>
          <w:sz w:val="24"/>
          <w:vertAlign w:val="superscript"/>
        </w:rPr>
        <w:t>12</w:t>
      </w:r>
      <w:r w:rsidR="00B92B20" w:rsidRPr="00343885">
        <w:rPr>
          <w:rFonts w:ascii="Times New Roman" w:hAnsi="Times New Roman" w:cs="Times New Roman"/>
          <w:sz w:val="24"/>
          <w:szCs w:val="24"/>
        </w:rPr>
        <w:fldChar w:fldCharType="end"/>
      </w:r>
      <w:r w:rsidRPr="00343885">
        <w:rPr>
          <w:rFonts w:ascii="Times New Roman" w:hAnsi="Times New Roman" w:cs="Times New Roman"/>
          <w:sz w:val="24"/>
          <w:szCs w:val="24"/>
        </w:rPr>
        <w:t xml:space="preserve"> carried out the degradation of antibiotics in the aqueous medium and found that ofloxacin was degraded earlier, followed by amoxicillin and cefradine.  </w:t>
      </w:r>
    </w:p>
    <w:p w14:paraId="28734453" w14:textId="4DB26732" w:rsidR="00220C24" w:rsidRPr="00343885" w:rsidRDefault="00F033E4" w:rsidP="00343885">
      <w:pPr>
        <w:autoSpaceDE w:val="0"/>
        <w:autoSpaceDN w:val="0"/>
        <w:adjustRightInd w:val="0"/>
        <w:spacing w:after="0" w:line="360" w:lineRule="auto"/>
        <w:jc w:val="both"/>
        <w:rPr>
          <w:rFonts w:ascii="Times New Roman" w:hAnsi="Times New Roman" w:cs="Times New Roman"/>
          <w:sz w:val="24"/>
          <w:szCs w:val="24"/>
        </w:rPr>
      </w:pPr>
      <w:r w:rsidRPr="00343885">
        <w:rPr>
          <w:rFonts w:ascii="Times New Roman" w:hAnsi="Times New Roman" w:cs="Times New Roman"/>
          <w:sz w:val="24"/>
          <w:szCs w:val="24"/>
        </w:rPr>
        <w:t xml:space="preserve">Hence, plenty of medical intravenous infusion bottles (MIIBs) with antibiotic residues (ARs) were generated and exposed to the environment, causing extremely harmful effects on human health (arthropathy, nephropathy, mutagenic effect, damage to the central nervous system, growing of antibiotic-resistant bacteria) and ecological balance (damage on the structure of microbial </w:t>
      </w:r>
      <w:r w:rsidRPr="00343885">
        <w:rPr>
          <w:rFonts w:ascii="Times New Roman" w:hAnsi="Times New Roman" w:cs="Times New Roman"/>
          <w:sz w:val="24"/>
          <w:szCs w:val="24"/>
        </w:rPr>
        <w:lastRenderedPageBreak/>
        <w:t xml:space="preserve">community). Hydroxyl particles are responsible for the degradation of antibiotics in the aqueous medium. Dominant active particle inducing the degradation of antibiotics during the HEEB irradiation process was demonstrated to be hydroxyl radical </w:t>
      </w:r>
      <w:r w:rsidR="00B92B20" w:rsidRPr="00343885">
        <w:rPr>
          <w:rFonts w:ascii="Times New Roman" w:hAnsi="Times New Roman" w:cs="Times New Roman"/>
          <w:sz w:val="24"/>
          <w:szCs w:val="24"/>
        </w:rPr>
        <w:fldChar w:fldCharType="begin"/>
      </w:r>
      <w:r w:rsidR="000532B0">
        <w:rPr>
          <w:rFonts w:ascii="Times New Roman" w:hAnsi="Times New Roman" w:cs="Times New Roman"/>
          <w:sz w:val="24"/>
          <w:szCs w:val="24"/>
        </w:rPr>
        <w:instrText xml:space="preserve"> ADDIN ZOTERO_ITEM CSL_CITATION {"citationID":"oF8brSyf","properties":{"formattedCitation":"\\super 12\\nosupersub{}","plainCitation":"12","noteIndex":0},"citationItems":[{"id":"AXwEQWfZ/uzdPiByn","uris":["http://zotero.org/users/local/42Ekf4cZ/items/2TBLS4B8"],"itemData":{"id":20,"type":"article-journal","abstract":"Abstract\n            \n              This study reported an immediate approach for the degradation of three antibiotic (amoxicillin, ofloxacin, and cefradine) residues in medical intravenous infusion bottles (MIIBs) using high energy electron beam (HEEB) irradiation. The effects of irradiation doses, initial concentrations, initial pH, and scavengers of active radicals on the degradation of three antibiotic residues (ARs) were investigated, and the results displayed that 97.02%, 97.61% and 96.87% of amoxicillin, ofloxacin, and cefradine residues could be degraded\n              in situ\n              through HEEB irradiation respectively. Fourier transform infrared spectroscopy (FTIR) and high performance liquid chromatography-mass spectrometry (HPLC-MS) analysis demonstrated that ARs were mainly decomposed into inorganic ions and alkanes. Typically, the detailed degradation mechanism of ARs was also investigated, and the dominant active particle inducing the degradation of antibiotics during the HEEB irradiation process was demonstrated to be hydroxyl radical.","container-title":"Scientific Reports","DOI":"10.1038/srep39928","ISSN":"2045-2322","issue":"1","journalAbbreviation":"Sci Rep","language":"en","page":"39928","source":"DOI.org (Crossref)","title":"In situ degradation of antibiotic residues in medical intravenous infusion bottles using high energy electron beam irradiation","URL":"https://www.nature.com/articles/srep39928","volume":"7","author":[{"family":"Wang","given":"Min"},{"family":"Zhang","given":"Lele"},{"family":"Zhang","given":"Guilong"},{"family":"Pang","given":"Tao"},{"family":"Zhang","given":"Xin"},{"family":"Cai","given":"Dongqing"},{"family":"Wu","given":"Zhengyan"}],"accessed":{"date-parts":[["2025",1,27]]},"issued":{"date-parts":[["2017",1,3]]}}}],"schema":"https://github.com/citation-style-language/schema/raw/master/csl-citation.json"} </w:instrText>
      </w:r>
      <w:r w:rsidR="00B92B20" w:rsidRPr="00343885">
        <w:rPr>
          <w:rFonts w:ascii="Times New Roman" w:hAnsi="Times New Roman" w:cs="Times New Roman"/>
          <w:sz w:val="24"/>
          <w:szCs w:val="24"/>
        </w:rPr>
        <w:fldChar w:fldCharType="separate"/>
      </w:r>
      <w:r w:rsidR="000532B0" w:rsidRPr="000532B0">
        <w:rPr>
          <w:rFonts w:ascii="Times New Roman" w:hAnsi="Times New Roman" w:cs="Times New Roman"/>
          <w:sz w:val="24"/>
          <w:vertAlign w:val="superscript"/>
        </w:rPr>
        <w:t>12</w:t>
      </w:r>
      <w:r w:rsidR="00B92B20" w:rsidRPr="00343885">
        <w:rPr>
          <w:rFonts w:ascii="Times New Roman" w:hAnsi="Times New Roman" w:cs="Times New Roman"/>
          <w:sz w:val="24"/>
          <w:szCs w:val="24"/>
        </w:rPr>
        <w:fldChar w:fldCharType="end"/>
      </w:r>
      <w:r w:rsidRPr="00343885">
        <w:rPr>
          <w:rFonts w:ascii="Times New Roman" w:hAnsi="Times New Roman" w:cs="Times New Roman"/>
          <w:sz w:val="24"/>
          <w:szCs w:val="24"/>
        </w:rPr>
        <w:t xml:space="preserve">. 7.02%, 97.61%, and 96.87% of amoxicillin, ofloxacin, and cefradine residues could be degraded in situ through HEEB irradiation, respectively. </w:t>
      </w:r>
    </w:p>
    <w:p w14:paraId="6910DC32" w14:textId="77777777" w:rsidR="00220C24" w:rsidRPr="00343885" w:rsidRDefault="00220C24" w:rsidP="00343885">
      <w:pPr>
        <w:autoSpaceDE w:val="0"/>
        <w:autoSpaceDN w:val="0"/>
        <w:adjustRightInd w:val="0"/>
        <w:spacing w:after="0" w:line="360" w:lineRule="auto"/>
        <w:jc w:val="both"/>
        <w:rPr>
          <w:rFonts w:ascii="Times New Roman" w:hAnsi="Times New Roman" w:cs="Times New Roman"/>
          <w:sz w:val="24"/>
          <w:szCs w:val="24"/>
        </w:rPr>
      </w:pPr>
    </w:p>
    <w:p w14:paraId="52643DFA" w14:textId="77777777" w:rsidR="00C57ED3" w:rsidRPr="00343885" w:rsidRDefault="00C57ED3" w:rsidP="00C57ED3">
      <w:pPr>
        <w:spacing w:line="360" w:lineRule="auto"/>
        <w:jc w:val="both"/>
        <w:rPr>
          <w:rFonts w:ascii="Times New Roman" w:hAnsi="Times New Roman" w:cs="Times New Roman"/>
          <w:sz w:val="24"/>
          <w:szCs w:val="24"/>
          <w:shd w:val="clear" w:color="auto" w:fill="FFFFFF"/>
        </w:rPr>
      </w:pPr>
      <w:r w:rsidRPr="00343885">
        <w:rPr>
          <w:rFonts w:ascii="Times New Roman" w:hAnsi="Times New Roman" w:cs="Times New Roman"/>
          <w:sz w:val="24"/>
          <w:szCs w:val="24"/>
          <w:shd w:val="clear" w:color="auto" w:fill="FFFFFF"/>
        </w:rPr>
        <w:t xml:space="preserve">The degradation efficiency varies based on the initial concentration of the antibiotics. Wang et al (2017) reported that highest degradation was observed at 50mg/L i.e., 50000µg/1000mL (50 µg/mL) (or) 5 µg/100 µL. In the present study, a 1000 times higher concentration was used to assess the degradation level. Wang et al. (2017) reported that the EBI &gt;30kGy can degrade around 95% of the antibiotic residue </w:t>
      </w:r>
      <w:r w:rsidRPr="00343885">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{"citationID":"iWE2PGU3","properties":{"formattedCitation":"\\super 12\\nosupersub{}","plainCitation":"12","noteIndex":0},"citationItems":[{"id":"AXwEQWfZ/uzdPiByn","uris":["http://zotero.org/users/local/42Ekf4cZ/items/2TBLS4B8"],"itemData":{"id":20,"type":"article-journal","abstract":"Abstract\n            \n              This study reported an immediate approach for the degradation of three antibiotic (amoxicillin, ofloxacin, and cefradine) residues in medical intravenous infusion bottles (MIIBs) using high energy electron beam (HEEB) irradiation. The effects of irradiation doses, initial concentrations, initial pH, and scavengers of active radicals on the degradation of three antibiotic residues (ARs) were investigated, and the results displayed that 97.02%, 97.61% and 96.87% of amoxicillin, ofloxacin, and cefradine residues could be degraded\n              in situ\n              through HEEB irradiation respectively. Fourier transform infrared spectroscopy (FTIR) and high performance liquid chromatography-mass spectrometry (HPLC-MS) analysis demonstrated that ARs were mainly decomposed into inorganic ions and alkanes. Typically, the detailed degradation mechanism of ARs was also investigated, and the dominant active particle inducing the degradation of antibiotics during the HEEB irradiation process was demonstrated to be hydroxyl radical.","container-title":"Scientific Reports","DOI":"10.1038/srep39928","ISSN":"2045-2322","issue":"1","journalAbbreviation":"Sci Rep","language":"en","page":"39928","source":"DOI.org (Crossref)","title":"In situ degradation of antibiotic residues in medical intravenous infusion bottles using high energy electron beam irradiation","URL":"https://www.nature.com/articles/srep39928","volume":"7","author":[{"family":"Wang","given":"Min"},{"family":"Zhang","given":"Lele"},{"family":"Zhang","given":"Guilong"},{"family":"Pang","given":"Tao"},{"family":"Zhang","given":"Xin"},{"family":"Cai","given":"Dongqing"},{"family":"Wu","given":"Zhengyan"}],"accessed":{"date-parts":[["2025",1,27]]},"issued":{"date-parts":[["2017",1,3]]}}}],"schema":"https://github.com/citation-style-language/schema/raw/master/csl-citation.json"} </w:instrText>
      </w:r>
      <w:r w:rsidRPr="00343885">
        <w:rPr>
          <w:rFonts w:ascii="Times New Roman" w:hAnsi="Times New Roman" w:cs="Times New Roman"/>
          <w:sz w:val="24"/>
          <w:szCs w:val="24"/>
        </w:rPr>
        <w:fldChar w:fldCharType="separate"/>
      </w:r>
      <w:r w:rsidRPr="000532B0">
        <w:rPr>
          <w:rFonts w:ascii="Times New Roman" w:hAnsi="Times New Roman" w:cs="Times New Roman"/>
          <w:sz w:val="24"/>
          <w:vertAlign w:val="superscript"/>
        </w:rPr>
        <w:t>12</w:t>
      </w:r>
      <w:r w:rsidRPr="00343885">
        <w:rPr>
          <w:rFonts w:ascii="Times New Roman" w:hAnsi="Times New Roman" w:cs="Times New Roman"/>
          <w:sz w:val="24"/>
          <w:szCs w:val="24"/>
        </w:rPr>
        <w:fldChar w:fldCharType="end"/>
      </w:r>
      <w:r w:rsidRPr="00343885">
        <w:rPr>
          <w:rFonts w:ascii="Times New Roman" w:hAnsi="Times New Roman" w:cs="Times New Roman"/>
          <w:sz w:val="24"/>
          <w:szCs w:val="24"/>
          <w:shd w:val="clear" w:color="auto" w:fill="FFFFFF"/>
        </w:rPr>
        <w:t>. But, in the present study, even with 2.5 to 5kGy dose is sufficient to kill the antibiotics. The reason is due to the penetration power of the EDI. In the study, as mentioned earlier, a higher amount of dose was mentioned for the degradation, which may be the reason that the EBI was carried out directly over the intra-venous antibiotic bottles. Based on a recent study, would like to bring the clarity that if the plastic/glass bottle is again washed with water, the water can be treated with a low level of EBI for the complete destruction of the antibiotics.</w:t>
      </w:r>
    </w:p>
    <w:p w14:paraId="249C8BFC" w14:textId="01410C5B" w:rsidR="00B34D2A" w:rsidRPr="004725C0" w:rsidRDefault="00F033E4" w:rsidP="00B34D2A">
      <w:pPr>
        <w:pStyle w:val="NormalWeb"/>
        <w:spacing w:before="0" w:beforeAutospacing="0" w:after="0" w:afterAutospacing="0" w:line="360" w:lineRule="auto"/>
        <w:jc w:val="both"/>
        <w:rPr>
          <w:color w:val="0E101A"/>
        </w:rPr>
      </w:pPr>
      <w:r w:rsidRPr="00343885">
        <w:rPr>
          <w:color w:val="0E101A"/>
        </w:rPr>
        <w:t xml:space="preserve">In addition to the antibiotic degradation, it also eliminates the food-borne pathogenic viz., bacteria, viruses, </w:t>
      </w:r>
      <w:r w:rsidR="005B2BDE" w:rsidRPr="00343885">
        <w:rPr>
          <w:color w:val="0E101A"/>
        </w:rPr>
        <w:t>fung</w:t>
      </w:r>
      <w:r w:rsidR="005B2BDE">
        <w:rPr>
          <w:color w:val="0E101A"/>
        </w:rPr>
        <w:t>i</w:t>
      </w:r>
      <w:r w:rsidRPr="00343885">
        <w:rPr>
          <w:color w:val="0E101A"/>
        </w:rPr>
        <w:t xml:space="preserve">, insects, and spoilage bacteria, thus leading to safe and shelf-life extended shrimp </w:t>
      </w:r>
      <w:r w:rsidR="00B92B20" w:rsidRPr="00343885">
        <w:rPr>
          <w:color w:val="0E101A"/>
        </w:rPr>
        <w:fldChar w:fldCharType="begin"/>
      </w:r>
      <w:r w:rsidR="000532B0">
        <w:rPr>
          <w:color w:val="0E101A"/>
        </w:rPr>
        <w:instrText xml:space="preserve"> ADDIN ZOTERO_ITEM CSL_CITATION {"citationID":"PQu5crod","properties":{"formattedCitation":"\\super 11\\nosupersub{}","plainCitation":"11","noteIndex":0},"citationItems":[{"id":"AXwEQWfZ/lC0Zll8H","uris":["http://zotero.org/users/local/42Ekf4cZ/items/CDQ5QVQE"],"itemData":{"id":"dnMyecUW/TyYfLgJ3","type":"article-journal","container-title":"Journal of Food Science and Technology","DOI":"10.1007/s13197-020-04250-7","ISSN":"0022-1155, 0975-8402","issue":"6","journalAbbreviation":"J Food Sci Technol","language":"en","note":"number: 6","page":"2150-2158","source":"DOI.org (Crossref)","title":"Effect of electron beam irradiation on the biochemical, microbiological and sensory quality of Litopenaeus vannamei during chilled storage","URL":"http://link.springer.com/10.1007/s13197-020-04250-7","volume":"57","author":[{"family":"Annamalai","given":"Jeyakumari"},{"family":"Sivam","given":"Visnuvinayagam"},{"family":"Unnikrishnan","given":"Parvathy"},{"family":"Kuppa Sivasankara","given":"Sarma"},{"family":"Kaushlesh Pansingh","given":"Rawat"},{"family":"Shaik Abdul","given":"Khader"},{"family":"Lakshmi","given":"Narashimha Murthy"},{"family":"Chandragiri Nagarajarao","given":"Ravishankar"}],"accessed":{"date-parts":[["2025",1,27]]},"issued":{"date-parts":[["2020",6]]}}}],"schema":"https://github.com/citation-style-language/schema/raw/master/csl-citation.json"} </w:instrText>
      </w:r>
      <w:r w:rsidR="00B92B20" w:rsidRPr="00343885">
        <w:rPr>
          <w:color w:val="0E101A"/>
        </w:rPr>
        <w:fldChar w:fldCharType="separate"/>
      </w:r>
      <w:r w:rsidR="000532B0" w:rsidRPr="000532B0">
        <w:rPr>
          <w:vertAlign w:val="superscript"/>
        </w:rPr>
        <w:t>11</w:t>
      </w:r>
      <w:r w:rsidR="00B92B20" w:rsidRPr="00343885">
        <w:rPr>
          <w:color w:val="0E101A"/>
        </w:rPr>
        <w:fldChar w:fldCharType="end"/>
      </w:r>
      <w:r w:rsidRPr="00343885">
        <w:rPr>
          <w:color w:val="0E101A"/>
        </w:rPr>
        <w:t>. Many reports of MDR</w:t>
      </w:r>
      <w:r w:rsidR="00150B4D" w:rsidRPr="00343885">
        <w:rPr>
          <w:color w:val="0E101A"/>
        </w:rPr>
        <w:t xml:space="preserve"> bacteria</w:t>
      </w:r>
      <w:r w:rsidRPr="00343885">
        <w:rPr>
          <w:color w:val="0E101A"/>
        </w:rPr>
        <w:t xml:space="preserve"> in animals and even foods</w:t>
      </w:r>
      <w:r w:rsidR="001645F7" w:rsidRPr="00343885">
        <w:rPr>
          <w:color w:val="0E101A"/>
        </w:rPr>
        <w:t xml:space="preserve"> </w:t>
      </w:r>
      <w:r w:rsidR="00B92B20" w:rsidRPr="00343885">
        <w:fldChar w:fldCharType="begin"/>
      </w:r>
      <w:r w:rsidR="000532B0">
        <w:instrText xml:space="preserve"> ADDIN ZOTERO_ITEM CSL_CITATION {"citationID":"mNpSASUq","properties":{"formattedCitation":"\\super 16\\nosupersub{}","plainCitation":"16","noteIndex":0},"citationItems":[{"id":"AXwEQWfZ/34V4cho1","uris":["http://zotero.org/users/local/42Ekf4cZ/items/9UXRNKA3"],"itemData":{"id":30,"type":"article-journal","container-title":"Proceedings of the National Academy of Sciences, India Section B: Biological Sciences","DOI":"10.1007/s40011-018-0970-4","ISSN":"0369-8211, 2250-1746","issue":"2","journalAbbreviation":"Proc. Natl. Acad. Sci., India, Sect. B Biol. Sci.","language":"en","page":"559-564","source":"DOI.org (Crossref)","title":"Detection of Multi Drug Resistant Bacteria in Retail Fish Market Water Samples of Vashi, Navi Mumbai","URL":"http://link.springer.com/10.1007/s40011-018-0970-4","volume":"89","author":[{"family":"Visnuvinayagam","given":"S."},{"family":"Murthy","given":"L. N."},{"family":"Parvathy","given":"U."},{"family":"Jeyakumari","given":"A."},{"family":"Adiga","given":"Thriveni G."},{"family":"Sivaraman","given":"G. K."}],"accessed":{"date-parts":[["2025",1,27]]},"issued":{"date-parts":[["2019",6]]}}}],"schema":"https://github.com/citation-style-language/schema/raw/master/csl-citation.json"} </w:instrText>
      </w:r>
      <w:r w:rsidR="00B92B20" w:rsidRPr="00343885">
        <w:fldChar w:fldCharType="separate"/>
      </w:r>
      <w:r w:rsidR="000532B0" w:rsidRPr="000532B0">
        <w:rPr>
          <w:vertAlign w:val="superscript"/>
        </w:rPr>
        <w:t>16</w:t>
      </w:r>
      <w:r w:rsidR="00B92B20" w:rsidRPr="00343885">
        <w:fldChar w:fldCharType="end"/>
      </w:r>
      <w:r w:rsidR="00512243" w:rsidRPr="00343885">
        <w:rPr>
          <w:color w:val="0E101A"/>
        </w:rPr>
        <w:t xml:space="preserve"> </w:t>
      </w:r>
      <w:r w:rsidR="00B92B20" w:rsidRPr="00343885">
        <w:fldChar w:fldCharType="begin"/>
      </w:r>
      <w:r w:rsidR="000532B0">
        <w:instrText xml:space="preserve"> ADDIN ZOTERO_ITEM CSL_CITATION {"citationID":"jS9mFks7","properties":{"formattedCitation":"\\super 17\\nosupersub{}","plainCitation":"17","noteIndex":0},"citationItems":[{"id":"AXwEQWfZ/Jn6pauSt","uris":["http://zotero.org/users/local/42Ekf4cZ/items/U236KZEA"],"itemData":{"id":80,"type":"article-journal","container-title":"Journal of Environmental Biology","DOI":"10.22438/jeb/38/3/MS-256","ISSN":"02548704, 23940379","issue":"3","journalAbbreviation":"JEB","language":"en","page":"465-470","source":"DOI.org (Crossref)","title":"Study on retail fish markets: Possible occurance and transmission of emergeing pathogen from faecal indicators","title-short":"Study on retail fish markets","URL":"http://jeb.co.in/journal_issues/201705_may17/paper_15.pdf","volume":"38","author":[{"family":"Visnuvinayagam","given":"S."},{"family":"Murthy","given":"L.N."},{"family":"Viji","given":"P."},{"family":"Sivaraman","given":"G.K."}],"accessed":{"date-parts":[["2025",2,2]]},"issued":{"date-parts":[["2017",5,1]]}}}],"schema":"https://github.com/citation-style-language/schema/raw/master/csl-citation.json"} </w:instrText>
      </w:r>
      <w:r w:rsidR="00B92B20" w:rsidRPr="00343885">
        <w:fldChar w:fldCharType="separate"/>
      </w:r>
      <w:r w:rsidR="000532B0" w:rsidRPr="000532B0">
        <w:rPr>
          <w:vertAlign w:val="superscript"/>
        </w:rPr>
        <w:t>17</w:t>
      </w:r>
      <w:r w:rsidR="00B92B20" w:rsidRPr="00343885">
        <w:fldChar w:fldCharType="end"/>
      </w:r>
      <w:r w:rsidRPr="00343885">
        <w:rPr>
          <w:color w:val="0E101A"/>
        </w:rPr>
        <w:t xml:space="preserve">. Based on the literature analysis, fewer reports of MRSA in the fish market were initially observed. Then, the higher level of MRSA can be isolated from the environment by adopting a suitable isolation method </w:t>
      </w:r>
      <w:r w:rsidR="00B92B20" w:rsidRPr="00343885">
        <w:fldChar w:fldCharType="begin"/>
      </w:r>
      <w:r w:rsidR="000532B0">
        <w:instrText xml:space="preserve"> ADDIN ZOTERO_ITEM CSL_CITATION {"citationID":"yUntHB4p","properties":{"formattedCitation":"\\super 18\\nosupersub{}","plainCitation":"18","noteIndex":0},"citationItems":[{"id":"AXwEQWfZ/Wm5Wn6C9","uris":["http://zotero.org/users/local/42Ekf4cZ/items/6K6UFJW3"],"itemData":{"id":71,"type":"article-journal","container-title":"Journal of Food Protection","DOI":"10.4315/0362-028X.JFP-16-260","ISSN":"0362028X","issue":"3","journalAbbreviation":"Journal of Food Protection","language":"en","note":"number: 3","page":"476-481","source":"DOI.org (Crossref)","title":"Multilocus Sequence Typing and Staphylococcal Protein A Typing Revealed Novel and Diverse Clones of Methicillin-Resistant Staphylococcus aureus in Seafood and the Aquatic Environment","URL":"https://linkinghub.elsevier.com/retrieve/pii/S0362028X22097289","volume":"80","author":[{"family":"Murugadas","given":"V."},{"family":"Toms","given":"C. Joseph"},{"family":"Reethu","given":"Sara A."},{"family":"Lalitha","given":"K.V."}],"accessed":{"date-parts":[["2025",1,27]]},"issued":{"date-parts":[["2017",3]]}}}],"schema":"https://github.com/citation-style-language/schema/raw/master/csl-citation.json"} </w:instrText>
      </w:r>
      <w:r w:rsidR="00B92B20" w:rsidRPr="00343885">
        <w:fldChar w:fldCharType="separate"/>
      </w:r>
      <w:r w:rsidR="000532B0" w:rsidRPr="000532B0">
        <w:rPr>
          <w:vertAlign w:val="superscript"/>
        </w:rPr>
        <w:t>18</w:t>
      </w:r>
      <w:r w:rsidR="00B92B20" w:rsidRPr="00343885">
        <w:fldChar w:fldCharType="end"/>
      </w:r>
      <w:r w:rsidR="005B2BDE">
        <w:t>,</w:t>
      </w:r>
      <w:r w:rsidR="00097A38" w:rsidRPr="00343885">
        <w:rPr>
          <w:color w:val="0E101A"/>
        </w:rPr>
        <w:t xml:space="preserve"> </w:t>
      </w:r>
      <w:r w:rsidR="00B92B20" w:rsidRPr="00343885">
        <w:fldChar w:fldCharType="begin"/>
      </w:r>
      <w:r w:rsidR="000532B0">
        <w:instrText xml:space="preserve"> ADDIN ZOTERO_ITEM CSL_CITATION {"citationID":"QWVZfkki","properties":{"formattedCitation":"\\super 19\\nosupersub{}","plainCitation":"19","noteIndex":0},"citationItems":[{"id":"AXwEQWfZ/vyRTHBVz","uris":["http://zotero.org/users/local/42Ekf4cZ/items/CWH4985N"],"itemData":{"id":70,"type":"article-journal","abstract":"Methicillin-resistant Staphylococcus aureus (MRSA), a versatile pathogen bearing multiple virulence determinants, is increasingly being detected in various food-producing animals, including ﬁsh. In addition, it is a potential food poisoning agent. MRSA is not an inherent microbiota of ﬁsh; its presence is attributed to pre- or postharvest contamination through ﬁsh handlers, water, ice, and processing equipment. Several reviews have been written on MRSA in clinical as well as the food animal-producing sector, but information speciﬁc to MRSA in seafood is scant. This review puts forth insights on MRSA detection in seafood, antibiotic resistance, diversity of clones in seafood, and possible control measures in seafood production chain. Emphasis has been given on assessing the variations in the protocols employed for isolation and identiﬁcation in different food matrices and lay the foundation for researchers to develop optimized procedure.","container-title":"Journal of Food Science","DOI":"10.1111/1750-3841.14915","ISSN":"0022-1147, 1750-3841","issue":"12","journalAbbreviation":"Journal of Food Science","language":"en","note":"number: 12","page":"3341-3351","source":"DOI.org (Crossref)","title":"Methicillin‐Resistant &lt;i&gt;Staphylococcus aureus&lt;/i&gt; in Seafood: Prevalence, Laboratory Detection, Clonal Nature, and Control in Seafood Chain","title-short":"Methicillin‐Resistant &lt;i&gt;Staphylococcus aureus&lt;/i&gt; in Seafood","URL":"https://ift.onlinelibrary.wiley.com/doi/10.1111/1750-3841.14915","volume":"84","author":[{"family":"Vaiyapuri","given":"Murugadas"},{"family":"Joseph","given":"Toms Cheriyath"},{"family":"Rao","given":"Badireddy Madhusudana"},{"family":"Lalitha","given":"Kuttanapilly Velayudhan"},{"family":"Prasad","given":"Mothadaka Mukteswar"}],"accessed":{"date-parts":[["2025",1,27]]},"issued":{"date-parts":[["2019",12]]}}}],"schema":"https://github.com/citation-style-language/schema/raw/master/csl-citation.json"} </w:instrText>
      </w:r>
      <w:r w:rsidR="00B92B20" w:rsidRPr="00343885">
        <w:fldChar w:fldCharType="separate"/>
      </w:r>
      <w:r w:rsidR="000532B0" w:rsidRPr="000532B0">
        <w:rPr>
          <w:vertAlign w:val="superscript"/>
        </w:rPr>
        <w:t>19</w:t>
      </w:r>
      <w:r w:rsidR="00B92B20" w:rsidRPr="00343885">
        <w:fldChar w:fldCharType="end"/>
      </w:r>
      <w:r w:rsidR="00DC5B70" w:rsidRPr="00343885">
        <w:t xml:space="preserve"> </w:t>
      </w:r>
      <w:r w:rsidRPr="00343885">
        <w:rPr>
          <w:color w:val="0E101A"/>
        </w:rPr>
        <w:t>. So, most of the MDRB in the environment are under the report due to inefficient isolation methods.</w:t>
      </w:r>
      <w:r w:rsidR="00213E24">
        <w:rPr>
          <w:color w:val="0E101A"/>
        </w:rPr>
        <w:t xml:space="preserve"> </w:t>
      </w:r>
    </w:p>
    <w:p w14:paraId="20988562" w14:textId="6713FF1B" w:rsidR="006D7CF7" w:rsidRDefault="00B34D2A" w:rsidP="006D7CF7">
      <w:pPr>
        <w:pStyle w:val="NormalWeb"/>
        <w:spacing w:before="0" w:beforeAutospacing="0" w:after="0" w:afterAutospacing="0" w:line="360" w:lineRule="auto"/>
        <w:jc w:val="both"/>
        <w:rPr>
          <w:color w:val="0E101A"/>
        </w:rPr>
      </w:pPr>
      <w:r w:rsidRPr="004725C0">
        <w:rPr>
          <w:color w:val="0E101A"/>
        </w:rPr>
        <w:t>Recently, electron beam irradiation (EBI) has emerged as a promising technology for extending the shelf life of fish</w:t>
      </w:r>
      <w:r>
        <w:rPr>
          <w:color w:val="0E101A"/>
        </w:rPr>
        <w:t xml:space="preserve"> </w:t>
      </w:r>
      <w:r w:rsidRPr="00E82A7F">
        <w:rPr>
          <w:color w:val="0E101A"/>
          <w:vertAlign w:val="superscript"/>
        </w:rPr>
        <w:t>20</w:t>
      </w:r>
      <w:r w:rsidRPr="004725C0">
        <w:rPr>
          <w:color w:val="0E101A"/>
        </w:rPr>
        <w:t>. In the context of food safety, many current approaches aimed at controlling bacterial growth rely on alternatives to antibiotics, such as bacteriophages</w:t>
      </w:r>
      <w:r>
        <w:rPr>
          <w:color w:val="0E101A"/>
        </w:rPr>
        <w:t xml:space="preserve"> </w:t>
      </w:r>
      <w:r w:rsidRPr="00E82A7F">
        <w:rPr>
          <w:color w:val="0E101A"/>
          <w:vertAlign w:val="superscript"/>
        </w:rPr>
        <w:t>2</w:t>
      </w:r>
      <w:r>
        <w:rPr>
          <w:color w:val="0E101A"/>
          <w:vertAlign w:val="superscript"/>
        </w:rPr>
        <w:t>1</w:t>
      </w:r>
      <w:r w:rsidRPr="004725C0">
        <w:rPr>
          <w:color w:val="0E101A"/>
        </w:rPr>
        <w:t>, bacteriocins</w:t>
      </w:r>
      <w:r>
        <w:rPr>
          <w:color w:val="0E101A"/>
        </w:rPr>
        <w:t xml:space="preserve"> </w:t>
      </w:r>
      <w:r w:rsidRPr="00F70E84">
        <w:rPr>
          <w:color w:val="0E101A"/>
          <w:vertAlign w:val="superscript"/>
        </w:rPr>
        <w:t>2</w:t>
      </w:r>
      <w:r>
        <w:rPr>
          <w:color w:val="0E101A"/>
          <w:vertAlign w:val="superscript"/>
        </w:rPr>
        <w:t>2</w:t>
      </w:r>
      <w:r w:rsidRPr="004725C0">
        <w:rPr>
          <w:color w:val="0E101A"/>
        </w:rPr>
        <w:t>, plant extracts</w:t>
      </w:r>
      <w:r>
        <w:rPr>
          <w:color w:val="0E101A"/>
        </w:rPr>
        <w:t xml:space="preserve"> </w:t>
      </w:r>
      <w:r w:rsidRPr="00F70E84">
        <w:rPr>
          <w:color w:val="0E101A"/>
          <w:vertAlign w:val="superscript"/>
        </w:rPr>
        <w:t>2</w:t>
      </w:r>
      <w:r>
        <w:rPr>
          <w:color w:val="0E101A"/>
          <w:vertAlign w:val="superscript"/>
        </w:rPr>
        <w:t>3</w:t>
      </w:r>
      <w:r w:rsidRPr="004725C0">
        <w:rPr>
          <w:color w:val="0E101A"/>
        </w:rPr>
        <w:t>, nanomaterials</w:t>
      </w:r>
      <w:r>
        <w:rPr>
          <w:color w:val="0E101A"/>
        </w:rPr>
        <w:t xml:space="preserve"> </w:t>
      </w:r>
      <w:r w:rsidRPr="00F70E84">
        <w:rPr>
          <w:color w:val="0E101A"/>
          <w:vertAlign w:val="superscript"/>
        </w:rPr>
        <w:t>2</w:t>
      </w:r>
      <w:r>
        <w:rPr>
          <w:color w:val="0E101A"/>
          <w:vertAlign w:val="superscript"/>
        </w:rPr>
        <w:t>4</w:t>
      </w:r>
      <w:r w:rsidRPr="004725C0">
        <w:rPr>
          <w:color w:val="0E101A"/>
        </w:rPr>
        <w:t>, and nanocomposites</w:t>
      </w:r>
      <w:r>
        <w:rPr>
          <w:color w:val="0E101A"/>
          <w:vertAlign w:val="superscript"/>
        </w:rPr>
        <w:t>25</w:t>
      </w:r>
      <w:r w:rsidRPr="004725C0">
        <w:rPr>
          <w:color w:val="0E101A"/>
        </w:rPr>
        <w:t>. However, each of these methods has its own advantages and limitations for practical application. Similarly, EBI also has a drawback—its high processing cost. Based on the present study, it can be inferred that if the degradation of antibiotics can be reduced by diluting them and releasing them into an aqueous form, the amount of electricity required for EBI processing can be minimized, thereby lowering the overall processing cost.</w:t>
      </w:r>
      <w:r w:rsidR="009663BE">
        <w:rPr>
          <w:color w:val="0E101A"/>
        </w:rPr>
        <w:t xml:space="preserve"> </w:t>
      </w:r>
      <w:r w:rsidR="006D7CF7" w:rsidRPr="006D7CF7">
        <w:rPr>
          <w:color w:val="0E101A"/>
        </w:rPr>
        <w:lastRenderedPageBreak/>
        <w:t>Previous studies have consistently indicated that electron beam irradiation (EBI) is a promising approach to mitigate the spread of antimicrobial resistance (AMR) in water</w:t>
      </w:r>
      <w:r w:rsidR="006D7CF7">
        <w:rPr>
          <w:color w:val="0E101A"/>
        </w:rPr>
        <w:t xml:space="preserve"> </w:t>
      </w:r>
      <w:r w:rsidR="00DA76CA">
        <w:rPr>
          <w:color w:val="0E101A"/>
          <w:vertAlign w:val="superscript"/>
        </w:rPr>
        <w:t>26,27</w:t>
      </w:r>
      <w:r w:rsidR="006D7CF7" w:rsidRPr="006D7CF7">
        <w:rPr>
          <w:color w:val="0E101A"/>
        </w:rPr>
        <w:t>. The findings of the present study further confirm that EBI represents an effective and economically feasible strategy for AMR control.</w:t>
      </w:r>
    </w:p>
    <w:p w14:paraId="1025F29E" w14:textId="77777777" w:rsidR="00285E58" w:rsidRPr="00343885" w:rsidRDefault="00285E58" w:rsidP="00B34D2A">
      <w:pPr>
        <w:pStyle w:val="NormalWeb"/>
        <w:spacing w:before="0" w:beforeAutospacing="0" w:after="0" w:afterAutospacing="0" w:line="360" w:lineRule="auto"/>
        <w:jc w:val="both"/>
        <w:rPr>
          <w:shd w:val="clear" w:color="auto" w:fill="FFFFFF"/>
        </w:rPr>
      </w:pPr>
    </w:p>
    <w:p w14:paraId="1EC971A6" w14:textId="77777777" w:rsidR="00017AB0" w:rsidRPr="00343885" w:rsidRDefault="00F033E4" w:rsidP="00343885">
      <w:pPr>
        <w:spacing w:line="360" w:lineRule="auto"/>
        <w:jc w:val="both"/>
        <w:rPr>
          <w:rFonts w:ascii="Times New Roman" w:hAnsi="Times New Roman" w:cs="Times New Roman"/>
          <w:b/>
          <w:sz w:val="24"/>
          <w:szCs w:val="24"/>
        </w:rPr>
      </w:pPr>
      <w:r w:rsidRPr="00343885">
        <w:rPr>
          <w:rFonts w:ascii="Times New Roman" w:hAnsi="Times New Roman" w:cs="Times New Roman"/>
          <w:b/>
          <w:sz w:val="24"/>
          <w:szCs w:val="24"/>
        </w:rPr>
        <w:t>CONCLUSION:</w:t>
      </w:r>
    </w:p>
    <w:p w14:paraId="3119C259" w14:textId="1CB433A6" w:rsidR="001D7643" w:rsidRPr="00343885" w:rsidRDefault="005471E5" w:rsidP="00343885">
      <w:pPr>
        <w:autoSpaceDE w:val="0"/>
        <w:autoSpaceDN w:val="0"/>
        <w:adjustRightInd w:val="0"/>
        <w:spacing w:after="0" w:line="360" w:lineRule="auto"/>
        <w:jc w:val="both"/>
        <w:rPr>
          <w:rFonts w:ascii="Times New Roman" w:hAnsi="Times New Roman" w:cs="Times New Roman"/>
          <w:sz w:val="24"/>
          <w:szCs w:val="24"/>
        </w:rPr>
      </w:pPr>
      <w:r w:rsidRPr="00343885">
        <w:rPr>
          <w:rFonts w:ascii="Times New Roman" w:hAnsi="Times New Roman" w:cs="Times New Roman"/>
          <w:sz w:val="24"/>
          <w:szCs w:val="24"/>
        </w:rPr>
        <w:t>The following conclusions were drawn from the study 1</w:t>
      </w:r>
      <w:r w:rsidR="008763C8" w:rsidRPr="00343885">
        <w:rPr>
          <w:rFonts w:ascii="Times New Roman" w:hAnsi="Times New Roman" w:cs="Times New Roman"/>
          <w:sz w:val="24"/>
          <w:szCs w:val="24"/>
        </w:rPr>
        <w:t>.</w:t>
      </w:r>
      <w:r w:rsidRPr="00343885">
        <w:rPr>
          <w:rFonts w:ascii="Times New Roman" w:hAnsi="Times New Roman" w:cs="Times New Roman"/>
          <w:sz w:val="24"/>
          <w:szCs w:val="24"/>
        </w:rPr>
        <w:t xml:space="preserve"> A high dose is necessary to degrade antibiotics in their bound form. However, if the bound form is first removed and then diluted with a fluid, a lower dose may be sufficient, thereby reducing the cost of Electron Beam Irradiation (EBI) and making the process more economical. 2. </w:t>
      </w:r>
      <w:r w:rsidR="00F033E4" w:rsidRPr="00343885">
        <w:rPr>
          <w:rFonts w:ascii="Times New Roman" w:hAnsi="Times New Roman" w:cs="Times New Roman"/>
          <w:sz w:val="24"/>
          <w:szCs w:val="24"/>
        </w:rPr>
        <w:t xml:space="preserve">Agar well diffusion assay is a simple and effective method to </w:t>
      </w:r>
      <w:r w:rsidRPr="00343885">
        <w:rPr>
          <w:rFonts w:ascii="Times New Roman" w:hAnsi="Times New Roman" w:cs="Times New Roman"/>
          <w:sz w:val="24"/>
          <w:szCs w:val="24"/>
        </w:rPr>
        <w:t xml:space="preserve">can be used to </w:t>
      </w:r>
      <w:r w:rsidR="00F033E4" w:rsidRPr="00343885">
        <w:rPr>
          <w:rFonts w:ascii="Times New Roman" w:hAnsi="Times New Roman" w:cs="Times New Roman"/>
          <w:sz w:val="24"/>
          <w:szCs w:val="24"/>
        </w:rPr>
        <w:t>assess the antibiotic</w:t>
      </w:r>
      <w:r w:rsidRPr="00343885">
        <w:rPr>
          <w:rFonts w:ascii="Times New Roman" w:hAnsi="Times New Roman" w:cs="Times New Roman"/>
          <w:sz w:val="24"/>
          <w:szCs w:val="24"/>
        </w:rPr>
        <w:t xml:space="preserve"> degradation</w:t>
      </w:r>
      <w:r w:rsidR="00F033E4" w:rsidRPr="00343885">
        <w:rPr>
          <w:rFonts w:ascii="Times New Roman" w:hAnsi="Times New Roman" w:cs="Times New Roman"/>
          <w:sz w:val="24"/>
          <w:szCs w:val="24"/>
        </w:rPr>
        <w:t xml:space="preserve">. </w:t>
      </w:r>
      <w:r w:rsidR="002E482F" w:rsidRPr="00343885">
        <w:rPr>
          <w:rFonts w:ascii="Times New Roman" w:hAnsi="Times New Roman" w:cs="Times New Roman"/>
          <w:sz w:val="24"/>
          <w:szCs w:val="24"/>
        </w:rPr>
        <w:t xml:space="preserve">3. </w:t>
      </w:r>
      <w:r w:rsidR="00F033E4" w:rsidRPr="00343885">
        <w:rPr>
          <w:rFonts w:ascii="Times New Roman" w:hAnsi="Times New Roman" w:cs="Times New Roman"/>
          <w:sz w:val="24"/>
          <w:szCs w:val="24"/>
        </w:rPr>
        <w:t xml:space="preserve">Chloramphenicol can be considered a </w:t>
      </w:r>
      <w:r w:rsidRPr="00343885">
        <w:rPr>
          <w:rFonts w:ascii="Times New Roman" w:hAnsi="Times New Roman" w:cs="Times New Roman"/>
          <w:sz w:val="24"/>
          <w:szCs w:val="24"/>
        </w:rPr>
        <w:t>candidate</w:t>
      </w:r>
      <w:r w:rsidR="00F033E4" w:rsidRPr="00343885">
        <w:rPr>
          <w:rFonts w:ascii="Times New Roman" w:hAnsi="Times New Roman" w:cs="Times New Roman"/>
          <w:sz w:val="24"/>
          <w:szCs w:val="24"/>
        </w:rPr>
        <w:t xml:space="preserve"> antibiotic to determine the degradation level of EBI. If the CAP is degraded, most of the antibiotics will be </w:t>
      </w:r>
      <w:r w:rsidR="008763C8" w:rsidRPr="00343885">
        <w:rPr>
          <w:rFonts w:ascii="Times New Roman" w:hAnsi="Times New Roman" w:cs="Times New Roman"/>
          <w:sz w:val="24"/>
          <w:szCs w:val="24"/>
        </w:rPr>
        <w:t>reduced</w:t>
      </w:r>
      <w:r w:rsidR="00F033E4" w:rsidRPr="00343885">
        <w:rPr>
          <w:rFonts w:ascii="Times New Roman" w:hAnsi="Times New Roman" w:cs="Times New Roman"/>
          <w:sz w:val="24"/>
          <w:szCs w:val="24"/>
        </w:rPr>
        <w:t xml:space="preserve">. </w:t>
      </w:r>
      <w:r w:rsidR="008763C8" w:rsidRPr="00343885">
        <w:rPr>
          <w:rFonts w:ascii="Times New Roman" w:hAnsi="Times New Roman" w:cs="Times New Roman"/>
          <w:sz w:val="24"/>
          <w:szCs w:val="24"/>
        </w:rPr>
        <w:t xml:space="preserve">4. </w:t>
      </w:r>
      <w:r w:rsidR="00F033E4" w:rsidRPr="00343885">
        <w:rPr>
          <w:rFonts w:ascii="Times New Roman" w:hAnsi="Times New Roman" w:cs="Times New Roman"/>
          <w:sz w:val="24"/>
          <w:szCs w:val="24"/>
        </w:rPr>
        <w:t xml:space="preserve">The disc method is simple and effective in assessing the resistant and susceptible nature of different antibiotics within a short period. </w:t>
      </w:r>
      <w:r w:rsidR="008763C8" w:rsidRPr="00343885">
        <w:rPr>
          <w:rFonts w:ascii="Times New Roman" w:hAnsi="Times New Roman" w:cs="Times New Roman"/>
          <w:sz w:val="24"/>
          <w:szCs w:val="24"/>
        </w:rPr>
        <w:t xml:space="preserve">5. </w:t>
      </w:r>
      <w:r w:rsidR="00F033E4" w:rsidRPr="00343885">
        <w:rPr>
          <w:rFonts w:ascii="Times New Roman" w:hAnsi="Times New Roman" w:cs="Times New Roman"/>
          <w:sz w:val="24"/>
          <w:szCs w:val="24"/>
        </w:rPr>
        <w:t xml:space="preserve">If the antibiotics are bound with some other materials like paper, the dose required for the degradation is very high compared to the antibiotics in the aqueous medium. </w:t>
      </w:r>
    </w:p>
    <w:p w14:paraId="71C94968" w14:textId="77777777" w:rsidR="006A043B" w:rsidRDefault="006A043B" w:rsidP="00343885">
      <w:pPr>
        <w:spacing w:line="360" w:lineRule="auto"/>
        <w:rPr>
          <w:rFonts w:ascii="Times New Roman" w:hAnsi="Times New Roman" w:cs="Times New Roman"/>
          <w:sz w:val="24"/>
          <w:szCs w:val="24"/>
        </w:rPr>
      </w:pPr>
    </w:p>
    <w:p w14:paraId="19187B74" w14:textId="0D778174" w:rsidR="006A043B" w:rsidRDefault="006A043B" w:rsidP="00343885">
      <w:pPr>
        <w:spacing w:line="360" w:lineRule="auto"/>
        <w:rPr>
          <w:rFonts w:ascii="Times New Roman" w:hAnsi="Times New Roman" w:cs="Times New Roman"/>
          <w:sz w:val="24"/>
          <w:szCs w:val="24"/>
        </w:rPr>
      </w:pPr>
      <w:r w:rsidRPr="006A043B">
        <w:rPr>
          <w:rFonts w:ascii="Times New Roman" w:hAnsi="Times New Roman" w:cs="Times New Roman"/>
          <w:sz w:val="24"/>
          <w:szCs w:val="24"/>
        </w:rPr>
        <w:t>Highlight of the study</w:t>
      </w:r>
    </w:p>
    <w:p w14:paraId="7862D121" w14:textId="77777777" w:rsidR="006A043B" w:rsidRDefault="006A043B" w:rsidP="00343885">
      <w:pPr>
        <w:spacing w:line="360" w:lineRule="auto"/>
        <w:rPr>
          <w:rFonts w:ascii="Times New Roman" w:hAnsi="Times New Roman" w:cs="Times New Roman"/>
          <w:sz w:val="24"/>
          <w:szCs w:val="24"/>
        </w:rPr>
      </w:pPr>
    </w:p>
    <w:p w14:paraId="01FDC74B" w14:textId="77777777" w:rsidR="006A043B" w:rsidRPr="009E74A9" w:rsidRDefault="006A043B" w:rsidP="006A043B">
      <w:pPr>
        <w:pStyle w:val="ListParagraph"/>
        <w:numPr>
          <w:ilvl w:val="0"/>
          <w:numId w:val="11"/>
        </w:numPr>
        <w:spacing w:after="160" w:line="360" w:lineRule="auto"/>
        <w:jc w:val="both"/>
        <w:rPr>
          <w:rFonts w:ascii="Times New Roman" w:hAnsi="Times New Roman" w:cs="Times New Roman"/>
          <w:sz w:val="24"/>
          <w:szCs w:val="24"/>
        </w:rPr>
      </w:pPr>
      <w:r w:rsidRPr="009E74A9">
        <w:rPr>
          <w:rFonts w:ascii="Times New Roman" w:hAnsi="Times New Roman" w:cs="Times New Roman"/>
          <w:sz w:val="24"/>
          <w:szCs w:val="24"/>
        </w:rPr>
        <w:t xml:space="preserve">This study found that using an electron beam to break down antibiotics can be expensive, so many research methods are not practical. To lower the cost, the study suggests that higher doses are </w:t>
      </w:r>
      <w:r>
        <w:rPr>
          <w:rFonts w:ascii="Times New Roman" w:hAnsi="Times New Roman" w:cs="Times New Roman"/>
          <w:sz w:val="24"/>
          <w:szCs w:val="24"/>
        </w:rPr>
        <w:t>required for strong antibiotic solutions, but when the antibiotics are diluted, a smaller dose is sufficient, which makes the process more cost-effective</w:t>
      </w:r>
      <w:r w:rsidRPr="009E74A9">
        <w:rPr>
          <w:rFonts w:ascii="Times New Roman" w:hAnsi="Times New Roman" w:cs="Times New Roman"/>
          <w:sz w:val="24"/>
          <w:szCs w:val="24"/>
        </w:rPr>
        <w:t xml:space="preserve"> to run.</w:t>
      </w:r>
    </w:p>
    <w:p w14:paraId="7FD335B9" w14:textId="77777777" w:rsidR="006A043B" w:rsidRPr="009E74A9" w:rsidRDefault="006A043B" w:rsidP="006A043B">
      <w:pPr>
        <w:pStyle w:val="ListParagraph"/>
        <w:numPr>
          <w:ilvl w:val="0"/>
          <w:numId w:val="11"/>
        </w:numPr>
        <w:spacing w:after="160" w:line="360" w:lineRule="auto"/>
        <w:jc w:val="both"/>
        <w:rPr>
          <w:rFonts w:ascii="Times New Roman" w:hAnsi="Times New Roman" w:cs="Times New Roman"/>
          <w:sz w:val="24"/>
          <w:szCs w:val="24"/>
        </w:rPr>
      </w:pPr>
      <w:r w:rsidRPr="009E74A9">
        <w:rPr>
          <w:rFonts w:ascii="Times New Roman" w:hAnsi="Times New Roman" w:cs="Times New Roman"/>
          <w:sz w:val="24"/>
          <w:szCs w:val="24"/>
        </w:rPr>
        <w:t>In addition, antibiotics that are bound to cellulose need a higher dose for degradation than those in liquid form. Therefore, if the antibiotics are first extracted from the cellulose into an aqueous form, a lower dose and lower processing cost are needed for their degradation.</w:t>
      </w:r>
    </w:p>
    <w:p w14:paraId="64C1043A" w14:textId="77777777" w:rsidR="006A043B" w:rsidRPr="009E74A9" w:rsidRDefault="006A043B" w:rsidP="006A043B">
      <w:pPr>
        <w:pStyle w:val="ListParagraph"/>
        <w:numPr>
          <w:ilvl w:val="0"/>
          <w:numId w:val="11"/>
        </w:numPr>
        <w:spacing w:after="160" w:line="360" w:lineRule="auto"/>
        <w:jc w:val="both"/>
        <w:rPr>
          <w:rFonts w:ascii="Times New Roman" w:hAnsi="Times New Roman" w:cs="Times New Roman"/>
          <w:sz w:val="24"/>
          <w:szCs w:val="24"/>
        </w:rPr>
      </w:pPr>
      <w:r w:rsidRPr="009E74A9">
        <w:rPr>
          <w:rFonts w:ascii="Times New Roman" w:hAnsi="Times New Roman" w:cs="Times New Roman"/>
          <w:sz w:val="24"/>
          <w:szCs w:val="24"/>
        </w:rPr>
        <w:t>The method described in the study shows that no special equipment is required; a simple agar well diffusion or disc diffusion test is enough to measure the dose. The same procedure can be used in future studies to determine the exact dose needed for antibiotic degradation.</w:t>
      </w:r>
    </w:p>
    <w:p w14:paraId="5BCC05F4" w14:textId="77777777" w:rsidR="006A043B" w:rsidRPr="009E74A9" w:rsidRDefault="006A043B" w:rsidP="006A043B">
      <w:pPr>
        <w:pStyle w:val="ListParagraph"/>
        <w:spacing w:line="360" w:lineRule="auto"/>
        <w:jc w:val="both"/>
        <w:rPr>
          <w:rFonts w:ascii="Times New Roman" w:hAnsi="Times New Roman" w:cs="Times New Roman"/>
          <w:sz w:val="24"/>
          <w:szCs w:val="24"/>
        </w:rPr>
      </w:pPr>
    </w:p>
    <w:p w14:paraId="657C3F0E" w14:textId="77777777" w:rsidR="00D15755" w:rsidRDefault="00D15755" w:rsidP="00D15755">
      <w:pPr>
        <w:rPr>
          <w:rFonts w:ascii="Calibri" w:eastAsia="Calibri" w:hAnsi="Calibri" w:cs="Times New Roman"/>
          <w:kern w:val="2"/>
        </w:rPr>
      </w:pPr>
      <w:bookmarkStart w:id="1" w:name="_Hlk192511329"/>
      <w:bookmarkStart w:id="2" w:name="_Hlk187485061"/>
      <w:bookmarkStart w:id="3" w:name="_Hlk194655630"/>
      <w:bookmarkStart w:id="4" w:name="_Hlk209008097"/>
      <w:bookmarkStart w:id="5" w:name="_Hlk213163655"/>
    </w:p>
    <w:p w14:paraId="6A8BEF40" w14:textId="77777777" w:rsidR="00D15755" w:rsidRPr="00440181" w:rsidRDefault="00D15755" w:rsidP="00440181">
      <w:pPr>
        <w:jc w:val="both"/>
        <w:rPr>
          <w:rFonts w:ascii="Times New Roman" w:eastAsia="Calibri" w:hAnsi="Times New Roman" w:cs="Times New Roman"/>
          <w:kern w:val="2"/>
          <w:sz w:val="24"/>
          <w:szCs w:val="24"/>
          <w:highlight w:val="yellow"/>
        </w:rPr>
      </w:pPr>
      <w:bookmarkStart w:id="6" w:name="_Hlk204003461"/>
      <w:bookmarkStart w:id="7" w:name="_Hlk213070710"/>
      <w:bookmarkEnd w:id="1"/>
      <w:bookmarkEnd w:id="2"/>
      <w:bookmarkEnd w:id="3"/>
      <w:bookmarkEnd w:id="4"/>
      <w:r w:rsidRPr="00440181">
        <w:rPr>
          <w:rFonts w:ascii="Times New Roman" w:eastAsia="Calibri" w:hAnsi="Times New Roman" w:cs="Times New Roman"/>
          <w:kern w:val="2"/>
          <w:sz w:val="24"/>
          <w:szCs w:val="24"/>
          <w:highlight w:val="yellow"/>
        </w:rPr>
        <w:t>Disclaimer (Artificial intelligence)</w:t>
      </w:r>
    </w:p>
    <w:p w14:paraId="0C0CAAE9" w14:textId="71B98520" w:rsidR="00D15755" w:rsidRPr="00440181" w:rsidRDefault="00D15755" w:rsidP="00440181">
      <w:pPr>
        <w:jc w:val="both"/>
        <w:rPr>
          <w:rFonts w:ascii="Times New Roman" w:eastAsia="Calibri" w:hAnsi="Times New Roman" w:cs="Times New Roman"/>
          <w:kern w:val="2"/>
          <w:sz w:val="24"/>
          <w:szCs w:val="24"/>
          <w:highlight w:val="yellow"/>
        </w:rPr>
      </w:pPr>
      <w:r w:rsidRPr="00440181">
        <w:rPr>
          <w:rFonts w:ascii="Times New Roman" w:eastAsia="Calibri" w:hAnsi="Times New Roman" w:cs="Times New Roman"/>
          <w:kern w:val="2"/>
          <w:sz w:val="24"/>
          <w:szCs w:val="24"/>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D0563DE" w14:textId="77777777" w:rsidR="00D15755" w:rsidRPr="00440181" w:rsidRDefault="00D15755" w:rsidP="00440181">
      <w:pPr>
        <w:jc w:val="both"/>
        <w:rPr>
          <w:rFonts w:ascii="Times New Roman" w:eastAsia="Calibri" w:hAnsi="Times New Roman" w:cs="Times New Roman"/>
          <w:kern w:val="2"/>
          <w:sz w:val="24"/>
          <w:szCs w:val="24"/>
          <w:highlight w:val="yellow"/>
        </w:rPr>
      </w:pPr>
      <w:r w:rsidRPr="00440181">
        <w:rPr>
          <w:rFonts w:ascii="Times New Roman" w:eastAsia="Calibri" w:hAnsi="Times New Roman" w:cs="Times New Roman"/>
          <w:kern w:val="2"/>
          <w:sz w:val="24"/>
          <w:szCs w:val="24"/>
          <w:highlight w:val="yellow"/>
        </w:rPr>
        <w:t>Details of the AI usage are given below:</w:t>
      </w:r>
    </w:p>
    <w:p w14:paraId="2CD4FE58" w14:textId="2169DE31" w:rsidR="00D15755" w:rsidRDefault="00D15755" w:rsidP="00D15755">
      <w:pPr>
        <w:rPr>
          <w:rFonts w:ascii="Calibri" w:eastAsia="Calibri" w:hAnsi="Calibri" w:cs="Times New Roman"/>
          <w:kern w:val="2"/>
          <w:highlight w:val="yellow"/>
        </w:rPr>
      </w:pPr>
      <w:r w:rsidRPr="00440181">
        <w:rPr>
          <w:rFonts w:ascii="Times New Roman" w:eastAsia="Calibri" w:hAnsi="Times New Roman" w:cs="Times New Roman"/>
          <w:kern w:val="2"/>
          <w:sz w:val="24"/>
          <w:szCs w:val="24"/>
          <w:highlight w:val="yellow"/>
        </w:rPr>
        <w:t>1.</w:t>
      </w:r>
      <w:r w:rsidR="000F7D8A" w:rsidRPr="00440181">
        <w:rPr>
          <w:rFonts w:ascii="Times New Roman" w:eastAsia="Calibri" w:hAnsi="Times New Roman" w:cs="Times New Roman"/>
          <w:kern w:val="2"/>
          <w:sz w:val="24"/>
          <w:szCs w:val="24"/>
          <w:highlight w:val="yellow"/>
        </w:rPr>
        <w:t xml:space="preserve"> </w:t>
      </w:r>
      <w:proofErr w:type="spellStart"/>
      <w:r w:rsidR="000F7D8A" w:rsidRPr="00440181">
        <w:rPr>
          <w:rFonts w:ascii="Times New Roman" w:eastAsia="Calibri" w:hAnsi="Times New Roman" w:cs="Times New Roman"/>
          <w:kern w:val="2"/>
          <w:sz w:val="24"/>
          <w:szCs w:val="24"/>
          <w:highlight w:val="yellow"/>
        </w:rPr>
        <w:t>ChatGpt</w:t>
      </w:r>
      <w:proofErr w:type="spellEnd"/>
      <w:r w:rsidR="001D7565" w:rsidRPr="00440181">
        <w:rPr>
          <w:rFonts w:ascii="Times New Roman" w:eastAsia="Calibri" w:hAnsi="Times New Roman" w:cs="Times New Roman"/>
          <w:kern w:val="2"/>
          <w:sz w:val="24"/>
          <w:szCs w:val="24"/>
          <w:highlight w:val="yellow"/>
        </w:rPr>
        <w:t>-</w:t>
      </w:r>
      <w:r w:rsidR="001D7565" w:rsidRPr="00440181">
        <w:rPr>
          <w:rFonts w:ascii="Times New Roman" w:hAnsi="Times New Roman" w:cs="Times New Roman"/>
          <w:sz w:val="24"/>
          <w:szCs w:val="24"/>
        </w:rPr>
        <w:t xml:space="preserve"> GPT-5 Mini mode</w:t>
      </w:r>
      <w:r w:rsidR="00722E20">
        <w:rPr>
          <w:rFonts w:ascii="Times New Roman" w:hAnsi="Times New Roman" w:cs="Times New Roman"/>
          <w:sz w:val="24"/>
          <w:szCs w:val="24"/>
        </w:rPr>
        <w:t>l</w:t>
      </w:r>
      <w:bookmarkEnd w:id="6"/>
    </w:p>
    <w:bookmarkEnd w:id="5"/>
    <w:bookmarkEnd w:id="7"/>
    <w:p w14:paraId="482E1622" w14:textId="5B44C5BD" w:rsidR="001D7643" w:rsidRDefault="001D7643" w:rsidP="00343885">
      <w:pPr>
        <w:spacing w:line="360" w:lineRule="auto"/>
        <w:rPr>
          <w:rFonts w:ascii="Times New Roman" w:hAnsi="Times New Roman" w:cs="Times New Roman"/>
          <w:sz w:val="24"/>
          <w:szCs w:val="24"/>
        </w:rPr>
      </w:pPr>
      <w:r w:rsidRPr="00343885">
        <w:rPr>
          <w:rFonts w:ascii="Times New Roman" w:hAnsi="Times New Roman" w:cs="Times New Roman"/>
          <w:sz w:val="24"/>
          <w:szCs w:val="24"/>
        </w:rPr>
        <w:br w:type="page"/>
      </w:r>
    </w:p>
    <w:p w14:paraId="3E638141" w14:textId="77777777" w:rsidR="006A043B" w:rsidRDefault="006A043B" w:rsidP="00343885">
      <w:pPr>
        <w:spacing w:line="360" w:lineRule="auto"/>
        <w:rPr>
          <w:rFonts w:ascii="Times New Roman" w:hAnsi="Times New Roman" w:cs="Times New Roman"/>
          <w:sz w:val="24"/>
          <w:szCs w:val="24"/>
        </w:rPr>
      </w:pPr>
    </w:p>
    <w:p w14:paraId="4BDB2F44" w14:textId="77777777" w:rsidR="00343885" w:rsidRPr="00343885" w:rsidRDefault="00343885" w:rsidP="00343885">
      <w:pPr>
        <w:autoSpaceDE w:val="0"/>
        <w:autoSpaceDN w:val="0"/>
        <w:adjustRightInd w:val="0"/>
        <w:spacing w:after="0" w:line="360" w:lineRule="auto"/>
        <w:jc w:val="both"/>
        <w:rPr>
          <w:rFonts w:ascii="Times New Roman" w:hAnsi="Times New Roman" w:cs="Times New Roman"/>
          <w:b/>
          <w:bCs/>
          <w:sz w:val="24"/>
          <w:szCs w:val="24"/>
          <w:shd w:val="clear" w:color="auto" w:fill="FFFFFF"/>
        </w:rPr>
      </w:pPr>
      <w:r w:rsidRPr="00343885">
        <w:rPr>
          <w:rFonts w:ascii="Times New Roman" w:hAnsi="Times New Roman" w:cs="Times New Roman"/>
          <w:b/>
          <w:bCs/>
          <w:sz w:val="24"/>
          <w:szCs w:val="24"/>
          <w:shd w:val="clear" w:color="auto" w:fill="FFFFFF"/>
        </w:rPr>
        <w:t>REFERENCES:</w:t>
      </w:r>
    </w:p>
    <w:p w14:paraId="098D491C" w14:textId="77777777" w:rsidR="000532B0" w:rsidRPr="000532B0" w:rsidRDefault="00343885" w:rsidP="000532B0">
      <w:pPr>
        <w:pStyle w:val="Bibliography"/>
        <w:rPr>
          <w:rFonts w:ascii="Times New Roman" w:hAnsi="Times New Roman" w:cs="Times New Roman"/>
          <w:sz w:val="24"/>
        </w:rPr>
      </w:pPr>
      <w:r w:rsidRPr="00343885">
        <w:rPr>
          <w:sz w:val="24"/>
          <w:szCs w:val="24"/>
        </w:rPr>
        <w:fldChar w:fldCharType="begin"/>
      </w:r>
      <w:r w:rsidR="000532B0">
        <w:rPr>
          <w:sz w:val="24"/>
          <w:szCs w:val="24"/>
        </w:rPr>
        <w:instrText xml:space="preserve"> ADDIN ZOTERO_BIBL {"uncited":[],"omitted":[],"custom":[]} CSL_BIBLIOGRAPHY </w:instrText>
      </w:r>
      <w:r w:rsidRPr="00343885">
        <w:rPr>
          <w:sz w:val="24"/>
          <w:szCs w:val="24"/>
        </w:rPr>
        <w:fldChar w:fldCharType="separate"/>
      </w:r>
      <w:r w:rsidR="000532B0" w:rsidRPr="000532B0">
        <w:rPr>
          <w:rFonts w:ascii="Times New Roman" w:hAnsi="Times New Roman" w:cs="Times New Roman"/>
          <w:sz w:val="24"/>
        </w:rPr>
        <w:t>1.</w:t>
      </w:r>
      <w:r w:rsidR="000532B0" w:rsidRPr="000532B0">
        <w:rPr>
          <w:rFonts w:ascii="Times New Roman" w:hAnsi="Times New Roman" w:cs="Times New Roman"/>
          <w:sz w:val="24"/>
        </w:rPr>
        <w:tab/>
        <w:t xml:space="preserve">Cabello FC, Godfrey HP, Tomova A, et al. Antimicrobial use in aquaculture re‐examined: its relevance to antimicrobial resistance and to animal and human health. </w:t>
      </w:r>
      <w:r w:rsidR="000532B0" w:rsidRPr="000532B0">
        <w:rPr>
          <w:rFonts w:ascii="Times New Roman" w:hAnsi="Times New Roman" w:cs="Times New Roman"/>
          <w:i/>
          <w:iCs/>
          <w:sz w:val="24"/>
        </w:rPr>
        <w:t>Environ Microbiol</w:t>
      </w:r>
      <w:r w:rsidR="000532B0" w:rsidRPr="000532B0">
        <w:rPr>
          <w:rFonts w:ascii="Times New Roman" w:hAnsi="Times New Roman" w:cs="Times New Roman"/>
          <w:sz w:val="24"/>
        </w:rPr>
        <w:t>. 2013;15(7):1917-1942. doi:10.1111/1462-2920.12134</w:t>
      </w:r>
    </w:p>
    <w:p w14:paraId="0C3A7C8F"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2.</w:t>
      </w:r>
      <w:r w:rsidRPr="000532B0">
        <w:rPr>
          <w:rFonts w:ascii="Times New Roman" w:hAnsi="Times New Roman" w:cs="Times New Roman"/>
          <w:sz w:val="24"/>
        </w:rPr>
        <w:tab/>
        <w:t xml:space="preserve">McEwen SA, Fedorka‐Cray PJ. Antimicrobial Use and Resistance in Animals. </w:t>
      </w:r>
      <w:r w:rsidRPr="000532B0">
        <w:rPr>
          <w:rFonts w:ascii="Times New Roman" w:hAnsi="Times New Roman" w:cs="Times New Roman"/>
          <w:i/>
          <w:iCs/>
          <w:sz w:val="24"/>
        </w:rPr>
        <w:t>Clin Infect Dis</w:t>
      </w:r>
      <w:r w:rsidRPr="000532B0">
        <w:rPr>
          <w:rFonts w:ascii="Times New Roman" w:hAnsi="Times New Roman" w:cs="Times New Roman"/>
          <w:sz w:val="24"/>
        </w:rPr>
        <w:t>. 2002;34(s3):S93-S106. doi:10.1086/340246</w:t>
      </w:r>
    </w:p>
    <w:p w14:paraId="3AC93511"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3.</w:t>
      </w:r>
      <w:r w:rsidRPr="000532B0">
        <w:rPr>
          <w:rFonts w:ascii="Times New Roman" w:hAnsi="Times New Roman" w:cs="Times New Roman"/>
          <w:sz w:val="24"/>
        </w:rPr>
        <w:tab/>
        <w:t xml:space="preserve">Apreja M, Sharma A, Balda S, Kataria K, Capalash N, Sharma P. Antibiotic residues in environment: antimicrobial resistance development, ecological risks, and bioremediation. </w:t>
      </w:r>
      <w:r w:rsidRPr="000532B0">
        <w:rPr>
          <w:rFonts w:ascii="Times New Roman" w:hAnsi="Times New Roman" w:cs="Times New Roman"/>
          <w:i/>
          <w:iCs/>
          <w:sz w:val="24"/>
        </w:rPr>
        <w:t>Environ Sci Pollut Res</w:t>
      </w:r>
      <w:r w:rsidRPr="000532B0">
        <w:rPr>
          <w:rFonts w:ascii="Times New Roman" w:hAnsi="Times New Roman" w:cs="Times New Roman"/>
          <w:sz w:val="24"/>
        </w:rPr>
        <w:t>. 2022;29(3):3355-3371. doi:10.1007/s11356-021-17374-w</w:t>
      </w:r>
    </w:p>
    <w:p w14:paraId="5405B314"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4.</w:t>
      </w:r>
      <w:r w:rsidRPr="000532B0">
        <w:rPr>
          <w:rFonts w:ascii="Times New Roman" w:hAnsi="Times New Roman" w:cs="Times New Roman"/>
          <w:sz w:val="24"/>
        </w:rPr>
        <w:tab/>
        <w:t xml:space="preserve">Pikaev AK. Current status of the application of ionizing radiation to environmental protection: II. Wastewater and other liquid wastes (A review). </w:t>
      </w:r>
      <w:r w:rsidRPr="000532B0">
        <w:rPr>
          <w:rFonts w:ascii="Times New Roman" w:hAnsi="Times New Roman" w:cs="Times New Roman"/>
          <w:i/>
          <w:iCs/>
          <w:sz w:val="24"/>
        </w:rPr>
        <w:t>High Energy Chem</w:t>
      </w:r>
      <w:r w:rsidRPr="000532B0">
        <w:rPr>
          <w:rFonts w:ascii="Times New Roman" w:hAnsi="Times New Roman" w:cs="Times New Roman"/>
          <w:sz w:val="24"/>
        </w:rPr>
        <w:t>. 2000;34(2):55-73. doi:10.1007/BF02761832</w:t>
      </w:r>
    </w:p>
    <w:p w14:paraId="79B3E14D"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5.</w:t>
      </w:r>
      <w:r w:rsidRPr="000532B0">
        <w:rPr>
          <w:rFonts w:ascii="Times New Roman" w:hAnsi="Times New Roman" w:cs="Times New Roman"/>
          <w:sz w:val="24"/>
        </w:rPr>
        <w:tab/>
        <w:t xml:space="preserve">Kurucz CN, Waite TD, Cooper WJ. The Miami Electron Beam Research Facility: a large scale wastewater treatment application. </w:t>
      </w:r>
      <w:r w:rsidRPr="000532B0">
        <w:rPr>
          <w:rFonts w:ascii="Times New Roman" w:hAnsi="Times New Roman" w:cs="Times New Roman"/>
          <w:i/>
          <w:iCs/>
          <w:sz w:val="24"/>
        </w:rPr>
        <w:t>Radiat Phys Chem</w:t>
      </w:r>
      <w:r w:rsidRPr="000532B0">
        <w:rPr>
          <w:rFonts w:ascii="Times New Roman" w:hAnsi="Times New Roman" w:cs="Times New Roman"/>
          <w:sz w:val="24"/>
        </w:rPr>
        <w:t>. 1995;45(2):299-308. doi:10.1016/0969-806X(94)00075-1</w:t>
      </w:r>
    </w:p>
    <w:p w14:paraId="04D73B6A"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6.</w:t>
      </w:r>
      <w:r w:rsidRPr="000532B0">
        <w:rPr>
          <w:rFonts w:ascii="Times New Roman" w:hAnsi="Times New Roman" w:cs="Times New Roman"/>
          <w:sz w:val="24"/>
        </w:rPr>
        <w:tab/>
        <w:t xml:space="preserve">Hossain K, Maruthi YA, Das NL, Rawat KP, Sarma KSS. Irradiation of wastewater with electron beam is a key to sustainable smart/green cities: a review. </w:t>
      </w:r>
      <w:r w:rsidRPr="000532B0">
        <w:rPr>
          <w:rFonts w:ascii="Times New Roman" w:hAnsi="Times New Roman" w:cs="Times New Roman"/>
          <w:i/>
          <w:iCs/>
          <w:sz w:val="24"/>
        </w:rPr>
        <w:t>Appl Water Sci</w:t>
      </w:r>
      <w:r w:rsidRPr="000532B0">
        <w:rPr>
          <w:rFonts w:ascii="Times New Roman" w:hAnsi="Times New Roman" w:cs="Times New Roman"/>
          <w:sz w:val="24"/>
        </w:rPr>
        <w:t>. 2018;8(1):6. doi:10.1007/s13201-018-0645-6</w:t>
      </w:r>
    </w:p>
    <w:p w14:paraId="500F0F79"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7.</w:t>
      </w:r>
      <w:r w:rsidRPr="000532B0">
        <w:rPr>
          <w:rFonts w:ascii="Times New Roman" w:hAnsi="Times New Roman" w:cs="Times New Roman"/>
          <w:sz w:val="24"/>
        </w:rPr>
        <w:tab/>
        <w:t xml:space="preserve">Visnuvinayagam S, Murthy LN, Parvathy U, et al. Destructive dose determination of electron beam irradiation for pathogenic bacteria in water medium by 96 well plate assay. </w:t>
      </w:r>
      <w:r w:rsidRPr="000532B0">
        <w:rPr>
          <w:rFonts w:ascii="Times New Roman" w:hAnsi="Times New Roman" w:cs="Times New Roman"/>
          <w:i/>
          <w:iCs/>
          <w:sz w:val="24"/>
        </w:rPr>
        <w:t>J Environ Biol</w:t>
      </w:r>
      <w:r w:rsidRPr="000532B0">
        <w:rPr>
          <w:rFonts w:ascii="Times New Roman" w:hAnsi="Times New Roman" w:cs="Times New Roman"/>
          <w:sz w:val="24"/>
        </w:rPr>
        <w:t>. 2020;41(5):1013-1017. doi:10.22438/jeb/41/5/MRN-1259</w:t>
      </w:r>
    </w:p>
    <w:p w14:paraId="6CD1771C"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8.</w:t>
      </w:r>
      <w:r w:rsidRPr="000532B0">
        <w:rPr>
          <w:rFonts w:ascii="Times New Roman" w:hAnsi="Times New Roman" w:cs="Times New Roman"/>
          <w:sz w:val="24"/>
        </w:rPr>
        <w:tab/>
        <w:t xml:space="preserve">Cho JY, Chung BY, Lee KB, Lee GH, Hwang SA. Decomposition reaction of the veterinary antibiotic ciprofloxacin using electron ionizing energy. </w:t>
      </w:r>
      <w:r w:rsidRPr="000532B0">
        <w:rPr>
          <w:rFonts w:ascii="Times New Roman" w:hAnsi="Times New Roman" w:cs="Times New Roman"/>
          <w:i/>
          <w:iCs/>
          <w:sz w:val="24"/>
        </w:rPr>
        <w:t>Chemosphere</w:t>
      </w:r>
      <w:r w:rsidRPr="000532B0">
        <w:rPr>
          <w:rFonts w:ascii="Times New Roman" w:hAnsi="Times New Roman" w:cs="Times New Roman"/>
          <w:sz w:val="24"/>
        </w:rPr>
        <w:t>. 2014;117:158-163. doi:10.1016/j.chemosphere.2014.06.039</w:t>
      </w:r>
    </w:p>
    <w:p w14:paraId="3AD36B6D"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9.</w:t>
      </w:r>
      <w:r w:rsidRPr="000532B0">
        <w:rPr>
          <w:rFonts w:ascii="Times New Roman" w:hAnsi="Times New Roman" w:cs="Times New Roman"/>
          <w:sz w:val="24"/>
        </w:rPr>
        <w:tab/>
        <w:t xml:space="preserve">Chung BY. Advanced Oxidation Process of Veterinary Antibiotic Tetracycline by Electron Beam Irradiation. </w:t>
      </w:r>
      <w:r w:rsidRPr="000532B0">
        <w:rPr>
          <w:rFonts w:ascii="Times New Roman" w:hAnsi="Times New Roman" w:cs="Times New Roman"/>
          <w:i/>
          <w:iCs/>
          <w:sz w:val="24"/>
        </w:rPr>
        <w:t>J Korean Soc Appl Biol Chem</w:t>
      </w:r>
      <w:r w:rsidRPr="000532B0">
        <w:rPr>
          <w:rFonts w:ascii="Times New Roman" w:hAnsi="Times New Roman" w:cs="Times New Roman"/>
          <w:sz w:val="24"/>
        </w:rPr>
        <w:t>. 2009;52(6):675-680. doi:10.3839/jksabc.2009.112</w:t>
      </w:r>
    </w:p>
    <w:p w14:paraId="5BCD10FC"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10.</w:t>
      </w:r>
      <w:r w:rsidRPr="000532B0">
        <w:rPr>
          <w:rFonts w:ascii="Times New Roman" w:hAnsi="Times New Roman" w:cs="Times New Roman"/>
          <w:sz w:val="24"/>
        </w:rPr>
        <w:tab/>
        <w:t xml:space="preserve">Visnuvinayagam S, Murthy LN, Parvathy U, Jeyakumari A, Sivaraman GK, Karthikeyan D. Food grade zinc oxide bulk particle composite can replace the toxic zinc oxide nano composite towards the control of pathogenic and spoilage bacteria. </w:t>
      </w:r>
      <w:r w:rsidRPr="000532B0">
        <w:rPr>
          <w:rFonts w:ascii="Times New Roman" w:hAnsi="Times New Roman" w:cs="Times New Roman"/>
          <w:i/>
          <w:iCs/>
          <w:sz w:val="24"/>
        </w:rPr>
        <w:t>FEMS Microbiol Lett</w:t>
      </w:r>
      <w:r w:rsidRPr="000532B0">
        <w:rPr>
          <w:rFonts w:ascii="Times New Roman" w:hAnsi="Times New Roman" w:cs="Times New Roman"/>
          <w:sz w:val="24"/>
        </w:rPr>
        <w:t>. 2021;368(1):fnaa210. doi:10.1093/femsle/fnaa210</w:t>
      </w:r>
    </w:p>
    <w:p w14:paraId="65116BF6"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11.</w:t>
      </w:r>
      <w:r w:rsidRPr="000532B0">
        <w:rPr>
          <w:rFonts w:ascii="Times New Roman" w:hAnsi="Times New Roman" w:cs="Times New Roman"/>
          <w:sz w:val="24"/>
        </w:rPr>
        <w:tab/>
        <w:t xml:space="preserve">Annamalai J, Sivam V, Unnikrishnan P, et al. Effect of electron beam irradiation on the biochemical, microbiological and sensory quality of Litopenaeus vannamei during chilled storage. </w:t>
      </w:r>
      <w:r w:rsidRPr="000532B0">
        <w:rPr>
          <w:rFonts w:ascii="Times New Roman" w:hAnsi="Times New Roman" w:cs="Times New Roman"/>
          <w:i/>
          <w:iCs/>
          <w:sz w:val="24"/>
        </w:rPr>
        <w:t>J Food Sci Technol</w:t>
      </w:r>
      <w:r w:rsidRPr="000532B0">
        <w:rPr>
          <w:rFonts w:ascii="Times New Roman" w:hAnsi="Times New Roman" w:cs="Times New Roman"/>
          <w:sz w:val="24"/>
        </w:rPr>
        <w:t>. 2020;57(6):2150-2158. doi:10.1007/s13197-020-04250-7</w:t>
      </w:r>
    </w:p>
    <w:p w14:paraId="6867A317"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lastRenderedPageBreak/>
        <w:t>12.</w:t>
      </w:r>
      <w:r w:rsidRPr="000532B0">
        <w:rPr>
          <w:rFonts w:ascii="Times New Roman" w:hAnsi="Times New Roman" w:cs="Times New Roman"/>
          <w:sz w:val="24"/>
        </w:rPr>
        <w:tab/>
        <w:t xml:space="preserve">Wang M, Zhang L, Zhang G, et al. In situ degradation of antibiotic residues in medical intravenous infusion bottles using high energy electron beam irradiation. </w:t>
      </w:r>
      <w:r w:rsidRPr="000532B0">
        <w:rPr>
          <w:rFonts w:ascii="Times New Roman" w:hAnsi="Times New Roman" w:cs="Times New Roman"/>
          <w:i/>
          <w:iCs/>
          <w:sz w:val="24"/>
        </w:rPr>
        <w:t>Sci Rep</w:t>
      </w:r>
      <w:r w:rsidRPr="000532B0">
        <w:rPr>
          <w:rFonts w:ascii="Times New Roman" w:hAnsi="Times New Roman" w:cs="Times New Roman"/>
          <w:sz w:val="24"/>
        </w:rPr>
        <w:t>. 2017;7(1):39928. doi:10.1038/srep39928</w:t>
      </w:r>
    </w:p>
    <w:p w14:paraId="6AE8AAAE"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13.</w:t>
      </w:r>
      <w:r w:rsidRPr="000532B0">
        <w:rPr>
          <w:rFonts w:ascii="Times New Roman" w:hAnsi="Times New Roman" w:cs="Times New Roman"/>
          <w:sz w:val="24"/>
        </w:rPr>
        <w:tab/>
        <w:t xml:space="preserve">Wang M, Zhang L, Zhang G, et al. In situ degradation of antibiotic residues in medical intravenous infusion bottles using high energy electron beam irradiation. </w:t>
      </w:r>
      <w:r w:rsidRPr="000532B0">
        <w:rPr>
          <w:rFonts w:ascii="Times New Roman" w:hAnsi="Times New Roman" w:cs="Times New Roman"/>
          <w:i/>
          <w:iCs/>
          <w:sz w:val="24"/>
        </w:rPr>
        <w:t>Sci Rep</w:t>
      </w:r>
      <w:r w:rsidRPr="000532B0">
        <w:rPr>
          <w:rFonts w:ascii="Times New Roman" w:hAnsi="Times New Roman" w:cs="Times New Roman"/>
          <w:sz w:val="24"/>
        </w:rPr>
        <w:t>. 2017;7(1):39928. doi:10.1038/srep39928</w:t>
      </w:r>
    </w:p>
    <w:p w14:paraId="7AE8C2AE"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14.</w:t>
      </w:r>
      <w:r w:rsidRPr="000532B0">
        <w:rPr>
          <w:rFonts w:ascii="Times New Roman" w:hAnsi="Times New Roman" w:cs="Times New Roman"/>
          <w:sz w:val="24"/>
        </w:rPr>
        <w:tab/>
        <w:t xml:space="preserve">Wang M, Zhang L, Zhang G, et al. In situ degradation of antibiotic residues in medical intravenous infusion bottles using high energy electron beam irradiation. </w:t>
      </w:r>
      <w:r w:rsidRPr="000532B0">
        <w:rPr>
          <w:rFonts w:ascii="Times New Roman" w:hAnsi="Times New Roman" w:cs="Times New Roman"/>
          <w:i/>
          <w:iCs/>
          <w:sz w:val="24"/>
        </w:rPr>
        <w:t>Sci Rep</w:t>
      </w:r>
      <w:r w:rsidRPr="000532B0">
        <w:rPr>
          <w:rFonts w:ascii="Times New Roman" w:hAnsi="Times New Roman" w:cs="Times New Roman"/>
          <w:sz w:val="24"/>
        </w:rPr>
        <w:t>. 2017;7(1):39928. doi:10.1038/srep39928</w:t>
      </w:r>
    </w:p>
    <w:p w14:paraId="4E817596"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15.</w:t>
      </w:r>
      <w:r w:rsidRPr="000532B0">
        <w:rPr>
          <w:rFonts w:ascii="Times New Roman" w:hAnsi="Times New Roman" w:cs="Times New Roman"/>
          <w:sz w:val="24"/>
        </w:rPr>
        <w:tab/>
        <w:t xml:space="preserve">Cho JY, Chung BY, Hwang SA. Detoxification of the veterinary antibiotic chloramphenicol using electron beam irradiation. </w:t>
      </w:r>
      <w:r w:rsidRPr="000532B0">
        <w:rPr>
          <w:rFonts w:ascii="Times New Roman" w:hAnsi="Times New Roman" w:cs="Times New Roman"/>
          <w:i/>
          <w:iCs/>
          <w:sz w:val="24"/>
        </w:rPr>
        <w:t>Environ Sci Pollut Res</w:t>
      </w:r>
      <w:r w:rsidRPr="000532B0">
        <w:rPr>
          <w:rFonts w:ascii="Times New Roman" w:hAnsi="Times New Roman" w:cs="Times New Roman"/>
          <w:sz w:val="24"/>
        </w:rPr>
        <w:t>. 2015;22(13):9637-9645. doi:10.1007/s11356-015-4123-5</w:t>
      </w:r>
    </w:p>
    <w:p w14:paraId="5788D661"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16.</w:t>
      </w:r>
      <w:r w:rsidRPr="000532B0">
        <w:rPr>
          <w:rFonts w:ascii="Times New Roman" w:hAnsi="Times New Roman" w:cs="Times New Roman"/>
          <w:sz w:val="24"/>
        </w:rPr>
        <w:tab/>
        <w:t xml:space="preserve">Visnuvinayagam S, Murthy LN, Parvathy U, Jeyakumari A, Adiga TG, Sivaraman GK. Detection of Multi Drug Resistant Bacteria in Retail Fish Market Water Samples of Vashi, Navi Mumbai. </w:t>
      </w:r>
      <w:r w:rsidRPr="000532B0">
        <w:rPr>
          <w:rFonts w:ascii="Times New Roman" w:hAnsi="Times New Roman" w:cs="Times New Roman"/>
          <w:i/>
          <w:iCs/>
          <w:sz w:val="24"/>
        </w:rPr>
        <w:t>Proc Natl Acad Sci India Sect B Biol Sci</w:t>
      </w:r>
      <w:r w:rsidRPr="000532B0">
        <w:rPr>
          <w:rFonts w:ascii="Times New Roman" w:hAnsi="Times New Roman" w:cs="Times New Roman"/>
          <w:sz w:val="24"/>
        </w:rPr>
        <w:t>. 2019;89(2):559-564. doi:10.1007/s40011-018-0970-4</w:t>
      </w:r>
    </w:p>
    <w:p w14:paraId="37952DBE"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17.</w:t>
      </w:r>
      <w:r w:rsidRPr="000532B0">
        <w:rPr>
          <w:rFonts w:ascii="Times New Roman" w:hAnsi="Times New Roman" w:cs="Times New Roman"/>
          <w:sz w:val="24"/>
        </w:rPr>
        <w:tab/>
        <w:t xml:space="preserve">Visnuvinayagam S, Murthy LN, Viji P, Sivaraman GK. Study on retail fish markets: Possible occurance and transmission of emergeing pathogen from faecal indicators. </w:t>
      </w:r>
      <w:r w:rsidRPr="000532B0">
        <w:rPr>
          <w:rFonts w:ascii="Times New Roman" w:hAnsi="Times New Roman" w:cs="Times New Roman"/>
          <w:i/>
          <w:iCs/>
          <w:sz w:val="24"/>
        </w:rPr>
        <w:t>J Environ Biol</w:t>
      </w:r>
      <w:r w:rsidRPr="000532B0">
        <w:rPr>
          <w:rFonts w:ascii="Times New Roman" w:hAnsi="Times New Roman" w:cs="Times New Roman"/>
          <w:sz w:val="24"/>
        </w:rPr>
        <w:t>. 2017;38(3):465-470. doi:10.22438/jeb/38/3/MS-256</w:t>
      </w:r>
    </w:p>
    <w:p w14:paraId="71089814"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18.</w:t>
      </w:r>
      <w:r w:rsidRPr="000532B0">
        <w:rPr>
          <w:rFonts w:ascii="Times New Roman" w:hAnsi="Times New Roman" w:cs="Times New Roman"/>
          <w:sz w:val="24"/>
        </w:rPr>
        <w:tab/>
        <w:t xml:space="preserve">Murugadas V, Toms CJ, Reethu SA, Lalitha KV. Multilocus Sequence Typing and Staphylococcal Protein A Typing Revealed Novel and Diverse Clones of Methicillin-Resistant Staphylococcus aureus in Seafood and the Aquatic Environment. </w:t>
      </w:r>
      <w:r w:rsidRPr="000532B0">
        <w:rPr>
          <w:rFonts w:ascii="Times New Roman" w:hAnsi="Times New Roman" w:cs="Times New Roman"/>
          <w:i/>
          <w:iCs/>
          <w:sz w:val="24"/>
        </w:rPr>
        <w:t>J Food Prot</w:t>
      </w:r>
      <w:r w:rsidRPr="000532B0">
        <w:rPr>
          <w:rFonts w:ascii="Times New Roman" w:hAnsi="Times New Roman" w:cs="Times New Roman"/>
          <w:sz w:val="24"/>
        </w:rPr>
        <w:t>. 2017;80(3):476-481. doi:10.4315/0362-028X.JFP-16-260</w:t>
      </w:r>
    </w:p>
    <w:p w14:paraId="69229564" w14:textId="77777777" w:rsidR="00C97A10" w:rsidRDefault="000532B0" w:rsidP="00C97A10">
      <w:pPr>
        <w:pStyle w:val="Bibliography"/>
        <w:rPr>
          <w:rFonts w:ascii="Times New Roman" w:hAnsi="Times New Roman" w:cs="Times New Roman"/>
          <w:sz w:val="24"/>
        </w:rPr>
      </w:pPr>
      <w:r w:rsidRPr="000532B0">
        <w:rPr>
          <w:rFonts w:ascii="Times New Roman" w:hAnsi="Times New Roman" w:cs="Times New Roman"/>
          <w:sz w:val="24"/>
        </w:rPr>
        <w:t>19.</w:t>
      </w:r>
      <w:r w:rsidRPr="000532B0">
        <w:rPr>
          <w:rFonts w:ascii="Times New Roman" w:hAnsi="Times New Roman" w:cs="Times New Roman"/>
          <w:sz w:val="24"/>
        </w:rPr>
        <w:tab/>
        <w:t xml:space="preserve">Vaiyapuri M, Joseph TC, Rao BM, Lalitha KV, Prasad MM. Methicillin‐Resistant </w:t>
      </w:r>
      <w:r w:rsidRPr="000532B0">
        <w:rPr>
          <w:rFonts w:ascii="Times New Roman" w:hAnsi="Times New Roman" w:cs="Times New Roman"/>
          <w:i/>
          <w:iCs/>
          <w:sz w:val="24"/>
        </w:rPr>
        <w:t>Staphylococcus aureus</w:t>
      </w:r>
      <w:r w:rsidRPr="000532B0">
        <w:rPr>
          <w:rFonts w:ascii="Times New Roman" w:hAnsi="Times New Roman" w:cs="Times New Roman"/>
          <w:sz w:val="24"/>
        </w:rPr>
        <w:t xml:space="preserve"> in Seafood: Prevalence, Laboratory Detection, Clonal Nature, and Control in Seafood Chain. </w:t>
      </w:r>
      <w:r w:rsidRPr="000532B0">
        <w:rPr>
          <w:rFonts w:ascii="Times New Roman" w:hAnsi="Times New Roman" w:cs="Times New Roman"/>
          <w:i/>
          <w:iCs/>
          <w:sz w:val="24"/>
        </w:rPr>
        <w:t>J Food Sci</w:t>
      </w:r>
      <w:r w:rsidRPr="000532B0">
        <w:rPr>
          <w:rFonts w:ascii="Times New Roman" w:hAnsi="Times New Roman" w:cs="Times New Roman"/>
          <w:sz w:val="24"/>
        </w:rPr>
        <w:t>. 2019;84(12):3341-3351. doi:10.1111/1750-3841.14915</w:t>
      </w:r>
    </w:p>
    <w:p w14:paraId="4852CAFF" w14:textId="6E75A0A9" w:rsidR="0046662D" w:rsidRDefault="00C97A10" w:rsidP="00C97A10">
      <w:pPr>
        <w:pStyle w:val="Bibliography"/>
        <w:rPr>
          <w:rFonts w:ascii="Times New Roman" w:hAnsi="Times New Roman" w:cs="Times New Roman"/>
          <w:sz w:val="24"/>
        </w:rPr>
      </w:pPr>
      <w:r>
        <w:rPr>
          <w:rFonts w:ascii="Times New Roman" w:hAnsi="Times New Roman" w:cs="Times New Roman"/>
          <w:sz w:val="24"/>
        </w:rPr>
        <w:t xml:space="preserve">20. </w:t>
      </w:r>
      <w:r w:rsidR="0046662D">
        <w:rPr>
          <w:rFonts w:ascii="Arial" w:hAnsi="Arial" w:cs="Arial"/>
          <w:color w:val="222222"/>
          <w:sz w:val="20"/>
          <w:szCs w:val="20"/>
          <w:shd w:val="clear" w:color="auto" w:fill="FFFFFF"/>
        </w:rPr>
        <w:t xml:space="preserve">Jeyakumari, A., Murthy, L.N., Visnuvinayagam, S., Sarma, K.S.S., Rawat, K.P. and Khader, S.A., 2023. Effect of </w:t>
      </w:r>
      <w:r w:rsidR="0046662D" w:rsidRPr="00440181">
        <w:rPr>
          <w:rFonts w:ascii="Times New Roman" w:hAnsi="Times New Roman" w:cs="Times New Roman"/>
          <w:sz w:val="24"/>
        </w:rPr>
        <w:t>electron</w:t>
      </w:r>
      <w:r w:rsidR="0046662D">
        <w:rPr>
          <w:rFonts w:ascii="Arial" w:hAnsi="Arial" w:cs="Arial"/>
          <w:color w:val="222222"/>
          <w:sz w:val="20"/>
          <w:szCs w:val="20"/>
          <w:shd w:val="clear" w:color="auto" w:fill="FFFFFF"/>
        </w:rPr>
        <w:t xml:space="preserve"> beam irradiation on the quality of vacuum-packed, chilled-stored tilapia fish chunks. </w:t>
      </w:r>
      <w:r w:rsidR="0046662D">
        <w:rPr>
          <w:rFonts w:ascii="Arial" w:hAnsi="Arial" w:cs="Arial"/>
          <w:i/>
          <w:iCs/>
          <w:color w:val="222222"/>
          <w:sz w:val="20"/>
          <w:szCs w:val="20"/>
          <w:shd w:val="clear" w:color="auto" w:fill="FFFFFF"/>
        </w:rPr>
        <w:t>Indian Journal of Fisheries</w:t>
      </w:r>
      <w:r w:rsidR="0046662D">
        <w:rPr>
          <w:rFonts w:ascii="Arial" w:hAnsi="Arial" w:cs="Arial"/>
          <w:color w:val="222222"/>
          <w:sz w:val="20"/>
          <w:szCs w:val="20"/>
          <w:shd w:val="clear" w:color="auto" w:fill="FFFFFF"/>
        </w:rPr>
        <w:t>, </w:t>
      </w:r>
      <w:r w:rsidR="0046662D">
        <w:rPr>
          <w:rFonts w:ascii="Arial" w:hAnsi="Arial" w:cs="Arial"/>
          <w:i/>
          <w:iCs/>
          <w:color w:val="222222"/>
          <w:sz w:val="20"/>
          <w:szCs w:val="20"/>
          <w:shd w:val="clear" w:color="auto" w:fill="FFFFFF"/>
        </w:rPr>
        <w:t>70</w:t>
      </w:r>
      <w:r w:rsidR="0046662D">
        <w:rPr>
          <w:rFonts w:ascii="Arial" w:hAnsi="Arial" w:cs="Arial"/>
          <w:color w:val="222222"/>
          <w:sz w:val="20"/>
          <w:szCs w:val="20"/>
          <w:shd w:val="clear" w:color="auto" w:fill="FFFFFF"/>
        </w:rPr>
        <w:t>(2), pp.0970-6011.</w:t>
      </w:r>
    </w:p>
    <w:p w14:paraId="28D273EE" w14:textId="1642FBDD" w:rsidR="00C97A10" w:rsidRDefault="0046662D" w:rsidP="00C97A10">
      <w:pPr>
        <w:pStyle w:val="Bibliography"/>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21. </w:t>
      </w:r>
      <w:r w:rsidR="00C97A10">
        <w:rPr>
          <w:rFonts w:ascii="Arial" w:hAnsi="Arial" w:cs="Arial"/>
          <w:color w:val="222222"/>
          <w:sz w:val="20"/>
          <w:szCs w:val="20"/>
          <w:shd w:val="clear" w:color="auto" w:fill="FFFFFF"/>
        </w:rPr>
        <w:t>Raveendran, K., Sharaf, S., K, R., Joseph, T.C., Thangaraj, R.S., Sivam, V., Parida, S., Hegde, N.R., Shashidhar, R., Badireddy, M.R. and Nagar, V., 2025. Novel Silviavirus phages with broad-host-range activity against methicillin resistant Staphylococcus aureus from seafood: comprehending the phenotypic and genotypic variability. </w:t>
      </w:r>
      <w:r w:rsidR="00C97A10">
        <w:rPr>
          <w:rFonts w:ascii="Arial" w:hAnsi="Arial" w:cs="Arial"/>
          <w:i/>
          <w:iCs/>
          <w:color w:val="222222"/>
          <w:sz w:val="20"/>
          <w:szCs w:val="20"/>
          <w:shd w:val="clear" w:color="auto" w:fill="FFFFFF"/>
        </w:rPr>
        <w:t>Folia Microbiologica</w:t>
      </w:r>
      <w:r w:rsidR="00C97A10">
        <w:rPr>
          <w:rFonts w:ascii="Arial" w:hAnsi="Arial" w:cs="Arial"/>
          <w:color w:val="222222"/>
          <w:sz w:val="20"/>
          <w:szCs w:val="20"/>
          <w:shd w:val="clear" w:color="auto" w:fill="FFFFFF"/>
        </w:rPr>
        <w:t>, pp.1-18.</w:t>
      </w:r>
    </w:p>
    <w:p w14:paraId="6AAB7455" w14:textId="47877EA6" w:rsidR="009F06B7" w:rsidRDefault="00565054" w:rsidP="00440181">
      <w:pPr>
        <w:pStyle w:val="Bibliography"/>
        <w:rPr>
          <w:rFonts w:ascii="Arial" w:hAnsi="Arial" w:cs="Arial"/>
          <w:color w:val="222222"/>
          <w:sz w:val="20"/>
          <w:szCs w:val="20"/>
          <w:shd w:val="clear" w:color="auto" w:fill="FFFFFF"/>
        </w:rPr>
      </w:pPr>
      <w:r>
        <w:t xml:space="preserve">22. </w:t>
      </w:r>
      <w:r>
        <w:rPr>
          <w:rFonts w:ascii="Arial" w:hAnsi="Arial" w:cs="Arial"/>
          <w:color w:val="222222"/>
          <w:sz w:val="20"/>
          <w:szCs w:val="20"/>
          <w:shd w:val="clear" w:color="auto" w:fill="FFFFFF"/>
        </w:rPr>
        <w:t xml:space="preserve">Maqbool, H., </w:t>
      </w:r>
      <w:r w:rsidRPr="00440181">
        <w:rPr>
          <w:rFonts w:ascii="Times New Roman" w:hAnsi="Times New Roman" w:cs="Times New Roman"/>
          <w:sz w:val="24"/>
        </w:rPr>
        <w:t>Visnuvinayagam</w:t>
      </w:r>
      <w:r>
        <w:rPr>
          <w:rFonts w:ascii="Arial" w:hAnsi="Arial" w:cs="Arial"/>
          <w:color w:val="222222"/>
          <w:sz w:val="20"/>
          <w:szCs w:val="20"/>
          <w:shd w:val="clear" w:color="auto" w:fill="FFFFFF"/>
        </w:rPr>
        <w:t>, S., Zynudheen, A.A., Safeena, M.P. and Kumar, S., 2020. Antibacterial activity of beetroot peel and whole radish extract by modified well diffusion assay. </w:t>
      </w:r>
      <w:r>
        <w:rPr>
          <w:rFonts w:ascii="Arial" w:hAnsi="Arial" w:cs="Arial"/>
          <w:i/>
          <w:iCs/>
          <w:color w:val="222222"/>
          <w:sz w:val="20"/>
          <w:szCs w:val="20"/>
          <w:shd w:val="clear" w:color="auto" w:fill="FFFFFF"/>
        </w:rPr>
        <w:t>Int. J. Curr. Microbiol. App. Sci</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9</w:t>
      </w:r>
      <w:r>
        <w:rPr>
          <w:rFonts w:ascii="Arial" w:hAnsi="Arial" w:cs="Arial"/>
          <w:color w:val="222222"/>
          <w:sz w:val="20"/>
          <w:szCs w:val="20"/>
          <w:shd w:val="clear" w:color="auto" w:fill="FFFFFF"/>
        </w:rPr>
        <w:t>(1), pp.1222-1231.</w:t>
      </w:r>
    </w:p>
    <w:p w14:paraId="09A57B83" w14:textId="7A82036E" w:rsidR="001E6986" w:rsidRDefault="001E6986" w:rsidP="00440181">
      <w:pPr>
        <w:pStyle w:val="Bibliography"/>
        <w:rPr>
          <w:rFonts w:ascii="Arial" w:hAnsi="Arial" w:cs="Arial"/>
          <w:color w:val="222222"/>
          <w:sz w:val="20"/>
          <w:szCs w:val="20"/>
          <w:shd w:val="clear" w:color="auto" w:fill="FFFFFF"/>
        </w:rPr>
      </w:pPr>
      <w:r>
        <w:rPr>
          <w:rFonts w:ascii="Arial" w:hAnsi="Arial" w:cs="Arial"/>
          <w:color w:val="222222"/>
          <w:sz w:val="20"/>
          <w:szCs w:val="20"/>
          <w:shd w:val="clear" w:color="auto" w:fill="FFFFFF"/>
        </w:rPr>
        <w:lastRenderedPageBreak/>
        <w:t xml:space="preserve">23. </w:t>
      </w:r>
      <w:r w:rsidR="00AE515D">
        <w:rPr>
          <w:rFonts w:ascii="Arial" w:hAnsi="Arial" w:cs="Arial"/>
          <w:color w:val="222222"/>
          <w:sz w:val="20"/>
          <w:szCs w:val="20"/>
          <w:shd w:val="clear" w:color="auto" w:fill="FFFFFF"/>
        </w:rPr>
        <w:t xml:space="preserve">Neha, V.H., Visnuvinayagam, S., Murthy, L.N., Jeyakumari, A., Sivaraman, G.K. and Prasad, M.M., 2019. </w:t>
      </w:r>
      <w:r w:rsidR="00AE515D" w:rsidRPr="00440181">
        <w:rPr>
          <w:rFonts w:ascii="Times New Roman" w:hAnsi="Times New Roman" w:cs="Times New Roman"/>
          <w:sz w:val="24"/>
        </w:rPr>
        <w:t>Characterization</w:t>
      </w:r>
      <w:r w:rsidR="00AE515D">
        <w:rPr>
          <w:rFonts w:ascii="Arial" w:hAnsi="Arial" w:cs="Arial"/>
          <w:color w:val="222222"/>
          <w:sz w:val="20"/>
          <w:szCs w:val="20"/>
          <w:shd w:val="clear" w:color="auto" w:fill="FFFFFF"/>
        </w:rPr>
        <w:t xml:space="preserve"> of vibriocin and prospect of co-culture method to overcome the diminishing antibacterial activity.</w:t>
      </w:r>
    </w:p>
    <w:p w14:paraId="6C7481AE" w14:textId="455AF623" w:rsidR="0046662D" w:rsidRDefault="00AE515D" w:rsidP="00440181">
      <w:pPr>
        <w:pStyle w:val="Bibliography"/>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24. </w:t>
      </w:r>
      <w:r w:rsidR="00EC55AD">
        <w:rPr>
          <w:rFonts w:ascii="Arial" w:hAnsi="Arial" w:cs="Arial"/>
          <w:color w:val="222222"/>
          <w:sz w:val="20"/>
          <w:szCs w:val="20"/>
          <w:shd w:val="clear" w:color="auto" w:fill="FFFFFF"/>
        </w:rPr>
        <w:t xml:space="preserve">Albert, S., Vijayan, V., Sivam, V., Chandrababu, H.K., George, T., Vaiyapuri, M., Rangasamy, A. and Thangaraj, R.S., </w:t>
      </w:r>
      <w:r w:rsidR="00EC55AD" w:rsidRPr="00440181">
        <w:rPr>
          <w:rFonts w:ascii="Times New Roman" w:hAnsi="Times New Roman" w:cs="Times New Roman"/>
          <w:sz w:val="24"/>
        </w:rPr>
        <w:t>2025</w:t>
      </w:r>
      <w:r w:rsidR="00EC55AD">
        <w:rPr>
          <w:rFonts w:ascii="Arial" w:hAnsi="Arial" w:cs="Arial"/>
          <w:color w:val="222222"/>
          <w:sz w:val="20"/>
          <w:szCs w:val="20"/>
          <w:shd w:val="clear" w:color="auto" w:fill="FFFFFF"/>
        </w:rPr>
        <w:t>. PEGylation of cupric oxide nanoparticles: modulation of in vitro cytotoxicity against cancer cells with unaltered antimicrobial properties. </w:t>
      </w:r>
      <w:r w:rsidR="00EC55AD">
        <w:rPr>
          <w:rFonts w:ascii="Arial" w:hAnsi="Arial" w:cs="Arial"/>
          <w:i/>
          <w:iCs/>
          <w:color w:val="222222"/>
          <w:sz w:val="20"/>
          <w:szCs w:val="20"/>
          <w:shd w:val="clear" w:color="auto" w:fill="FFFFFF"/>
        </w:rPr>
        <w:t>Rendiconti Lincei. Scienze Fisiche e Naturali</w:t>
      </w:r>
      <w:r w:rsidR="00EC55AD">
        <w:rPr>
          <w:rFonts w:ascii="Arial" w:hAnsi="Arial" w:cs="Arial"/>
          <w:color w:val="222222"/>
          <w:sz w:val="20"/>
          <w:szCs w:val="20"/>
          <w:shd w:val="clear" w:color="auto" w:fill="FFFFFF"/>
        </w:rPr>
        <w:t>, pp.1-16.</w:t>
      </w:r>
    </w:p>
    <w:p w14:paraId="22BD166A" w14:textId="6C601AE1" w:rsidR="00EC55AD" w:rsidRPr="00440181" w:rsidRDefault="00EC55AD" w:rsidP="0015315A">
      <w:pPr>
        <w:pStyle w:val="Bibliography"/>
      </w:pPr>
      <w:r>
        <w:rPr>
          <w:rFonts w:ascii="Arial" w:hAnsi="Arial" w:cs="Arial"/>
          <w:color w:val="222222"/>
          <w:sz w:val="20"/>
          <w:szCs w:val="20"/>
          <w:shd w:val="clear" w:color="auto" w:fill="FFFFFF"/>
        </w:rPr>
        <w:t xml:space="preserve">25. </w:t>
      </w:r>
      <w:r w:rsidR="005B7C6B">
        <w:rPr>
          <w:rFonts w:ascii="Arial" w:hAnsi="Arial" w:cs="Arial"/>
          <w:color w:val="222222"/>
          <w:sz w:val="20"/>
          <w:szCs w:val="20"/>
          <w:shd w:val="clear" w:color="auto" w:fill="FFFFFF"/>
        </w:rPr>
        <w:t xml:space="preserve">Visnuvinayagam, S., Murugadas, V., Murthy, L.N., Zynudheen, A.A., Karthikeyan, D. and Atchudan, R., 2025. Chitosan-oligo-saccharide-ZnO-nanoparticle composite: A superior alternative to chitosan for biomedical </w:t>
      </w:r>
      <w:r w:rsidR="005B7C6B" w:rsidRPr="00440181">
        <w:rPr>
          <w:rFonts w:ascii="Times New Roman" w:hAnsi="Times New Roman" w:cs="Times New Roman"/>
          <w:sz w:val="24"/>
        </w:rPr>
        <w:t>applications</w:t>
      </w:r>
      <w:r w:rsidR="005B7C6B">
        <w:rPr>
          <w:rFonts w:ascii="Arial" w:hAnsi="Arial" w:cs="Arial"/>
          <w:color w:val="222222"/>
          <w:sz w:val="20"/>
          <w:szCs w:val="20"/>
          <w:shd w:val="clear" w:color="auto" w:fill="FFFFFF"/>
        </w:rPr>
        <w:t>. </w:t>
      </w:r>
      <w:r w:rsidR="005B7C6B">
        <w:rPr>
          <w:rFonts w:ascii="Arial" w:hAnsi="Arial" w:cs="Arial"/>
          <w:i/>
          <w:iCs/>
          <w:color w:val="222222"/>
          <w:sz w:val="20"/>
          <w:szCs w:val="20"/>
          <w:shd w:val="clear" w:color="auto" w:fill="FFFFFF"/>
        </w:rPr>
        <w:t>Journal of Environmental Biology</w:t>
      </w:r>
      <w:r w:rsidR="005B7C6B">
        <w:rPr>
          <w:rFonts w:ascii="Arial" w:hAnsi="Arial" w:cs="Arial"/>
          <w:color w:val="222222"/>
          <w:sz w:val="20"/>
          <w:szCs w:val="20"/>
          <w:shd w:val="clear" w:color="auto" w:fill="FFFFFF"/>
        </w:rPr>
        <w:t>, </w:t>
      </w:r>
      <w:r w:rsidR="005B7C6B">
        <w:rPr>
          <w:rFonts w:ascii="Arial" w:hAnsi="Arial" w:cs="Arial"/>
          <w:i/>
          <w:iCs/>
          <w:color w:val="222222"/>
          <w:sz w:val="20"/>
          <w:szCs w:val="20"/>
          <w:shd w:val="clear" w:color="auto" w:fill="FFFFFF"/>
        </w:rPr>
        <w:t>46</w:t>
      </w:r>
      <w:r w:rsidR="005B7C6B">
        <w:rPr>
          <w:rFonts w:ascii="Arial" w:hAnsi="Arial" w:cs="Arial"/>
          <w:color w:val="222222"/>
          <w:sz w:val="20"/>
          <w:szCs w:val="20"/>
          <w:shd w:val="clear" w:color="auto" w:fill="FFFFFF"/>
        </w:rPr>
        <w:t>(2), pp.188-196.</w:t>
      </w:r>
    </w:p>
    <w:p w14:paraId="1D17E791" w14:textId="67A1B412" w:rsidR="00343885" w:rsidRDefault="00343885" w:rsidP="00440181">
      <w:pPr>
        <w:pStyle w:val="Bibliography"/>
        <w:rPr>
          <w:rFonts w:ascii="Arial" w:hAnsi="Arial" w:cs="Arial"/>
          <w:color w:val="222222"/>
          <w:sz w:val="20"/>
          <w:szCs w:val="20"/>
          <w:shd w:val="clear" w:color="auto" w:fill="FFFFFF"/>
        </w:rPr>
      </w:pPr>
      <w:r w:rsidRPr="00343885">
        <w:rPr>
          <w:rFonts w:ascii="Times New Roman" w:hAnsi="Times New Roman" w:cs="Times New Roman"/>
          <w:sz w:val="24"/>
          <w:szCs w:val="24"/>
        </w:rPr>
        <w:fldChar w:fldCharType="end"/>
      </w:r>
      <w:r w:rsidR="00705E51">
        <w:rPr>
          <w:rFonts w:ascii="Times New Roman" w:hAnsi="Times New Roman" w:cs="Times New Roman"/>
          <w:sz w:val="24"/>
          <w:szCs w:val="24"/>
        </w:rPr>
        <w:t xml:space="preserve">26. </w:t>
      </w:r>
      <w:r w:rsidR="00705E51" w:rsidRPr="00705E51">
        <w:rPr>
          <w:rFonts w:ascii="Arial" w:hAnsi="Arial" w:cs="Arial"/>
          <w:color w:val="222222"/>
          <w:sz w:val="20"/>
          <w:szCs w:val="20"/>
          <w:shd w:val="clear" w:color="auto" w:fill="FFFFFF"/>
        </w:rPr>
        <w:t xml:space="preserve"> </w:t>
      </w:r>
      <w:r w:rsidR="00705E51">
        <w:rPr>
          <w:rFonts w:ascii="Arial" w:hAnsi="Arial" w:cs="Arial"/>
          <w:color w:val="222222"/>
          <w:sz w:val="20"/>
          <w:szCs w:val="20"/>
          <w:shd w:val="clear" w:color="auto" w:fill="FFFFFF"/>
        </w:rPr>
        <w:t xml:space="preserve">Szabó, L., </w:t>
      </w:r>
      <w:r w:rsidR="00705E51" w:rsidRPr="00440181">
        <w:rPr>
          <w:rFonts w:ascii="Times New Roman" w:hAnsi="Times New Roman" w:cs="Times New Roman"/>
          <w:sz w:val="24"/>
        </w:rPr>
        <w:t>Szabó</w:t>
      </w:r>
      <w:r w:rsidR="00705E51">
        <w:rPr>
          <w:rFonts w:ascii="Arial" w:hAnsi="Arial" w:cs="Arial"/>
          <w:color w:val="222222"/>
          <w:sz w:val="20"/>
          <w:szCs w:val="20"/>
          <w:shd w:val="clear" w:color="auto" w:fill="FFFFFF"/>
        </w:rPr>
        <w:t xml:space="preserve">, J., Illes, E., Kovács, A., Belák, Á., Mohácsi-Farkas, C., Takacs, E. and </w:t>
      </w:r>
      <w:proofErr w:type="spellStart"/>
      <w:r w:rsidR="00705E51">
        <w:rPr>
          <w:rFonts w:ascii="Arial" w:hAnsi="Arial" w:cs="Arial"/>
          <w:color w:val="222222"/>
          <w:sz w:val="20"/>
          <w:szCs w:val="20"/>
          <w:shd w:val="clear" w:color="auto" w:fill="FFFFFF"/>
        </w:rPr>
        <w:t>Wojnárovits</w:t>
      </w:r>
      <w:proofErr w:type="spellEnd"/>
      <w:r w:rsidR="00705E51">
        <w:rPr>
          <w:rFonts w:ascii="Arial" w:hAnsi="Arial" w:cs="Arial"/>
          <w:color w:val="222222"/>
          <w:sz w:val="20"/>
          <w:szCs w:val="20"/>
          <w:shd w:val="clear" w:color="auto" w:fill="FFFFFF"/>
        </w:rPr>
        <w:t>, L., 2017. Electron beam treatment for tackling the escalating problems of antibiotic resistance: Eliminating the antimicrobial activity of wastewater matrices originating from erythromycin. </w:t>
      </w:r>
      <w:r w:rsidR="00705E51">
        <w:rPr>
          <w:rFonts w:ascii="Arial" w:hAnsi="Arial" w:cs="Arial"/>
          <w:i/>
          <w:iCs/>
          <w:color w:val="222222"/>
          <w:sz w:val="20"/>
          <w:szCs w:val="20"/>
          <w:shd w:val="clear" w:color="auto" w:fill="FFFFFF"/>
        </w:rPr>
        <w:t>Chemical Engineering Journal</w:t>
      </w:r>
      <w:r w:rsidR="00705E51">
        <w:rPr>
          <w:rFonts w:ascii="Arial" w:hAnsi="Arial" w:cs="Arial"/>
          <w:color w:val="222222"/>
          <w:sz w:val="20"/>
          <w:szCs w:val="20"/>
          <w:shd w:val="clear" w:color="auto" w:fill="FFFFFF"/>
        </w:rPr>
        <w:t>, </w:t>
      </w:r>
      <w:r w:rsidR="00705E51">
        <w:rPr>
          <w:rFonts w:ascii="Arial" w:hAnsi="Arial" w:cs="Arial"/>
          <w:i/>
          <w:iCs/>
          <w:color w:val="222222"/>
          <w:sz w:val="20"/>
          <w:szCs w:val="20"/>
          <w:shd w:val="clear" w:color="auto" w:fill="FFFFFF"/>
        </w:rPr>
        <w:t>321</w:t>
      </w:r>
      <w:r w:rsidR="00705E51">
        <w:rPr>
          <w:rFonts w:ascii="Arial" w:hAnsi="Arial" w:cs="Arial"/>
          <w:color w:val="222222"/>
          <w:sz w:val="20"/>
          <w:szCs w:val="20"/>
          <w:shd w:val="clear" w:color="auto" w:fill="FFFFFF"/>
        </w:rPr>
        <w:t>, pp.314-324.</w:t>
      </w:r>
    </w:p>
    <w:p w14:paraId="11C6BFD8" w14:textId="4B2A484D" w:rsidR="00CD2631" w:rsidRDefault="00CD2631" w:rsidP="00440181">
      <w:pPr>
        <w:pStyle w:val="Bibliography"/>
        <w:rPr>
          <w:sz w:val="20"/>
          <w:szCs w:val="20"/>
          <w:lang w:val="en-GB"/>
        </w:rPr>
      </w:pPr>
      <w:r>
        <w:rPr>
          <w:sz w:val="20"/>
          <w:szCs w:val="20"/>
          <w:lang w:val="en-GB"/>
        </w:rPr>
        <w:t xml:space="preserve">27. </w:t>
      </w:r>
      <w:r w:rsidRPr="005C2CC5">
        <w:rPr>
          <w:sz w:val="20"/>
          <w:szCs w:val="20"/>
          <w:lang w:val="en-GB"/>
        </w:rPr>
        <w:t xml:space="preserve">Tchaikovskaya, O. N., </w:t>
      </w:r>
      <w:proofErr w:type="spellStart"/>
      <w:r w:rsidRPr="005C2CC5">
        <w:rPr>
          <w:sz w:val="20"/>
          <w:szCs w:val="20"/>
          <w:lang w:val="en-GB"/>
        </w:rPr>
        <w:t>Bocharnikova</w:t>
      </w:r>
      <w:proofErr w:type="spellEnd"/>
      <w:r w:rsidRPr="005C2CC5">
        <w:rPr>
          <w:sz w:val="20"/>
          <w:szCs w:val="20"/>
          <w:lang w:val="en-GB"/>
        </w:rPr>
        <w:t>, E. N., Solomonov, V. I., Makarova, A. S., Orlov, A. N., Osipov, V. V., &amp; Chaikovsky, S. A. (</w:t>
      </w:r>
      <w:r w:rsidRPr="00440181">
        <w:rPr>
          <w:rFonts w:ascii="Times New Roman" w:hAnsi="Times New Roman" w:cs="Times New Roman"/>
          <w:sz w:val="24"/>
        </w:rPr>
        <w:t>2023</w:t>
      </w:r>
      <w:r w:rsidRPr="005C2CC5">
        <w:rPr>
          <w:sz w:val="20"/>
          <w:szCs w:val="20"/>
          <w:lang w:val="en-GB"/>
        </w:rPr>
        <w:t xml:space="preserve">). Effects of a high-intensity electron beam on antibiotic in aqueous solution. Bulletin of </w:t>
      </w:r>
      <w:proofErr w:type="spellStart"/>
      <w:r w:rsidRPr="005C2CC5">
        <w:rPr>
          <w:sz w:val="20"/>
          <w:szCs w:val="20"/>
          <w:lang w:val="en-GB"/>
        </w:rPr>
        <w:t>the</w:t>
      </w:r>
      <w:r>
        <w:rPr>
          <w:sz w:val="20"/>
          <w:szCs w:val="20"/>
          <w:lang w:val="en-GB"/>
        </w:rPr>
        <w:t>e</w:t>
      </w:r>
      <w:proofErr w:type="spellEnd"/>
      <w:r>
        <w:rPr>
          <w:sz w:val="20"/>
          <w:szCs w:val="20"/>
          <w:lang w:val="en-GB"/>
        </w:rPr>
        <w:t xml:space="preserve"> </w:t>
      </w:r>
      <w:r w:rsidRPr="005C2CC5">
        <w:rPr>
          <w:sz w:val="20"/>
          <w:szCs w:val="20"/>
          <w:lang w:val="en-GB"/>
        </w:rPr>
        <w:t>Russian Academy of Sciences: Physics, 87(</w:t>
      </w:r>
      <w:proofErr w:type="spellStart"/>
      <w:r w:rsidRPr="005C2CC5">
        <w:rPr>
          <w:sz w:val="20"/>
          <w:szCs w:val="20"/>
          <w:lang w:val="en-GB"/>
        </w:rPr>
        <w:t>Suppl</w:t>
      </w:r>
      <w:proofErr w:type="spellEnd"/>
      <w:r w:rsidRPr="005C2CC5">
        <w:rPr>
          <w:sz w:val="20"/>
          <w:szCs w:val="20"/>
          <w:lang w:val="en-GB"/>
        </w:rPr>
        <w:t xml:space="preserve"> 2), S217-S221.</w:t>
      </w:r>
    </w:p>
    <w:p w14:paraId="1E870253" w14:textId="77777777" w:rsidR="00CD2631" w:rsidRPr="00343885" w:rsidRDefault="00CD2631" w:rsidP="00343885">
      <w:pPr>
        <w:spacing w:line="360" w:lineRule="auto"/>
        <w:jc w:val="both"/>
        <w:rPr>
          <w:rFonts w:ascii="Times New Roman" w:hAnsi="Times New Roman" w:cs="Times New Roman"/>
          <w:sz w:val="24"/>
          <w:szCs w:val="24"/>
        </w:rPr>
      </w:pPr>
    </w:p>
    <w:p w14:paraId="0EF79950" w14:textId="006FB587" w:rsidR="00DA588A" w:rsidRDefault="00DA588A" w:rsidP="00195F34">
      <w:pPr>
        <w:rPr>
          <w:rFonts w:ascii="Times New Roman" w:hAnsi="Times New Roman" w:cs="Times New Roman"/>
          <w:sz w:val="24"/>
          <w:szCs w:val="24"/>
        </w:rPr>
      </w:pPr>
    </w:p>
    <w:p w14:paraId="009242AD" w14:textId="77777777" w:rsidR="006A043B" w:rsidRDefault="006A043B" w:rsidP="00195F34">
      <w:pPr>
        <w:rPr>
          <w:rFonts w:ascii="Times New Roman" w:hAnsi="Times New Roman" w:cs="Times New Roman"/>
          <w:sz w:val="24"/>
          <w:szCs w:val="24"/>
        </w:rPr>
      </w:pPr>
    </w:p>
    <w:p w14:paraId="40A3101F" w14:textId="77777777" w:rsidR="006A043B" w:rsidRDefault="006A043B" w:rsidP="00195F34">
      <w:pPr>
        <w:rPr>
          <w:rFonts w:ascii="Times New Roman" w:hAnsi="Times New Roman" w:cs="Times New Roman"/>
          <w:sz w:val="24"/>
          <w:szCs w:val="24"/>
        </w:rPr>
      </w:pPr>
    </w:p>
    <w:p w14:paraId="23B05F67" w14:textId="77777777" w:rsidR="006A043B" w:rsidRDefault="006A043B" w:rsidP="00195F34">
      <w:pPr>
        <w:rPr>
          <w:rFonts w:ascii="Times New Roman" w:hAnsi="Times New Roman" w:cs="Times New Roman"/>
          <w:sz w:val="24"/>
          <w:szCs w:val="24"/>
        </w:rPr>
      </w:pPr>
    </w:p>
    <w:p w14:paraId="458993A8" w14:textId="77777777" w:rsidR="0046662D" w:rsidRDefault="0046662D" w:rsidP="006A043B">
      <w:pPr>
        <w:pStyle w:val="NoSpacing"/>
        <w:spacing w:line="360" w:lineRule="auto"/>
        <w:rPr>
          <w:rFonts w:ascii="Times New Roman" w:hAnsi="Times New Roman" w:cs="Times New Roman"/>
          <w:sz w:val="24"/>
          <w:szCs w:val="24"/>
        </w:rPr>
      </w:pPr>
    </w:p>
    <w:p w14:paraId="7622C206" w14:textId="77777777" w:rsidR="0046662D" w:rsidRDefault="0046662D">
      <w:pPr>
        <w:rPr>
          <w:rFonts w:ascii="Times New Roman" w:hAnsi="Times New Roman" w:cs="Times New Roman"/>
          <w:sz w:val="24"/>
          <w:szCs w:val="24"/>
        </w:rPr>
      </w:pPr>
      <w:r>
        <w:rPr>
          <w:rFonts w:ascii="Times New Roman" w:hAnsi="Times New Roman" w:cs="Times New Roman"/>
          <w:sz w:val="24"/>
          <w:szCs w:val="24"/>
        </w:rPr>
        <w:br w:type="page"/>
      </w:r>
    </w:p>
    <w:p w14:paraId="2AA8BE20" w14:textId="49F27942" w:rsidR="006A043B" w:rsidRPr="00343885" w:rsidRDefault="006A043B" w:rsidP="006A043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lastRenderedPageBreak/>
        <w:t>Table: 1. Chloramphenicol degradation by EBI</w:t>
      </w:r>
    </w:p>
    <w:p w14:paraId="2692A5FF" w14:textId="77777777" w:rsidR="006A043B" w:rsidRDefault="006A043B" w:rsidP="006A043B"/>
    <w:tbl>
      <w:tblPr>
        <w:tblpPr w:leftFromText="180" w:rightFromText="180" w:vertAnchor="page" w:horzAnchor="margin" w:tblpXSpec="center" w:tblpY="3675"/>
        <w:tblW w:w="10462" w:type="dxa"/>
        <w:tblLayout w:type="fixed"/>
        <w:tblLook w:val="04A0" w:firstRow="1" w:lastRow="0" w:firstColumn="1" w:lastColumn="0" w:noHBand="0" w:noVBand="1"/>
      </w:tblPr>
      <w:tblGrid>
        <w:gridCol w:w="663"/>
        <w:gridCol w:w="922"/>
        <w:gridCol w:w="807"/>
        <w:gridCol w:w="807"/>
        <w:gridCol w:w="807"/>
        <w:gridCol w:w="807"/>
        <w:gridCol w:w="807"/>
        <w:gridCol w:w="807"/>
        <w:gridCol w:w="807"/>
        <w:gridCol w:w="807"/>
        <w:gridCol w:w="807"/>
        <w:gridCol w:w="807"/>
        <w:gridCol w:w="807"/>
      </w:tblGrid>
      <w:tr w:rsidR="0046662D" w:rsidRPr="00EC5D73" w14:paraId="10ED3FFD" w14:textId="77777777" w:rsidTr="008B42FE">
        <w:trPr>
          <w:cantSplit/>
          <w:trHeight w:val="1633"/>
        </w:trPr>
        <w:tc>
          <w:tcPr>
            <w:tcW w:w="663" w:type="dxa"/>
            <w:tcBorders>
              <w:top w:val="single" w:sz="8" w:space="0" w:color="auto"/>
              <w:left w:val="single" w:sz="8" w:space="0" w:color="000000"/>
              <w:bottom w:val="single" w:sz="8" w:space="0" w:color="000000"/>
              <w:right w:val="single" w:sz="8" w:space="0" w:color="000000"/>
            </w:tcBorders>
          </w:tcPr>
          <w:p w14:paraId="344ED0F8" w14:textId="77777777" w:rsidR="0046662D" w:rsidRPr="0036333D" w:rsidRDefault="0046662D" w:rsidP="008B42FE">
            <w:pPr>
              <w:pStyle w:val="NoSpacing"/>
              <w:spacing w:line="360" w:lineRule="auto"/>
              <w:rPr>
                <w:rFonts w:ascii="Times New Roman" w:hAnsi="Times New Roman" w:cs="Times New Roman"/>
                <w:b/>
                <w:bCs/>
                <w:sz w:val="14"/>
                <w:szCs w:val="14"/>
              </w:rPr>
            </w:pPr>
            <w:r w:rsidRPr="0036333D">
              <w:rPr>
                <w:rFonts w:ascii="Times New Roman" w:hAnsi="Times New Roman" w:cs="Times New Roman"/>
                <w:b/>
                <w:bCs/>
                <w:sz w:val="14"/>
                <w:szCs w:val="14"/>
              </w:rPr>
              <w:t>CAP Conc.</w:t>
            </w:r>
          </w:p>
          <w:p w14:paraId="4EB38D30" w14:textId="77777777" w:rsidR="0046662D" w:rsidRPr="0036333D" w:rsidRDefault="0046662D" w:rsidP="008B42FE">
            <w:pPr>
              <w:pStyle w:val="NoSpacing"/>
              <w:spacing w:line="360" w:lineRule="auto"/>
              <w:rPr>
                <w:rFonts w:ascii="Times New Roman" w:hAnsi="Times New Roman" w:cs="Times New Roman"/>
                <w:b/>
                <w:bCs/>
                <w:sz w:val="14"/>
                <w:szCs w:val="14"/>
              </w:rPr>
            </w:pPr>
            <w:r w:rsidRPr="0036333D">
              <w:rPr>
                <w:rFonts w:ascii="Times New Roman" w:hAnsi="Times New Roman" w:cs="Times New Roman"/>
                <w:b/>
                <w:bCs/>
                <w:sz w:val="14"/>
                <w:szCs w:val="14"/>
              </w:rPr>
              <w:t>µg/100</w:t>
            </w:r>
          </w:p>
        </w:tc>
        <w:tc>
          <w:tcPr>
            <w:tcW w:w="922" w:type="dxa"/>
            <w:tcBorders>
              <w:top w:val="single" w:sz="8" w:space="0" w:color="auto"/>
              <w:left w:val="single" w:sz="8" w:space="0" w:color="000000"/>
              <w:bottom w:val="single" w:sz="8" w:space="0" w:color="000000"/>
              <w:right w:val="single" w:sz="8" w:space="0" w:color="000000"/>
            </w:tcBorders>
            <w:hideMark/>
          </w:tcPr>
          <w:p w14:paraId="593C5522"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Control</w:t>
            </w:r>
          </w:p>
        </w:tc>
        <w:tc>
          <w:tcPr>
            <w:tcW w:w="807" w:type="dxa"/>
            <w:tcBorders>
              <w:top w:val="single" w:sz="8" w:space="0" w:color="auto"/>
              <w:left w:val="nil"/>
              <w:bottom w:val="single" w:sz="8" w:space="0" w:color="000000"/>
              <w:right w:val="single" w:sz="8" w:space="0" w:color="000000"/>
            </w:tcBorders>
            <w:hideMark/>
          </w:tcPr>
          <w:p w14:paraId="7A9AEC5D"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0.5kGy</w:t>
            </w:r>
          </w:p>
        </w:tc>
        <w:tc>
          <w:tcPr>
            <w:tcW w:w="807" w:type="dxa"/>
            <w:tcBorders>
              <w:top w:val="single" w:sz="8" w:space="0" w:color="auto"/>
              <w:left w:val="nil"/>
              <w:bottom w:val="single" w:sz="8" w:space="0" w:color="000000"/>
              <w:right w:val="single" w:sz="8" w:space="0" w:color="000000"/>
            </w:tcBorders>
            <w:hideMark/>
          </w:tcPr>
          <w:p w14:paraId="246AA505"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1.0kGy</w:t>
            </w:r>
          </w:p>
        </w:tc>
        <w:tc>
          <w:tcPr>
            <w:tcW w:w="807" w:type="dxa"/>
            <w:tcBorders>
              <w:top w:val="single" w:sz="8" w:space="0" w:color="auto"/>
              <w:left w:val="nil"/>
              <w:bottom w:val="single" w:sz="8" w:space="0" w:color="000000"/>
              <w:right w:val="single" w:sz="8" w:space="0" w:color="000000"/>
            </w:tcBorders>
            <w:hideMark/>
          </w:tcPr>
          <w:p w14:paraId="2A4986C3"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1.5kGy</w:t>
            </w:r>
          </w:p>
        </w:tc>
        <w:tc>
          <w:tcPr>
            <w:tcW w:w="807" w:type="dxa"/>
            <w:tcBorders>
              <w:top w:val="single" w:sz="8" w:space="0" w:color="auto"/>
              <w:left w:val="nil"/>
              <w:bottom w:val="single" w:sz="8" w:space="0" w:color="000000"/>
              <w:right w:val="single" w:sz="8" w:space="0" w:color="000000"/>
            </w:tcBorders>
            <w:hideMark/>
          </w:tcPr>
          <w:p w14:paraId="61C3A76D"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2.0kGy</w:t>
            </w:r>
          </w:p>
        </w:tc>
        <w:tc>
          <w:tcPr>
            <w:tcW w:w="807" w:type="dxa"/>
            <w:tcBorders>
              <w:top w:val="single" w:sz="8" w:space="0" w:color="auto"/>
              <w:left w:val="nil"/>
              <w:bottom w:val="single" w:sz="8" w:space="0" w:color="000000"/>
              <w:right w:val="single" w:sz="8" w:space="0" w:color="000000"/>
            </w:tcBorders>
            <w:hideMark/>
          </w:tcPr>
          <w:p w14:paraId="29FAF078"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2.5kGy</w:t>
            </w:r>
          </w:p>
        </w:tc>
        <w:tc>
          <w:tcPr>
            <w:tcW w:w="807" w:type="dxa"/>
            <w:tcBorders>
              <w:top w:val="single" w:sz="8" w:space="0" w:color="auto"/>
              <w:left w:val="nil"/>
              <w:bottom w:val="single" w:sz="8" w:space="0" w:color="000000"/>
              <w:right w:val="single" w:sz="8" w:space="0" w:color="000000"/>
            </w:tcBorders>
            <w:hideMark/>
          </w:tcPr>
          <w:p w14:paraId="1AE7E657"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5.0kGy</w:t>
            </w:r>
          </w:p>
        </w:tc>
        <w:tc>
          <w:tcPr>
            <w:tcW w:w="807" w:type="dxa"/>
            <w:tcBorders>
              <w:top w:val="single" w:sz="8" w:space="0" w:color="auto"/>
              <w:left w:val="nil"/>
              <w:bottom w:val="single" w:sz="8" w:space="0" w:color="000000"/>
              <w:right w:val="single" w:sz="8" w:space="0" w:color="000000"/>
            </w:tcBorders>
            <w:hideMark/>
          </w:tcPr>
          <w:p w14:paraId="4D7C5AAA"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5.5kGy</w:t>
            </w:r>
          </w:p>
        </w:tc>
        <w:tc>
          <w:tcPr>
            <w:tcW w:w="807" w:type="dxa"/>
            <w:tcBorders>
              <w:top w:val="single" w:sz="8" w:space="0" w:color="auto"/>
              <w:left w:val="nil"/>
              <w:bottom w:val="single" w:sz="8" w:space="0" w:color="000000"/>
              <w:right w:val="single" w:sz="8" w:space="0" w:color="000000"/>
            </w:tcBorders>
            <w:hideMark/>
          </w:tcPr>
          <w:p w14:paraId="36AF1B67"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10kGy</w:t>
            </w:r>
          </w:p>
        </w:tc>
        <w:tc>
          <w:tcPr>
            <w:tcW w:w="807" w:type="dxa"/>
            <w:tcBorders>
              <w:top w:val="single" w:sz="8" w:space="0" w:color="auto"/>
              <w:left w:val="nil"/>
              <w:bottom w:val="single" w:sz="8" w:space="0" w:color="000000"/>
              <w:right w:val="single" w:sz="8" w:space="0" w:color="000000"/>
            </w:tcBorders>
            <w:hideMark/>
          </w:tcPr>
          <w:p w14:paraId="76BB0A9E"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20kGy</w:t>
            </w:r>
          </w:p>
        </w:tc>
        <w:tc>
          <w:tcPr>
            <w:tcW w:w="807" w:type="dxa"/>
            <w:tcBorders>
              <w:top w:val="single" w:sz="8" w:space="0" w:color="auto"/>
              <w:left w:val="nil"/>
              <w:bottom w:val="single" w:sz="8" w:space="0" w:color="000000"/>
              <w:right w:val="single" w:sz="8" w:space="0" w:color="000000"/>
            </w:tcBorders>
            <w:hideMark/>
          </w:tcPr>
          <w:p w14:paraId="00934531"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30kGy</w:t>
            </w:r>
          </w:p>
        </w:tc>
        <w:tc>
          <w:tcPr>
            <w:tcW w:w="807" w:type="dxa"/>
            <w:tcBorders>
              <w:top w:val="single" w:sz="8" w:space="0" w:color="auto"/>
              <w:left w:val="nil"/>
              <w:bottom w:val="single" w:sz="8" w:space="0" w:color="000000"/>
              <w:right w:val="single" w:sz="8" w:space="0" w:color="000000"/>
            </w:tcBorders>
            <w:hideMark/>
          </w:tcPr>
          <w:p w14:paraId="2CD20A98"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40kGy</w:t>
            </w:r>
          </w:p>
        </w:tc>
      </w:tr>
      <w:tr w:rsidR="0046662D" w:rsidRPr="00EC5D73" w14:paraId="771DCA56" w14:textId="77777777" w:rsidTr="008B42FE">
        <w:trPr>
          <w:trHeight w:val="275"/>
        </w:trPr>
        <w:tc>
          <w:tcPr>
            <w:tcW w:w="663" w:type="dxa"/>
            <w:tcBorders>
              <w:top w:val="nil"/>
              <w:left w:val="single" w:sz="8" w:space="0" w:color="000000"/>
              <w:bottom w:val="single" w:sz="8" w:space="0" w:color="000000"/>
              <w:right w:val="single" w:sz="8" w:space="0" w:color="000000"/>
            </w:tcBorders>
          </w:tcPr>
          <w:p w14:paraId="78BC98EC" w14:textId="77777777" w:rsidR="0046662D" w:rsidRPr="0036333D" w:rsidRDefault="0046662D" w:rsidP="008B42FE">
            <w:pPr>
              <w:pStyle w:val="NoSpacing"/>
              <w:spacing w:line="360" w:lineRule="auto"/>
              <w:rPr>
                <w:rFonts w:ascii="Times New Roman" w:hAnsi="Times New Roman" w:cs="Times New Roman"/>
                <w:b/>
                <w:bCs/>
                <w:sz w:val="14"/>
                <w:szCs w:val="14"/>
              </w:rPr>
            </w:pPr>
            <w:r w:rsidRPr="0036333D">
              <w:rPr>
                <w:rFonts w:ascii="Times New Roman" w:hAnsi="Times New Roman" w:cs="Times New Roman"/>
                <w:b/>
                <w:bCs/>
                <w:sz w:val="14"/>
                <w:szCs w:val="14"/>
              </w:rPr>
              <w:t>5000</w:t>
            </w:r>
          </w:p>
        </w:tc>
        <w:tc>
          <w:tcPr>
            <w:tcW w:w="922" w:type="dxa"/>
            <w:tcBorders>
              <w:top w:val="nil"/>
              <w:left w:val="single" w:sz="8" w:space="0" w:color="000000"/>
              <w:bottom w:val="single" w:sz="8" w:space="0" w:color="000000"/>
              <w:right w:val="single" w:sz="8" w:space="0" w:color="000000"/>
            </w:tcBorders>
            <w:hideMark/>
          </w:tcPr>
          <w:p w14:paraId="76438D48"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40.5±0.71</w:t>
            </w:r>
          </w:p>
        </w:tc>
        <w:tc>
          <w:tcPr>
            <w:tcW w:w="807" w:type="dxa"/>
            <w:tcBorders>
              <w:top w:val="nil"/>
              <w:left w:val="nil"/>
              <w:bottom w:val="single" w:sz="8" w:space="0" w:color="000000"/>
              <w:right w:val="single" w:sz="8" w:space="0" w:color="000000"/>
            </w:tcBorders>
            <w:hideMark/>
          </w:tcPr>
          <w:p w14:paraId="188FE8D6"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31±1.41</w:t>
            </w:r>
          </w:p>
        </w:tc>
        <w:tc>
          <w:tcPr>
            <w:tcW w:w="807" w:type="dxa"/>
            <w:tcBorders>
              <w:top w:val="nil"/>
              <w:left w:val="nil"/>
              <w:bottom w:val="single" w:sz="8" w:space="0" w:color="000000"/>
              <w:right w:val="single" w:sz="8" w:space="0" w:color="000000"/>
            </w:tcBorders>
            <w:hideMark/>
          </w:tcPr>
          <w:p w14:paraId="63E41FF3"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33±1.41</w:t>
            </w:r>
          </w:p>
        </w:tc>
        <w:tc>
          <w:tcPr>
            <w:tcW w:w="807" w:type="dxa"/>
            <w:tcBorders>
              <w:top w:val="nil"/>
              <w:left w:val="nil"/>
              <w:bottom w:val="single" w:sz="8" w:space="0" w:color="000000"/>
              <w:right w:val="single" w:sz="8" w:space="0" w:color="000000"/>
            </w:tcBorders>
            <w:hideMark/>
          </w:tcPr>
          <w:p w14:paraId="41AA8EAF"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33±1.41</w:t>
            </w:r>
          </w:p>
        </w:tc>
        <w:tc>
          <w:tcPr>
            <w:tcW w:w="807" w:type="dxa"/>
            <w:tcBorders>
              <w:top w:val="nil"/>
              <w:left w:val="nil"/>
              <w:bottom w:val="single" w:sz="8" w:space="0" w:color="000000"/>
              <w:right w:val="single" w:sz="8" w:space="0" w:color="000000"/>
            </w:tcBorders>
            <w:hideMark/>
          </w:tcPr>
          <w:p w14:paraId="4730AE82"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34.5±0.71</w:t>
            </w:r>
          </w:p>
        </w:tc>
        <w:tc>
          <w:tcPr>
            <w:tcW w:w="807" w:type="dxa"/>
            <w:tcBorders>
              <w:top w:val="nil"/>
              <w:left w:val="nil"/>
              <w:bottom w:val="single" w:sz="8" w:space="0" w:color="000000"/>
              <w:right w:val="single" w:sz="8" w:space="0" w:color="000000"/>
            </w:tcBorders>
            <w:hideMark/>
          </w:tcPr>
          <w:p w14:paraId="31A39063"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38.5±0.71</w:t>
            </w:r>
          </w:p>
        </w:tc>
        <w:tc>
          <w:tcPr>
            <w:tcW w:w="807" w:type="dxa"/>
            <w:tcBorders>
              <w:top w:val="nil"/>
              <w:left w:val="nil"/>
              <w:bottom w:val="single" w:sz="8" w:space="0" w:color="000000"/>
              <w:right w:val="single" w:sz="8" w:space="0" w:color="000000"/>
            </w:tcBorders>
            <w:hideMark/>
          </w:tcPr>
          <w:p w14:paraId="6AE6F3AA"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30.5±0.71</w:t>
            </w:r>
          </w:p>
        </w:tc>
        <w:tc>
          <w:tcPr>
            <w:tcW w:w="807" w:type="dxa"/>
            <w:tcBorders>
              <w:top w:val="nil"/>
              <w:left w:val="nil"/>
              <w:bottom w:val="single" w:sz="8" w:space="0" w:color="000000"/>
              <w:right w:val="single" w:sz="8" w:space="0" w:color="000000"/>
            </w:tcBorders>
            <w:hideMark/>
          </w:tcPr>
          <w:p w14:paraId="391EA876"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31.5±0.71</w:t>
            </w:r>
          </w:p>
        </w:tc>
        <w:tc>
          <w:tcPr>
            <w:tcW w:w="807" w:type="dxa"/>
            <w:tcBorders>
              <w:top w:val="nil"/>
              <w:left w:val="nil"/>
              <w:bottom w:val="single" w:sz="8" w:space="0" w:color="000000"/>
              <w:right w:val="single" w:sz="8" w:space="0" w:color="000000"/>
            </w:tcBorders>
            <w:hideMark/>
          </w:tcPr>
          <w:p w14:paraId="68317954"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34.5±2.12</w:t>
            </w:r>
          </w:p>
        </w:tc>
        <w:tc>
          <w:tcPr>
            <w:tcW w:w="807" w:type="dxa"/>
            <w:tcBorders>
              <w:top w:val="nil"/>
              <w:left w:val="nil"/>
              <w:bottom w:val="single" w:sz="8" w:space="0" w:color="000000"/>
              <w:right w:val="single" w:sz="8" w:space="0" w:color="000000"/>
            </w:tcBorders>
            <w:hideMark/>
          </w:tcPr>
          <w:p w14:paraId="4D0869C6"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40.5±0.71</w:t>
            </w:r>
          </w:p>
        </w:tc>
        <w:tc>
          <w:tcPr>
            <w:tcW w:w="807" w:type="dxa"/>
            <w:tcBorders>
              <w:top w:val="nil"/>
              <w:left w:val="nil"/>
              <w:bottom w:val="single" w:sz="8" w:space="0" w:color="000000"/>
              <w:right w:val="single" w:sz="8" w:space="0" w:color="000000"/>
            </w:tcBorders>
            <w:hideMark/>
          </w:tcPr>
          <w:p w14:paraId="56CEBE19"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39.5±0.71</w:t>
            </w:r>
          </w:p>
        </w:tc>
        <w:tc>
          <w:tcPr>
            <w:tcW w:w="807" w:type="dxa"/>
            <w:tcBorders>
              <w:top w:val="nil"/>
              <w:left w:val="nil"/>
              <w:bottom w:val="single" w:sz="8" w:space="0" w:color="000000"/>
              <w:right w:val="single" w:sz="8" w:space="0" w:color="000000"/>
            </w:tcBorders>
            <w:hideMark/>
          </w:tcPr>
          <w:p w14:paraId="545FB7DF"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42±1.41</w:t>
            </w:r>
          </w:p>
        </w:tc>
      </w:tr>
      <w:tr w:rsidR="0046662D" w:rsidRPr="00EC5D73" w14:paraId="604FE339" w14:textId="77777777" w:rsidTr="008B42FE">
        <w:trPr>
          <w:trHeight w:val="153"/>
        </w:trPr>
        <w:tc>
          <w:tcPr>
            <w:tcW w:w="663" w:type="dxa"/>
            <w:tcBorders>
              <w:top w:val="nil"/>
              <w:left w:val="single" w:sz="8" w:space="0" w:color="000000"/>
              <w:bottom w:val="single" w:sz="8" w:space="0" w:color="000000"/>
              <w:right w:val="single" w:sz="8" w:space="0" w:color="000000"/>
            </w:tcBorders>
          </w:tcPr>
          <w:p w14:paraId="4CE84DC3" w14:textId="77777777" w:rsidR="0046662D" w:rsidRPr="0036333D" w:rsidRDefault="0046662D" w:rsidP="008B42FE">
            <w:pPr>
              <w:pStyle w:val="NoSpacing"/>
              <w:spacing w:line="360" w:lineRule="auto"/>
              <w:rPr>
                <w:rFonts w:ascii="Times New Roman" w:hAnsi="Times New Roman" w:cs="Times New Roman"/>
                <w:b/>
                <w:bCs/>
                <w:sz w:val="14"/>
                <w:szCs w:val="14"/>
              </w:rPr>
            </w:pPr>
            <w:r w:rsidRPr="0036333D">
              <w:rPr>
                <w:rFonts w:ascii="Times New Roman" w:hAnsi="Times New Roman" w:cs="Times New Roman"/>
                <w:b/>
                <w:bCs/>
                <w:sz w:val="14"/>
                <w:szCs w:val="14"/>
              </w:rPr>
              <w:t>2500</w:t>
            </w:r>
          </w:p>
        </w:tc>
        <w:tc>
          <w:tcPr>
            <w:tcW w:w="922" w:type="dxa"/>
            <w:tcBorders>
              <w:top w:val="nil"/>
              <w:left w:val="single" w:sz="8" w:space="0" w:color="000000"/>
              <w:bottom w:val="single" w:sz="8" w:space="0" w:color="000000"/>
              <w:right w:val="single" w:sz="8" w:space="0" w:color="000000"/>
            </w:tcBorders>
            <w:hideMark/>
          </w:tcPr>
          <w:p w14:paraId="06FC09E2"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37.5±0.71</w:t>
            </w:r>
          </w:p>
        </w:tc>
        <w:tc>
          <w:tcPr>
            <w:tcW w:w="807" w:type="dxa"/>
            <w:tcBorders>
              <w:top w:val="nil"/>
              <w:left w:val="nil"/>
              <w:bottom w:val="single" w:sz="8" w:space="0" w:color="000000"/>
              <w:right w:val="single" w:sz="8" w:space="0" w:color="000000"/>
            </w:tcBorders>
            <w:hideMark/>
          </w:tcPr>
          <w:p w14:paraId="0E13E6FD"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30±1.41</w:t>
            </w:r>
          </w:p>
        </w:tc>
        <w:tc>
          <w:tcPr>
            <w:tcW w:w="807" w:type="dxa"/>
            <w:tcBorders>
              <w:top w:val="nil"/>
              <w:left w:val="nil"/>
              <w:bottom w:val="single" w:sz="8" w:space="0" w:color="000000"/>
              <w:right w:val="single" w:sz="8" w:space="0" w:color="000000"/>
            </w:tcBorders>
            <w:hideMark/>
          </w:tcPr>
          <w:p w14:paraId="2C91411E"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31.5±2.12</w:t>
            </w:r>
          </w:p>
        </w:tc>
        <w:tc>
          <w:tcPr>
            <w:tcW w:w="807" w:type="dxa"/>
            <w:tcBorders>
              <w:top w:val="nil"/>
              <w:left w:val="nil"/>
              <w:bottom w:val="single" w:sz="8" w:space="0" w:color="000000"/>
              <w:right w:val="single" w:sz="8" w:space="0" w:color="000000"/>
            </w:tcBorders>
            <w:hideMark/>
          </w:tcPr>
          <w:p w14:paraId="5B7BE121"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32±1.41</w:t>
            </w:r>
          </w:p>
        </w:tc>
        <w:tc>
          <w:tcPr>
            <w:tcW w:w="807" w:type="dxa"/>
            <w:tcBorders>
              <w:top w:val="nil"/>
              <w:left w:val="nil"/>
              <w:bottom w:val="single" w:sz="8" w:space="0" w:color="000000"/>
              <w:right w:val="single" w:sz="8" w:space="0" w:color="000000"/>
            </w:tcBorders>
            <w:hideMark/>
          </w:tcPr>
          <w:p w14:paraId="3A78A8E6"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32.5±0.71</w:t>
            </w:r>
          </w:p>
        </w:tc>
        <w:tc>
          <w:tcPr>
            <w:tcW w:w="807" w:type="dxa"/>
            <w:tcBorders>
              <w:top w:val="nil"/>
              <w:left w:val="nil"/>
              <w:bottom w:val="single" w:sz="8" w:space="0" w:color="000000"/>
              <w:right w:val="single" w:sz="8" w:space="0" w:color="000000"/>
            </w:tcBorders>
            <w:hideMark/>
          </w:tcPr>
          <w:p w14:paraId="41F44756"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34.5±0.71</w:t>
            </w:r>
          </w:p>
        </w:tc>
        <w:tc>
          <w:tcPr>
            <w:tcW w:w="807" w:type="dxa"/>
            <w:tcBorders>
              <w:top w:val="nil"/>
              <w:left w:val="nil"/>
              <w:bottom w:val="single" w:sz="8" w:space="0" w:color="000000"/>
              <w:right w:val="single" w:sz="8" w:space="0" w:color="000000"/>
            </w:tcBorders>
            <w:hideMark/>
          </w:tcPr>
          <w:p w14:paraId="53618888"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29.5±0.71</w:t>
            </w:r>
          </w:p>
        </w:tc>
        <w:tc>
          <w:tcPr>
            <w:tcW w:w="807" w:type="dxa"/>
            <w:tcBorders>
              <w:top w:val="nil"/>
              <w:left w:val="nil"/>
              <w:bottom w:val="single" w:sz="8" w:space="0" w:color="000000"/>
              <w:right w:val="single" w:sz="8" w:space="0" w:color="000000"/>
            </w:tcBorders>
            <w:hideMark/>
          </w:tcPr>
          <w:p w14:paraId="5FBF9E86"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28±1.41</w:t>
            </w:r>
          </w:p>
        </w:tc>
        <w:tc>
          <w:tcPr>
            <w:tcW w:w="807" w:type="dxa"/>
            <w:tcBorders>
              <w:top w:val="nil"/>
              <w:left w:val="nil"/>
              <w:bottom w:val="single" w:sz="8" w:space="0" w:color="000000"/>
              <w:right w:val="single" w:sz="8" w:space="0" w:color="000000"/>
            </w:tcBorders>
            <w:hideMark/>
          </w:tcPr>
          <w:p w14:paraId="553161B5"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31.5±0.71</w:t>
            </w:r>
          </w:p>
        </w:tc>
        <w:tc>
          <w:tcPr>
            <w:tcW w:w="807" w:type="dxa"/>
            <w:tcBorders>
              <w:top w:val="nil"/>
              <w:left w:val="nil"/>
              <w:bottom w:val="single" w:sz="8" w:space="0" w:color="000000"/>
              <w:right w:val="single" w:sz="8" w:space="0" w:color="000000"/>
            </w:tcBorders>
            <w:hideMark/>
          </w:tcPr>
          <w:p w14:paraId="627E2D3A"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36.5±0.71</w:t>
            </w:r>
          </w:p>
        </w:tc>
        <w:tc>
          <w:tcPr>
            <w:tcW w:w="807" w:type="dxa"/>
            <w:tcBorders>
              <w:top w:val="nil"/>
              <w:left w:val="nil"/>
              <w:bottom w:val="single" w:sz="8" w:space="0" w:color="000000"/>
              <w:right w:val="single" w:sz="8" w:space="0" w:color="000000"/>
            </w:tcBorders>
            <w:hideMark/>
          </w:tcPr>
          <w:p w14:paraId="1D99E70F"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35±1.41</w:t>
            </w:r>
          </w:p>
        </w:tc>
        <w:tc>
          <w:tcPr>
            <w:tcW w:w="807" w:type="dxa"/>
            <w:tcBorders>
              <w:top w:val="nil"/>
              <w:left w:val="nil"/>
              <w:bottom w:val="single" w:sz="8" w:space="0" w:color="000000"/>
              <w:right w:val="single" w:sz="8" w:space="0" w:color="000000"/>
            </w:tcBorders>
            <w:hideMark/>
          </w:tcPr>
          <w:p w14:paraId="3441EDE3"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35.5±0.71</w:t>
            </w:r>
          </w:p>
        </w:tc>
      </w:tr>
      <w:tr w:rsidR="0046662D" w:rsidRPr="00EC5D73" w14:paraId="612DC4FB" w14:textId="77777777" w:rsidTr="008B42FE">
        <w:trPr>
          <w:trHeight w:val="228"/>
        </w:trPr>
        <w:tc>
          <w:tcPr>
            <w:tcW w:w="663" w:type="dxa"/>
            <w:tcBorders>
              <w:top w:val="nil"/>
              <w:left w:val="single" w:sz="8" w:space="0" w:color="000000"/>
              <w:bottom w:val="single" w:sz="8" w:space="0" w:color="000000"/>
              <w:right w:val="single" w:sz="8" w:space="0" w:color="000000"/>
            </w:tcBorders>
          </w:tcPr>
          <w:p w14:paraId="73CCDFAA" w14:textId="77777777" w:rsidR="0046662D" w:rsidRPr="0036333D" w:rsidRDefault="0046662D" w:rsidP="008B42FE">
            <w:pPr>
              <w:pStyle w:val="NoSpacing"/>
              <w:spacing w:line="360" w:lineRule="auto"/>
              <w:rPr>
                <w:rFonts w:ascii="Times New Roman" w:hAnsi="Times New Roman" w:cs="Times New Roman"/>
                <w:b/>
                <w:bCs/>
                <w:sz w:val="14"/>
                <w:szCs w:val="14"/>
              </w:rPr>
            </w:pPr>
            <w:r w:rsidRPr="0036333D">
              <w:rPr>
                <w:rFonts w:ascii="Times New Roman" w:hAnsi="Times New Roman" w:cs="Times New Roman"/>
                <w:b/>
                <w:bCs/>
                <w:sz w:val="14"/>
                <w:szCs w:val="14"/>
              </w:rPr>
              <w:t>1250</w:t>
            </w:r>
          </w:p>
        </w:tc>
        <w:tc>
          <w:tcPr>
            <w:tcW w:w="922" w:type="dxa"/>
            <w:tcBorders>
              <w:top w:val="nil"/>
              <w:left w:val="single" w:sz="8" w:space="0" w:color="000000"/>
              <w:bottom w:val="single" w:sz="8" w:space="0" w:color="000000"/>
              <w:right w:val="single" w:sz="8" w:space="0" w:color="000000"/>
            </w:tcBorders>
            <w:hideMark/>
          </w:tcPr>
          <w:p w14:paraId="15AD746C"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37.5±2.12</w:t>
            </w:r>
          </w:p>
        </w:tc>
        <w:tc>
          <w:tcPr>
            <w:tcW w:w="807" w:type="dxa"/>
            <w:tcBorders>
              <w:top w:val="nil"/>
              <w:left w:val="nil"/>
              <w:bottom w:val="single" w:sz="8" w:space="0" w:color="000000"/>
              <w:right w:val="single" w:sz="8" w:space="0" w:color="000000"/>
            </w:tcBorders>
            <w:hideMark/>
          </w:tcPr>
          <w:p w14:paraId="3A5809DC"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32.5±0.71</w:t>
            </w:r>
          </w:p>
        </w:tc>
        <w:tc>
          <w:tcPr>
            <w:tcW w:w="807" w:type="dxa"/>
            <w:tcBorders>
              <w:top w:val="nil"/>
              <w:left w:val="nil"/>
              <w:bottom w:val="single" w:sz="8" w:space="0" w:color="000000"/>
              <w:right w:val="single" w:sz="8" w:space="0" w:color="000000"/>
            </w:tcBorders>
            <w:hideMark/>
          </w:tcPr>
          <w:p w14:paraId="5E7F005B"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31±1.41</w:t>
            </w:r>
          </w:p>
        </w:tc>
        <w:tc>
          <w:tcPr>
            <w:tcW w:w="807" w:type="dxa"/>
            <w:tcBorders>
              <w:top w:val="nil"/>
              <w:left w:val="nil"/>
              <w:bottom w:val="single" w:sz="8" w:space="0" w:color="000000"/>
              <w:right w:val="single" w:sz="8" w:space="0" w:color="000000"/>
            </w:tcBorders>
            <w:hideMark/>
          </w:tcPr>
          <w:p w14:paraId="493D8F2E"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31.5±2.12</w:t>
            </w:r>
          </w:p>
        </w:tc>
        <w:tc>
          <w:tcPr>
            <w:tcW w:w="807" w:type="dxa"/>
            <w:tcBorders>
              <w:top w:val="nil"/>
              <w:left w:val="nil"/>
              <w:bottom w:val="single" w:sz="8" w:space="0" w:color="000000"/>
              <w:right w:val="single" w:sz="8" w:space="0" w:color="000000"/>
            </w:tcBorders>
            <w:hideMark/>
          </w:tcPr>
          <w:p w14:paraId="59AAB5AB"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30.5±0.71</w:t>
            </w:r>
          </w:p>
        </w:tc>
        <w:tc>
          <w:tcPr>
            <w:tcW w:w="807" w:type="dxa"/>
            <w:tcBorders>
              <w:top w:val="nil"/>
              <w:left w:val="nil"/>
              <w:bottom w:val="single" w:sz="8" w:space="0" w:color="000000"/>
              <w:right w:val="single" w:sz="8" w:space="0" w:color="000000"/>
            </w:tcBorders>
            <w:hideMark/>
          </w:tcPr>
          <w:p w14:paraId="050858C9"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32±1.41</w:t>
            </w:r>
          </w:p>
        </w:tc>
        <w:tc>
          <w:tcPr>
            <w:tcW w:w="807" w:type="dxa"/>
            <w:tcBorders>
              <w:top w:val="nil"/>
              <w:left w:val="nil"/>
              <w:bottom w:val="single" w:sz="8" w:space="0" w:color="000000"/>
              <w:right w:val="single" w:sz="8" w:space="0" w:color="000000"/>
            </w:tcBorders>
            <w:hideMark/>
          </w:tcPr>
          <w:p w14:paraId="2C42CD92"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28±1.41</w:t>
            </w:r>
          </w:p>
        </w:tc>
        <w:tc>
          <w:tcPr>
            <w:tcW w:w="807" w:type="dxa"/>
            <w:tcBorders>
              <w:top w:val="nil"/>
              <w:left w:val="nil"/>
              <w:bottom w:val="single" w:sz="8" w:space="0" w:color="000000"/>
              <w:right w:val="single" w:sz="8" w:space="0" w:color="000000"/>
            </w:tcBorders>
            <w:hideMark/>
          </w:tcPr>
          <w:p w14:paraId="19D51682"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27.5±0.71</w:t>
            </w:r>
          </w:p>
        </w:tc>
        <w:tc>
          <w:tcPr>
            <w:tcW w:w="807" w:type="dxa"/>
            <w:tcBorders>
              <w:top w:val="nil"/>
              <w:left w:val="nil"/>
              <w:bottom w:val="single" w:sz="8" w:space="0" w:color="000000"/>
              <w:right w:val="single" w:sz="8" w:space="0" w:color="000000"/>
            </w:tcBorders>
            <w:hideMark/>
          </w:tcPr>
          <w:p w14:paraId="1ECD431C"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16±22.63</w:t>
            </w:r>
          </w:p>
        </w:tc>
        <w:tc>
          <w:tcPr>
            <w:tcW w:w="807" w:type="dxa"/>
            <w:tcBorders>
              <w:top w:val="nil"/>
              <w:left w:val="nil"/>
              <w:bottom w:val="single" w:sz="8" w:space="0" w:color="000000"/>
              <w:right w:val="single" w:sz="8" w:space="0" w:color="000000"/>
            </w:tcBorders>
            <w:hideMark/>
          </w:tcPr>
          <w:p w14:paraId="43944065"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36.5±0.71</w:t>
            </w:r>
          </w:p>
        </w:tc>
        <w:tc>
          <w:tcPr>
            <w:tcW w:w="807" w:type="dxa"/>
            <w:tcBorders>
              <w:top w:val="nil"/>
              <w:left w:val="nil"/>
              <w:bottom w:val="single" w:sz="8" w:space="0" w:color="000000"/>
              <w:right w:val="single" w:sz="8" w:space="0" w:color="000000"/>
            </w:tcBorders>
            <w:hideMark/>
          </w:tcPr>
          <w:p w14:paraId="29773783"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35.5±2.12</w:t>
            </w:r>
          </w:p>
        </w:tc>
        <w:tc>
          <w:tcPr>
            <w:tcW w:w="807" w:type="dxa"/>
            <w:tcBorders>
              <w:top w:val="nil"/>
              <w:left w:val="nil"/>
              <w:bottom w:val="single" w:sz="8" w:space="0" w:color="000000"/>
              <w:right w:val="single" w:sz="8" w:space="0" w:color="000000"/>
            </w:tcBorders>
            <w:hideMark/>
          </w:tcPr>
          <w:p w14:paraId="5D9967BE"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34±1.41</w:t>
            </w:r>
          </w:p>
        </w:tc>
      </w:tr>
      <w:tr w:rsidR="0046662D" w:rsidRPr="00EC5D73" w14:paraId="6F4AC7E9" w14:textId="77777777" w:rsidTr="008B42FE">
        <w:trPr>
          <w:trHeight w:val="305"/>
        </w:trPr>
        <w:tc>
          <w:tcPr>
            <w:tcW w:w="663" w:type="dxa"/>
            <w:tcBorders>
              <w:top w:val="nil"/>
              <w:left w:val="single" w:sz="8" w:space="0" w:color="000000"/>
              <w:bottom w:val="single" w:sz="8" w:space="0" w:color="000000"/>
              <w:right w:val="single" w:sz="8" w:space="0" w:color="000000"/>
            </w:tcBorders>
          </w:tcPr>
          <w:p w14:paraId="33EAACAC" w14:textId="77777777" w:rsidR="0046662D" w:rsidRPr="0036333D" w:rsidRDefault="0046662D" w:rsidP="008B42FE">
            <w:pPr>
              <w:pStyle w:val="NoSpacing"/>
              <w:spacing w:line="360" w:lineRule="auto"/>
              <w:rPr>
                <w:rFonts w:ascii="Times New Roman" w:hAnsi="Times New Roman" w:cs="Times New Roman"/>
                <w:b/>
                <w:bCs/>
                <w:sz w:val="14"/>
                <w:szCs w:val="14"/>
              </w:rPr>
            </w:pPr>
            <w:r w:rsidRPr="0036333D">
              <w:rPr>
                <w:rFonts w:ascii="Times New Roman" w:hAnsi="Times New Roman" w:cs="Times New Roman"/>
                <w:b/>
                <w:bCs/>
                <w:sz w:val="14"/>
                <w:szCs w:val="14"/>
              </w:rPr>
              <w:t>625</w:t>
            </w:r>
          </w:p>
        </w:tc>
        <w:tc>
          <w:tcPr>
            <w:tcW w:w="922" w:type="dxa"/>
            <w:tcBorders>
              <w:top w:val="nil"/>
              <w:left w:val="single" w:sz="8" w:space="0" w:color="000000"/>
              <w:bottom w:val="single" w:sz="8" w:space="0" w:color="000000"/>
              <w:right w:val="single" w:sz="8" w:space="0" w:color="000000"/>
            </w:tcBorders>
            <w:hideMark/>
          </w:tcPr>
          <w:p w14:paraId="4CEF1402"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36±0.00</w:t>
            </w:r>
          </w:p>
        </w:tc>
        <w:tc>
          <w:tcPr>
            <w:tcW w:w="807" w:type="dxa"/>
            <w:tcBorders>
              <w:top w:val="nil"/>
              <w:left w:val="nil"/>
              <w:bottom w:val="single" w:sz="8" w:space="0" w:color="000000"/>
              <w:right w:val="single" w:sz="8" w:space="0" w:color="000000"/>
            </w:tcBorders>
            <w:hideMark/>
          </w:tcPr>
          <w:p w14:paraId="0ADF5C2F"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31.5±0.71</w:t>
            </w:r>
          </w:p>
        </w:tc>
        <w:tc>
          <w:tcPr>
            <w:tcW w:w="807" w:type="dxa"/>
            <w:tcBorders>
              <w:top w:val="nil"/>
              <w:left w:val="nil"/>
              <w:bottom w:val="single" w:sz="8" w:space="0" w:color="000000"/>
              <w:right w:val="single" w:sz="8" w:space="0" w:color="000000"/>
            </w:tcBorders>
            <w:hideMark/>
          </w:tcPr>
          <w:p w14:paraId="35E0272E"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31.5±0.71</w:t>
            </w:r>
          </w:p>
        </w:tc>
        <w:tc>
          <w:tcPr>
            <w:tcW w:w="807" w:type="dxa"/>
            <w:tcBorders>
              <w:top w:val="nil"/>
              <w:left w:val="nil"/>
              <w:bottom w:val="single" w:sz="8" w:space="0" w:color="000000"/>
              <w:right w:val="single" w:sz="8" w:space="0" w:color="000000"/>
            </w:tcBorders>
            <w:hideMark/>
          </w:tcPr>
          <w:p w14:paraId="734BDAB6"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31±1.41</w:t>
            </w:r>
          </w:p>
        </w:tc>
        <w:tc>
          <w:tcPr>
            <w:tcW w:w="807" w:type="dxa"/>
            <w:tcBorders>
              <w:top w:val="nil"/>
              <w:left w:val="nil"/>
              <w:bottom w:val="single" w:sz="8" w:space="0" w:color="000000"/>
              <w:right w:val="single" w:sz="8" w:space="0" w:color="000000"/>
            </w:tcBorders>
            <w:hideMark/>
          </w:tcPr>
          <w:p w14:paraId="40127180"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29±1.41</w:t>
            </w:r>
          </w:p>
        </w:tc>
        <w:tc>
          <w:tcPr>
            <w:tcW w:w="807" w:type="dxa"/>
            <w:tcBorders>
              <w:top w:val="nil"/>
              <w:left w:val="nil"/>
              <w:bottom w:val="single" w:sz="8" w:space="0" w:color="000000"/>
              <w:right w:val="single" w:sz="8" w:space="0" w:color="000000"/>
            </w:tcBorders>
            <w:hideMark/>
          </w:tcPr>
          <w:p w14:paraId="1E991F3B"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31±1.41</w:t>
            </w:r>
          </w:p>
        </w:tc>
        <w:tc>
          <w:tcPr>
            <w:tcW w:w="807" w:type="dxa"/>
            <w:tcBorders>
              <w:top w:val="nil"/>
              <w:left w:val="nil"/>
              <w:bottom w:val="single" w:sz="8" w:space="0" w:color="000000"/>
              <w:right w:val="single" w:sz="8" w:space="0" w:color="000000"/>
            </w:tcBorders>
            <w:hideMark/>
          </w:tcPr>
          <w:p w14:paraId="734FEB34"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27.5±2.12</w:t>
            </w:r>
          </w:p>
        </w:tc>
        <w:tc>
          <w:tcPr>
            <w:tcW w:w="807" w:type="dxa"/>
            <w:tcBorders>
              <w:top w:val="nil"/>
              <w:left w:val="nil"/>
              <w:bottom w:val="single" w:sz="8" w:space="0" w:color="000000"/>
              <w:right w:val="single" w:sz="8" w:space="0" w:color="000000"/>
            </w:tcBorders>
            <w:hideMark/>
          </w:tcPr>
          <w:p w14:paraId="5BFF22C0"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26±1.41</w:t>
            </w:r>
          </w:p>
        </w:tc>
        <w:tc>
          <w:tcPr>
            <w:tcW w:w="807" w:type="dxa"/>
            <w:tcBorders>
              <w:top w:val="nil"/>
              <w:left w:val="nil"/>
              <w:bottom w:val="single" w:sz="8" w:space="0" w:color="000000"/>
              <w:right w:val="single" w:sz="8" w:space="0" w:color="000000"/>
            </w:tcBorders>
            <w:hideMark/>
          </w:tcPr>
          <w:p w14:paraId="65E4F923"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30.5±2.12</w:t>
            </w:r>
          </w:p>
        </w:tc>
        <w:tc>
          <w:tcPr>
            <w:tcW w:w="807" w:type="dxa"/>
            <w:tcBorders>
              <w:top w:val="nil"/>
              <w:left w:val="nil"/>
              <w:bottom w:val="single" w:sz="8" w:space="0" w:color="000000"/>
              <w:right w:val="single" w:sz="8" w:space="0" w:color="000000"/>
            </w:tcBorders>
            <w:hideMark/>
          </w:tcPr>
          <w:p w14:paraId="1C36A84E"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34±1.41</w:t>
            </w:r>
          </w:p>
        </w:tc>
        <w:tc>
          <w:tcPr>
            <w:tcW w:w="807" w:type="dxa"/>
            <w:tcBorders>
              <w:top w:val="nil"/>
              <w:left w:val="nil"/>
              <w:bottom w:val="single" w:sz="8" w:space="0" w:color="000000"/>
              <w:right w:val="single" w:sz="8" w:space="0" w:color="000000"/>
            </w:tcBorders>
            <w:hideMark/>
          </w:tcPr>
          <w:p w14:paraId="77E38416"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34.5±0.71</w:t>
            </w:r>
          </w:p>
        </w:tc>
        <w:tc>
          <w:tcPr>
            <w:tcW w:w="807" w:type="dxa"/>
            <w:tcBorders>
              <w:top w:val="nil"/>
              <w:left w:val="nil"/>
              <w:bottom w:val="single" w:sz="8" w:space="0" w:color="000000"/>
              <w:right w:val="single" w:sz="8" w:space="0" w:color="000000"/>
            </w:tcBorders>
            <w:hideMark/>
          </w:tcPr>
          <w:p w14:paraId="6E4F3255"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29±0.00</w:t>
            </w:r>
          </w:p>
        </w:tc>
      </w:tr>
      <w:tr w:rsidR="0046662D" w:rsidRPr="00EC5D73" w14:paraId="2C813A11" w14:textId="77777777" w:rsidTr="008B42FE">
        <w:trPr>
          <w:trHeight w:val="327"/>
        </w:trPr>
        <w:tc>
          <w:tcPr>
            <w:tcW w:w="663" w:type="dxa"/>
            <w:tcBorders>
              <w:top w:val="nil"/>
              <w:left w:val="single" w:sz="8" w:space="0" w:color="000000"/>
              <w:bottom w:val="single" w:sz="8" w:space="0" w:color="000000"/>
              <w:right w:val="single" w:sz="8" w:space="0" w:color="000000"/>
            </w:tcBorders>
          </w:tcPr>
          <w:p w14:paraId="22E4182D" w14:textId="77777777" w:rsidR="0046662D" w:rsidRPr="0036333D" w:rsidRDefault="0046662D" w:rsidP="008B42FE">
            <w:pPr>
              <w:pStyle w:val="NoSpacing"/>
              <w:spacing w:line="360" w:lineRule="auto"/>
              <w:rPr>
                <w:rFonts w:ascii="Times New Roman" w:hAnsi="Times New Roman" w:cs="Times New Roman"/>
                <w:b/>
                <w:bCs/>
                <w:sz w:val="14"/>
                <w:szCs w:val="14"/>
              </w:rPr>
            </w:pPr>
            <w:r w:rsidRPr="0036333D">
              <w:rPr>
                <w:rFonts w:ascii="Times New Roman" w:hAnsi="Times New Roman" w:cs="Times New Roman"/>
                <w:b/>
                <w:bCs/>
                <w:sz w:val="14"/>
                <w:szCs w:val="14"/>
              </w:rPr>
              <w:t>312</w:t>
            </w:r>
          </w:p>
        </w:tc>
        <w:tc>
          <w:tcPr>
            <w:tcW w:w="922" w:type="dxa"/>
            <w:tcBorders>
              <w:top w:val="nil"/>
              <w:left w:val="single" w:sz="8" w:space="0" w:color="000000"/>
              <w:bottom w:val="single" w:sz="8" w:space="0" w:color="000000"/>
              <w:right w:val="single" w:sz="8" w:space="0" w:color="000000"/>
            </w:tcBorders>
            <w:hideMark/>
          </w:tcPr>
          <w:p w14:paraId="23804ACB"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31.5±2.12</w:t>
            </w:r>
          </w:p>
        </w:tc>
        <w:tc>
          <w:tcPr>
            <w:tcW w:w="807" w:type="dxa"/>
            <w:tcBorders>
              <w:top w:val="nil"/>
              <w:left w:val="nil"/>
              <w:bottom w:val="single" w:sz="8" w:space="0" w:color="000000"/>
              <w:right w:val="single" w:sz="8" w:space="0" w:color="000000"/>
            </w:tcBorders>
            <w:hideMark/>
          </w:tcPr>
          <w:p w14:paraId="0BC21C6D"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32.5±0.71</w:t>
            </w:r>
          </w:p>
        </w:tc>
        <w:tc>
          <w:tcPr>
            <w:tcW w:w="807" w:type="dxa"/>
            <w:tcBorders>
              <w:top w:val="nil"/>
              <w:left w:val="nil"/>
              <w:bottom w:val="single" w:sz="8" w:space="0" w:color="000000"/>
              <w:right w:val="single" w:sz="8" w:space="0" w:color="000000"/>
            </w:tcBorders>
            <w:hideMark/>
          </w:tcPr>
          <w:p w14:paraId="30C92A6F"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28.5±0.71</w:t>
            </w:r>
          </w:p>
        </w:tc>
        <w:tc>
          <w:tcPr>
            <w:tcW w:w="807" w:type="dxa"/>
            <w:tcBorders>
              <w:top w:val="nil"/>
              <w:left w:val="nil"/>
              <w:bottom w:val="single" w:sz="8" w:space="0" w:color="000000"/>
              <w:right w:val="single" w:sz="8" w:space="0" w:color="000000"/>
            </w:tcBorders>
            <w:hideMark/>
          </w:tcPr>
          <w:p w14:paraId="306DBDF1"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30±1.41</w:t>
            </w:r>
          </w:p>
        </w:tc>
        <w:tc>
          <w:tcPr>
            <w:tcW w:w="807" w:type="dxa"/>
            <w:tcBorders>
              <w:top w:val="nil"/>
              <w:left w:val="nil"/>
              <w:bottom w:val="single" w:sz="8" w:space="0" w:color="000000"/>
              <w:right w:val="single" w:sz="8" w:space="0" w:color="000000"/>
            </w:tcBorders>
            <w:hideMark/>
          </w:tcPr>
          <w:p w14:paraId="7D1C8350"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30±1.41</w:t>
            </w:r>
          </w:p>
        </w:tc>
        <w:tc>
          <w:tcPr>
            <w:tcW w:w="807" w:type="dxa"/>
            <w:tcBorders>
              <w:top w:val="nil"/>
              <w:left w:val="nil"/>
              <w:bottom w:val="single" w:sz="8" w:space="0" w:color="000000"/>
              <w:right w:val="single" w:sz="8" w:space="0" w:color="000000"/>
            </w:tcBorders>
            <w:hideMark/>
          </w:tcPr>
          <w:p w14:paraId="49E6A02E"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28±1.41</w:t>
            </w:r>
          </w:p>
        </w:tc>
        <w:tc>
          <w:tcPr>
            <w:tcW w:w="807" w:type="dxa"/>
            <w:tcBorders>
              <w:top w:val="nil"/>
              <w:left w:val="nil"/>
              <w:bottom w:val="single" w:sz="8" w:space="0" w:color="000000"/>
              <w:right w:val="single" w:sz="8" w:space="0" w:color="000000"/>
            </w:tcBorders>
            <w:hideMark/>
          </w:tcPr>
          <w:p w14:paraId="2F9BD1F7"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26±2.83</w:t>
            </w:r>
          </w:p>
        </w:tc>
        <w:tc>
          <w:tcPr>
            <w:tcW w:w="807" w:type="dxa"/>
            <w:tcBorders>
              <w:top w:val="nil"/>
              <w:left w:val="nil"/>
              <w:bottom w:val="single" w:sz="8" w:space="0" w:color="000000"/>
              <w:right w:val="single" w:sz="8" w:space="0" w:color="000000"/>
            </w:tcBorders>
            <w:hideMark/>
          </w:tcPr>
          <w:p w14:paraId="07D2AEA0"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23.5±2.12</w:t>
            </w:r>
          </w:p>
        </w:tc>
        <w:tc>
          <w:tcPr>
            <w:tcW w:w="807" w:type="dxa"/>
            <w:tcBorders>
              <w:top w:val="nil"/>
              <w:left w:val="nil"/>
              <w:bottom w:val="single" w:sz="8" w:space="0" w:color="000000"/>
              <w:right w:val="single" w:sz="8" w:space="0" w:color="000000"/>
            </w:tcBorders>
            <w:hideMark/>
          </w:tcPr>
          <w:p w14:paraId="3881E4F3"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28.5±2.12</w:t>
            </w:r>
          </w:p>
        </w:tc>
        <w:tc>
          <w:tcPr>
            <w:tcW w:w="807" w:type="dxa"/>
            <w:tcBorders>
              <w:top w:val="nil"/>
              <w:left w:val="nil"/>
              <w:bottom w:val="single" w:sz="8" w:space="0" w:color="000000"/>
              <w:right w:val="single" w:sz="8" w:space="0" w:color="000000"/>
            </w:tcBorders>
            <w:hideMark/>
          </w:tcPr>
          <w:p w14:paraId="6A391A49"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29.5±0.71</w:t>
            </w:r>
          </w:p>
        </w:tc>
        <w:tc>
          <w:tcPr>
            <w:tcW w:w="807" w:type="dxa"/>
            <w:tcBorders>
              <w:top w:val="nil"/>
              <w:left w:val="nil"/>
              <w:bottom w:val="single" w:sz="8" w:space="0" w:color="000000"/>
              <w:right w:val="single" w:sz="8" w:space="0" w:color="000000"/>
            </w:tcBorders>
            <w:hideMark/>
          </w:tcPr>
          <w:p w14:paraId="2BB264D2"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27.5±2.12</w:t>
            </w:r>
          </w:p>
        </w:tc>
        <w:tc>
          <w:tcPr>
            <w:tcW w:w="807" w:type="dxa"/>
            <w:tcBorders>
              <w:top w:val="nil"/>
              <w:left w:val="nil"/>
              <w:bottom w:val="single" w:sz="8" w:space="0" w:color="000000"/>
              <w:right w:val="single" w:sz="8" w:space="0" w:color="000000"/>
            </w:tcBorders>
            <w:hideMark/>
          </w:tcPr>
          <w:p w14:paraId="75D2A141"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20±1.41</w:t>
            </w:r>
          </w:p>
        </w:tc>
      </w:tr>
      <w:tr w:rsidR="0046662D" w:rsidRPr="00EC5D73" w14:paraId="527B084E" w14:textId="77777777" w:rsidTr="008B42FE">
        <w:trPr>
          <w:trHeight w:val="197"/>
        </w:trPr>
        <w:tc>
          <w:tcPr>
            <w:tcW w:w="663" w:type="dxa"/>
            <w:tcBorders>
              <w:top w:val="nil"/>
              <w:left w:val="single" w:sz="8" w:space="0" w:color="000000"/>
              <w:bottom w:val="single" w:sz="8" w:space="0" w:color="000000"/>
              <w:right w:val="single" w:sz="8" w:space="0" w:color="000000"/>
            </w:tcBorders>
          </w:tcPr>
          <w:p w14:paraId="749D76F7" w14:textId="77777777" w:rsidR="0046662D" w:rsidRPr="0036333D" w:rsidRDefault="0046662D" w:rsidP="008B42FE">
            <w:pPr>
              <w:pStyle w:val="NoSpacing"/>
              <w:spacing w:line="360" w:lineRule="auto"/>
              <w:rPr>
                <w:rFonts w:ascii="Times New Roman" w:hAnsi="Times New Roman" w:cs="Times New Roman"/>
                <w:b/>
                <w:bCs/>
                <w:sz w:val="14"/>
                <w:szCs w:val="14"/>
              </w:rPr>
            </w:pPr>
            <w:r w:rsidRPr="0036333D">
              <w:rPr>
                <w:rFonts w:ascii="Times New Roman" w:hAnsi="Times New Roman" w:cs="Times New Roman"/>
                <w:b/>
                <w:bCs/>
                <w:sz w:val="14"/>
                <w:szCs w:val="14"/>
              </w:rPr>
              <w:t>156</w:t>
            </w:r>
          </w:p>
        </w:tc>
        <w:tc>
          <w:tcPr>
            <w:tcW w:w="922" w:type="dxa"/>
            <w:tcBorders>
              <w:top w:val="nil"/>
              <w:left w:val="single" w:sz="8" w:space="0" w:color="000000"/>
              <w:bottom w:val="single" w:sz="8" w:space="0" w:color="000000"/>
              <w:right w:val="single" w:sz="8" w:space="0" w:color="000000"/>
            </w:tcBorders>
            <w:hideMark/>
          </w:tcPr>
          <w:p w14:paraId="57E9C4EF"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28.5±2.12</w:t>
            </w:r>
          </w:p>
        </w:tc>
        <w:tc>
          <w:tcPr>
            <w:tcW w:w="807" w:type="dxa"/>
            <w:tcBorders>
              <w:top w:val="nil"/>
              <w:left w:val="nil"/>
              <w:bottom w:val="single" w:sz="8" w:space="0" w:color="000000"/>
              <w:right w:val="single" w:sz="8" w:space="0" w:color="000000"/>
            </w:tcBorders>
            <w:hideMark/>
          </w:tcPr>
          <w:p w14:paraId="3E34F18C"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29.5±0.71</w:t>
            </w:r>
          </w:p>
        </w:tc>
        <w:tc>
          <w:tcPr>
            <w:tcW w:w="807" w:type="dxa"/>
            <w:tcBorders>
              <w:top w:val="nil"/>
              <w:left w:val="nil"/>
              <w:bottom w:val="single" w:sz="8" w:space="0" w:color="000000"/>
              <w:right w:val="single" w:sz="8" w:space="0" w:color="000000"/>
            </w:tcBorders>
            <w:hideMark/>
          </w:tcPr>
          <w:p w14:paraId="102350D8"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26.5±2.12</w:t>
            </w:r>
          </w:p>
        </w:tc>
        <w:tc>
          <w:tcPr>
            <w:tcW w:w="807" w:type="dxa"/>
            <w:tcBorders>
              <w:top w:val="nil"/>
              <w:left w:val="nil"/>
              <w:bottom w:val="single" w:sz="8" w:space="0" w:color="000000"/>
              <w:right w:val="single" w:sz="8" w:space="0" w:color="000000"/>
            </w:tcBorders>
            <w:hideMark/>
          </w:tcPr>
          <w:p w14:paraId="35E11ECC"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28.5±2.12</w:t>
            </w:r>
          </w:p>
        </w:tc>
        <w:tc>
          <w:tcPr>
            <w:tcW w:w="807" w:type="dxa"/>
            <w:tcBorders>
              <w:top w:val="nil"/>
              <w:left w:val="nil"/>
              <w:bottom w:val="single" w:sz="8" w:space="0" w:color="000000"/>
              <w:right w:val="single" w:sz="8" w:space="0" w:color="000000"/>
            </w:tcBorders>
            <w:hideMark/>
          </w:tcPr>
          <w:p w14:paraId="18675805"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28±2.83</w:t>
            </w:r>
          </w:p>
        </w:tc>
        <w:tc>
          <w:tcPr>
            <w:tcW w:w="807" w:type="dxa"/>
            <w:tcBorders>
              <w:top w:val="nil"/>
              <w:left w:val="nil"/>
              <w:bottom w:val="single" w:sz="8" w:space="0" w:color="000000"/>
              <w:right w:val="single" w:sz="8" w:space="0" w:color="000000"/>
            </w:tcBorders>
            <w:hideMark/>
          </w:tcPr>
          <w:p w14:paraId="4FA87E79"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23±4.24</w:t>
            </w:r>
          </w:p>
        </w:tc>
        <w:tc>
          <w:tcPr>
            <w:tcW w:w="807" w:type="dxa"/>
            <w:tcBorders>
              <w:top w:val="nil"/>
              <w:left w:val="nil"/>
              <w:bottom w:val="single" w:sz="8" w:space="0" w:color="000000"/>
              <w:right w:val="single" w:sz="8" w:space="0" w:color="000000"/>
            </w:tcBorders>
            <w:hideMark/>
          </w:tcPr>
          <w:p w14:paraId="0E08CCD0"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17±1.41</w:t>
            </w:r>
          </w:p>
        </w:tc>
        <w:tc>
          <w:tcPr>
            <w:tcW w:w="807" w:type="dxa"/>
            <w:tcBorders>
              <w:top w:val="nil"/>
              <w:left w:val="nil"/>
              <w:bottom w:val="single" w:sz="8" w:space="0" w:color="000000"/>
              <w:right w:val="single" w:sz="8" w:space="0" w:color="000000"/>
            </w:tcBorders>
            <w:hideMark/>
          </w:tcPr>
          <w:p w14:paraId="02A60DC6"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21±1.41</w:t>
            </w:r>
          </w:p>
        </w:tc>
        <w:tc>
          <w:tcPr>
            <w:tcW w:w="807" w:type="dxa"/>
            <w:tcBorders>
              <w:top w:val="nil"/>
              <w:left w:val="nil"/>
              <w:bottom w:val="single" w:sz="8" w:space="0" w:color="000000"/>
              <w:right w:val="single" w:sz="8" w:space="0" w:color="000000"/>
            </w:tcBorders>
            <w:hideMark/>
          </w:tcPr>
          <w:p w14:paraId="376B1FF9"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25±1.41</w:t>
            </w:r>
          </w:p>
        </w:tc>
        <w:tc>
          <w:tcPr>
            <w:tcW w:w="807" w:type="dxa"/>
            <w:tcBorders>
              <w:top w:val="nil"/>
              <w:left w:val="nil"/>
              <w:bottom w:val="single" w:sz="8" w:space="0" w:color="000000"/>
              <w:right w:val="single" w:sz="8" w:space="0" w:color="000000"/>
            </w:tcBorders>
            <w:hideMark/>
          </w:tcPr>
          <w:p w14:paraId="23B67265"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19.5±2.12</w:t>
            </w:r>
          </w:p>
        </w:tc>
        <w:tc>
          <w:tcPr>
            <w:tcW w:w="807" w:type="dxa"/>
            <w:tcBorders>
              <w:top w:val="nil"/>
              <w:left w:val="nil"/>
              <w:bottom w:val="single" w:sz="8" w:space="0" w:color="000000"/>
              <w:right w:val="single" w:sz="8" w:space="0" w:color="000000"/>
            </w:tcBorders>
            <w:hideMark/>
          </w:tcPr>
          <w:p w14:paraId="294F5C7E"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16.5±2.12</w:t>
            </w:r>
          </w:p>
        </w:tc>
        <w:tc>
          <w:tcPr>
            <w:tcW w:w="807" w:type="dxa"/>
            <w:tcBorders>
              <w:top w:val="nil"/>
              <w:left w:val="nil"/>
              <w:bottom w:val="single" w:sz="8" w:space="0" w:color="000000"/>
              <w:right w:val="single" w:sz="8" w:space="0" w:color="000000"/>
            </w:tcBorders>
            <w:shd w:val="clear" w:color="auto" w:fill="FFFF00"/>
            <w:hideMark/>
          </w:tcPr>
          <w:p w14:paraId="649C1268" w14:textId="77777777" w:rsidR="0046662D" w:rsidRPr="00EC5D73" w:rsidRDefault="0046662D" w:rsidP="008B42FE">
            <w:pPr>
              <w:pStyle w:val="NoSpacing"/>
              <w:spacing w:line="360" w:lineRule="auto"/>
              <w:rPr>
                <w:rFonts w:ascii="Times New Roman" w:hAnsi="Times New Roman" w:cs="Times New Roman"/>
                <w:b/>
                <w:sz w:val="14"/>
                <w:szCs w:val="14"/>
              </w:rPr>
            </w:pPr>
            <w:r w:rsidRPr="00EC5D73">
              <w:rPr>
                <w:rFonts w:ascii="Times New Roman" w:hAnsi="Times New Roman" w:cs="Times New Roman"/>
                <w:b/>
                <w:sz w:val="14"/>
                <w:szCs w:val="14"/>
              </w:rPr>
              <w:t>0±0.00</w:t>
            </w:r>
          </w:p>
        </w:tc>
      </w:tr>
      <w:tr w:rsidR="0046662D" w:rsidRPr="00EC5D73" w14:paraId="581C68D8" w14:textId="77777777" w:rsidTr="008B42FE">
        <w:trPr>
          <w:trHeight w:val="211"/>
        </w:trPr>
        <w:tc>
          <w:tcPr>
            <w:tcW w:w="663" w:type="dxa"/>
            <w:tcBorders>
              <w:top w:val="nil"/>
              <w:left w:val="single" w:sz="8" w:space="0" w:color="000000"/>
              <w:bottom w:val="single" w:sz="8" w:space="0" w:color="000000"/>
              <w:right w:val="single" w:sz="8" w:space="0" w:color="000000"/>
            </w:tcBorders>
          </w:tcPr>
          <w:p w14:paraId="54FA8116" w14:textId="77777777" w:rsidR="0046662D" w:rsidRPr="0036333D" w:rsidRDefault="0046662D" w:rsidP="008B42FE">
            <w:pPr>
              <w:pStyle w:val="NoSpacing"/>
              <w:spacing w:line="360" w:lineRule="auto"/>
              <w:rPr>
                <w:rFonts w:ascii="Times New Roman" w:hAnsi="Times New Roman" w:cs="Times New Roman"/>
                <w:b/>
                <w:bCs/>
                <w:sz w:val="14"/>
                <w:szCs w:val="14"/>
              </w:rPr>
            </w:pPr>
            <w:r w:rsidRPr="0036333D">
              <w:rPr>
                <w:rFonts w:ascii="Times New Roman" w:hAnsi="Times New Roman" w:cs="Times New Roman"/>
                <w:b/>
                <w:bCs/>
                <w:sz w:val="14"/>
                <w:szCs w:val="14"/>
              </w:rPr>
              <w:t>78</w:t>
            </w:r>
          </w:p>
        </w:tc>
        <w:tc>
          <w:tcPr>
            <w:tcW w:w="922" w:type="dxa"/>
            <w:tcBorders>
              <w:top w:val="nil"/>
              <w:left w:val="single" w:sz="8" w:space="0" w:color="000000"/>
              <w:bottom w:val="single" w:sz="8" w:space="0" w:color="000000"/>
              <w:right w:val="single" w:sz="8" w:space="0" w:color="000000"/>
            </w:tcBorders>
            <w:hideMark/>
          </w:tcPr>
          <w:p w14:paraId="29370049"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26.5±3.54</w:t>
            </w:r>
          </w:p>
        </w:tc>
        <w:tc>
          <w:tcPr>
            <w:tcW w:w="807" w:type="dxa"/>
            <w:tcBorders>
              <w:top w:val="nil"/>
              <w:left w:val="nil"/>
              <w:bottom w:val="single" w:sz="8" w:space="0" w:color="000000"/>
              <w:right w:val="single" w:sz="8" w:space="0" w:color="000000"/>
            </w:tcBorders>
            <w:hideMark/>
          </w:tcPr>
          <w:p w14:paraId="3E12BB73"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27±1.41</w:t>
            </w:r>
          </w:p>
        </w:tc>
        <w:tc>
          <w:tcPr>
            <w:tcW w:w="807" w:type="dxa"/>
            <w:tcBorders>
              <w:top w:val="nil"/>
              <w:left w:val="nil"/>
              <w:bottom w:val="single" w:sz="8" w:space="0" w:color="000000"/>
              <w:right w:val="single" w:sz="8" w:space="0" w:color="000000"/>
            </w:tcBorders>
            <w:hideMark/>
          </w:tcPr>
          <w:p w14:paraId="6FADF6D4"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25.5±2.12</w:t>
            </w:r>
          </w:p>
        </w:tc>
        <w:tc>
          <w:tcPr>
            <w:tcW w:w="807" w:type="dxa"/>
            <w:tcBorders>
              <w:top w:val="nil"/>
              <w:left w:val="nil"/>
              <w:bottom w:val="single" w:sz="8" w:space="0" w:color="000000"/>
              <w:right w:val="single" w:sz="8" w:space="0" w:color="000000"/>
            </w:tcBorders>
            <w:hideMark/>
          </w:tcPr>
          <w:p w14:paraId="7FE30ADD"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28±1.41</w:t>
            </w:r>
          </w:p>
        </w:tc>
        <w:tc>
          <w:tcPr>
            <w:tcW w:w="807" w:type="dxa"/>
            <w:tcBorders>
              <w:top w:val="nil"/>
              <w:left w:val="nil"/>
              <w:bottom w:val="single" w:sz="8" w:space="0" w:color="000000"/>
              <w:right w:val="single" w:sz="8" w:space="0" w:color="000000"/>
            </w:tcBorders>
            <w:hideMark/>
          </w:tcPr>
          <w:p w14:paraId="4424B732"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26.5±2.12</w:t>
            </w:r>
          </w:p>
        </w:tc>
        <w:tc>
          <w:tcPr>
            <w:tcW w:w="807" w:type="dxa"/>
            <w:tcBorders>
              <w:top w:val="nil"/>
              <w:left w:val="nil"/>
              <w:bottom w:val="single" w:sz="8" w:space="0" w:color="000000"/>
              <w:right w:val="single" w:sz="8" w:space="0" w:color="000000"/>
            </w:tcBorders>
            <w:hideMark/>
          </w:tcPr>
          <w:p w14:paraId="4F94DD31"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19±2.83</w:t>
            </w:r>
          </w:p>
        </w:tc>
        <w:tc>
          <w:tcPr>
            <w:tcW w:w="807" w:type="dxa"/>
            <w:tcBorders>
              <w:top w:val="nil"/>
              <w:left w:val="nil"/>
              <w:bottom w:val="single" w:sz="8" w:space="0" w:color="000000"/>
              <w:right w:val="single" w:sz="8" w:space="0" w:color="000000"/>
            </w:tcBorders>
            <w:hideMark/>
          </w:tcPr>
          <w:p w14:paraId="1CF68D73"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10.5±0.71</w:t>
            </w:r>
          </w:p>
        </w:tc>
        <w:tc>
          <w:tcPr>
            <w:tcW w:w="807" w:type="dxa"/>
            <w:tcBorders>
              <w:top w:val="nil"/>
              <w:left w:val="nil"/>
              <w:bottom w:val="single" w:sz="8" w:space="0" w:color="000000"/>
              <w:right w:val="single" w:sz="8" w:space="0" w:color="000000"/>
            </w:tcBorders>
            <w:hideMark/>
          </w:tcPr>
          <w:p w14:paraId="399D36CA"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15.5±0.71</w:t>
            </w:r>
          </w:p>
        </w:tc>
        <w:tc>
          <w:tcPr>
            <w:tcW w:w="807" w:type="dxa"/>
            <w:tcBorders>
              <w:top w:val="nil"/>
              <w:left w:val="nil"/>
              <w:bottom w:val="single" w:sz="8" w:space="0" w:color="000000"/>
              <w:right w:val="single" w:sz="8" w:space="0" w:color="000000"/>
            </w:tcBorders>
            <w:hideMark/>
          </w:tcPr>
          <w:p w14:paraId="5F4BBE32"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13.5±0.71</w:t>
            </w:r>
          </w:p>
        </w:tc>
        <w:tc>
          <w:tcPr>
            <w:tcW w:w="807" w:type="dxa"/>
            <w:tcBorders>
              <w:top w:val="nil"/>
              <w:left w:val="nil"/>
              <w:bottom w:val="single" w:sz="8" w:space="0" w:color="000000"/>
              <w:right w:val="single" w:sz="8" w:space="0" w:color="000000"/>
            </w:tcBorders>
            <w:shd w:val="clear" w:color="auto" w:fill="FFFF00"/>
            <w:hideMark/>
          </w:tcPr>
          <w:p w14:paraId="77CC63B2" w14:textId="77777777" w:rsidR="0046662D" w:rsidRPr="00EC5D73" w:rsidRDefault="0046662D" w:rsidP="008B42FE">
            <w:pPr>
              <w:pStyle w:val="NoSpacing"/>
              <w:spacing w:line="360" w:lineRule="auto"/>
              <w:rPr>
                <w:rFonts w:ascii="Times New Roman" w:hAnsi="Times New Roman" w:cs="Times New Roman"/>
                <w:b/>
                <w:sz w:val="14"/>
                <w:szCs w:val="14"/>
              </w:rPr>
            </w:pPr>
            <w:r w:rsidRPr="00EC5D73">
              <w:rPr>
                <w:rFonts w:ascii="Times New Roman" w:hAnsi="Times New Roman" w:cs="Times New Roman"/>
                <w:b/>
                <w:sz w:val="14"/>
                <w:szCs w:val="14"/>
              </w:rPr>
              <w:t>0±0.00</w:t>
            </w:r>
          </w:p>
        </w:tc>
        <w:tc>
          <w:tcPr>
            <w:tcW w:w="807" w:type="dxa"/>
            <w:tcBorders>
              <w:top w:val="nil"/>
              <w:left w:val="nil"/>
              <w:bottom w:val="single" w:sz="8" w:space="0" w:color="000000"/>
              <w:right w:val="single" w:sz="8" w:space="0" w:color="000000"/>
            </w:tcBorders>
            <w:shd w:val="clear" w:color="auto" w:fill="FFFF00"/>
            <w:hideMark/>
          </w:tcPr>
          <w:p w14:paraId="77199434" w14:textId="77777777" w:rsidR="0046662D" w:rsidRPr="00EC5D73" w:rsidRDefault="0046662D" w:rsidP="008B42FE">
            <w:pPr>
              <w:pStyle w:val="NoSpacing"/>
              <w:spacing w:line="360" w:lineRule="auto"/>
              <w:rPr>
                <w:rFonts w:ascii="Times New Roman" w:hAnsi="Times New Roman" w:cs="Times New Roman"/>
                <w:b/>
                <w:sz w:val="14"/>
                <w:szCs w:val="14"/>
              </w:rPr>
            </w:pPr>
            <w:r w:rsidRPr="00EC5D73">
              <w:rPr>
                <w:rFonts w:ascii="Times New Roman" w:hAnsi="Times New Roman" w:cs="Times New Roman"/>
                <w:b/>
                <w:sz w:val="14"/>
                <w:szCs w:val="14"/>
              </w:rPr>
              <w:t>0±0.00</w:t>
            </w:r>
          </w:p>
        </w:tc>
        <w:tc>
          <w:tcPr>
            <w:tcW w:w="807" w:type="dxa"/>
            <w:tcBorders>
              <w:top w:val="nil"/>
              <w:left w:val="nil"/>
              <w:bottom w:val="single" w:sz="8" w:space="0" w:color="000000"/>
              <w:right w:val="single" w:sz="8" w:space="0" w:color="000000"/>
            </w:tcBorders>
            <w:shd w:val="clear" w:color="auto" w:fill="FFFFFF"/>
            <w:hideMark/>
          </w:tcPr>
          <w:p w14:paraId="2B578880"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r>
      <w:tr w:rsidR="0046662D" w:rsidRPr="00EC5D73" w14:paraId="06819D95" w14:textId="77777777" w:rsidTr="008B42FE">
        <w:trPr>
          <w:trHeight w:val="286"/>
        </w:trPr>
        <w:tc>
          <w:tcPr>
            <w:tcW w:w="663" w:type="dxa"/>
            <w:tcBorders>
              <w:top w:val="nil"/>
              <w:left w:val="single" w:sz="8" w:space="0" w:color="000000"/>
              <w:bottom w:val="single" w:sz="8" w:space="0" w:color="000000"/>
              <w:right w:val="single" w:sz="8" w:space="0" w:color="000000"/>
            </w:tcBorders>
          </w:tcPr>
          <w:p w14:paraId="54EF1835" w14:textId="77777777" w:rsidR="0046662D" w:rsidRPr="0036333D" w:rsidRDefault="0046662D" w:rsidP="008B42FE">
            <w:pPr>
              <w:pStyle w:val="NoSpacing"/>
              <w:spacing w:line="360" w:lineRule="auto"/>
              <w:rPr>
                <w:rFonts w:ascii="Times New Roman" w:hAnsi="Times New Roman" w:cs="Times New Roman"/>
                <w:b/>
                <w:bCs/>
                <w:sz w:val="14"/>
                <w:szCs w:val="14"/>
              </w:rPr>
            </w:pPr>
            <w:r w:rsidRPr="0036333D">
              <w:rPr>
                <w:rFonts w:ascii="Times New Roman" w:hAnsi="Times New Roman" w:cs="Times New Roman"/>
                <w:b/>
                <w:bCs/>
                <w:sz w:val="14"/>
                <w:szCs w:val="14"/>
              </w:rPr>
              <w:t>39</w:t>
            </w:r>
          </w:p>
        </w:tc>
        <w:tc>
          <w:tcPr>
            <w:tcW w:w="922" w:type="dxa"/>
            <w:tcBorders>
              <w:top w:val="nil"/>
              <w:left w:val="single" w:sz="8" w:space="0" w:color="000000"/>
              <w:bottom w:val="single" w:sz="8" w:space="0" w:color="000000"/>
              <w:right w:val="single" w:sz="8" w:space="0" w:color="000000"/>
            </w:tcBorders>
            <w:hideMark/>
          </w:tcPr>
          <w:p w14:paraId="73809F1D"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21.5±9.19</w:t>
            </w:r>
          </w:p>
        </w:tc>
        <w:tc>
          <w:tcPr>
            <w:tcW w:w="807" w:type="dxa"/>
            <w:tcBorders>
              <w:top w:val="nil"/>
              <w:left w:val="nil"/>
              <w:bottom w:val="single" w:sz="8" w:space="0" w:color="000000"/>
              <w:right w:val="single" w:sz="8" w:space="0" w:color="000000"/>
            </w:tcBorders>
            <w:hideMark/>
          </w:tcPr>
          <w:p w14:paraId="28651106"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26.5±0.71</w:t>
            </w:r>
          </w:p>
        </w:tc>
        <w:tc>
          <w:tcPr>
            <w:tcW w:w="807" w:type="dxa"/>
            <w:tcBorders>
              <w:top w:val="nil"/>
              <w:left w:val="nil"/>
              <w:bottom w:val="single" w:sz="8" w:space="0" w:color="000000"/>
              <w:right w:val="single" w:sz="8" w:space="0" w:color="000000"/>
            </w:tcBorders>
            <w:hideMark/>
          </w:tcPr>
          <w:p w14:paraId="484AE5D3"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24±2.83</w:t>
            </w:r>
          </w:p>
        </w:tc>
        <w:tc>
          <w:tcPr>
            <w:tcW w:w="807" w:type="dxa"/>
            <w:tcBorders>
              <w:top w:val="nil"/>
              <w:left w:val="nil"/>
              <w:bottom w:val="single" w:sz="8" w:space="0" w:color="000000"/>
              <w:right w:val="single" w:sz="8" w:space="0" w:color="000000"/>
            </w:tcBorders>
            <w:hideMark/>
          </w:tcPr>
          <w:p w14:paraId="7C5FB6E6"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26.5±2.12</w:t>
            </w:r>
          </w:p>
        </w:tc>
        <w:tc>
          <w:tcPr>
            <w:tcW w:w="807" w:type="dxa"/>
            <w:tcBorders>
              <w:top w:val="nil"/>
              <w:left w:val="nil"/>
              <w:bottom w:val="single" w:sz="8" w:space="0" w:color="000000"/>
              <w:right w:val="single" w:sz="8" w:space="0" w:color="000000"/>
            </w:tcBorders>
            <w:hideMark/>
          </w:tcPr>
          <w:p w14:paraId="7EF8A14B"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25.5±2.12</w:t>
            </w:r>
          </w:p>
        </w:tc>
        <w:tc>
          <w:tcPr>
            <w:tcW w:w="807" w:type="dxa"/>
            <w:tcBorders>
              <w:top w:val="nil"/>
              <w:left w:val="nil"/>
              <w:bottom w:val="single" w:sz="8" w:space="0" w:color="000000"/>
              <w:right w:val="single" w:sz="8" w:space="0" w:color="000000"/>
            </w:tcBorders>
            <w:hideMark/>
          </w:tcPr>
          <w:p w14:paraId="2350B14F"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11.5±0.71</w:t>
            </w:r>
          </w:p>
        </w:tc>
        <w:tc>
          <w:tcPr>
            <w:tcW w:w="807" w:type="dxa"/>
            <w:tcBorders>
              <w:top w:val="nil"/>
              <w:left w:val="nil"/>
              <w:bottom w:val="single" w:sz="8" w:space="0" w:color="000000"/>
              <w:right w:val="single" w:sz="8" w:space="0" w:color="000000"/>
            </w:tcBorders>
            <w:shd w:val="clear" w:color="auto" w:fill="FFFF00"/>
            <w:hideMark/>
          </w:tcPr>
          <w:p w14:paraId="69AEEF4D" w14:textId="77777777" w:rsidR="0046662D" w:rsidRPr="00EC5D73" w:rsidRDefault="0046662D" w:rsidP="008B42FE">
            <w:pPr>
              <w:pStyle w:val="NoSpacing"/>
              <w:spacing w:line="360" w:lineRule="auto"/>
              <w:rPr>
                <w:rFonts w:ascii="Times New Roman" w:hAnsi="Times New Roman" w:cs="Times New Roman"/>
                <w:b/>
                <w:sz w:val="14"/>
                <w:szCs w:val="14"/>
              </w:rPr>
            </w:pPr>
            <w:r w:rsidRPr="00EC5D73">
              <w:rPr>
                <w:rFonts w:ascii="Times New Roman" w:hAnsi="Times New Roman" w:cs="Times New Roman"/>
                <w:b/>
                <w:sz w:val="14"/>
                <w:szCs w:val="14"/>
              </w:rPr>
              <w:t>0±0.00</w:t>
            </w:r>
          </w:p>
        </w:tc>
        <w:tc>
          <w:tcPr>
            <w:tcW w:w="807" w:type="dxa"/>
            <w:tcBorders>
              <w:top w:val="nil"/>
              <w:left w:val="nil"/>
              <w:bottom w:val="single" w:sz="8" w:space="0" w:color="000000"/>
              <w:right w:val="single" w:sz="8" w:space="0" w:color="000000"/>
            </w:tcBorders>
            <w:shd w:val="clear" w:color="auto" w:fill="FFFF00"/>
            <w:hideMark/>
          </w:tcPr>
          <w:p w14:paraId="771F4160" w14:textId="77777777" w:rsidR="0046662D" w:rsidRPr="00EC5D73" w:rsidRDefault="0046662D" w:rsidP="008B42FE">
            <w:pPr>
              <w:pStyle w:val="NoSpacing"/>
              <w:spacing w:line="360" w:lineRule="auto"/>
              <w:rPr>
                <w:rFonts w:ascii="Times New Roman" w:hAnsi="Times New Roman" w:cs="Times New Roman"/>
                <w:b/>
                <w:sz w:val="14"/>
                <w:szCs w:val="14"/>
              </w:rPr>
            </w:pPr>
            <w:r w:rsidRPr="00EC5D73">
              <w:rPr>
                <w:rFonts w:ascii="Times New Roman" w:hAnsi="Times New Roman" w:cs="Times New Roman"/>
                <w:b/>
                <w:sz w:val="14"/>
                <w:szCs w:val="14"/>
              </w:rPr>
              <w:t>0±0.00</w:t>
            </w:r>
          </w:p>
        </w:tc>
        <w:tc>
          <w:tcPr>
            <w:tcW w:w="807" w:type="dxa"/>
            <w:tcBorders>
              <w:top w:val="nil"/>
              <w:left w:val="nil"/>
              <w:bottom w:val="single" w:sz="8" w:space="0" w:color="000000"/>
              <w:right w:val="single" w:sz="8" w:space="0" w:color="000000"/>
            </w:tcBorders>
            <w:shd w:val="clear" w:color="auto" w:fill="FFFF00"/>
            <w:hideMark/>
          </w:tcPr>
          <w:p w14:paraId="051BE901" w14:textId="77777777" w:rsidR="0046662D" w:rsidRPr="00EC5D73" w:rsidRDefault="0046662D" w:rsidP="008B42FE">
            <w:pPr>
              <w:pStyle w:val="NoSpacing"/>
              <w:spacing w:line="360" w:lineRule="auto"/>
              <w:rPr>
                <w:rFonts w:ascii="Times New Roman" w:hAnsi="Times New Roman" w:cs="Times New Roman"/>
                <w:b/>
                <w:sz w:val="14"/>
                <w:szCs w:val="14"/>
              </w:rPr>
            </w:pPr>
            <w:r w:rsidRPr="00EC5D73">
              <w:rPr>
                <w:rFonts w:ascii="Times New Roman" w:hAnsi="Times New Roman" w:cs="Times New Roman"/>
                <w:b/>
                <w:sz w:val="14"/>
                <w:szCs w:val="14"/>
              </w:rPr>
              <w:t>0±0.00</w:t>
            </w:r>
          </w:p>
        </w:tc>
        <w:tc>
          <w:tcPr>
            <w:tcW w:w="807" w:type="dxa"/>
            <w:tcBorders>
              <w:top w:val="nil"/>
              <w:left w:val="nil"/>
              <w:bottom w:val="single" w:sz="8" w:space="0" w:color="000000"/>
              <w:right w:val="single" w:sz="8" w:space="0" w:color="000000"/>
            </w:tcBorders>
            <w:hideMark/>
          </w:tcPr>
          <w:p w14:paraId="1AC678D9"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4B16DA1F"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46BAC76E"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r>
      <w:tr w:rsidR="0046662D" w:rsidRPr="00EC5D73" w14:paraId="39941E71" w14:textId="77777777" w:rsidTr="008B42FE">
        <w:trPr>
          <w:trHeight w:val="164"/>
        </w:trPr>
        <w:tc>
          <w:tcPr>
            <w:tcW w:w="663" w:type="dxa"/>
            <w:tcBorders>
              <w:top w:val="nil"/>
              <w:left w:val="single" w:sz="8" w:space="0" w:color="000000"/>
              <w:bottom w:val="single" w:sz="8" w:space="0" w:color="000000"/>
              <w:right w:val="single" w:sz="8" w:space="0" w:color="000000"/>
            </w:tcBorders>
          </w:tcPr>
          <w:p w14:paraId="35870FB5" w14:textId="77777777" w:rsidR="0046662D" w:rsidRPr="0036333D" w:rsidRDefault="0046662D" w:rsidP="008B42FE">
            <w:pPr>
              <w:pStyle w:val="NoSpacing"/>
              <w:spacing w:line="360" w:lineRule="auto"/>
              <w:rPr>
                <w:rFonts w:ascii="Times New Roman" w:hAnsi="Times New Roman" w:cs="Times New Roman"/>
                <w:b/>
                <w:bCs/>
                <w:sz w:val="14"/>
                <w:szCs w:val="14"/>
              </w:rPr>
            </w:pPr>
            <w:r w:rsidRPr="0036333D">
              <w:rPr>
                <w:rFonts w:ascii="Times New Roman" w:hAnsi="Times New Roman" w:cs="Times New Roman"/>
                <w:b/>
                <w:bCs/>
                <w:sz w:val="14"/>
                <w:szCs w:val="14"/>
              </w:rPr>
              <w:t>19.5</w:t>
            </w:r>
          </w:p>
        </w:tc>
        <w:tc>
          <w:tcPr>
            <w:tcW w:w="922" w:type="dxa"/>
            <w:tcBorders>
              <w:top w:val="nil"/>
              <w:left w:val="single" w:sz="8" w:space="0" w:color="000000"/>
              <w:bottom w:val="single" w:sz="8" w:space="0" w:color="000000"/>
              <w:right w:val="single" w:sz="8" w:space="0" w:color="000000"/>
            </w:tcBorders>
            <w:hideMark/>
          </w:tcPr>
          <w:p w14:paraId="19725D89"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18.5±10.61</w:t>
            </w:r>
          </w:p>
        </w:tc>
        <w:tc>
          <w:tcPr>
            <w:tcW w:w="807" w:type="dxa"/>
            <w:tcBorders>
              <w:top w:val="nil"/>
              <w:left w:val="nil"/>
              <w:bottom w:val="single" w:sz="8" w:space="0" w:color="000000"/>
              <w:right w:val="single" w:sz="8" w:space="0" w:color="000000"/>
            </w:tcBorders>
            <w:hideMark/>
          </w:tcPr>
          <w:p w14:paraId="537B0EE2"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26±0.00</w:t>
            </w:r>
          </w:p>
        </w:tc>
        <w:tc>
          <w:tcPr>
            <w:tcW w:w="807" w:type="dxa"/>
            <w:tcBorders>
              <w:top w:val="nil"/>
              <w:left w:val="nil"/>
              <w:bottom w:val="single" w:sz="8" w:space="0" w:color="000000"/>
              <w:right w:val="single" w:sz="8" w:space="0" w:color="000000"/>
            </w:tcBorders>
            <w:hideMark/>
          </w:tcPr>
          <w:p w14:paraId="32F6E432"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23±2.83</w:t>
            </w:r>
          </w:p>
        </w:tc>
        <w:tc>
          <w:tcPr>
            <w:tcW w:w="807" w:type="dxa"/>
            <w:tcBorders>
              <w:top w:val="nil"/>
              <w:left w:val="nil"/>
              <w:bottom w:val="single" w:sz="8" w:space="0" w:color="000000"/>
              <w:right w:val="single" w:sz="8" w:space="0" w:color="000000"/>
            </w:tcBorders>
            <w:hideMark/>
          </w:tcPr>
          <w:p w14:paraId="449D21D0"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25±1.41</w:t>
            </w:r>
          </w:p>
        </w:tc>
        <w:tc>
          <w:tcPr>
            <w:tcW w:w="807" w:type="dxa"/>
            <w:tcBorders>
              <w:top w:val="nil"/>
              <w:left w:val="nil"/>
              <w:bottom w:val="single" w:sz="8" w:space="0" w:color="000000"/>
              <w:right w:val="single" w:sz="8" w:space="0" w:color="000000"/>
            </w:tcBorders>
            <w:hideMark/>
          </w:tcPr>
          <w:p w14:paraId="5B27059F"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24±1.41</w:t>
            </w:r>
          </w:p>
        </w:tc>
        <w:tc>
          <w:tcPr>
            <w:tcW w:w="807" w:type="dxa"/>
            <w:tcBorders>
              <w:top w:val="nil"/>
              <w:left w:val="nil"/>
              <w:bottom w:val="single" w:sz="8" w:space="0" w:color="000000"/>
              <w:right w:val="single" w:sz="8" w:space="0" w:color="000000"/>
            </w:tcBorders>
            <w:shd w:val="clear" w:color="auto" w:fill="FFFF00"/>
            <w:hideMark/>
          </w:tcPr>
          <w:p w14:paraId="030F9588" w14:textId="77777777" w:rsidR="0046662D" w:rsidRPr="00EC5D73" w:rsidRDefault="0046662D" w:rsidP="008B42FE">
            <w:pPr>
              <w:pStyle w:val="NoSpacing"/>
              <w:spacing w:line="360" w:lineRule="auto"/>
              <w:rPr>
                <w:rFonts w:ascii="Times New Roman" w:hAnsi="Times New Roman" w:cs="Times New Roman"/>
                <w:b/>
                <w:color w:val="000000"/>
                <w:sz w:val="14"/>
                <w:szCs w:val="14"/>
              </w:rPr>
            </w:pPr>
            <w:r w:rsidRPr="00EC5D73">
              <w:rPr>
                <w:rFonts w:ascii="Times New Roman" w:hAnsi="Times New Roman" w:cs="Times New Roman"/>
                <w:b/>
                <w:color w:val="000000"/>
                <w:sz w:val="14"/>
                <w:szCs w:val="14"/>
              </w:rPr>
              <w:t>0±0.00</w:t>
            </w:r>
          </w:p>
        </w:tc>
        <w:tc>
          <w:tcPr>
            <w:tcW w:w="807" w:type="dxa"/>
            <w:tcBorders>
              <w:top w:val="nil"/>
              <w:left w:val="nil"/>
              <w:bottom w:val="single" w:sz="8" w:space="0" w:color="000000"/>
              <w:right w:val="single" w:sz="8" w:space="0" w:color="000000"/>
            </w:tcBorders>
            <w:hideMark/>
          </w:tcPr>
          <w:p w14:paraId="07E8440C"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74873855"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0288F9A7"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5BDE2BB2"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753F3610"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1509F1F6"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r>
      <w:tr w:rsidR="0046662D" w:rsidRPr="00EC5D73" w14:paraId="296FB5FD" w14:textId="77777777" w:rsidTr="008B42FE">
        <w:trPr>
          <w:trHeight w:val="239"/>
        </w:trPr>
        <w:tc>
          <w:tcPr>
            <w:tcW w:w="663" w:type="dxa"/>
            <w:tcBorders>
              <w:top w:val="nil"/>
              <w:left w:val="single" w:sz="8" w:space="0" w:color="000000"/>
              <w:bottom w:val="single" w:sz="8" w:space="0" w:color="000000"/>
              <w:right w:val="single" w:sz="8" w:space="0" w:color="000000"/>
            </w:tcBorders>
          </w:tcPr>
          <w:p w14:paraId="0260B81C" w14:textId="77777777" w:rsidR="0046662D" w:rsidRPr="0036333D" w:rsidRDefault="0046662D" w:rsidP="008B42FE">
            <w:pPr>
              <w:pStyle w:val="NoSpacing"/>
              <w:spacing w:line="360" w:lineRule="auto"/>
              <w:rPr>
                <w:rFonts w:ascii="Times New Roman" w:hAnsi="Times New Roman" w:cs="Times New Roman"/>
                <w:b/>
                <w:bCs/>
                <w:sz w:val="14"/>
                <w:szCs w:val="14"/>
              </w:rPr>
            </w:pPr>
            <w:r w:rsidRPr="0036333D">
              <w:rPr>
                <w:rFonts w:ascii="Times New Roman" w:hAnsi="Times New Roman" w:cs="Times New Roman"/>
                <w:b/>
                <w:bCs/>
                <w:sz w:val="14"/>
                <w:szCs w:val="14"/>
              </w:rPr>
              <w:t>9.7</w:t>
            </w:r>
          </w:p>
        </w:tc>
        <w:tc>
          <w:tcPr>
            <w:tcW w:w="922" w:type="dxa"/>
            <w:tcBorders>
              <w:top w:val="nil"/>
              <w:left w:val="single" w:sz="8" w:space="0" w:color="000000"/>
              <w:bottom w:val="single" w:sz="8" w:space="0" w:color="000000"/>
              <w:right w:val="single" w:sz="8" w:space="0" w:color="000000"/>
            </w:tcBorders>
            <w:hideMark/>
          </w:tcPr>
          <w:p w14:paraId="5383C298"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17.5±10.61</w:t>
            </w:r>
          </w:p>
        </w:tc>
        <w:tc>
          <w:tcPr>
            <w:tcW w:w="807" w:type="dxa"/>
            <w:tcBorders>
              <w:top w:val="nil"/>
              <w:left w:val="nil"/>
              <w:bottom w:val="single" w:sz="8" w:space="0" w:color="000000"/>
              <w:right w:val="single" w:sz="8" w:space="0" w:color="000000"/>
            </w:tcBorders>
            <w:hideMark/>
          </w:tcPr>
          <w:p w14:paraId="00CD1273"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24±1.41</w:t>
            </w:r>
          </w:p>
        </w:tc>
        <w:tc>
          <w:tcPr>
            <w:tcW w:w="807" w:type="dxa"/>
            <w:tcBorders>
              <w:top w:val="nil"/>
              <w:left w:val="nil"/>
              <w:bottom w:val="single" w:sz="8" w:space="0" w:color="000000"/>
              <w:right w:val="single" w:sz="8" w:space="0" w:color="000000"/>
            </w:tcBorders>
            <w:hideMark/>
          </w:tcPr>
          <w:p w14:paraId="564965FF"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23±4.24</w:t>
            </w:r>
          </w:p>
        </w:tc>
        <w:tc>
          <w:tcPr>
            <w:tcW w:w="807" w:type="dxa"/>
            <w:tcBorders>
              <w:top w:val="nil"/>
              <w:left w:val="nil"/>
              <w:bottom w:val="single" w:sz="8" w:space="0" w:color="000000"/>
              <w:right w:val="single" w:sz="8" w:space="0" w:color="000000"/>
            </w:tcBorders>
            <w:hideMark/>
          </w:tcPr>
          <w:p w14:paraId="58DAC586"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22.5±2.12</w:t>
            </w:r>
          </w:p>
        </w:tc>
        <w:tc>
          <w:tcPr>
            <w:tcW w:w="807" w:type="dxa"/>
            <w:tcBorders>
              <w:top w:val="nil"/>
              <w:left w:val="nil"/>
              <w:bottom w:val="single" w:sz="8" w:space="0" w:color="000000"/>
              <w:right w:val="single" w:sz="8" w:space="0" w:color="000000"/>
            </w:tcBorders>
            <w:hideMark/>
          </w:tcPr>
          <w:p w14:paraId="5BD87B79"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17±2.83</w:t>
            </w:r>
          </w:p>
        </w:tc>
        <w:tc>
          <w:tcPr>
            <w:tcW w:w="807" w:type="dxa"/>
            <w:tcBorders>
              <w:top w:val="nil"/>
              <w:left w:val="nil"/>
              <w:bottom w:val="single" w:sz="8" w:space="0" w:color="000000"/>
              <w:right w:val="single" w:sz="8" w:space="0" w:color="000000"/>
            </w:tcBorders>
            <w:hideMark/>
          </w:tcPr>
          <w:p w14:paraId="1B05A9F9"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43568734"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698DB63F"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7C957F5A"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0E439230"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514C03E4"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6C3E3477"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r>
      <w:tr w:rsidR="0046662D" w:rsidRPr="00EC5D73" w14:paraId="548F754D" w14:textId="77777777" w:rsidTr="008B42FE">
        <w:trPr>
          <w:trHeight w:val="299"/>
        </w:trPr>
        <w:tc>
          <w:tcPr>
            <w:tcW w:w="663" w:type="dxa"/>
            <w:tcBorders>
              <w:top w:val="nil"/>
              <w:left w:val="single" w:sz="8" w:space="0" w:color="000000"/>
              <w:bottom w:val="single" w:sz="8" w:space="0" w:color="000000"/>
              <w:right w:val="single" w:sz="8" w:space="0" w:color="000000"/>
            </w:tcBorders>
          </w:tcPr>
          <w:p w14:paraId="3DA56F05" w14:textId="77777777" w:rsidR="0046662D" w:rsidRPr="0036333D" w:rsidRDefault="0046662D" w:rsidP="008B42FE">
            <w:pPr>
              <w:pStyle w:val="NoSpacing"/>
              <w:spacing w:line="360" w:lineRule="auto"/>
              <w:rPr>
                <w:rFonts w:ascii="Times New Roman" w:hAnsi="Times New Roman" w:cs="Times New Roman"/>
                <w:b/>
                <w:bCs/>
                <w:sz w:val="14"/>
                <w:szCs w:val="14"/>
              </w:rPr>
            </w:pPr>
            <w:r w:rsidRPr="0036333D">
              <w:rPr>
                <w:rFonts w:ascii="Times New Roman" w:hAnsi="Times New Roman" w:cs="Times New Roman"/>
                <w:b/>
                <w:bCs/>
                <w:sz w:val="14"/>
                <w:szCs w:val="14"/>
              </w:rPr>
              <w:t>4.8</w:t>
            </w:r>
          </w:p>
        </w:tc>
        <w:tc>
          <w:tcPr>
            <w:tcW w:w="922" w:type="dxa"/>
            <w:tcBorders>
              <w:top w:val="nil"/>
              <w:left w:val="single" w:sz="8" w:space="0" w:color="000000"/>
              <w:bottom w:val="single" w:sz="8" w:space="0" w:color="000000"/>
              <w:right w:val="single" w:sz="8" w:space="0" w:color="000000"/>
            </w:tcBorders>
            <w:hideMark/>
          </w:tcPr>
          <w:p w14:paraId="0EA0F0EE"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13.5±6.36</w:t>
            </w:r>
          </w:p>
        </w:tc>
        <w:tc>
          <w:tcPr>
            <w:tcW w:w="807" w:type="dxa"/>
            <w:tcBorders>
              <w:top w:val="nil"/>
              <w:left w:val="nil"/>
              <w:bottom w:val="single" w:sz="8" w:space="0" w:color="000000"/>
              <w:right w:val="single" w:sz="8" w:space="0" w:color="000000"/>
            </w:tcBorders>
            <w:hideMark/>
          </w:tcPr>
          <w:p w14:paraId="4F479355"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20±1.41</w:t>
            </w:r>
          </w:p>
        </w:tc>
        <w:tc>
          <w:tcPr>
            <w:tcW w:w="807" w:type="dxa"/>
            <w:tcBorders>
              <w:top w:val="nil"/>
              <w:left w:val="nil"/>
              <w:bottom w:val="single" w:sz="8" w:space="0" w:color="000000"/>
              <w:right w:val="single" w:sz="8" w:space="0" w:color="000000"/>
            </w:tcBorders>
            <w:hideMark/>
          </w:tcPr>
          <w:p w14:paraId="07EBF88D"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19±1.41</w:t>
            </w:r>
          </w:p>
        </w:tc>
        <w:tc>
          <w:tcPr>
            <w:tcW w:w="807" w:type="dxa"/>
            <w:tcBorders>
              <w:top w:val="nil"/>
              <w:left w:val="nil"/>
              <w:bottom w:val="single" w:sz="8" w:space="0" w:color="000000"/>
              <w:right w:val="single" w:sz="8" w:space="0" w:color="000000"/>
            </w:tcBorders>
            <w:hideMark/>
          </w:tcPr>
          <w:p w14:paraId="02AAF671"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14.5±0.71</w:t>
            </w:r>
          </w:p>
        </w:tc>
        <w:tc>
          <w:tcPr>
            <w:tcW w:w="807" w:type="dxa"/>
            <w:tcBorders>
              <w:top w:val="nil"/>
              <w:left w:val="nil"/>
              <w:bottom w:val="single" w:sz="8" w:space="0" w:color="000000"/>
              <w:right w:val="single" w:sz="8" w:space="0" w:color="000000"/>
            </w:tcBorders>
            <w:shd w:val="clear" w:color="auto" w:fill="FFFF00"/>
            <w:hideMark/>
          </w:tcPr>
          <w:p w14:paraId="73BD0FE2" w14:textId="77777777" w:rsidR="0046662D" w:rsidRPr="00EC5D73" w:rsidRDefault="0046662D" w:rsidP="008B42FE">
            <w:pPr>
              <w:pStyle w:val="NoSpacing"/>
              <w:spacing w:line="360" w:lineRule="auto"/>
              <w:rPr>
                <w:rFonts w:ascii="Times New Roman" w:hAnsi="Times New Roman" w:cs="Times New Roman"/>
                <w:b/>
                <w:color w:val="000000"/>
                <w:sz w:val="14"/>
                <w:szCs w:val="14"/>
              </w:rPr>
            </w:pPr>
            <w:r w:rsidRPr="00EC5D73">
              <w:rPr>
                <w:rFonts w:ascii="Times New Roman" w:hAnsi="Times New Roman" w:cs="Times New Roman"/>
                <w:b/>
                <w:color w:val="000000"/>
                <w:sz w:val="14"/>
                <w:szCs w:val="14"/>
              </w:rPr>
              <w:t>0±0.00</w:t>
            </w:r>
          </w:p>
        </w:tc>
        <w:tc>
          <w:tcPr>
            <w:tcW w:w="807" w:type="dxa"/>
            <w:tcBorders>
              <w:top w:val="nil"/>
              <w:left w:val="nil"/>
              <w:bottom w:val="single" w:sz="8" w:space="0" w:color="000000"/>
              <w:right w:val="single" w:sz="8" w:space="0" w:color="000000"/>
            </w:tcBorders>
            <w:hideMark/>
          </w:tcPr>
          <w:p w14:paraId="37175235"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14B98476"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2C1B681A"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327580FE"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60E2580E"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6658EB5F"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7C4A96FD"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0±0.00</w:t>
            </w:r>
          </w:p>
        </w:tc>
      </w:tr>
      <w:tr w:rsidR="0046662D" w:rsidRPr="00EC5D73" w14:paraId="234D1E03" w14:textId="77777777" w:rsidTr="008B42FE">
        <w:trPr>
          <w:trHeight w:val="159"/>
        </w:trPr>
        <w:tc>
          <w:tcPr>
            <w:tcW w:w="663" w:type="dxa"/>
            <w:tcBorders>
              <w:top w:val="nil"/>
              <w:left w:val="single" w:sz="8" w:space="0" w:color="000000"/>
              <w:bottom w:val="single" w:sz="8" w:space="0" w:color="000000"/>
              <w:right w:val="single" w:sz="8" w:space="0" w:color="000000"/>
            </w:tcBorders>
          </w:tcPr>
          <w:p w14:paraId="1E93DB86" w14:textId="77777777" w:rsidR="0046662D" w:rsidRPr="0036333D" w:rsidRDefault="0046662D" w:rsidP="008B42FE">
            <w:pPr>
              <w:pStyle w:val="NoSpacing"/>
              <w:spacing w:line="360" w:lineRule="auto"/>
              <w:rPr>
                <w:rFonts w:ascii="Times New Roman" w:hAnsi="Times New Roman" w:cs="Times New Roman"/>
                <w:b/>
                <w:bCs/>
                <w:sz w:val="14"/>
                <w:szCs w:val="14"/>
              </w:rPr>
            </w:pPr>
            <w:r w:rsidRPr="0036333D">
              <w:rPr>
                <w:rFonts w:ascii="Times New Roman" w:hAnsi="Times New Roman" w:cs="Times New Roman"/>
                <w:b/>
                <w:bCs/>
                <w:sz w:val="14"/>
                <w:szCs w:val="14"/>
              </w:rPr>
              <w:t>2.4</w:t>
            </w:r>
          </w:p>
        </w:tc>
        <w:tc>
          <w:tcPr>
            <w:tcW w:w="922" w:type="dxa"/>
            <w:tcBorders>
              <w:top w:val="nil"/>
              <w:left w:val="single" w:sz="8" w:space="0" w:color="000000"/>
              <w:bottom w:val="single" w:sz="8" w:space="0" w:color="000000"/>
              <w:right w:val="single" w:sz="8" w:space="0" w:color="000000"/>
            </w:tcBorders>
            <w:hideMark/>
          </w:tcPr>
          <w:p w14:paraId="29596146"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8±11.31</w:t>
            </w:r>
          </w:p>
        </w:tc>
        <w:tc>
          <w:tcPr>
            <w:tcW w:w="807" w:type="dxa"/>
            <w:tcBorders>
              <w:top w:val="nil"/>
              <w:left w:val="nil"/>
              <w:bottom w:val="single" w:sz="8" w:space="0" w:color="000000"/>
              <w:right w:val="single" w:sz="8" w:space="0" w:color="000000"/>
            </w:tcBorders>
            <w:hideMark/>
          </w:tcPr>
          <w:p w14:paraId="64F579BE"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13.5±3.54</w:t>
            </w:r>
          </w:p>
        </w:tc>
        <w:tc>
          <w:tcPr>
            <w:tcW w:w="807" w:type="dxa"/>
            <w:tcBorders>
              <w:top w:val="nil"/>
              <w:left w:val="nil"/>
              <w:bottom w:val="single" w:sz="8" w:space="0" w:color="000000"/>
              <w:right w:val="single" w:sz="8" w:space="0" w:color="000000"/>
            </w:tcBorders>
            <w:hideMark/>
          </w:tcPr>
          <w:p w14:paraId="384C5A85"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9±1.41</w:t>
            </w:r>
          </w:p>
        </w:tc>
        <w:tc>
          <w:tcPr>
            <w:tcW w:w="807" w:type="dxa"/>
            <w:tcBorders>
              <w:top w:val="nil"/>
              <w:left w:val="nil"/>
              <w:bottom w:val="single" w:sz="8" w:space="0" w:color="000000"/>
              <w:right w:val="single" w:sz="8" w:space="0" w:color="000000"/>
            </w:tcBorders>
            <w:shd w:val="clear" w:color="auto" w:fill="FFFF00"/>
            <w:hideMark/>
          </w:tcPr>
          <w:p w14:paraId="64397AC1"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b/>
                <w:color w:val="000000"/>
                <w:sz w:val="14"/>
                <w:szCs w:val="14"/>
              </w:rPr>
              <w:t>0±0.00</w:t>
            </w:r>
          </w:p>
        </w:tc>
        <w:tc>
          <w:tcPr>
            <w:tcW w:w="807" w:type="dxa"/>
            <w:tcBorders>
              <w:top w:val="nil"/>
              <w:left w:val="nil"/>
              <w:bottom w:val="single" w:sz="8" w:space="0" w:color="000000"/>
              <w:right w:val="single" w:sz="8" w:space="0" w:color="000000"/>
            </w:tcBorders>
            <w:hideMark/>
          </w:tcPr>
          <w:p w14:paraId="0C27212C" w14:textId="77777777" w:rsidR="0046662D" w:rsidRPr="00EC5D73" w:rsidRDefault="0046662D" w:rsidP="008B42FE">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54304D68"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5C166001"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616DDC4E"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4EA98349"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581E7763"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0±0.00</w:t>
            </w:r>
          </w:p>
        </w:tc>
        <w:tc>
          <w:tcPr>
            <w:tcW w:w="807" w:type="dxa"/>
            <w:tcBorders>
              <w:top w:val="nil"/>
              <w:left w:val="nil"/>
              <w:bottom w:val="single" w:sz="8" w:space="0" w:color="000000"/>
              <w:right w:val="single" w:sz="8" w:space="0" w:color="000000"/>
            </w:tcBorders>
            <w:hideMark/>
          </w:tcPr>
          <w:p w14:paraId="23D6F213"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0±0.00</w:t>
            </w:r>
          </w:p>
        </w:tc>
        <w:tc>
          <w:tcPr>
            <w:tcW w:w="807" w:type="dxa"/>
            <w:tcBorders>
              <w:top w:val="nil"/>
              <w:left w:val="nil"/>
              <w:bottom w:val="single" w:sz="8" w:space="0" w:color="000000"/>
              <w:right w:val="single" w:sz="8" w:space="0" w:color="000000"/>
            </w:tcBorders>
            <w:hideMark/>
          </w:tcPr>
          <w:p w14:paraId="081185F8" w14:textId="77777777" w:rsidR="0046662D" w:rsidRPr="00EC5D73" w:rsidRDefault="0046662D" w:rsidP="008B42FE">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0±0.00</w:t>
            </w:r>
          </w:p>
        </w:tc>
      </w:tr>
    </w:tbl>
    <w:p w14:paraId="4183497C" w14:textId="77777777" w:rsidR="006A043B" w:rsidRDefault="006A043B" w:rsidP="00195F34">
      <w:pPr>
        <w:rPr>
          <w:rFonts w:ascii="Times New Roman" w:hAnsi="Times New Roman" w:cs="Times New Roman"/>
          <w:sz w:val="24"/>
          <w:szCs w:val="24"/>
        </w:rPr>
      </w:pPr>
    </w:p>
    <w:p w14:paraId="5BB9B302" w14:textId="77777777" w:rsidR="006A043B" w:rsidRPr="006A043B" w:rsidRDefault="006A043B" w:rsidP="006A043B">
      <w:pPr>
        <w:rPr>
          <w:rFonts w:ascii="Times New Roman" w:hAnsi="Times New Roman" w:cs="Times New Roman"/>
          <w:sz w:val="24"/>
          <w:szCs w:val="24"/>
        </w:rPr>
      </w:pPr>
    </w:p>
    <w:p w14:paraId="33F78A16" w14:textId="77777777" w:rsidR="00001F87" w:rsidRPr="003E42AE" w:rsidRDefault="00001F87" w:rsidP="00001F87">
      <w:pPr>
        <w:rPr>
          <w:rFonts w:ascii="Times New Roman" w:hAnsi="Times New Roman" w:cs="Times New Roman"/>
        </w:rPr>
      </w:pPr>
      <w:proofErr w:type="gramStart"/>
      <w:r w:rsidRPr="003E42AE">
        <w:rPr>
          <w:rFonts w:ascii="Times New Roman" w:hAnsi="Times New Roman" w:cs="Times New Roman"/>
          <w:bCs/>
        </w:rPr>
        <w:t>T</w:t>
      </w:r>
      <w:r w:rsidRPr="003E42AE">
        <w:rPr>
          <w:rFonts w:ascii="Times New Roman" w:hAnsi="Times New Roman" w:cs="Times New Roman"/>
        </w:rPr>
        <w:t>able :</w:t>
      </w:r>
      <w:proofErr w:type="gramEnd"/>
      <w:r w:rsidRPr="003E42AE">
        <w:rPr>
          <w:rFonts w:ascii="Times New Roman" w:hAnsi="Times New Roman" w:cs="Times New Roman"/>
        </w:rPr>
        <w:t xml:space="preserve"> </w:t>
      </w:r>
      <w:r>
        <w:rPr>
          <w:rFonts w:ascii="Times New Roman" w:hAnsi="Times New Roman" w:cs="Times New Roman"/>
        </w:rPr>
        <w:t xml:space="preserve">2. </w:t>
      </w:r>
      <w:r w:rsidRPr="003E42AE">
        <w:rPr>
          <w:rFonts w:ascii="Times New Roman" w:hAnsi="Times New Roman" w:cs="Times New Roman"/>
        </w:rPr>
        <w:t xml:space="preserve">Zone of inhibition of the Oxy tetracycline treated  with  10 to 40kGy </w:t>
      </w:r>
    </w:p>
    <w:tbl>
      <w:tblPr>
        <w:tblStyle w:val="TableGrid"/>
        <w:tblW w:w="0" w:type="auto"/>
        <w:jc w:val="center"/>
        <w:tblLook w:val="04A0" w:firstRow="1" w:lastRow="0" w:firstColumn="1" w:lastColumn="0" w:noHBand="0" w:noVBand="1"/>
      </w:tblPr>
      <w:tblGrid>
        <w:gridCol w:w="763"/>
        <w:gridCol w:w="1266"/>
        <w:gridCol w:w="1188"/>
        <w:gridCol w:w="1188"/>
        <w:gridCol w:w="1188"/>
        <w:gridCol w:w="1188"/>
        <w:gridCol w:w="1188"/>
      </w:tblGrid>
      <w:tr w:rsidR="00001F87" w:rsidRPr="003E42AE" w14:paraId="69A052F6" w14:textId="77777777" w:rsidTr="0091535C">
        <w:trPr>
          <w:trHeight w:val="1034"/>
          <w:jc w:val="center"/>
        </w:trPr>
        <w:tc>
          <w:tcPr>
            <w:tcW w:w="0" w:type="auto"/>
          </w:tcPr>
          <w:p w14:paraId="3A794F66" w14:textId="77777777" w:rsidR="00001F87" w:rsidRPr="003E42AE" w:rsidRDefault="00001F87" w:rsidP="0091535C">
            <w:pPr>
              <w:pStyle w:val="NoSpacing"/>
              <w:spacing w:line="360" w:lineRule="auto"/>
              <w:rPr>
                <w:rFonts w:ascii="Times New Roman" w:hAnsi="Times New Roman" w:cs="Times New Roman"/>
                <w:sz w:val="24"/>
                <w:szCs w:val="24"/>
              </w:rPr>
            </w:pPr>
            <w:r w:rsidRPr="003E42AE">
              <w:rPr>
                <w:rFonts w:ascii="Times New Roman" w:hAnsi="Times New Roman" w:cs="Times New Roman"/>
                <w:sz w:val="24"/>
                <w:szCs w:val="24"/>
              </w:rPr>
              <w:t>S. No</w:t>
            </w:r>
          </w:p>
        </w:tc>
        <w:tc>
          <w:tcPr>
            <w:tcW w:w="0" w:type="auto"/>
          </w:tcPr>
          <w:p w14:paraId="5AE7DAFD" w14:textId="77777777" w:rsidR="00001F87" w:rsidRPr="003E42AE" w:rsidRDefault="00001F87" w:rsidP="0091535C">
            <w:pPr>
              <w:pStyle w:val="NoSpacing"/>
              <w:spacing w:line="360" w:lineRule="auto"/>
              <w:rPr>
                <w:rFonts w:ascii="Times New Roman" w:hAnsi="Times New Roman" w:cs="Times New Roman"/>
                <w:sz w:val="24"/>
                <w:szCs w:val="24"/>
              </w:rPr>
            </w:pPr>
            <w:r w:rsidRPr="003E42AE">
              <w:rPr>
                <w:rFonts w:ascii="Times New Roman" w:hAnsi="Times New Roman" w:cs="Times New Roman"/>
                <w:sz w:val="24"/>
                <w:szCs w:val="24"/>
              </w:rPr>
              <w:t>CAP</w:t>
            </w:r>
          </w:p>
          <w:p w14:paraId="0BC8FB13" w14:textId="77777777" w:rsidR="00001F87" w:rsidRPr="003E42AE" w:rsidRDefault="00001F87" w:rsidP="0091535C">
            <w:pPr>
              <w:pStyle w:val="NoSpacing"/>
              <w:spacing w:line="360" w:lineRule="auto"/>
              <w:rPr>
                <w:rFonts w:ascii="Times New Roman" w:hAnsi="Times New Roman" w:cs="Times New Roman"/>
                <w:sz w:val="24"/>
                <w:szCs w:val="24"/>
              </w:rPr>
            </w:pPr>
            <w:r w:rsidRPr="003E42AE">
              <w:rPr>
                <w:rFonts w:ascii="Times New Roman" w:hAnsi="Times New Roman" w:cs="Times New Roman"/>
                <w:sz w:val="24"/>
                <w:szCs w:val="24"/>
              </w:rPr>
              <w:t>(µg/100µl)</w:t>
            </w:r>
          </w:p>
        </w:tc>
        <w:tc>
          <w:tcPr>
            <w:tcW w:w="0" w:type="auto"/>
          </w:tcPr>
          <w:p w14:paraId="3854AF3E" w14:textId="77777777" w:rsidR="00001F87" w:rsidRPr="003E42AE" w:rsidRDefault="00001F87" w:rsidP="0091535C">
            <w:pPr>
              <w:pStyle w:val="NoSpacing"/>
              <w:spacing w:line="360" w:lineRule="auto"/>
              <w:rPr>
                <w:rFonts w:ascii="Times New Roman" w:hAnsi="Times New Roman" w:cs="Times New Roman"/>
                <w:sz w:val="24"/>
                <w:szCs w:val="24"/>
              </w:rPr>
            </w:pPr>
            <w:r w:rsidRPr="003E42AE">
              <w:rPr>
                <w:rFonts w:ascii="Times New Roman" w:hAnsi="Times New Roman" w:cs="Times New Roman"/>
                <w:bCs/>
                <w:kern w:val="24"/>
                <w:sz w:val="24"/>
                <w:szCs w:val="24"/>
              </w:rPr>
              <w:t>Control</w:t>
            </w:r>
          </w:p>
        </w:tc>
        <w:tc>
          <w:tcPr>
            <w:tcW w:w="0" w:type="auto"/>
          </w:tcPr>
          <w:p w14:paraId="23D39EDD" w14:textId="77777777" w:rsidR="00001F87" w:rsidRPr="003E42AE" w:rsidRDefault="00001F87" w:rsidP="0091535C">
            <w:pPr>
              <w:pStyle w:val="NoSpacing"/>
              <w:spacing w:line="360" w:lineRule="auto"/>
              <w:rPr>
                <w:rFonts w:ascii="Times New Roman" w:hAnsi="Times New Roman" w:cs="Times New Roman"/>
                <w:sz w:val="24"/>
                <w:szCs w:val="24"/>
              </w:rPr>
            </w:pPr>
            <w:r w:rsidRPr="003E42AE">
              <w:rPr>
                <w:rFonts w:ascii="Times New Roman" w:hAnsi="Times New Roman" w:cs="Times New Roman"/>
                <w:bCs/>
                <w:kern w:val="24"/>
                <w:sz w:val="24"/>
                <w:szCs w:val="24"/>
              </w:rPr>
              <w:t>2.5kGy</w:t>
            </w:r>
          </w:p>
        </w:tc>
        <w:tc>
          <w:tcPr>
            <w:tcW w:w="0" w:type="auto"/>
          </w:tcPr>
          <w:p w14:paraId="088246C0" w14:textId="77777777" w:rsidR="00001F87" w:rsidRPr="003E42AE" w:rsidRDefault="00001F87" w:rsidP="0091535C">
            <w:pPr>
              <w:pStyle w:val="NoSpacing"/>
              <w:spacing w:line="360" w:lineRule="auto"/>
              <w:rPr>
                <w:rFonts w:ascii="Times New Roman" w:hAnsi="Times New Roman" w:cs="Times New Roman"/>
                <w:sz w:val="24"/>
                <w:szCs w:val="24"/>
              </w:rPr>
            </w:pPr>
            <w:r w:rsidRPr="003E42AE">
              <w:rPr>
                <w:rFonts w:ascii="Times New Roman" w:hAnsi="Times New Roman" w:cs="Times New Roman"/>
                <w:bCs/>
                <w:kern w:val="24"/>
                <w:sz w:val="24"/>
                <w:szCs w:val="24"/>
              </w:rPr>
              <w:t>5.0kGy</w:t>
            </w:r>
          </w:p>
        </w:tc>
        <w:tc>
          <w:tcPr>
            <w:tcW w:w="0" w:type="auto"/>
          </w:tcPr>
          <w:p w14:paraId="08E0EBA6" w14:textId="77777777" w:rsidR="00001F87" w:rsidRPr="003E42AE" w:rsidRDefault="00001F87" w:rsidP="0091535C">
            <w:pPr>
              <w:pStyle w:val="NoSpacing"/>
              <w:spacing w:line="360" w:lineRule="auto"/>
              <w:rPr>
                <w:rFonts w:ascii="Times New Roman" w:hAnsi="Times New Roman" w:cs="Times New Roman"/>
                <w:sz w:val="24"/>
                <w:szCs w:val="24"/>
              </w:rPr>
            </w:pPr>
            <w:r w:rsidRPr="003E42AE">
              <w:rPr>
                <w:rFonts w:ascii="Times New Roman" w:hAnsi="Times New Roman" w:cs="Times New Roman"/>
                <w:bCs/>
                <w:kern w:val="24"/>
                <w:sz w:val="24"/>
                <w:szCs w:val="24"/>
              </w:rPr>
              <w:t>7.5kGy</w:t>
            </w:r>
          </w:p>
        </w:tc>
        <w:tc>
          <w:tcPr>
            <w:tcW w:w="0" w:type="auto"/>
          </w:tcPr>
          <w:p w14:paraId="37BD061D" w14:textId="77777777" w:rsidR="00001F87" w:rsidRPr="003E42AE" w:rsidRDefault="00001F87" w:rsidP="0091535C">
            <w:pPr>
              <w:pStyle w:val="NoSpacing"/>
              <w:spacing w:line="360" w:lineRule="auto"/>
              <w:rPr>
                <w:rFonts w:ascii="Times New Roman" w:hAnsi="Times New Roman" w:cs="Times New Roman"/>
                <w:sz w:val="24"/>
                <w:szCs w:val="24"/>
              </w:rPr>
            </w:pPr>
            <w:r w:rsidRPr="003E42AE">
              <w:rPr>
                <w:rFonts w:ascii="Times New Roman" w:hAnsi="Times New Roman" w:cs="Times New Roman"/>
                <w:bCs/>
                <w:kern w:val="24"/>
                <w:sz w:val="24"/>
                <w:szCs w:val="24"/>
              </w:rPr>
              <w:t>10kGy</w:t>
            </w:r>
          </w:p>
        </w:tc>
      </w:tr>
      <w:tr w:rsidR="00001F87" w:rsidRPr="003E42AE" w14:paraId="33EA1CE1" w14:textId="77777777" w:rsidTr="0091535C">
        <w:trPr>
          <w:trHeight w:val="161"/>
          <w:jc w:val="center"/>
        </w:trPr>
        <w:tc>
          <w:tcPr>
            <w:tcW w:w="0" w:type="auto"/>
          </w:tcPr>
          <w:p w14:paraId="469B8BB2" w14:textId="77777777" w:rsidR="00001F87" w:rsidRPr="003E42AE" w:rsidRDefault="00001F87" w:rsidP="00001F87">
            <w:pPr>
              <w:pStyle w:val="NoSpacing"/>
              <w:numPr>
                <w:ilvl w:val="0"/>
                <w:numId w:val="10"/>
              </w:numPr>
              <w:spacing w:line="360" w:lineRule="auto"/>
              <w:rPr>
                <w:rFonts w:ascii="Times New Roman" w:hAnsi="Times New Roman" w:cs="Times New Roman"/>
                <w:sz w:val="24"/>
                <w:szCs w:val="24"/>
              </w:rPr>
            </w:pPr>
          </w:p>
        </w:tc>
        <w:tc>
          <w:tcPr>
            <w:tcW w:w="0" w:type="auto"/>
          </w:tcPr>
          <w:p w14:paraId="584B0DD2" w14:textId="77777777" w:rsidR="00001F87" w:rsidRPr="003E42AE" w:rsidRDefault="00001F87" w:rsidP="0091535C">
            <w:pPr>
              <w:pStyle w:val="NoSpacing"/>
              <w:spacing w:line="360" w:lineRule="auto"/>
              <w:jc w:val="center"/>
              <w:rPr>
                <w:rFonts w:ascii="Times New Roman" w:hAnsi="Times New Roman" w:cs="Times New Roman"/>
                <w:sz w:val="24"/>
                <w:szCs w:val="24"/>
              </w:rPr>
            </w:pPr>
            <w:r w:rsidRPr="003E42AE">
              <w:rPr>
                <w:rFonts w:ascii="Times New Roman" w:hAnsi="Times New Roman" w:cs="Times New Roman"/>
                <w:bCs/>
                <w:color w:val="000000"/>
                <w:kern w:val="24"/>
                <w:sz w:val="24"/>
                <w:szCs w:val="24"/>
              </w:rPr>
              <w:t>5000</w:t>
            </w:r>
          </w:p>
        </w:tc>
        <w:tc>
          <w:tcPr>
            <w:tcW w:w="0" w:type="auto"/>
          </w:tcPr>
          <w:p w14:paraId="525E092E"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28±1.41</w:t>
            </w:r>
          </w:p>
        </w:tc>
        <w:tc>
          <w:tcPr>
            <w:tcW w:w="0" w:type="auto"/>
          </w:tcPr>
          <w:p w14:paraId="7C930605"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27.5±0.71</w:t>
            </w:r>
          </w:p>
        </w:tc>
        <w:tc>
          <w:tcPr>
            <w:tcW w:w="0" w:type="auto"/>
          </w:tcPr>
          <w:p w14:paraId="2F5AE5A1"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28±1.41</w:t>
            </w:r>
          </w:p>
        </w:tc>
        <w:tc>
          <w:tcPr>
            <w:tcW w:w="0" w:type="auto"/>
          </w:tcPr>
          <w:p w14:paraId="4D28160C"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28±1.41</w:t>
            </w:r>
          </w:p>
        </w:tc>
        <w:tc>
          <w:tcPr>
            <w:tcW w:w="0" w:type="auto"/>
          </w:tcPr>
          <w:p w14:paraId="15E2ABEB"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27.5±2.12</w:t>
            </w:r>
          </w:p>
        </w:tc>
      </w:tr>
      <w:tr w:rsidR="00001F87" w:rsidRPr="003E42AE" w14:paraId="6C29EE6A" w14:textId="77777777" w:rsidTr="0091535C">
        <w:trPr>
          <w:trHeight w:val="71"/>
          <w:jc w:val="center"/>
        </w:trPr>
        <w:tc>
          <w:tcPr>
            <w:tcW w:w="0" w:type="auto"/>
          </w:tcPr>
          <w:p w14:paraId="3762BAA8" w14:textId="77777777" w:rsidR="00001F87" w:rsidRPr="003E42AE" w:rsidRDefault="00001F87" w:rsidP="00001F87">
            <w:pPr>
              <w:pStyle w:val="NoSpacing"/>
              <w:numPr>
                <w:ilvl w:val="0"/>
                <w:numId w:val="10"/>
              </w:numPr>
              <w:spacing w:line="360" w:lineRule="auto"/>
              <w:rPr>
                <w:rFonts w:ascii="Times New Roman" w:hAnsi="Times New Roman" w:cs="Times New Roman"/>
                <w:sz w:val="24"/>
                <w:szCs w:val="24"/>
              </w:rPr>
            </w:pPr>
          </w:p>
        </w:tc>
        <w:tc>
          <w:tcPr>
            <w:tcW w:w="0" w:type="auto"/>
          </w:tcPr>
          <w:p w14:paraId="619F8D7B" w14:textId="77777777" w:rsidR="00001F87" w:rsidRPr="003E42AE" w:rsidRDefault="00001F87" w:rsidP="0091535C">
            <w:pPr>
              <w:pStyle w:val="NoSpacing"/>
              <w:spacing w:line="360" w:lineRule="auto"/>
              <w:jc w:val="center"/>
              <w:rPr>
                <w:rFonts w:ascii="Times New Roman" w:hAnsi="Times New Roman" w:cs="Times New Roman"/>
                <w:sz w:val="24"/>
                <w:szCs w:val="24"/>
              </w:rPr>
            </w:pPr>
            <w:r w:rsidRPr="003E42AE">
              <w:rPr>
                <w:rFonts w:ascii="Times New Roman" w:hAnsi="Times New Roman" w:cs="Times New Roman"/>
                <w:bCs/>
                <w:color w:val="000000"/>
                <w:kern w:val="24"/>
                <w:sz w:val="24"/>
                <w:szCs w:val="24"/>
              </w:rPr>
              <w:t>2500</w:t>
            </w:r>
          </w:p>
        </w:tc>
        <w:tc>
          <w:tcPr>
            <w:tcW w:w="0" w:type="auto"/>
          </w:tcPr>
          <w:p w14:paraId="41038857"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26±1.41</w:t>
            </w:r>
          </w:p>
        </w:tc>
        <w:tc>
          <w:tcPr>
            <w:tcW w:w="0" w:type="auto"/>
          </w:tcPr>
          <w:p w14:paraId="3F925795"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26.5±0.71</w:t>
            </w:r>
          </w:p>
        </w:tc>
        <w:tc>
          <w:tcPr>
            <w:tcW w:w="0" w:type="auto"/>
          </w:tcPr>
          <w:p w14:paraId="6C36D122"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28.5±0.71</w:t>
            </w:r>
          </w:p>
        </w:tc>
        <w:tc>
          <w:tcPr>
            <w:tcW w:w="0" w:type="auto"/>
          </w:tcPr>
          <w:p w14:paraId="0E01F5AC"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26±1.41</w:t>
            </w:r>
          </w:p>
        </w:tc>
        <w:tc>
          <w:tcPr>
            <w:tcW w:w="0" w:type="auto"/>
          </w:tcPr>
          <w:p w14:paraId="7C3A85BF"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26.5±0.71</w:t>
            </w:r>
          </w:p>
        </w:tc>
      </w:tr>
      <w:tr w:rsidR="00001F87" w:rsidRPr="003E42AE" w14:paraId="13978D41" w14:textId="77777777" w:rsidTr="0091535C">
        <w:trPr>
          <w:trHeight w:val="297"/>
          <w:jc w:val="center"/>
        </w:trPr>
        <w:tc>
          <w:tcPr>
            <w:tcW w:w="0" w:type="auto"/>
          </w:tcPr>
          <w:p w14:paraId="1FAC466E" w14:textId="77777777" w:rsidR="00001F87" w:rsidRPr="003E42AE" w:rsidRDefault="00001F87" w:rsidP="00001F87">
            <w:pPr>
              <w:pStyle w:val="NoSpacing"/>
              <w:numPr>
                <w:ilvl w:val="0"/>
                <w:numId w:val="10"/>
              </w:numPr>
              <w:spacing w:line="360" w:lineRule="auto"/>
              <w:rPr>
                <w:rFonts w:ascii="Times New Roman" w:hAnsi="Times New Roman" w:cs="Times New Roman"/>
                <w:sz w:val="24"/>
                <w:szCs w:val="24"/>
              </w:rPr>
            </w:pPr>
          </w:p>
        </w:tc>
        <w:tc>
          <w:tcPr>
            <w:tcW w:w="0" w:type="auto"/>
          </w:tcPr>
          <w:p w14:paraId="2F16AF6C" w14:textId="77777777" w:rsidR="00001F87" w:rsidRPr="003E42AE" w:rsidRDefault="00001F87" w:rsidP="0091535C">
            <w:pPr>
              <w:pStyle w:val="NoSpacing"/>
              <w:spacing w:line="360" w:lineRule="auto"/>
              <w:jc w:val="center"/>
              <w:rPr>
                <w:rFonts w:ascii="Times New Roman" w:hAnsi="Times New Roman" w:cs="Times New Roman"/>
                <w:sz w:val="24"/>
                <w:szCs w:val="24"/>
              </w:rPr>
            </w:pPr>
            <w:r w:rsidRPr="003E42AE">
              <w:rPr>
                <w:rFonts w:ascii="Times New Roman" w:hAnsi="Times New Roman" w:cs="Times New Roman"/>
                <w:bCs/>
                <w:color w:val="000000"/>
                <w:kern w:val="24"/>
                <w:sz w:val="24"/>
                <w:szCs w:val="24"/>
              </w:rPr>
              <w:t>1250</w:t>
            </w:r>
          </w:p>
        </w:tc>
        <w:tc>
          <w:tcPr>
            <w:tcW w:w="0" w:type="auto"/>
          </w:tcPr>
          <w:p w14:paraId="14548453"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24±1.41</w:t>
            </w:r>
          </w:p>
        </w:tc>
        <w:tc>
          <w:tcPr>
            <w:tcW w:w="0" w:type="auto"/>
          </w:tcPr>
          <w:p w14:paraId="09651F93"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21±5.66</w:t>
            </w:r>
          </w:p>
        </w:tc>
        <w:tc>
          <w:tcPr>
            <w:tcW w:w="0" w:type="auto"/>
          </w:tcPr>
          <w:p w14:paraId="0778FF75"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27±0.00</w:t>
            </w:r>
          </w:p>
        </w:tc>
        <w:tc>
          <w:tcPr>
            <w:tcW w:w="0" w:type="auto"/>
          </w:tcPr>
          <w:p w14:paraId="47ECCFB2"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26.5±0.71</w:t>
            </w:r>
          </w:p>
        </w:tc>
        <w:tc>
          <w:tcPr>
            <w:tcW w:w="0" w:type="auto"/>
          </w:tcPr>
          <w:p w14:paraId="62E8AF3C"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24.5±0.71</w:t>
            </w:r>
          </w:p>
        </w:tc>
      </w:tr>
      <w:tr w:rsidR="00001F87" w:rsidRPr="003E42AE" w14:paraId="3B22CDA0" w14:textId="77777777" w:rsidTr="0091535C">
        <w:trPr>
          <w:trHeight w:val="279"/>
          <w:jc w:val="center"/>
        </w:trPr>
        <w:tc>
          <w:tcPr>
            <w:tcW w:w="0" w:type="auto"/>
          </w:tcPr>
          <w:p w14:paraId="3812C524" w14:textId="77777777" w:rsidR="00001F87" w:rsidRPr="003E42AE" w:rsidRDefault="00001F87" w:rsidP="00001F87">
            <w:pPr>
              <w:pStyle w:val="NoSpacing"/>
              <w:numPr>
                <w:ilvl w:val="0"/>
                <w:numId w:val="10"/>
              </w:numPr>
              <w:spacing w:line="360" w:lineRule="auto"/>
              <w:rPr>
                <w:rFonts w:ascii="Times New Roman" w:hAnsi="Times New Roman" w:cs="Times New Roman"/>
                <w:sz w:val="24"/>
                <w:szCs w:val="24"/>
              </w:rPr>
            </w:pPr>
          </w:p>
        </w:tc>
        <w:tc>
          <w:tcPr>
            <w:tcW w:w="0" w:type="auto"/>
          </w:tcPr>
          <w:p w14:paraId="4321B757" w14:textId="77777777" w:rsidR="00001F87" w:rsidRPr="003E42AE" w:rsidRDefault="00001F87" w:rsidP="0091535C">
            <w:pPr>
              <w:pStyle w:val="NoSpacing"/>
              <w:spacing w:line="360" w:lineRule="auto"/>
              <w:jc w:val="center"/>
              <w:rPr>
                <w:rFonts w:ascii="Times New Roman" w:hAnsi="Times New Roman" w:cs="Times New Roman"/>
                <w:sz w:val="24"/>
                <w:szCs w:val="24"/>
              </w:rPr>
            </w:pPr>
            <w:r w:rsidRPr="003E42AE">
              <w:rPr>
                <w:rFonts w:ascii="Times New Roman" w:hAnsi="Times New Roman" w:cs="Times New Roman"/>
                <w:bCs/>
                <w:color w:val="000000"/>
                <w:kern w:val="24"/>
                <w:sz w:val="24"/>
                <w:szCs w:val="24"/>
              </w:rPr>
              <w:t>625</w:t>
            </w:r>
          </w:p>
        </w:tc>
        <w:tc>
          <w:tcPr>
            <w:tcW w:w="0" w:type="auto"/>
          </w:tcPr>
          <w:p w14:paraId="7F836675"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24.5±0.71</w:t>
            </w:r>
          </w:p>
        </w:tc>
        <w:tc>
          <w:tcPr>
            <w:tcW w:w="0" w:type="auto"/>
          </w:tcPr>
          <w:p w14:paraId="6EFE9F3F"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19±5.66</w:t>
            </w:r>
          </w:p>
        </w:tc>
        <w:tc>
          <w:tcPr>
            <w:tcW w:w="0" w:type="auto"/>
          </w:tcPr>
          <w:p w14:paraId="393020C2"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22.5±0.71</w:t>
            </w:r>
          </w:p>
        </w:tc>
        <w:tc>
          <w:tcPr>
            <w:tcW w:w="0" w:type="auto"/>
          </w:tcPr>
          <w:p w14:paraId="06658979"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22.5±2.12</w:t>
            </w:r>
          </w:p>
        </w:tc>
        <w:tc>
          <w:tcPr>
            <w:tcW w:w="0" w:type="auto"/>
          </w:tcPr>
          <w:p w14:paraId="00579604"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21±1.41</w:t>
            </w:r>
          </w:p>
        </w:tc>
      </w:tr>
      <w:tr w:rsidR="00001F87" w:rsidRPr="003E42AE" w14:paraId="1583A27C" w14:textId="77777777" w:rsidTr="0091535C">
        <w:trPr>
          <w:trHeight w:val="279"/>
          <w:jc w:val="center"/>
        </w:trPr>
        <w:tc>
          <w:tcPr>
            <w:tcW w:w="0" w:type="auto"/>
          </w:tcPr>
          <w:p w14:paraId="4137597B" w14:textId="77777777" w:rsidR="00001F87" w:rsidRPr="003E42AE" w:rsidRDefault="00001F87" w:rsidP="00001F87">
            <w:pPr>
              <w:pStyle w:val="NoSpacing"/>
              <w:numPr>
                <w:ilvl w:val="0"/>
                <w:numId w:val="10"/>
              </w:numPr>
              <w:spacing w:line="360" w:lineRule="auto"/>
              <w:rPr>
                <w:rFonts w:ascii="Times New Roman" w:hAnsi="Times New Roman" w:cs="Times New Roman"/>
                <w:sz w:val="24"/>
                <w:szCs w:val="24"/>
              </w:rPr>
            </w:pPr>
          </w:p>
        </w:tc>
        <w:tc>
          <w:tcPr>
            <w:tcW w:w="0" w:type="auto"/>
          </w:tcPr>
          <w:p w14:paraId="03708A32" w14:textId="77777777" w:rsidR="00001F87" w:rsidRPr="003E42AE" w:rsidRDefault="00001F87" w:rsidP="0091535C">
            <w:pPr>
              <w:pStyle w:val="NoSpacing"/>
              <w:spacing w:line="360" w:lineRule="auto"/>
              <w:jc w:val="center"/>
              <w:rPr>
                <w:rFonts w:ascii="Times New Roman" w:hAnsi="Times New Roman" w:cs="Times New Roman"/>
                <w:sz w:val="24"/>
                <w:szCs w:val="24"/>
              </w:rPr>
            </w:pPr>
            <w:r w:rsidRPr="003E42AE">
              <w:rPr>
                <w:rFonts w:ascii="Times New Roman" w:hAnsi="Times New Roman" w:cs="Times New Roman"/>
                <w:bCs/>
                <w:color w:val="000000"/>
                <w:kern w:val="24"/>
                <w:sz w:val="24"/>
                <w:szCs w:val="24"/>
              </w:rPr>
              <w:t>312</w:t>
            </w:r>
          </w:p>
        </w:tc>
        <w:tc>
          <w:tcPr>
            <w:tcW w:w="0" w:type="auto"/>
          </w:tcPr>
          <w:p w14:paraId="0F7250B9"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25±0.00</w:t>
            </w:r>
          </w:p>
        </w:tc>
        <w:tc>
          <w:tcPr>
            <w:tcW w:w="0" w:type="auto"/>
          </w:tcPr>
          <w:p w14:paraId="2F8F714C"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20.5±0.71</w:t>
            </w:r>
          </w:p>
        </w:tc>
        <w:tc>
          <w:tcPr>
            <w:tcW w:w="0" w:type="auto"/>
          </w:tcPr>
          <w:p w14:paraId="2CFA2AE8"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20.5±0.71</w:t>
            </w:r>
          </w:p>
        </w:tc>
        <w:tc>
          <w:tcPr>
            <w:tcW w:w="0" w:type="auto"/>
          </w:tcPr>
          <w:p w14:paraId="144CC5E6"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16.5±0.71</w:t>
            </w:r>
          </w:p>
        </w:tc>
        <w:tc>
          <w:tcPr>
            <w:tcW w:w="0" w:type="auto"/>
          </w:tcPr>
          <w:p w14:paraId="6050C432"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16±1.41</w:t>
            </w:r>
          </w:p>
        </w:tc>
      </w:tr>
      <w:tr w:rsidR="00001F87" w:rsidRPr="003E42AE" w14:paraId="02C9A15A" w14:textId="77777777" w:rsidTr="0091535C">
        <w:trPr>
          <w:trHeight w:val="260"/>
          <w:jc w:val="center"/>
        </w:trPr>
        <w:tc>
          <w:tcPr>
            <w:tcW w:w="0" w:type="auto"/>
          </w:tcPr>
          <w:p w14:paraId="75FD2D3C" w14:textId="77777777" w:rsidR="00001F87" w:rsidRPr="003E42AE" w:rsidRDefault="00001F87" w:rsidP="00001F87">
            <w:pPr>
              <w:pStyle w:val="NoSpacing"/>
              <w:numPr>
                <w:ilvl w:val="0"/>
                <w:numId w:val="10"/>
              </w:numPr>
              <w:spacing w:line="360" w:lineRule="auto"/>
              <w:rPr>
                <w:rFonts w:ascii="Times New Roman" w:hAnsi="Times New Roman" w:cs="Times New Roman"/>
                <w:sz w:val="24"/>
                <w:szCs w:val="24"/>
              </w:rPr>
            </w:pPr>
          </w:p>
        </w:tc>
        <w:tc>
          <w:tcPr>
            <w:tcW w:w="0" w:type="auto"/>
          </w:tcPr>
          <w:p w14:paraId="0CBD4DDD" w14:textId="77777777" w:rsidR="00001F87" w:rsidRPr="003E42AE" w:rsidRDefault="00001F87" w:rsidP="0091535C">
            <w:pPr>
              <w:pStyle w:val="NoSpacing"/>
              <w:spacing w:line="360" w:lineRule="auto"/>
              <w:jc w:val="center"/>
              <w:rPr>
                <w:rFonts w:ascii="Times New Roman" w:hAnsi="Times New Roman" w:cs="Times New Roman"/>
                <w:sz w:val="24"/>
                <w:szCs w:val="24"/>
              </w:rPr>
            </w:pPr>
            <w:r w:rsidRPr="003E42AE">
              <w:rPr>
                <w:rFonts w:ascii="Times New Roman" w:hAnsi="Times New Roman" w:cs="Times New Roman"/>
                <w:bCs/>
                <w:color w:val="000000"/>
                <w:kern w:val="24"/>
                <w:sz w:val="24"/>
                <w:szCs w:val="24"/>
              </w:rPr>
              <w:t>156</w:t>
            </w:r>
          </w:p>
        </w:tc>
        <w:tc>
          <w:tcPr>
            <w:tcW w:w="0" w:type="auto"/>
          </w:tcPr>
          <w:p w14:paraId="5560BC86"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24±1.41</w:t>
            </w:r>
          </w:p>
        </w:tc>
        <w:tc>
          <w:tcPr>
            <w:tcW w:w="0" w:type="auto"/>
          </w:tcPr>
          <w:p w14:paraId="7B2D4515"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17.5±0.71</w:t>
            </w:r>
          </w:p>
        </w:tc>
        <w:tc>
          <w:tcPr>
            <w:tcW w:w="0" w:type="auto"/>
          </w:tcPr>
          <w:p w14:paraId="12C01FC2"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16±0.00</w:t>
            </w:r>
          </w:p>
        </w:tc>
        <w:tc>
          <w:tcPr>
            <w:tcW w:w="0" w:type="auto"/>
          </w:tcPr>
          <w:p w14:paraId="6F8F02F5"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14±1.41</w:t>
            </w:r>
          </w:p>
        </w:tc>
        <w:tc>
          <w:tcPr>
            <w:tcW w:w="0" w:type="auto"/>
          </w:tcPr>
          <w:p w14:paraId="5C7154A8"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10.5±2.12</w:t>
            </w:r>
          </w:p>
        </w:tc>
      </w:tr>
      <w:tr w:rsidR="00001F87" w:rsidRPr="003E42AE" w14:paraId="0B5D6BE8" w14:textId="77777777" w:rsidTr="0091535C">
        <w:trPr>
          <w:trHeight w:val="161"/>
          <w:jc w:val="center"/>
        </w:trPr>
        <w:tc>
          <w:tcPr>
            <w:tcW w:w="0" w:type="auto"/>
          </w:tcPr>
          <w:p w14:paraId="0C3FB7E4" w14:textId="77777777" w:rsidR="00001F87" w:rsidRPr="003E42AE" w:rsidRDefault="00001F87" w:rsidP="00001F87">
            <w:pPr>
              <w:pStyle w:val="NoSpacing"/>
              <w:numPr>
                <w:ilvl w:val="0"/>
                <w:numId w:val="10"/>
              </w:numPr>
              <w:spacing w:line="360" w:lineRule="auto"/>
              <w:rPr>
                <w:rFonts w:ascii="Times New Roman" w:hAnsi="Times New Roman" w:cs="Times New Roman"/>
                <w:sz w:val="24"/>
                <w:szCs w:val="24"/>
              </w:rPr>
            </w:pPr>
          </w:p>
        </w:tc>
        <w:tc>
          <w:tcPr>
            <w:tcW w:w="0" w:type="auto"/>
          </w:tcPr>
          <w:p w14:paraId="037E502B" w14:textId="77777777" w:rsidR="00001F87" w:rsidRPr="003E42AE" w:rsidRDefault="00001F87" w:rsidP="0091535C">
            <w:pPr>
              <w:pStyle w:val="NoSpacing"/>
              <w:spacing w:line="360" w:lineRule="auto"/>
              <w:jc w:val="center"/>
              <w:rPr>
                <w:rFonts w:ascii="Times New Roman" w:hAnsi="Times New Roman" w:cs="Times New Roman"/>
                <w:sz w:val="24"/>
                <w:szCs w:val="24"/>
              </w:rPr>
            </w:pPr>
            <w:r w:rsidRPr="003E42AE">
              <w:rPr>
                <w:rFonts w:ascii="Times New Roman" w:hAnsi="Times New Roman" w:cs="Times New Roman"/>
                <w:bCs/>
                <w:color w:val="000000"/>
                <w:kern w:val="24"/>
                <w:sz w:val="24"/>
                <w:szCs w:val="24"/>
              </w:rPr>
              <w:t>78</w:t>
            </w:r>
          </w:p>
        </w:tc>
        <w:tc>
          <w:tcPr>
            <w:tcW w:w="0" w:type="auto"/>
          </w:tcPr>
          <w:p w14:paraId="1FD63DC8"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23±1.41</w:t>
            </w:r>
          </w:p>
        </w:tc>
        <w:tc>
          <w:tcPr>
            <w:tcW w:w="0" w:type="auto"/>
          </w:tcPr>
          <w:p w14:paraId="790CE6C4"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10.5±2.12</w:t>
            </w:r>
          </w:p>
        </w:tc>
        <w:tc>
          <w:tcPr>
            <w:tcW w:w="0" w:type="auto"/>
          </w:tcPr>
          <w:p w14:paraId="7EFDE097"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11±1.41</w:t>
            </w:r>
          </w:p>
        </w:tc>
        <w:tc>
          <w:tcPr>
            <w:tcW w:w="0" w:type="auto"/>
          </w:tcPr>
          <w:p w14:paraId="6C9DF691"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5.5±7.78</w:t>
            </w:r>
          </w:p>
        </w:tc>
        <w:tc>
          <w:tcPr>
            <w:tcW w:w="0" w:type="auto"/>
          </w:tcPr>
          <w:p w14:paraId="0309004E"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5.5±2.12</w:t>
            </w:r>
          </w:p>
        </w:tc>
      </w:tr>
      <w:tr w:rsidR="00001F87" w:rsidRPr="003E42AE" w14:paraId="7ABB307A" w14:textId="77777777" w:rsidTr="0091535C">
        <w:trPr>
          <w:trHeight w:val="152"/>
          <w:jc w:val="center"/>
        </w:trPr>
        <w:tc>
          <w:tcPr>
            <w:tcW w:w="0" w:type="auto"/>
          </w:tcPr>
          <w:p w14:paraId="1A016646" w14:textId="77777777" w:rsidR="00001F87" w:rsidRPr="003E42AE" w:rsidRDefault="00001F87" w:rsidP="00001F87">
            <w:pPr>
              <w:pStyle w:val="NoSpacing"/>
              <w:numPr>
                <w:ilvl w:val="0"/>
                <w:numId w:val="10"/>
              </w:numPr>
              <w:spacing w:line="360" w:lineRule="auto"/>
              <w:rPr>
                <w:rFonts w:ascii="Times New Roman" w:hAnsi="Times New Roman" w:cs="Times New Roman"/>
                <w:sz w:val="24"/>
                <w:szCs w:val="24"/>
              </w:rPr>
            </w:pPr>
          </w:p>
        </w:tc>
        <w:tc>
          <w:tcPr>
            <w:tcW w:w="0" w:type="auto"/>
          </w:tcPr>
          <w:p w14:paraId="42BD3E5F" w14:textId="77777777" w:rsidR="00001F87" w:rsidRPr="003E42AE" w:rsidRDefault="00001F87" w:rsidP="0091535C">
            <w:pPr>
              <w:pStyle w:val="NoSpacing"/>
              <w:spacing w:line="360" w:lineRule="auto"/>
              <w:jc w:val="center"/>
              <w:rPr>
                <w:rFonts w:ascii="Times New Roman" w:hAnsi="Times New Roman" w:cs="Times New Roman"/>
                <w:sz w:val="24"/>
                <w:szCs w:val="24"/>
              </w:rPr>
            </w:pPr>
            <w:r w:rsidRPr="003E42AE">
              <w:rPr>
                <w:rFonts w:ascii="Times New Roman" w:hAnsi="Times New Roman" w:cs="Times New Roman"/>
                <w:bCs/>
                <w:color w:val="000000"/>
                <w:kern w:val="24"/>
                <w:sz w:val="24"/>
                <w:szCs w:val="24"/>
              </w:rPr>
              <w:t>39</w:t>
            </w:r>
          </w:p>
        </w:tc>
        <w:tc>
          <w:tcPr>
            <w:tcW w:w="0" w:type="auto"/>
          </w:tcPr>
          <w:p w14:paraId="710EA0E2"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22±1.41</w:t>
            </w:r>
          </w:p>
        </w:tc>
        <w:tc>
          <w:tcPr>
            <w:tcW w:w="0" w:type="auto"/>
            <w:shd w:val="clear" w:color="auto" w:fill="FFFF00"/>
          </w:tcPr>
          <w:p w14:paraId="593EE281"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0±0.00</w:t>
            </w:r>
          </w:p>
        </w:tc>
        <w:tc>
          <w:tcPr>
            <w:tcW w:w="0" w:type="auto"/>
            <w:shd w:val="clear" w:color="auto" w:fill="FFFF00"/>
          </w:tcPr>
          <w:p w14:paraId="5C8457FC"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0±0.00</w:t>
            </w:r>
          </w:p>
        </w:tc>
        <w:tc>
          <w:tcPr>
            <w:tcW w:w="0" w:type="auto"/>
            <w:shd w:val="clear" w:color="auto" w:fill="FFFF00"/>
          </w:tcPr>
          <w:p w14:paraId="5C3058AE" w14:textId="77777777" w:rsidR="00001F87" w:rsidRPr="003E42AE" w:rsidRDefault="00001F87" w:rsidP="0091535C">
            <w:pPr>
              <w:pStyle w:val="NoSpacing"/>
              <w:spacing w:line="360" w:lineRule="auto"/>
              <w:jc w:val="center"/>
              <w:rPr>
                <w:rFonts w:ascii="Times New Roman" w:hAnsi="Times New Roman" w:cs="Times New Roman"/>
                <w:sz w:val="24"/>
                <w:szCs w:val="24"/>
              </w:rPr>
            </w:pPr>
            <w:r w:rsidRPr="003E42AE">
              <w:rPr>
                <w:rFonts w:ascii="Times New Roman" w:hAnsi="Times New Roman" w:cs="Times New Roman"/>
                <w:color w:val="000000"/>
                <w:sz w:val="24"/>
                <w:szCs w:val="24"/>
              </w:rPr>
              <w:t>0±0.00</w:t>
            </w:r>
          </w:p>
        </w:tc>
        <w:tc>
          <w:tcPr>
            <w:tcW w:w="0" w:type="auto"/>
            <w:shd w:val="clear" w:color="auto" w:fill="FFFF00"/>
          </w:tcPr>
          <w:p w14:paraId="45C6E7E6" w14:textId="77777777" w:rsidR="00001F87" w:rsidRPr="003E42AE" w:rsidRDefault="00001F87" w:rsidP="0091535C">
            <w:pPr>
              <w:pStyle w:val="NoSpacing"/>
              <w:spacing w:line="360" w:lineRule="auto"/>
              <w:jc w:val="center"/>
              <w:rPr>
                <w:rFonts w:ascii="Times New Roman" w:hAnsi="Times New Roman" w:cs="Times New Roman"/>
                <w:sz w:val="24"/>
                <w:szCs w:val="24"/>
              </w:rPr>
            </w:pPr>
            <w:r w:rsidRPr="003E42AE">
              <w:rPr>
                <w:rFonts w:ascii="Times New Roman" w:hAnsi="Times New Roman" w:cs="Times New Roman"/>
                <w:color w:val="000000"/>
                <w:sz w:val="24"/>
                <w:szCs w:val="24"/>
              </w:rPr>
              <w:t>0±0.00</w:t>
            </w:r>
          </w:p>
        </w:tc>
      </w:tr>
      <w:tr w:rsidR="00001F87" w:rsidRPr="003E42AE" w14:paraId="7E9368B8" w14:textId="77777777" w:rsidTr="0091535C">
        <w:trPr>
          <w:trHeight w:val="64"/>
          <w:jc w:val="center"/>
        </w:trPr>
        <w:tc>
          <w:tcPr>
            <w:tcW w:w="0" w:type="auto"/>
          </w:tcPr>
          <w:p w14:paraId="7A3FB4EC" w14:textId="77777777" w:rsidR="00001F87" w:rsidRPr="003E42AE" w:rsidRDefault="00001F87" w:rsidP="00001F87">
            <w:pPr>
              <w:pStyle w:val="NoSpacing"/>
              <w:numPr>
                <w:ilvl w:val="0"/>
                <w:numId w:val="10"/>
              </w:numPr>
              <w:spacing w:line="360" w:lineRule="auto"/>
              <w:rPr>
                <w:rFonts w:ascii="Times New Roman" w:hAnsi="Times New Roman" w:cs="Times New Roman"/>
                <w:sz w:val="24"/>
                <w:szCs w:val="24"/>
              </w:rPr>
            </w:pPr>
          </w:p>
        </w:tc>
        <w:tc>
          <w:tcPr>
            <w:tcW w:w="0" w:type="auto"/>
          </w:tcPr>
          <w:p w14:paraId="790CC4A2" w14:textId="77777777" w:rsidR="00001F87" w:rsidRPr="003E42AE" w:rsidRDefault="00001F87" w:rsidP="0091535C">
            <w:pPr>
              <w:pStyle w:val="NoSpacing"/>
              <w:spacing w:line="360" w:lineRule="auto"/>
              <w:jc w:val="center"/>
              <w:rPr>
                <w:rFonts w:ascii="Times New Roman" w:hAnsi="Times New Roman" w:cs="Times New Roman"/>
                <w:sz w:val="24"/>
                <w:szCs w:val="24"/>
              </w:rPr>
            </w:pPr>
            <w:r w:rsidRPr="003E42AE">
              <w:rPr>
                <w:rFonts w:ascii="Times New Roman" w:hAnsi="Times New Roman" w:cs="Times New Roman"/>
                <w:bCs/>
                <w:color w:val="000000"/>
                <w:kern w:val="24"/>
                <w:sz w:val="24"/>
                <w:szCs w:val="24"/>
              </w:rPr>
              <w:t>19.5</w:t>
            </w:r>
          </w:p>
        </w:tc>
        <w:tc>
          <w:tcPr>
            <w:tcW w:w="0" w:type="auto"/>
          </w:tcPr>
          <w:p w14:paraId="79E06146"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20±1.41</w:t>
            </w:r>
          </w:p>
        </w:tc>
        <w:tc>
          <w:tcPr>
            <w:tcW w:w="0" w:type="auto"/>
          </w:tcPr>
          <w:p w14:paraId="3000C652" w14:textId="77777777" w:rsidR="00001F87" w:rsidRPr="003E42AE" w:rsidRDefault="00001F87" w:rsidP="0091535C">
            <w:pPr>
              <w:pStyle w:val="NoSpacing"/>
              <w:spacing w:line="360" w:lineRule="auto"/>
              <w:jc w:val="center"/>
              <w:rPr>
                <w:rFonts w:ascii="Times New Roman" w:hAnsi="Times New Roman" w:cs="Times New Roman"/>
                <w:sz w:val="24"/>
                <w:szCs w:val="24"/>
              </w:rPr>
            </w:pPr>
            <w:r w:rsidRPr="003E42AE">
              <w:rPr>
                <w:rFonts w:ascii="Times New Roman" w:hAnsi="Times New Roman" w:cs="Times New Roman"/>
                <w:color w:val="000000"/>
                <w:sz w:val="24"/>
                <w:szCs w:val="24"/>
              </w:rPr>
              <w:t>0±0.00</w:t>
            </w:r>
          </w:p>
        </w:tc>
        <w:tc>
          <w:tcPr>
            <w:tcW w:w="0" w:type="auto"/>
          </w:tcPr>
          <w:p w14:paraId="28C5166D" w14:textId="77777777" w:rsidR="00001F87" w:rsidRPr="003E42AE" w:rsidRDefault="00001F87" w:rsidP="0091535C">
            <w:pPr>
              <w:pStyle w:val="NoSpacing"/>
              <w:spacing w:line="360" w:lineRule="auto"/>
              <w:jc w:val="center"/>
              <w:rPr>
                <w:rFonts w:ascii="Times New Roman" w:hAnsi="Times New Roman" w:cs="Times New Roman"/>
                <w:sz w:val="24"/>
                <w:szCs w:val="24"/>
              </w:rPr>
            </w:pPr>
            <w:r w:rsidRPr="003E42AE">
              <w:rPr>
                <w:rFonts w:ascii="Times New Roman" w:hAnsi="Times New Roman" w:cs="Times New Roman"/>
                <w:color w:val="000000"/>
                <w:sz w:val="24"/>
                <w:szCs w:val="24"/>
              </w:rPr>
              <w:t>0±0.00</w:t>
            </w:r>
          </w:p>
        </w:tc>
        <w:tc>
          <w:tcPr>
            <w:tcW w:w="0" w:type="auto"/>
          </w:tcPr>
          <w:p w14:paraId="2BFA16E3" w14:textId="77777777" w:rsidR="00001F87" w:rsidRPr="003E42AE" w:rsidRDefault="00001F87" w:rsidP="0091535C">
            <w:pPr>
              <w:pStyle w:val="NoSpacing"/>
              <w:spacing w:line="360" w:lineRule="auto"/>
              <w:jc w:val="center"/>
              <w:rPr>
                <w:rFonts w:ascii="Times New Roman" w:hAnsi="Times New Roman" w:cs="Times New Roman"/>
                <w:sz w:val="24"/>
                <w:szCs w:val="24"/>
              </w:rPr>
            </w:pPr>
            <w:r w:rsidRPr="003E42AE">
              <w:rPr>
                <w:rFonts w:ascii="Times New Roman" w:hAnsi="Times New Roman" w:cs="Times New Roman"/>
                <w:color w:val="000000"/>
                <w:sz w:val="24"/>
                <w:szCs w:val="24"/>
              </w:rPr>
              <w:t>0±0.00</w:t>
            </w:r>
          </w:p>
        </w:tc>
        <w:tc>
          <w:tcPr>
            <w:tcW w:w="0" w:type="auto"/>
          </w:tcPr>
          <w:p w14:paraId="344CBA4A" w14:textId="77777777" w:rsidR="00001F87" w:rsidRPr="003E42AE" w:rsidRDefault="00001F87" w:rsidP="0091535C">
            <w:pPr>
              <w:pStyle w:val="NoSpacing"/>
              <w:spacing w:line="360" w:lineRule="auto"/>
              <w:jc w:val="center"/>
              <w:rPr>
                <w:rFonts w:ascii="Times New Roman" w:hAnsi="Times New Roman" w:cs="Times New Roman"/>
                <w:sz w:val="24"/>
                <w:szCs w:val="24"/>
              </w:rPr>
            </w:pPr>
            <w:r w:rsidRPr="003E42AE">
              <w:rPr>
                <w:rFonts w:ascii="Times New Roman" w:hAnsi="Times New Roman" w:cs="Times New Roman"/>
                <w:color w:val="000000"/>
                <w:sz w:val="24"/>
                <w:szCs w:val="24"/>
              </w:rPr>
              <w:t>0±0.00</w:t>
            </w:r>
          </w:p>
        </w:tc>
      </w:tr>
      <w:tr w:rsidR="00001F87" w:rsidRPr="003E42AE" w14:paraId="1C954602" w14:textId="77777777" w:rsidTr="0091535C">
        <w:trPr>
          <w:trHeight w:val="64"/>
          <w:jc w:val="center"/>
        </w:trPr>
        <w:tc>
          <w:tcPr>
            <w:tcW w:w="0" w:type="auto"/>
          </w:tcPr>
          <w:p w14:paraId="782551C0" w14:textId="77777777" w:rsidR="00001F87" w:rsidRPr="003E42AE" w:rsidRDefault="00001F87" w:rsidP="00001F87">
            <w:pPr>
              <w:pStyle w:val="NoSpacing"/>
              <w:numPr>
                <w:ilvl w:val="0"/>
                <w:numId w:val="10"/>
              </w:numPr>
              <w:spacing w:line="360" w:lineRule="auto"/>
              <w:rPr>
                <w:rFonts w:ascii="Times New Roman" w:hAnsi="Times New Roman" w:cs="Times New Roman"/>
                <w:sz w:val="24"/>
                <w:szCs w:val="24"/>
              </w:rPr>
            </w:pPr>
          </w:p>
        </w:tc>
        <w:tc>
          <w:tcPr>
            <w:tcW w:w="0" w:type="auto"/>
          </w:tcPr>
          <w:p w14:paraId="4ABE3D24" w14:textId="77777777" w:rsidR="00001F87" w:rsidRPr="003E42AE" w:rsidRDefault="00001F87" w:rsidP="0091535C">
            <w:pPr>
              <w:pStyle w:val="NoSpacing"/>
              <w:spacing w:line="360" w:lineRule="auto"/>
              <w:jc w:val="center"/>
              <w:rPr>
                <w:rFonts w:ascii="Times New Roman" w:hAnsi="Times New Roman" w:cs="Times New Roman"/>
                <w:sz w:val="24"/>
                <w:szCs w:val="24"/>
              </w:rPr>
            </w:pPr>
            <w:r w:rsidRPr="003E42AE">
              <w:rPr>
                <w:rFonts w:ascii="Times New Roman" w:hAnsi="Times New Roman" w:cs="Times New Roman"/>
                <w:bCs/>
                <w:color w:val="000000"/>
                <w:kern w:val="24"/>
                <w:sz w:val="24"/>
                <w:szCs w:val="24"/>
              </w:rPr>
              <w:t>9.7</w:t>
            </w:r>
          </w:p>
        </w:tc>
        <w:tc>
          <w:tcPr>
            <w:tcW w:w="0" w:type="auto"/>
          </w:tcPr>
          <w:p w14:paraId="7F3C7ACC"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17.5±0.71</w:t>
            </w:r>
          </w:p>
        </w:tc>
        <w:tc>
          <w:tcPr>
            <w:tcW w:w="0" w:type="auto"/>
          </w:tcPr>
          <w:p w14:paraId="4E3FD374" w14:textId="77777777" w:rsidR="00001F87" w:rsidRPr="003E42AE" w:rsidRDefault="00001F87" w:rsidP="0091535C">
            <w:pPr>
              <w:pStyle w:val="NoSpacing"/>
              <w:spacing w:line="360" w:lineRule="auto"/>
              <w:jc w:val="center"/>
              <w:rPr>
                <w:rFonts w:ascii="Times New Roman" w:hAnsi="Times New Roman" w:cs="Times New Roman"/>
                <w:sz w:val="24"/>
                <w:szCs w:val="24"/>
              </w:rPr>
            </w:pPr>
            <w:r w:rsidRPr="003E42AE">
              <w:rPr>
                <w:rFonts w:ascii="Times New Roman" w:hAnsi="Times New Roman" w:cs="Times New Roman"/>
                <w:color w:val="000000"/>
                <w:sz w:val="24"/>
                <w:szCs w:val="24"/>
              </w:rPr>
              <w:t>0±0.00</w:t>
            </w:r>
          </w:p>
        </w:tc>
        <w:tc>
          <w:tcPr>
            <w:tcW w:w="0" w:type="auto"/>
          </w:tcPr>
          <w:p w14:paraId="019FDFFD" w14:textId="77777777" w:rsidR="00001F87" w:rsidRPr="003E42AE" w:rsidRDefault="00001F87" w:rsidP="0091535C">
            <w:pPr>
              <w:pStyle w:val="NoSpacing"/>
              <w:spacing w:line="360" w:lineRule="auto"/>
              <w:jc w:val="center"/>
              <w:rPr>
                <w:rFonts w:ascii="Times New Roman" w:hAnsi="Times New Roman" w:cs="Times New Roman"/>
                <w:sz w:val="24"/>
                <w:szCs w:val="24"/>
              </w:rPr>
            </w:pPr>
            <w:r w:rsidRPr="003E42AE">
              <w:rPr>
                <w:rFonts w:ascii="Times New Roman" w:hAnsi="Times New Roman" w:cs="Times New Roman"/>
                <w:color w:val="000000"/>
                <w:sz w:val="24"/>
                <w:szCs w:val="24"/>
              </w:rPr>
              <w:t>0±0.00</w:t>
            </w:r>
          </w:p>
        </w:tc>
        <w:tc>
          <w:tcPr>
            <w:tcW w:w="0" w:type="auto"/>
          </w:tcPr>
          <w:p w14:paraId="6D608E07" w14:textId="77777777" w:rsidR="00001F87" w:rsidRPr="003E42AE" w:rsidRDefault="00001F87" w:rsidP="0091535C">
            <w:pPr>
              <w:pStyle w:val="NoSpacing"/>
              <w:spacing w:line="360" w:lineRule="auto"/>
              <w:jc w:val="center"/>
              <w:rPr>
                <w:rFonts w:ascii="Times New Roman" w:hAnsi="Times New Roman" w:cs="Times New Roman"/>
                <w:sz w:val="24"/>
                <w:szCs w:val="24"/>
              </w:rPr>
            </w:pPr>
            <w:r w:rsidRPr="003E42AE">
              <w:rPr>
                <w:rFonts w:ascii="Times New Roman" w:hAnsi="Times New Roman" w:cs="Times New Roman"/>
                <w:color w:val="000000"/>
                <w:sz w:val="24"/>
                <w:szCs w:val="24"/>
              </w:rPr>
              <w:t>0±0.00</w:t>
            </w:r>
          </w:p>
        </w:tc>
        <w:tc>
          <w:tcPr>
            <w:tcW w:w="0" w:type="auto"/>
          </w:tcPr>
          <w:p w14:paraId="2C358753" w14:textId="77777777" w:rsidR="00001F87" w:rsidRPr="003E42AE" w:rsidRDefault="00001F87" w:rsidP="0091535C">
            <w:pPr>
              <w:pStyle w:val="NoSpacing"/>
              <w:spacing w:line="360" w:lineRule="auto"/>
              <w:jc w:val="center"/>
              <w:rPr>
                <w:rFonts w:ascii="Times New Roman" w:hAnsi="Times New Roman" w:cs="Times New Roman"/>
                <w:sz w:val="24"/>
                <w:szCs w:val="24"/>
              </w:rPr>
            </w:pPr>
            <w:r w:rsidRPr="003E42AE">
              <w:rPr>
                <w:rFonts w:ascii="Times New Roman" w:hAnsi="Times New Roman" w:cs="Times New Roman"/>
                <w:color w:val="000000"/>
                <w:sz w:val="24"/>
                <w:szCs w:val="24"/>
              </w:rPr>
              <w:t>0±0.00</w:t>
            </w:r>
          </w:p>
        </w:tc>
      </w:tr>
      <w:tr w:rsidR="00001F87" w:rsidRPr="003E42AE" w14:paraId="30B250CE" w14:textId="77777777" w:rsidTr="0091535C">
        <w:trPr>
          <w:trHeight w:val="64"/>
          <w:jc w:val="center"/>
        </w:trPr>
        <w:tc>
          <w:tcPr>
            <w:tcW w:w="0" w:type="auto"/>
          </w:tcPr>
          <w:p w14:paraId="25AB7FD0" w14:textId="77777777" w:rsidR="00001F87" w:rsidRPr="003E42AE" w:rsidRDefault="00001F87" w:rsidP="00001F87">
            <w:pPr>
              <w:pStyle w:val="NoSpacing"/>
              <w:numPr>
                <w:ilvl w:val="0"/>
                <w:numId w:val="10"/>
              </w:numPr>
              <w:spacing w:line="360" w:lineRule="auto"/>
              <w:rPr>
                <w:rFonts w:ascii="Times New Roman" w:hAnsi="Times New Roman" w:cs="Times New Roman"/>
                <w:sz w:val="24"/>
                <w:szCs w:val="24"/>
              </w:rPr>
            </w:pPr>
          </w:p>
        </w:tc>
        <w:tc>
          <w:tcPr>
            <w:tcW w:w="0" w:type="auto"/>
          </w:tcPr>
          <w:p w14:paraId="3F53142C" w14:textId="77777777" w:rsidR="00001F87" w:rsidRPr="003E42AE" w:rsidRDefault="00001F87" w:rsidP="0091535C">
            <w:pPr>
              <w:pStyle w:val="NoSpacing"/>
              <w:spacing w:line="360" w:lineRule="auto"/>
              <w:jc w:val="center"/>
              <w:rPr>
                <w:rFonts w:ascii="Times New Roman" w:hAnsi="Times New Roman" w:cs="Times New Roman"/>
                <w:sz w:val="24"/>
                <w:szCs w:val="24"/>
              </w:rPr>
            </w:pPr>
            <w:r w:rsidRPr="003E42AE">
              <w:rPr>
                <w:rFonts w:ascii="Times New Roman" w:hAnsi="Times New Roman" w:cs="Times New Roman"/>
                <w:bCs/>
                <w:color w:val="000000"/>
                <w:kern w:val="24"/>
                <w:sz w:val="24"/>
                <w:szCs w:val="24"/>
              </w:rPr>
              <w:t>4.8</w:t>
            </w:r>
          </w:p>
        </w:tc>
        <w:tc>
          <w:tcPr>
            <w:tcW w:w="0" w:type="auto"/>
          </w:tcPr>
          <w:p w14:paraId="7139AC01"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16±1.41</w:t>
            </w:r>
          </w:p>
        </w:tc>
        <w:tc>
          <w:tcPr>
            <w:tcW w:w="0" w:type="auto"/>
          </w:tcPr>
          <w:p w14:paraId="4C88A244" w14:textId="77777777" w:rsidR="00001F87" w:rsidRPr="003E42AE" w:rsidRDefault="00001F87" w:rsidP="0091535C">
            <w:pPr>
              <w:pStyle w:val="NoSpacing"/>
              <w:spacing w:line="360" w:lineRule="auto"/>
              <w:jc w:val="center"/>
              <w:rPr>
                <w:rFonts w:ascii="Times New Roman" w:hAnsi="Times New Roman" w:cs="Times New Roman"/>
                <w:sz w:val="24"/>
                <w:szCs w:val="24"/>
              </w:rPr>
            </w:pPr>
            <w:r w:rsidRPr="003E42AE">
              <w:rPr>
                <w:rFonts w:ascii="Times New Roman" w:hAnsi="Times New Roman" w:cs="Times New Roman"/>
                <w:color w:val="000000"/>
                <w:sz w:val="24"/>
                <w:szCs w:val="24"/>
              </w:rPr>
              <w:t>0±0.00</w:t>
            </w:r>
          </w:p>
        </w:tc>
        <w:tc>
          <w:tcPr>
            <w:tcW w:w="0" w:type="auto"/>
          </w:tcPr>
          <w:p w14:paraId="30C5E6F1" w14:textId="77777777" w:rsidR="00001F87" w:rsidRPr="003E42AE" w:rsidRDefault="00001F87" w:rsidP="0091535C">
            <w:pPr>
              <w:pStyle w:val="NoSpacing"/>
              <w:spacing w:line="360" w:lineRule="auto"/>
              <w:jc w:val="center"/>
              <w:rPr>
                <w:rFonts w:ascii="Times New Roman" w:hAnsi="Times New Roman" w:cs="Times New Roman"/>
                <w:sz w:val="24"/>
                <w:szCs w:val="24"/>
              </w:rPr>
            </w:pPr>
            <w:r w:rsidRPr="003E42AE">
              <w:rPr>
                <w:rFonts w:ascii="Times New Roman" w:hAnsi="Times New Roman" w:cs="Times New Roman"/>
                <w:color w:val="000000"/>
                <w:sz w:val="24"/>
                <w:szCs w:val="24"/>
              </w:rPr>
              <w:t>0±0.00</w:t>
            </w:r>
          </w:p>
        </w:tc>
        <w:tc>
          <w:tcPr>
            <w:tcW w:w="0" w:type="auto"/>
          </w:tcPr>
          <w:p w14:paraId="33397608" w14:textId="77777777" w:rsidR="00001F87" w:rsidRPr="003E42AE" w:rsidRDefault="00001F87" w:rsidP="0091535C">
            <w:pPr>
              <w:pStyle w:val="NoSpacing"/>
              <w:spacing w:line="360" w:lineRule="auto"/>
              <w:jc w:val="center"/>
              <w:rPr>
                <w:rFonts w:ascii="Times New Roman" w:hAnsi="Times New Roman" w:cs="Times New Roman"/>
                <w:sz w:val="24"/>
                <w:szCs w:val="24"/>
              </w:rPr>
            </w:pPr>
            <w:r w:rsidRPr="003E42AE">
              <w:rPr>
                <w:rFonts w:ascii="Times New Roman" w:hAnsi="Times New Roman" w:cs="Times New Roman"/>
                <w:color w:val="000000"/>
                <w:sz w:val="24"/>
                <w:szCs w:val="24"/>
              </w:rPr>
              <w:t>0±0.00</w:t>
            </w:r>
          </w:p>
        </w:tc>
        <w:tc>
          <w:tcPr>
            <w:tcW w:w="0" w:type="auto"/>
          </w:tcPr>
          <w:p w14:paraId="3E71D983" w14:textId="77777777" w:rsidR="00001F87" w:rsidRPr="003E42AE" w:rsidRDefault="00001F87" w:rsidP="0091535C">
            <w:pPr>
              <w:pStyle w:val="NoSpacing"/>
              <w:spacing w:line="360" w:lineRule="auto"/>
              <w:jc w:val="center"/>
              <w:rPr>
                <w:rFonts w:ascii="Times New Roman" w:hAnsi="Times New Roman" w:cs="Times New Roman"/>
                <w:sz w:val="24"/>
                <w:szCs w:val="24"/>
              </w:rPr>
            </w:pPr>
            <w:r w:rsidRPr="003E42AE">
              <w:rPr>
                <w:rFonts w:ascii="Times New Roman" w:hAnsi="Times New Roman" w:cs="Times New Roman"/>
                <w:color w:val="000000"/>
                <w:sz w:val="24"/>
                <w:szCs w:val="24"/>
              </w:rPr>
              <w:t>0±0.00</w:t>
            </w:r>
          </w:p>
        </w:tc>
      </w:tr>
      <w:tr w:rsidR="00001F87" w:rsidRPr="003E42AE" w14:paraId="441AA698" w14:textId="77777777" w:rsidTr="0091535C">
        <w:trPr>
          <w:trHeight w:val="502"/>
          <w:jc w:val="center"/>
        </w:trPr>
        <w:tc>
          <w:tcPr>
            <w:tcW w:w="0" w:type="auto"/>
          </w:tcPr>
          <w:p w14:paraId="43D2BCFC" w14:textId="77777777" w:rsidR="00001F87" w:rsidRPr="003E42AE" w:rsidRDefault="00001F87" w:rsidP="00001F87">
            <w:pPr>
              <w:pStyle w:val="NoSpacing"/>
              <w:numPr>
                <w:ilvl w:val="0"/>
                <w:numId w:val="10"/>
              </w:numPr>
              <w:spacing w:line="360" w:lineRule="auto"/>
              <w:rPr>
                <w:rFonts w:ascii="Times New Roman" w:hAnsi="Times New Roman" w:cs="Times New Roman"/>
                <w:sz w:val="24"/>
                <w:szCs w:val="24"/>
              </w:rPr>
            </w:pPr>
          </w:p>
        </w:tc>
        <w:tc>
          <w:tcPr>
            <w:tcW w:w="0" w:type="auto"/>
          </w:tcPr>
          <w:p w14:paraId="06A8FAB3" w14:textId="77777777" w:rsidR="00001F87" w:rsidRPr="003E42AE" w:rsidRDefault="00001F87" w:rsidP="0091535C">
            <w:pPr>
              <w:pStyle w:val="NoSpacing"/>
              <w:spacing w:line="360" w:lineRule="auto"/>
              <w:jc w:val="center"/>
              <w:rPr>
                <w:rFonts w:ascii="Times New Roman" w:hAnsi="Times New Roman" w:cs="Times New Roman"/>
                <w:sz w:val="24"/>
                <w:szCs w:val="24"/>
              </w:rPr>
            </w:pPr>
            <w:r w:rsidRPr="003E42AE">
              <w:rPr>
                <w:rFonts w:ascii="Times New Roman" w:hAnsi="Times New Roman" w:cs="Times New Roman"/>
                <w:bCs/>
                <w:color w:val="000000"/>
                <w:kern w:val="24"/>
                <w:sz w:val="24"/>
                <w:szCs w:val="24"/>
              </w:rPr>
              <w:t>2.4</w:t>
            </w:r>
          </w:p>
        </w:tc>
        <w:tc>
          <w:tcPr>
            <w:tcW w:w="0" w:type="auto"/>
          </w:tcPr>
          <w:p w14:paraId="1BA64EC4" w14:textId="77777777" w:rsidR="00001F87" w:rsidRPr="003E42AE" w:rsidRDefault="00001F87" w:rsidP="0091535C">
            <w:pPr>
              <w:pStyle w:val="NoSpacing"/>
              <w:spacing w:line="360" w:lineRule="auto"/>
              <w:jc w:val="center"/>
              <w:rPr>
                <w:rFonts w:ascii="Times New Roman" w:hAnsi="Times New Roman" w:cs="Times New Roman"/>
                <w:color w:val="000000"/>
                <w:sz w:val="24"/>
                <w:szCs w:val="24"/>
              </w:rPr>
            </w:pPr>
            <w:r w:rsidRPr="003E42AE">
              <w:rPr>
                <w:rFonts w:ascii="Times New Roman" w:hAnsi="Times New Roman" w:cs="Times New Roman"/>
                <w:color w:val="000000"/>
                <w:sz w:val="24"/>
                <w:szCs w:val="24"/>
              </w:rPr>
              <w:t>14.5±0.71</w:t>
            </w:r>
          </w:p>
        </w:tc>
        <w:tc>
          <w:tcPr>
            <w:tcW w:w="0" w:type="auto"/>
          </w:tcPr>
          <w:p w14:paraId="56286F59" w14:textId="77777777" w:rsidR="00001F87" w:rsidRPr="003E42AE" w:rsidRDefault="00001F87" w:rsidP="0091535C">
            <w:pPr>
              <w:pStyle w:val="NoSpacing"/>
              <w:spacing w:line="360" w:lineRule="auto"/>
              <w:jc w:val="center"/>
              <w:rPr>
                <w:rFonts w:ascii="Times New Roman" w:hAnsi="Times New Roman" w:cs="Times New Roman"/>
                <w:sz w:val="24"/>
                <w:szCs w:val="24"/>
              </w:rPr>
            </w:pPr>
            <w:r w:rsidRPr="003E42AE">
              <w:rPr>
                <w:rFonts w:ascii="Times New Roman" w:hAnsi="Times New Roman" w:cs="Times New Roman"/>
                <w:color w:val="000000"/>
                <w:sz w:val="24"/>
                <w:szCs w:val="24"/>
              </w:rPr>
              <w:t>0±0.00</w:t>
            </w:r>
          </w:p>
        </w:tc>
        <w:tc>
          <w:tcPr>
            <w:tcW w:w="0" w:type="auto"/>
          </w:tcPr>
          <w:p w14:paraId="6844815F" w14:textId="77777777" w:rsidR="00001F87" w:rsidRPr="003E42AE" w:rsidRDefault="00001F87" w:rsidP="0091535C">
            <w:pPr>
              <w:pStyle w:val="NoSpacing"/>
              <w:spacing w:line="360" w:lineRule="auto"/>
              <w:jc w:val="center"/>
              <w:rPr>
                <w:rFonts w:ascii="Times New Roman" w:hAnsi="Times New Roman" w:cs="Times New Roman"/>
                <w:sz w:val="24"/>
                <w:szCs w:val="24"/>
              </w:rPr>
            </w:pPr>
            <w:r w:rsidRPr="003E42AE">
              <w:rPr>
                <w:rFonts w:ascii="Times New Roman" w:hAnsi="Times New Roman" w:cs="Times New Roman"/>
                <w:color w:val="000000"/>
                <w:sz w:val="24"/>
                <w:szCs w:val="24"/>
              </w:rPr>
              <w:t>0±0.00</w:t>
            </w:r>
          </w:p>
        </w:tc>
        <w:tc>
          <w:tcPr>
            <w:tcW w:w="0" w:type="auto"/>
          </w:tcPr>
          <w:p w14:paraId="272403C3" w14:textId="77777777" w:rsidR="00001F87" w:rsidRPr="003E42AE" w:rsidRDefault="00001F87" w:rsidP="0091535C">
            <w:pPr>
              <w:pStyle w:val="NoSpacing"/>
              <w:spacing w:line="360" w:lineRule="auto"/>
              <w:jc w:val="center"/>
              <w:rPr>
                <w:rFonts w:ascii="Times New Roman" w:hAnsi="Times New Roman" w:cs="Times New Roman"/>
                <w:sz w:val="24"/>
                <w:szCs w:val="24"/>
              </w:rPr>
            </w:pPr>
            <w:r w:rsidRPr="003E42AE">
              <w:rPr>
                <w:rFonts w:ascii="Times New Roman" w:hAnsi="Times New Roman" w:cs="Times New Roman"/>
                <w:color w:val="000000"/>
                <w:sz w:val="24"/>
                <w:szCs w:val="24"/>
              </w:rPr>
              <w:t>0±0.00</w:t>
            </w:r>
          </w:p>
        </w:tc>
        <w:tc>
          <w:tcPr>
            <w:tcW w:w="0" w:type="auto"/>
          </w:tcPr>
          <w:p w14:paraId="2BB1190C" w14:textId="77777777" w:rsidR="00001F87" w:rsidRPr="003E42AE" w:rsidRDefault="00001F87" w:rsidP="0091535C">
            <w:pPr>
              <w:pStyle w:val="NoSpacing"/>
              <w:spacing w:line="360" w:lineRule="auto"/>
              <w:jc w:val="center"/>
              <w:rPr>
                <w:rFonts w:ascii="Times New Roman" w:hAnsi="Times New Roman" w:cs="Times New Roman"/>
                <w:sz w:val="24"/>
                <w:szCs w:val="24"/>
              </w:rPr>
            </w:pPr>
            <w:r w:rsidRPr="003E42AE">
              <w:rPr>
                <w:rFonts w:ascii="Times New Roman" w:hAnsi="Times New Roman" w:cs="Times New Roman"/>
                <w:color w:val="000000"/>
                <w:sz w:val="24"/>
                <w:szCs w:val="24"/>
              </w:rPr>
              <w:t>0±0.00</w:t>
            </w:r>
          </w:p>
        </w:tc>
      </w:tr>
    </w:tbl>
    <w:p w14:paraId="4D75E8C3" w14:textId="77777777" w:rsidR="00001F87" w:rsidRPr="003E42AE" w:rsidRDefault="00001F87" w:rsidP="00001F87">
      <w:pPr>
        <w:rPr>
          <w:rFonts w:ascii="Times New Roman" w:hAnsi="Times New Roman" w:cs="Times New Roman"/>
        </w:rPr>
      </w:pPr>
    </w:p>
    <w:p w14:paraId="2C42EEA4" w14:textId="06D3DD6C" w:rsidR="006A043B" w:rsidRPr="00343885" w:rsidRDefault="006A043B" w:rsidP="006A043B">
      <w:pPr>
        <w:pStyle w:val="NoSpacing"/>
        <w:spacing w:line="360" w:lineRule="auto"/>
        <w:rPr>
          <w:rFonts w:ascii="Times New Roman" w:hAnsi="Times New Roman" w:cs="Times New Roman"/>
          <w:b/>
          <w:bCs/>
          <w:color w:val="000000"/>
          <w:sz w:val="24"/>
          <w:szCs w:val="24"/>
        </w:rPr>
      </w:pPr>
      <w:r w:rsidRPr="00343885">
        <w:rPr>
          <w:rFonts w:ascii="Times New Roman" w:hAnsi="Times New Roman" w:cs="Times New Roman"/>
          <w:b/>
          <w:bCs/>
          <w:sz w:val="24"/>
          <w:szCs w:val="24"/>
        </w:rPr>
        <w:t xml:space="preserve">Table </w:t>
      </w:r>
      <w:r w:rsidR="00001F87">
        <w:rPr>
          <w:rFonts w:ascii="Times New Roman" w:hAnsi="Times New Roman" w:cs="Times New Roman"/>
          <w:b/>
          <w:bCs/>
          <w:sz w:val="24"/>
          <w:szCs w:val="24"/>
        </w:rPr>
        <w:t>3</w:t>
      </w:r>
      <w:r w:rsidRPr="00343885">
        <w:rPr>
          <w:rFonts w:ascii="Times New Roman" w:hAnsi="Times New Roman" w:cs="Times New Roman"/>
          <w:b/>
          <w:bCs/>
          <w:sz w:val="24"/>
          <w:szCs w:val="24"/>
        </w:rPr>
        <w:t>. Reduction in the zone of Inhibition in EBI treated antibiotic discs</w:t>
      </w:r>
      <w:r>
        <w:rPr>
          <w:rFonts w:ascii="Times New Roman" w:hAnsi="Times New Roman" w:cs="Times New Roman"/>
          <w:b/>
          <w:bCs/>
          <w:color w:val="000000"/>
          <w:sz w:val="24"/>
          <w:szCs w:val="24"/>
        </w:rPr>
        <w:t xml:space="preserve"> for </w:t>
      </w:r>
      <w:r w:rsidRPr="00343885">
        <w:rPr>
          <w:rFonts w:ascii="Times New Roman" w:hAnsi="Times New Roman" w:cs="Times New Roman"/>
          <w:b/>
          <w:bCs/>
          <w:color w:val="000000"/>
          <w:sz w:val="24"/>
          <w:szCs w:val="24"/>
        </w:rPr>
        <w:t>Gram Positive bacteria</w:t>
      </w:r>
    </w:p>
    <w:p w14:paraId="1EC9CFB7" w14:textId="77777777" w:rsidR="006A043B" w:rsidRPr="00343885" w:rsidRDefault="006A043B" w:rsidP="006A043B">
      <w:pPr>
        <w:pStyle w:val="NoSpacing"/>
        <w:spacing w:line="360" w:lineRule="auto"/>
        <w:rPr>
          <w:rFonts w:ascii="Times New Roman" w:hAnsi="Times New Roman" w:cs="Times New Roman"/>
          <w:b/>
          <w:bCs/>
          <w:color w:val="000000"/>
          <w:sz w:val="24"/>
          <w:szCs w:val="24"/>
        </w:rPr>
      </w:pPr>
    </w:p>
    <w:tbl>
      <w:tblPr>
        <w:tblW w:w="9640" w:type="dxa"/>
        <w:jc w:val="center"/>
        <w:tblLook w:val="04A0" w:firstRow="1" w:lastRow="0" w:firstColumn="1" w:lastColumn="0" w:noHBand="0" w:noVBand="1"/>
      </w:tblPr>
      <w:tblGrid>
        <w:gridCol w:w="3545"/>
        <w:gridCol w:w="1275"/>
        <w:gridCol w:w="1134"/>
        <w:gridCol w:w="1276"/>
        <w:gridCol w:w="1134"/>
        <w:gridCol w:w="1276"/>
      </w:tblGrid>
      <w:tr w:rsidR="006A043B" w:rsidRPr="00FE39F2" w14:paraId="20ADBDA2" w14:textId="77777777" w:rsidTr="00DD497B">
        <w:trPr>
          <w:trHeight w:val="300"/>
          <w:jc w:val="center"/>
        </w:trPr>
        <w:tc>
          <w:tcPr>
            <w:tcW w:w="3545" w:type="dxa"/>
            <w:tcBorders>
              <w:top w:val="single" w:sz="4" w:space="0" w:color="auto"/>
              <w:left w:val="single" w:sz="4" w:space="0" w:color="auto"/>
              <w:bottom w:val="single" w:sz="4" w:space="0" w:color="auto"/>
              <w:right w:val="single" w:sz="4" w:space="0" w:color="auto"/>
            </w:tcBorders>
            <w:noWrap/>
            <w:hideMark/>
          </w:tcPr>
          <w:p w14:paraId="3F32538E"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Name &amp; Dose of Antibiotics</w:t>
            </w:r>
          </w:p>
          <w:p w14:paraId="08BC51A5" w14:textId="77777777" w:rsidR="006A043B" w:rsidRPr="00FE39F2" w:rsidRDefault="006A043B" w:rsidP="00DD497B">
            <w:pPr>
              <w:pStyle w:val="NoSpacing"/>
              <w:spacing w:line="360" w:lineRule="auto"/>
              <w:rPr>
                <w:rFonts w:ascii="Times New Roman" w:hAnsi="Times New Roman" w:cs="Times New Roman"/>
              </w:rPr>
            </w:pPr>
          </w:p>
        </w:tc>
        <w:tc>
          <w:tcPr>
            <w:tcW w:w="1275" w:type="dxa"/>
            <w:tcBorders>
              <w:top w:val="single" w:sz="4" w:space="0" w:color="auto"/>
              <w:left w:val="nil"/>
              <w:bottom w:val="single" w:sz="4" w:space="0" w:color="auto"/>
              <w:right w:val="single" w:sz="4" w:space="0" w:color="auto"/>
            </w:tcBorders>
            <w:noWrap/>
            <w:hideMark/>
          </w:tcPr>
          <w:p w14:paraId="3B94DF5D"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Control</w:t>
            </w:r>
          </w:p>
        </w:tc>
        <w:tc>
          <w:tcPr>
            <w:tcW w:w="1134" w:type="dxa"/>
            <w:tcBorders>
              <w:top w:val="single" w:sz="4" w:space="0" w:color="auto"/>
              <w:left w:val="nil"/>
              <w:bottom w:val="single" w:sz="4" w:space="0" w:color="auto"/>
              <w:right w:val="single" w:sz="4" w:space="0" w:color="auto"/>
            </w:tcBorders>
            <w:noWrap/>
            <w:hideMark/>
          </w:tcPr>
          <w:p w14:paraId="5949C402"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0.5 kGy</w:t>
            </w:r>
          </w:p>
        </w:tc>
        <w:tc>
          <w:tcPr>
            <w:tcW w:w="1276" w:type="dxa"/>
            <w:tcBorders>
              <w:top w:val="single" w:sz="4" w:space="0" w:color="auto"/>
              <w:left w:val="nil"/>
              <w:bottom w:val="single" w:sz="4" w:space="0" w:color="auto"/>
              <w:right w:val="single" w:sz="4" w:space="0" w:color="auto"/>
            </w:tcBorders>
            <w:noWrap/>
            <w:hideMark/>
          </w:tcPr>
          <w:p w14:paraId="7DF156AA" w14:textId="77777777" w:rsidR="006A043B" w:rsidRPr="00FE39F2" w:rsidRDefault="006A043B" w:rsidP="00DD497B">
            <w:pPr>
              <w:pStyle w:val="NoSpacing"/>
              <w:spacing w:line="360" w:lineRule="auto"/>
              <w:rPr>
                <w:rFonts w:ascii="Times New Roman" w:hAnsi="Times New Roman" w:cs="Times New Roman"/>
              </w:rPr>
            </w:pPr>
            <w:proofErr w:type="gramStart"/>
            <w:r w:rsidRPr="00FE39F2">
              <w:rPr>
                <w:rFonts w:ascii="Times New Roman" w:hAnsi="Times New Roman" w:cs="Times New Roman"/>
              </w:rPr>
              <w:t>1.0  kGy</w:t>
            </w:r>
            <w:proofErr w:type="gramEnd"/>
          </w:p>
        </w:tc>
        <w:tc>
          <w:tcPr>
            <w:tcW w:w="1134" w:type="dxa"/>
            <w:tcBorders>
              <w:top w:val="single" w:sz="4" w:space="0" w:color="auto"/>
              <w:left w:val="nil"/>
              <w:bottom w:val="single" w:sz="4" w:space="0" w:color="auto"/>
              <w:right w:val="single" w:sz="4" w:space="0" w:color="auto"/>
            </w:tcBorders>
            <w:noWrap/>
            <w:hideMark/>
          </w:tcPr>
          <w:p w14:paraId="2E96C513"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1.5 kGy</w:t>
            </w:r>
          </w:p>
        </w:tc>
        <w:tc>
          <w:tcPr>
            <w:tcW w:w="1276" w:type="dxa"/>
            <w:tcBorders>
              <w:top w:val="single" w:sz="4" w:space="0" w:color="auto"/>
              <w:left w:val="nil"/>
              <w:bottom w:val="single" w:sz="4" w:space="0" w:color="auto"/>
              <w:right w:val="single" w:sz="4" w:space="0" w:color="auto"/>
            </w:tcBorders>
          </w:tcPr>
          <w:p w14:paraId="6913338E" w14:textId="77777777" w:rsidR="006A043B" w:rsidRPr="00FE39F2" w:rsidRDefault="006A043B" w:rsidP="00DD497B">
            <w:pPr>
              <w:pStyle w:val="NoSpacing"/>
              <w:spacing w:line="360" w:lineRule="auto"/>
              <w:rPr>
                <w:rFonts w:ascii="Times New Roman" w:hAnsi="Times New Roman" w:cs="Times New Roman"/>
              </w:rPr>
            </w:pPr>
            <w:proofErr w:type="gramStart"/>
            <w:r w:rsidRPr="00FE39F2">
              <w:rPr>
                <w:rFonts w:ascii="Times New Roman" w:hAnsi="Times New Roman" w:cs="Times New Roman"/>
              </w:rPr>
              <w:t>2.0  kGy</w:t>
            </w:r>
            <w:proofErr w:type="gramEnd"/>
          </w:p>
        </w:tc>
      </w:tr>
      <w:tr w:rsidR="006A043B" w:rsidRPr="00FE39F2" w14:paraId="44FFAA75"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4450AAAC"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Cephalothin (CEP - 30 mcg)</w:t>
            </w:r>
          </w:p>
        </w:tc>
        <w:tc>
          <w:tcPr>
            <w:tcW w:w="1275" w:type="dxa"/>
            <w:tcBorders>
              <w:top w:val="nil"/>
              <w:left w:val="nil"/>
              <w:bottom w:val="single" w:sz="4" w:space="0" w:color="auto"/>
              <w:right w:val="single" w:sz="4" w:space="0" w:color="auto"/>
            </w:tcBorders>
            <w:noWrap/>
            <w:hideMark/>
          </w:tcPr>
          <w:p w14:paraId="65B05283"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31.5±0.71</w:t>
            </w:r>
          </w:p>
        </w:tc>
        <w:tc>
          <w:tcPr>
            <w:tcW w:w="1134" w:type="dxa"/>
            <w:tcBorders>
              <w:top w:val="nil"/>
              <w:left w:val="nil"/>
              <w:bottom w:val="single" w:sz="4" w:space="0" w:color="auto"/>
              <w:right w:val="single" w:sz="4" w:space="0" w:color="auto"/>
            </w:tcBorders>
            <w:vAlign w:val="bottom"/>
            <w:hideMark/>
          </w:tcPr>
          <w:p w14:paraId="385A571D"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33</w:t>
            </w:r>
            <w:r w:rsidRPr="00FE39F2">
              <w:rPr>
                <w:rFonts w:ascii="Times New Roman" w:hAnsi="Times New Roman" w:cs="Times New Roman"/>
                <w:color w:val="000000"/>
              </w:rPr>
              <w:t>±</w:t>
            </w:r>
            <w:r w:rsidRPr="00FE39F2">
              <w:rPr>
                <w:rFonts w:ascii="Times New Roman" w:hAnsi="Times New Roman" w:cs="Times New Roman"/>
              </w:rPr>
              <w:t>0.00</w:t>
            </w:r>
          </w:p>
        </w:tc>
        <w:tc>
          <w:tcPr>
            <w:tcW w:w="1276" w:type="dxa"/>
            <w:tcBorders>
              <w:top w:val="nil"/>
              <w:left w:val="nil"/>
              <w:bottom w:val="single" w:sz="4" w:space="0" w:color="auto"/>
              <w:right w:val="single" w:sz="4" w:space="0" w:color="auto"/>
            </w:tcBorders>
            <w:vAlign w:val="bottom"/>
            <w:hideMark/>
          </w:tcPr>
          <w:p w14:paraId="7CCCC01C"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30.5±0.71</w:t>
            </w:r>
          </w:p>
        </w:tc>
        <w:tc>
          <w:tcPr>
            <w:tcW w:w="1134" w:type="dxa"/>
            <w:tcBorders>
              <w:top w:val="nil"/>
              <w:left w:val="nil"/>
              <w:bottom w:val="single" w:sz="4" w:space="0" w:color="auto"/>
              <w:right w:val="single" w:sz="4" w:space="0" w:color="auto"/>
            </w:tcBorders>
            <w:noWrap/>
            <w:vAlign w:val="bottom"/>
            <w:hideMark/>
          </w:tcPr>
          <w:p w14:paraId="55F2E470"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33±0.00</w:t>
            </w:r>
          </w:p>
        </w:tc>
        <w:tc>
          <w:tcPr>
            <w:tcW w:w="1276" w:type="dxa"/>
            <w:tcBorders>
              <w:top w:val="nil"/>
              <w:left w:val="nil"/>
              <w:bottom w:val="single" w:sz="4" w:space="0" w:color="auto"/>
              <w:right w:val="single" w:sz="4" w:space="0" w:color="auto"/>
            </w:tcBorders>
            <w:vAlign w:val="bottom"/>
          </w:tcPr>
          <w:p w14:paraId="623276AD"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30.5</w:t>
            </w:r>
            <w:r w:rsidRPr="00FE39F2">
              <w:rPr>
                <w:rFonts w:ascii="Times New Roman" w:hAnsi="Times New Roman" w:cs="Times New Roman"/>
                <w:color w:val="000000"/>
              </w:rPr>
              <w:t>±</w:t>
            </w:r>
            <w:r w:rsidRPr="00FE39F2">
              <w:rPr>
                <w:rFonts w:ascii="Times New Roman" w:hAnsi="Times New Roman" w:cs="Times New Roman"/>
              </w:rPr>
              <w:t>0.71</w:t>
            </w:r>
          </w:p>
        </w:tc>
      </w:tr>
      <w:tr w:rsidR="006A043B" w:rsidRPr="00FE39F2" w14:paraId="027202ED"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1F3B1BA7"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Clindamycin (CD - 2 mcg),</w:t>
            </w:r>
          </w:p>
        </w:tc>
        <w:tc>
          <w:tcPr>
            <w:tcW w:w="1275" w:type="dxa"/>
            <w:tcBorders>
              <w:top w:val="nil"/>
              <w:left w:val="nil"/>
              <w:bottom w:val="single" w:sz="4" w:space="0" w:color="auto"/>
              <w:right w:val="single" w:sz="4" w:space="0" w:color="auto"/>
            </w:tcBorders>
            <w:noWrap/>
            <w:hideMark/>
          </w:tcPr>
          <w:p w14:paraId="39A0A4A5"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32.5±0.71</w:t>
            </w:r>
          </w:p>
        </w:tc>
        <w:tc>
          <w:tcPr>
            <w:tcW w:w="1134" w:type="dxa"/>
            <w:tcBorders>
              <w:top w:val="nil"/>
              <w:left w:val="nil"/>
              <w:bottom w:val="single" w:sz="4" w:space="0" w:color="auto"/>
              <w:right w:val="single" w:sz="4" w:space="0" w:color="auto"/>
            </w:tcBorders>
            <w:vAlign w:val="bottom"/>
            <w:hideMark/>
          </w:tcPr>
          <w:p w14:paraId="62D912A6"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30.5</w:t>
            </w:r>
            <w:r w:rsidRPr="00FE39F2">
              <w:rPr>
                <w:rFonts w:ascii="Times New Roman" w:hAnsi="Times New Roman" w:cs="Times New Roman"/>
                <w:color w:val="000000"/>
              </w:rPr>
              <w:t>±</w:t>
            </w:r>
            <w:r w:rsidRPr="00FE39F2">
              <w:rPr>
                <w:rFonts w:ascii="Times New Roman" w:hAnsi="Times New Roman" w:cs="Times New Roman"/>
              </w:rPr>
              <w:t>0.71</w:t>
            </w:r>
          </w:p>
        </w:tc>
        <w:tc>
          <w:tcPr>
            <w:tcW w:w="1276" w:type="dxa"/>
            <w:tcBorders>
              <w:top w:val="nil"/>
              <w:left w:val="nil"/>
              <w:bottom w:val="single" w:sz="4" w:space="0" w:color="auto"/>
              <w:right w:val="single" w:sz="4" w:space="0" w:color="auto"/>
            </w:tcBorders>
            <w:vAlign w:val="bottom"/>
            <w:hideMark/>
          </w:tcPr>
          <w:p w14:paraId="3CAD59CC"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30.5±0.71</w:t>
            </w:r>
          </w:p>
        </w:tc>
        <w:tc>
          <w:tcPr>
            <w:tcW w:w="1134" w:type="dxa"/>
            <w:tcBorders>
              <w:top w:val="nil"/>
              <w:left w:val="nil"/>
              <w:bottom w:val="single" w:sz="4" w:space="0" w:color="auto"/>
              <w:right w:val="single" w:sz="4" w:space="0" w:color="auto"/>
            </w:tcBorders>
            <w:noWrap/>
            <w:vAlign w:val="bottom"/>
            <w:hideMark/>
          </w:tcPr>
          <w:p w14:paraId="615ACBBD"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30.5±0.71</w:t>
            </w:r>
          </w:p>
        </w:tc>
        <w:tc>
          <w:tcPr>
            <w:tcW w:w="1276" w:type="dxa"/>
            <w:tcBorders>
              <w:top w:val="nil"/>
              <w:left w:val="nil"/>
              <w:bottom w:val="single" w:sz="4" w:space="0" w:color="auto"/>
              <w:right w:val="single" w:sz="4" w:space="0" w:color="auto"/>
            </w:tcBorders>
            <w:vAlign w:val="bottom"/>
          </w:tcPr>
          <w:p w14:paraId="7346E953"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27.5</w:t>
            </w:r>
            <w:r w:rsidRPr="00FE39F2">
              <w:rPr>
                <w:rFonts w:ascii="Times New Roman" w:hAnsi="Times New Roman" w:cs="Times New Roman"/>
                <w:color w:val="000000"/>
              </w:rPr>
              <w:t>±</w:t>
            </w:r>
            <w:r w:rsidRPr="00FE39F2">
              <w:rPr>
                <w:rFonts w:ascii="Times New Roman" w:hAnsi="Times New Roman" w:cs="Times New Roman"/>
              </w:rPr>
              <w:t>2.12</w:t>
            </w:r>
          </w:p>
        </w:tc>
      </w:tr>
      <w:tr w:rsidR="006A043B" w:rsidRPr="00FE39F2" w14:paraId="55EAB597"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6AE6F59E"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Co-Trimoxazole (COT - 25 mcg),</w:t>
            </w:r>
          </w:p>
        </w:tc>
        <w:tc>
          <w:tcPr>
            <w:tcW w:w="1275" w:type="dxa"/>
            <w:tcBorders>
              <w:top w:val="nil"/>
              <w:left w:val="nil"/>
              <w:bottom w:val="single" w:sz="4" w:space="0" w:color="auto"/>
              <w:right w:val="single" w:sz="4" w:space="0" w:color="auto"/>
            </w:tcBorders>
            <w:noWrap/>
            <w:hideMark/>
          </w:tcPr>
          <w:p w14:paraId="39699F18"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24.5±0.71</w:t>
            </w:r>
          </w:p>
        </w:tc>
        <w:tc>
          <w:tcPr>
            <w:tcW w:w="1134" w:type="dxa"/>
            <w:tcBorders>
              <w:top w:val="nil"/>
              <w:left w:val="nil"/>
              <w:bottom w:val="single" w:sz="4" w:space="0" w:color="auto"/>
              <w:right w:val="single" w:sz="4" w:space="0" w:color="auto"/>
            </w:tcBorders>
            <w:vAlign w:val="bottom"/>
            <w:hideMark/>
          </w:tcPr>
          <w:p w14:paraId="24092D78"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23</w:t>
            </w:r>
            <w:r w:rsidRPr="00FE39F2">
              <w:rPr>
                <w:rFonts w:ascii="Times New Roman" w:hAnsi="Times New Roman" w:cs="Times New Roman"/>
                <w:color w:val="000000"/>
              </w:rPr>
              <w:t>±</w:t>
            </w:r>
            <w:r w:rsidRPr="00FE39F2">
              <w:rPr>
                <w:rFonts w:ascii="Times New Roman" w:hAnsi="Times New Roman" w:cs="Times New Roman"/>
              </w:rPr>
              <w:t>0.00</w:t>
            </w:r>
          </w:p>
        </w:tc>
        <w:tc>
          <w:tcPr>
            <w:tcW w:w="1276" w:type="dxa"/>
            <w:tcBorders>
              <w:top w:val="nil"/>
              <w:left w:val="nil"/>
              <w:bottom w:val="single" w:sz="4" w:space="0" w:color="auto"/>
              <w:right w:val="single" w:sz="4" w:space="0" w:color="auto"/>
            </w:tcBorders>
            <w:vAlign w:val="bottom"/>
            <w:hideMark/>
          </w:tcPr>
          <w:p w14:paraId="0F220E97"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25.5±0.71</w:t>
            </w:r>
          </w:p>
        </w:tc>
        <w:tc>
          <w:tcPr>
            <w:tcW w:w="1134" w:type="dxa"/>
            <w:tcBorders>
              <w:top w:val="nil"/>
              <w:left w:val="nil"/>
              <w:bottom w:val="single" w:sz="4" w:space="0" w:color="auto"/>
              <w:right w:val="single" w:sz="4" w:space="0" w:color="auto"/>
            </w:tcBorders>
            <w:noWrap/>
            <w:vAlign w:val="bottom"/>
            <w:hideMark/>
          </w:tcPr>
          <w:p w14:paraId="289680F6"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25.50±.71</w:t>
            </w:r>
          </w:p>
        </w:tc>
        <w:tc>
          <w:tcPr>
            <w:tcW w:w="1276" w:type="dxa"/>
            <w:tcBorders>
              <w:top w:val="nil"/>
              <w:left w:val="nil"/>
              <w:bottom w:val="single" w:sz="4" w:space="0" w:color="auto"/>
              <w:right w:val="single" w:sz="4" w:space="0" w:color="auto"/>
            </w:tcBorders>
            <w:vAlign w:val="bottom"/>
          </w:tcPr>
          <w:p w14:paraId="30DE297F"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23.0</w:t>
            </w:r>
            <w:r w:rsidRPr="00FE39F2">
              <w:rPr>
                <w:rFonts w:ascii="Times New Roman" w:hAnsi="Times New Roman" w:cs="Times New Roman"/>
                <w:color w:val="000000"/>
              </w:rPr>
              <w:t>±</w:t>
            </w:r>
            <w:r w:rsidRPr="00FE39F2">
              <w:rPr>
                <w:rFonts w:ascii="Times New Roman" w:hAnsi="Times New Roman" w:cs="Times New Roman"/>
              </w:rPr>
              <w:t>1.41</w:t>
            </w:r>
          </w:p>
        </w:tc>
      </w:tr>
      <w:tr w:rsidR="006A043B" w:rsidRPr="00FE39F2" w14:paraId="5A64EFD4"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2845547F"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Erythromycin (E - 15 mcg),</w:t>
            </w:r>
          </w:p>
        </w:tc>
        <w:tc>
          <w:tcPr>
            <w:tcW w:w="1275" w:type="dxa"/>
            <w:tcBorders>
              <w:top w:val="nil"/>
              <w:left w:val="nil"/>
              <w:bottom w:val="single" w:sz="4" w:space="0" w:color="auto"/>
              <w:right w:val="single" w:sz="4" w:space="0" w:color="auto"/>
            </w:tcBorders>
            <w:noWrap/>
            <w:hideMark/>
          </w:tcPr>
          <w:p w14:paraId="06C76288"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26.5±0.71</w:t>
            </w:r>
          </w:p>
        </w:tc>
        <w:tc>
          <w:tcPr>
            <w:tcW w:w="1134" w:type="dxa"/>
            <w:tcBorders>
              <w:top w:val="nil"/>
              <w:left w:val="nil"/>
              <w:bottom w:val="single" w:sz="4" w:space="0" w:color="auto"/>
              <w:right w:val="single" w:sz="4" w:space="0" w:color="auto"/>
            </w:tcBorders>
            <w:vAlign w:val="bottom"/>
            <w:hideMark/>
          </w:tcPr>
          <w:p w14:paraId="2A1BBF71"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26</w:t>
            </w:r>
            <w:r w:rsidRPr="00FE39F2">
              <w:rPr>
                <w:rFonts w:ascii="Times New Roman" w:hAnsi="Times New Roman" w:cs="Times New Roman"/>
                <w:color w:val="000000"/>
              </w:rPr>
              <w:t>±</w:t>
            </w:r>
            <w:r w:rsidRPr="00FE39F2">
              <w:rPr>
                <w:rFonts w:ascii="Times New Roman" w:hAnsi="Times New Roman" w:cs="Times New Roman"/>
              </w:rPr>
              <w:t>0.00</w:t>
            </w:r>
          </w:p>
        </w:tc>
        <w:tc>
          <w:tcPr>
            <w:tcW w:w="1276" w:type="dxa"/>
            <w:tcBorders>
              <w:top w:val="nil"/>
              <w:left w:val="nil"/>
              <w:bottom w:val="single" w:sz="4" w:space="0" w:color="auto"/>
              <w:right w:val="single" w:sz="4" w:space="0" w:color="auto"/>
            </w:tcBorders>
            <w:vAlign w:val="bottom"/>
            <w:hideMark/>
          </w:tcPr>
          <w:p w14:paraId="058C2932"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25±1.41</w:t>
            </w:r>
          </w:p>
        </w:tc>
        <w:tc>
          <w:tcPr>
            <w:tcW w:w="1134" w:type="dxa"/>
            <w:tcBorders>
              <w:top w:val="nil"/>
              <w:left w:val="nil"/>
              <w:bottom w:val="single" w:sz="4" w:space="0" w:color="auto"/>
              <w:right w:val="single" w:sz="4" w:space="0" w:color="auto"/>
            </w:tcBorders>
            <w:noWrap/>
            <w:vAlign w:val="bottom"/>
            <w:hideMark/>
          </w:tcPr>
          <w:p w14:paraId="6D152027"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21±5.66</w:t>
            </w:r>
          </w:p>
        </w:tc>
        <w:tc>
          <w:tcPr>
            <w:tcW w:w="1276" w:type="dxa"/>
            <w:tcBorders>
              <w:top w:val="nil"/>
              <w:left w:val="nil"/>
              <w:bottom w:val="single" w:sz="4" w:space="0" w:color="auto"/>
              <w:right w:val="single" w:sz="4" w:space="0" w:color="auto"/>
            </w:tcBorders>
            <w:vAlign w:val="bottom"/>
          </w:tcPr>
          <w:p w14:paraId="5E7F72D3"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21.5</w:t>
            </w:r>
            <w:r w:rsidRPr="00FE39F2">
              <w:rPr>
                <w:rFonts w:ascii="Times New Roman" w:hAnsi="Times New Roman" w:cs="Times New Roman"/>
                <w:color w:val="000000"/>
              </w:rPr>
              <w:t>±</w:t>
            </w:r>
            <w:r w:rsidRPr="00FE39F2">
              <w:rPr>
                <w:rFonts w:ascii="Times New Roman" w:hAnsi="Times New Roman" w:cs="Times New Roman"/>
              </w:rPr>
              <w:t>3.54</w:t>
            </w:r>
          </w:p>
        </w:tc>
      </w:tr>
      <w:tr w:rsidR="006A043B" w:rsidRPr="00FE39F2" w14:paraId="0AA5974C"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6D51766C"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Gentamicin (GEN - 10 mcg),</w:t>
            </w:r>
          </w:p>
        </w:tc>
        <w:tc>
          <w:tcPr>
            <w:tcW w:w="1275" w:type="dxa"/>
            <w:tcBorders>
              <w:top w:val="nil"/>
              <w:left w:val="nil"/>
              <w:bottom w:val="single" w:sz="4" w:space="0" w:color="auto"/>
              <w:right w:val="single" w:sz="4" w:space="0" w:color="auto"/>
            </w:tcBorders>
            <w:noWrap/>
            <w:hideMark/>
          </w:tcPr>
          <w:p w14:paraId="69390857"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18±0.00</w:t>
            </w:r>
          </w:p>
        </w:tc>
        <w:tc>
          <w:tcPr>
            <w:tcW w:w="1134" w:type="dxa"/>
            <w:tcBorders>
              <w:top w:val="nil"/>
              <w:left w:val="nil"/>
              <w:bottom w:val="single" w:sz="4" w:space="0" w:color="auto"/>
              <w:right w:val="single" w:sz="4" w:space="0" w:color="auto"/>
            </w:tcBorders>
            <w:vAlign w:val="bottom"/>
            <w:hideMark/>
          </w:tcPr>
          <w:p w14:paraId="4C01DC3A"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17.5</w:t>
            </w:r>
            <w:r w:rsidRPr="00FE39F2">
              <w:rPr>
                <w:rFonts w:ascii="Times New Roman" w:hAnsi="Times New Roman" w:cs="Times New Roman"/>
                <w:color w:val="000000"/>
              </w:rPr>
              <w:t>±</w:t>
            </w:r>
            <w:r w:rsidRPr="00FE39F2">
              <w:rPr>
                <w:rFonts w:ascii="Times New Roman" w:hAnsi="Times New Roman" w:cs="Times New Roman"/>
              </w:rPr>
              <w:t>0.71</w:t>
            </w:r>
          </w:p>
        </w:tc>
        <w:tc>
          <w:tcPr>
            <w:tcW w:w="1276" w:type="dxa"/>
            <w:tcBorders>
              <w:top w:val="nil"/>
              <w:left w:val="nil"/>
              <w:bottom w:val="single" w:sz="4" w:space="0" w:color="auto"/>
              <w:right w:val="single" w:sz="4" w:space="0" w:color="auto"/>
            </w:tcBorders>
            <w:vAlign w:val="bottom"/>
            <w:hideMark/>
          </w:tcPr>
          <w:p w14:paraId="7E6A891D"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19.5±0.71</w:t>
            </w:r>
          </w:p>
        </w:tc>
        <w:tc>
          <w:tcPr>
            <w:tcW w:w="1134" w:type="dxa"/>
            <w:tcBorders>
              <w:top w:val="nil"/>
              <w:left w:val="nil"/>
              <w:bottom w:val="single" w:sz="4" w:space="0" w:color="auto"/>
              <w:right w:val="single" w:sz="4" w:space="0" w:color="auto"/>
            </w:tcBorders>
            <w:noWrap/>
            <w:vAlign w:val="bottom"/>
            <w:hideMark/>
          </w:tcPr>
          <w:p w14:paraId="581B1AE4"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15.5±0.71</w:t>
            </w:r>
          </w:p>
        </w:tc>
        <w:tc>
          <w:tcPr>
            <w:tcW w:w="1276" w:type="dxa"/>
            <w:tcBorders>
              <w:top w:val="nil"/>
              <w:left w:val="nil"/>
              <w:bottom w:val="single" w:sz="4" w:space="0" w:color="auto"/>
              <w:right w:val="single" w:sz="4" w:space="0" w:color="auto"/>
            </w:tcBorders>
            <w:vAlign w:val="bottom"/>
          </w:tcPr>
          <w:p w14:paraId="22E37253"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17.0</w:t>
            </w:r>
            <w:r w:rsidRPr="00FE39F2">
              <w:rPr>
                <w:rFonts w:ascii="Times New Roman" w:hAnsi="Times New Roman" w:cs="Times New Roman"/>
                <w:color w:val="000000"/>
              </w:rPr>
              <w:t>±</w:t>
            </w:r>
            <w:r w:rsidRPr="00FE39F2">
              <w:rPr>
                <w:rFonts w:ascii="Times New Roman" w:hAnsi="Times New Roman" w:cs="Times New Roman"/>
              </w:rPr>
              <w:t>1.41</w:t>
            </w:r>
          </w:p>
        </w:tc>
      </w:tr>
      <w:tr w:rsidR="006A043B" w:rsidRPr="00FE39F2" w14:paraId="3C9F9DD8"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0DA9FA7B"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Ofloxacin (OF - 5 mcg),</w:t>
            </w:r>
          </w:p>
        </w:tc>
        <w:tc>
          <w:tcPr>
            <w:tcW w:w="1275" w:type="dxa"/>
            <w:tcBorders>
              <w:top w:val="nil"/>
              <w:left w:val="nil"/>
              <w:bottom w:val="single" w:sz="4" w:space="0" w:color="auto"/>
              <w:right w:val="single" w:sz="4" w:space="0" w:color="auto"/>
            </w:tcBorders>
            <w:noWrap/>
            <w:hideMark/>
          </w:tcPr>
          <w:p w14:paraId="4CFAF92E"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22±7.07</w:t>
            </w:r>
          </w:p>
        </w:tc>
        <w:tc>
          <w:tcPr>
            <w:tcW w:w="1134" w:type="dxa"/>
            <w:tcBorders>
              <w:top w:val="nil"/>
              <w:left w:val="nil"/>
              <w:bottom w:val="single" w:sz="4" w:space="0" w:color="auto"/>
              <w:right w:val="single" w:sz="4" w:space="0" w:color="auto"/>
            </w:tcBorders>
            <w:vAlign w:val="bottom"/>
            <w:hideMark/>
          </w:tcPr>
          <w:p w14:paraId="533631E7"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26.5</w:t>
            </w:r>
            <w:r w:rsidRPr="00FE39F2">
              <w:rPr>
                <w:rFonts w:ascii="Times New Roman" w:hAnsi="Times New Roman" w:cs="Times New Roman"/>
                <w:color w:val="000000"/>
              </w:rPr>
              <w:t>±</w:t>
            </w:r>
            <w:r w:rsidRPr="00FE39F2">
              <w:rPr>
                <w:rFonts w:ascii="Times New Roman" w:hAnsi="Times New Roman" w:cs="Times New Roman"/>
              </w:rPr>
              <w:t>0.71</w:t>
            </w:r>
          </w:p>
        </w:tc>
        <w:tc>
          <w:tcPr>
            <w:tcW w:w="1276" w:type="dxa"/>
            <w:tcBorders>
              <w:top w:val="nil"/>
              <w:left w:val="nil"/>
              <w:bottom w:val="single" w:sz="4" w:space="0" w:color="auto"/>
              <w:right w:val="single" w:sz="4" w:space="0" w:color="auto"/>
            </w:tcBorders>
            <w:vAlign w:val="bottom"/>
            <w:hideMark/>
          </w:tcPr>
          <w:p w14:paraId="61253CBD"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21.5±0.71</w:t>
            </w:r>
          </w:p>
        </w:tc>
        <w:tc>
          <w:tcPr>
            <w:tcW w:w="1134" w:type="dxa"/>
            <w:tcBorders>
              <w:top w:val="nil"/>
              <w:left w:val="nil"/>
              <w:bottom w:val="single" w:sz="4" w:space="0" w:color="auto"/>
              <w:right w:val="single" w:sz="4" w:space="0" w:color="auto"/>
            </w:tcBorders>
            <w:noWrap/>
            <w:vAlign w:val="bottom"/>
            <w:hideMark/>
          </w:tcPr>
          <w:p w14:paraId="6C9805FC"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25.5±0.71</w:t>
            </w:r>
          </w:p>
        </w:tc>
        <w:tc>
          <w:tcPr>
            <w:tcW w:w="1276" w:type="dxa"/>
            <w:tcBorders>
              <w:top w:val="nil"/>
              <w:left w:val="nil"/>
              <w:bottom w:val="single" w:sz="4" w:space="0" w:color="auto"/>
              <w:right w:val="single" w:sz="4" w:space="0" w:color="auto"/>
            </w:tcBorders>
            <w:vAlign w:val="bottom"/>
          </w:tcPr>
          <w:p w14:paraId="1F2A80E5"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26.0</w:t>
            </w:r>
            <w:r w:rsidRPr="00FE39F2">
              <w:rPr>
                <w:rFonts w:ascii="Times New Roman" w:hAnsi="Times New Roman" w:cs="Times New Roman"/>
                <w:color w:val="000000"/>
              </w:rPr>
              <w:t>±</w:t>
            </w:r>
            <w:r w:rsidRPr="00FE39F2">
              <w:rPr>
                <w:rFonts w:ascii="Times New Roman" w:hAnsi="Times New Roman" w:cs="Times New Roman"/>
              </w:rPr>
              <w:t>1.41</w:t>
            </w:r>
          </w:p>
        </w:tc>
      </w:tr>
      <w:tr w:rsidR="006A043B" w:rsidRPr="00FE39F2" w14:paraId="4A0F8A56"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52773A57"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Penicillin (P - 10 units),</w:t>
            </w:r>
          </w:p>
        </w:tc>
        <w:tc>
          <w:tcPr>
            <w:tcW w:w="1275" w:type="dxa"/>
            <w:tcBorders>
              <w:top w:val="nil"/>
              <w:left w:val="nil"/>
              <w:bottom w:val="single" w:sz="4" w:space="0" w:color="auto"/>
              <w:right w:val="single" w:sz="4" w:space="0" w:color="auto"/>
            </w:tcBorders>
            <w:noWrap/>
            <w:hideMark/>
          </w:tcPr>
          <w:p w14:paraId="4305F166"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18.5±0.71</w:t>
            </w:r>
          </w:p>
        </w:tc>
        <w:tc>
          <w:tcPr>
            <w:tcW w:w="1134" w:type="dxa"/>
            <w:tcBorders>
              <w:top w:val="nil"/>
              <w:left w:val="nil"/>
              <w:bottom w:val="single" w:sz="4" w:space="0" w:color="auto"/>
              <w:right w:val="single" w:sz="4" w:space="0" w:color="auto"/>
            </w:tcBorders>
            <w:vAlign w:val="bottom"/>
            <w:hideMark/>
          </w:tcPr>
          <w:p w14:paraId="560AAF12"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18.5</w:t>
            </w:r>
            <w:r w:rsidRPr="00FE39F2">
              <w:rPr>
                <w:rFonts w:ascii="Times New Roman" w:hAnsi="Times New Roman" w:cs="Times New Roman"/>
                <w:color w:val="000000"/>
              </w:rPr>
              <w:t>±</w:t>
            </w:r>
            <w:r w:rsidRPr="00FE39F2">
              <w:rPr>
                <w:rFonts w:ascii="Times New Roman" w:hAnsi="Times New Roman" w:cs="Times New Roman"/>
              </w:rPr>
              <w:t>0.71</w:t>
            </w:r>
          </w:p>
        </w:tc>
        <w:tc>
          <w:tcPr>
            <w:tcW w:w="1276" w:type="dxa"/>
            <w:tcBorders>
              <w:top w:val="nil"/>
              <w:left w:val="nil"/>
              <w:bottom w:val="single" w:sz="4" w:space="0" w:color="auto"/>
              <w:right w:val="single" w:sz="4" w:space="0" w:color="auto"/>
            </w:tcBorders>
            <w:vAlign w:val="bottom"/>
            <w:hideMark/>
          </w:tcPr>
          <w:p w14:paraId="72EB1748"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17±0.00</w:t>
            </w:r>
          </w:p>
        </w:tc>
        <w:tc>
          <w:tcPr>
            <w:tcW w:w="1134" w:type="dxa"/>
            <w:tcBorders>
              <w:top w:val="nil"/>
              <w:left w:val="nil"/>
              <w:bottom w:val="single" w:sz="4" w:space="0" w:color="auto"/>
              <w:right w:val="single" w:sz="4" w:space="0" w:color="auto"/>
            </w:tcBorders>
            <w:noWrap/>
            <w:vAlign w:val="bottom"/>
            <w:hideMark/>
          </w:tcPr>
          <w:p w14:paraId="3FE92BE1"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21.5±0.71</w:t>
            </w:r>
          </w:p>
        </w:tc>
        <w:tc>
          <w:tcPr>
            <w:tcW w:w="1276" w:type="dxa"/>
            <w:tcBorders>
              <w:top w:val="nil"/>
              <w:left w:val="nil"/>
              <w:bottom w:val="single" w:sz="4" w:space="0" w:color="auto"/>
              <w:right w:val="single" w:sz="4" w:space="0" w:color="auto"/>
            </w:tcBorders>
            <w:vAlign w:val="bottom"/>
          </w:tcPr>
          <w:p w14:paraId="6F4520FD"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16.5</w:t>
            </w:r>
            <w:r w:rsidRPr="00FE39F2">
              <w:rPr>
                <w:rFonts w:ascii="Times New Roman" w:hAnsi="Times New Roman" w:cs="Times New Roman"/>
                <w:color w:val="000000"/>
              </w:rPr>
              <w:t>±</w:t>
            </w:r>
            <w:r w:rsidRPr="00FE39F2">
              <w:rPr>
                <w:rFonts w:ascii="Times New Roman" w:hAnsi="Times New Roman" w:cs="Times New Roman"/>
              </w:rPr>
              <w:t>0.71</w:t>
            </w:r>
          </w:p>
        </w:tc>
      </w:tr>
      <w:tr w:rsidR="006A043B" w:rsidRPr="00FE39F2" w14:paraId="43B0DBCF"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513AEBF8"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Vancomycin (VA - 30 mcg),</w:t>
            </w:r>
          </w:p>
        </w:tc>
        <w:tc>
          <w:tcPr>
            <w:tcW w:w="1275" w:type="dxa"/>
            <w:tcBorders>
              <w:top w:val="nil"/>
              <w:left w:val="nil"/>
              <w:bottom w:val="single" w:sz="4" w:space="0" w:color="auto"/>
              <w:right w:val="single" w:sz="4" w:space="0" w:color="auto"/>
            </w:tcBorders>
            <w:noWrap/>
            <w:hideMark/>
          </w:tcPr>
          <w:p w14:paraId="5C7B640E"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21.5±0.71</w:t>
            </w:r>
          </w:p>
        </w:tc>
        <w:tc>
          <w:tcPr>
            <w:tcW w:w="1134" w:type="dxa"/>
            <w:tcBorders>
              <w:top w:val="nil"/>
              <w:left w:val="nil"/>
              <w:bottom w:val="single" w:sz="4" w:space="0" w:color="auto"/>
              <w:right w:val="single" w:sz="4" w:space="0" w:color="auto"/>
            </w:tcBorders>
            <w:vAlign w:val="bottom"/>
            <w:hideMark/>
          </w:tcPr>
          <w:p w14:paraId="04BA5A8F"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22.5</w:t>
            </w:r>
            <w:r w:rsidRPr="00FE39F2">
              <w:rPr>
                <w:rFonts w:ascii="Times New Roman" w:hAnsi="Times New Roman" w:cs="Times New Roman"/>
                <w:color w:val="000000"/>
              </w:rPr>
              <w:t>±</w:t>
            </w:r>
            <w:r w:rsidRPr="00FE39F2">
              <w:rPr>
                <w:rFonts w:ascii="Times New Roman" w:hAnsi="Times New Roman" w:cs="Times New Roman"/>
              </w:rPr>
              <w:t>0.71</w:t>
            </w:r>
          </w:p>
        </w:tc>
        <w:tc>
          <w:tcPr>
            <w:tcW w:w="1276" w:type="dxa"/>
            <w:tcBorders>
              <w:top w:val="nil"/>
              <w:left w:val="nil"/>
              <w:bottom w:val="single" w:sz="4" w:space="0" w:color="auto"/>
              <w:right w:val="single" w:sz="4" w:space="0" w:color="auto"/>
            </w:tcBorders>
            <w:vAlign w:val="bottom"/>
            <w:hideMark/>
          </w:tcPr>
          <w:p w14:paraId="7C30E1E2"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21±1.41</w:t>
            </w:r>
          </w:p>
        </w:tc>
        <w:tc>
          <w:tcPr>
            <w:tcW w:w="1134" w:type="dxa"/>
            <w:tcBorders>
              <w:top w:val="nil"/>
              <w:left w:val="nil"/>
              <w:bottom w:val="single" w:sz="4" w:space="0" w:color="auto"/>
              <w:right w:val="single" w:sz="4" w:space="0" w:color="auto"/>
            </w:tcBorders>
            <w:noWrap/>
            <w:vAlign w:val="bottom"/>
            <w:hideMark/>
          </w:tcPr>
          <w:p w14:paraId="7A56954E"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20±2.83</w:t>
            </w:r>
          </w:p>
        </w:tc>
        <w:tc>
          <w:tcPr>
            <w:tcW w:w="1276" w:type="dxa"/>
            <w:tcBorders>
              <w:top w:val="nil"/>
              <w:left w:val="nil"/>
              <w:bottom w:val="single" w:sz="4" w:space="0" w:color="auto"/>
              <w:right w:val="single" w:sz="4" w:space="0" w:color="auto"/>
            </w:tcBorders>
            <w:vAlign w:val="bottom"/>
          </w:tcPr>
          <w:p w14:paraId="66AADB6D"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17.5</w:t>
            </w:r>
            <w:r w:rsidRPr="00FE39F2">
              <w:rPr>
                <w:rFonts w:ascii="Times New Roman" w:hAnsi="Times New Roman" w:cs="Times New Roman"/>
                <w:color w:val="000000"/>
              </w:rPr>
              <w:t>±</w:t>
            </w:r>
            <w:r w:rsidRPr="00FE39F2">
              <w:rPr>
                <w:rFonts w:ascii="Times New Roman" w:hAnsi="Times New Roman" w:cs="Times New Roman"/>
              </w:rPr>
              <w:t>0.71</w:t>
            </w:r>
          </w:p>
        </w:tc>
      </w:tr>
      <w:tr w:rsidR="006A043B" w:rsidRPr="00FE39F2" w14:paraId="128F3A02" w14:textId="77777777" w:rsidTr="00DD497B">
        <w:trPr>
          <w:trHeight w:val="330"/>
          <w:jc w:val="center"/>
        </w:trPr>
        <w:tc>
          <w:tcPr>
            <w:tcW w:w="3545" w:type="dxa"/>
            <w:tcBorders>
              <w:top w:val="nil"/>
              <w:left w:val="single" w:sz="4" w:space="0" w:color="auto"/>
              <w:bottom w:val="single" w:sz="4" w:space="0" w:color="auto"/>
              <w:right w:val="single" w:sz="4" w:space="0" w:color="auto"/>
            </w:tcBorders>
            <w:shd w:val="clear" w:color="auto" w:fill="FFFF00"/>
            <w:noWrap/>
            <w:hideMark/>
          </w:tcPr>
          <w:p w14:paraId="72ED6DA9"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Ampicillin (AMP - 10 mcg),</w:t>
            </w:r>
          </w:p>
        </w:tc>
        <w:tc>
          <w:tcPr>
            <w:tcW w:w="1275" w:type="dxa"/>
            <w:tcBorders>
              <w:top w:val="nil"/>
              <w:left w:val="nil"/>
              <w:bottom w:val="single" w:sz="4" w:space="0" w:color="auto"/>
              <w:right w:val="single" w:sz="4" w:space="0" w:color="auto"/>
            </w:tcBorders>
            <w:shd w:val="clear" w:color="auto" w:fill="FFFF00"/>
            <w:noWrap/>
            <w:hideMark/>
          </w:tcPr>
          <w:p w14:paraId="1994E7F4"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16.5±0.71</w:t>
            </w:r>
          </w:p>
        </w:tc>
        <w:tc>
          <w:tcPr>
            <w:tcW w:w="1134" w:type="dxa"/>
            <w:tcBorders>
              <w:top w:val="nil"/>
              <w:left w:val="nil"/>
              <w:bottom w:val="single" w:sz="4" w:space="0" w:color="auto"/>
              <w:right w:val="single" w:sz="4" w:space="0" w:color="auto"/>
            </w:tcBorders>
            <w:shd w:val="clear" w:color="auto" w:fill="FFFF00"/>
            <w:vAlign w:val="bottom"/>
            <w:hideMark/>
          </w:tcPr>
          <w:p w14:paraId="0093435A"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16</w:t>
            </w:r>
            <w:r w:rsidRPr="00FE39F2">
              <w:rPr>
                <w:rFonts w:ascii="Times New Roman" w:hAnsi="Times New Roman" w:cs="Times New Roman"/>
                <w:color w:val="000000"/>
              </w:rPr>
              <w:t>±</w:t>
            </w:r>
            <w:r w:rsidRPr="00FE39F2">
              <w:rPr>
                <w:rFonts w:ascii="Times New Roman" w:hAnsi="Times New Roman" w:cs="Times New Roman"/>
              </w:rPr>
              <w:t>1.41</w:t>
            </w:r>
          </w:p>
        </w:tc>
        <w:tc>
          <w:tcPr>
            <w:tcW w:w="1276" w:type="dxa"/>
            <w:tcBorders>
              <w:top w:val="nil"/>
              <w:left w:val="nil"/>
              <w:bottom w:val="single" w:sz="4" w:space="0" w:color="auto"/>
              <w:right w:val="single" w:sz="4" w:space="0" w:color="auto"/>
            </w:tcBorders>
            <w:shd w:val="clear" w:color="auto" w:fill="FFFF00"/>
            <w:vAlign w:val="bottom"/>
            <w:hideMark/>
          </w:tcPr>
          <w:p w14:paraId="2C8B80A7"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15.5±0.71</w:t>
            </w:r>
          </w:p>
        </w:tc>
        <w:tc>
          <w:tcPr>
            <w:tcW w:w="1134" w:type="dxa"/>
            <w:tcBorders>
              <w:top w:val="nil"/>
              <w:left w:val="nil"/>
              <w:bottom w:val="single" w:sz="4" w:space="0" w:color="auto"/>
              <w:right w:val="single" w:sz="4" w:space="0" w:color="auto"/>
            </w:tcBorders>
            <w:shd w:val="clear" w:color="auto" w:fill="FFFF00"/>
            <w:noWrap/>
            <w:vAlign w:val="bottom"/>
            <w:hideMark/>
          </w:tcPr>
          <w:p w14:paraId="7ED35FE8"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15±1.41</w:t>
            </w:r>
          </w:p>
        </w:tc>
        <w:tc>
          <w:tcPr>
            <w:tcW w:w="1276" w:type="dxa"/>
            <w:tcBorders>
              <w:top w:val="nil"/>
              <w:left w:val="nil"/>
              <w:bottom w:val="single" w:sz="4" w:space="0" w:color="auto"/>
              <w:right w:val="single" w:sz="4" w:space="0" w:color="auto"/>
            </w:tcBorders>
            <w:shd w:val="clear" w:color="auto" w:fill="FFFF00"/>
            <w:vAlign w:val="bottom"/>
          </w:tcPr>
          <w:p w14:paraId="0E133970"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10.5</w:t>
            </w:r>
            <w:r w:rsidRPr="00FE39F2">
              <w:rPr>
                <w:rFonts w:ascii="Times New Roman" w:hAnsi="Times New Roman" w:cs="Times New Roman"/>
                <w:color w:val="000000"/>
              </w:rPr>
              <w:t>±</w:t>
            </w:r>
            <w:r w:rsidRPr="00FE39F2">
              <w:rPr>
                <w:rFonts w:ascii="Times New Roman" w:hAnsi="Times New Roman" w:cs="Times New Roman"/>
              </w:rPr>
              <w:t>0.71</w:t>
            </w:r>
          </w:p>
        </w:tc>
      </w:tr>
      <w:tr w:rsidR="006A043B" w:rsidRPr="00FE39F2" w14:paraId="7EAD812E"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1BB11AAC"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Chloramphenicol (C - 30 mcg),</w:t>
            </w:r>
          </w:p>
        </w:tc>
        <w:tc>
          <w:tcPr>
            <w:tcW w:w="1275" w:type="dxa"/>
            <w:tcBorders>
              <w:top w:val="nil"/>
              <w:left w:val="nil"/>
              <w:bottom w:val="single" w:sz="4" w:space="0" w:color="auto"/>
              <w:right w:val="single" w:sz="4" w:space="0" w:color="auto"/>
            </w:tcBorders>
            <w:noWrap/>
            <w:hideMark/>
          </w:tcPr>
          <w:p w14:paraId="7458F7F2"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20.5±0.71</w:t>
            </w:r>
          </w:p>
        </w:tc>
        <w:tc>
          <w:tcPr>
            <w:tcW w:w="1134" w:type="dxa"/>
            <w:tcBorders>
              <w:top w:val="nil"/>
              <w:left w:val="nil"/>
              <w:bottom w:val="single" w:sz="4" w:space="0" w:color="auto"/>
              <w:right w:val="single" w:sz="4" w:space="0" w:color="auto"/>
            </w:tcBorders>
            <w:vAlign w:val="bottom"/>
            <w:hideMark/>
          </w:tcPr>
          <w:p w14:paraId="142CF95A"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27.5</w:t>
            </w:r>
            <w:r w:rsidRPr="00FE39F2">
              <w:rPr>
                <w:rFonts w:ascii="Times New Roman" w:hAnsi="Times New Roman" w:cs="Times New Roman"/>
                <w:color w:val="000000"/>
              </w:rPr>
              <w:t>±</w:t>
            </w:r>
            <w:r w:rsidRPr="00FE39F2">
              <w:rPr>
                <w:rFonts w:ascii="Times New Roman" w:hAnsi="Times New Roman" w:cs="Times New Roman"/>
              </w:rPr>
              <w:t>0.71</w:t>
            </w:r>
          </w:p>
        </w:tc>
        <w:tc>
          <w:tcPr>
            <w:tcW w:w="1276" w:type="dxa"/>
            <w:tcBorders>
              <w:top w:val="nil"/>
              <w:left w:val="nil"/>
              <w:bottom w:val="single" w:sz="4" w:space="0" w:color="auto"/>
              <w:right w:val="single" w:sz="4" w:space="0" w:color="auto"/>
            </w:tcBorders>
            <w:vAlign w:val="bottom"/>
            <w:hideMark/>
          </w:tcPr>
          <w:p w14:paraId="1C669DAE"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20.5±0.71</w:t>
            </w:r>
          </w:p>
        </w:tc>
        <w:tc>
          <w:tcPr>
            <w:tcW w:w="1134" w:type="dxa"/>
            <w:tcBorders>
              <w:top w:val="nil"/>
              <w:left w:val="nil"/>
              <w:bottom w:val="single" w:sz="4" w:space="0" w:color="auto"/>
              <w:right w:val="single" w:sz="4" w:space="0" w:color="auto"/>
            </w:tcBorders>
            <w:noWrap/>
            <w:vAlign w:val="bottom"/>
            <w:hideMark/>
          </w:tcPr>
          <w:p w14:paraId="27BBE797"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25.5±0.71</w:t>
            </w:r>
          </w:p>
        </w:tc>
        <w:tc>
          <w:tcPr>
            <w:tcW w:w="1276" w:type="dxa"/>
            <w:tcBorders>
              <w:top w:val="nil"/>
              <w:left w:val="nil"/>
              <w:bottom w:val="single" w:sz="4" w:space="0" w:color="auto"/>
              <w:right w:val="single" w:sz="4" w:space="0" w:color="auto"/>
            </w:tcBorders>
            <w:vAlign w:val="bottom"/>
          </w:tcPr>
          <w:p w14:paraId="6EB05B5A"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23.0</w:t>
            </w:r>
            <w:r w:rsidRPr="00FE39F2">
              <w:rPr>
                <w:rFonts w:ascii="Times New Roman" w:hAnsi="Times New Roman" w:cs="Times New Roman"/>
                <w:color w:val="000000"/>
              </w:rPr>
              <w:t>±</w:t>
            </w:r>
            <w:r w:rsidRPr="00FE39F2">
              <w:rPr>
                <w:rFonts w:ascii="Times New Roman" w:hAnsi="Times New Roman" w:cs="Times New Roman"/>
              </w:rPr>
              <w:t>0.00</w:t>
            </w:r>
          </w:p>
        </w:tc>
      </w:tr>
      <w:tr w:rsidR="006A043B" w:rsidRPr="00FE39F2" w14:paraId="6FFD4C2C"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6141BAB8"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Oxacillin (OX - 1 mcg),</w:t>
            </w:r>
          </w:p>
        </w:tc>
        <w:tc>
          <w:tcPr>
            <w:tcW w:w="1275" w:type="dxa"/>
            <w:tcBorders>
              <w:top w:val="nil"/>
              <w:left w:val="nil"/>
              <w:bottom w:val="single" w:sz="4" w:space="0" w:color="auto"/>
              <w:right w:val="single" w:sz="4" w:space="0" w:color="auto"/>
            </w:tcBorders>
            <w:noWrap/>
            <w:hideMark/>
          </w:tcPr>
          <w:p w14:paraId="31A50C2C"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30±0.00</w:t>
            </w:r>
          </w:p>
        </w:tc>
        <w:tc>
          <w:tcPr>
            <w:tcW w:w="1134" w:type="dxa"/>
            <w:tcBorders>
              <w:top w:val="nil"/>
              <w:left w:val="nil"/>
              <w:bottom w:val="single" w:sz="4" w:space="0" w:color="auto"/>
              <w:right w:val="single" w:sz="4" w:space="0" w:color="auto"/>
            </w:tcBorders>
            <w:vAlign w:val="bottom"/>
            <w:hideMark/>
          </w:tcPr>
          <w:p w14:paraId="23D0B9F8"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31.5</w:t>
            </w:r>
            <w:r w:rsidRPr="00FE39F2">
              <w:rPr>
                <w:rFonts w:ascii="Times New Roman" w:hAnsi="Times New Roman" w:cs="Times New Roman"/>
                <w:color w:val="000000"/>
              </w:rPr>
              <w:t>±</w:t>
            </w:r>
            <w:r w:rsidRPr="00FE39F2">
              <w:rPr>
                <w:rFonts w:ascii="Times New Roman" w:hAnsi="Times New Roman" w:cs="Times New Roman"/>
              </w:rPr>
              <w:t>0.71</w:t>
            </w:r>
          </w:p>
        </w:tc>
        <w:tc>
          <w:tcPr>
            <w:tcW w:w="1276" w:type="dxa"/>
            <w:tcBorders>
              <w:top w:val="nil"/>
              <w:left w:val="nil"/>
              <w:bottom w:val="single" w:sz="4" w:space="0" w:color="auto"/>
              <w:right w:val="single" w:sz="4" w:space="0" w:color="auto"/>
            </w:tcBorders>
            <w:vAlign w:val="bottom"/>
            <w:hideMark/>
          </w:tcPr>
          <w:p w14:paraId="197B2B99"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30.5±0.71</w:t>
            </w:r>
          </w:p>
        </w:tc>
        <w:tc>
          <w:tcPr>
            <w:tcW w:w="1134" w:type="dxa"/>
            <w:tcBorders>
              <w:top w:val="nil"/>
              <w:left w:val="nil"/>
              <w:bottom w:val="single" w:sz="4" w:space="0" w:color="auto"/>
              <w:right w:val="single" w:sz="4" w:space="0" w:color="auto"/>
            </w:tcBorders>
            <w:noWrap/>
            <w:vAlign w:val="bottom"/>
            <w:hideMark/>
          </w:tcPr>
          <w:p w14:paraId="25445185"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31±0.00</w:t>
            </w:r>
          </w:p>
        </w:tc>
        <w:tc>
          <w:tcPr>
            <w:tcW w:w="1276" w:type="dxa"/>
            <w:tcBorders>
              <w:top w:val="nil"/>
              <w:left w:val="nil"/>
              <w:bottom w:val="single" w:sz="4" w:space="0" w:color="auto"/>
              <w:right w:val="single" w:sz="4" w:space="0" w:color="auto"/>
            </w:tcBorders>
            <w:vAlign w:val="bottom"/>
          </w:tcPr>
          <w:p w14:paraId="48F812FD"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27.5</w:t>
            </w:r>
            <w:r w:rsidRPr="00FE39F2">
              <w:rPr>
                <w:rFonts w:ascii="Times New Roman" w:hAnsi="Times New Roman" w:cs="Times New Roman"/>
                <w:color w:val="000000"/>
              </w:rPr>
              <w:t>±</w:t>
            </w:r>
            <w:r w:rsidRPr="00FE39F2">
              <w:rPr>
                <w:rFonts w:ascii="Times New Roman" w:hAnsi="Times New Roman" w:cs="Times New Roman"/>
              </w:rPr>
              <w:t>2.12</w:t>
            </w:r>
          </w:p>
        </w:tc>
      </w:tr>
      <w:tr w:rsidR="006A043B" w:rsidRPr="00FE39F2" w14:paraId="74D8A16A"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63603323"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Linezolid (LZ - 30 mcg),</w:t>
            </w:r>
          </w:p>
        </w:tc>
        <w:tc>
          <w:tcPr>
            <w:tcW w:w="1275" w:type="dxa"/>
            <w:tcBorders>
              <w:top w:val="nil"/>
              <w:left w:val="nil"/>
              <w:bottom w:val="single" w:sz="4" w:space="0" w:color="auto"/>
              <w:right w:val="single" w:sz="4" w:space="0" w:color="auto"/>
            </w:tcBorders>
            <w:noWrap/>
            <w:hideMark/>
          </w:tcPr>
          <w:p w14:paraId="7C96A8FE"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27.5±0.71</w:t>
            </w:r>
          </w:p>
        </w:tc>
        <w:tc>
          <w:tcPr>
            <w:tcW w:w="1134" w:type="dxa"/>
            <w:tcBorders>
              <w:top w:val="nil"/>
              <w:left w:val="nil"/>
              <w:bottom w:val="single" w:sz="4" w:space="0" w:color="auto"/>
              <w:right w:val="single" w:sz="4" w:space="0" w:color="auto"/>
            </w:tcBorders>
            <w:vAlign w:val="bottom"/>
            <w:hideMark/>
          </w:tcPr>
          <w:p w14:paraId="3ADE0BF7"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31</w:t>
            </w:r>
            <w:r w:rsidRPr="00FE39F2">
              <w:rPr>
                <w:rFonts w:ascii="Times New Roman" w:hAnsi="Times New Roman" w:cs="Times New Roman"/>
                <w:color w:val="000000"/>
              </w:rPr>
              <w:t>±</w:t>
            </w:r>
            <w:r w:rsidRPr="00FE39F2">
              <w:rPr>
                <w:rFonts w:ascii="Times New Roman" w:hAnsi="Times New Roman" w:cs="Times New Roman"/>
              </w:rPr>
              <w:t>1.41</w:t>
            </w:r>
          </w:p>
        </w:tc>
        <w:tc>
          <w:tcPr>
            <w:tcW w:w="1276" w:type="dxa"/>
            <w:tcBorders>
              <w:top w:val="nil"/>
              <w:left w:val="nil"/>
              <w:bottom w:val="single" w:sz="4" w:space="0" w:color="auto"/>
              <w:right w:val="single" w:sz="4" w:space="0" w:color="auto"/>
            </w:tcBorders>
            <w:vAlign w:val="bottom"/>
            <w:hideMark/>
          </w:tcPr>
          <w:p w14:paraId="737DC796"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26±0.00</w:t>
            </w:r>
          </w:p>
        </w:tc>
        <w:tc>
          <w:tcPr>
            <w:tcW w:w="1134" w:type="dxa"/>
            <w:tcBorders>
              <w:top w:val="nil"/>
              <w:left w:val="nil"/>
              <w:bottom w:val="single" w:sz="4" w:space="0" w:color="auto"/>
              <w:right w:val="single" w:sz="4" w:space="0" w:color="auto"/>
            </w:tcBorders>
            <w:noWrap/>
            <w:vAlign w:val="bottom"/>
            <w:hideMark/>
          </w:tcPr>
          <w:p w14:paraId="3B5EC2EC"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27.5±2.12</w:t>
            </w:r>
          </w:p>
        </w:tc>
        <w:tc>
          <w:tcPr>
            <w:tcW w:w="1276" w:type="dxa"/>
            <w:tcBorders>
              <w:top w:val="nil"/>
              <w:left w:val="nil"/>
              <w:bottom w:val="single" w:sz="4" w:space="0" w:color="auto"/>
              <w:right w:val="single" w:sz="4" w:space="0" w:color="auto"/>
            </w:tcBorders>
            <w:vAlign w:val="bottom"/>
          </w:tcPr>
          <w:p w14:paraId="3D68B445"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28.0</w:t>
            </w:r>
            <w:r w:rsidRPr="00FE39F2">
              <w:rPr>
                <w:rFonts w:ascii="Times New Roman" w:hAnsi="Times New Roman" w:cs="Times New Roman"/>
                <w:color w:val="000000"/>
              </w:rPr>
              <w:t>±</w:t>
            </w:r>
            <w:r w:rsidRPr="00FE39F2">
              <w:rPr>
                <w:rFonts w:ascii="Times New Roman" w:hAnsi="Times New Roman" w:cs="Times New Roman"/>
              </w:rPr>
              <w:t>0.00</w:t>
            </w:r>
          </w:p>
        </w:tc>
      </w:tr>
      <w:tr w:rsidR="006A043B" w:rsidRPr="00FE39F2" w14:paraId="21480D94"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35B5645B"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Azithromycin (AZM - 15 mcg),</w:t>
            </w:r>
          </w:p>
        </w:tc>
        <w:tc>
          <w:tcPr>
            <w:tcW w:w="1275" w:type="dxa"/>
            <w:tcBorders>
              <w:top w:val="nil"/>
              <w:left w:val="nil"/>
              <w:bottom w:val="single" w:sz="4" w:space="0" w:color="auto"/>
              <w:right w:val="single" w:sz="4" w:space="0" w:color="auto"/>
            </w:tcBorders>
            <w:noWrap/>
            <w:hideMark/>
          </w:tcPr>
          <w:p w14:paraId="0AD7D2D9"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25.5±0.71</w:t>
            </w:r>
          </w:p>
        </w:tc>
        <w:tc>
          <w:tcPr>
            <w:tcW w:w="1134" w:type="dxa"/>
            <w:tcBorders>
              <w:top w:val="nil"/>
              <w:left w:val="nil"/>
              <w:bottom w:val="single" w:sz="4" w:space="0" w:color="auto"/>
              <w:right w:val="single" w:sz="4" w:space="0" w:color="auto"/>
            </w:tcBorders>
            <w:vAlign w:val="bottom"/>
            <w:hideMark/>
          </w:tcPr>
          <w:p w14:paraId="14C095DE"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24.5</w:t>
            </w:r>
            <w:r w:rsidRPr="00FE39F2">
              <w:rPr>
                <w:rFonts w:ascii="Times New Roman" w:hAnsi="Times New Roman" w:cs="Times New Roman"/>
                <w:color w:val="000000"/>
              </w:rPr>
              <w:t>±</w:t>
            </w:r>
            <w:r w:rsidRPr="00FE39F2">
              <w:rPr>
                <w:rFonts w:ascii="Times New Roman" w:hAnsi="Times New Roman" w:cs="Times New Roman"/>
              </w:rPr>
              <w:t>0.71</w:t>
            </w:r>
          </w:p>
        </w:tc>
        <w:tc>
          <w:tcPr>
            <w:tcW w:w="1276" w:type="dxa"/>
            <w:tcBorders>
              <w:top w:val="nil"/>
              <w:left w:val="nil"/>
              <w:bottom w:val="single" w:sz="4" w:space="0" w:color="auto"/>
              <w:right w:val="single" w:sz="4" w:space="0" w:color="auto"/>
            </w:tcBorders>
            <w:vAlign w:val="bottom"/>
            <w:hideMark/>
          </w:tcPr>
          <w:p w14:paraId="3B42209E"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22±1.41</w:t>
            </w:r>
          </w:p>
        </w:tc>
        <w:tc>
          <w:tcPr>
            <w:tcW w:w="1134" w:type="dxa"/>
            <w:tcBorders>
              <w:top w:val="nil"/>
              <w:left w:val="nil"/>
              <w:bottom w:val="single" w:sz="4" w:space="0" w:color="auto"/>
              <w:right w:val="single" w:sz="4" w:space="0" w:color="auto"/>
            </w:tcBorders>
            <w:noWrap/>
            <w:vAlign w:val="bottom"/>
            <w:hideMark/>
          </w:tcPr>
          <w:p w14:paraId="72EA255D"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22.5±2.12</w:t>
            </w:r>
          </w:p>
        </w:tc>
        <w:tc>
          <w:tcPr>
            <w:tcW w:w="1276" w:type="dxa"/>
            <w:tcBorders>
              <w:top w:val="nil"/>
              <w:left w:val="nil"/>
              <w:bottom w:val="single" w:sz="4" w:space="0" w:color="auto"/>
              <w:right w:val="single" w:sz="4" w:space="0" w:color="auto"/>
            </w:tcBorders>
            <w:vAlign w:val="bottom"/>
          </w:tcPr>
          <w:p w14:paraId="1BA84411"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23.0</w:t>
            </w:r>
            <w:r w:rsidRPr="00FE39F2">
              <w:rPr>
                <w:rFonts w:ascii="Times New Roman" w:hAnsi="Times New Roman" w:cs="Times New Roman"/>
                <w:color w:val="000000"/>
              </w:rPr>
              <w:t>±</w:t>
            </w:r>
            <w:r w:rsidRPr="00FE39F2">
              <w:rPr>
                <w:rFonts w:ascii="Times New Roman" w:hAnsi="Times New Roman" w:cs="Times New Roman"/>
              </w:rPr>
              <w:t>1.41</w:t>
            </w:r>
          </w:p>
        </w:tc>
      </w:tr>
      <w:tr w:rsidR="006A043B" w:rsidRPr="00FE39F2" w14:paraId="4EB76A80"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643DB297"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Amikacin (AK - 30 mcg),</w:t>
            </w:r>
          </w:p>
        </w:tc>
        <w:tc>
          <w:tcPr>
            <w:tcW w:w="1275" w:type="dxa"/>
            <w:tcBorders>
              <w:top w:val="nil"/>
              <w:left w:val="nil"/>
              <w:bottom w:val="single" w:sz="4" w:space="0" w:color="auto"/>
              <w:right w:val="single" w:sz="4" w:space="0" w:color="auto"/>
            </w:tcBorders>
            <w:noWrap/>
            <w:hideMark/>
          </w:tcPr>
          <w:p w14:paraId="2DF9442A"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16.5±0.71</w:t>
            </w:r>
          </w:p>
        </w:tc>
        <w:tc>
          <w:tcPr>
            <w:tcW w:w="1134" w:type="dxa"/>
            <w:tcBorders>
              <w:top w:val="nil"/>
              <w:left w:val="nil"/>
              <w:bottom w:val="single" w:sz="4" w:space="0" w:color="auto"/>
              <w:right w:val="single" w:sz="4" w:space="0" w:color="auto"/>
            </w:tcBorders>
            <w:vAlign w:val="bottom"/>
            <w:hideMark/>
          </w:tcPr>
          <w:p w14:paraId="4EB8DC05"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18.5</w:t>
            </w:r>
            <w:r w:rsidRPr="00FE39F2">
              <w:rPr>
                <w:rFonts w:ascii="Times New Roman" w:hAnsi="Times New Roman" w:cs="Times New Roman"/>
                <w:color w:val="000000"/>
              </w:rPr>
              <w:t>±</w:t>
            </w:r>
            <w:r w:rsidRPr="00FE39F2">
              <w:rPr>
                <w:rFonts w:ascii="Times New Roman" w:hAnsi="Times New Roman" w:cs="Times New Roman"/>
              </w:rPr>
              <w:t>0.71</w:t>
            </w:r>
          </w:p>
        </w:tc>
        <w:tc>
          <w:tcPr>
            <w:tcW w:w="1276" w:type="dxa"/>
            <w:tcBorders>
              <w:top w:val="nil"/>
              <w:left w:val="nil"/>
              <w:bottom w:val="single" w:sz="4" w:space="0" w:color="auto"/>
              <w:right w:val="single" w:sz="4" w:space="0" w:color="auto"/>
            </w:tcBorders>
            <w:vAlign w:val="bottom"/>
            <w:hideMark/>
          </w:tcPr>
          <w:p w14:paraId="24DD80B6"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15.5±0.71</w:t>
            </w:r>
          </w:p>
        </w:tc>
        <w:tc>
          <w:tcPr>
            <w:tcW w:w="1134" w:type="dxa"/>
            <w:tcBorders>
              <w:top w:val="nil"/>
              <w:left w:val="nil"/>
              <w:bottom w:val="single" w:sz="4" w:space="0" w:color="auto"/>
              <w:right w:val="single" w:sz="4" w:space="0" w:color="auto"/>
            </w:tcBorders>
            <w:noWrap/>
            <w:vAlign w:val="bottom"/>
            <w:hideMark/>
          </w:tcPr>
          <w:p w14:paraId="609F983D"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20±0.00</w:t>
            </w:r>
          </w:p>
        </w:tc>
        <w:tc>
          <w:tcPr>
            <w:tcW w:w="1276" w:type="dxa"/>
            <w:tcBorders>
              <w:top w:val="nil"/>
              <w:left w:val="nil"/>
              <w:bottom w:val="single" w:sz="4" w:space="0" w:color="auto"/>
              <w:right w:val="single" w:sz="4" w:space="0" w:color="auto"/>
            </w:tcBorders>
            <w:vAlign w:val="bottom"/>
          </w:tcPr>
          <w:p w14:paraId="65A038FF"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15.5</w:t>
            </w:r>
            <w:r w:rsidRPr="00FE39F2">
              <w:rPr>
                <w:rFonts w:ascii="Times New Roman" w:hAnsi="Times New Roman" w:cs="Times New Roman"/>
                <w:color w:val="000000"/>
              </w:rPr>
              <w:t>±</w:t>
            </w:r>
            <w:r w:rsidRPr="00FE39F2">
              <w:rPr>
                <w:rFonts w:ascii="Times New Roman" w:hAnsi="Times New Roman" w:cs="Times New Roman"/>
              </w:rPr>
              <w:t>0.71</w:t>
            </w:r>
          </w:p>
        </w:tc>
      </w:tr>
      <w:tr w:rsidR="006A043B" w:rsidRPr="00FE39F2" w14:paraId="58519EC5"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6D7D7E7F"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Clarithromycin (CLR - 15 mcg),</w:t>
            </w:r>
          </w:p>
        </w:tc>
        <w:tc>
          <w:tcPr>
            <w:tcW w:w="1275" w:type="dxa"/>
            <w:tcBorders>
              <w:top w:val="nil"/>
              <w:left w:val="nil"/>
              <w:bottom w:val="single" w:sz="4" w:space="0" w:color="auto"/>
              <w:right w:val="single" w:sz="4" w:space="0" w:color="auto"/>
            </w:tcBorders>
            <w:noWrap/>
            <w:hideMark/>
          </w:tcPr>
          <w:p w14:paraId="026AD1B7"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22±5.66</w:t>
            </w:r>
          </w:p>
        </w:tc>
        <w:tc>
          <w:tcPr>
            <w:tcW w:w="1134" w:type="dxa"/>
            <w:tcBorders>
              <w:top w:val="nil"/>
              <w:left w:val="nil"/>
              <w:bottom w:val="single" w:sz="4" w:space="0" w:color="auto"/>
              <w:right w:val="single" w:sz="4" w:space="0" w:color="auto"/>
            </w:tcBorders>
            <w:vAlign w:val="bottom"/>
            <w:hideMark/>
          </w:tcPr>
          <w:p w14:paraId="56FC0B75"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24</w:t>
            </w:r>
            <w:r w:rsidRPr="00FE39F2">
              <w:rPr>
                <w:rFonts w:ascii="Times New Roman" w:hAnsi="Times New Roman" w:cs="Times New Roman"/>
                <w:color w:val="000000"/>
              </w:rPr>
              <w:t>±</w:t>
            </w:r>
            <w:r w:rsidRPr="00FE39F2">
              <w:rPr>
                <w:rFonts w:ascii="Times New Roman" w:hAnsi="Times New Roman" w:cs="Times New Roman"/>
              </w:rPr>
              <w:t>1.41</w:t>
            </w:r>
          </w:p>
        </w:tc>
        <w:tc>
          <w:tcPr>
            <w:tcW w:w="1276" w:type="dxa"/>
            <w:tcBorders>
              <w:top w:val="nil"/>
              <w:left w:val="nil"/>
              <w:bottom w:val="single" w:sz="4" w:space="0" w:color="auto"/>
              <w:right w:val="single" w:sz="4" w:space="0" w:color="auto"/>
            </w:tcBorders>
            <w:vAlign w:val="bottom"/>
            <w:hideMark/>
          </w:tcPr>
          <w:p w14:paraId="1E506744"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26±0.00</w:t>
            </w:r>
          </w:p>
        </w:tc>
        <w:tc>
          <w:tcPr>
            <w:tcW w:w="1134" w:type="dxa"/>
            <w:tcBorders>
              <w:top w:val="nil"/>
              <w:left w:val="nil"/>
              <w:bottom w:val="single" w:sz="4" w:space="0" w:color="auto"/>
              <w:right w:val="single" w:sz="4" w:space="0" w:color="auto"/>
            </w:tcBorders>
            <w:noWrap/>
            <w:vAlign w:val="bottom"/>
            <w:hideMark/>
          </w:tcPr>
          <w:p w14:paraId="0D966B6E"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28.5±0.71</w:t>
            </w:r>
          </w:p>
        </w:tc>
        <w:tc>
          <w:tcPr>
            <w:tcW w:w="1276" w:type="dxa"/>
            <w:tcBorders>
              <w:top w:val="nil"/>
              <w:left w:val="nil"/>
              <w:bottom w:val="single" w:sz="4" w:space="0" w:color="auto"/>
              <w:right w:val="single" w:sz="4" w:space="0" w:color="auto"/>
            </w:tcBorders>
            <w:vAlign w:val="bottom"/>
          </w:tcPr>
          <w:p w14:paraId="5EA418A0"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22.5</w:t>
            </w:r>
            <w:r w:rsidRPr="00FE39F2">
              <w:rPr>
                <w:rFonts w:ascii="Times New Roman" w:hAnsi="Times New Roman" w:cs="Times New Roman"/>
                <w:color w:val="000000"/>
              </w:rPr>
              <w:t>±</w:t>
            </w:r>
            <w:r w:rsidRPr="00FE39F2">
              <w:rPr>
                <w:rFonts w:ascii="Times New Roman" w:hAnsi="Times New Roman" w:cs="Times New Roman"/>
              </w:rPr>
              <w:t>2.12</w:t>
            </w:r>
          </w:p>
        </w:tc>
      </w:tr>
      <w:tr w:rsidR="006A043B" w:rsidRPr="00FE39F2" w14:paraId="423D4126"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4E44D3F1"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Teicoplanin (TEI - 10 mcg),</w:t>
            </w:r>
          </w:p>
        </w:tc>
        <w:tc>
          <w:tcPr>
            <w:tcW w:w="1275" w:type="dxa"/>
            <w:tcBorders>
              <w:top w:val="nil"/>
              <w:left w:val="nil"/>
              <w:bottom w:val="single" w:sz="4" w:space="0" w:color="auto"/>
              <w:right w:val="single" w:sz="4" w:space="0" w:color="auto"/>
            </w:tcBorders>
            <w:noWrap/>
            <w:hideMark/>
          </w:tcPr>
          <w:p w14:paraId="41839F5D"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21±1.41</w:t>
            </w:r>
          </w:p>
        </w:tc>
        <w:tc>
          <w:tcPr>
            <w:tcW w:w="1134" w:type="dxa"/>
            <w:tcBorders>
              <w:top w:val="nil"/>
              <w:left w:val="nil"/>
              <w:bottom w:val="single" w:sz="4" w:space="0" w:color="auto"/>
              <w:right w:val="single" w:sz="4" w:space="0" w:color="auto"/>
            </w:tcBorders>
            <w:vAlign w:val="bottom"/>
            <w:hideMark/>
          </w:tcPr>
          <w:p w14:paraId="71859251"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21</w:t>
            </w:r>
            <w:r w:rsidRPr="00FE39F2">
              <w:rPr>
                <w:rFonts w:ascii="Times New Roman" w:hAnsi="Times New Roman" w:cs="Times New Roman"/>
                <w:color w:val="000000"/>
              </w:rPr>
              <w:t>±</w:t>
            </w:r>
            <w:r w:rsidRPr="00FE39F2">
              <w:rPr>
                <w:rFonts w:ascii="Times New Roman" w:hAnsi="Times New Roman" w:cs="Times New Roman"/>
              </w:rPr>
              <w:t>1.41</w:t>
            </w:r>
          </w:p>
        </w:tc>
        <w:tc>
          <w:tcPr>
            <w:tcW w:w="1276" w:type="dxa"/>
            <w:tcBorders>
              <w:top w:val="nil"/>
              <w:left w:val="nil"/>
              <w:bottom w:val="single" w:sz="4" w:space="0" w:color="auto"/>
              <w:right w:val="single" w:sz="4" w:space="0" w:color="auto"/>
            </w:tcBorders>
            <w:vAlign w:val="bottom"/>
            <w:hideMark/>
          </w:tcPr>
          <w:p w14:paraId="2C4B1DF8"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24.5±0.71</w:t>
            </w:r>
          </w:p>
        </w:tc>
        <w:tc>
          <w:tcPr>
            <w:tcW w:w="1134" w:type="dxa"/>
            <w:tcBorders>
              <w:top w:val="nil"/>
              <w:left w:val="nil"/>
              <w:bottom w:val="single" w:sz="4" w:space="0" w:color="auto"/>
              <w:right w:val="single" w:sz="4" w:space="0" w:color="auto"/>
            </w:tcBorders>
            <w:noWrap/>
            <w:vAlign w:val="bottom"/>
            <w:hideMark/>
          </w:tcPr>
          <w:p w14:paraId="58C98657"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20±1.41</w:t>
            </w:r>
          </w:p>
        </w:tc>
        <w:tc>
          <w:tcPr>
            <w:tcW w:w="1276" w:type="dxa"/>
            <w:tcBorders>
              <w:top w:val="nil"/>
              <w:left w:val="nil"/>
              <w:bottom w:val="single" w:sz="4" w:space="0" w:color="auto"/>
              <w:right w:val="single" w:sz="4" w:space="0" w:color="auto"/>
            </w:tcBorders>
            <w:vAlign w:val="bottom"/>
          </w:tcPr>
          <w:p w14:paraId="463389E0"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18.5</w:t>
            </w:r>
            <w:r w:rsidRPr="00FE39F2">
              <w:rPr>
                <w:rFonts w:ascii="Times New Roman" w:hAnsi="Times New Roman" w:cs="Times New Roman"/>
                <w:color w:val="000000"/>
              </w:rPr>
              <w:t>±</w:t>
            </w:r>
            <w:r w:rsidRPr="00FE39F2">
              <w:rPr>
                <w:rFonts w:ascii="Times New Roman" w:hAnsi="Times New Roman" w:cs="Times New Roman"/>
              </w:rPr>
              <w:t>0.71</w:t>
            </w:r>
          </w:p>
        </w:tc>
      </w:tr>
      <w:tr w:rsidR="006A043B" w:rsidRPr="00FE39F2" w14:paraId="592CC38A"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42F9226D"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Methicillin (MET - 5 mcg),</w:t>
            </w:r>
          </w:p>
        </w:tc>
        <w:tc>
          <w:tcPr>
            <w:tcW w:w="1275" w:type="dxa"/>
            <w:tcBorders>
              <w:top w:val="nil"/>
              <w:left w:val="nil"/>
              <w:bottom w:val="single" w:sz="4" w:space="0" w:color="auto"/>
              <w:right w:val="single" w:sz="4" w:space="0" w:color="auto"/>
            </w:tcBorders>
            <w:noWrap/>
            <w:hideMark/>
          </w:tcPr>
          <w:p w14:paraId="6AAA7E58"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0.71</w:t>
            </w:r>
          </w:p>
        </w:tc>
        <w:tc>
          <w:tcPr>
            <w:tcW w:w="1134" w:type="dxa"/>
            <w:tcBorders>
              <w:top w:val="nil"/>
              <w:left w:val="nil"/>
              <w:bottom w:val="single" w:sz="4" w:space="0" w:color="auto"/>
              <w:right w:val="single" w:sz="4" w:space="0" w:color="auto"/>
            </w:tcBorders>
            <w:vAlign w:val="bottom"/>
            <w:hideMark/>
          </w:tcPr>
          <w:p w14:paraId="29BDF280"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27</w:t>
            </w:r>
            <w:r w:rsidRPr="00FE39F2">
              <w:rPr>
                <w:rFonts w:ascii="Times New Roman" w:hAnsi="Times New Roman" w:cs="Times New Roman"/>
                <w:color w:val="000000"/>
              </w:rPr>
              <w:t>±</w:t>
            </w:r>
            <w:r w:rsidRPr="00FE39F2">
              <w:rPr>
                <w:rFonts w:ascii="Times New Roman" w:hAnsi="Times New Roman" w:cs="Times New Roman"/>
              </w:rPr>
              <w:t>1.41</w:t>
            </w:r>
          </w:p>
        </w:tc>
        <w:tc>
          <w:tcPr>
            <w:tcW w:w="1276" w:type="dxa"/>
            <w:tcBorders>
              <w:top w:val="nil"/>
              <w:left w:val="nil"/>
              <w:bottom w:val="single" w:sz="4" w:space="0" w:color="auto"/>
              <w:right w:val="single" w:sz="4" w:space="0" w:color="auto"/>
            </w:tcBorders>
            <w:vAlign w:val="bottom"/>
            <w:hideMark/>
          </w:tcPr>
          <w:p w14:paraId="770CEDFD"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29.5±0.71</w:t>
            </w:r>
          </w:p>
        </w:tc>
        <w:tc>
          <w:tcPr>
            <w:tcW w:w="1134" w:type="dxa"/>
            <w:tcBorders>
              <w:top w:val="nil"/>
              <w:left w:val="nil"/>
              <w:bottom w:val="single" w:sz="4" w:space="0" w:color="auto"/>
              <w:right w:val="single" w:sz="4" w:space="0" w:color="auto"/>
            </w:tcBorders>
            <w:noWrap/>
            <w:vAlign w:val="bottom"/>
            <w:hideMark/>
          </w:tcPr>
          <w:p w14:paraId="46130CC7"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30.5±0.71</w:t>
            </w:r>
          </w:p>
        </w:tc>
        <w:tc>
          <w:tcPr>
            <w:tcW w:w="1276" w:type="dxa"/>
            <w:tcBorders>
              <w:top w:val="nil"/>
              <w:left w:val="nil"/>
              <w:bottom w:val="single" w:sz="4" w:space="0" w:color="auto"/>
              <w:right w:val="single" w:sz="4" w:space="0" w:color="auto"/>
            </w:tcBorders>
            <w:vAlign w:val="bottom"/>
          </w:tcPr>
          <w:p w14:paraId="63DE1086"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30.5</w:t>
            </w:r>
            <w:r w:rsidRPr="00FE39F2">
              <w:rPr>
                <w:rFonts w:ascii="Times New Roman" w:hAnsi="Times New Roman" w:cs="Times New Roman"/>
                <w:color w:val="000000"/>
              </w:rPr>
              <w:t>±</w:t>
            </w:r>
            <w:r w:rsidRPr="00FE39F2">
              <w:rPr>
                <w:rFonts w:ascii="Times New Roman" w:hAnsi="Times New Roman" w:cs="Times New Roman"/>
              </w:rPr>
              <w:t>0.71</w:t>
            </w:r>
          </w:p>
        </w:tc>
      </w:tr>
      <w:tr w:rsidR="006A043B" w:rsidRPr="00FE39F2" w14:paraId="314D6B71" w14:textId="77777777" w:rsidTr="00DD497B">
        <w:trPr>
          <w:trHeight w:val="330"/>
          <w:jc w:val="center"/>
        </w:trPr>
        <w:tc>
          <w:tcPr>
            <w:tcW w:w="3545" w:type="dxa"/>
            <w:tcBorders>
              <w:top w:val="nil"/>
              <w:left w:val="single" w:sz="4" w:space="0" w:color="auto"/>
              <w:bottom w:val="single" w:sz="4" w:space="0" w:color="auto"/>
              <w:right w:val="single" w:sz="4" w:space="0" w:color="auto"/>
            </w:tcBorders>
            <w:shd w:val="clear" w:color="auto" w:fill="FFFF00"/>
            <w:noWrap/>
            <w:hideMark/>
          </w:tcPr>
          <w:p w14:paraId="25565D53"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Amoxyclav (AMC - 30 mcg),</w:t>
            </w:r>
          </w:p>
        </w:tc>
        <w:tc>
          <w:tcPr>
            <w:tcW w:w="1275" w:type="dxa"/>
            <w:tcBorders>
              <w:top w:val="nil"/>
              <w:left w:val="nil"/>
              <w:bottom w:val="single" w:sz="4" w:space="0" w:color="auto"/>
              <w:right w:val="single" w:sz="4" w:space="0" w:color="auto"/>
            </w:tcBorders>
            <w:shd w:val="clear" w:color="auto" w:fill="FFFF00"/>
            <w:noWrap/>
            <w:hideMark/>
          </w:tcPr>
          <w:p w14:paraId="7D470AF8"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26.5±0.71</w:t>
            </w:r>
          </w:p>
        </w:tc>
        <w:tc>
          <w:tcPr>
            <w:tcW w:w="1134" w:type="dxa"/>
            <w:tcBorders>
              <w:top w:val="nil"/>
              <w:left w:val="nil"/>
              <w:bottom w:val="single" w:sz="4" w:space="0" w:color="auto"/>
              <w:right w:val="single" w:sz="4" w:space="0" w:color="auto"/>
            </w:tcBorders>
            <w:shd w:val="clear" w:color="auto" w:fill="FFFF00"/>
            <w:vAlign w:val="bottom"/>
            <w:hideMark/>
          </w:tcPr>
          <w:p w14:paraId="297CD9C9"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25</w:t>
            </w:r>
            <w:r w:rsidRPr="00FE39F2">
              <w:rPr>
                <w:rFonts w:ascii="Times New Roman" w:hAnsi="Times New Roman" w:cs="Times New Roman"/>
                <w:color w:val="000000"/>
              </w:rPr>
              <w:t>±</w:t>
            </w:r>
            <w:r w:rsidRPr="00FE39F2">
              <w:rPr>
                <w:rFonts w:ascii="Times New Roman" w:hAnsi="Times New Roman" w:cs="Times New Roman"/>
              </w:rPr>
              <w:t>0.00</w:t>
            </w:r>
          </w:p>
        </w:tc>
        <w:tc>
          <w:tcPr>
            <w:tcW w:w="1276" w:type="dxa"/>
            <w:tcBorders>
              <w:top w:val="nil"/>
              <w:left w:val="nil"/>
              <w:bottom w:val="single" w:sz="4" w:space="0" w:color="auto"/>
              <w:right w:val="single" w:sz="4" w:space="0" w:color="auto"/>
            </w:tcBorders>
            <w:shd w:val="clear" w:color="auto" w:fill="FFFF00"/>
            <w:vAlign w:val="bottom"/>
            <w:hideMark/>
          </w:tcPr>
          <w:p w14:paraId="35BBBA14"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19.5±0.71</w:t>
            </w:r>
          </w:p>
        </w:tc>
        <w:tc>
          <w:tcPr>
            <w:tcW w:w="1134" w:type="dxa"/>
            <w:tcBorders>
              <w:top w:val="nil"/>
              <w:left w:val="nil"/>
              <w:bottom w:val="single" w:sz="4" w:space="0" w:color="auto"/>
              <w:right w:val="single" w:sz="4" w:space="0" w:color="auto"/>
            </w:tcBorders>
            <w:shd w:val="clear" w:color="auto" w:fill="FFFF00"/>
            <w:noWrap/>
            <w:vAlign w:val="bottom"/>
            <w:hideMark/>
          </w:tcPr>
          <w:p w14:paraId="7DDE64BB"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26±4.24</w:t>
            </w:r>
          </w:p>
        </w:tc>
        <w:tc>
          <w:tcPr>
            <w:tcW w:w="1276" w:type="dxa"/>
            <w:tcBorders>
              <w:top w:val="nil"/>
              <w:left w:val="nil"/>
              <w:bottom w:val="single" w:sz="4" w:space="0" w:color="auto"/>
              <w:right w:val="single" w:sz="4" w:space="0" w:color="auto"/>
            </w:tcBorders>
            <w:shd w:val="clear" w:color="auto" w:fill="FFFF00"/>
            <w:vAlign w:val="bottom"/>
          </w:tcPr>
          <w:p w14:paraId="57CB6779"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9.5</w:t>
            </w:r>
            <w:r w:rsidRPr="00FE39F2">
              <w:rPr>
                <w:rFonts w:ascii="Times New Roman" w:hAnsi="Times New Roman" w:cs="Times New Roman"/>
                <w:color w:val="000000"/>
              </w:rPr>
              <w:t>±</w:t>
            </w:r>
            <w:r w:rsidRPr="00FE39F2">
              <w:rPr>
                <w:rFonts w:ascii="Times New Roman" w:hAnsi="Times New Roman" w:cs="Times New Roman"/>
              </w:rPr>
              <w:t>0.71</w:t>
            </w:r>
          </w:p>
        </w:tc>
      </w:tr>
      <w:tr w:rsidR="006A043B" w:rsidRPr="00FE39F2" w14:paraId="7C557F7D"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021FA9C4"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Novobiocin (NV - 5 mcg),</w:t>
            </w:r>
          </w:p>
        </w:tc>
        <w:tc>
          <w:tcPr>
            <w:tcW w:w="1275" w:type="dxa"/>
            <w:tcBorders>
              <w:top w:val="nil"/>
              <w:left w:val="nil"/>
              <w:bottom w:val="single" w:sz="4" w:space="0" w:color="auto"/>
              <w:right w:val="single" w:sz="4" w:space="0" w:color="auto"/>
            </w:tcBorders>
            <w:noWrap/>
            <w:hideMark/>
          </w:tcPr>
          <w:p w14:paraId="13C08445"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30.5±0.71</w:t>
            </w:r>
          </w:p>
        </w:tc>
        <w:tc>
          <w:tcPr>
            <w:tcW w:w="1134" w:type="dxa"/>
            <w:tcBorders>
              <w:top w:val="nil"/>
              <w:left w:val="nil"/>
              <w:bottom w:val="single" w:sz="4" w:space="0" w:color="auto"/>
              <w:right w:val="single" w:sz="4" w:space="0" w:color="auto"/>
            </w:tcBorders>
            <w:vAlign w:val="bottom"/>
            <w:hideMark/>
          </w:tcPr>
          <w:p w14:paraId="5B9F0A28"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31.5</w:t>
            </w:r>
            <w:r w:rsidRPr="00FE39F2">
              <w:rPr>
                <w:rFonts w:ascii="Times New Roman" w:hAnsi="Times New Roman" w:cs="Times New Roman"/>
                <w:color w:val="000000"/>
              </w:rPr>
              <w:t>±</w:t>
            </w:r>
            <w:r w:rsidRPr="00FE39F2">
              <w:rPr>
                <w:rFonts w:ascii="Times New Roman" w:hAnsi="Times New Roman" w:cs="Times New Roman"/>
              </w:rPr>
              <w:t>0.71</w:t>
            </w:r>
          </w:p>
        </w:tc>
        <w:tc>
          <w:tcPr>
            <w:tcW w:w="1276" w:type="dxa"/>
            <w:tcBorders>
              <w:top w:val="nil"/>
              <w:left w:val="nil"/>
              <w:bottom w:val="single" w:sz="4" w:space="0" w:color="auto"/>
              <w:right w:val="single" w:sz="4" w:space="0" w:color="auto"/>
            </w:tcBorders>
            <w:vAlign w:val="bottom"/>
            <w:hideMark/>
          </w:tcPr>
          <w:p w14:paraId="7F558F1F"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30.5±0.71</w:t>
            </w:r>
          </w:p>
        </w:tc>
        <w:tc>
          <w:tcPr>
            <w:tcW w:w="1134" w:type="dxa"/>
            <w:tcBorders>
              <w:top w:val="nil"/>
              <w:left w:val="nil"/>
              <w:bottom w:val="single" w:sz="4" w:space="0" w:color="auto"/>
              <w:right w:val="single" w:sz="4" w:space="0" w:color="auto"/>
            </w:tcBorders>
            <w:noWrap/>
            <w:vAlign w:val="bottom"/>
            <w:hideMark/>
          </w:tcPr>
          <w:p w14:paraId="10609C5D"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30.5±0.71</w:t>
            </w:r>
          </w:p>
        </w:tc>
        <w:tc>
          <w:tcPr>
            <w:tcW w:w="1276" w:type="dxa"/>
            <w:tcBorders>
              <w:top w:val="nil"/>
              <w:left w:val="nil"/>
              <w:bottom w:val="single" w:sz="4" w:space="0" w:color="auto"/>
              <w:right w:val="single" w:sz="4" w:space="0" w:color="auto"/>
            </w:tcBorders>
            <w:vAlign w:val="bottom"/>
          </w:tcPr>
          <w:p w14:paraId="655B5840"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28.0</w:t>
            </w:r>
            <w:r w:rsidRPr="00FE39F2">
              <w:rPr>
                <w:rFonts w:ascii="Times New Roman" w:hAnsi="Times New Roman" w:cs="Times New Roman"/>
                <w:color w:val="000000"/>
              </w:rPr>
              <w:t>±</w:t>
            </w:r>
            <w:r w:rsidRPr="00FE39F2">
              <w:rPr>
                <w:rFonts w:ascii="Times New Roman" w:hAnsi="Times New Roman" w:cs="Times New Roman"/>
              </w:rPr>
              <w:t>1.41</w:t>
            </w:r>
          </w:p>
        </w:tc>
      </w:tr>
      <w:tr w:rsidR="006A043B" w:rsidRPr="00FE39F2" w14:paraId="1D360EA8" w14:textId="77777777" w:rsidTr="00DD497B">
        <w:trPr>
          <w:trHeight w:val="188"/>
          <w:jc w:val="center"/>
        </w:trPr>
        <w:tc>
          <w:tcPr>
            <w:tcW w:w="3545" w:type="dxa"/>
            <w:tcBorders>
              <w:top w:val="nil"/>
              <w:left w:val="single" w:sz="4" w:space="0" w:color="auto"/>
              <w:bottom w:val="single" w:sz="4" w:space="0" w:color="auto"/>
              <w:right w:val="single" w:sz="4" w:space="0" w:color="auto"/>
            </w:tcBorders>
            <w:noWrap/>
            <w:hideMark/>
          </w:tcPr>
          <w:p w14:paraId="7708E25B"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Tetracycline (TE - 30 mcg)</w:t>
            </w:r>
          </w:p>
        </w:tc>
        <w:tc>
          <w:tcPr>
            <w:tcW w:w="1275" w:type="dxa"/>
            <w:tcBorders>
              <w:top w:val="nil"/>
              <w:left w:val="nil"/>
              <w:bottom w:val="single" w:sz="4" w:space="0" w:color="auto"/>
              <w:right w:val="single" w:sz="4" w:space="0" w:color="auto"/>
            </w:tcBorders>
            <w:noWrap/>
            <w:hideMark/>
          </w:tcPr>
          <w:p w14:paraId="2AE0B851"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28.5±0.71</w:t>
            </w:r>
          </w:p>
        </w:tc>
        <w:tc>
          <w:tcPr>
            <w:tcW w:w="1134" w:type="dxa"/>
            <w:tcBorders>
              <w:top w:val="nil"/>
              <w:left w:val="nil"/>
              <w:bottom w:val="single" w:sz="4" w:space="0" w:color="auto"/>
              <w:right w:val="single" w:sz="4" w:space="0" w:color="auto"/>
            </w:tcBorders>
            <w:hideMark/>
          </w:tcPr>
          <w:p w14:paraId="0A0BCDA0"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25.5</w:t>
            </w:r>
            <w:r w:rsidRPr="00FE39F2">
              <w:rPr>
                <w:rFonts w:ascii="Times New Roman" w:hAnsi="Times New Roman" w:cs="Times New Roman"/>
                <w:color w:val="000000"/>
              </w:rPr>
              <w:t>±</w:t>
            </w:r>
            <w:r w:rsidRPr="00FE39F2">
              <w:rPr>
                <w:rFonts w:ascii="Times New Roman" w:hAnsi="Times New Roman" w:cs="Times New Roman"/>
              </w:rPr>
              <w:t>0.71</w:t>
            </w:r>
          </w:p>
        </w:tc>
        <w:tc>
          <w:tcPr>
            <w:tcW w:w="1276" w:type="dxa"/>
            <w:tcBorders>
              <w:top w:val="nil"/>
              <w:left w:val="nil"/>
              <w:bottom w:val="single" w:sz="4" w:space="0" w:color="auto"/>
              <w:right w:val="single" w:sz="4" w:space="0" w:color="auto"/>
            </w:tcBorders>
            <w:vAlign w:val="bottom"/>
            <w:hideMark/>
          </w:tcPr>
          <w:p w14:paraId="01DC3092"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21.5±0.71</w:t>
            </w:r>
          </w:p>
        </w:tc>
        <w:tc>
          <w:tcPr>
            <w:tcW w:w="1134" w:type="dxa"/>
            <w:tcBorders>
              <w:top w:val="nil"/>
              <w:left w:val="nil"/>
              <w:bottom w:val="single" w:sz="4" w:space="0" w:color="auto"/>
              <w:right w:val="single" w:sz="4" w:space="0" w:color="auto"/>
            </w:tcBorders>
            <w:noWrap/>
            <w:vAlign w:val="bottom"/>
            <w:hideMark/>
          </w:tcPr>
          <w:p w14:paraId="7740026A"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27±1.41</w:t>
            </w:r>
          </w:p>
        </w:tc>
        <w:tc>
          <w:tcPr>
            <w:tcW w:w="1276" w:type="dxa"/>
            <w:tcBorders>
              <w:top w:val="nil"/>
              <w:left w:val="nil"/>
              <w:bottom w:val="single" w:sz="4" w:space="0" w:color="auto"/>
              <w:right w:val="single" w:sz="4" w:space="0" w:color="auto"/>
            </w:tcBorders>
            <w:vAlign w:val="bottom"/>
          </w:tcPr>
          <w:p w14:paraId="6DA9913F"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27.0</w:t>
            </w:r>
            <w:r w:rsidRPr="00FE39F2">
              <w:rPr>
                <w:rFonts w:ascii="Times New Roman" w:hAnsi="Times New Roman" w:cs="Times New Roman"/>
                <w:color w:val="000000"/>
              </w:rPr>
              <w:t>±</w:t>
            </w:r>
            <w:r w:rsidRPr="00FE39F2">
              <w:rPr>
                <w:rFonts w:ascii="Times New Roman" w:hAnsi="Times New Roman" w:cs="Times New Roman"/>
              </w:rPr>
              <w:t>1.41</w:t>
            </w:r>
          </w:p>
        </w:tc>
      </w:tr>
    </w:tbl>
    <w:p w14:paraId="3DDD04BE" w14:textId="77777777" w:rsidR="006A043B" w:rsidRPr="00343885" w:rsidRDefault="006A043B" w:rsidP="006A043B">
      <w:pPr>
        <w:spacing w:line="360" w:lineRule="auto"/>
        <w:rPr>
          <w:rFonts w:ascii="Times New Roman" w:hAnsi="Times New Roman" w:cs="Times New Roman"/>
          <w:color w:val="222222"/>
          <w:sz w:val="24"/>
          <w:szCs w:val="24"/>
          <w:shd w:val="clear" w:color="auto" w:fill="FFFFFF"/>
        </w:rPr>
      </w:pPr>
    </w:p>
    <w:p w14:paraId="278EEE94" w14:textId="08E21E00" w:rsidR="006A043B" w:rsidRPr="00343885" w:rsidRDefault="006A043B" w:rsidP="006A043B">
      <w:pPr>
        <w:pStyle w:val="NoSpacing"/>
        <w:spacing w:line="360" w:lineRule="auto"/>
        <w:rPr>
          <w:rFonts w:ascii="Times New Roman" w:hAnsi="Times New Roman" w:cs="Times New Roman"/>
          <w:b/>
          <w:bCs/>
          <w:color w:val="000000"/>
          <w:sz w:val="24"/>
          <w:szCs w:val="24"/>
        </w:rPr>
      </w:pPr>
      <w:r w:rsidRPr="00343885">
        <w:rPr>
          <w:rFonts w:ascii="Times New Roman" w:hAnsi="Times New Roman" w:cs="Times New Roman"/>
          <w:b/>
          <w:bCs/>
          <w:sz w:val="24"/>
          <w:szCs w:val="24"/>
        </w:rPr>
        <w:t xml:space="preserve">Table </w:t>
      </w:r>
      <w:r w:rsidR="00001F87">
        <w:rPr>
          <w:rFonts w:ascii="Times New Roman" w:hAnsi="Times New Roman" w:cs="Times New Roman"/>
          <w:b/>
          <w:bCs/>
          <w:sz w:val="24"/>
          <w:szCs w:val="24"/>
        </w:rPr>
        <w:t>4</w:t>
      </w:r>
      <w:r>
        <w:rPr>
          <w:rFonts w:ascii="Times New Roman" w:hAnsi="Times New Roman" w:cs="Times New Roman"/>
          <w:b/>
          <w:bCs/>
          <w:sz w:val="24"/>
          <w:szCs w:val="24"/>
        </w:rPr>
        <w:t>.</w:t>
      </w:r>
      <w:r w:rsidRPr="00343885">
        <w:rPr>
          <w:rFonts w:ascii="Times New Roman" w:hAnsi="Times New Roman" w:cs="Times New Roman"/>
          <w:b/>
          <w:bCs/>
          <w:sz w:val="24"/>
          <w:szCs w:val="24"/>
        </w:rPr>
        <w:t xml:space="preserve"> Reduction in the zone of Inhibition in EBI treated antibiotic discs</w:t>
      </w:r>
      <w:r>
        <w:rPr>
          <w:rFonts w:ascii="Times New Roman" w:hAnsi="Times New Roman" w:cs="Times New Roman"/>
          <w:b/>
          <w:bCs/>
          <w:color w:val="000000"/>
          <w:sz w:val="24"/>
          <w:szCs w:val="24"/>
        </w:rPr>
        <w:t xml:space="preserve"> for </w:t>
      </w:r>
      <w:r w:rsidRPr="00343885">
        <w:rPr>
          <w:rFonts w:ascii="Times New Roman" w:hAnsi="Times New Roman" w:cs="Times New Roman"/>
          <w:b/>
          <w:bCs/>
          <w:color w:val="000000"/>
          <w:sz w:val="24"/>
          <w:szCs w:val="24"/>
        </w:rPr>
        <w:t>Gram Negative bacteria</w:t>
      </w:r>
    </w:p>
    <w:p w14:paraId="31635D29" w14:textId="77777777" w:rsidR="006A043B" w:rsidRPr="00343885" w:rsidRDefault="006A043B" w:rsidP="006A043B">
      <w:pPr>
        <w:pStyle w:val="NoSpacing"/>
        <w:spacing w:line="360" w:lineRule="auto"/>
        <w:rPr>
          <w:rFonts w:ascii="Times New Roman" w:hAnsi="Times New Roman" w:cs="Times New Roman"/>
          <w:b/>
          <w:bCs/>
          <w:color w:val="000000"/>
          <w:sz w:val="24"/>
          <w:szCs w:val="24"/>
        </w:rPr>
      </w:pPr>
    </w:p>
    <w:tbl>
      <w:tblPr>
        <w:tblW w:w="9640" w:type="dxa"/>
        <w:jc w:val="center"/>
        <w:tblLook w:val="04A0" w:firstRow="1" w:lastRow="0" w:firstColumn="1" w:lastColumn="0" w:noHBand="0" w:noVBand="1"/>
      </w:tblPr>
      <w:tblGrid>
        <w:gridCol w:w="3319"/>
        <w:gridCol w:w="1428"/>
        <w:gridCol w:w="1216"/>
        <w:gridCol w:w="1306"/>
        <w:gridCol w:w="1259"/>
        <w:gridCol w:w="1188"/>
      </w:tblGrid>
      <w:tr w:rsidR="006A043B" w:rsidRPr="00343885" w14:paraId="45D8D46B" w14:textId="77777777" w:rsidTr="00DD497B">
        <w:trPr>
          <w:trHeight w:val="300"/>
          <w:jc w:val="center"/>
        </w:trPr>
        <w:tc>
          <w:tcPr>
            <w:tcW w:w="3319" w:type="dxa"/>
            <w:tcBorders>
              <w:top w:val="single" w:sz="4" w:space="0" w:color="auto"/>
              <w:left w:val="single" w:sz="4" w:space="0" w:color="auto"/>
              <w:bottom w:val="single" w:sz="4" w:space="0" w:color="auto"/>
              <w:right w:val="single" w:sz="4" w:space="0" w:color="auto"/>
            </w:tcBorders>
            <w:noWrap/>
            <w:vAlign w:val="bottom"/>
            <w:hideMark/>
          </w:tcPr>
          <w:p w14:paraId="4BF9CCFA"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lastRenderedPageBreak/>
              <w:t>Name &amp; Dose of Antibiotics</w:t>
            </w:r>
          </w:p>
        </w:tc>
        <w:tc>
          <w:tcPr>
            <w:tcW w:w="1329" w:type="dxa"/>
            <w:tcBorders>
              <w:top w:val="single" w:sz="4" w:space="0" w:color="auto"/>
              <w:left w:val="nil"/>
              <w:bottom w:val="single" w:sz="4" w:space="0" w:color="auto"/>
              <w:right w:val="single" w:sz="4" w:space="0" w:color="auto"/>
            </w:tcBorders>
            <w:noWrap/>
            <w:vAlign w:val="center"/>
            <w:hideMark/>
          </w:tcPr>
          <w:p w14:paraId="49397FEA"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Control</w:t>
            </w:r>
          </w:p>
        </w:tc>
        <w:tc>
          <w:tcPr>
            <w:tcW w:w="1216" w:type="dxa"/>
            <w:tcBorders>
              <w:top w:val="single" w:sz="4" w:space="0" w:color="auto"/>
              <w:left w:val="nil"/>
              <w:bottom w:val="single" w:sz="4" w:space="0" w:color="auto"/>
              <w:right w:val="single" w:sz="4" w:space="0" w:color="auto"/>
            </w:tcBorders>
            <w:noWrap/>
            <w:vAlign w:val="center"/>
            <w:hideMark/>
          </w:tcPr>
          <w:p w14:paraId="3DED1FD4"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0.5 kGy</w:t>
            </w:r>
          </w:p>
        </w:tc>
        <w:tc>
          <w:tcPr>
            <w:tcW w:w="1306" w:type="dxa"/>
            <w:tcBorders>
              <w:top w:val="single" w:sz="4" w:space="0" w:color="auto"/>
              <w:left w:val="nil"/>
              <w:bottom w:val="single" w:sz="4" w:space="0" w:color="auto"/>
              <w:right w:val="single" w:sz="4" w:space="0" w:color="auto"/>
            </w:tcBorders>
            <w:noWrap/>
            <w:vAlign w:val="center"/>
            <w:hideMark/>
          </w:tcPr>
          <w:p w14:paraId="4CEAF077" w14:textId="77777777" w:rsidR="006A043B" w:rsidRPr="00343885" w:rsidRDefault="006A043B" w:rsidP="00DD497B">
            <w:pPr>
              <w:pStyle w:val="NoSpacing"/>
              <w:spacing w:line="360" w:lineRule="auto"/>
              <w:rPr>
                <w:rFonts w:ascii="Times New Roman" w:hAnsi="Times New Roman" w:cs="Times New Roman"/>
                <w:sz w:val="24"/>
                <w:szCs w:val="24"/>
              </w:rPr>
            </w:pPr>
            <w:proofErr w:type="gramStart"/>
            <w:r w:rsidRPr="00343885">
              <w:rPr>
                <w:rFonts w:ascii="Times New Roman" w:hAnsi="Times New Roman" w:cs="Times New Roman"/>
                <w:sz w:val="24"/>
                <w:szCs w:val="24"/>
              </w:rPr>
              <w:t>1.0  kGy</w:t>
            </w:r>
            <w:proofErr w:type="gramEnd"/>
          </w:p>
        </w:tc>
        <w:tc>
          <w:tcPr>
            <w:tcW w:w="1259" w:type="dxa"/>
            <w:tcBorders>
              <w:top w:val="single" w:sz="4" w:space="0" w:color="auto"/>
              <w:left w:val="nil"/>
              <w:bottom w:val="single" w:sz="4" w:space="0" w:color="auto"/>
              <w:right w:val="single" w:sz="4" w:space="0" w:color="auto"/>
            </w:tcBorders>
            <w:noWrap/>
            <w:vAlign w:val="center"/>
            <w:hideMark/>
          </w:tcPr>
          <w:p w14:paraId="6C17E702"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1.5 kGy</w:t>
            </w:r>
          </w:p>
        </w:tc>
        <w:tc>
          <w:tcPr>
            <w:tcW w:w="1211" w:type="dxa"/>
            <w:tcBorders>
              <w:top w:val="single" w:sz="4" w:space="0" w:color="auto"/>
              <w:left w:val="nil"/>
              <w:bottom w:val="single" w:sz="4" w:space="0" w:color="auto"/>
              <w:right w:val="single" w:sz="4" w:space="0" w:color="auto"/>
            </w:tcBorders>
            <w:vAlign w:val="center"/>
          </w:tcPr>
          <w:p w14:paraId="6C063980" w14:textId="77777777" w:rsidR="006A043B" w:rsidRPr="00343885" w:rsidRDefault="006A043B" w:rsidP="00DD497B">
            <w:pPr>
              <w:pStyle w:val="NoSpacing"/>
              <w:spacing w:line="360" w:lineRule="auto"/>
              <w:rPr>
                <w:rFonts w:ascii="Times New Roman" w:hAnsi="Times New Roman" w:cs="Times New Roman"/>
                <w:sz w:val="24"/>
                <w:szCs w:val="24"/>
              </w:rPr>
            </w:pPr>
            <w:proofErr w:type="gramStart"/>
            <w:r w:rsidRPr="00343885">
              <w:rPr>
                <w:rFonts w:ascii="Times New Roman" w:hAnsi="Times New Roman" w:cs="Times New Roman"/>
                <w:sz w:val="24"/>
                <w:szCs w:val="24"/>
              </w:rPr>
              <w:t>2.0  kGy</w:t>
            </w:r>
            <w:proofErr w:type="gramEnd"/>
          </w:p>
        </w:tc>
      </w:tr>
      <w:tr w:rsidR="006A043B" w:rsidRPr="00343885" w14:paraId="5B965B03"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2A59DC86"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Imipenem (IPM) 10μg</w:t>
            </w:r>
          </w:p>
        </w:tc>
        <w:tc>
          <w:tcPr>
            <w:tcW w:w="1329" w:type="dxa"/>
            <w:tcBorders>
              <w:top w:val="nil"/>
              <w:left w:val="nil"/>
              <w:bottom w:val="single" w:sz="4" w:space="0" w:color="auto"/>
              <w:right w:val="single" w:sz="4" w:space="0" w:color="auto"/>
            </w:tcBorders>
            <w:noWrap/>
            <w:vAlign w:val="bottom"/>
            <w:hideMark/>
          </w:tcPr>
          <w:p w14:paraId="546DB760"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26±1.41</w:t>
            </w:r>
          </w:p>
        </w:tc>
        <w:tc>
          <w:tcPr>
            <w:tcW w:w="1216" w:type="dxa"/>
            <w:tcBorders>
              <w:top w:val="nil"/>
              <w:left w:val="nil"/>
              <w:bottom w:val="single" w:sz="4" w:space="0" w:color="auto"/>
              <w:right w:val="single" w:sz="4" w:space="0" w:color="auto"/>
            </w:tcBorders>
            <w:vAlign w:val="bottom"/>
            <w:hideMark/>
          </w:tcPr>
          <w:p w14:paraId="1020CEA5"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14.5±0.71</w:t>
            </w:r>
          </w:p>
        </w:tc>
        <w:tc>
          <w:tcPr>
            <w:tcW w:w="1306" w:type="dxa"/>
            <w:tcBorders>
              <w:top w:val="nil"/>
              <w:left w:val="nil"/>
              <w:bottom w:val="single" w:sz="4" w:space="0" w:color="auto"/>
              <w:right w:val="single" w:sz="4" w:space="0" w:color="auto"/>
            </w:tcBorders>
            <w:vAlign w:val="bottom"/>
            <w:hideMark/>
          </w:tcPr>
          <w:p w14:paraId="55A45194"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21±1.41</w:t>
            </w:r>
          </w:p>
        </w:tc>
        <w:tc>
          <w:tcPr>
            <w:tcW w:w="1259" w:type="dxa"/>
            <w:tcBorders>
              <w:top w:val="nil"/>
              <w:left w:val="nil"/>
              <w:bottom w:val="single" w:sz="4" w:space="0" w:color="auto"/>
              <w:right w:val="single" w:sz="4" w:space="0" w:color="auto"/>
            </w:tcBorders>
            <w:noWrap/>
            <w:vAlign w:val="bottom"/>
            <w:hideMark/>
          </w:tcPr>
          <w:p w14:paraId="1BDA791A"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18.5±0.71</w:t>
            </w:r>
          </w:p>
        </w:tc>
        <w:tc>
          <w:tcPr>
            <w:tcW w:w="1211" w:type="dxa"/>
            <w:tcBorders>
              <w:top w:val="nil"/>
              <w:left w:val="nil"/>
              <w:bottom w:val="single" w:sz="4" w:space="0" w:color="auto"/>
              <w:right w:val="single" w:sz="4" w:space="0" w:color="auto"/>
            </w:tcBorders>
            <w:vAlign w:val="bottom"/>
          </w:tcPr>
          <w:p w14:paraId="2764A839"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16</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1.41</w:t>
            </w:r>
          </w:p>
        </w:tc>
      </w:tr>
      <w:tr w:rsidR="006A043B" w:rsidRPr="00343885" w14:paraId="5E7238E2"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322E66CB"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Ciprofloxacin (CIP) 5μg</w:t>
            </w:r>
          </w:p>
        </w:tc>
        <w:tc>
          <w:tcPr>
            <w:tcW w:w="1329" w:type="dxa"/>
            <w:tcBorders>
              <w:top w:val="nil"/>
              <w:left w:val="nil"/>
              <w:bottom w:val="single" w:sz="4" w:space="0" w:color="auto"/>
              <w:right w:val="single" w:sz="4" w:space="0" w:color="auto"/>
            </w:tcBorders>
            <w:noWrap/>
            <w:vAlign w:val="bottom"/>
            <w:hideMark/>
          </w:tcPr>
          <w:p w14:paraId="392A5862"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23.5±0.71</w:t>
            </w:r>
          </w:p>
        </w:tc>
        <w:tc>
          <w:tcPr>
            <w:tcW w:w="1216" w:type="dxa"/>
            <w:tcBorders>
              <w:top w:val="nil"/>
              <w:left w:val="nil"/>
              <w:bottom w:val="single" w:sz="4" w:space="0" w:color="auto"/>
              <w:right w:val="single" w:sz="4" w:space="0" w:color="auto"/>
            </w:tcBorders>
            <w:vAlign w:val="bottom"/>
            <w:hideMark/>
          </w:tcPr>
          <w:p w14:paraId="288D6AE4"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30.5±0.71</w:t>
            </w:r>
          </w:p>
        </w:tc>
        <w:tc>
          <w:tcPr>
            <w:tcW w:w="1306" w:type="dxa"/>
            <w:tcBorders>
              <w:top w:val="nil"/>
              <w:left w:val="nil"/>
              <w:bottom w:val="single" w:sz="4" w:space="0" w:color="auto"/>
              <w:right w:val="single" w:sz="4" w:space="0" w:color="auto"/>
            </w:tcBorders>
            <w:vAlign w:val="bottom"/>
            <w:hideMark/>
          </w:tcPr>
          <w:p w14:paraId="544A64A6"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33.5±0.71</w:t>
            </w:r>
          </w:p>
        </w:tc>
        <w:tc>
          <w:tcPr>
            <w:tcW w:w="1259" w:type="dxa"/>
            <w:tcBorders>
              <w:top w:val="nil"/>
              <w:left w:val="nil"/>
              <w:bottom w:val="single" w:sz="4" w:space="0" w:color="auto"/>
              <w:right w:val="single" w:sz="4" w:space="0" w:color="auto"/>
            </w:tcBorders>
            <w:noWrap/>
            <w:vAlign w:val="bottom"/>
            <w:hideMark/>
          </w:tcPr>
          <w:p w14:paraId="45041A82"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30.5±0.71</w:t>
            </w:r>
          </w:p>
        </w:tc>
        <w:tc>
          <w:tcPr>
            <w:tcW w:w="1211" w:type="dxa"/>
            <w:tcBorders>
              <w:top w:val="nil"/>
              <w:left w:val="nil"/>
              <w:bottom w:val="single" w:sz="4" w:space="0" w:color="auto"/>
              <w:right w:val="single" w:sz="4" w:space="0" w:color="auto"/>
            </w:tcBorders>
            <w:vAlign w:val="bottom"/>
          </w:tcPr>
          <w:p w14:paraId="4979BDC6"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30.5</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0.71</w:t>
            </w:r>
          </w:p>
        </w:tc>
      </w:tr>
      <w:tr w:rsidR="006A043B" w:rsidRPr="00343885" w14:paraId="5A80FF2F"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5EFD1BC7"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Tobramycin (TOB) 10μg</w:t>
            </w:r>
          </w:p>
        </w:tc>
        <w:tc>
          <w:tcPr>
            <w:tcW w:w="1329" w:type="dxa"/>
            <w:tcBorders>
              <w:top w:val="nil"/>
              <w:left w:val="nil"/>
              <w:bottom w:val="single" w:sz="4" w:space="0" w:color="auto"/>
              <w:right w:val="single" w:sz="4" w:space="0" w:color="auto"/>
            </w:tcBorders>
            <w:noWrap/>
            <w:vAlign w:val="bottom"/>
            <w:hideMark/>
          </w:tcPr>
          <w:p w14:paraId="2F1F8DCA"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25.5±0.71</w:t>
            </w:r>
          </w:p>
        </w:tc>
        <w:tc>
          <w:tcPr>
            <w:tcW w:w="1216" w:type="dxa"/>
            <w:tcBorders>
              <w:top w:val="nil"/>
              <w:left w:val="nil"/>
              <w:bottom w:val="single" w:sz="4" w:space="0" w:color="auto"/>
              <w:right w:val="single" w:sz="4" w:space="0" w:color="auto"/>
            </w:tcBorders>
            <w:vAlign w:val="bottom"/>
            <w:hideMark/>
          </w:tcPr>
          <w:p w14:paraId="688F58D2"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20±1.41</w:t>
            </w:r>
          </w:p>
        </w:tc>
        <w:tc>
          <w:tcPr>
            <w:tcW w:w="1306" w:type="dxa"/>
            <w:tcBorders>
              <w:top w:val="nil"/>
              <w:left w:val="nil"/>
              <w:bottom w:val="single" w:sz="4" w:space="0" w:color="auto"/>
              <w:right w:val="single" w:sz="4" w:space="0" w:color="auto"/>
            </w:tcBorders>
            <w:vAlign w:val="bottom"/>
            <w:hideMark/>
          </w:tcPr>
          <w:p w14:paraId="5E4F5358"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23±0.00</w:t>
            </w:r>
          </w:p>
        </w:tc>
        <w:tc>
          <w:tcPr>
            <w:tcW w:w="1259" w:type="dxa"/>
            <w:tcBorders>
              <w:top w:val="nil"/>
              <w:left w:val="nil"/>
              <w:bottom w:val="single" w:sz="4" w:space="0" w:color="auto"/>
              <w:right w:val="single" w:sz="4" w:space="0" w:color="auto"/>
            </w:tcBorders>
            <w:noWrap/>
            <w:vAlign w:val="bottom"/>
            <w:hideMark/>
          </w:tcPr>
          <w:p w14:paraId="243D35C1"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21±1.41</w:t>
            </w:r>
          </w:p>
        </w:tc>
        <w:tc>
          <w:tcPr>
            <w:tcW w:w="1211" w:type="dxa"/>
            <w:tcBorders>
              <w:top w:val="nil"/>
              <w:left w:val="nil"/>
              <w:bottom w:val="single" w:sz="4" w:space="0" w:color="auto"/>
              <w:right w:val="single" w:sz="4" w:space="0" w:color="auto"/>
            </w:tcBorders>
            <w:vAlign w:val="bottom"/>
          </w:tcPr>
          <w:p w14:paraId="5B43FE56"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22.5</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0.71</w:t>
            </w:r>
          </w:p>
        </w:tc>
      </w:tr>
      <w:tr w:rsidR="006A043B" w:rsidRPr="00343885" w14:paraId="3ECF88DE"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21CA9507"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Moxifloxacin (MO) 5μg</w:t>
            </w:r>
          </w:p>
        </w:tc>
        <w:tc>
          <w:tcPr>
            <w:tcW w:w="1329" w:type="dxa"/>
            <w:tcBorders>
              <w:top w:val="nil"/>
              <w:left w:val="nil"/>
              <w:bottom w:val="single" w:sz="4" w:space="0" w:color="auto"/>
              <w:right w:val="single" w:sz="4" w:space="0" w:color="auto"/>
            </w:tcBorders>
            <w:noWrap/>
            <w:vAlign w:val="bottom"/>
            <w:hideMark/>
          </w:tcPr>
          <w:p w14:paraId="73C3F70B"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27.5±0.71</w:t>
            </w:r>
          </w:p>
        </w:tc>
        <w:tc>
          <w:tcPr>
            <w:tcW w:w="1216" w:type="dxa"/>
            <w:tcBorders>
              <w:top w:val="nil"/>
              <w:left w:val="nil"/>
              <w:bottom w:val="single" w:sz="4" w:space="0" w:color="auto"/>
              <w:right w:val="single" w:sz="4" w:space="0" w:color="auto"/>
            </w:tcBorders>
            <w:vAlign w:val="bottom"/>
            <w:hideMark/>
          </w:tcPr>
          <w:p w14:paraId="3FE96877"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28±0.00</w:t>
            </w:r>
          </w:p>
        </w:tc>
        <w:tc>
          <w:tcPr>
            <w:tcW w:w="1306" w:type="dxa"/>
            <w:tcBorders>
              <w:top w:val="nil"/>
              <w:left w:val="nil"/>
              <w:bottom w:val="single" w:sz="4" w:space="0" w:color="auto"/>
              <w:right w:val="single" w:sz="4" w:space="0" w:color="auto"/>
            </w:tcBorders>
            <w:vAlign w:val="bottom"/>
            <w:hideMark/>
          </w:tcPr>
          <w:p w14:paraId="785986A7"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25.5±0.71</w:t>
            </w:r>
          </w:p>
        </w:tc>
        <w:tc>
          <w:tcPr>
            <w:tcW w:w="1259" w:type="dxa"/>
            <w:tcBorders>
              <w:top w:val="nil"/>
              <w:left w:val="nil"/>
              <w:bottom w:val="single" w:sz="4" w:space="0" w:color="auto"/>
              <w:right w:val="single" w:sz="4" w:space="0" w:color="auto"/>
            </w:tcBorders>
            <w:noWrap/>
            <w:vAlign w:val="bottom"/>
            <w:hideMark/>
          </w:tcPr>
          <w:p w14:paraId="1D8FA450"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28±1.41</w:t>
            </w:r>
          </w:p>
        </w:tc>
        <w:tc>
          <w:tcPr>
            <w:tcW w:w="1211" w:type="dxa"/>
            <w:tcBorders>
              <w:top w:val="nil"/>
              <w:left w:val="nil"/>
              <w:bottom w:val="single" w:sz="4" w:space="0" w:color="auto"/>
              <w:right w:val="single" w:sz="4" w:space="0" w:color="auto"/>
            </w:tcBorders>
            <w:vAlign w:val="bottom"/>
          </w:tcPr>
          <w:p w14:paraId="2A9F5D6B"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30</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1.41</w:t>
            </w:r>
          </w:p>
        </w:tc>
      </w:tr>
      <w:tr w:rsidR="006A043B" w:rsidRPr="00343885" w14:paraId="407D5418"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3AC292ED"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Ofloxacin (OF) 5μg</w:t>
            </w:r>
          </w:p>
        </w:tc>
        <w:tc>
          <w:tcPr>
            <w:tcW w:w="1329" w:type="dxa"/>
            <w:tcBorders>
              <w:top w:val="nil"/>
              <w:left w:val="nil"/>
              <w:bottom w:val="single" w:sz="4" w:space="0" w:color="auto"/>
              <w:right w:val="single" w:sz="4" w:space="0" w:color="auto"/>
            </w:tcBorders>
            <w:noWrap/>
            <w:vAlign w:val="bottom"/>
            <w:hideMark/>
          </w:tcPr>
          <w:p w14:paraId="558B659D"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32±1.41</w:t>
            </w:r>
          </w:p>
        </w:tc>
        <w:tc>
          <w:tcPr>
            <w:tcW w:w="1216" w:type="dxa"/>
            <w:tcBorders>
              <w:top w:val="nil"/>
              <w:left w:val="nil"/>
              <w:bottom w:val="single" w:sz="4" w:space="0" w:color="auto"/>
              <w:right w:val="single" w:sz="4" w:space="0" w:color="auto"/>
            </w:tcBorders>
            <w:vAlign w:val="bottom"/>
            <w:hideMark/>
          </w:tcPr>
          <w:p w14:paraId="5FC617DE"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26.5±0.71</w:t>
            </w:r>
          </w:p>
        </w:tc>
        <w:tc>
          <w:tcPr>
            <w:tcW w:w="1306" w:type="dxa"/>
            <w:tcBorders>
              <w:top w:val="nil"/>
              <w:left w:val="nil"/>
              <w:bottom w:val="single" w:sz="4" w:space="0" w:color="auto"/>
              <w:right w:val="single" w:sz="4" w:space="0" w:color="auto"/>
            </w:tcBorders>
            <w:vAlign w:val="bottom"/>
            <w:hideMark/>
          </w:tcPr>
          <w:p w14:paraId="4D8E85B3"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28±1.41</w:t>
            </w:r>
          </w:p>
        </w:tc>
        <w:tc>
          <w:tcPr>
            <w:tcW w:w="1259" w:type="dxa"/>
            <w:tcBorders>
              <w:top w:val="nil"/>
              <w:left w:val="nil"/>
              <w:bottom w:val="single" w:sz="4" w:space="0" w:color="auto"/>
              <w:right w:val="single" w:sz="4" w:space="0" w:color="auto"/>
            </w:tcBorders>
            <w:noWrap/>
            <w:vAlign w:val="bottom"/>
            <w:hideMark/>
          </w:tcPr>
          <w:p w14:paraId="6FAC0D00"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28±0.00</w:t>
            </w:r>
          </w:p>
        </w:tc>
        <w:tc>
          <w:tcPr>
            <w:tcW w:w="1211" w:type="dxa"/>
            <w:tcBorders>
              <w:top w:val="nil"/>
              <w:left w:val="nil"/>
              <w:bottom w:val="single" w:sz="4" w:space="0" w:color="auto"/>
              <w:right w:val="single" w:sz="4" w:space="0" w:color="auto"/>
            </w:tcBorders>
            <w:vAlign w:val="bottom"/>
          </w:tcPr>
          <w:p w14:paraId="367BA533"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26</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1.41</w:t>
            </w:r>
          </w:p>
        </w:tc>
      </w:tr>
      <w:tr w:rsidR="006A043B" w:rsidRPr="00343885" w14:paraId="5C4E721B"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230FE9E6"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Ceftazidime (CAZ) 30μg</w:t>
            </w:r>
          </w:p>
        </w:tc>
        <w:tc>
          <w:tcPr>
            <w:tcW w:w="1329" w:type="dxa"/>
            <w:tcBorders>
              <w:top w:val="nil"/>
              <w:left w:val="nil"/>
              <w:bottom w:val="single" w:sz="4" w:space="0" w:color="auto"/>
              <w:right w:val="single" w:sz="4" w:space="0" w:color="auto"/>
            </w:tcBorders>
            <w:noWrap/>
            <w:vAlign w:val="bottom"/>
            <w:hideMark/>
          </w:tcPr>
          <w:p w14:paraId="348CD37A"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29±1.412.12</w:t>
            </w:r>
          </w:p>
        </w:tc>
        <w:tc>
          <w:tcPr>
            <w:tcW w:w="1216" w:type="dxa"/>
            <w:tcBorders>
              <w:top w:val="nil"/>
              <w:left w:val="nil"/>
              <w:bottom w:val="single" w:sz="4" w:space="0" w:color="auto"/>
              <w:right w:val="single" w:sz="4" w:space="0" w:color="auto"/>
            </w:tcBorders>
            <w:vAlign w:val="bottom"/>
            <w:hideMark/>
          </w:tcPr>
          <w:p w14:paraId="1999CEA2"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26±1.41</w:t>
            </w:r>
          </w:p>
        </w:tc>
        <w:tc>
          <w:tcPr>
            <w:tcW w:w="1306" w:type="dxa"/>
            <w:tcBorders>
              <w:top w:val="nil"/>
              <w:left w:val="nil"/>
              <w:bottom w:val="single" w:sz="4" w:space="0" w:color="auto"/>
              <w:right w:val="single" w:sz="4" w:space="0" w:color="auto"/>
            </w:tcBorders>
            <w:vAlign w:val="bottom"/>
            <w:hideMark/>
          </w:tcPr>
          <w:p w14:paraId="3C98D220"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28.5±0.71</w:t>
            </w:r>
          </w:p>
        </w:tc>
        <w:tc>
          <w:tcPr>
            <w:tcW w:w="1259" w:type="dxa"/>
            <w:tcBorders>
              <w:top w:val="nil"/>
              <w:left w:val="nil"/>
              <w:bottom w:val="single" w:sz="4" w:space="0" w:color="auto"/>
              <w:right w:val="single" w:sz="4" w:space="0" w:color="auto"/>
            </w:tcBorders>
            <w:noWrap/>
            <w:vAlign w:val="bottom"/>
            <w:hideMark/>
          </w:tcPr>
          <w:p w14:paraId="4DC1F515"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29±0.00</w:t>
            </w:r>
          </w:p>
        </w:tc>
        <w:tc>
          <w:tcPr>
            <w:tcW w:w="1211" w:type="dxa"/>
            <w:tcBorders>
              <w:top w:val="nil"/>
              <w:left w:val="nil"/>
              <w:bottom w:val="single" w:sz="4" w:space="0" w:color="auto"/>
              <w:right w:val="single" w:sz="4" w:space="0" w:color="auto"/>
            </w:tcBorders>
            <w:vAlign w:val="bottom"/>
          </w:tcPr>
          <w:p w14:paraId="24E41034"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27</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1.41</w:t>
            </w:r>
          </w:p>
        </w:tc>
      </w:tr>
      <w:tr w:rsidR="006A043B" w:rsidRPr="00343885" w14:paraId="2FC0D170"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487C6022"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Levofloxacin (LE) 5μg</w:t>
            </w:r>
          </w:p>
        </w:tc>
        <w:tc>
          <w:tcPr>
            <w:tcW w:w="1329" w:type="dxa"/>
            <w:tcBorders>
              <w:top w:val="nil"/>
              <w:left w:val="nil"/>
              <w:bottom w:val="single" w:sz="4" w:space="0" w:color="auto"/>
              <w:right w:val="single" w:sz="4" w:space="0" w:color="auto"/>
            </w:tcBorders>
            <w:noWrap/>
            <w:vAlign w:val="bottom"/>
            <w:hideMark/>
          </w:tcPr>
          <w:p w14:paraId="6680C886"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33.5±</w:t>
            </w:r>
          </w:p>
        </w:tc>
        <w:tc>
          <w:tcPr>
            <w:tcW w:w="1216" w:type="dxa"/>
            <w:tcBorders>
              <w:top w:val="nil"/>
              <w:left w:val="nil"/>
              <w:bottom w:val="single" w:sz="4" w:space="0" w:color="auto"/>
              <w:right w:val="single" w:sz="4" w:space="0" w:color="auto"/>
            </w:tcBorders>
            <w:vAlign w:val="bottom"/>
            <w:hideMark/>
          </w:tcPr>
          <w:p w14:paraId="7599A427"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27.5±0.71</w:t>
            </w:r>
          </w:p>
        </w:tc>
        <w:tc>
          <w:tcPr>
            <w:tcW w:w="1306" w:type="dxa"/>
            <w:tcBorders>
              <w:top w:val="nil"/>
              <w:left w:val="nil"/>
              <w:bottom w:val="single" w:sz="4" w:space="0" w:color="auto"/>
              <w:right w:val="single" w:sz="4" w:space="0" w:color="auto"/>
            </w:tcBorders>
            <w:vAlign w:val="bottom"/>
            <w:hideMark/>
          </w:tcPr>
          <w:p w14:paraId="223B6674"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27.5±0.71</w:t>
            </w:r>
          </w:p>
        </w:tc>
        <w:tc>
          <w:tcPr>
            <w:tcW w:w="1259" w:type="dxa"/>
            <w:tcBorders>
              <w:top w:val="nil"/>
              <w:left w:val="nil"/>
              <w:bottom w:val="single" w:sz="4" w:space="0" w:color="auto"/>
              <w:right w:val="single" w:sz="4" w:space="0" w:color="auto"/>
            </w:tcBorders>
            <w:noWrap/>
            <w:vAlign w:val="bottom"/>
            <w:hideMark/>
          </w:tcPr>
          <w:p w14:paraId="5BD63466"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27.5±0.71</w:t>
            </w:r>
          </w:p>
        </w:tc>
        <w:tc>
          <w:tcPr>
            <w:tcW w:w="1211" w:type="dxa"/>
            <w:tcBorders>
              <w:top w:val="nil"/>
              <w:left w:val="nil"/>
              <w:bottom w:val="single" w:sz="4" w:space="0" w:color="auto"/>
              <w:right w:val="single" w:sz="4" w:space="0" w:color="auto"/>
            </w:tcBorders>
            <w:vAlign w:val="bottom"/>
          </w:tcPr>
          <w:p w14:paraId="43A5191A"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26</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1.41</w:t>
            </w:r>
          </w:p>
        </w:tc>
      </w:tr>
      <w:tr w:rsidR="006A043B" w:rsidRPr="00343885" w14:paraId="77707350"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132F8B1C"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Norfloxacin (NX) 10μg</w:t>
            </w:r>
          </w:p>
        </w:tc>
        <w:tc>
          <w:tcPr>
            <w:tcW w:w="1329" w:type="dxa"/>
            <w:tcBorders>
              <w:top w:val="nil"/>
              <w:left w:val="nil"/>
              <w:bottom w:val="single" w:sz="4" w:space="0" w:color="auto"/>
              <w:right w:val="single" w:sz="4" w:space="0" w:color="auto"/>
            </w:tcBorders>
            <w:noWrap/>
            <w:vAlign w:val="bottom"/>
            <w:hideMark/>
          </w:tcPr>
          <w:p w14:paraId="21F86759"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29.5±0.71</w:t>
            </w:r>
          </w:p>
        </w:tc>
        <w:tc>
          <w:tcPr>
            <w:tcW w:w="1216" w:type="dxa"/>
            <w:tcBorders>
              <w:top w:val="nil"/>
              <w:left w:val="nil"/>
              <w:bottom w:val="single" w:sz="4" w:space="0" w:color="auto"/>
              <w:right w:val="single" w:sz="4" w:space="0" w:color="auto"/>
            </w:tcBorders>
            <w:vAlign w:val="bottom"/>
            <w:hideMark/>
          </w:tcPr>
          <w:p w14:paraId="51A18152"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27.5±0.71</w:t>
            </w:r>
          </w:p>
        </w:tc>
        <w:tc>
          <w:tcPr>
            <w:tcW w:w="1306" w:type="dxa"/>
            <w:tcBorders>
              <w:top w:val="nil"/>
              <w:left w:val="nil"/>
              <w:bottom w:val="single" w:sz="4" w:space="0" w:color="auto"/>
              <w:right w:val="single" w:sz="4" w:space="0" w:color="auto"/>
            </w:tcBorders>
            <w:vAlign w:val="bottom"/>
            <w:hideMark/>
          </w:tcPr>
          <w:p w14:paraId="3BEB0546"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25±1.41</w:t>
            </w:r>
          </w:p>
        </w:tc>
        <w:tc>
          <w:tcPr>
            <w:tcW w:w="1259" w:type="dxa"/>
            <w:tcBorders>
              <w:top w:val="nil"/>
              <w:left w:val="nil"/>
              <w:bottom w:val="single" w:sz="4" w:space="0" w:color="auto"/>
              <w:right w:val="single" w:sz="4" w:space="0" w:color="auto"/>
            </w:tcBorders>
            <w:noWrap/>
            <w:vAlign w:val="bottom"/>
            <w:hideMark/>
          </w:tcPr>
          <w:p w14:paraId="42362A24"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27.5±0.71</w:t>
            </w:r>
          </w:p>
        </w:tc>
        <w:tc>
          <w:tcPr>
            <w:tcW w:w="1211" w:type="dxa"/>
            <w:tcBorders>
              <w:top w:val="nil"/>
              <w:left w:val="nil"/>
              <w:bottom w:val="single" w:sz="4" w:space="0" w:color="auto"/>
              <w:right w:val="single" w:sz="4" w:space="0" w:color="auto"/>
            </w:tcBorders>
            <w:vAlign w:val="bottom"/>
          </w:tcPr>
          <w:p w14:paraId="32FB8D82"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27.5</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0.71</w:t>
            </w:r>
          </w:p>
        </w:tc>
      </w:tr>
      <w:tr w:rsidR="006A043B" w:rsidRPr="00343885" w14:paraId="3F12F0E7"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3004C205"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Co-Trimoxazole (COT) 25μg</w:t>
            </w:r>
          </w:p>
        </w:tc>
        <w:tc>
          <w:tcPr>
            <w:tcW w:w="1329" w:type="dxa"/>
            <w:tcBorders>
              <w:top w:val="nil"/>
              <w:left w:val="nil"/>
              <w:bottom w:val="single" w:sz="4" w:space="0" w:color="auto"/>
              <w:right w:val="single" w:sz="4" w:space="0" w:color="auto"/>
            </w:tcBorders>
            <w:noWrap/>
            <w:vAlign w:val="bottom"/>
            <w:hideMark/>
          </w:tcPr>
          <w:p w14:paraId="4193FA54"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25.5±0.71</w:t>
            </w:r>
          </w:p>
        </w:tc>
        <w:tc>
          <w:tcPr>
            <w:tcW w:w="1216" w:type="dxa"/>
            <w:tcBorders>
              <w:top w:val="nil"/>
              <w:left w:val="nil"/>
              <w:bottom w:val="single" w:sz="4" w:space="0" w:color="auto"/>
              <w:right w:val="single" w:sz="4" w:space="0" w:color="auto"/>
            </w:tcBorders>
            <w:vAlign w:val="bottom"/>
            <w:hideMark/>
          </w:tcPr>
          <w:p w14:paraId="64F7516A"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26.5±0.71</w:t>
            </w:r>
          </w:p>
        </w:tc>
        <w:tc>
          <w:tcPr>
            <w:tcW w:w="1306" w:type="dxa"/>
            <w:tcBorders>
              <w:top w:val="nil"/>
              <w:left w:val="nil"/>
              <w:bottom w:val="single" w:sz="4" w:space="0" w:color="auto"/>
              <w:right w:val="single" w:sz="4" w:space="0" w:color="auto"/>
            </w:tcBorders>
            <w:vAlign w:val="bottom"/>
            <w:hideMark/>
          </w:tcPr>
          <w:p w14:paraId="7EFB34BB"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23±1.41</w:t>
            </w:r>
          </w:p>
        </w:tc>
        <w:tc>
          <w:tcPr>
            <w:tcW w:w="1259" w:type="dxa"/>
            <w:tcBorders>
              <w:top w:val="nil"/>
              <w:left w:val="nil"/>
              <w:bottom w:val="single" w:sz="4" w:space="0" w:color="auto"/>
              <w:right w:val="single" w:sz="4" w:space="0" w:color="auto"/>
            </w:tcBorders>
            <w:noWrap/>
            <w:vAlign w:val="bottom"/>
            <w:hideMark/>
          </w:tcPr>
          <w:p w14:paraId="0622F95A"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23.5±2.12</w:t>
            </w:r>
          </w:p>
        </w:tc>
        <w:tc>
          <w:tcPr>
            <w:tcW w:w="1211" w:type="dxa"/>
            <w:tcBorders>
              <w:top w:val="nil"/>
              <w:left w:val="nil"/>
              <w:bottom w:val="single" w:sz="4" w:space="0" w:color="auto"/>
              <w:right w:val="single" w:sz="4" w:space="0" w:color="auto"/>
            </w:tcBorders>
            <w:vAlign w:val="bottom"/>
          </w:tcPr>
          <w:p w14:paraId="06C4984A"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22.5</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0.71</w:t>
            </w:r>
          </w:p>
        </w:tc>
      </w:tr>
      <w:tr w:rsidR="006A043B" w:rsidRPr="00343885" w14:paraId="7CF55FDE"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54B0933A"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Colistin (CL) 10μg</w:t>
            </w:r>
          </w:p>
        </w:tc>
        <w:tc>
          <w:tcPr>
            <w:tcW w:w="1329" w:type="dxa"/>
            <w:tcBorders>
              <w:top w:val="nil"/>
              <w:left w:val="nil"/>
              <w:bottom w:val="single" w:sz="4" w:space="0" w:color="auto"/>
              <w:right w:val="single" w:sz="4" w:space="0" w:color="auto"/>
            </w:tcBorders>
            <w:noWrap/>
            <w:vAlign w:val="bottom"/>
            <w:hideMark/>
          </w:tcPr>
          <w:p w14:paraId="150CF296"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19±1.41</w:t>
            </w:r>
          </w:p>
        </w:tc>
        <w:tc>
          <w:tcPr>
            <w:tcW w:w="1216" w:type="dxa"/>
            <w:tcBorders>
              <w:top w:val="nil"/>
              <w:left w:val="nil"/>
              <w:bottom w:val="single" w:sz="4" w:space="0" w:color="auto"/>
              <w:right w:val="single" w:sz="4" w:space="0" w:color="auto"/>
            </w:tcBorders>
            <w:vAlign w:val="bottom"/>
            <w:hideMark/>
          </w:tcPr>
          <w:p w14:paraId="2CC32827"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16±1.41</w:t>
            </w:r>
          </w:p>
        </w:tc>
        <w:tc>
          <w:tcPr>
            <w:tcW w:w="1306" w:type="dxa"/>
            <w:tcBorders>
              <w:top w:val="nil"/>
              <w:left w:val="nil"/>
              <w:bottom w:val="single" w:sz="4" w:space="0" w:color="auto"/>
              <w:right w:val="single" w:sz="4" w:space="0" w:color="auto"/>
            </w:tcBorders>
            <w:vAlign w:val="bottom"/>
            <w:hideMark/>
          </w:tcPr>
          <w:p w14:paraId="55E83AD5"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17.5±0.71</w:t>
            </w:r>
          </w:p>
        </w:tc>
        <w:tc>
          <w:tcPr>
            <w:tcW w:w="1259" w:type="dxa"/>
            <w:tcBorders>
              <w:top w:val="nil"/>
              <w:left w:val="nil"/>
              <w:bottom w:val="single" w:sz="4" w:space="0" w:color="auto"/>
              <w:right w:val="single" w:sz="4" w:space="0" w:color="auto"/>
            </w:tcBorders>
            <w:noWrap/>
            <w:vAlign w:val="bottom"/>
            <w:hideMark/>
          </w:tcPr>
          <w:p w14:paraId="4925CEFA"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16±1.41</w:t>
            </w:r>
          </w:p>
        </w:tc>
        <w:tc>
          <w:tcPr>
            <w:tcW w:w="1211" w:type="dxa"/>
            <w:tcBorders>
              <w:top w:val="nil"/>
              <w:left w:val="nil"/>
              <w:bottom w:val="single" w:sz="4" w:space="0" w:color="auto"/>
              <w:right w:val="single" w:sz="4" w:space="0" w:color="auto"/>
            </w:tcBorders>
            <w:vAlign w:val="bottom"/>
          </w:tcPr>
          <w:p w14:paraId="4A821F3E"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19</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0.00</w:t>
            </w:r>
          </w:p>
        </w:tc>
      </w:tr>
      <w:tr w:rsidR="006A043B" w:rsidRPr="00343885" w14:paraId="31173BDA"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6C6BB963"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Nalidixic acid (NA) 30μg</w:t>
            </w:r>
          </w:p>
        </w:tc>
        <w:tc>
          <w:tcPr>
            <w:tcW w:w="1329" w:type="dxa"/>
            <w:tcBorders>
              <w:top w:val="nil"/>
              <w:left w:val="nil"/>
              <w:bottom w:val="single" w:sz="4" w:space="0" w:color="auto"/>
              <w:right w:val="single" w:sz="4" w:space="0" w:color="auto"/>
            </w:tcBorders>
            <w:noWrap/>
            <w:vAlign w:val="bottom"/>
            <w:hideMark/>
          </w:tcPr>
          <w:p w14:paraId="7BB400F9"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27±1.41</w:t>
            </w:r>
          </w:p>
        </w:tc>
        <w:tc>
          <w:tcPr>
            <w:tcW w:w="1216" w:type="dxa"/>
            <w:tcBorders>
              <w:top w:val="nil"/>
              <w:left w:val="nil"/>
              <w:bottom w:val="single" w:sz="4" w:space="0" w:color="auto"/>
              <w:right w:val="single" w:sz="4" w:space="0" w:color="auto"/>
            </w:tcBorders>
            <w:vAlign w:val="bottom"/>
            <w:hideMark/>
          </w:tcPr>
          <w:p w14:paraId="439653F5"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27±0.00</w:t>
            </w:r>
          </w:p>
        </w:tc>
        <w:tc>
          <w:tcPr>
            <w:tcW w:w="1306" w:type="dxa"/>
            <w:tcBorders>
              <w:top w:val="nil"/>
              <w:left w:val="nil"/>
              <w:bottom w:val="single" w:sz="4" w:space="0" w:color="auto"/>
              <w:right w:val="single" w:sz="4" w:space="0" w:color="auto"/>
            </w:tcBorders>
            <w:vAlign w:val="bottom"/>
            <w:hideMark/>
          </w:tcPr>
          <w:p w14:paraId="791FAF73"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25.5±0.71</w:t>
            </w:r>
          </w:p>
        </w:tc>
        <w:tc>
          <w:tcPr>
            <w:tcW w:w="1259" w:type="dxa"/>
            <w:tcBorders>
              <w:top w:val="nil"/>
              <w:left w:val="nil"/>
              <w:bottom w:val="single" w:sz="4" w:space="0" w:color="auto"/>
              <w:right w:val="single" w:sz="4" w:space="0" w:color="auto"/>
            </w:tcBorders>
            <w:noWrap/>
            <w:vAlign w:val="bottom"/>
            <w:hideMark/>
          </w:tcPr>
          <w:p w14:paraId="4F9AB9A0"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27±0.00</w:t>
            </w:r>
          </w:p>
        </w:tc>
        <w:tc>
          <w:tcPr>
            <w:tcW w:w="1211" w:type="dxa"/>
            <w:tcBorders>
              <w:top w:val="nil"/>
              <w:left w:val="nil"/>
              <w:bottom w:val="single" w:sz="4" w:space="0" w:color="auto"/>
              <w:right w:val="single" w:sz="4" w:space="0" w:color="auto"/>
            </w:tcBorders>
            <w:vAlign w:val="bottom"/>
          </w:tcPr>
          <w:p w14:paraId="7DD009DC"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26.5</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0.71</w:t>
            </w:r>
          </w:p>
        </w:tc>
      </w:tr>
      <w:tr w:rsidR="006A043B" w:rsidRPr="00343885" w14:paraId="2866CFBE"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635FE8A5"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Augmentin (AMC) 30μg</w:t>
            </w:r>
          </w:p>
        </w:tc>
        <w:tc>
          <w:tcPr>
            <w:tcW w:w="1329" w:type="dxa"/>
            <w:tcBorders>
              <w:top w:val="nil"/>
              <w:left w:val="nil"/>
              <w:bottom w:val="single" w:sz="4" w:space="0" w:color="auto"/>
              <w:right w:val="single" w:sz="4" w:space="0" w:color="auto"/>
            </w:tcBorders>
            <w:noWrap/>
            <w:vAlign w:val="bottom"/>
            <w:hideMark/>
          </w:tcPr>
          <w:p w14:paraId="716CE299"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0±0.00</w:t>
            </w:r>
          </w:p>
        </w:tc>
        <w:tc>
          <w:tcPr>
            <w:tcW w:w="1216" w:type="dxa"/>
            <w:tcBorders>
              <w:top w:val="nil"/>
              <w:left w:val="nil"/>
              <w:bottom w:val="single" w:sz="4" w:space="0" w:color="auto"/>
              <w:right w:val="single" w:sz="4" w:space="0" w:color="auto"/>
            </w:tcBorders>
            <w:vAlign w:val="bottom"/>
            <w:hideMark/>
          </w:tcPr>
          <w:p w14:paraId="793DED8E"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0±0.00</w:t>
            </w:r>
          </w:p>
        </w:tc>
        <w:tc>
          <w:tcPr>
            <w:tcW w:w="1306" w:type="dxa"/>
            <w:tcBorders>
              <w:top w:val="nil"/>
              <w:left w:val="nil"/>
              <w:bottom w:val="single" w:sz="4" w:space="0" w:color="auto"/>
              <w:right w:val="single" w:sz="4" w:space="0" w:color="auto"/>
            </w:tcBorders>
            <w:vAlign w:val="bottom"/>
            <w:hideMark/>
          </w:tcPr>
          <w:p w14:paraId="57CF6907"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0±0.00</w:t>
            </w:r>
          </w:p>
        </w:tc>
        <w:tc>
          <w:tcPr>
            <w:tcW w:w="1259" w:type="dxa"/>
            <w:tcBorders>
              <w:top w:val="nil"/>
              <w:left w:val="nil"/>
              <w:bottom w:val="single" w:sz="4" w:space="0" w:color="auto"/>
              <w:right w:val="single" w:sz="4" w:space="0" w:color="auto"/>
            </w:tcBorders>
            <w:noWrap/>
            <w:vAlign w:val="bottom"/>
            <w:hideMark/>
          </w:tcPr>
          <w:p w14:paraId="4AFD28E7"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0±0.00</w:t>
            </w:r>
          </w:p>
        </w:tc>
        <w:tc>
          <w:tcPr>
            <w:tcW w:w="1211" w:type="dxa"/>
            <w:tcBorders>
              <w:top w:val="nil"/>
              <w:left w:val="nil"/>
              <w:bottom w:val="single" w:sz="4" w:space="0" w:color="auto"/>
              <w:right w:val="single" w:sz="4" w:space="0" w:color="auto"/>
            </w:tcBorders>
            <w:vAlign w:val="bottom"/>
          </w:tcPr>
          <w:p w14:paraId="6D170D51"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0</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0.00</w:t>
            </w:r>
          </w:p>
        </w:tc>
      </w:tr>
      <w:tr w:rsidR="006A043B" w:rsidRPr="00343885" w14:paraId="0E8286FF" w14:textId="77777777" w:rsidTr="00DD497B">
        <w:trPr>
          <w:trHeight w:val="330"/>
          <w:jc w:val="center"/>
        </w:trPr>
        <w:tc>
          <w:tcPr>
            <w:tcW w:w="3319" w:type="dxa"/>
            <w:tcBorders>
              <w:top w:val="nil"/>
              <w:left w:val="single" w:sz="4" w:space="0" w:color="auto"/>
              <w:bottom w:val="single" w:sz="4" w:space="0" w:color="auto"/>
              <w:right w:val="single" w:sz="4" w:space="0" w:color="auto"/>
            </w:tcBorders>
            <w:shd w:val="clear" w:color="auto" w:fill="FFFF00"/>
            <w:noWrap/>
            <w:vAlign w:val="bottom"/>
            <w:hideMark/>
          </w:tcPr>
          <w:p w14:paraId="0B3C747C"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Cefoxitin (CX) 30μg</w:t>
            </w:r>
          </w:p>
        </w:tc>
        <w:tc>
          <w:tcPr>
            <w:tcW w:w="1329" w:type="dxa"/>
            <w:tcBorders>
              <w:top w:val="nil"/>
              <w:left w:val="nil"/>
              <w:bottom w:val="single" w:sz="4" w:space="0" w:color="auto"/>
              <w:right w:val="single" w:sz="4" w:space="0" w:color="auto"/>
            </w:tcBorders>
            <w:shd w:val="clear" w:color="auto" w:fill="FFFF00"/>
            <w:noWrap/>
            <w:vAlign w:val="bottom"/>
            <w:hideMark/>
          </w:tcPr>
          <w:p w14:paraId="294D5EF6"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15±1.41</w:t>
            </w:r>
          </w:p>
        </w:tc>
        <w:tc>
          <w:tcPr>
            <w:tcW w:w="1216" w:type="dxa"/>
            <w:tcBorders>
              <w:top w:val="nil"/>
              <w:left w:val="nil"/>
              <w:bottom w:val="single" w:sz="4" w:space="0" w:color="auto"/>
              <w:right w:val="single" w:sz="4" w:space="0" w:color="auto"/>
            </w:tcBorders>
            <w:shd w:val="clear" w:color="auto" w:fill="FFFF00"/>
            <w:vAlign w:val="bottom"/>
            <w:hideMark/>
          </w:tcPr>
          <w:p w14:paraId="1840D9C3"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0±0.00</w:t>
            </w:r>
          </w:p>
        </w:tc>
        <w:tc>
          <w:tcPr>
            <w:tcW w:w="1306" w:type="dxa"/>
            <w:tcBorders>
              <w:top w:val="nil"/>
              <w:left w:val="nil"/>
              <w:bottom w:val="single" w:sz="4" w:space="0" w:color="auto"/>
              <w:right w:val="single" w:sz="4" w:space="0" w:color="auto"/>
            </w:tcBorders>
            <w:shd w:val="clear" w:color="auto" w:fill="FFFF00"/>
            <w:vAlign w:val="bottom"/>
            <w:hideMark/>
          </w:tcPr>
          <w:p w14:paraId="0AEED1E1"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0±0.00</w:t>
            </w:r>
          </w:p>
        </w:tc>
        <w:tc>
          <w:tcPr>
            <w:tcW w:w="1259" w:type="dxa"/>
            <w:tcBorders>
              <w:top w:val="nil"/>
              <w:left w:val="nil"/>
              <w:bottom w:val="single" w:sz="4" w:space="0" w:color="auto"/>
              <w:right w:val="single" w:sz="4" w:space="0" w:color="auto"/>
            </w:tcBorders>
            <w:shd w:val="clear" w:color="auto" w:fill="FFFF00"/>
            <w:noWrap/>
            <w:vAlign w:val="bottom"/>
            <w:hideMark/>
          </w:tcPr>
          <w:p w14:paraId="06F65585"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0±0.00</w:t>
            </w:r>
          </w:p>
        </w:tc>
        <w:tc>
          <w:tcPr>
            <w:tcW w:w="1211" w:type="dxa"/>
            <w:tcBorders>
              <w:top w:val="nil"/>
              <w:left w:val="nil"/>
              <w:bottom w:val="single" w:sz="4" w:space="0" w:color="auto"/>
              <w:right w:val="single" w:sz="4" w:space="0" w:color="auto"/>
            </w:tcBorders>
            <w:shd w:val="clear" w:color="auto" w:fill="FFFF00"/>
            <w:vAlign w:val="bottom"/>
          </w:tcPr>
          <w:p w14:paraId="333B8C4F"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0</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0.00</w:t>
            </w:r>
          </w:p>
        </w:tc>
      </w:tr>
      <w:tr w:rsidR="006A043B" w:rsidRPr="00343885" w14:paraId="6EC2B84E" w14:textId="77777777" w:rsidTr="00DD497B">
        <w:trPr>
          <w:trHeight w:val="314"/>
          <w:jc w:val="center"/>
        </w:trPr>
        <w:tc>
          <w:tcPr>
            <w:tcW w:w="3319" w:type="dxa"/>
            <w:tcBorders>
              <w:top w:val="nil"/>
              <w:left w:val="single" w:sz="4" w:space="0" w:color="auto"/>
              <w:bottom w:val="single" w:sz="4" w:space="0" w:color="auto"/>
              <w:right w:val="single" w:sz="4" w:space="0" w:color="auto"/>
            </w:tcBorders>
            <w:noWrap/>
            <w:vAlign w:val="bottom"/>
            <w:hideMark/>
          </w:tcPr>
          <w:p w14:paraId="4081A560"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Gatifloxacin (GAT) 5μg</w:t>
            </w:r>
          </w:p>
        </w:tc>
        <w:tc>
          <w:tcPr>
            <w:tcW w:w="1329" w:type="dxa"/>
            <w:tcBorders>
              <w:top w:val="nil"/>
              <w:left w:val="nil"/>
              <w:bottom w:val="single" w:sz="4" w:space="0" w:color="auto"/>
              <w:right w:val="single" w:sz="4" w:space="0" w:color="auto"/>
            </w:tcBorders>
            <w:noWrap/>
            <w:vAlign w:val="bottom"/>
            <w:hideMark/>
          </w:tcPr>
          <w:p w14:paraId="48B22B51"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31±1.41</w:t>
            </w:r>
          </w:p>
        </w:tc>
        <w:tc>
          <w:tcPr>
            <w:tcW w:w="1216" w:type="dxa"/>
            <w:tcBorders>
              <w:top w:val="nil"/>
              <w:left w:val="nil"/>
              <w:bottom w:val="single" w:sz="4" w:space="0" w:color="auto"/>
              <w:right w:val="single" w:sz="4" w:space="0" w:color="auto"/>
            </w:tcBorders>
            <w:vAlign w:val="bottom"/>
            <w:hideMark/>
          </w:tcPr>
          <w:p w14:paraId="76349B4A"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27.5±0.71</w:t>
            </w:r>
          </w:p>
        </w:tc>
        <w:tc>
          <w:tcPr>
            <w:tcW w:w="1306" w:type="dxa"/>
            <w:tcBorders>
              <w:top w:val="nil"/>
              <w:left w:val="nil"/>
              <w:bottom w:val="single" w:sz="4" w:space="0" w:color="auto"/>
              <w:right w:val="single" w:sz="4" w:space="0" w:color="auto"/>
            </w:tcBorders>
            <w:vAlign w:val="bottom"/>
            <w:hideMark/>
          </w:tcPr>
          <w:p w14:paraId="5B36500E"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0.00</w:t>
            </w:r>
          </w:p>
        </w:tc>
        <w:tc>
          <w:tcPr>
            <w:tcW w:w="1259" w:type="dxa"/>
            <w:tcBorders>
              <w:top w:val="nil"/>
              <w:left w:val="nil"/>
              <w:bottom w:val="single" w:sz="4" w:space="0" w:color="auto"/>
              <w:right w:val="single" w:sz="4" w:space="0" w:color="auto"/>
            </w:tcBorders>
            <w:noWrap/>
            <w:vAlign w:val="bottom"/>
            <w:hideMark/>
          </w:tcPr>
          <w:p w14:paraId="4DAA11C3"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29.5±0.71</w:t>
            </w:r>
          </w:p>
        </w:tc>
        <w:tc>
          <w:tcPr>
            <w:tcW w:w="1211" w:type="dxa"/>
            <w:tcBorders>
              <w:top w:val="nil"/>
              <w:left w:val="nil"/>
              <w:bottom w:val="single" w:sz="4" w:space="0" w:color="auto"/>
              <w:right w:val="single" w:sz="4" w:space="0" w:color="auto"/>
            </w:tcBorders>
            <w:vAlign w:val="bottom"/>
          </w:tcPr>
          <w:p w14:paraId="1078362B"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25.5</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0.71</w:t>
            </w:r>
          </w:p>
        </w:tc>
      </w:tr>
      <w:tr w:rsidR="006A043B" w:rsidRPr="00343885" w14:paraId="6F9A2657"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3F257A61"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Gentamicin (GEN) 10μg</w:t>
            </w:r>
          </w:p>
        </w:tc>
        <w:tc>
          <w:tcPr>
            <w:tcW w:w="1329" w:type="dxa"/>
            <w:tcBorders>
              <w:top w:val="nil"/>
              <w:left w:val="nil"/>
              <w:bottom w:val="single" w:sz="4" w:space="0" w:color="auto"/>
              <w:right w:val="single" w:sz="4" w:space="0" w:color="auto"/>
            </w:tcBorders>
            <w:noWrap/>
            <w:vAlign w:val="bottom"/>
            <w:hideMark/>
          </w:tcPr>
          <w:p w14:paraId="1BD4A066"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26.5±0.71</w:t>
            </w:r>
          </w:p>
        </w:tc>
        <w:tc>
          <w:tcPr>
            <w:tcW w:w="1216" w:type="dxa"/>
            <w:tcBorders>
              <w:top w:val="nil"/>
              <w:left w:val="nil"/>
              <w:bottom w:val="single" w:sz="4" w:space="0" w:color="auto"/>
              <w:right w:val="single" w:sz="4" w:space="0" w:color="auto"/>
            </w:tcBorders>
            <w:vAlign w:val="bottom"/>
            <w:hideMark/>
          </w:tcPr>
          <w:p w14:paraId="471A35A2"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27±1.41</w:t>
            </w:r>
          </w:p>
        </w:tc>
        <w:tc>
          <w:tcPr>
            <w:tcW w:w="1306" w:type="dxa"/>
            <w:tcBorders>
              <w:top w:val="nil"/>
              <w:left w:val="nil"/>
              <w:bottom w:val="single" w:sz="4" w:space="0" w:color="auto"/>
              <w:right w:val="single" w:sz="4" w:space="0" w:color="auto"/>
            </w:tcBorders>
            <w:vAlign w:val="bottom"/>
            <w:hideMark/>
          </w:tcPr>
          <w:p w14:paraId="538853C1"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24.5±0.71</w:t>
            </w:r>
          </w:p>
        </w:tc>
        <w:tc>
          <w:tcPr>
            <w:tcW w:w="1259" w:type="dxa"/>
            <w:tcBorders>
              <w:top w:val="nil"/>
              <w:left w:val="nil"/>
              <w:bottom w:val="single" w:sz="4" w:space="0" w:color="auto"/>
              <w:right w:val="single" w:sz="4" w:space="0" w:color="auto"/>
            </w:tcBorders>
            <w:noWrap/>
            <w:vAlign w:val="bottom"/>
            <w:hideMark/>
          </w:tcPr>
          <w:p w14:paraId="3001ED07"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25.5±0.71</w:t>
            </w:r>
          </w:p>
        </w:tc>
        <w:tc>
          <w:tcPr>
            <w:tcW w:w="1211" w:type="dxa"/>
            <w:tcBorders>
              <w:top w:val="nil"/>
              <w:left w:val="nil"/>
              <w:bottom w:val="single" w:sz="4" w:space="0" w:color="auto"/>
              <w:right w:val="single" w:sz="4" w:space="0" w:color="auto"/>
            </w:tcBorders>
            <w:vAlign w:val="bottom"/>
          </w:tcPr>
          <w:p w14:paraId="54EEFE2F"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24</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0.00</w:t>
            </w:r>
          </w:p>
        </w:tc>
      </w:tr>
      <w:tr w:rsidR="006A043B" w:rsidRPr="00343885" w14:paraId="697DF732"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07BDCC93"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Amikacin (AK) 30μg</w:t>
            </w:r>
          </w:p>
        </w:tc>
        <w:tc>
          <w:tcPr>
            <w:tcW w:w="1329" w:type="dxa"/>
            <w:tcBorders>
              <w:top w:val="nil"/>
              <w:left w:val="nil"/>
              <w:bottom w:val="single" w:sz="4" w:space="0" w:color="auto"/>
              <w:right w:val="single" w:sz="4" w:space="0" w:color="auto"/>
            </w:tcBorders>
            <w:noWrap/>
            <w:vAlign w:val="bottom"/>
            <w:hideMark/>
          </w:tcPr>
          <w:p w14:paraId="175DC559"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29±1.41</w:t>
            </w:r>
          </w:p>
        </w:tc>
        <w:tc>
          <w:tcPr>
            <w:tcW w:w="1216" w:type="dxa"/>
            <w:tcBorders>
              <w:top w:val="nil"/>
              <w:left w:val="nil"/>
              <w:bottom w:val="single" w:sz="4" w:space="0" w:color="auto"/>
              <w:right w:val="single" w:sz="4" w:space="0" w:color="auto"/>
            </w:tcBorders>
            <w:vAlign w:val="bottom"/>
            <w:hideMark/>
          </w:tcPr>
          <w:p w14:paraId="0368A5AD"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25±0.00</w:t>
            </w:r>
          </w:p>
        </w:tc>
        <w:tc>
          <w:tcPr>
            <w:tcW w:w="1306" w:type="dxa"/>
            <w:tcBorders>
              <w:top w:val="nil"/>
              <w:left w:val="nil"/>
              <w:bottom w:val="single" w:sz="4" w:space="0" w:color="auto"/>
              <w:right w:val="single" w:sz="4" w:space="0" w:color="auto"/>
            </w:tcBorders>
            <w:vAlign w:val="bottom"/>
            <w:hideMark/>
          </w:tcPr>
          <w:p w14:paraId="60A8961E"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23.5±2.12</w:t>
            </w:r>
          </w:p>
        </w:tc>
        <w:tc>
          <w:tcPr>
            <w:tcW w:w="1259" w:type="dxa"/>
            <w:tcBorders>
              <w:top w:val="nil"/>
              <w:left w:val="nil"/>
              <w:bottom w:val="single" w:sz="4" w:space="0" w:color="auto"/>
              <w:right w:val="single" w:sz="4" w:space="0" w:color="auto"/>
            </w:tcBorders>
            <w:noWrap/>
            <w:vAlign w:val="bottom"/>
            <w:hideMark/>
          </w:tcPr>
          <w:p w14:paraId="3E93E68C"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26.5±0.71</w:t>
            </w:r>
          </w:p>
        </w:tc>
        <w:tc>
          <w:tcPr>
            <w:tcW w:w="1211" w:type="dxa"/>
            <w:tcBorders>
              <w:top w:val="nil"/>
              <w:left w:val="nil"/>
              <w:bottom w:val="single" w:sz="4" w:space="0" w:color="auto"/>
              <w:right w:val="single" w:sz="4" w:space="0" w:color="auto"/>
            </w:tcBorders>
            <w:vAlign w:val="bottom"/>
          </w:tcPr>
          <w:p w14:paraId="4B00670B"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26.5</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0.71</w:t>
            </w:r>
          </w:p>
        </w:tc>
      </w:tr>
      <w:tr w:rsidR="006A043B" w:rsidRPr="00343885" w14:paraId="6ED6EF45"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20813014"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Aztreonam (AT) 30μg</w:t>
            </w:r>
          </w:p>
        </w:tc>
        <w:tc>
          <w:tcPr>
            <w:tcW w:w="1329" w:type="dxa"/>
            <w:tcBorders>
              <w:top w:val="nil"/>
              <w:left w:val="nil"/>
              <w:bottom w:val="single" w:sz="4" w:space="0" w:color="auto"/>
              <w:right w:val="single" w:sz="4" w:space="0" w:color="auto"/>
            </w:tcBorders>
            <w:noWrap/>
            <w:vAlign w:val="bottom"/>
            <w:hideMark/>
          </w:tcPr>
          <w:p w14:paraId="171E2CDC"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28.5±0.71</w:t>
            </w:r>
          </w:p>
        </w:tc>
        <w:tc>
          <w:tcPr>
            <w:tcW w:w="1216" w:type="dxa"/>
            <w:tcBorders>
              <w:top w:val="nil"/>
              <w:left w:val="nil"/>
              <w:bottom w:val="single" w:sz="4" w:space="0" w:color="auto"/>
              <w:right w:val="single" w:sz="4" w:space="0" w:color="auto"/>
            </w:tcBorders>
            <w:vAlign w:val="bottom"/>
            <w:hideMark/>
          </w:tcPr>
          <w:p w14:paraId="7BABB33C"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20.5±0.71</w:t>
            </w:r>
          </w:p>
        </w:tc>
        <w:tc>
          <w:tcPr>
            <w:tcW w:w="1306" w:type="dxa"/>
            <w:tcBorders>
              <w:top w:val="nil"/>
              <w:left w:val="nil"/>
              <w:bottom w:val="single" w:sz="4" w:space="0" w:color="auto"/>
              <w:right w:val="single" w:sz="4" w:space="0" w:color="auto"/>
            </w:tcBorders>
            <w:vAlign w:val="bottom"/>
            <w:hideMark/>
          </w:tcPr>
          <w:p w14:paraId="0507F14C"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27.5±2.12</w:t>
            </w:r>
          </w:p>
        </w:tc>
        <w:tc>
          <w:tcPr>
            <w:tcW w:w="1259" w:type="dxa"/>
            <w:tcBorders>
              <w:top w:val="nil"/>
              <w:left w:val="nil"/>
              <w:bottom w:val="single" w:sz="4" w:space="0" w:color="auto"/>
              <w:right w:val="single" w:sz="4" w:space="0" w:color="auto"/>
            </w:tcBorders>
            <w:noWrap/>
            <w:vAlign w:val="bottom"/>
            <w:hideMark/>
          </w:tcPr>
          <w:p w14:paraId="1CC0A4B0"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23±1.41</w:t>
            </w:r>
          </w:p>
        </w:tc>
        <w:tc>
          <w:tcPr>
            <w:tcW w:w="1211" w:type="dxa"/>
            <w:tcBorders>
              <w:top w:val="nil"/>
              <w:left w:val="nil"/>
              <w:bottom w:val="single" w:sz="4" w:space="0" w:color="auto"/>
              <w:right w:val="single" w:sz="4" w:space="0" w:color="auto"/>
            </w:tcBorders>
            <w:vAlign w:val="bottom"/>
          </w:tcPr>
          <w:p w14:paraId="257AB0A2"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24.5</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0.71</w:t>
            </w:r>
          </w:p>
        </w:tc>
      </w:tr>
      <w:tr w:rsidR="006A043B" w:rsidRPr="00343885" w14:paraId="428487A1"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46A621A7"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Ceftriaxone (CTR) 30μg</w:t>
            </w:r>
          </w:p>
        </w:tc>
        <w:tc>
          <w:tcPr>
            <w:tcW w:w="1329" w:type="dxa"/>
            <w:tcBorders>
              <w:top w:val="nil"/>
              <w:left w:val="nil"/>
              <w:bottom w:val="single" w:sz="4" w:space="0" w:color="auto"/>
              <w:right w:val="single" w:sz="4" w:space="0" w:color="auto"/>
            </w:tcBorders>
            <w:noWrap/>
            <w:vAlign w:val="bottom"/>
            <w:hideMark/>
          </w:tcPr>
          <w:p w14:paraId="6E65D99C"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28.5±0.71</w:t>
            </w:r>
          </w:p>
        </w:tc>
        <w:tc>
          <w:tcPr>
            <w:tcW w:w="1216" w:type="dxa"/>
            <w:tcBorders>
              <w:top w:val="nil"/>
              <w:left w:val="nil"/>
              <w:bottom w:val="single" w:sz="4" w:space="0" w:color="auto"/>
              <w:right w:val="single" w:sz="4" w:space="0" w:color="auto"/>
            </w:tcBorders>
            <w:vAlign w:val="bottom"/>
            <w:hideMark/>
          </w:tcPr>
          <w:p w14:paraId="545A1C9F"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28±0.00</w:t>
            </w:r>
          </w:p>
        </w:tc>
        <w:tc>
          <w:tcPr>
            <w:tcW w:w="1306" w:type="dxa"/>
            <w:tcBorders>
              <w:top w:val="nil"/>
              <w:left w:val="nil"/>
              <w:bottom w:val="single" w:sz="4" w:space="0" w:color="auto"/>
              <w:right w:val="single" w:sz="4" w:space="0" w:color="auto"/>
            </w:tcBorders>
            <w:vAlign w:val="bottom"/>
            <w:hideMark/>
          </w:tcPr>
          <w:p w14:paraId="2008EFC8"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26±1.41</w:t>
            </w:r>
          </w:p>
        </w:tc>
        <w:tc>
          <w:tcPr>
            <w:tcW w:w="1259" w:type="dxa"/>
            <w:tcBorders>
              <w:top w:val="nil"/>
              <w:left w:val="nil"/>
              <w:bottom w:val="single" w:sz="4" w:space="0" w:color="auto"/>
              <w:right w:val="single" w:sz="4" w:space="0" w:color="auto"/>
            </w:tcBorders>
            <w:noWrap/>
            <w:vAlign w:val="bottom"/>
            <w:hideMark/>
          </w:tcPr>
          <w:p w14:paraId="11E39457"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27.5±0.71</w:t>
            </w:r>
          </w:p>
        </w:tc>
        <w:tc>
          <w:tcPr>
            <w:tcW w:w="1211" w:type="dxa"/>
            <w:tcBorders>
              <w:top w:val="nil"/>
              <w:left w:val="nil"/>
              <w:bottom w:val="single" w:sz="4" w:space="0" w:color="auto"/>
              <w:right w:val="single" w:sz="4" w:space="0" w:color="auto"/>
            </w:tcBorders>
            <w:vAlign w:val="bottom"/>
          </w:tcPr>
          <w:p w14:paraId="62BE886C"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28</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1.41</w:t>
            </w:r>
          </w:p>
        </w:tc>
      </w:tr>
      <w:tr w:rsidR="006A043B" w:rsidRPr="00343885" w14:paraId="10E5316E" w14:textId="77777777" w:rsidTr="00DD497B">
        <w:trPr>
          <w:trHeight w:val="330"/>
          <w:jc w:val="center"/>
        </w:trPr>
        <w:tc>
          <w:tcPr>
            <w:tcW w:w="3319" w:type="dxa"/>
            <w:tcBorders>
              <w:top w:val="nil"/>
              <w:left w:val="single" w:sz="4" w:space="0" w:color="auto"/>
              <w:bottom w:val="single" w:sz="4" w:space="0" w:color="auto"/>
              <w:right w:val="single" w:sz="4" w:space="0" w:color="auto"/>
            </w:tcBorders>
            <w:shd w:val="clear" w:color="auto" w:fill="FFFF00"/>
            <w:noWrap/>
            <w:vAlign w:val="bottom"/>
            <w:hideMark/>
          </w:tcPr>
          <w:p w14:paraId="7153F0A5"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Cefpodoxime (CPD) 10μg</w:t>
            </w:r>
          </w:p>
        </w:tc>
        <w:tc>
          <w:tcPr>
            <w:tcW w:w="1329" w:type="dxa"/>
            <w:tcBorders>
              <w:top w:val="nil"/>
              <w:left w:val="nil"/>
              <w:bottom w:val="single" w:sz="4" w:space="0" w:color="auto"/>
              <w:right w:val="single" w:sz="4" w:space="0" w:color="auto"/>
            </w:tcBorders>
            <w:shd w:val="clear" w:color="auto" w:fill="FFFF00"/>
            <w:noWrap/>
            <w:vAlign w:val="bottom"/>
            <w:hideMark/>
          </w:tcPr>
          <w:p w14:paraId="3C43DCE2"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12.5±0.71</w:t>
            </w:r>
          </w:p>
        </w:tc>
        <w:tc>
          <w:tcPr>
            <w:tcW w:w="1216" w:type="dxa"/>
            <w:tcBorders>
              <w:top w:val="nil"/>
              <w:left w:val="nil"/>
              <w:bottom w:val="single" w:sz="4" w:space="0" w:color="auto"/>
              <w:right w:val="single" w:sz="4" w:space="0" w:color="auto"/>
            </w:tcBorders>
            <w:shd w:val="clear" w:color="auto" w:fill="FFFF00"/>
            <w:vAlign w:val="bottom"/>
            <w:hideMark/>
          </w:tcPr>
          <w:p w14:paraId="127D9628"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0±0.00</w:t>
            </w:r>
          </w:p>
        </w:tc>
        <w:tc>
          <w:tcPr>
            <w:tcW w:w="1306" w:type="dxa"/>
            <w:tcBorders>
              <w:top w:val="nil"/>
              <w:left w:val="nil"/>
              <w:bottom w:val="single" w:sz="4" w:space="0" w:color="auto"/>
              <w:right w:val="single" w:sz="4" w:space="0" w:color="auto"/>
            </w:tcBorders>
            <w:shd w:val="clear" w:color="auto" w:fill="FFFF00"/>
            <w:vAlign w:val="bottom"/>
            <w:hideMark/>
          </w:tcPr>
          <w:p w14:paraId="76F63E04"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0±0.00</w:t>
            </w:r>
          </w:p>
        </w:tc>
        <w:tc>
          <w:tcPr>
            <w:tcW w:w="1259" w:type="dxa"/>
            <w:tcBorders>
              <w:top w:val="nil"/>
              <w:left w:val="nil"/>
              <w:bottom w:val="single" w:sz="4" w:space="0" w:color="auto"/>
              <w:right w:val="single" w:sz="4" w:space="0" w:color="auto"/>
            </w:tcBorders>
            <w:shd w:val="clear" w:color="auto" w:fill="FFFF00"/>
            <w:noWrap/>
            <w:vAlign w:val="bottom"/>
            <w:hideMark/>
          </w:tcPr>
          <w:p w14:paraId="5FB61636"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0±0.00</w:t>
            </w:r>
          </w:p>
        </w:tc>
        <w:tc>
          <w:tcPr>
            <w:tcW w:w="1211" w:type="dxa"/>
            <w:tcBorders>
              <w:top w:val="nil"/>
              <w:left w:val="nil"/>
              <w:bottom w:val="single" w:sz="4" w:space="0" w:color="auto"/>
              <w:right w:val="single" w:sz="4" w:space="0" w:color="auto"/>
            </w:tcBorders>
            <w:shd w:val="clear" w:color="auto" w:fill="FFFF00"/>
            <w:vAlign w:val="bottom"/>
          </w:tcPr>
          <w:p w14:paraId="677F1212"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0</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0.00</w:t>
            </w:r>
          </w:p>
        </w:tc>
      </w:tr>
      <w:tr w:rsidR="006A043B" w:rsidRPr="00343885" w14:paraId="013DCB9B" w14:textId="77777777" w:rsidTr="00DD497B">
        <w:trPr>
          <w:trHeight w:val="345"/>
          <w:jc w:val="center"/>
        </w:trPr>
        <w:tc>
          <w:tcPr>
            <w:tcW w:w="3319" w:type="dxa"/>
            <w:tcBorders>
              <w:top w:val="nil"/>
              <w:left w:val="single" w:sz="4" w:space="0" w:color="auto"/>
              <w:bottom w:val="single" w:sz="4" w:space="0" w:color="auto"/>
              <w:right w:val="single" w:sz="4" w:space="0" w:color="auto"/>
            </w:tcBorders>
            <w:noWrap/>
            <w:vAlign w:val="bottom"/>
            <w:hideMark/>
          </w:tcPr>
          <w:p w14:paraId="43A60A39"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Nitrofurantoin (NIT) 300μg</w:t>
            </w:r>
          </w:p>
        </w:tc>
        <w:tc>
          <w:tcPr>
            <w:tcW w:w="1329" w:type="dxa"/>
            <w:tcBorders>
              <w:top w:val="nil"/>
              <w:left w:val="nil"/>
              <w:bottom w:val="single" w:sz="4" w:space="0" w:color="auto"/>
              <w:right w:val="single" w:sz="4" w:space="0" w:color="auto"/>
            </w:tcBorders>
            <w:noWrap/>
            <w:vAlign w:val="bottom"/>
            <w:hideMark/>
          </w:tcPr>
          <w:p w14:paraId="53E30E90"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20.5±0.71</w:t>
            </w:r>
          </w:p>
        </w:tc>
        <w:tc>
          <w:tcPr>
            <w:tcW w:w="1216" w:type="dxa"/>
            <w:tcBorders>
              <w:top w:val="nil"/>
              <w:left w:val="nil"/>
              <w:bottom w:val="single" w:sz="4" w:space="0" w:color="auto"/>
              <w:right w:val="single" w:sz="4" w:space="0" w:color="auto"/>
            </w:tcBorders>
            <w:vAlign w:val="bottom"/>
            <w:hideMark/>
          </w:tcPr>
          <w:p w14:paraId="48B28CB1"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19. 5±0.71</w:t>
            </w:r>
          </w:p>
        </w:tc>
        <w:tc>
          <w:tcPr>
            <w:tcW w:w="1306" w:type="dxa"/>
            <w:tcBorders>
              <w:top w:val="nil"/>
              <w:left w:val="nil"/>
              <w:bottom w:val="single" w:sz="4" w:space="0" w:color="auto"/>
              <w:right w:val="single" w:sz="4" w:space="0" w:color="auto"/>
            </w:tcBorders>
            <w:vAlign w:val="bottom"/>
            <w:hideMark/>
          </w:tcPr>
          <w:p w14:paraId="04CC4F1A"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18±0.00</w:t>
            </w:r>
          </w:p>
        </w:tc>
        <w:tc>
          <w:tcPr>
            <w:tcW w:w="1259" w:type="dxa"/>
            <w:tcBorders>
              <w:top w:val="nil"/>
              <w:left w:val="nil"/>
              <w:bottom w:val="single" w:sz="4" w:space="0" w:color="auto"/>
              <w:right w:val="single" w:sz="4" w:space="0" w:color="auto"/>
            </w:tcBorders>
            <w:noWrap/>
            <w:vAlign w:val="bottom"/>
            <w:hideMark/>
          </w:tcPr>
          <w:p w14:paraId="2D034208"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17.5±0.71</w:t>
            </w:r>
          </w:p>
        </w:tc>
        <w:tc>
          <w:tcPr>
            <w:tcW w:w="1211" w:type="dxa"/>
            <w:tcBorders>
              <w:top w:val="nil"/>
              <w:left w:val="nil"/>
              <w:bottom w:val="single" w:sz="4" w:space="0" w:color="auto"/>
              <w:right w:val="single" w:sz="4" w:space="0" w:color="auto"/>
            </w:tcBorders>
            <w:vAlign w:val="bottom"/>
          </w:tcPr>
          <w:p w14:paraId="7108FF79"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16</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1.41</w:t>
            </w:r>
          </w:p>
        </w:tc>
      </w:tr>
    </w:tbl>
    <w:p w14:paraId="3AB8BC85" w14:textId="77777777" w:rsidR="006A043B" w:rsidRPr="00343885" w:rsidRDefault="006A043B" w:rsidP="006A043B">
      <w:pPr>
        <w:pStyle w:val="NoSpacing"/>
        <w:spacing w:line="360" w:lineRule="auto"/>
        <w:rPr>
          <w:rFonts w:ascii="Times New Roman" w:hAnsi="Times New Roman" w:cs="Times New Roman"/>
          <w:color w:val="000000"/>
          <w:sz w:val="24"/>
          <w:szCs w:val="24"/>
        </w:rPr>
      </w:pPr>
    </w:p>
    <w:p w14:paraId="5C251188" w14:textId="77777777" w:rsidR="006A043B" w:rsidRPr="00343885" w:rsidRDefault="006A043B" w:rsidP="006A043B">
      <w:pPr>
        <w:pStyle w:val="NoSpacing"/>
        <w:spacing w:line="360" w:lineRule="auto"/>
        <w:rPr>
          <w:rFonts w:ascii="Times New Roman" w:hAnsi="Times New Roman" w:cs="Times New Roman"/>
          <w:sz w:val="24"/>
          <w:szCs w:val="24"/>
        </w:rPr>
      </w:pPr>
    </w:p>
    <w:p w14:paraId="151E8432" w14:textId="77777777" w:rsidR="006A043B" w:rsidRPr="00343885" w:rsidRDefault="006A043B" w:rsidP="006A043B">
      <w:pPr>
        <w:pStyle w:val="NoSpacing"/>
        <w:spacing w:line="360" w:lineRule="auto"/>
        <w:rPr>
          <w:rFonts w:ascii="Times New Roman" w:hAnsi="Times New Roman" w:cs="Times New Roman"/>
          <w:sz w:val="24"/>
          <w:szCs w:val="24"/>
        </w:rPr>
      </w:pPr>
    </w:p>
    <w:p w14:paraId="4EC23A52" w14:textId="77777777" w:rsidR="006A043B" w:rsidRPr="00343885" w:rsidRDefault="006A043B" w:rsidP="006A043B">
      <w:pPr>
        <w:pStyle w:val="NoSpacing"/>
        <w:spacing w:line="360" w:lineRule="auto"/>
        <w:rPr>
          <w:rFonts w:ascii="Times New Roman" w:hAnsi="Times New Roman" w:cs="Times New Roman"/>
          <w:sz w:val="24"/>
          <w:szCs w:val="24"/>
        </w:rPr>
      </w:pPr>
    </w:p>
    <w:p w14:paraId="0C44328F" w14:textId="77777777" w:rsidR="006A043B" w:rsidRPr="00343885" w:rsidRDefault="006A043B" w:rsidP="006A043B">
      <w:pPr>
        <w:pStyle w:val="NoSpacing"/>
        <w:spacing w:line="360" w:lineRule="auto"/>
        <w:rPr>
          <w:rFonts w:ascii="Times New Roman" w:hAnsi="Times New Roman" w:cs="Times New Roman"/>
          <w:sz w:val="24"/>
          <w:szCs w:val="24"/>
        </w:rPr>
      </w:pPr>
    </w:p>
    <w:p w14:paraId="2F545877" w14:textId="77777777" w:rsidR="006A043B" w:rsidRPr="00343885" w:rsidRDefault="006A043B" w:rsidP="006A043B">
      <w:pPr>
        <w:spacing w:line="360" w:lineRule="auto"/>
        <w:rPr>
          <w:rFonts w:ascii="Times New Roman" w:hAnsi="Times New Roman" w:cs="Times New Roman"/>
          <w:sz w:val="24"/>
          <w:szCs w:val="24"/>
        </w:rPr>
      </w:pPr>
    </w:p>
    <w:p w14:paraId="51D28FC4" w14:textId="77777777" w:rsidR="006A043B" w:rsidRDefault="006A043B" w:rsidP="006A043B"/>
    <w:p w14:paraId="630BD253" w14:textId="77777777" w:rsidR="006A043B" w:rsidRDefault="006A043B" w:rsidP="006A043B"/>
    <w:p w14:paraId="0D3FC853" w14:textId="77777777" w:rsidR="006A043B" w:rsidRPr="006A043B" w:rsidRDefault="006A043B" w:rsidP="006A043B">
      <w:pPr>
        <w:rPr>
          <w:rFonts w:ascii="Times New Roman" w:hAnsi="Times New Roman" w:cs="Times New Roman"/>
          <w:sz w:val="24"/>
          <w:szCs w:val="24"/>
        </w:rPr>
      </w:pPr>
    </w:p>
    <w:p w14:paraId="66DB12A3" w14:textId="77777777" w:rsidR="006A043B" w:rsidRPr="006A043B" w:rsidRDefault="006A043B" w:rsidP="006A043B">
      <w:pPr>
        <w:rPr>
          <w:rFonts w:ascii="Times New Roman" w:hAnsi="Times New Roman" w:cs="Times New Roman"/>
          <w:sz w:val="24"/>
          <w:szCs w:val="24"/>
        </w:rPr>
      </w:pPr>
    </w:p>
    <w:p w14:paraId="7017ED98" w14:textId="77777777" w:rsidR="006A043B" w:rsidRPr="006A043B" w:rsidRDefault="006A043B" w:rsidP="006A043B">
      <w:pPr>
        <w:rPr>
          <w:rFonts w:ascii="Times New Roman" w:hAnsi="Times New Roman" w:cs="Times New Roman"/>
          <w:sz w:val="24"/>
          <w:szCs w:val="24"/>
        </w:rPr>
      </w:pPr>
    </w:p>
    <w:p w14:paraId="463A630D" w14:textId="77777777" w:rsidR="006A043B" w:rsidRPr="006A043B" w:rsidRDefault="006A043B" w:rsidP="006A043B">
      <w:pPr>
        <w:rPr>
          <w:rFonts w:ascii="Times New Roman" w:hAnsi="Times New Roman" w:cs="Times New Roman"/>
          <w:sz w:val="24"/>
          <w:szCs w:val="24"/>
        </w:rPr>
      </w:pPr>
    </w:p>
    <w:p w14:paraId="3D15645B" w14:textId="77777777" w:rsidR="006A043B" w:rsidRPr="006A043B" w:rsidRDefault="006A043B" w:rsidP="006A043B">
      <w:pPr>
        <w:rPr>
          <w:rFonts w:ascii="Times New Roman" w:hAnsi="Times New Roman" w:cs="Times New Roman"/>
          <w:sz w:val="24"/>
          <w:szCs w:val="24"/>
        </w:rPr>
      </w:pPr>
    </w:p>
    <w:p w14:paraId="3F79B1DB" w14:textId="77777777" w:rsidR="006A043B" w:rsidRPr="006A043B" w:rsidRDefault="006A043B" w:rsidP="006A043B">
      <w:pPr>
        <w:rPr>
          <w:rFonts w:ascii="Times New Roman" w:hAnsi="Times New Roman" w:cs="Times New Roman"/>
          <w:sz w:val="24"/>
          <w:szCs w:val="24"/>
        </w:rPr>
      </w:pPr>
    </w:p>
    <w:p w14:paraId="7E8ABB84" w14:textId="77777777" w:rsidR="006A043B" w:rsidRPr="006A043B" w:rsidRDefault="006A043B" w:rsidP="006A043B">
      <w:pPr>
        <w:rPr>
          <w:rFonts w:ascii="Times New Roman" w:hAnsi="Times New Roman" w:cs="Times New Roman"/>
          <w:sz w:val="24"/>
          <w:szCs w:val="24"/>
        </w:rPr>
      </w:pPr>
    </w:p>
    <w:p w14:paraId="215677E2" w14:textId="77777777" w:rsidR="006A043B" w:rsidRPr="006A043B" w:rsidRDefault="006A043B" w:rsidP="006A043B">
      <w:pPr>
        <w:rPr>
          <w:rFonts w:ascii="Times New Roman" w:hAnsi="Times New Roman" w:cs="Times New Roman"/>
          <w:sz w:val="24"/>
          <w:szCs w:val="24"/>
        </w:rPr>
      </w:pPr>
    </w:p>
    <w:p w14:paraId="30A577B0" w14:textId="69BD0E18" w:rsidR="006A043B" w:rsidRDefault="006A043B" w:rsidP="006A043B">
      <w:pPr>
        <w:rPr>
          <w:rFonts w:ascii="Times New Roman" w:hAnsi="Times New Roman" w:cs="Times New Roman"/>
          <w:sz w:val="24"/>
          <w:szCs w:val="24"/>
        </w:rPr>
      </w:pPr>
      <w:r>
        <w:rPr>
          <w:noProof/>
        </w:rPr>
        <w:drawing>
          <wp:inline distT="0" distB="0" distL="0" distR="0" wp14:anchorId="017BC221" wp14:editId="26F720D9">
            <wp:extent cx="5943600" cy="2903220"/>
            <wp:effectExtent l="0" t="0" r="0" b="0"/>
            <wp:docPr id="1566422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903220"/>
                    </a:xfrm>
                    <a:prstGeom prst="rect">
                      <a:avLst/>
                    </a:prstGeom>
                    <a:noFill/>
                    <a:ln>
                      <a:noFill/>
                    </a:ln>
                  </pic:spPr>
                </pic:pic>
              </a:graphicData>
            </a:graphic>
          </wp:inline>
        </w:drawing>
      </w:r>
    </w:p>
    <w:p w14:paraId="66BECA35" w14:textId="77777777" w:rsidR="006A043B" w:rsidRDefault="006A043B" w:rsidP="006A043B">
      <w:pPr>
        <w:rPr>
          <w:rFonts w:ascii="Times New Roman" w:hAnsi="Times New Roman" w:cs="Times New Roman"/>
          <w:sz w:val="24"/>
          <w:szCs w:val="24"/>
        </w:rPr>
      </w:pPr>
    </w:p>
    <w:p w14:paraId="69A5F728" w14:textId="77777777" w:rsidR="006A043B" w:rsidRPr="000D7522" w:rsidRDefault="006A043B" w:rsidP="006A043B">
      <w:pPr>
        <w:pStyle w:val="NoSpacing"/>
        <w:jc w:val="both"/>
        <w:rPr>
          <w:rFonts w:ascii="Times New Roman" w:hAnsi="Times New Roman" w:cs="Times New Roman"/>
          <w:sz w:val="24"/>
          <w:szCs w:val="24"/>
        </w:rPr>
      </w:pPr>
      <w:r w:rsidRPr="000D7522">
        <w:rPr>
          <w:rFonts w:ascii="Times New Roman" w:hAnsi="Times New Roman" w:cs="Times New Roman"/>
          <w:sz w:val="24"/>
          <w:szCs w:val="24"/>
        </w:rPr>
        <w:t xml:space="preserve">Figure: 1 </w:t>
      </w:r>
      <w:r w:rsidRPr="00392EBD">
        <w:rPr>
          <w:rFonts w:ascii="Times New Roman" w:hAnsi="Times New Roman" w:cs="Times New Roman"/>
          <w:sz w:val="24"/>
          <w:szCs w:val="24"/>
        </w:rPr>
        <w:t xml:space="preserve">Serially </w:t>
      </w:r>
      <w:proofErr w:type="gramStart"/>
      <w:r w:rsidRPr="00392EBD">
        <w:rPr>
          <w:rFonts w:ascii="Times New Roman" w:hAnsi="Times New Roman" w:cs="Times New Roman"/>
          <w:sz w:val="24"/>
          <w:szCs w:val="24"/>
        </w:rPr>
        <w:t>diluted  antibiotic</w:t>
      </w:r>
      <w:proofErr w:type="gramEnd"/>
      <w:r w:rsidRPr="00392EBD">
        <w:rPr>
          <w:rFonts w:ascii="Times New Roman" w:hAnsi="Times New Roman" w:cs="Times New Roman"/>
          <w:sz w:val="24"/>
          <w:szCs w:val="24"/>
        </w:rPr>
        <w:t xml:space="preserve"> in the 96-MTP and exposed to EBI</w:t>
      </w:r>
    </w:p>
    <w:p w14:paraId="1F07B637" w14:textId="77777777" w:rsidR="006A043B" w:rsidRDefault="006A043B" w:rsidP="006A043B">
      <w:pPr>
        <w:pStyle w:val="NoSpacing"/>
        <w:jc w:val="both"/>
        <w:rPr>
          <w:rFonts w:ascii="Times New Roman" w:hAnsi="Times New Roman" w:cs="Times New Roman"/>
          <w:sz w:val="24"/>
          <w:szCs w:val="24"/>
        </w:rPr>
      </w:pPr>
      <w:r w:rsidRPr="000D7522">
        <w:rPr>
          <w:rFonts w:ascii="Times New Roman" w:hAnsi="Times New Roman" w:cs="Times New Roman"/>
          <w:sz w:val="24"/>
          <w:szCs w:val="24"/>
        </w:rPr>
        <w:t xml:space="preserve">Oxy-tetracycline </w:t>
      </w:r>
      <w:r>
        <w:rPr>
          <w:rFonts w:ascii="Times New Roman" w:hAnsi="Times New Roman" w:cs="Times New Roman"/>
          <w:sz w:val="24"/>
          <w:szCs w:val="24"/>
        </w:rPr>
        <w:t xml:space="preserve">was </w:t>
      </w:r>
      <w:r w:rsidRPr="000D7522">
        <w:rPr>
          <w:rFonts w:ascii="Times New Roman" w:hAnsi="Times New Roman" w:cs="Times New Roman"/>
          <w:sz w:val="24"/>
          <w:szCs w:val="24"/>
        </w:rPr>
        <w:t>serially diluted in the 96-MTP</w:t>
      </w:r>
      <w:r>
        <w:rPr>
          <w:rFonts w:ascii="Times New Roman" w:hAnsi="Times New Roman" w:cs="Times New Roman"/>
          <w:sz w:val="24"/>
          <w:szCs w:val="24"/>
        </w:rPr>
        <w:t>,</w:t>
      </w:r>
      <w:r w:rsidRPr="000D7522">
        <w:rPr>
          <w:rFonts w:ascii="Times New Roman" w:hAnsi="Times New Roman" w:cs="Times New Roman"/>
          <w:sz w:val="24"/>
          <w:szCs w:val="24"/>
        </w:rPr>
        <w:t xml:space="preserve"> and it was exposed to the 10, 20, 30 and 40kGy</w:t>
      </w:r>
    </w:p>
    <w:p w14:paraId="4613335B" w14:textId="77777777" w:rsidR="006A043B" w:rsidRDefault="006A043B" w:rsidP="006A043B">
      <w:pPr>
        <w:rPr>
          <w:rFonts w:ascii="Times New Roman" w:hAnsi="Times New Roman" w:cs="Times New Roman"/>
          <w:sz w:val="24"/>
          <w:szCs w:val="24"/>
        </w:rPr>
      </w:pPr>
    </w:p>
    <w:p w14:paraId="102E957A" w14:textId="77777777" w:rsidR="006A043B" w:rsidRDefault="006A043B" w:rsidP="006A043B">
      <w:pPr>
        <w:rPr>
          <w:rFonts w:ascii="Times New Roman" w:hAnsi="Times New Roman" w:cs="Times New Roman"/>
          <w:sz w:val="24"/>
          <w:szCs w:val="24"/>
        </w:rPr>
      </w:pPr>
    </w:p>
    <w:p w14:paraId="540E7B17" w14:textId="6ACEDD55" w:rsidR="006A043B" w:rsidRDefault="006A043B" w:rsidP="006A043B">
      <w:pPr>
        <w:rPr>
          <w:rFonts w:ascii="Times New Roman" w:hAnsi="Times New Roman" w:cs="Times New Roman"/>
          <w:sz w:val="24"/>
          <w:szCs w:val="24"/>
        </w:rPr>
      </w:pPr>
      <w:r>
        <w:rPr>
          <w:noProof/>
        </w:rPr>
        <w:lastRenderedPageBreak/>
        <w:drawing>
          <wp:inline distT="0" distB="0" distL="0" distR="0" wp14:anchorId="56818048" wp14:editId="1A5C5940">
            <wp:extent cx="5943600" cy="2966085"/>
            <wp:effectExtent l="0" t="0" r="0" b="5715"/>
            <wp:docPr id="6599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66085"/>
                    </a:xfrm>
                    <a:prstGeom prst="rect">
                      <a:avLst/>
                    </a:prstGeom>
                    <a:noFill/>
                    <a:ln>
                      <a:noFill/>
                    </a:ln>
                  </pic:spPr>
                </pic:pic>
              </a:graphicData>
            </a:graphic>
          </wp:inline>
        </w:drawing>
      </w:r>
    </w:p>
    <w:p w14:paraId="3AF86728" w14:textId="77777777" w:rsidR="006A043B" w:rsidRDefault="006A043B" w:rsidP="006A043B">
      <w:pPr>
        <w:rPr>
          <w:rFonts w:ascii="Times New Roman" w:hAnsi="Times New Roman" w:cs="Times New Roman"/>
          <w:sz w:val="24"/>
          <w:szCs w:val="24"/>
        </w:rPr>
      </w:pPr>
    </w:p>
    <w:p w14:paraId="3CC11334" w14:textId="77777777" w:rsidR="006A043B" w:rsidRPr="000D7522" w:rsidRDefault="006A043B" w:rsidP="006A043B">
      <w:pPr>
        <w:pStyle w:val="NoSpacing"/>
        <w:jc w:val="both"/>
        <w:rPr>
          <w:rFonts w:ascii="Times New Roman" w:hAnsi="Times New Roman" w:cs="Times New Roman"/>
          <w:sz w:val="24"/>
          <w:szCs w:val="24"/>
        </w:rPr>
      </w:pPr>
      <w:r w:rsidRPr="000D7522">
        <w:rPr>
          <w:rFonts w:ascii="Times New Roman" w:hAnsi="Times New Roman" w:cs="Times New Roman"/>
          <w:sz w:val="24"/>
          <w:szCs w:val="24"/>
        </w:rPr>
        <w:t>Figure: 2 Increase in the zone of inhibition after the EBI- Chloramphenicol in the agar-well-diffusion-assay</w:t>
      </w:r>
    </w:p>
    <w:p w14:paraId="560A8D4D" w14:textId="65A5AE74" w:rsidR="006A043B" w:rsidRPr="000D7522" w:rsidRDefault="006A043B" w:rsidP="006A043B">
      <w:pPr>
        <w:pStyle w:val="NoSpacing"/>
        <w:jc w:val="both"/>
        <w:rPr>
          <w:rFonts w:ascii="Times New Roman" w:hAnsi="Times New Roman" w:cs="Times New Roman"/>
          <w:sz w:val="24"/>
          <w:szCs w:val="24"/>
        </w:rPr>
      </w:pPr>
      <w:r w:rsidRPr="000D7522">
        <w:rPr>
          <w:rFonts w:ascii="Times New Roman" w:hAnsi="Times New Roman" w:cs="Times New Roman"/>
          <w:sz w:val="24"/>
          <w:szCs w:val="24"/>
        </w:rPr>
        <w:t xml:space="preserve">The Chloramphenicol was degraded due </w:t>
      </w:r>
      <w:r>
        <w:rPr>
          <w:rFonts w:ascii="Times New Roman" w:hAnsi="Times New Roman" w:cs="Times New Roman"/>
          <w:sz w:val="24"/>
          <w:szCs w:val="24"/>
        </w:rPr>
        <w:t xml:space="preserve">to </w:t>
      </w:r>
      <w:r w:rsidRPr="000D7522">
        <w:rPr>
          <w:rFonts w:ascii="Times New Roman" w:hAnsi="Times New Roman" w:cs="Times New Roman"/>
          <w:sz w:val="24"/>
          <w:szCs w:val="24"/>
        </w:rPr>
        <w:t>the EBI, which was evidence</w:t>
      </w:r>
      <w:r>
        <w:rPr>
          <w:rFonts w:ascii="Times New Roman" w:hAnsi="Times New Roman" w:cs="Times New Roman"/>
          <w:sz w:val="24"/>
          <w:szCs w:val="24"/>
        </w:rPr>
        <w:t>d</w:t>
      </w:r>
      <w:r w:rsidRPr="000D7522">
        <w:rPr>
          <w:rFonts w:ascii="Times New Roman" w:hAnsi="Times New Roman" w:cs="Times New Roman"/>
          <w:sz w:val="24"/>
          <w:szCs w:val="24"/>
        </w:rPr>
        <w:t xml:space="preserve"> in the </w:t>
      </w:r>
      <w:r w:rsidR="00283F55">
        <w:rPr>
          <w:rFonts w:ascii="Times New Roman" w:hAnsi="Times New Roman" w:cs="Times New Roman"/>
          <w:sz w:val="24"/>
          <w:szCs w:val="24"/>
        </w:rPr>
        <w:t>decrease</w:t>
      </w:r>
      <w:r w:rsidR="00283F55" w:rsidRPr="000D7522">
        <w:rPr>
          <w:rFonts w:ascii="Times New Roman" w:hAnsi="Times New Roman" w:cs="Times New Roman"/>
          <w:sz w:val="24"/>
          <w:szCs w:val="24"/>
        </w:rPr>
        <w:t xml:space="preserve"> </w:t>
      </w:r>
      <w:r w:rsidRPr="000D7522">
        <w:rPr>
          <w:rFonts w:ascii="Times New Roman" w:hAnsi="Times New Roman" w:cs="Times New Roman"/>
          <w:sz w:val="24"/>
          <w:szCs w:val="24"/>
        </w:rPr>
        <w:t xml:space="preserve">in the zone size of the 2.0 EBI plates compared to </w:t>
      </w:r>
      <w:r>
        <w:rPr>
          <w:rFonts w:ascii="Times New Roman" w:hAnsi="Times New Roman" w:cs="Times New Roman"/>
          <w:sz w:val="24"/>
          <w:szCs w:val="24"/>
        </w:rPr>
        <w:t xml:space="preserve">the </w:t>
      </w:r>
      <w:r w:rsidRPr="000D7522">
        <w:rPr>
          <w:rFonts w:ascii="Times New Roman" w:hAnsi="Times New Roman" w:cs="Times New Roman"/>
          <w:sz w:val="24"/>
          <w:szCs w:val="24"/>
        </w:rPr>
        <w:t>unexposed control</w:t>
      </w:r>
      <w:r>
        <w:rPr>
          <w:rFonts w:ascii="Times New Roman" w:hAnsi="Times New Roman" w:cs="Times New Roman"/>
          <w:sz w:val="24"/>
          <w:szCs w:val="24"/>
        </w:rPr>
        <w:t>.</w:t>
      </w:r>
    </w:p>
    <w:p w14:paraId="4409885C" w14:textId="77777777" w:rsidR="006A043B" w:rsidRDefault="006A043B" w:rsidP="006A043B">
      <w:pPr>
        <w:rPr>
          <w:rFonts w:ascii="Times New Roman" w:hAnsi="Times New Roman" w:cs="Times New Roman"/>
          <w:sz w:val="24"/>
          <w:szCs w:val="24"/>
        </w:rPr>
      </w:pPr>
    </w:p>
    <w:p w14:paraId="607D4D70" w14:textId="017B1DDE" w:rsidR="006A043B" w:rsidRDefault="006A043B" w:rsidP="006A043B">
      <w:pPr>
        <w:rPr>
          <w:rFonts w:ascii="Times New Roman" w:hAnsi="Times New Roman" w:cs="Times New Roman"/>
          <w:sz w:val="24"/>
          <w:szCs w:val="24"/>
        </w:rPr>
      </w:pPr>
      <w:r>
        <w:rPr>
          <w:noProof/>
        </w:rPr>
        <w:drawing>
          <wp:inline distT="0" distB="0" distL="0" distR="0" wp14:anchorId="0280B566" wp14:editId="69A9D1CE">
            <wp:extent cx="5943600" cy="2371725"/>
            <wp:effectExtent l="0" t="0" r="0" b="9525"/>
            <wp:docPr id="841245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371725"/>
                    </a:xfrm>
                    <a:prstGeom prst="rect">
                      <a:avLst/>
                    </a:prstGeom>
                    <a:noFill/>
                    <a:ln>
                      <a:noFill/>
                    </a:ln>
                  </pic:spPr>
                </pic:pic>
              </a:graphicData>
            </a:graphic>
          </wp:inline>
        </w:drawing>
      </w:r>
    </w:p>
    <w:p w14:paraId="660786F5" w14:textId="77777777" w:rsidR="006A043B" w:rsidRPr="000D7522" w:rsidRDefault="006A043B" w:rsidP="006A043B">
      <w:pPr>
        <w:pStyle w:val="NoSpacing"/>
        <w:jc w:val="both"/>
        <w:rPr>
          <w:rFonts w:ascii="Times New Roman" w:hAnsi="Times New Roman" w:cs="Times New Roman"/>
          <w:sz w:val="24"/>
          <w:szCs w:val="24"/>
        </w:rPr>
      </w:pPr>
      <w:r w:rsidRPr="000D7522">
        <w:rPr>
          <w:rFonts w:ascii="Times New Roman" w:hAnsi="Times New Roman" w:cs="Times New Roman"/>
          <w:sz w:val="24"/>
          <w:szCs w:val="24"/>
        </w:rPr>
        <w:t>Figure: 3 Increase in the zone of inhibition after the EBI- Chloramphenicol in the agar-well-diffusion-assay</w:t>
      </w:r>
    </w:p>
    <w:p w14:paraId="49D141EA" w14:textId="77777777" w:rsidR="006A043B" w:rsidRDefault="006A043B" w:rsidP="006A043B">
      <w:pPr>
        <w:pStyle w:val="NoSpacing"/>
        <w:jc w:val="both"/>
        <w:rPr>
          <w:rFonts w:ascii="Times New Roman" w:hAnsi="Times New Roman" w:cs="Times New Roman"/>
          <w:sz w:val="24"/>
          <w:szCs w:val="24"/>
        </w:rPr>
      </w:pPr>
      <w:r w:rsidRPr="000D7522">
        <w:rPr>
          <w:rFonts w:ascii="Times New Roman" w:hAnsi="Times New Roman" w:cs="Times New Roman"/>
          <w:sz w:val="24"/>
          <w:szCs w:val="24"/>
        </w:rPr>
        <w:t>The Chloramphenicol was degraded due to 40 kGy EBI exposure showing much increase in the zone size of inhibition compared to the 2.5 kGy EBI exposure plates</w:t>
      </w:r>
      <w:r>
        <w:rPr>
          <w:rFonts w:ascii="Times New Roman" w:hAnsi="Times New Roman" w:cs="Times New Roman"/>
          <w:sz w:val="24"/>
          <w:szCs w:val="24"/>
        </w:rPr>
        <w:t>.</w:t>
      </w:r>
    </w:p>
    <w:p w14:paraId="254BBFBD" w14:textId="77777777" w:rsidR="006A043B" w:rsidRDefault="006A043B" w:rsidP="006A043B">
      <w:pPr>
        <w:rPr>
          <w:rFonts w:ascii="Times New Roman" w:hAnsi="Times New Roman" w:cs="Times New Roman"/>
          <w:sz w:val="24"/>
          <w:szCs w:val="24"/>
        </w:rPr>
      </w:pPr>
    </w:p>
    <w:p w14:paraId="53B41D97" w14:textId="5BD055A6" w:rsidR="006A043B" w:rsidRDefault="006A043B" w:rsidP="006A043B">
      <w:pPr>
        <w:rPr>
          <w:rFonts w:ascii="Times New Roman" w:hAnsi="Times New Roman" w:cs="Times New Roman"/>
          <w:sz w:val="24"/>
          <w:szCs w:val="24"/>
        </w:rPr>
      </w:pPr>
      <w:r>
        <w:rPr>
          <w:noProof/>
        </w:rPr>
        <w:lastRenderedPageBreak/>
        <w:drawing>
          <wp:inline distT="0" distB="0" distL="0" distR="0" wp14:anchorId="6390A5B4" wp14:editId="05F74ECD">
            <wp:extent cx="5943600" cy="1188720"/>
            <wp:effectExtent l="0" t="0" r="0" b="0"/>
            <wp:docPr id="20071884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188720"/>
                    </a:xfrm>
                    <a:prstGeom prst="rect">
                      <a:avLst/>
                    </a:prstGeom>
                    <a:noFill/>
                    <a:ln>
                      <a:noFill/>
                    </a:ln>
                  </pic:spPr>
                </pic:pic>
              </a:graphicData>
            </a:graphic>
          </wp:inline>
        </w:drawing>
      </w:r>
    </w:p>
    <w:p w14:paraId="4745211F" w14:textId="77777777" w:rsidR="006A043B" w:rsidRPr="000D7522" w:rsidRDefault="006A043B" w:rsidP="006A043B">
      <w:pPr>
        <w:pStyle w:val="NoSpacing"/>
        <w:jc w:val="both"/>
        <w:rPr>
          <w:rFonts w:ascii="Times New Roman" w:hAnsi="Times New Roman" w:cs="Times New Roman"/>
          <w:sz w:val="24"/>
          <w:szCs w:val="24"/>
        </w:rPr>
      </w:pPr>
      <w:r w:rsidRPr="000D7522">
        <w:rPr>
          <w:rFonts w:ascii="Times New Roman" w:hAnsi="Times New Roman" w:cs="Times New Roman"/>
          <w:sz w:val="24"/>
          <w:szCs w:val="24"/>
        </w:rPr>
        <w:t>Figure: 4 Increase in the zone of inhibition after the EBI exposure to Oxy-</w:t>
      </w:r>
      <w:proofErr w:type="gramStart"/>
      <w:r w:rsidRPr="000D7522">
        <w:rPr>
          <w:rFonts w:ascii="Times New Roman" w:hAnsi="Times New Roman" w:cs="Times New Roman"/>
          <w:sz w:val="24"/>
          <w:szCs w:val="24"/>
        </w:rPr>
        <w:t>Tetracycline  in</w:t>
      </w:r>
      <w:proofErr w:type="gramEnd"/>
      <w:r w:rsidRPr="000D7522">
        <w:rPr>
          <w:rFonts w:ascii="Times New Roman" w:hAnsi="Times New Roman" w:cs="Times New Roman"/>
          <w:sz w:val="24"/>
          <w:szCs w:val="24"/>
        </w:rPr>
        <w:t xml:space="preserve"> the well-diffusion-assay</w:t>
      </w:r>
    </w:p>
    <w:p w14:paraId="421472A9" w14:textId="77777777" w:rsidR="006A043B" w:rsidRPr="000D7522" w:rsidRDefault="006A043B" w:rsidP="006A043B">
      <w:pPr>
        <w:pStyle w:val="NoSpacing"/>
        <w:jc w:val="both"/>
        <w:rPr>
          <w:rFonts w:ascii="Times New Roman" w:hAnsi="Times New Roman" w:cs="Times New Roman"/>
          <w:sz w:val="24"/>
          <w:szCs w:val="24"/>
        </w:rPr>
      </w:pPr>
      <w:r w:rsidRPr="000D7522">
        <w:rPr>
          <w:rFonts w:ascii="Times New Roman" w:hAnsi="Times New Roman" w:cs="Times New Roman"/>
          <w:sz w:val="24"/>
          <w:szCs w:val="24"/>
        </w:rPr>
        <w:t>The Oxy-Tetracycline was degraded due to 40 kGy EBI exposure showing much increase in the zone size of inhibition in the agar-well-diffusion-assay compared to Unirradiated control plates</w:t>
      </w:r>
      <w:r>
        <w:rPr>
          <w:rFonts w:ascii="Times New Roman" w:hAnsi="Times New Roman" w:cs="Times New Roman"/>
          <w:sz w:val="24"/>
          <w:szCs w:val="24"/>
        </w:rPr>
        <w:t>.</w:t>
      </w:r>
      <w:r w:rsidRPr="000D7522">
        <w:rPr>
          <w:rFonts w:ascii="Times New Roman" w:hAnsi="Times New Roman" w:cs="Times New Roman"/>
          <w:sz w:val="24"/>
          <w:szCs w:val="24"/>
        </w:rPr>
        <w:t xml:space="preserve"> </w:t>
      </w:r>
    </w:p>
    <w:p w14:paraId="257F936A" w14:textId="77777777" w:rsidR="006A043B" w:rsidRPr="000D7522" w:rsidRDefault="006A043B" w:rsidP="006A043B">
      <w:pPr>
        <w:pStyle w:val="NoSpacing"/>
        <w:jc w:val="both"/>
        <w:rPr>
          <w:rFonts w:ascii="Times New Roman" w:hAnsi="Times New Roman" w:cs="Times New Roman"/>
          <w:sz w:val="24"/>
          <w:szCs w:val="24"/>
        </w:rPr>
      </w:pPr>
    </w:p>
    <w:p w14:paraId="6CBA6F1A" w14:textId="77777777" w:rsidR="006A043B" w:rsidRDefault="006A043B" w:rsidP="006A043B">
      <w:pPr>
        <w:rPr>
          <w:rFonts w:ascii="Times New Roman" w:hAnsi="Times New Roman" w:cs="Times New Roman"/>
          <w:sz w:val="24"/>
          <w:szCs w:val="24"/>
        </w:rPr>
      </w:pPr>
    </w:p>
    <w:p w14:paraId="489EC8D7" w14:textId="5329B1FC" w:rsidR="006A043B" w:rsidRDefault="006A043B" w:rsidP="006A043B">
      <w:pPr>
        <w:rPr>
          <w:rFonts w:ascii="Times New Roman" w:hAnsi="Times New Roman" w:cs="Times New Roman"/>
          <w:sz w:val="24"/>
          <w:szCs w:val="24"/>
        </w:rPr>
      </w:pPr>
      <w:r>
        <w:rPr>
          <w:noProof/>
        </w:rPr>
        <w:lastRenderedPageBreak/>
        <w:drawing>
          <wp:inline distT="0" distB="0" distL="0" distR="0" wp14:anchorId="029427E4" wp14:editId="672E578D">
            <wp:extent cx="5943600" cy="5723890"/>
            <wp:effectExtent l="0" t="0" r="0" b="0"/>
            <wp:docPr id="1070599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723890"/>
                    </a:xfrm>
                    <a:prstGeom prst="rect">
                      <a:avLst/>
                    </a:prstGeom>
                    <a:noFill/>
                    <a:ln>
                      <a:noFill/>
                    </a:ln>
                  </pic:spPr>
                </pic:pic>
              </a:graphicData>
            </a:graphic>
          </wp:inline>
        </w:drawing>
      </w:r>
    </w:p>
    <w:p w14:paraId="3A7EDAA7" w14:textId="77777777" w:rsidR="006A043B" w:rsidRPr="000D7522" w:rsidRDefault="006A043B" w:rsidP="006A043B">
      <w:pPr>
        <w:pStyle w:val="NoSpacing"/>
        <w:jc w:val="both"/>
        <w:rPr>
          <w:rFonts w:ascii="Times New Roman" w:hAnsi="Times New Roman" w:cs="Times New Roman"/>
          <w:sz w:val="24"/>
          <w:szCs w:val="24"/>
        </w:rPr>
      </w:pPr>
      <w:bookmarkStart w:id="8" w:name="_Hlk199506089"/>
      <w:r w:rsidRPr="000D7522">
        <w:rPr>
          <w:rFonts w:ascii="Times New Roman" w:hAnsi="Times New Roman" w:cs="Times New Roman"/>
          <w:sz w:val="24"/>
          <w:szCs w:val="24"/>
        </w:rPr>
        <w:t>Figure: 5</w:t>
      </w:r>
    </w:p>
    <w:p w14:paraId="2F970FE3" w14:textId="77777777" w:rsidR="006A043B" w:rsidRPr="000D7522" w:rsidRDefault="006A043B" w:rsidP="006A043B">
      <w:pPr>
        <w:pStyle w:val="NoSpacing"/>
        <w:jc w:val="both"/>
        <w:rPr>
          <w:rFonts w:ascii="Times New Roman" w:hAnsi="Times New Roman" w:cs="Times New Roman"/>
          <w:sz w:val="24"/>
          <w:szCs w:val="24"/>
        </w:rPr>
      </w:pPr>
      <w:r w:rsidRPr="000D7522">
        <w:rPr>
          <w:rFonts w:ascii="Times New Roman" w:hAnsi="Times New Roman" w:cs="Times New Roman"/>
          <w:sz w:val="24"/>
          <w:szCs w:val="24"/>
        </w:rPr>
        <w:t>Reduction in the zone of Inhibition in 2.0 kGy EBI treated antibiotic discs (Gram Positive)</w:t>
      </w:r>
    </w:p>
    <w:bookmarkEnd w:id="8"/>
    <w:p w14:paraId="53BDFC24" w14:textId="4AE178EF" w:rsidR="006A043B" w:rsidRDefault="006A043B" w:rsidP="006A043B">
      <w:pPr>
        <w:rPr>
          <w:rFonts w:ascii="Times New Roman" w:hAnsi="Times New Roman" w:cs="Times New Roman"/>
          <w:sz w:val="24"/>
          <w:szCs w:val="24"/>
        </w:rPr>
      </w:pPr>
      <w:r>
        <w:rPr>
          <w:noProof/>
        </w:rPr>
        <w:lastRenderedPageBreak/>
        <w:drawing>
          <wp:inline distT="0" distB="0" distL="0" distR="0" wp14:anchorId="5D7108DF" wp14:editId="24D1252A">
            <wp:extent cx="5943600" cy="5581015"/>
            <wp:effectExtent l="0" t="0" r="0" b="635"/>
            <wp:docPr id="13760632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581015"/>
                    </a:xfrm>
                    <a:prstGeom prst="rect">
                      <a:avLst/>
                    </a:prstGeom>
                    <a:noFill/>
                    <a:ln>
                      <a:noFill/>
                    </a:ln>
                  </pic:spPr>
                </pic:pic>
              </a:graphicData>
            </a:graphic>
          </wp:inline>
        </w:drawing>
      </w:r>
    </w:p>
    <w:p w14:paraId="66FF7E5C" w14:textId="77777777" w:rsidR="006A043B" w:rsidRPr="000D7522" w:rsidRDefault="006A043B" w:rsidP="006A043B">
      <w:pPr>
        <w:pStyle w:val="NoSpacing"/>
        <w:jc w:val="both"/>
        <w:rPr>
          <w:rFonts w:ascii="Times New Roman" w:hAnsi="Times New Roman" w:cs="Times New Roman"/>
          <w:sz w:val="24"/>
          <w:szCs w:val="24"/>
        </w:rPr>
      </w:pPr>
      <w:bookmarkStart w:id="9" w:name="_Hlk199506153"/>
      <w:r w:rsidRPr="000D7522">
        <w:rPr>
          <w:rFonts w:ascii="Times New Roman" w:hAnsi="Times New Roman" w:cs="Times New Roman"/>
          <w:sz w:val="24"/>
          <w:szCs w:val="24"/>
        </w:rPr>
        <w:t>Figure: 6</w:t>
      </w:r>
    </w:p>
    <w:p w14:paraId="729F89DA" w14:textId="77777777" w:rsidR="006A043B" w:rsidRPr="000D7522" w:rsidRDefault="006A043B" w:rsidP="006A043B">
      <w:pPr>
        <w:pStyle w:val="NoSpacing"/>
        <w:jc w:val="both"/>
        <w:rPr>
          <w:rFonts w:ascii="Times New Roman" w:hAnsi="Times New Roman" w:cs="Times New Roman"/>
          <w:sz w:val="24"/>
          <w:szCs w:val="24"/>
        </w:rPr>
      </w:pPr>
      <w:r w:rsidRPr="000D7522">
        <w:rPr>
          <w:rFonts w:ascii="Times New Roman" w:hAnsi="Times New Roman" w:cs="Times New Roman"/>
          <w:sz w:val="24"/>
          <w:szCs w:val="24"/>
        </w:rPr>
        <w:t>Reduction in the zone of Inhibition in 2.0 kGy EBI treated antibiotic discs</w:t>
      </w:r>
      <w:r>
        <w:rPr>
          <w:rFonts w:ascii="Times New Roman" w:hAnsi="Times New Roman" w:cs="Times New Roman"/>
          <w:sz w:val="24"/>
          <w:szCs w:val="24"/>
        </w:rPr>
        <w:t xml:space="preserve"> </w:t>
      </w:r>
      <w:r w:rsidRPr="000D7522">
        <w:rPr>
          <w:rFonts w:ascii="Times New Roman" w:hAnsi="Times New Roman" w:cs="Times New Roman"/>
          <w:sz w:val="24"/>
          <w:szCs w:val="24"/>
        </w:rPr>
        <w:t>(Gram Negative)</w:t>
      </w:r>
    </w:p>
    <w:bookmarkEnd w:id="9"/>
    <w:p w14:paraId="1843401E" w14:textId="77777777" w:rsidR="006A043B" w:rsidRPr="006A043B" w:rsidRDefault="006A043B" w:rsidP="006A043B">
      <w:pPr>
        <w:rPr>
          <w:rFonts w:ascii="Times New Roman" w:hAnsi="Times New Roman" w:cs="Times New Roman"/>
          <w:sz w:val="24"/>
          <w:szCs w:val="24"/>
        </w:rPr>
      </w:pPr>
    </w:p>
    <w:sectPr w:rsidR="006A043B" w:rsidRPr="006A043B" w:rsidSect="006A043B">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160D3" w14:textId="77777777" w:rsidR="002538C5" w:rsidRDefault="002538C5" w:rsidP="0041366F">
      <w:pPr>
        <w:spacing w:after="0" w:line="240" w:lineRule="auto"/>
      </w:pPr>
      <w:r>
        <w:separator/>
      </w:r>
    </w:p>
  </w:endnote>
  <w:endnote w:type="continuationSeparator" w:id="0">
    <w:p w14:paraId="12338A1D" w14:textId="77777777" w:rsidR="002538C5" w:rsidRDefault="002538C5" w:rsidP="00413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26743" w14:textId="77777777" w:rsidR="00D02586" w:rsidRDefault="00D025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C90E2" w14:textId="77777777" w:rsidR="00D02586" w:rsidRDefault="00D025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86A22" w14:textId="77777777" w:rsidR="00D02586" w:rsidRDefault="00D025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078CE2" w14:textId="77777777" w:rsidR="002538C5" w:rsidRDefault="002538C5" w:rsidP="0041366F">
      <w:pPr>
        <w:spacing w:after="0" w:line="240" w:lineRule="auto"/>
      </w:pPr>
      <w:r>
        <w:separator/>
      </w:r>
    </w:p>
  </w:footnote>
  <w:footnote w:type="continuationSeparator" w:id="0">
    <w:p w14:paraId="39405A5D" w14:textId="77777777" w:rsidR="002538C5" w:rsidRDefault="002538C5" w:rsidP="00413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63187" w14:textId="5CEE7E3B" w:rsidR="00D02586" w:rsidRDefault="002538C5">
    <w:pPr>
      <w:pStyle w:val="Header"/>
    </w:pPr>
    <w:r>
      <w:rPr>
        <w:noProof/>
      </w:rPr>
      <w:pict w14:anchorId="371287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054893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72123" w14:textId="5D4BE101" w:rsidR="00D02586" w:rsidRDefault="002538C5">
    <w:pPr>
      <w:pStyle w:val="Header"/>
    </w:pPr>
    <w:r>
      <w:rPr>
        <w:noProof/>
      </w:rPr>
      <w:pict w14:anchorId="066EA2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054893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EA7EA" w14:textId="1CBA2EBF" w:rsidR="00D02586" w:rsidRDefault="002538C5">
    <w:pPr>
      <w:pStyle w:val="Header"/>
    </w:pPr>
    <w:r>
      <w:rPr>
        <w:noProof/>
      </w:rPr>
      <w:pict w14:anchorId="316221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054893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9D65D5"/>
    <w:multiLevelType w:val="multilevel"/>
    <w:tmpl w:val="E5DA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487FC2"/>
    <w:multiLevelType w:val="hybridMultilevel"/>
    <w:tmpl w:val="661E00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9B3012B"/>
    <w:multiLevelType w:val="hybridMultilevel"/>
    <w:tmpl w:val="F454C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E45D4A"/>
    <w:multiLevelType w:val="hybridMultilevel"/>
    <w:tmpl w:val="045241B2"/>
    <w:lvl w:ilvl="0" w:tplc="038C5180">
      <w:start w:val="1"/>
      <w:numFmt w:val="decimal"/>
      <w:lvlText w:val="%1."/>
      <w:lvlJc w:val="left"/>
      <w:pPr>
        <w:ind w:left="720" w:hanging="360"/>
      </w:pPr>
    </w:lvl>
    <w:lvl w:ilvl="1" w:tplc="F8C44054" w:tentative="1">
      <w:start w:val="1"/>
      <w:numFmt w:val="lowerLetter"/>
      <w:lvlText w:val="%2."/>
      <w:lvlJc w:val="left"/>
      <w:pPr>
        <w:ind w:left="1440" w:hanging="360"/>
      </w:pPr>
    </w:lvl>
    <w:lvl w:ilvl="2" w:tplc="44AE3E38" w:tentative="1">
      <w:start w:val="1"/>
      <w:numFmt w:val="lowerRoman"/>
      <w:lvlText w:val="%3."/>
      <w:lvlJc w:val="right"/>
      <w:pPr>
        <w:ind w:left="2160" w:hanging="180"/>
      </w:pPr>
    </w:lvl>
    <w:lvl w:ilvl="3" w:tplc="66483C1C" w:tentative="1">
      <w:start w:val="1"/>
      <w:numFmt w:val="decimal"/>
      <w:lvlText w:val="%4."/>
      <w:lvlJc w:val="left"/>
      <w:pPr>
        <w:ind w:left="2880" w:hanging="360"/>
      </w:pPr>
    </w:lvl>
    <w:lvl w:ilvl="4" w:tplc="8D34699E" w:tentative="1">
      <w:start w:val="1"/>
      <w:numFmt w:val="lowerLetter"/>
      <w:lvlText w:val="%5."/>
      <w:lvlJc w:val="left"/>
      <w:pPr>
        <w:ind w:left="3600" w:hanging="360"/>
      </w:pPr>
    </w:lvl>
    <w:lvl w:ilvl="5" w:tplc="31AE47B8" w:tentative="1">
      <w:start w:val="1"/>
      <w:numFmt w:val="lowerRoman"/>
      <w:lvlText w:val="%6."/>
      <w:lvlJc w:val="right"/>
      <w:pPr>
        <w:ind w:left="4320" w:hanging="180"/>
      </w:pPr>
    </w:lvl>
    <w:lvl w:ilvl="6" w:tplc="BC9C262E" w:tentative="1">
      <w:start w:val="1"/>
      <w:numFmt w:val="decimal"/>
      <w:lvlText w:val="%7."/>
      <w:lvlJc w:val="left"/>
      <w:pPr>
        <w:ind w:left="5040" w:hanging="360"/>
      </w:pPr>
    </w:lvl>
    <w:lvl w:ilvl="7" w:tplc="257C6162" w:tentative="1">
      <w:start w:val="1"/>
      <w:numFmt w:val="lowerLetter"/>
      <w:lvlText w:val="%8."/>
      <w:lvlJc w:val="left"/>
      <w:pPr>
        <w:ind w:left="5760" w:hanging="360"/>
      </w:pPr>
    </w:lvl>
    <w:lvl w:ilvl="8" w:tplc="6B3E9A1A" w:tentative="1">
      <w:start w:val="1"/>
      <w:numFmt w:val="lowerRoman"/>
      <w:lvlText w:val="%9."/>
      <w:lvlJc w:val="right"/>
      <w:pPr>
        <w:ind w:left="6480" w:hanging="180"/>
      </w:pPr>
    </w:lvl>
  </w:abstractNum>
  <w:abstractNum w:abstractNumId="4" w15:restartNumberingAfterBreak="0">
    <w:nsid w:val="33643D63"/>
    <w:multiLevelType w:val="hybridMultilevel"/>
    <w:tmpl w:val="4CA47EA0"/>
    <w:lvl w:ilvl="0" w:tplc="4AFE4D0A">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3E83D9E"/>
    <w:multiLevelType w:val="multilevel"/>
    <w:tmpl w:val="202ED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8F4BCE"/>
    <w:multiLevelType w:val="multilevel"/>
    <w:tmpl w:val="ADCE2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692799"/>
    <w:multiLevelType w:val="multilevel"/>
    <w:tmpl w:val="83D61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6E2DF0"/>
    <w:multiLevelType w:val="hybridMultilevel"/>
    <w:tmpl w:val="045241B2"/>
    <w:lvl w:ilvl="0" w:tplc="479A57EE">
      <w:start w:val="1"/>
      <w:numFmt w:val="decimal"/>
      <w:lvlText w:val="%1."/>
      <w:lvlJc w:val="left"/>
      <w:pPr>
        <w:ind w:left="720" w:hanging="360"/>
      </w:pPr>
    </w:lvl>
    <w:lvl w:ilvl="1" w:tplc="976CB2A6" w:tentative="1">
      <w:start w:val="1"/>
      <w:numFmt w:val="lowerLetter"/>
      <w:lvlText w:val="%2."/>
      <w:lvlJc w:val="left"/>
      <w:pPr>
        <w:ind w:left="1440" w:hanging="360"/>
      </w:pPr>
    </w:lvl>
    <w:lvl w:ilvl="2" w:tplc="34C84ADE" w:tentative="1">
      <w:start w:val="1"/>
      <w:numFmt w:val="lowerRoman"/>
      <w:lvlText w:val="%3."/>
      <w:lvlJc w:val="right"/>
      <w:pPr>
        <w:ind w:left="2160" w:hanging="180"/>
      </w:pPr>
    </w:lvl>
    <w:lvl w:ilvl="3" w:tplc="AD40EF80" w:tentative="1">
      <w:start w:val="1"/>
      <w:numFmt w:val="decimal"/>
      <w:lvlText w:val="%4."/>
      <w:lvlJc w:val="left"/>
      <w:pPr>
        <w:ind w:left="2880" w:hanging="360"/>
      </w:pPr>
    </w:lvl>
    <w:lvl w:ilvl="4" w:tplc="92A08C64" w:tentative="1">
      <w:start w:val="1"/>
      <w:numFmt w:val="lowerLetter"/>
      <w:lvlText w:val="%5."/>
      <w:lvlJc w:val="left"/>
      <w:pPr>
        <w:ind w:left="3600" w:hanging="360"/>
      </w:pPr>
    </w:lvl>
    <w:lvl w:ilvl="5" w:tplc="4D3C4C24" w:tentative="1">
      <w:start w:val="1"/>
      <w:numFmt w:val="lowerRoman"/>
      <w:lvlText w:val="%6."/>
      <w:lvlJc w:val="right"/>
      <w:pPr>
        <w:ind w:left="4320" w:hanging="180"/>
      </w:pPr>
    </w:lvl>
    <w:lvl w:ilvl="6" w:tplc="71600996" w:tentative="1">
      <w:start w:val="1"/>
      <w:numFmt w:val="decimal"/>
      <w:lvlText w:val="%7."/>
      <w:lvlJc w:val="left"/>
      <w:pPr>
        <w:ind w:left="5040" w:hanging="360"/>
      </w:pPr>
    </w:lvl>
    <w:lvl w:ilvl="7" w:tplc="0D3884A0" w:tentative="1">
      <w:start w:val="1"/>
      <w:numFmt w:val="lowerLetter"/>
      <w:lvlText w:val="%8."/>
      <w:lvlJc w:val="left"/>
      <w:pPr>
        <w:ind w:left="5760" w:hanging="360"/>
      </w:pPr>
    </w:lvl>
    <w:lvl w:ilvl="8" w:tplc="5B960A8A" w:tentative="1">
      <w:start w:val="1"/>
      <w:numFmt w:val="lowerRoman"/>
      <w:lvlText w:val="%9."/>
      <w:lvlJc w:val="right"/>
      <w:pPr>
        <w:ind w:left="6480" w:hanging="180"/>
      </w:pPr>
    </w:lvl>
  </w:abstractNum>
  <w:abstractNum w:abstractNumId="9" w15:restartNumberingAfterBreak="0">
    <w:nsid w:val="6BDF1FEA"/>
    <w:multiLevelType w:val="hybridMultilevel"/>
    <w:tmpl w:val="045241B2"/>
    <w:lvl w:ilvl="0" w:tplc="D5441F1A">
      <w:start w:val="1"/>
      <w:numFmt w:val="decimal"/>
      <w:lvlText w:val="%1."/>
      <w:lvlJc w:val="left"/>
      <w:pPr>
        <w:ind w:left="720" w:hanging="360"/>
      </w:pPr>
    </w:lvl>
    <w:lvl w:ilvl="1" w:tplc="6A688D1E" w:tentative="1">
      <w:start w:val="1"/>
      <w:numFmt w:val="lowerLetter"/>
      <w:lvlText w:val="%2."/>
      <w:lvlJc w:val="left"/>
      <w:pPr>
        <w:ind w:left="1440" w:hanging="360"/>
      </w:pPr>
    </w:lvl>
    <w:lvl w:ilvl="2" w:tplc="61686D6C" w:tentative="1">
      <w:start w:val="1"/>
      <w:numFmt w:val="lowerRoman"/>
      <w:lvlText w:val="%3."/>
      <w:lvlJc w:val="right"/>
      <w:pPr>
        <w:ind w:left="2160" w:hanging="180"/>
      </w:pPr>
    </w:lvl>
    <w:lvl w:ilvl="3" w:tplc="50AC66DE" w:tentative="1">
      <w:start w:val="1"/>
      <w:numFmt w:val="decimal"/>
      <w:lvlText w:val="%4."/>
      <w:lvlJc w:val="left"/>
      <w:pPr>
        <w:ind w:left="2880" w:hanging="360"/>
      </w:pPr>
    </w:lvl>
    <w:lvl w:ilvl="4" w:tplc="E4366ADC" w:tentative="1">
      <w:start w:val="1"/>
      <w:numFmt w:val="lowerLetter"/>
      <w:lvlText w:val="%5."/>
      <w:lvlJc w:val="left"/>
      <w:pPr>
        <w:ind w:left="3600" w:hanging="360"/>
      </w:pPr>
    </w:lvl>
    <w:lvl w:ilvl="5" w:tplc="18C45F9E" w:tentative="1">
      <w:start w:val="1"/>
      <w:numFmt w:val="lowerRoman"/>
      <w:lvlText w:val="%6."/>
      <w:lvlJc w:val="right"/>
      <w:pPr>
        <w:ind w:left="4320" w:hanging="180"/>
      </w:pPr>
    </w:lvl>
    <w:lvl w:ilvl="6" w:tplc="B5A4D56E" w:tentative="1">
      <w:start w:val="1"/>
      <w:numFmt w:val="decimal"/>
      <w:lvlText w:val="%7."/>
      <w:lvlJc w:val="left"/>
      <w:pPr>
        <w:ind w:left="5040" w:hanging="360"/>
      </w:pPr>
    </w:lvl>
    <w:lvl w:ilvl="7" w:tplc="8DB4C126" w:tentative="1">
      <w:start w:val="1"/>
      <w:numFmt w:val="lowerLetter"/>
      <w:lvlText w:val="%8."/>
      <w:lvlJc w:val="left"/>
      <w:pPr>
        <w:ind w:left="5760" w:hanging="360"/>
      </w:pPr>
    </w:lvl>
    <w:lvl w:ilvl="8" w:tplc="86DA000E" w:tentative="1">
      <w:start w:val="1"/>
      <w:numFmt w:val="lowerRoman"/>
      <w:lvlText w:val="%9."/>
      <w:lvlJc w:val="right"/>
      <w:pPr>
        <w:ind w:left="6480" w:hanging="180"/>
      </w:pPr>
    </w:lvl>
  </w:abstractNum>
  <w:abstractNum w:abstractNumId="10" w15:restartNumberingAfterBreak="0">
    <w:nsid w:val="71CA1383"/>
    <w:multiLevelType w:val="multilevel"/>
    <w:tmpl w:val="72B28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9"/>
  </w:num>
  <w:num w:numId="4">
    <w:abstractNumId w:val="0"/>
  </w:num>
  <w:num w:numId="5">
    <w:abstractNumId w:val="7"/>
  </w:num>
  <w:num w:numId="6">
    <w:abstractNumId w:val="5"/>
  </w:num>
  <w:num w:numId="7">
    <w:abstractNumId w:val="6"/>
  </w:num>
  <w:num w:numId="8">
    <w:abstractNumId w:val="10"/>
  </w:num>
  <w:num w:numId="9">
    <w:abstractNumId w:val="4"/>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hideSpellingErrors/>
  <w:hideGrammaticalErrors/>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c2tjQ0MrY0Mze1MLdQ0lEKTi0uzszPAykwMagFAJVXD5UtAAAA"/>
  </w:docVars>
  <w:rsids>
    <w:rsidRoot w:val="00481721"/>
    <w:rsid w:val="00001B7C"/>
    <w:rsid w:val="00001F87"/>
    <w:rsid w:val="000039D2"/>
    <w:rsid w:val="00004FD8"/>
    <w:rsid w:val="000051BF"/>
    <w:rsid w:val="000119A6"/>
    <w:rsid w:val="00013834"/>
    <w:rsid w:val="00015B2D"/>
    <w:rsid w:val="000177A8"/>
    <w:rsid w:val="00017AB0"/>
    <w:rsid w:val="000203B0"/>
    <w:rsid w:val="00027F35"/>
    <w:rsid w:val="00036FA6"/>
    <w:rsid w:val="00043B9B"/>
    <w:rsid w:val="000532B0"/>
    <w:rsid w:val="0005486B"/>
    <w:rsid w:val="000578BE"/>
    <w:rsid w:val="00062660"/>
    <w:rsid w:val="000671C6"/>
    <w:rsid w:val="0008253D"/>
    <w:rsid w:val="00087E0B"/>
    <w:rsid w:val="00090174"/>
    <w:rsid w:val="00090BAE"/>
    <w:rsid w:val="00091745"/>
    <w:rsid w:val="000923B1"/>
    <w:rsid w:val="00097718"/>
    <w:rsid w:val="00097A38"/>
    <w:rsid w:val="000A4BAE"/>
    <w:rsid w:val="000A5598"/>
    <w:rsid w:val="000B2B27"/>
    <w:rsid w:val="000C04E4"/>
    <w:rsid w:val="000C0B02"/>
    <w:rsid w:val="000C5149"/>
    <w:rsid w:val="000C5EA2"/>
    <w:rsid w:val="000D35B7"/>
    <w:rsid w:val="000D4552"/>
    <w:rsid w:val="000D53DB"/>
    <w:rsid w:val="000D7800"/>
    <w:rsid w:val="000D78A4"/>
    <w:rsid w:val="000E5786"/>
    <w:rsid w:val="000F01C4"/>
    <w:rsid w:val="000F19A9"/>
    <w:rsid w:val="000F560A"/>
    <w:rsid w:val="000F7D8A"/>
    <w:rsid w:val="00101F0C"/>
    <w:rsid w:val="001025AC"/>
    <w:rsid w:val="001036FB"/>
    <w:rsid w:val="0011436E"/>
    <w:rsid w:val="00114FAE"/>
    <w:rsid w:val="00116F6A"/>
    <w:rsid w:val="00125099"/>
    <w:rsid w:val="0012667C"/>
    <w:rsid w:val="0012677F"/>
    <w:rsid w:val="0012706A"/>
    <w:rsid w:val="00130E14"/>
    <w:rsid w:val="0013237D"/>
    <w:rsid w:val="00142726"/>
    <w:rsid w:val="00147EDA"/>
    <w:rsid w:val="00150368"/>
    <w:rsid w:val="00150B4D"/>
    <w:rsid w:val="0015315A"/>
    <w:rsid w:val="00155366"/>
    <w:rsid w:val="001645F7"/>
    <w:rsid w:val="00166282"/>
    <w:rsid w:val="00182365"/>
    <w:rsid w:val="00182B71"/>
    <w:rsid w:val="00195F34"/>
    <w:rsid w:val="001B0B34"/>
    <w:rsid w:val="001B0DC7"/>
    <w:rsid w:val="001B34D6"/>
    <w:rsid w:val="001B4E82"/>
    <w:rsid w:val="001B5B53"/>
    <w:rsid w:val="001B79CB"/>
    <w:rsid w:val="001C010B"/>
    <w:rsid w:val="001C1BBB"/>
    <w:rsid w:val="001C2987"/>
    <w:rsid w:val="001C5229"/>
    <w:rsid w:val="001C5719"/>
    <w:rsid w:val="001C5E11"/>
    <w:rsid w:val="001D14F0"/>
    <w:rsid w:val="001D1646"/>
    <w:rsid w:val="001D2AE7"/>
    <w:rsid w:val="001D7565"/>
    <w:rsid w:val="001D7643"/>
    <w:rsid w:val="001E6986"/>
    <w:rsid w:val="001E75F6"/>
    <w:rsid w:val="001F2C7D"/>
    <w:rsid w:val="00205EA2"/>
    <w:rsid w:val="002111B8"/>
    <w:rsid w:val="002120AE"/>
    <w:rsid w:val="0021252E"/>
    <w:rsid w:val="00213E24"/>
    <w:rsid w:val="00214D9C"/>
    <w:rsid w:val="002164AB"/>
    <w:rsid w:val="00220C24"/>
    <w:rsid w:val="00224E91"/>
    <w:rsid w:val="002311BB"/>
    <w:rsid w:val="00231BB8"/>
    <w:rsid w:val="0023316E"/>
    <w:rsid w:val="00235782"/>
    <w:rsid w:val="0023723C"/>
    <w:rsid w:val="002418A7"/>
    <w:rsid w:val="00243543"/>
    <w:rsid w:val="00244555"/>
    <w:rsid w:val="0025136E"/>
    <w:rsid w:val="002538C5"/>
    <w:rsid w:val="00254463"/>
    <w:rsid w:val="002559C3"/>
    <w:rsid w:val="00261B63"/>
    <w:rsid w:val="00263C26"/>
    <w:rsid w:val="00264F01"/>
    <w:rsid w:val="00265087"/>
    <w:rsid w:val="00266B21"/>
    <w:rsid w:val="00267C76"/>
    <w:rsid w:val="00272979"/>
    <w:rsid w:val="002809D9"/>
    <w:rsid w:val="00283F55"/>
    <w:rsid w:val="00284628"/>
    <w:rsid w:val="00285E58"/>
    <w:rsid w:val="00286A25"/>
    <w:rsid w:val="00287108"/>
    <w:rsid w:val="002A0ADC"/>
    <w:rsid w:val="002A0B94"/>
    <w:rsid w:val="002A1B36"/>
    <w:rsid w:val="002A5632"/>
    <w:rsid w:val="002A799E"/>
    <w:rsid w:val="002B3844"/>
    <w:rsid w:val="002B4C38"/>
    <w:rsid w:val="002C23F1"/>
    <w:rsid w:val="002C703B"/>
    <w:rsid w:val="002D0FDB"/>
    <w:rsid w:val="002D2A2A"/>
    <w:rsid w:val="002D3A34"/>
    <w:rsid w:val="002E0E9A"/>
    <w:rsid w:val="002E482F"/>
    <w:rsid w:val="002E722C"/>
    <w:rsid w:val="002E746C"/>
    <w:rsid w:val="002F1ACA"/>
    <w:rsid w:val="002F2029"/>
    <w:rsid w:val="002F7152"/>
    <w:rsid w:val="003022DD"/>
    <w:rsid w:val="00305B53"/>
    <w:rsid w:val="00305ED2"/>
    <w:rsid w:val="003063B5"/>
    <w:rsid w:val="00306EEE"/>
    <w:rsid w:val="00307FB8"/>
    <w:rsid w:val="00316255"/>
    <w:rsid w:val="00325452"/>
    <w:rsid w:val="003263B4"/>
    <w:rsid w:val="0033262C"/>
    <w:rsid w:val="003327CA"/>
    <w:rsid w:val="00334127"/>
    <w:rsid w:val="003359EB"/>
    <w:rsid w:val="00337340"/>
    <w:rsid w:val="003411DE"/>
    <w:rsid w:val="00341267"/>
    <w:rsid w:val="00343885"/>
    <w:rsid w:val="0034583D"/>
    <w:rsid w:val="00347C1E"/>
    <w:rsid w:val="00352CB5"/>
    <w:rsid w:val="003550B5"/>
    <w:rsid w:val="0036333D"/>
    <w:rsid w:val="00363B2B"/>
    <w:rsid w:val="00373E94"/>
    <w:rsid w:val="003756E3"/>
    <w:rsid w:val="003919A9"/>
    <w:rsid w:val="003928AD"/>
    <w:rsid w:val="00394712"/>
    <w:rsid w:val="00395622"/>
    <w:rsid w:val="00397113"/>
    <w:rsid w:val="003A0900"/>
    <w:rsid w:val="003A25F4"/>
    <w:rsid w:val="003A2B1C"/>
    <w:rsid w:val="003A63E2"/>
    <w:rsid w:val="003A6FD0"/>
    <w:rsid w:val="003B10F0"/>
    <w:rsid w:val="003B2207"/>
    <w:rsid w:val="003B5082"/>
    <w:rsid w:val="003B73E3"/>
    <w:rsid w:val="003C1484"/>
    <w:rsid w:val="003C1589"/>
    <w:rsid w:val="003C1BB8"/>
    <w:rsid w:val="003C7848"/>
    <w:rsid w:val="003E3F72"/>
    <w:rsid w:val="003E42AE"/>
    <w:rsid w:val="003F278B"/>
    <w:rsid w:val="004049E2"/>
    <w:rsid w:val="00405E1A"/>
    <w:rsid w:val="004125F5"/>
    <w:rsid w:val="0041366F"/>
    <w:rsid w:val="00417C2C"/>
    <w:rsid w:val="0042061A"/>
    <w:rsid w:val="00420862"/>
    <w:rsid w:val="004221E0"/>
    <w:rsid w:val="00423DFE"/>
    <w:rsid w:val="00433082"/>
    <w:rsid w:val="00433A4A"/>
    <w:rsid w:val="00433D28"/>
    <w:rsid w:val="00436AAE"/>
    <w:rsid w:val="00440181"/>
    <w:rsid w:val="004429FB"/>
    <w:rsid w:val="00444A87"/>
    <w:rsid w:val="004502FF"/>
    <w:rsid w:val="00453597"/>
    <w:rsid w:val="00453754"/>
    <w:rsid w:val="00455FC8"/>
    <w:rsid w:val="004633BF"/>
    <w:rsid w:val="004642BA"/>
    <w:rsid w:val="0046662D"/>
    <w:rsid w:val="0047166F"/>
    <w:rsid w:val="004725C0"/>
    <w:rsid w:val="00473B05"/>
    <w:rsid w:val="00475A6B"/>
    <w:rsid w:val="00481721"/>
    <w:rsid w:val="00482626"/>
    <w:rsid w:val="00485AB0"/>
    <w:rsid w:val="00485FA2"/>
    <w:rsid w:val="00492E1C"/>
    <w:rsid w:val="004A102B"/>
    <w:rsid w:val="004A673B"/>
    <w:rsid w:val="004B52F8"/>
    <w:rsid w:val="004C0444"/>
    <w:rsid w:val="004C521F"/>
    <w:rsid w:val="004C60C8"/>
    <w:rsid w:val="004D2244"/>
    <w:rsid w:val="004D297E"/>
    <w:rsid w:val="004D2EAA"/>
    <w:rsid w:val="004D693D"/>
    <w:rsid w:val="004E4805"/>
    <w:rsid w:val="004E5034"/>
    <w:rsid w:val="004F546A"/>
    <w:rsid w:val="004F571F"/>
    <w:rsid w:val="004F5ED1"/>
    <w:rsid w:val="00510C7A"/>
    <w:rsid w:val="00512243"/>
    <w:rsid w:val="0051565A"/>
    <w:rsid w:val="00516256"/>
    <w:rsid w:val="00516B81"/>
    <w:rsid w:val="00520787"/>
    <w:rsid w:val="00526221"/>
    <w:rsid w:val="00531BEC"/>
    <w:rsid w:val="00531E25"/>
    <w:rsid w:val="00542C5F"/>
    <w:rsid w:val="005471E5"/>
    <w:rsid w:val="00560EDE"/>
    <w:rsid w:val="005611FE"/>
    <w:rsid w:val="00562E62"/>
    <w:rsid w:val="00563562"/>
    <w:rsid w:val="00565054"/>
    <w:rsid w:val="00576C0C"/>
    <w:rsid w:val="00590C2B"/>
    <w:rsid w:val="00592D80"/>
    <w:rsid w:val="005975B4"/>
    <w:rsid w:val="005A0161"/>
    <w:rsid w:val="005A18F0"/>
    <w:rsid w:val="005A28D0"/>
    <w:rsid w:val="005A38A6"/>
    <w:rsid w:val="005A40DB"/>
    <w:rsid w:val="005B2BDE"/>
    <w:rsid w:val="005B5DB0"/>
    <w:rsid w:val="005B5E4A"/>
    <w:rsid w:val="005B6138"/>
    <w:rsid w:val="005B6274"/>
    <w:rsid w:val="005B7C6B"/>
    <w:rsid w:val="005D168E"/>
    <w:rsid w:val="005D25C2"/>
    <w:rsid w:val="005E0A18"/>
    <w:rsid w:val="005E1EC0"/>
    <w:rsid w:val="005E3E66"/>
    <w:rsid w:val="005E7DCB"/>
    <w:rsid w:val="005F5388"/>
    <w:rsid w:val="00606AF7"/>
    <w:rsid w:val="00610C71"/>
    <w:rsid w:val="006118A2"/>
    <w:rsid w:val="00613FC1"/>
    <w:rsid w:val="0061591A"/>
    <w:rsid w:val="00621D70"/>
    <w:rsid w:val="0062241A"/>
    <w:rsid w:val="00624131"/>
    <w:rsid w:val="00627CFF"/>
    <w:rsid w:val="00630588"/>
    <w:rsid w:val="00633606"/>
    <w:rsid w:val="006374CF"/>
    <w:rsid w:val="0064114B"/>
    <w:rsid w:val="0064567F"/>
    <w:rsid w:val="00646601"/>
    <w:rsid w:val="00647E23"/>
    <w:rsid w:val="006530EB"/>
    <w:rsid w:val="00656A5A"/>
    <w:rsid w:val="00662031"/>
    <w:rsid w:val="00665AA2"/>
    <w:rsid w:val="00666F91"/>
    <w:rsid w:val="006675EE"/>
    <w:rsid w:val="006701FD"/>
    <w:rsid w:val="00672217"/>
    <w:rsid w:val="006774BC"/>
    <w:rsid w:val="00682EEE"/>
    <w:rsid w:val="00684B41"/>
    <w:rsid w:val="006915A3"/>
    <w:rsid w:val="006949EC"/>
    <w:rsid w:val="006A043B"/>
    <w:rsid w:val="006A0CA8"/>
    <w:rsid w:val="006B135D"/>
    <w:rsid w:val="006B47FA"/>
    <w:rsid w:val="006B5683"/>
    <w:rsid w:val="006C1458"/>
    <w:rsid w:val="006C23B3"/>
    <w:rsid w:val="006C2653"/>
    <w:rsid w:val="006C3E65"/>
    <w:rsid w:val="006C6C95"/>
    <w:rsid w:val="006D00B3"/>
    <w:rsid w:val="006D2E70"/>
    <w:rsid w:val="006D5BEB"/>
    <w:rsid w:val="006D6143"/>
    <w:rsid w:val="006D7CF7"/>
    <w:rsid w:val="006E0754"/>
    <w:rsid w:val="006E3316"/>
    <w:rsid w:val="006E36DA"/>
    <w:rsid w:val="006E6746"/>
    <w:rsid w:val="006E753A"/>
    <w:rsid w:val="006E795F"/>
    <w:rsid w:val="006E7B4C"/>
    <w:rsid w:val="006F702F"/>
    <w:rsid w:val="00703DBC"/>
    <w:rsid w:val="00705E51"/>
    <w:rsid w:val="0072059C"/>
    <w:rsid w:val="00720ABB"/>
    <w:rsid w:val="00722E20"/>
    <w:rsid w:val="007254E1"/>
    <w:rsid w:val="00726DEA"/>
    <w:rsid w:val="007273AC"/>
    <w:rsid w:val="00732790"/>
    <w:rsid w:val="0073586F"/>
    <w:rsid w:val="00735DD3"/>
    <w:rsid w:val="00737F1D"/>
    <w:rsid w:val="00740354"/>
    <w:rsid w:val="007413CC"/>
    <w:rsid w:val="00751DFB"/>
    <w:rsid w:val="00752281"/>
    <w:rsid w:val="007573D7"/>
    <w:rsid w:val="0076470A"/>
    <w:rsid w:val="00765B84"/>
    <w:rsid w:val="007667C3"/>
    <w:rsid w:val="007700EA"/>
    <w:rsid w:val="00772EA0"/>
    <w:rsid w:val="007A2486"/>
    <w:rsid w:val="007A296A"/>
    <w:rsid w:val="007B5308"/>
    <w:rsid w:val="007B60A5"/>
    <w:rsid w:val="007C1AD1"/>
    <w:rsid w:val="007C201D"/>
    <w:rsid w:val="007D1137"/>
    <w:rsid w:val="007D278D"/>
    <w:rsid w:val="007D4BB8"/>
    <w:rsid w:val="007D7CDC"/>
    <w:rsid w:val="007E145A"/>
    <w:rsid w:val="007E30F9"/>
    <w:rsid w:val="007F17C5"/>
    <w:rsid w:val="007F273B"/>
    <w:rsid w:val="007F5623"/>
    <w:rsid w:val="00800C12"/>
    <w:rsid w:val="00805C41"/>
    <w:rsid w:val="0082639E"/>
    <w:rsid w:val="00827817"/>
    <w:rsid w:val="00830BF2"/>
    <w:rsid w:val="0083551B"/>
    <w:rsid w:val="00835F56"/>
    <w:rsid w:val="0083754B"/>
    <w:rsid w:val="00842197"/>
    <w:rsid w:val="00842D4D"/>
    <w:rsid w:val="00854E0A"/>
    <w:rsid w:val="00855653"/>
    <w:rsid w:val="00857639"/>
    <w:rsid w:val="008661FA"/>
    <w:rsid w:val="00867114"/>
    <w:rsid w:val="0087418A"/>
    <w:rsid w:val="008763C8"/>
    <w:rsid w:val="008866A4"/>
    <w:rsid w:val="0088739E"/>
    <w:rsid w:val="00892345"/>
    <w:rsid w:val="00892722"/>
    <w:rsid w:val="00893D28"/>
    <w:rsid w:val="008945D4"/>
    <w:rsid w:val="00894D49"/>
    <w:rsid w:val="0089645F"/>
    <w:rsid w:val="008A18BD"/>
    <w:rsid w:val="008A2789"/>
    <w:rsid w:val="008A3804"/>
    <w:rsid w:val="008A52A0"/>
    <w:rsid w:val="008A6741"/>
    <w:rsid w:val="008B0B58"/>
    <w:rsid w:val="008B5470"/>
    <w:rsid w:val="008C0A9C"/>
    <w:rsid w:val="008C1D16"/>
    <w:rsid w:val="008C6F3B"/>
    <w:rsid w:val="008D1498"/>
    <w:rsid w:val="008D172F"/>
    <w:rsid w:val="008D4B16"/>
    <w:rsid w:val="008D52F3"/>
    <w:rsid w:val="008D7DE7"/>
    <w:rsid w:val="008E1B4C"/>
    <w:rsid w:val="008E2120"/>
    <w:rsid w:val="008E4A1D"/>
    <w:rsid w:val="008E4E06"/>
    <w:rsid w:val="008E7210"/>
    <w:rsid w:val="008F346E"/>
    <w:rsid w:val="008F6F6E"/>
    <w:rsid w:val="0090327A"/>
    <w:rsid w:val="0090606A"/>
    <w:rsid w:val="0091639E"/>
    <w:rsid w:val="00917D22"/>
    <w:rsid w:val="0092383F"/>
    <w:rsid w:val="00927C73"/>
    <w:rsid w:val="0093048E"/>
    <w:rsid w:val="0093071D"/>
    <w:rsid w:val="00930BDA"/>
    <w:rsid w:val="00941F10"/>
    <w:rsid w:val="00943232"/>
    <w:rsid w:val="00943EDF"/>
    <w:rsid w:val="00965380"/>
    <w:rsid w:val="0096566D"/>
    <w:rsid w:val="009663BE"/>
    <w:rsid w:val="00966A3A"/>
    <w:rsid w:val="009749AE"/>
    <w:rsid w:val="009757DD"/>
    <w:rsid w:val="00975D65"/>
    <w:rsid w:val="00976C70"/>
    <w:rsid w:val="0098094E"/>
    <w:rsid w:val="00983019"/>
    <w:rsid w:val="00983293"/>
    <w:rsid w:val="00983931"/>
    <w:rsid w:val="009846E7"/>
    <w:rsid w:val="0098579C"/>
    <w:rsid w:val="00996D70"/>
    <w:rsid w:val="009A210C"/>
    <w:rsid w:val="009A3B2C"/>
    <w:rsid w:val="009A400A"/>
    <w:rsid w:val="009A4E54"/>
    <w:rsid w:val="009A5A08"/>
    <w:rsid w:val="009A6E0B"/>
    <w:rsid w:val="009B1778"/>
    <w:rsid w:val="009B38EC"/>
    <w:rsid w:val="009B67B0"/>
    <w:rsid w:val="009B71C2"/>
    <w:rsid w:val="009C1A40"/>
    <w:rsid w:val="009C2A3A"/>
    <w:rsid w:val="009C51BE"/>
    <w:rsid w:val="009D00F1"/>
    <w:rsid w:val="009D73DF"/>
    <w:rsid w:val="009F06B7"/>
    <w:rsid w:val="00A01B05"/>
    <w:rsid w:val="00A034DB"/>
    <w:rsid w:val="00A22F50"/>
    <w:rsid w:val="00A31931"/>
    <w:rsid w:val="00A33003"/>
    <w:rsid w:val="00A3714B"/>
    <w:rsid w:val="00A371EA"/>
    <w:rsid w:val="00A37EA8"/>
    <w:rsid w:val="00A42976"/>
    <w:rsid w:val="00A4297C"/>
    <w:rsid w:val="00A4450B"/>
    <w:rsid w:val="00A46B06"/>
    <w:rsid w:val="00A5065F"/>
    <w:rsid w:val="00A51D71"/>
    <w:rsid w:val="00A62E59"/>
    <w:rsid w:val="00A65200"/>
    <w:rsid w:val="00A65878"/>
    <w:rsid w:val="00A669D5"/>
    <w:rsid w:val="00A70659"/>
    <w:rsid w:val="00A71DF3"/>
    <w:rsid w:val="00A75685"/>
    <w:rsid w:val="00A75FA5"/>
    <w:rsid w:val="00A8276D"/>
    <w:rsid w:val="00A8386F"/>
    <w:rsid w:val="00A840E1"/>
    <w:rsid w:val="00A85F8B"/>
    <w:rsid w:val="00A86D8B"/>
    <w:rsid w:val="00A90679"/>
    <w:rsid w:val="00A90BF4"/>
    <w:rsid w:val="00A93539"/>
    <w:rsid w:val="00A9565B"/>
    <w:rsid w:val="00AA5821"/>
    <w:rsid w:val="00AA7C5B"/>
    <w:rsid w:val="00AB40F1"/>
    <w:rsid w:val="00AC18D4"/>
    <w:rsid w:val="00AC2E05"/>
    <w:rsid w:val="00AC5D70"/>
    <w:rsid w:val="00AC5E42"/>
    <w:rsid w:val="00AC63D4"/>
    <w:rsid w:val="00AD375F"/>
    <w:rsid w:val="00AD5F86"/>
    <w:rsid w:val="00AE3562"/>
    <w:rsid w:val="00AE515D"/>
    <w:rsid w:val="00AF34E4"/>
    <w:rsid w:val="00B05765"/>
    <w:rsid w:val="00B10247"/>
    <w:rsid w:val="00B116F7"/>
    <w:rsid w:val="00B123B5"/>
    <w:rsid w:val="00B15C28"/>
    <w:rsid w:val="00B20183"/>
    <w:rsid w:val="00B213C1"/>
    <w:rsid w:val="00B21838"/>
    <w:rsid w:val="00B265B5"/>
    <w:rsid w:val="00B34D2A"/>
    <w:rsid w:val="00B35082"/>
    <w:rsid w:val="00B36CBE"/>
    <w:rsid w:val="00B36ECE"/>
    <w:rsid w:val="00B40D96"/>
    <w:rsid w:val="00B42938"/>
    <w:rsid w:val="00B474B6"/>
    <w:rsid w:val="00B5015B"/>
    <w:rsid w:val="00B50B03"/>
    <w:rsid w:val="00B512B8"/>
    <w:rsid w:val="00B51CF5"/>
    <w:rsid w:val="00B53409"/>
    <w:rsid w:val="00B5340C"/>
    <w:rsid w:val="00B6641E"/>
    <w:rsid w:val="00B70669"/>
    <w:rsid w:val="00B72F2F"/>
    <w:rsid w:val="00B73E8A"/>
    <w:rsid w:val="00B751AD"/>
    <w:rsid w:val="00B771CF"/>
    <w:rsid w:val="00B77BB6"/>
    <w:rsid w:val="00B8544B"/>
    <w:rsid w:val="00B87F3C"/>
    <w:rsid w:val="00B905BE"/>
    <w:rsid w:val="00B92B20"/>
    <w:rsid w:val="00B95941"/>
    <w:rsid w:val="00B97034"/>
    <w:rsid w:val="00BA0C4F"/>
    <w:rsid w:val="00BA34FE"/>
    <w:rsid w:val="00BA75D6"/>
    <w:rsid w:val="00BB126D"/>
    <w:rsid w:val="00BC38FC"/>
    <w:rsid w:val="00BC4030"/>
    <w:rsid w:val="00BC4461"/>
    <w:rsid w:val="00BC792D"/>
    <w:rsid w:val="00BC7A70"/>
    <w:rsid w:val="00BD7450"/>
    <w:rsid w:val="00BD77E7"/>
    <w:rsid w:val="00BE2D90"/>
    <w:rsid w:val="00BE41B9"/>
    <w:rsid w:val="00BF04EE"/>
    <w:rsid w:val="00BF141E"/>
    <w:rsid w:val="00BF188C"/>
    <w:rsid w:val="00BF3C6D"/>
    <w:rsid w:val="00BF67F0"/>
    <w:rsid w:val="00BF6D96"/>
    <w:rsid w:val="00BF7CF0"/>
    <w:rsid w:val="00C03025"/>
    <w:rsid w:val="00C0593F"/>
    <w:rsid w:val="00C101A8"/>
    <w:rsid w:val="00C11783"/>
    <w:rsid w:val="00C144D8"/>
    <w:rsid w:val="00C237C6"/>
    <w:rsid w:val="00C2509D"/>
    <w:rsid w:val="00C2521D"/>
    <w:rsid w:val="00C25364"/>
    <w:rsid w:val="00C26854"/>
    <w:rsid w:val="00C326F3"/>
    <w:rsid w:val="00C331DB"/>
    <w:rsid w:val="00C340D8"/>
    <w:rsid w:val="00C45557"/>
    <w:rsid w:val="00C46603"/>
    <w:rsid w:val="00C55779"/>
    <w:rsid w:val="00C55F70"/>
    <w:rsid w:val="00C56CD3"/>
    <w:rsid w:val="00C57ED3"/>
    <w:rsid w:val="00C70A88"/>
    <w:rsid w:val="00C72525"/>
    <w:rsid w:val="00C75A87"/>
    <w:rsid w:val="00C81782"/>
    <w:rsid w:val="00C81802"/>
    <w:rsid w:val="00C8406F"/>
    <w:rsid w:val="00C87404"/>
    <w:rsid w:val="00C91654"/>
    <w:rsid w:val="00C9235F"/>
    <w:rsid w:val="00C93E0D"/>
    <w:rsid w:val="00C95FF3"/>
    <w:rsid w:val="00C97A10"/>
    <w:rsid w:val="00CA015C"/>
    <w:rsid w:val="00CA546C"/>
    <w:rsid w:val="00CB776F"/>
    <w:rsid w:val="00CC64B7"/>
    <w:rsid w:val="00CD0343"/>
    <w:rsid w:val="00CD2631"/>
    <w:rsid w:val="00CD4EC6"/>
    <w:rsid w:val="00CE1D19"/>
    <w:rsid w:val="00CE5EEC"/>
    <w:rsid w:val="00CE76C3"/>
    <w:rsid w:val="00CF2793"/>
    <w:rsid w:val="00CF35AE"/>
    <w:rsid w:val="00D02586"/>
    <w:rsid w:val="00D03B41"/>
    <w:rsid w:val="00D046D1"/>
    <w:rsid w:val="00D12B9B"/>
    <w:rsid w:val="00D13100"/>
    <w:rsid w:val="00D13DE1"/>
    <w:rsid w:val="00D14751"/>
    <w:rsid w:val="00D15755"/>
    <w:rsid w:val="00D159FC"/>
    <w:rsid w:val="00D16EF6"/>
    <w:rsid w:val="00D23F02"/>
    <w:rsid w:val="00D2520B"/>
    <w:rsid w:val="00D26083"/>
    <w:rsid w:val="00D3607E"/>
    <w:rsid w:val="00D379B4"/>
    <w:rsid w:val="00D43757"/>
    <w:rsid w:val="00D447B6"/>
    <w:rsid w:val="00D46D55"/>
    <w:rsid w:val="00D51C49"/>
    <w:rsid w:val="00D5598F"/>
    <w:rsid w:val="00D56835"/>
    <w:rsid w:val="00D64F68"/>
    <w:rsid w:val="00D70E28"/>
    <w:rsid w:val="00D740CC"/>
    <w:rsid w:val="00D75DE1"/>
    <w:rsid w:val="00D80642"/>
    <w:rsid w:val="00D83AB4"/>
    <w:rsid w:val="00D8662F"/>
    <w:rsid w:val="00D94583"/>
    <w:rsid w:val="00D95CD0"/>
    <w:rsid w:val="00D96801"/>
    <w:rsid w:val="00DA588A"/>
    <w:rsid w:val="00DA76CA"/>
    <w:rsid w:val="00DC5B70"/>
    <w:rsid w:val="00DC79D8"/>
    <w:rsid w:val="00DD02E5"/>
    <w:rsid w:val="00DD1052"/>
    <w:rsid w:val="00DD185D"/>
    <w:rsid w:val="00DD1AFE"/>
    <w:rsid w:val="00DD3ADA"/>
    <w:rsid w:val="00DD3C9F"/>
    <w:rsid w:val="00DD74B4"/>
    <w:rsid w:val="00DD7EC9"/>
    <w:rsid w:val="00DE09F9"/>
    <w:rsid w:val="00DE26A5"/>
    <w:rsid w:val="00DF0703"/>
    <w:rsid w:val="00DF703A"/>
    <w:rsid w:val="00E0017E"/>
    <w:rsid w:val="00E07611"/>
    <w:rsid w:val="00E219C7"/>
    <w:rsid w:val="00E263FF"/>
    <w:rsid w:val="00E30955"/>
    <w:rsid w:val="00E30ADB"/>
    <w:rsid w:val="00E329C4"/>
    <w:rsid w:val="00E33BC1"/>
    <w:rsid w:val="00E36369"/>
    <w:rsid w:val="00E461A0"/>
    <w:rsid w:val="00E509D0"/>
    <w:rsid w:val="00E54F71"/>
    <w:rsid w:val="00E60C7A"/>
    <w:rsid w:val="00E64F19"/>
    <w:rsid w:val="00E741DF"/>
    <w:rsid w:val="00E75EC0"/>
    <w:rsid w:val="00E76169"/>
    <w:rsid w:val="00E764D2"/>
    <w:rsid w:val="00E7724D"/>
    <w:rsid w:val="00E80498"/>
    <w:rsid w:val="00E81CA3"/>
    <w:rsid w:val="00E82A7F"/>
    <w:rsid w:val="00E82B49"/>
    <w:rsid w:val="00E83845"/>
    <w:rsid w:val="00E86205"/>
    <w:rsid w:val="00E92B1C"/>
    <w:rsid w:val="00E932A5"/>
    <w:rsid w:val="00E9350D"/>
    <w:rsid w:val="00EA184F"/>
    <w:rsid w:val="00EA24BF"/>
    <w:rsid w:val="00EA3A5A"/>
    <w:rsid w:val="00EA4372"/>
    <w:rsid w:val="00EA461C"/>
    <w:rsid w:val="00EA49E8"/>
    <w:rsid w:val="00EA5171"/>
    <w:rsid w:val="00EB1292"/>
    <w:rsid w:val="00EB1503"/>
    <w:rsid w:val="00EB586E"/>
    <w:rsid w:val="00EC1912"/>
    <w:rsid w:val="00EC2BB5"/>
    <w:rsid w:val="00EC2E3B"/>
    <w:rsid w:val="00EC4073"/>
    <w:rsid w:val="00EC55AD"/>
    <w:rsid w:val="00EC5D73"/>
    <w:rsid w:val="00ED04A7"/>
    <w:rsid w:val="00ED0BD4"/>
    <w:rsid w:val="00ED558B"/>
    <w:rsid w:val="00ED67F3"/>
    <w:rsid w:val="00ED73BE"/>
    <w:rsid w:val="00ED7B69"/>
    <w:rsid w:val="00EE1191"/>
    <w:rsid w:val="00EE13CD"/>
    <w:rsid w:val="00EE734A"/>
    <w:rsid w:val="00EF1FCF"/>
    <w:rsid w:val="00EF5779"/>
    <w:rsid w:val="00EF57BE"/>
    <w:rsid w:val="00F006BF"/>
    <w:rsid w:val="00F013A2"/>
    <w:rsid w:val="00F01476"/>
    <w:rsid w:val="00F033E4"/>
    <w:rsid w:val="00F051D7"/>
    <w:rsid w:val="00F063AD"/>
    <w:rsid w:val="00F07088"/>
    <w:rsid w:val="00F1410C"/>
    <w:rsid w:val="00F15157"/>
    <w:rsid w:val="00F20298"/>
    <w:rsid w:val="00F208EE"/>
    <w:rsid w:val="00F25908"/>
    <w:rsid w:val="00F25A76"/>
    <w:rsid w:val="00F275AB"/>
    <w:rsid w:val="00F30444"/>
    <w:rsid w:val="00F31993"/>
    <w:rsid w:val="00F31A7D"/>
    <w:rsid w:val="00F33F4B"/>
    <w:rsid w:val="00F34430"/>
    <w:rsid w:val="00F35A60"/>
    <w:rsid w:val="00F361E5"/>
    <w:rsid w:val="00F40E1A"/>
    <w:rsid w:val="00F45E8C"/>
    <w:rsid w:val="00F51194"/>
    <w:rsid w:val="00F56803"/>
    <w:rsid w:val="00F65ED6"/>
    <w:rsid w:val="00F7204A"/>
    <w:rsid w:val="00F83F8A"/>
    <w:rsid w:val="00F845DD"/>
    <w:rsid w:val="00F85480"/>
    <w:rsid w:val="00F85B7A"/>
    <w:rsid w:val="00F86DE4"/>
    <w:rsid w:val="00F93BAF"/>
    <w:rsid w:val="00F9580A"/>
    <w:rsid w:val="00FA2FF0"/>
    <w:rsid w:val="00FA5FFE"/>
    <w:rsid w:val="00FB3D50"/>
    <w:rsid w:val="00FB48B8"/>
    <w:rsid w:val="00FC17EA"/>
    <w:rsid w:val="00FC1F79"/>
    <w:rsid w:val="00FC2AD2"/>
    <w:rsid w:val="00FC3BDC"/>
    <w:rsid w:val="00FC45C6"/>
    <w:rsid w:val="00FC587C"/>
    <w:rsid w:val="00FD5794"/>
    <w:rsid w:val="00FE0955"/>
    <w:rsid w:val="00FE39F2"/>
    <w:rsid w:val="00FE3C71"/>
    <w:rsid w:val="00FE6B16"/>
    <w:rsid w:val="00FF0E53"/>
    <w:rsid w:val="00FF228F"/>
    <w:rsid w:val="00FF3A8B"/>
    <w:rsid w:val="00FF4401"/>
    <w:rsid w:val="00FF5573"/>
    <w:rsid w:val="00FF72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BADFA58"/>
  <w15:docId w15:val="{3817B9DE-8BDD-4F9C-92DD-32D8129A4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6AF7"/>
  </w:style>
  <w:style w:type="paragraph" w:styleId="Heading1">
    <w:name w:val="heading 1"/>
    <w:basedOn w:val="Normal"/>
    <w:next w:val="Normal"/>
    <w:link w:val="Heading1Char"/>
    <w:uiPriority w:val="9"/>
    <w:qFormat/>
    <w:rsid w:val="00EA461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F65ED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1B7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01B7C"/>
    <w:pPr>
      <w:ind w:left="720"/>
      <w:contextualSpacing/>
    </w:pPr>
  </w:style>
  <w:style w:type="paragraph" w:styleId="NoSpacing">
    <w:name w:val="No Spacing"/>
    <w:uiPriority w:val="1"/>
    <w:qFormat/>
    <w:rsid w:val="00D51C49"/>
    <w:pPr>
      <w:spacing w:after="0" w:line="240" w:lineRule="auto"/>
    </w:pPr>
  </w:style>
  <w:style w:type="character" w:styleId="LineNumber">
    <w:name w:val="line number"/>
    <w:basedOn w:val="DefaultParagraphFont"/>
    <w:uiPriority w:val="99"/>
    <w:semiHidden/>
    <w:unhideWhenUsed/>
    <w:rsid w:val="004125F5"/>
  </w:style>
  <w:style w:type="character" w:customStyle="1" w:styleId="Heading1Char">
    <w:name w:val="Heading 1 Char"/>
    <w:basedOn w:val="DefaultParagraphFont"/>
    <w:link w:val="Heading1"/>
    <w:uiPriority w:val="9"/>
    <w:rsid w:val="00EA461C"/>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EA461C"/>
    <w:rPr>
      <w:color w:val="0000FF" w:themeColor="hyperlink"/>
      <w:u w:val="single"/>
    </w:rPr>
  </w:style>
  <w:style w:type="character" w:customStyle="1" w:styleId="UnresolvedMention1">
    <w:name w:val="Unresolved Mention1"/>
    <w:basedOn w:val="DefaultParagraphFont"/>
    <w:uiPriority w:val="99"/>
    <w:semiHidden/>
    <w:unhideWhenUsed/>
    <w:rsid w:val="00EA461C"/>
    <w:rPr>
      <w:color w:val="605E5C"/>
      <w:shd w:val="clear" w:color="auto" w:fill="E1DFDD"/>
    </w:rPr>
  </w:style>
  <w:style w:type="character" w:customStyle="1" w:styleId="Heading3Char">
    <w:name w:val="Heading 3 Char"/>
    <w:basedOn w:val="DefaultParagraphFont"/>
    <w:link w:val="Heading3"/>
    <w:uiPriority w:val="9"/>
    <w:rsid w:val="00F65ED6"/>
    <w:rPr>
      <w:rFonts w:asciiTheme="majorHAnsi" w:eastAsiaTheme="majorEastAsia" w:hAnsiTheme="majorHAnsi" w:cstheme="majorBidi"/>
      <w:color w:val="243F60" w:themeColor="accent1" w:themeShade="7F"/>
      <w:sz w:val="24"/>
      <w:szCs w:val="24"/>
    </w:rPr>
  </w:style>
  <w:style w:type="character" w:customStyle="1" w:styleId="c-article-orcidtext">
    <w:name w:val="c-article-orcid__text"/>
    <w:basedOn w:val="DefaultParagraphFont"/>
    <w:rsid w:val="00AE3562"/>
  </w:style>
  <w:style w:type="paragraph" w:styleId="NormalWeb">
    <w:name w:val="Normal (Web)"/>
    <w:basedOn w:val="Normal"/>
    <w:uiPriority w:val="99"/>
    <w:unhideWhenUsed/>
    <w:rsid w:val="00751DFB"/>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751DFB"/>
    <w:rPr>
      <w:i/>
      <w:iCs/>
    </w:rPr>
  </w:style>
  <w:style w:type="character" w:styleId="Strong">
    <w:name w:val="Strong"/>
    <w:basedOn w:val="DefaultParagraphFont"/>
    <w:uiPriority w:val="22"/>
    <w:qFormat/>
    <w:rsid w:val="0023723C"/>
    <w:rPr>
      <w:b/>
      <w:bCs/>
    </w:rPr>
  </w:style>
  <w:style w:type="paragraph" w:styleId="Bibliography">
    <w:name w:val="Bibliography"/>
    <w:basedOn w:val="Normal"/>
    <w:next w:val="Normal"/>
    <w:uiPriority w:val="37"/>
    <w:unhideWhenUsed/>
    <w:rsid w:val="00433082"/>
    <w:pPr>
      <w:tabs>
        <w:tab w:val="left" w:pos="384"/>
      </w:tabs>
      <w:spacing w:after="240" w:line="240" w:lineRule="auto"/>
      <w:ind w:left="384" w:hanging="384"/>
    </w:pPr>
  </w:style>
  <w:style w:type="paragraph" w:styleId="FootnoteText">
    <w:name w:val="footnote text"/>
    <w:basedOn w:val="Normal"/>
    <w:link w:val="FootnoteTextChar"/>
    <w:uiPriority w:val="99"/>
    <w:semiHidden/>
    <w:unhideWhenUsed/>
    <w:rsid w:val="004136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366F"/>
    <w:rPr>
      <w:sz w:val="20"/>
      <w:szCs w:val="20"/>
    </w:rPr>
  </w:style>
  <w:style w:type="character" w:styleId="FootnoteReference">
    <w:name w:val="footnote reference"/>
    <w:basedOn w:val="DefaultParagraphFont"/>
    <w:uiPriority w:val="99"/>
    <w:semiHidden/>
    <w:unhideWhenUsed/>
    <w:rsid w:val="0041366F"/>
    <w:rPr>
      <w:vertAlign w:val="superscript"/>
    </w:rPr>
  </w:style>
  <w:style w:type="character" w:styleId="UnresolvedMention">
    <w:name w:val="Unresolved Mention"/>
    <w:basedOn w:val="DefaultParagraphFont"/>
    <w:uiPriority w:val="99"/>
    <w:semiHidden/>
    <w:unhideWhenUsed/>
    <w:rsid w:val="001C1BBB"/>
    <w:rPr>
      <w:color w:val="605E5C"/>
      <w:shd w:val="clear" w:color="auto" w:fill="E1DFDD"/>
    </w:rPr>
  </w:style>
  <w:style w:type="paragraph" w:styleId="Header">
    <w:name w:val="header"/>
    <w:basedOn w:val="Normal"/>
    <w:link w:val="HeaderChar"/>
    <w:uiPriority w:val="99"/>
    <w:unhideWhenUsed/>
    <w:rsid w:val="00D025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2586"/>
  </w:style>
  <w:style w:type="paragraph" w:styleId="Footer">
    <w:name w:val="footer"/>
    <w:basedOn w:val="Normal"/>
    <w:link w:val="FooterChar"/>
    <w:uiPriority w:val="99"/>
    <w:unhideWhenUsed/>
    <w:rsid w:val="00D025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2586"/>
  </w:style>
  <w:style w:type="paragraph" w:styleId="Revision">
    <w:name w:val="Revision"/>
    <w:hidden/>
    <w:uiPriority w:val="99"/>
    <w:semiHidden/>
    <w:rsid w:val="005B5DB0"/>
    <w:pPr>
      <w:spacing w:after="0" w:line="240" w:lineRule="auto"/>
    </w:pPr>
  </w:style>
  <w:style w:type="paragraph" w:styleId="BalloonText">
    <w:name w:val="Balloon Text"/>
    <w:basedOn w:val="Normal"/>
    <w:link w:val="BalloonTextChar"/>
    <w:uiPriority w:val="99"/>
    <w:semiHidden/>
    <w:unhideWhenUsed/>
    <w:rsid w:val="004401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018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9274197">
      <w:bodyDiv w:val="1"/>
      <w:marLeft w:val="0"/>
      <w:marRight w:val="0"/>
      <w:marTop w:val="0"/>
      <w:marBottom w:val="0"/>
      <w:divBdr>
        <w:top w:val="none" w:sz="0" w:space="0" w:color="auto"/>
        <w:left w:val="none" w:sz="0" w:space="0" w:color="auto"/>
        <w:bottom w:val="none" w:sz="0" w:space="0" w:color="auto"/>
        <w:right w:val="none" w:sz="0" w:space="0" w:color="auto"/>
      </w:divBdr>
      <w:divsChild>
        <w:div w:id="1043872025">
          <w:marLeft w:val="0"/>
          <w:marRight w:val="0"/>
          <w:marTop w:val="0"/>
          <w:marBottom w:val="0"/>
          <w:divBdr>
            <w:top w:val="none" w:sz="0" w:space="0" w:color="auto"/>
            <w:left w:val="none" w:sz="0" w:space="0" w:color="auto"/>
            <w:bottom w:val="none" w:sz="0" w:space="0" w:color="auto"/>
            <w:right w:val="none" w:sz="0" w:space="0" w:color="auto"/>
          </w:divBdr>
          <w:divsChild>
            <w:div w:id="303462784">
              <w:marLeft w:val="0"/>
              <w:marRight w:val="0"/>
              <w:marTop w:val="0"/>
              <w:marBottom w:val="0"/>
              <w:divBdr>
                <w:top w:val="none" w:sz="0" w:space="0" w:color="auto"/>
                <w:left w:val="none" w:sz="0" w:space="0" w:color="auto"/>
                <w:bottom w:val="none" w:sz="0" w:space="0" w:color="auto"/>
                <w:right w:val="none" w:sz="0" w:space="0" w:color="auto"/>
              </w:divBdr>
            </w:div>
          </w:divsChild>
        </w:div>
        <w:div w:id="332270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if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C2420D-0E8F-4FA5-A013-524B89C08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24</Pages>
  <Words>13554</Words>
  <Characters>77259</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SDI 1186</cp:lastModifiedBy>
  <cp:revision>148</cp:revision>
  <cp:lastPrinted>2022-09-29T10:13:00Z</cp:lastPrinted>
  <dcterms:created xsi:type="dcterms:W3CDTF">2025-05-30T09:46:00Z</dcterms:created>
  <dcterms:modified xsi:type="dcterms:W3CDTF">2025-11-25T12:21:00Z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4e966d7a9cc650a9e337c10cef2b3e7566b11b195def1fb17fbb16714fb953a6</vt:lpwstr>
  </property>
  <property fmtid="{D5CDD505-2E9C-101B-9397-08002B2CF9AE}" pid="3" name="ZOTERO_PREF_1">
    <vt:lpwstr>&lt;data data-version="3" zotero-version="7.0.15"&gt;&lt;session id="AXwEQWfZ"/&gt;&lt;style id="http://www.zotero.org/styles/american-medical-association" hasBibliography="1" bibliographyStyleHasBeenSet="1"/&gt;&lt;prefs&gt;&lt;pref name="fieldType" value="Field"/&gt;&lt;pref name="auto</vt:lpwstr>
  </property>
  <property fmtid="{D5CDD505-2E9C-101B-9397-08002B2CF9AE}" pid="4" name="ZOTERO_PREF_2">
    <vt:lpwstr>maticJournalAbbreviations" value="true"/&gt;&lt;pref name="delayCitationUpdates" value="true"/&gt;&lt;/prefs&gt;&lt;/data&gt;</vt:lpwstr>
  </property>
  <property fmtid="{D5CDD505-2E9C-101B-9397-08002B2CF9AE}" pid="5" name="ZOTERO_BREF_SWF1T7n9GfFc_1">
    <vt:lpwstr>ZOTERO_TEMP</vt:lpwstr>
  </property>
</Properties>
</file>