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EC8B" w14:textId="77777777" w:rsidR="004A207B" w:rsidRPr="004A207B" w:rsidRDefault="004A207B" w:rsidP="004A207B">
      <w:pPr>
        <w:spacing w:before="100" w:beforeAutospacing="1" w:after="100" w:afterAutospacing="1" w:line="240" w:lineRule="auto"/>
        <w:rPr>
          <w:rFonts w:ascii="Times New Roman" w:eastAsia="Times New Roman" w:hAnsi="Times New Roman" w:cs="Times New Roman"/>
          <w:sz w:val="24"/>
          <w:szCs w:val="24"/>
          <w:lang w:eastAsia="en-IN"/>
        </w:rPr>
      </w:pPr>
      <w:r w:rsidRPr="004A207B">
        <w:rPr>
          <w:rFonts w:ascii="Times New Roman" w:eastAsia="Times New Roman" w:hAnsi="Times New Roman" w:cs="Times New Roman"/>
          <w:b/>
          <w:bCs/>
          <w:sz w:val="24"/>
          <w:szCs w:val="24"/>
          <w:lang w:eastAsia="en-IN"/>
        </w:rPr>
        <w:t>Biochemical Diversity and Genetic Variability among Walnut (</w:t>
      </w:r>
      <w:r w:rsidRPr="004A207B">
        <w:rPr>
          <w:rFonts w:ascii="Times New Roman" w:eastAsia="Times New Roman" w:hAnsi="Times New Roman" w:cs="Times New Roman"/>
          <w:b/>
          <w:bCs/>
          <w:i/>
          <w:iCs/>
          <w:sz w:val="24"/>
          <w:szCs w:val="24"/>
          <w:lang w:eastAsia="en-IN"/>
        </w:rPr>
        <w:t xml:space="preserve">Juglans regia </w:t>
      </w:r>
      <w:r w:rsidRPr="008755D7">
        <w:rPr>
          <w:rFonts w:ascii="Times New Roman" w:eastAsia="Times New Roman" w:hAnsi="Times New Roman" w:cs="Times New Roman"/>
          <w:b/>
          <w:bCs/>
          <w:sz w:val="24"/>
          <w:szCs w:val="24"/>
          <w:lang w:eastAsia="en-IN"/>
        </w:rPr>
        <w:t>L</w:t>
      </w:r>
      <w:r w:rsidRPr="004A207B">
        <w:rPr>
          <w:rFonts w:ascii="Times New Roman" w:eastAsia="Times New Roman" w:hAnsi="Times New Roman" w:cs="Times New Roman"/>
          <w:b/>
          <w:bCs/>
          <w:i/>
          <w:iCs/>
          <w:sz w:val="24"/>
          <w:szCs w:val="24"/>
          <w:lang w:eastAsia="en-IN"/>
        </w:rPr>
        <w:t>.</w:t>
      </w:r>
      <w:r w:rsidRPr="004A207B">
        <w:rPr>
          <w:rFonts w:ascii="Times New Roman" w:eastAsia="Times New Roman" w:hAnsi="Times New Roman" w:cs="Times New Roman"/>
          <w:b/>
          <w:bCs/>
          <w:sz w:val="24"/>
          <w:szCs w:val="24"/>
          <w:lang w:eastAsia="en-IN"/>
        </w:rPr>
        <w:t>) Genotypes from Jammu and Kashmir, India</w:t>
      </w:r>
    </w:p>
    <w:p w14:paraId="0E654613" w14:textId="77777777" w:rsidR="00164C38" w:rsidRDefault="00164C38" w:rsidP="0093104B">
      <w:pPr>
        <w:pStyle w:val="Heading3"/>
        <w:spacing w:line="360" w:lineRule="auto"/>
        <w:jc w:val="both"/>
        <w:rPr>
          <w:rStyle w:val="Strong"/>
          <w:b/>
          <w:bCs/>
        </w:rPr>
      </w:pPr>
    </w:p>
    <w:p w14:paraId="5E3DF582" w14:textId="77777777" w:rsidR="000A4234" w:rsidRPr="0093104B" w:rsidRDefault="000A4234" w:rsidP="0093104B">
      <w:pPr>
        <w:pStyle w:val="Heading3"/>
        <w:spacing w:line="360" w:lineRule="auto"/>
        <w:jc w:val="both"/>
      </w:pPr>
      <w:r w:rsidRPr="0093104B">
        <w:rPr>
          <w:rStyle w:val="Strong"/>
          <w:b/>
          <w:bCs/>
        </w:rPr>
        <w:t>Abstract</w:t>
      </w:r>
    </w:p>
    <w:p w14:paraId="0A005552" w14:textId="644A5612" w:rsidR="000A4234" w:rsidRPr="008755D7" w:rsidRDefault="009E5FF2" w:rsidP="008755D7">
      <w:pPr>
        <w:rPr>
          <w:rFonts w:ascii="Times New Roman" w:hAnsi="Times New Roman" w:cs="Times New Roman"/>
          <w:sz w:val="24"/>
          <w:szCs w:val="24"/>
        </w:rPr>
      </w:pPr>
      <w:r w:rsidRPr="008755D7">
        <w:rPr>
          <w:rFonts w:ascii="Times New Roman" w:eastAsia="Times New Roman" w:hAnsi="Times New Roman" w:cs="Times New Roman"/>
          <w:sz w:val="24"/>
          <w:szCs w:val="24"/>
          <w:highlight w:val="yellow"/>
          <w:lang w:eastAsia="en-IN"/>
        </w:rPr>
        <w:t>Walnut (</w:t>
      </w:r>
      <w:r w:rsidRPr="008755D7">
        <w:rPr>
          <w:rFonts w:ascii="Times New Roman" w:eastAsia="Times New Roman" w:hAnsi="Times New Roman" w:cs="Times New Roman"/>
          <w:i/>
          <w:iCs/>
          <w:sz w:val="24"/>
          <w:szCs w:val="24"/>
          <w:highlight w:val="yellow"/>
          <w:lang w:eastAsia="en-IN"/>
        </w:rPr>
        <w:t>Juglans regia L.</w:t>
      </w:r>
      <w:r w:rsidRPr="008755D7">
        <w:rPr>
          <w:rFonts w:ascii="Times New Roman" w:eastAsia="Times New Roman" w:hAnsi="Times New Roman" w:cs="Times New Roman"/>
          <w:sz w:val="24"/>
          <w:szCs w:val="24"/>
          <w:highlight w:val="yellow"/>
          <w:lang w:eastAsia="en-IN"/>
        </w:rPr>
        <w:t>)</w:t>
      </w:r>
      <w:r w:rsidRPr="008755D7">
        <w:rPr>
          <w:rFonts w:ascii="Times New Roman" w:hAnsi="Times New Roman" w:cs="Times New Roman"/>
          <w:sz w:val="24"/>
          <w:szCs w:val="24"/>
          <w:highlight w:val="yellow"/>
        </w:rPr>
        <w:t xml:space="preserve"> </w:t>
      </w:r>
      <w:r w:rsidRPr="008755D7">
        <w:rPr>
          <w:rFonts w:ascii="Times New Roman" w:eastAsia="Times New Roman" w:hAnsi="Times New Roman" w:cs="Times New Roman"/>
          <w:sz w:val="24"/>
          <w:szCs w:val="24"/>
          <w:highlight w:val="yellow"/>
          <w:lang w:eastAsia="en-IN"/>
        </w:rPr>
        <w:t>is cultivated primarily for its edible kernel, which serves as a valuable source of energy, essential fatty acids, proteins, carbohydrates, minerals, and bioactive compounds.</w:t>
      </w:r>
      <w:r w:rsidRPr="008755D7">
        <w:rPr>
          <w:rFonts w:ascii="Times New Roman" w:eastAsia="Times New Roman" w:hAnsi="Times New Roman" w:cs="Times New Roman"/>
          <w:sz w:val="24"/>
          <w:szCs w:val="24"/>
          <w:highlight w:val="yellow"/>
          <w:lang w:eastAsia="en-IN"/>
        </w:rPr>
        <w:t xml:space="preserve"> </w:t>
      </w:r>
      <w:r w:rsidRPr="008755D7">
        <w:rPr>
          <w:rFonts w:ascii="Times New Roman" w:eastAsia="Times New Roman" w:hAnsi="Times New Roman" w:cs="Times New Roman"/>
          <w:sz w:val="24"/>
          <w:szCs w:val="24"/>
          <w:highlight w:val="yellow"/>
          <w:lang w:eastAsia="en-IN"/>
        </w:rPr>
        <w:t>Considerable variation in walnut kernel composition has been reported globally, influenced by genotype and growing environment.</w:t>
      </w:r>
      <w:r w:rsidRPr="008755D7">
        <w:rPr>
          <w:rFonts w:ascii="Times New Roman" w:eastAsia="Times New Roman" w:hAnsi="Times New Roman" w:cs="Times New Roman"/>
          <w:sz w:val="24"/>
          <w:szCs w:val="24"/>
          <w:lang w:eastAsia="en-IN"/>
        </w:rPr>
        <w:t xml:space="preserve"> </w:t>
      </w:r>
      <w:r w:rsidR="000A4234" w:rsidRPr="008755D7">
        <w:rPr>
          <w:rFonts w:ascii="Times New Roman" w:hAnsi="Times New Roman" w:cs="Times New Roman"/>
          <w:sz w:val="24"/>
          <w:szCs w:val="24"/>
        </w:rPr>
        <w:t>The present study evaluated the biochemical and nutritional composition of twenty-one walnut (</w:t>
      </w:r>
      <w:r w:rsidR="000A4234" w:rsidRPr="008755D7">
        <w:rPr>
          <w:rStyle w:val="Emphasis"/>
          <w:rFonts w:ascii="Times New Roman" w:hAnsi="Times New Roman" w:cs="Times New Roman"/>
          <w:sz w:val="24"/>
          <w:szCs w:val="24"/>
        </w:rPr>
        <w:t>Juglans regia L.</w:t>
      </w:r>
      <w:r w:rsidR="000A4234" w:rsidRPr="008755D7">
        <w:rPr>
          <w:rFonts w:ascii="Times New Roman" w:hAnsi="Times New Roman" w:cs="Times New Roman"/>
          <w:sz w:val="24"/>
          <w:szCs w:val="24"/>
        </w:rPr>
        <w:t>) genotypes collected from diverse agro-climatic regions of Baramulla, Jammu and Kashmir, India. The investigation aimed to quantify genetic variability, heritability, and genetic advance for key kernel quality traits such as moisture, protein, ash, carbohydrate, oil, fatty acids, and flavonoid content. Moisture content ranged from 2.19 % to 3.25 %, whereas kernel oil content exhibited the greatest variability (50.39 %–70.55 %), with linoleic acid predominating (44.65 %–62.49 %). Protein content varied between 17.12 % and 20.88 %, and carbohydrate content between 8.48 % and 24.43 %. Ash content ranged from 1.12 % to 2.21 %, while total flavonoid content varied from 5.43 to 26.66 mg g⁻¹ QE. High heritability and expected genetic gain for oil, ash, carbohydrate, and flavonoid content highlight their suitability for selection-based improvement. Principal component analysis indicated that oil, linoleic acid, and flavonoid content contributed most to total variability among genotypes. The results demonstrate substantial biochemical diversity that can be utilized to develop nutritionally rich, industrially valuable walnut cultivars and support the sustainable production of high-quality genotypes in temperate regions, particularly Jammu and Kashmir.</w:t>
      </w:r>
    </w:p>
    <w:p w14:paraId="49D5DD24" w14:textId="49C1F2D7" w:rsidR="0093104B" w:rsidRPr="0093104B" w:rsidRDefault="0093104B" w:rsidP="0093104B">
      <w:pPr>
        <w:pStyle w:val="Heading3"/>
        <w:spacing w:line="360" w:lineRule="auto"/>
        <w:jc w:val="both"/>
        <w:rPr>
          <w:rStyle w:val="Strong"/>
          <w:b/>
          <w:bCs/>
          <w:sz w:val="24"/>
        </w:rPr>
      </w:pPr>
      <w:r w:rsidRPr="0093104B">
        <w:rPr>
          <w:rStyle w:val="Strong"/>
          <w:b/>
          <w:sz w:val="24"/>
        </w:rPr>
        <w:t>Keywords:</w:t>
      </w:r>
      <w:r w:rsidRPr="0093104B">
        <w:rPr>
          <w:b w:val="0"/>
          <w:sz w:val="24"/>
        </w:rPr>
        <w:t xml:space="preserve"> </w:t>
      </w:r>
      <w:r w:rsidRPr="008755D7">
        <w:rPr>
          <w:rStyle w:val="Emphasis"/>
          <w:b w:val="0"/>
          <w:sz w:val="24"/>
          <w:highlight w:val="yellow"/>
        </w:rPr>
        <w:t>Juglans</w:t>
      </w:r>
      <w:r w:rsidRPr="0093104B">
        <w:rPr>
          <w:rStyle w:val="Emphasis"/>
          <w:b w:val="0"/>
          <w:sz w:val="24"/>
        </w:rPr>
        <w:t xml:space="preserve"> regia</w:t>
      </w:r>
      <w:r w:rsidRPr="0093104B">
        <w:rPr>
          <w:b w:val="0"/>
          <w:sz w:val="24"/>
        </w:rPr>
        <w:t xml:space="preserve"> L.; biochemical composition; oil content; flavonoids; genetic variability; </w:t>
      </w:r>
      <w:r w:rsidRPr="008755D7">
        <w:rPr>
          <w:b w:val="0"/>
          <w:sz w:val="24"/>
          <w:highlight w:val="yellow"/>
        </w:rPr>
        <w:t>principal</w:t>
      </w:r>
      <w:r w:rsidRPr="0093104B">
        <w:rPr>
          <w:b w:val="0"/>
          <w:sz w:val="24"/>
        </w:rPr>
        <w:t xml:space="preserve"> component analysis</w:t>
      </w:r>
    </w:p>
    <w:p w14:paraId="2C918A51" w14:textId="77777777" w:rsidR="000A4234" w:rsidRPr="0093104B" w:rsidRDefault="000A4234" w:rsidP="0093104B">
      <w:pPr>
        <w:pStyle w:val="Heading3"/>
        <w:spacing w:line="360" w:lineRule="auto"/>
        <w:jc w:val="both"/>
      </w:pPr>
      <w:r w:rsidRPr="0093104B">
        <w:rPr>
          <w:rStyle w:val="Strong"/>
          <w:b/>
          <w:bCs/>
        </w:rPr>
        <w:t>Introduction</w:t>
      </w:r>
    </w:p>
    <w:p w14:paraId="66740FE7" w14:textId="6519792D"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Walnut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is one of the most important nut crops of the temperate regions and is globally recognized for its nutritional richness and health-promoting properties. Belonging to the family Juglandaceae, it is cultivated primarily for its edible kernel, which serves as a valuable source of energy, essential fatty acids, proteins, carbohydrates, minerals, and bioactive compounds. The oil fraction of walnut is dominated by polyunsaturated fatty acids, mainly linoleic (C18:2 n-6), oleic (C18:1 n-9), and α-linolenic acids (C18:3 n-3), which together account for nearly two-thirds of total lipids</w:t>
      </w:r>
      <w:r w:rsidR="00E41EC4">
        <w:rPr>
          <w:rFonts w:ascii="Times New Roman" w:eastAsia="Times New Roman" w:hAnsi="Times New Roman" w:cs="Times New Roman"/>
          <w:sz w:val="24"/>
          <w:szCs w:val="24"/>
          <w:lang w:eastAsia="en-IN"/>
        </w:rPr>
        <w:t xml:space="preserve"> </w:t>
      </w:r>
      <w:r w:rsidR="00E41EC4" w:rsidRPr="008755D7">
        <w:rPr>
          <w:rFonts w:ascii="Times New Roman" w:eastAsia="Times New Roman" w:hAnsi="Times New Roman" w:cs="Times New Roman"/>
          <w:sz w:val="24"/>
          <w:szCs w:val="24"/>
          <w:highlight w:val="yellow"/>
          <w:lang w:eastAsia="en-IN"/>
        </w:rPr>
        <w:t>(</w:t>
      </w:r>
      <w:proofErr w:type="spellStart"/>
      <w:r w:rsidR="00E41EC4" w:rsidRPr="008755D7">
        <w:rPr>
          <w:rFonts w:ascii="Times New Roman" w:eastAsia="Times New Roman" w:hAnsi="Times New Roman" w:cs="Times New Roman"/>
          <w:sz w:val="24"/>
          <w:szCs w:val="24"/>
          <w:highlight w:val="yellow"/>
          <w:lang w:eastAsia="en-IN"/>
        </w:rPr>
        <w:t>Kafkas</w:t>
      </w:r>
      <w:proofErr w:type="spellEnd"/>
      <w:r w:rsidR="00E41EC4" w:rsidRPr="008755D7">
        <w:rPr>
          <w:rFonts w:ascii="Times New Roman" w:eastAsia="Times New Roman" w:hAnsi="Times New Roman" w:cs="Times New Roman"/>
          <w:sz w:val="24"/>
          <w:szCs w:val="24"/>
          <w:highlight w:val="yellow"/>
          <w:lang w:eastAsia="en-IN"/>
        </w:rPr>
        <w:t xml:space="preserve"> et al., 2020</w:t>
      </w:r>
      <w:r w:rsidR="00AD733E" w:rsidRPr="00AD733E">
        <w:rPr>
          <w:rFonts w:ascii="Times New Roman" w:eastAsia="Times New Roman" w:hAnsi="Times New Roman" w:cs="Times New Roman"/>
          <w:sz w:val="24"/>
          <w:szCs w:val="24"/>
          <w:highlight w:val="yellow"/>
          <w:lang w:eastAsia="en-IN"/>
        </w:rPr>
        <w:t xml:space="preserve">; </w:t>
      </w:r>
      <w:r w:rsidR="00AD733E" w:rsidRPr="008755D7">
        <w:rPr>
          <w:rFonts w:ascii="Times New Roman" w:eastAsia="Times New Roman" w:hAnsi="Times New Roman" w:cs="Times New Roman"/>
          <w:sz w:val="24"/>
          <w:szCs w:val="24"/>
          <w:highlight w:val="yellow"/>
          <w:lang w:eastAsia="en-IN"/>
        </w:rPr>
        <w:t>Ara et al., 2023</w:t>
      </w:r>
      <w:r w:rsidR="00E41EC4"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r w:rsidRPr="0093104B">
        <w:rPr>
          <w:rFonts w:ascii="Times New Roman" w:eastAsia="Times New Roman" w:hAnsi="Times New Roman" w:cs="Times New Roman"/>
          <w:sz w:val="24"/>
          <w:szCs w:val="24"/>
          <w:lang w:eastAsia="en-IN"/>
        </w:rPr>
        <w:t xml:space="preserve"> A balanced ratio of omega-6 to omega-3 fatty acids makes walnut a functional food known for </w:t>
      </w:r>
      <w:r w:rsidRPr="0093104B">
        <w:rPr>
          <w:rFonts w:ascii="Times New Roman" w:eastAsia="Times New Roman" w:hAnsi="Times New Roman" w:cs="Times New Roman"/>
          <w:sz w:val="24"/>
          <w:szCs w:val="24"/>
          <w:lang w:eastAsia="en-IN"/>
        </w:rPr>
        <w:lastRenderedPageBreak/>
        <w:t>cardioprotective, neuroprotective, and anti-inflammatory effects</w:t>
      </w:r>
      <w:r w:rsidR="00521BD8">
        <w:rPr>
          <w:rFonts w:ascii="Times New Roman" w:eastAsia="Times New Roman" w:hAnsi="Times New Roman" w:cs="Times New Roman"/>
          <w:sz w:val="24"/>
          <w:szCs w:val="24"/>
          <w:lang w:eastAsia="en-IN"/>
        </w:rPr>
        <w:t xml:space="preserve"> </w:t>
      </w:r>
      <w:r w:rsidR="00521BD8" w:rsidRPr="008755D7">
        <w:rPr>
          <w:rFonts w:ascii="Times New Roman" w:eastAsia="Times New Roman" w:hAnsi="Times New Roman" w:cs="Times New Roman"/>
          <w:sz w:val="24"/>
          <w:szCs w:val="24"/>
          <w:highlight w:val="yellow"/>
          <w:lang w:eastAsia="en-IN"/>
        </w:rPr>
        <w:t>(</w:t>
      </w:r>
      <w:r w:rsidR="00521BD8" w:rsidRPr="008755D7">
        <w:rPr>
          <w:rFonts w:ascii="Times New Roman" w:hAnsi="Times New Roman" w:cs="Times New Roman"/>
          <w:sz w:val="24"/>
          <w:szCs w:val="24"/>
          <w:highlight w:val="yellow"/>
        </w:rPr>
        <w:t>Gao</w:t>
      </w:r>
      <w:r w:rsidR="00521BD8" w:rsidRPr="008755D7">
        <w:rPr>
          <w:rFonts w:ascii="Times New Roman" w:hAnsi="Times New Roman" w:cs="Times New Roman"/>
          <w:sz w:val="24"/>
          <w:szCs w:val="24"/>
          <w:highlight w:val="yellow"/>
        </w:rPr>
        <w:t xml:space="preserve"> et al., 2019</w:t>
      </w:r>
      <w:r w:rsidR="00521BD8"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 xml:space="preserve">. </w:t>
      </w:r>
      <w:r w:rsidR="00935E0A" w:rsidRPr="008755D7">
        <w:rPr>
          <w:rFonts w:ascii="Times New Roman" w:eastAsia="Times New Roman" w:hAnsi="Times New Roman" w:cs="Times New Roman"/>
          <w:sz w:val="24"/>
          <w:szCs w:val="24"/>
          <w:highlight w:val="yellow"/>
          <w:lang w:eastAsia="en-IN"/>
        </w:rPr>
        <w:t>Walnut oil is high in  omega-3  fats, which have been linked to a variety of health benefits, including reducing the risk of dementia and heart disease</w:t>
      </w:r>
      <w:r w:rsidR="00935E0A">
        <w:rPr>
          <w:rFonts w:ascii="Times New Roman" w:eastAsia="Times New Roman" w:hAnsi="Times New Roman" w:cs="Times New Roman"/>
          <w:sz w:val="24"/>
          <w:szCs w:val="24"/>
          <w:highlight w:val="yellow"/>
          <w:lang w:eastAsia="en-IN"/>
        </w:rPr>
        <w:t xml:space="preserve"> (</w:t>
      </w:r>
      <w:proofErr w:type="spellStart"/>
      <w:r w:rsidR="00935E0A" w:rsidRPr="00935E0A">
        <w:rPr>
          <w:rFonts w:ascii="Times New Roman" w:eastAsia="Times New Roman" w:hAnsi="Times New Roman" w:cs="Times New Roman"/>
          <w:sz w:val="24"/>
          <w:szCs w:val="24"/>
          <w:highlight w:val="yellow"/>
          <w:lang w:eastAsia="en-IN"/>
        </w:rPr>
        <w:t>Sandulachi</w:t>
      </w:r>
      <w:proofErr w:type="spellEnd"/>
      <w:r w:rsidR="00935E0A">
        <w:rPr>
          <w:rFonts w:ascii="Times New Roman" w:eastAsia="Times New Roman" w:hAnsi="Times New Roman" w:cs="Times New Roman"/>
          <w:sz w:val="24"/>
          <w:szCs w:val="24"/>
          <w:highlight w:val="yellow"/>
          <w:lang w:eastAsia="en-IN"/>
        </w:rPr>
        <w:t xml:space="preserve"> et al., 2019)</w:t>
      </w:r>
      <w:r w:rsidR="00935E0A" w:rsidRPr="008755D7">
        <w:rPr>
          <w:rFonts w:ascii="Times New Roman" w:eastAsia="Times New Roman" w:hAnsi="Times New Roman" w:cs="Times New Roman"/>
          <w:sz w:val="24"/>
          <w:szCs w:val="24"/>
          <w:highlight w:val="yellow"/>
          <w:lang w:eastAsia="en-IN"/>
        </w:rPr>
        <w:t>.</w:t>
      </w:r>
      <w:r w:rsidR="00935E0A">
        <w:rPr>
          <w:rFonts w:ascii="Times New Roman" w:eastAsia="Times New Roman" w:hAnsi="Times New Roman" w:cs="Times New Roman"/>
          <w:sz w:val="24"/>
          <w:szCs w:val="24"/>
          <w:lang w:eastAsia="en-IN"/>
        </w:rPr>
        <w:t xml:space="preserve"> </w:t>
      </w:r>
      <w:r w:rsidRPr="0093104B">
        <w:rPr>
          <w:rFonts w:ascii="Times New Roman" w:eastAsia="Times New Roman" w:hAnsi="Times New Roman" w:cs="Times New Roman"/>
          <w:sz w:val="24"/>
          <w:szCs w:val="24"/>
          <w:lang w:eastAsia="en-IN"/>
        </w:rPr>
        <w:t>In addition, walnut kernels contain considerable amounts of phenolic acids, flavonoids, tocopherols, and tannins that contribute to their antioxidant potential and health benefits</w:t>
      </w:r>
      <w:r w:rsidR="00F1156D">
        <w:rPr>
          <w:rFonts w:ascii="Times New Roman" w:eastAsia="Times New Roman" w:hAnsi="Times New Roman" w:cs="Times New Roman"/>
          <w:sz w:val="24"/>
          <w:szCs w:val="24"/>
          <w:lang w:eastAsia="en-IN"/>
        </w:rPr>
        <w:t xml:space="preserve"> </w:t>
      </w:r>
      <w:r w:rsidR="00F1156D" w:rsidRPr="008755D7">
        <w:rPr>
          <w:rFonts w:ascii="Times New Roman" w:eastAsia="Times New Roman" w:hAnsi="Times New Roman" w:cs="Times New Roman"/>
          <w:sz w:val="24"/>
          <w:szCs w:val="24"/>
          <w:highlight w:val="yellow"/>
          <w:lang w:eastAsia="en-IN"/>
        </w:rPr>
        <w:t>(</w:t>
      </w:r>
      <w:r w:rsidR="00F1156D" w:rsidRPr="008755D7">
        <w:rPr>
          <w:rFonts w:ascii="Times New Roman" w:eastAsia="Times New Roman" w:hAnsi="Times New Roman" w:cs="Times New Roman"/>
          <w:sz w:val="24"/>
          <w:szCs w:val="24"/>
          <w:highlight w:val="yellow"/>
          <w:lang w:eastAsia="en-IN"/>
        </w:rPr>
        <w:t>Goodarzi et al., 2023</w:t>
      </w:r>
      <w:r w:rsidR="00F1156D"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p>
    <w:p w14:paraId="0D92FFE4" w14:textId="0DEDBC55" w:rsidR="000A4234" w:rsidRPr="00935E0A"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Considerable variation in walnut kernel composition has been reported globally, influenced by genotype and growing environment</w:t>
      </w:r>
      <w:r w:rsidR="00FF2B1A">
        <w:rPr>
          <w:rFonts w:ascii="Times New Roman" w:eastAsia="Times New Roman" w:hAnsi="Times New Roman" w:cs="Times New Roman"/>
          <w:sz w:val="24"/>
          <w:szCs w:val="24"/>
          <w:lang w:eastAsia="en-IN"/>
        </w:rPr>
        <w:t xml:space="preserve"> </w:t>
      </w:r>
      <w:r w:rsidR="00FF2B1A" w:rsidRPr="008755D7">
        <w:rPr>
          <w:rFonts w:ascii="Times New Roman" w:eastAsia="Times New Roman" w:hAnsi="Times New Roman" w:cs="Times New Roman"/>
          <w:sz w:val="24"/>
          <w:szCs w:val="24"/>
          <w:highlight w:val="yellow"/>
          <w:lang w:eastAsia="en-IN"/>
        </w:rPr>
        <w:t>(</w:t>
      </w:r>
      <w:proofErr w:type="spellStart"/>
      <w:r w:rsidR="00FF2B1A" w:rsidRPr="008755D7">
        <w:rPr>
          <w:rFonts w:ascii="Times New Roman" w:eastAsia="Times New Roman" w:hAnsi="Times New Roman" w:cs="Times New Roman"/>
          <w:sz w:val="24"/>
          <w:szCs w:val="24"/>
          <w:highlight w:val="yellow"/>
          <w:lang w:eastAsia="en-IN"/>
        </w:rPr>
        <w:t>Chashman</w:t>
      </w:r>
      <w:proofErr w:type="spellEnd"/>
      <w:r w:rsidR="00FF2B1A" w:rsidRPr="008755D7">
        <w:rPr>
          <w:rFonts w:ascii="Times New Roman" w:eastAsia="Times New Roman" w:hAnsi="Times New Roman" w:cs="Times New Roman"/>
          <w:sz w:val="24"/>
          <w:szCs w:val="24"/>
          <w:highlight w:val="yellow"/>
          <w:lang w:eastAsia="en-IN"/>
        </w:rPr>
        <w:t xml:space="preserve"> et al., 2025</w:t>
      </w:r>
      <w:r w:rsidR="00FF2B1A"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r w:rsidRPr="0093104B">
        <w:rPr>
          <w:rFonts w:ascii="Times New Roman" w:eastAsia="Times New Roman" w:hAnsi="Times New Roman" w:cs="Times New Roman"/>
          <w:sz w:val="24"/>
          <w:szCs w:val="24"/>
          <w:lang w:eastAsia="en-IN"/>
        </w:rPr>
        <w:t xml:space="preserve"> Studies from Turkey, Spain, Tunisia, Romania, and other walnut-producing regions indicate wide differences in oil composition, protein content, phenolics, and antioxidant activity</w:t>
      </w:r>
      <w:r w:rsidR="009D5B1E">
        <w:rPr>
          <w:rFonts w:ascii="Times New Roman" w:eastAsia="Times New Roman" w:hAnsi="Times New Roman" w:cs="Times New Roman"/>
          <w:sz w:val="24"/>
          <w:szCs w:val="24"/>
          <w:lang w:eastAsia="en-IN"/>
        </w:rPr>
        <w:t xml:space="preserve"> </w:t>
      </w:r>
      <w:r w:rsidR="009D5B1E" w:rsidRPr="008755D7">
        <w:rPr>
          <w:rFonts w:ascii="Times New Roman" w:eastAsia="Times New Roman" w:hAnsi="Times New Roman" w:cs="Times New Roman"/>
          <w:sz w:val="24"/>
          <w:szCs w:val="24"/>
          <w:highlight w:val="yellow"/>
          <w:lang w:eastAsia="en-IN"/>
        </w:rPr>
        <w:t xml:space="preserve">(FAO, </w:t>
      </w:r>
      <w:r w:rsidR="009D5B1E" w:rsidRPr="008755D7">
        <w:rPr>
          <w:rFonts w:ascii="Times New Roman" w:eastAsia="Times New Roman" w:hAnsi="Times New Roman" w:cs="Times New Roman"/>
          <w:sz w:val="24"/>
          <w:szCs w:val="24"/>
          <w:highlight w:val="yellow"/>
          <w:lang w:eastAsia="en-IN"/>
        </w:rPr>
        <w:t>2025</w:t>
      </w:r>
      <w:r w:rsidR="009D5B1E"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r w:rsidRPr="0093104B">
        <w:rPr>
          <w:rFonts w:ascii="Times New Roman" w:eastAsia="Times New Roman" w:hAnsi="Times New Roman" w:cs="Times New Roman"/>
          <w:sz w:val="24"/>
          <w:szCs w:val="24"/>
          <w:lang w:eastAsia="en-IN"/>
        </w:rPr>
        <w:t xml:space="preserve"> In India, however, biochemical evaluation of indigenous genotypes has received limited attention, as most studies have focused on morphological and yield characteristics. Jammu and Kashmir, the major walnut-producing region of India, </w:t>
      </w:r>
      <w:proofErr w:type="spellStart"/>
      <w:r w:rsidRPr="0093104B">
        <w:rPr>
          <w:rFonts w:ascii="Times New Roman" w:eastAsia="Times New Roman" w:hAnsi="Times New Roman" w:cs="Times New Roman"/>
          <w:sz w:val="24"/>
          <w:szCs w:val="24"/>
          <w:lang w:eastAsia="en-IN"/>
        </w:rPr>
        <w:t>harbors</w:t>
      </w:r>
      <w:proofErr w:type="spellEnd"/>
      <w:r w:rsidRPr="0093104B">
        <w:rPr>
          <w:rFonts w:ascii="Times New Roman" w:eastAsia="Times New Roman" w:hAnsi="Times New Roman" w:cs="Times New Roman"/>
          <w:sz w:val="24"/>
          <w:szCs w:val="24"/>
          <w:lang w:eastAsia="en-IN"/>
        </w:rPr>
        <w:t xml:space="preserve"> predominantly seedling-origin populations that exhibit substantial genetic heterogeneity</w:t>
      </w:r>
      <w:r w:rsidR="00465FB1">
        <w:rPr>
          <w:rFonts w:ascii="Times New Roman" w:eastAsia="Times New Roman" w:hAnsi="Times New Roman" w:cs="Times New Roman"/>
          <w:sz w:val="24"/>
          <w:szCs w:val="24"/>
          <w:lang w:eastAsia="en-IN"/>
        </w:rPr>
        <w:t xml:space="preserve"> </w:t>
      </w:r>
      <w:r w:rsidR="00465FB1" w:rsidRPr="008755D7">
        <w:rPr>
          <w:rFonts w:ascii="Times New Roman" w:eastAsia="Times New Roman" w:hAnsi="Times New Roman" w:cs="Times New Roman"/>
          <w:sz w:val="24"/>
          <w:szCs w:val="24"/>
          <w:highlight w:val="yellow"/>
          <w:lang w:eastAsia="en-IN"/>
        </w:rPr>
        <w:t>(</w:t>
      </w:r>
      <w:r w:rsidR="00465FB1" w:rsidRPr="008755D7">
        <w:rPr>
          <w:rFonts w:ascii="Times New Roman" w:eastAsia="Times New Roman" w:hAnsi="Times New Roman" w:cs="Times New Roman"/>
          <w:sz w:val="24"/>
          <w:szCs w:val="24"/>
          <w:highlight w:val="yellow"/>
          <w:lang w:eastAsia="en-IN"/>
        </w:rPr>
        <w:t>National Horticulture Board</w:t>
      </w:r>
      <w:r w:rsidR="00465FB1">
        <w:rPr>
          <w:rFonts w:ascii="Times New Roman" w:eastAsia="Times New Roman" w:hAnsi="Times New Roman" w:cs="Times New Roman"/>
          <w:sz w:val="24"/>
          <w:szCs w:val="24"/>
          <w:highlight w:val="yellow"/>
          <w:lang w:eastAsia="en-IN"/>
        </w:rPr>
        <w:t>,</w:t>
      </w:r>
      <w:r w:rsidR="00465FB1" w:rsidRPr="008755D7">
        <w:rPr>
          <w:rFonts w:ascii="Times New Roman" w:eastAsia="Times New Roman" w:hAnsi="Times New Roman" w:cs="Times New Roman"/>
          <w:sz w:val="24"/>
          <w:szCs w:val="24"/>
          <w:highlight w:val="yellow"/>
          <w:lang w:eastAsia="en-IN"/>
        </w:rPr>
        <w:t xml:space="preserve"> </w:t>
      </w:r>
      <w:r w:rsidR="00465FB1" w:rsidRPr="008755D7">
        <w:rPr>
          <w:rFonts w:ascii="Times New Roman" w:eastAsia="Times New Roman" w:hAnsi="Times New Roman" w:cs="Times New Roman"/>
          <w:sz w:val="24"/>
          <w:szCs w:val="24"/>
          <w:highlight w:val="yellow"/>
          <w:lang w:eastAsia="en-IN"/>
        </w:rPr>
        <w:t>2019</w:t>
      </w:r>
      <w:r w:rsidR="00465FB1"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r w:rsidRPr="0093104B">
        <w:rPr>
          <w:rFonts w:ascii="Times New Roman" w:eastAsia="Times New Roman" w:hAnsi="Times New Roman" w:cs="Times New Roman"/>
          <w:sz w:val="24"/>
          <w:szCs w:val="24"/>
          <w:lang w:eastAsia="en-IN"/>
        </w:rPr>
        <w:t xml:space="preserve"> This diversity extends beyond nut and kernel morphology to include biochemical composition, which directly determines nutritional and commercial value</w:t>
      </w:r>
      <w:r w:rsidR="006202BE">
        <w:rPr>
          <w:rFonts w:ascii="Times New Roman" w:eastAsia="Times New Roman" w:hAnsi="Times New Roman" w:cs="Times New Roman"/>
          <w:sz w:val="24"/>
          <w:szCs w:val="24"/>
          <w:lang w:eastAsia="en-IN"/>
        </w:rPr>
        <w:t xml:space="preserve"> </w:t>
      </w:r>
      <w:r w:rsidR="006202BE" w:rsidRPr="008755D7">
        <w:rPr>
          <w:rFonts w:ascii="Times New Roman" w:eastAsia="Times New Roman" w:hAnsi="Times New Roman" w:cs="Times New Roman"/>
          <w:sz w:val="24"/>
          <w:szCs w:val="24"/>
          <w:highlight w:val="yellow"/>
          <w:lang w:eastAsia="en-IN"/>
        </w:rPr>
        <w:t>(</w:t>
      </w:r>
      <w:r w:rsidR="006202BE" w:rsidRPr="008755D7">
        <w:rPr>
          <w:rFonts w:ascii="Times New Roman" w:eastAsia="Times New Roman" w:hAnsi="Times New Roman" w:cs="Times New Roman"/>
          <w:sz w:val="24"/>
          <w:szCs w:val="24"/>
          <w:highlight w:val="yellow"/>
          <w:lang w:eastAsia="en-IN"/>
        </w:rPr>
        <w:t>Zheng et al., 2020</w:t>
      </w:r>
      <w:r w:rsidR="006202BE" w:rsidRPr="008755D7">
        <w:rPr>
          <w:rFonts w:ascii="Times New Roman" w:eastAsia="Times New Roman" w:hAnsi="Times New Roman" w:cs="Times New Roman"/>
          <w:sz w:val="24"/>
          <w:szCs w:val="24"/>
          <w:highlight w:val="yellow"/>
          <w:lang w:eastAsia="en-IN"/>
        </w:rPr>
        <w:t>)</w:t>
      </w:r>
      <w:r w:rsidRPr="008755D7">
        <w:rPr>
          <w:rFonts w:ascii="Times New Roman" w:eastAsia="Times New Roman" w:hAnsi="Times New Roman" w:cs="Times New Roman"/>
          <w:sz w:val="24"/>
          <w:szCs w:val="24"/>
          <w:highlight w:val="yellow"/>
          <w:lang w:eastAsia="en-IN"/>
        </w:rPr>
        <w:t>.</w:t>
      </w:r>
      <w:r w:rsidR="00667CAC" w:rsidRPr="008755D7">
        <w:rPr>
          <w:rFonts w:ascii="Times New Roman" w:eastAsia="Times New Roman" w:hAnsi="Times New Roman" w:cs="Times New Roman"/>
          <w:sz w:val="24"/>
          <w:szCs w:val="24"/>
          <w:highlight w:val="yellow"/>
          <w:lang w:eastAsia="en-IN"/>
        </w:rPr>
        <w:t xml:space="preserve"> </w:t>
      </w:r>
      <w:r w:rsidR="00667CAC" w:rsidRPr="006202BE">
        <w:rPr>
          <w:rFonts w:ascii="Times New Roman" w:eastAsia="Times New Roman" w:hAnsi="Times New Roman" w:cs="Times New Roman"/>
          <w:sz w:val="24"/>
          <w:szCs w:val="24"/>
          <w:highlight w:val="yellow"/>
          <w:lang w:eastAsia="en-IN"/>
        </w:rPr>
        <w:t>Identify</w:t>
      </w:r>
      <w:r w:rsidR="00667CAC" w:rsidRPr="00E93863">
        <w:rPr>
          <w:rFonts w:ascii="Times New Roman" w:eastAsia="Times New Roman" w:hAnsi="Times New Roman" w:cs="Times New Roman"/>
          <w:sz w:val="24"/>
          <w:szCs w:val="24"/>
          <w:highlight w:val="yellow"/>
          <w:lang w:eastAsia="en-IN"/>
        </w:rPr>
        <w:t>ing and selecting superior genotypes in different countries and regions is a valuable breeding method in walnuts</w:t>
      </w:r>
      <w:r w:rsidR="00667CAC">
        <w:rPr>
          <w:rFonts w:ascii="Times New Roman" w:eastAsia="Times New Roman" w:hAnsi="Times New Roman" w:cs="Times New Roman"/>
          <w:sz w:val="24"/>
          <w:szCs w:val="24"/>
          <w:highlight w:val="yellow"/>
          <w:lang w:eastAsia="en-IN"/>
        </w:rPr>
        <w:t xml:space="preserve"> (</w:t>
      </w:r>
      <w:r w:rsidR="00667CAC">
        <w:rPr>
          <w:rFonts w:ascii="Times New Roman" w:eastAsia="Times New Roman" w:hAnsi="Times New Roman" w:cs="Times New Roman"/>
          <w:sz w:val="24"/>
          <w:szCs w:val="24"/>
          <w:highlight w:val="yellow"/>
          <w:lang w:eastAsia="en-IN"/>
        </w:rPr>
        <w:t xml:space="preserve">Hakimi </w:t>
      </w:r>
      <w:r w:rsidR="00667CAC" w:rsidRPr="00935E0A">
        <w:rPr>
          <w:rFonts w:ascii="Times New Roman" w:eastAsia="Times New Roman" w:hAnsi="Times New Roman" w:cs="Times New Roman"/>
          <w:sz w:val="24"/>
          <w:szCs w:val="24"/>
          <w:highlight w:val="yellow"/>
          <w:lang w:eastAsia="en-IN"/>
        </w:rPr>
        <w:t>et al., 2024</w:t>
      </w:r>
      <w:r w:rsidR="00935E0A" w:rsidRPr="00935E0A">
        <w:rPr>
          <w:rFonts w:ascii="Times New Roman" w:eastAsia="Times New Roman" w:hAnsi="Times New Roman" w:cs="Times New Roman"/>
          <w:sz w:val="24"/>
          <w:szCs w:val="24"/>
          <w:highlight w:val="yellow"/>
          <w:lang w:eastAsia="en-IN"/>
        </w:rPr>
        <w:t xml:space="preserve">; </w:t>
      </w:r>
      <w:proofErr w:type="spellStart"/>
      <w:r w:rsidR="00935E0A" w:rsidRPr="008755D7">
        <w:rPr>
          <w:rFonts w:ascii="Times New Roman" w:hAnsi="Times New Roman" w:cs="Times New Roman"/>
          <w:sz w:val="24"/>
          <w:szCs w:val="24"/>
          <w:highlight w:val="yellow"/>
          <w:lang w:val="en-GB"/>
        </w:rPr>
        <w:t>Farokhzad</w:t>
      </w:r>
      <w:proofErr w:type="spellEnd"/>
      <w:r w:rsidR="00935E0A" w:rsidRPr="008755D7">
        <w:rPr>
          <w:rFonts w:ascii="Times New Roman" w:hAnsi="Times New Roman" w:cs="Times New Roman"/>
          <w:sz w:val="24"/>
          <w:szCs w:val="24"/>
          <w:highlight w:val="yellow"/>
          <w:lang w:val="en-GB"/>
        </w:rPr>
        <w:t xml:space="preserve"> et al., 2018</w:t>
      </w:r>
      <w:r w:rsidR="00667CAC" w:rsidRPr="00935E0A">
        <w:rPr>
          <w:rFonts w:ascii="Times New Roman" w:eastAsia="Times New Roman" w:hAnsi="Times New Roman" w:cs="Times New Roman"/>
          <w:sz w:val="24"/>
          <w:szCs w:val="24"/>
          <w:highlight w:val="yellow"/>
          <w:lang w:eastAsia="en-IN"/>
        </w:rPr>
        <w:t>).</w:t>
      </w:r>
      <w:r w:rsidR="00667CAC" w:rsidRPr="00935E0A">
        <w:rPr>
          <w:rFonts w:ascii="Times New Roman" w:eastAsia="Times New Roman" w:hAnsi="Times New Roman" w:cs="Times New Roman"/>
          <w:sz w:val="24"/>
          <w:szCs w:val="24"/>
          <w:lang w:eastAsia="en-IN"/>
        </w:rPr>
        <w:t xml:space="preserve"> </w:t>
      </w:r>
    </w:p>
    <w:p w14:paraId="5B6F81AD"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Only a few biochemical studies have been reported for genotypes from the Kashmir valley, while information from the Jammu region remains scarce. Comprehensive assessment of regional germplasm for biochemical traits such as oil, protein, carbohydrates, and flavonoids is therefore critical. Understanding variability and heritability in these parameters can facilitate the identification of superior genotypes that combine nutritional excellence with industrial utility. The present investigation was thus undertaken to evaluate the biochemical composition and genetic variability of twenty-one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collected from diverse agro-climatic regions of Jammu and Kashmir, India, with the objective of identifying nutritionally superior selections for future breeding and commercial improvement.</w:t>
      </w:r>
    </w:p>
    <w:p w14:paraId="5FCEBE5C" w14:textId="77777777" w:rsidR="000A4234" w:rsidRPr="0093104B" w:rsidRDefault="000A4234" w:rsidP="0093104B">
      <w:pPr>
        <w:pStyle w:val="Heading3"/>
        <w:spacing w:line="360" w:lineRule="auto"/>
        <w:jc w:val="both"/>
      </w:pPr>
      <w:r w:rsidRPr="0093104B">
        <w:rPr>
          <w:sz w:val="24"/>
          <w:szCs w:val="24"/>
        </w:rPr>
        <w:tab/>
      </w:r>
      <w:r w:rsidRPr="0093104B">
        <w:rPr>
          <w:rStyle w:val="Strong"/>
          <w:b/>
          <w:bCs/>
        </w:rPr>
        <w:t>Materials and Methods</w:t>
      </w:r>
    </w:p>
    <w:p w14:paraId="1969BA92"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Plant Material and Sampling</w:t>
      </w:r>
    </w:p>
    <w:p w14:paraId="08274324" w14:textId="77777777" w:rsidR="000A4234" w:rsidRPr="0093104B" w:rsidRDefault="000A4234" w:rsidP="0093104B">
      <w:pPr>
        <w:pStyle w:val="NormalWeb"/>
        <w:spacing w:line="360" w:lineRule="auto"/>
        <w:jc w:val="both"/>
      </w:pPr>
      <w:r w:rsidRPr="0093104B">
        <w:t>Twenty-one walnut (</w:t>
      </w:r>
      <w:r w:rsidRPr="0093104B">
        <w:rPr>
          <w:rStyle w:val="Emphasis"/>
          <w:rFonts w:eastAsiaTheme="majorEastAsia"/>
        </w:rPr>
        <w:t>Juglans regia L.</w:t>
      </w:r>
      <w:r w:rsidRPr="0093104B">
        <w:t xml:space="preserve">) genotypes were evaluated during the 2020 and 2021 harvest seasons. Samples were collected from diverse locations in the Baramulla district of </w:t>
      </w:r>
      <w:r w:rsidRPr="0093104B">
        <w:lastRenderedPageBreak/>
        <w:t xml:space="preserve">Jammu and Kashmir, India, representing six major walnut-growing areas: Sopore, </w:t>
      </w:r>
      <w:proofErr w:type="spellStart"/>
      <w:r w:rsidRPr="0093104B">
        <w:t>Tangmarg</w:t>
      </w:r>
      <w:proofErr w:type="spellEnd"/>
      <w:r w:rsidRPr="0093104B">
        <w:t xml:space="preserve">, Pattan, Binner, </w:t>
      </w:r>
      <w:proofErr w:type="spellStart"/>
      <w:r w:rsidRPr="0093104B">
        <w:t>Rafiabad</w:t>
      </w:r>
      <w:proofErr w:type="spellEnd"/>
      <w:r w:rsidRPr="0093104B">
        <w:t xml:space="preserve">, and </w:t>
      </w:r>
      <w:proofErr w:type="spellStart"/>
      <w:r w:rsidRPr="0093104B">
        <w:t>Kreeri</w:t>
      </w:r>
      <w:proofErr w:type="spellEnd"/>
      <w:r w:rsidRPr="0093104B">
        <w:t>. These sites encompass distinct agro-climatic zones. The same trees were sampled in both years to ensure consistency. Sampling procedures, storage conditions, and analytical timelines were standardized for all genotypes.</w:t>
      </w:r>
    </w:p>
    <w:p w14:paraId="65477638"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Pomological Evaluation</w:t>
      </w:r>
    </w:p>
    <w:p w14:paraId="018F40C0" w14:textId="77777777" w:rsidR="000A4234" w:rsidRPr="0093104B" w:rsidRDefault="000A4234" w:rsidP="0093104B">
      <w:pPr>
        <w:pStyle w:val="NormalWeb"/>
        <w:spacing w:line="360" w:lineRule="auto"/>
        <w:jc w:val="both"/>
      </w:pPr>
      <w:r w:rsidRPr="0093104B">
        <w:t>After harvest, walnut fruits were dried and stored at 25 °C until analysis. Pomological traits were assessed based on nut weight, length, width, and thickness, kernel weight, shell thickness, and kernel percentage. Kernel percentage was calculated as:</w:t>
      </w:r>
    </w:p>
    <w:p w14:paraId="6FB3C9A2" w14:textId="77777777" w:rsidR="000A4234" w:rsidRPr="0093104B" w:rsidRDefault="000A4234" w:rsidP="0093104B">
      <w:pPr>
        <w:pStyle w:val="NormalWeb"/>
        <w:spacing w:line="360" w:lineRule="auto"/>
        <w:jc w:val="both"/>
        <w:rPr>
          <w:u w:val="single"/>
        </w:rPr>
      </w:pPr>
      <w:r w:rsidRPr="0093104B">
        <w:t xml:space="preserve">                              Kernel recovery percentage = </w:t>
      </w:r>
      <w:r w:rsidR="005F04E8" w:rsidRPr="0093104B">
        <w:rPr>
          <w:u w:val="single"/>
        </w:rPr>
        <w:t>K</w:t>
      </w:r>
      <w:r w:rsidRPr="0093104B">
        <w:rPr>
          <w:u w:val="single"/>
        </w:rPr>
        <w:t xml:space="preserve">ernel </w:t>
      </w:r>
      <w:r w:rsidR="005F04E8" w:rsidRPr="0093104B">
        <w:rPr>
          <w:u w:val="single"/>
        </w:rPr>
        <w:t xml:space="preserve">weight </w:t>
      </w:r>
      <w:r w:rsidR="005F04E8" w:rsidRPr="0093104B">
        <w:t>x 100</w:t>
      </w:r>
    </w:p>
    <w:p w14:paraId="5F4B3B6B" w14:textId="77777777" w:rsidR="000A4234" w:rsidRPr="0093104B" w:rsidRDefault="000A4234" w:rsidP="0093104B">
      <w:pPr>
        <w:pStyle w:val="NormalWeb"/>
        <w:spacing w:line="360" w:lineRule="auto"/>
        <w:ind w:left="4320"/>
        <w:jc w:val="both"/>
      </w:pPr>
      <w:r w:rsidRPr="0093104B">
        <w:t xml:space="preserve">    </w:t>
      </w:r>
      <w:r w:rsidR="005F04E8" w:rsidRPr="0093104B">
        <w:t xml:space="preserve"> N</w:t>
      </w:r>
      <w:r w:rsidRPr="0093104B">
        <w:t xml:space="preserve">ut weight </w:t>
      </w:r>
    </w:p>
    <w:p w14:paraId="64336F15" w14:textId="77777777" w:rsidR="005F04E8" w:rsidRPr="0093104B" w:rsidRDefault="005F04E8" w:rsidP="0093104B">
      <w:pPr>
        <w:pStyle w:val="Heading4"/>
        <w:spacing w:line="360" w:lineRule="auto"/>
        <w:ind w:left="5760" w:firstLine="720"/>
        <w:jc w:val="both"/>
        <w:rPr>
          <w:rStyle w:val="Strong"/>
          <w:rFonts w:ascii="Times New Roman" w:hAnsi="Times New Roman" w:cs="Times New Roman"/>
          <w:bCs/>
          <w:color w:val="auto"/>
        </w:rPr>
      </w:pPr>
      <w:r w:rsidRPr="0093104B">
        <w:rPr>
          <w:rFonts w:ascii="Times New Roman" w:hAnsi="Times New Roman" w:cs="Times New Roman"/>
          <w:color w:val="auto"/>
          <w:sz w:val="24"/>
          <w:szCs w:val="24"/>
        </w:rPr>
        <w:t>(IPGRI, 1994).</w:t>
      </w:r>
    </w:p>
    <w:p w14:paraId="24395218"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Content</w:t>
      </w:r>
    </w:p>
    <w:p w14:paraId="460F37EA" w14:textId="77777777" w:rsidR="000A4234" w:rsidRPr="0093104B" w:rsidRDefault="000A4234" w:rsidP="0093104B">
      <w:pPr>
        <w:pStyle w:val="NormalWeb"/>
        <w:spacing w:line="360" w:lineRule="auto"/>
        <w:jc w:val="both"/>
      </w:pPr>
      <w:r w:rsidRPr="0093104B">
        <w:t>Moisture content was determined using the oven-drying method as described by AOAC (1995). Approximately 5 g of finely chopped kernels were weighed into pre-dried moisture dishes and oven-dried at 105 °C until constant weight. Moisture percentage was calculated as:</w:t>
      </w:r>
    </w:p>
    <w:p w14:paraId="50E0D3A3" w14:textId="77777777" w:rsidR="005F04E8" w:rsidRPr="0093104B" w:rsidRDefault="005F04E8" w:rsidP="0093104B">
      <w:pPr>
        <w:spacing w:before="100" w:beforeAutospacing="1" w:after="100" w:afterAutospacing="1" w:line="360" w:lineRule="auto"/>
        <w:ind w:left="720" w:firstLine="72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t xml:space="preserve">Moisture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Initial Weight – Final Weight</w:t>
      </w:r>
      <w:r w:rsidRPr="0093104B">
        <w:rPr>
          <w:rStyle w:val="vlist-s"/>
          <w:rFonts w:ascii="Times New Roman" w:hAnsi="Times New Roman" w:cs="Times New Roman"/>
          <w:sz w:val="24"/>
          <w:szCs w:val="24"/>
        </w:rPr>
        <w:t>​</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5C2406EE" w14:textId="77777777" w:rsidR="005F04E8" w:rsidRPr="0093104B" w:rsidRDefault="005F04E8" w:rsidP="0093104B">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                        </w:t>
      </w:r>
      <w:r w:rsidRPr="0093104B">
        <w:rPr>
          <w:rFonts w:ascii="Times New Roman" w:eastAsia="Times New Roman" w:hAnsi="Times New Roman" w:cs="Times New Roman"/>
          <w:sz w:val="24"/>
          <w:szCs w:val="24"/>
          <w:lang w:eastAsia="en-IN"/>
        </w:rPr>
        <w:tab/>
        <w:t xml:space="preserve"> Initial weight</w:t>
      </w:r>
    </w:p>
    <w:p w14:paraId="6D2AB5D2" w14:textId="77777777" w:rsidR="000A4234" w:rsidRPr="0093104B" w:rsidRDefault="000A4234" w:rsidP="0093104B">
      <w:pPr>
        <w:pStyle w:val="NormalWeb"/>
        <w:spacing w:line="360" w:lineRule="auto"/>
        <w:jc w:val="both"/>
      </w:pPr>
      <w:r w:rsidRPr="0093104B">
        <w:t>This procedure provides an accurate measure of kernel moisture, which influences nut quality, storability, and susceptibility to rancidity or microbial spoilage.</w:t>
      </w:r>
    </w:p>
    <w:p w14:paraId="1A8E1F92"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Ash Content</w:t>
      </w:r>
    </w:p>
    <w:p w14:paraId="595DD544" w14:textId="77777777" w:rsidR="000A4234" w:rsidRPr="0093104B" w:rsidRDefault="000A4234" w:rsidP="0093104B">
      <w:pPr>
        <w:pStyle w:val="NormalWeb"/>
        <w:spacing w:line="360" w:lineRule="auto"/>
        <w:jc w:val="both"/>
      </w:pPr>
      <w:r w:rsidRPr="0093104B">
        <w:t>Ash content was determined by the gravimetric method (AOAC, 1995). About 5 g of ground kernel sample was placed in a pre-weighed porcelain crucible and incinerated in a muffle furnace at 600 °C for six hours until a light grey or white ash was obtained. After cooling in a desiccator, the crucibles were reweighed, and ash content was calculated as:</w:t>
      </w:r>
    </w:p>
    <w:p w14:paraId="7FCB7880" w14:textId="77777777" w:rsidR="005F04E8" w:rsidRPr="0093104B" w:rsidRDefault="005F04E8" w:rsidP="0093104B">
      <w:pPr>
        <w:spacing w:line="360" w:lineRule="auto"/>
        <w:ind w:left="144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lastRenderedPageBreak/>
        <w:t xml:space="preserve">Ash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Weight of Ash</w:t>
      </w:r>
      <w:r w:rsidRPr="0093104B">
        <w:rPr>
          <w:rStyle w:val="vlist-s"/>
          <w:rFonts w:ascii="Times New Roman" w:hAnsi="Times New Roman" w:cs="Times New Roman"/>
          <w:sz w:val="24"/>
          <w:szCs w:val="24"/>
        </w:rPr>
        <w:t xml:space="preserve">​  </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3BDACECC" w14:textId="77777777" w:rsidR="005F04E8" w:rsidRPr="0093104B" w:rsidRDefault="005F04E8" w:rsidP="0093104B">
      <w:pPr>
        <w:spacing w:line="360" w:lineRule="auto"/>
        <w:ind w:left="1440"/>
        <w:jc w:val="both"/>
        <w:rPr>
          <w:rFonts w:ascii="Times New Roman" w:hAnsi="Times New Roman" w:cs="Times New Roman"/>
          <w:sz w:val="24"/>
          <w:szCs w:val="24"/>
        </w:rPr>
      </w:pPr>
      <w:r w:rsidRPr="0093104B">
        <w:rPr>
          <w:rStyle w:val="mord"/>
          <w:rFonts w:ascii="Times New Roman" w:hAnsi="Times New Roman" w:cs="Times New Roman"/>
          <w:sz w:val="24"/>
          <w:szCs w:val="24"/>
        </w:rPr>
        <w:t xml:space="preserve">          Initial Weight of Sample</w:t>
      </w:r>
    </w:p>
    <w:p w14:paraId="543C2B2B" w14:textId="77777777" w:rsidR="000A4234" w:rsidRPr="0093104B" w:rsidRDefault="000A4234" w:rsidP="0093104B">
      <w:pPr>
        <w:pStyle w:val="NormalWeb"/>
        <w:spacing w:line="360" w:lineRule="auto"/>
        <w:jc w:val="both"/>
      </w:pPr>
      <w:r w:rsidRPr="0093104B">
        <w:t>This parameter represents the total mineral concentration and contributes to the nutritional evaluation of walnut kernels.</w:t>
      </w:r>
    </w:p>
    <w:p w14:paraId="23510044"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Protein Content</w:t>
      </w:r>
    </w:p>
    <w:p w14:paraId="7583FCE7" w14:textId="77777777" w:rsidR="000A4234" w:rsidRPr="0093104B" w:rsidRDefault="000A4234" w:rsidP="0093104B">
      <w:pPr>
        <w:pStyle w:val="NormalWeb"/>
        <w:spacing w:line="360" w:lineRule="auto"/>
        <w:jc w:val="both"/>
      </w:pPr>
      <w:r w:rsidRPr="0093104B">
        <w:t>Protein content was estimated by the micro-Kjeldahl method (AOAC, 1995). A 0.25 g sample was digested with a catalyst mixture (</w:t>
      </w:r>
      <w:proofErr w:type="spellStart"/>
      <w:r w:rsidRPr="0093104B">
        <w:t>CuSO</w:t>
      </w:r>
      <w:proofErr w:type="spellEnd"/>
      <w:r w:rsidRPr="0093104B">
        <w:t>₄ + K₂SO₄) and concentrated H₂SO₄ at 410 °C until a clear solution was obtained. The digest was diluted and distilled with 15 N NaOH, and released ammonia was collected in boric acid solution containing mixed indicators. The distillate was titrated with standardized 0.1 N H₂SO₄, and nitrogen percentage was calculated using:</w:t>
      </w:r>
    </w:p>
    <w:p w14:paraId="638A1FB4" w14:textId="77777777"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N (%) = (ml H2SO4for sample - ml of H2SO4 for blank) x Normality of H2SO4x 1.4007 Weight of sample (g) Protein (%) = N (%) x 5.32 (AOAC, 1995).</w:t>
      </w:r>
    </w:p>
    <w:p w14:paraId="44EF2AE9" w14:textId="77777777" w:rsidR="000A4234" w:rsidRPr="0093104B" w:rsidRDefault="000A4234" w:rsidP="0093104B">
      <w:pPr>
        <w:pStyle w:val="NormalWeb"/>
        <w:spacing w:line="360" w:lineRule="auto"/>
        <w:ind w:firstLine="720"/>
        <w:jc w:val="both"/>
      </w:pPr>
      <w:r w:rsidRPr="0093104B">
        <w:t>Protein percentage was obtained by multiplying nitrogen percentage by 5.32.</w:t>
      </w:r>
    </w:p>
    <w:p w14:paraId="264E036A"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Carbohydrate Content</w:t>
      </w:r>
    </w:p>
    <w:p w14:paraId="19E5BA06" w14:textId="77777777" w:rsidR="000A4234" w:rsidRPr="0093104B" w:rsidRDefault="000A4234" w:rsidP="0093104B">
      <w:pPr>
        <w:pStyle w:val="NormalWeb"/>
        <w:spacing w:line="360" w:lineRule="auto"/>
        <w:jc w:val="both"/>
      </w:pPr>
      <w:r w:rsidRPr="0093104B">
        <w:t xml:space="preserve">Carbohydrate content was estimated by difference as proposed by Grosso </w:t>
      </w:r>
      <w:r w:rsidRPr="0093104B">
        <w:rPr>
          <w:i/>
        </w:rPr>
        <w:t>et al.</w:t>
      </w:r>
      <w:r w:rsidRPr="0093104B">
        <w:t xml:space="preserve"> (2000):</w:t>
      </w:r>
    </w:p>
    <w:p w14:paraId="1D1E3AB8" w14:textId="77777777"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 xml:space="preserve">Carbohydrate content (%) = 100 % - (moisture (%) + protein (%) + oil (%) + ash (%) (Grosso </w:t>
      </w:r>
      <w:r w:rsidRPr="0093104B">
        <w:rPr>
          <w:rFonts w:ascii="Times New Roman" w:hAnsi="Times New Roman" w:cs="Times New Roman"/>
          <w:i/>
          <w:sz w:val="24"/>
          <w:szCs w:val="24"/>
        </w:rPr>
        <w:t>et al.,</w:t>
      </w:r>
      <w:r w:rsidRPr="0093104B">
        <w:rPr>
          <w:rFonts w:ascii="Times New Roman" w:hAnsi="Times New Roman" w:cs="Times New Roman"/>
          <w:sz w:val="24"/>
          <w:szCs w:val="24"/>
        </w:rPr>
        <w:t xml:space="preserve"> 2000). </w:t>
      </w:r>
    </w:p>
    <w:p w14:paraId="2BBF63B6" w14:textId="77777777" w:rsidR="000A4234" w:rsidRPr="0093104B" w:rsidRDefault="000A4234" w:rsidP="0093104B">
      <w:pPr>
        <w:pStyle w:val="NormalWeb"/>
        <w:spacing w:line="360" w:lineRule="auto"/>
        <w:jc w:val="both"/>
      </w:pPr>
      <w:r w:rsidRPr="0093104B">
        <w:t>This indirect method provides an approximate value of total carbohydrates when direct measurement is not feasible.</w:t>
      </w:r>
    </w:p>
    <w:p w14:paraId="6860FFCD"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Extraction</w:t>
      </w:r>
    </w:p>
    <w:p w14:paraId="6C424EA3" w14:textId="77777777" w:rsidR="000A4234" w:rsidRPr="0093104B" w:rsidRDefault="000A4234" w:rsidP="0093104B">
      <w:pPr>
        <w:pStyle w:val="NormalWeb"/>
        <w:spacing w:line="360" w:lineRule="auto"/>
        <w:jc w:val="both"/>
      </w:pPr>
      <w:r w:rsidRPr="0093104B">
        <w:t>Kernel oil was extracted using a Soxhlet apparatus with hexane as solvent for six hours. Approximately 5 g of powdered kernels was used per sample. The combined hexane extracts were evaporated under vacuum at 40 °C, and the resulting oil was stored in amber vials at –40 °C until further analysis.</w:t>
      </w:r>
    </w:p>
    <w:p w14:paraId="46CFA406"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Fatty Acid Analysis (GC-FID)</w:t>
      </w:r>
    </w:p>
    <w:p w14:paraId="26D447BB" w14:textId="77777777" w:rsidR="000A4234" w:rsidRPr="0093104B" w:rsidRDefault="000A4234" w:rsidP="0093104B">
      <w:pPr>
        <w:pStyle w:val="NormalWeb"/>
        <w:spacing w:line="360" w:lineRule="auto"/>
        <w:jc w:val="both"/>
      </w:pPr>
      <w:r w:rsidRPr="0093104B">
        <w:t>Fatty acids were analyzed as fatty acid methyl esters (FAMEs) prepared by trans</w:t>
      </w:r>
      <w:r w:rsidR="005F04E8" w:rsidRPr="0093104B">
        <w:t>-</w:t>
      </w:r>
      <w:r w:rsidRPr="0093104B">
        <w:t>esterification of walnut oil with methanolic KOH (IOOC, 2001). The upper hexane layer containing FAMEs was collected and analyzed using GC-FID. Quantification was based on retention times compared with authentic standards, and fatty acid composition was expressed as a percentage of total fatty acids.</w:t>
      </w:r>
    </w:p>
    <w:p w14:paraId="38D0AAB3"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Total Flavonoid Content</w:t>
      </w:r>
    </w:p>
    <w:p w14:paraId="38315FBB" w14:textId="77777777" w:rsidR="000A4234" w:rsidRPr="0093104B" w:rsidRDefault="000A4234" w:rsidP="0093104B">
      <w:pPr>
        <w:pStyle w:val="NormalWeb"/>
        <w:spacing w:line="360" w:lineRule="auto"/>
        <w:jc w:val="both"/>
      </w:pPr>
      <w:r w:rsidRPr="0093104B">
        <w:t xml:space="preserve">Total flavonoids were quantified following Chang et al. (2002). A reaction mixture containing 1.5 mL of 60 % methanol, 1 mL of 2 % </w:t>
      </w:r>
      <w:proofErr w:type="spellStart"/>
      <w:r w:rsidRPr="0093104B">
        <w:t>AlCl</w:t>
      </w:r>
      <w:proofErr w:type="spellEnd"/>
      <w:r w:rsidRPr="0093104B">
        <w:t>₃, 6 mL of 5 % potassium acetate, and 1 mL of extract (1 mg mL⁻¹) was incubated at room temperature for 40 min. Absorbance was measured at 415 nm using a spectrophotometer. Quercetin was used as the reference standard, and results were expressed as milligrams of quercetin equivalents per gram of extract (mg g⁻¹ QE).</w:t>
      </w:r>
    </w:p>
    <w:p w14:paraId="59326671" w14:textId="77777777" w:rsidR="00F43EBA" w:rsidRPr="0093104B" w:rsidRDefault="00F43EBA" w:rsidP="0093104B">
      <w:pPr>
        <w:pStyle w:val="Heading3"/>
        <w:spacing w:line="360" w:lineRule="auto"/>
        <w:jc w:val="both"/>
      </w:pPr>
      <w:r w:rsidRPr="0093104B">
        <w:rPr>
          <w:rStyle w:val="Strong"/>
          <w:b/>
          <w:bCs/>
        </w:rPr>
        <w:t>Results</w:t>
      </w:r>
    </w:p>
    <w:p w14:paraId="7D90F143" w14:textId="77777777" w:rsidR="00F43EBA" w:rsidRPr="0064241E" w:rsidRDefault="00F43EBA" w:rsidP="0093104B">
      <w:pPr>
        <w:pStyle w:val="Heading4"/>
        <w:spacing w:line="360" w:lineRule="auto"/>
        <w:jc w:val="both"/>
        <w:rPr>
          <w:rFonts w:ascii="Times New Roman" w:hAnsi="Times New Roman" w:cs="Times New Roman"/>
          <w:i w:val="0"/>
          <w:color w:val="auto"/>
        </w:rPr>
      </w:pPr>
      <w:r w:rsidRPr="0064241E">
        <w:rPr>
          <w:rStyle w:val="Strong"/>
          <w:rFonts w:ascii="Times New Roman" w:hAnsi="Times New Roman" w:cs="Times New Roman"/>
          <w:b/>
          <w:bCs/>
          <w:i w:val="0"/>
          <w:color w:val="auto"/>
        </w:rPr>
        <w:t>Variation in Kernel Quality Traits</w:t>
      </w:r>
    </w:p>
    <w:p w14:paraId="3C848CFA" w14:textId="77777777" w:rsidR="00F43EBA" w:rsidRPr="0093104B" w:rsidRDefault="00F43EBA" w:rsidP="0093104B">
      <w:pPr>
        <w:pStyle w:val="NormalWeb"/>
        <w:spacing w:line="360" w:lineRule="auto"/>
        <w:jc w:val="both"/>
      </w:pPr>
      <w:r w:rsidRPr="0093104B">
        <w:t>Significant variation was observed among the twenty-one walnut genotypes for all biochemical parameters evaluated (Table 1). Mean oil content ranged from 50.39 % to 70.55 %, while protein content varied between 17.12 % and 20.88 %. Carbohydrate content showed wide diversity, ranging from 8.48 % to 24.43 %, whereas moisture and ash contents exhibited relatively narrow ranges of 2.19–3.25 % and 1.12–2.21 %, respectively. The observed variability confirms the presence of a broad genetic base suitable for selection and improvement of kernel quality traits.</w:t>
      </w:r>
    </w:p>
    <w:p w14:paraId="4421338E" w14:textId="77777777" w:rsidR="00F43EBA" w:rsidRPr="0093104B" w:rsidRDefault="00F43EBA" w:rsidP="0093104B">
      <w:pPr>
        <w:spacing w:before="100" w:beforeAutospacing="1" w:after="100" w:afterAutospacing="1" w:line="360" w:lineRule="auto"/>
        <w:ind w:left="720" w:firstLine="720"/>
        <w:jc w:val="both"/>
        <w:rPr>
          <w:rFonts w:ascii="Times New Roman" w:eastAsia="Times New Roman" w:hAnsi="Times New Roman" w:cs="Times New Roman"/>
          <w:b/>
          <w:sz w:val="24"/>
          <w:szCs w:val="24"/>
          <w:lang w:eastAsia="en-IN"/>
        </w:rPr>
      </w:pPr>
      <w:r w:rsidRPr="0093104B">
        <w:rPr>
          <w:rStyle w:val="Strong"/>
          <w:rFonts w:ascii="Times New Roman" w:hAnsi="Times New Roman" w:cs="Times New Roman"/>
        </w:rPr>
        <w:t>Table 1.</w:t>
      </w:r>
      <w:r w:rsidRPr="0093104B">
        <w:rPr>
          <w:rFonts w:ascii="Times New Roman" w:hAnsi="Times New Roman" w:cs="Times New Roman"/>
          <w:b/>
        </w:rPr>
        <w:t xml:space="preserve"> Descriptive statistics (mean, standard deviation, and range) for biochemical traits in 21 walnut genotypes.</w:t>
      </w:r>
    </w:p>
    <w:tbl>
      <w:tblPr>
        <w:tblStyle w:val="TableGrid"/>
        <w:tblW w:w="5000" w:type="pct"/>
        <w:tblLook w:val="04A0" w:firstRow="1" w:lastRow="0" w:firstColumn="1" w:lastColumn="0" w:noHBand="0" w:noVBand="1"/>
      </w:tblPr>
      <w:tblGrid>
        <w:gridCol w:w="2361"/>
        <w:gridCol w:w="1173"/>
        <w:gridCol w:w="2056"/>
        <w:gridCol w:w="1610"/>
        <w:gridCol w:w="2042"/>
      </w:tblGrid>
      <w:tr w:rsidR="00F43EBA" w:rsidRPr="0093104B" w14:paraId="629BCE6C" w14:textId="77777777" w:rsidTr="009C6FA7">
        <w:trPr>
          <w:trHeight w:val="367"/>
        </w:trPr>
        <w:tc>
          <w:tcPr>
            <w:tcW w:w="991" w:type="pct"/>
            <w:noWrap/>
            <w:hideMark/>
          </w:tcPr>
          <w:p w14:paraId="48C3952B"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Parameter</w:t>
            </w:r>
          </w:p>
        </w:tc>
        <w:tc>
          <w:tcPr>
            <w:tcW w:w="755" w:type="pct"/>
            <w:noWrap/>
            <w:hideMark/>
          </w:tcPr>
          <w:p w14:paraId="123E7082"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Mean</w:t>
            </w:r>
          </w:p>
        </w:tc>
        <w:tc>
          <w:tcPr>
            <w:tcW w:w="1038" w:type="pct"/>
            <w:noWrap/>
            <w:hideMark/>
          </w:tcPr>
          <w:p w14:paraId="006EF58F"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Standard Deviation</w:t>
            </w:r>
          </w:p>
        </w:tc>
        <w:tc>
          <w:tcPr>
            <w:tcW w:w="991" w:type="pct"/>
            <w:noWrap/>
            <w:hideMark/>
          </w:tcPr>
          <w:p w14:paraId="3BCF299E"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Minimum</w:t>
            </w:r>
          </w:p>
        </w:tc>
        <w:tc>
          <w:tcPr>
            <w:tcW w:w="1226" w:type="pct"/>
            <w:noWrap/>
            <w:hideMark/>
          </w:tcPr>
          <w:p w14:paraId="157C74DC"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Maximum</w:t>
            </w:r>
          </w:p>
        </w:tc>
      </w:tr>
      <w:tr w:rsidR="00F43EBA" w:rsidRPr="0093104B" w14:paraId="1BC3D117" w14:textId="77777777" w:rsidTr="009C6FA7">
        <w:trPr>
          <w:trHeight w:val="367"/>
        </w:trPr>
        <w:tc>
          <w:tcPr>
            <w:tcW w:w="991" w:type="pct"/>
            <w:noWrap/>
            <w:hideMark/>
          </w:tcPr>
          <w:p w14:paraId="0E4AEF69"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Moisture Content</w:t>
            </w:r>
          </w:p>
        </w:tc>
        <w:tc>
          <w:tcPr>
            <w:tcW w:w="755" w:type="pct"/>
            <w:noWrap/>
            <w:hideMark/>
          </w:tcPr>
          <w:p w14:paraId="6BCF516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2.63</w:t>
            </w:r>
          </w:p>
        </w:tc>
        <w:tc>
          <w:tcPr>
            <w:tcW w:w="1038" w:type="pct"/>
            <w:noWrap/>
            <w:hideMark/>
          </w:tcPr>
          <w:p w14:paraId="0B71E5F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0.27</w:t>
            </w:r>
          </w:p>
        </w:tc>
        <w:tc>
          <w:tcPr>
            <w:tcW w:w="991" w:type="pct"/>
            <w:noWrap/>
            <w:hideMark/>
          </w:tcPr>
          <w:p w14:paraId="2B8FBB4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2.19</w:t>
            </w:r>
          </w:p>
        </w:tc>
        <w:tc>
          <w:tcPr>
            <w:tcW w:w="1226" w:type="pct"/>
            <w:noWrap/>
            <w:hideMark/>
          </w:tcPr>
          <w:p w14:paraId="440F588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3.25</w:t>
            </w:r>
          </w:p>
        </w:tc>
      </w:tr>
      <w:tr w:rsidR="00F43EBA" w:rsidRPr="0093104B" w14:paraId="4B2DCEEE" w14:textId="77777777" w:rsidTr="009C6FA7">
        <w:trPr>
          <w:trHeight w:val="367"/>
        </w:trPr>
        <w:tc>
          <w:tcPr>
            <w:tcW w:w="991" w:type="pct"/>
            <w:noWrap/>
            <w:hideMark/>
          </w:tcPr>
          <w:p w14:paraId="423932FA"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Ash Content</w:t>
            </w:r>
          </w:p>
        </w:tc>
        <w:tc>
          <w:tcPr>
            <w:tcW w:w="755" w:type="pct"/>
            <w:noWrap/>
            <w:hideMark/>
          </w:tcPr>
          <w:p w14:paraId="27656F9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1.62</w:t>
            </w:r>
          </w:p>
        </w:tc>
        <w:tc>
          <w:tcPr>
            <w:tcW w:w="1038" w:type="pct"/>
            <w:noWrap/>
            <w:hideMark/>
          </w:tcPr>
          <w:p w14:paraId="79760A3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0.30</w:t>
            </w:r>
          </w:p>
        </w:tc>
        <w:tc>
          <w:tcPr>
            <w:tcW w:w="991" w:type="pct"/>
            <w:noWrap/>
            <w:hideMark/>
          </w:tcPr>
          <w:p w14:paraId="407268B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1.12</w:t>
            </w:r>
          </w:p>
        </w:tc>
        <w:tc>
          <w:tcPr>
            <w:tcW w:w="1226" w:type="pct"/>
            <w:noWrap/>
            <w:hideMark/>
          </w:tcPr>
          <w:p w14:paraId="00294AF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2.21</w:t>
            </w:r>
          </w:p>
        </w:tc>
      </w:tr>
      <w:tr w:rsidR="00F43EBA" w:rsidRPr="0093104B" w14:paraId="160AC404" w14:textId="77777777" w:rsidTr="009C6FA7">
        <w:trPr>
          <w:trHeight w:val="367"/>
        </w:trPr>
        <w:tc>
          <w:tcPr>
            <w:tcW w:w="991" w:type="pct"/>
            <w:noWrap/>
            <w:hideMark/>
          </w:tcPr>
          <w:p w14:paraId="37685B34"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Protein Content</w:t>
            </w:r>
          </w:p>
        </w:tc>
        <w:tc>
          <w:tcPr>
            <w:tcW w:w="755" w:type="pct"/>
            <w:noWrap/>
            <w:hideMark/>
          </w:tcPr>
          <w:p w14:paraId="397F9A7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19.03</w:t>
            </w:r>
          </w:p>
        </w:tc>
        <w:tc>
          <w:tcPr>
            <w:tcW w:w="1038" w:type="pct"/>
            <w:noWrap/>
            <w:hideMark/>
          </w:tcPr>
          <w:p w14:paraId="6F562A3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1.02</w:t>
            </w:r>
          </w:p>
        </w:tc>
        <w:tc>
          <w:tcPr>
            <w:tcW w:w="991" w:type="pct"/>
            <w:noWrap/>
            <w:hideMark/>
          </w:tcPr>
          <w:p w14:paraId="579D548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17.12</w:t>
            </w:r>
          </w:p>
        </w:tc>
        <w:tc>
          <w:tcPr>
            <w:tcW w:w="1226" w:type="pct"/>
            <w:noWrap/>
            <w:hideMark/>
          </w:tcPr>
          <w:p w14:paraId="49C141EC"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20.88</w:t>
            </w:r>
          </w:p>
        </w:tc>
      </w:tr>
      <w:tr w:rsidR="00F43EBA" w:rsidRPr="0093104B" w14:paraId="73141834" w14:textId="77777777" w:rsidTr="009C6FA7">
        <w:trPr>
          <w:trHeight w:val="367"/>
        </w:trPr>
        <w:tc>
          <w:tcPr>
            <w:tcW w:w="991" w:type="pct"/>
            <w:noWrap/>
            <w:hideMark/>
          </w:tcPr>
          <w:p w14:paraId="360E99A8"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lastRenderedPageBreak/>
              <w:t>Carbohydrate Content</w:t>
            </w:r>
          </w:p>
        </w:tc>
        <w:tc>
          <w:tcPr>
            <w:tcW w:w="755" w:type="pct"/>
            <w:noWrap/>
            <w:hideMark/>
          </w:tcPr>
          <w:p w14:paraId="6929917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18.66</w:t>
            </w:r>
          </w:p>
        </w:tc>
        <w:tc>
          <w:tcPr>
            <w:tcW w:w="1038" w:type="pct"/>
            <w:noWrap/>
            <w:hideMark/>
          </w:tcPr>
          <w:p w14:paraId="7ABDFDA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4.16</w:t>
            </w:r>
          </w:p>
        </w:tc>
        <w:tc>
          <w:tcPr>
            <w:tcW w:w="991" w:type="pct"/>
            <w:noWrap/>
            <w:hideMark/>
          </w:tcPr>
          <w:p w14:paraId="65B9132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8.48</w:t>
            </w:r>
          </w:p>
        </w:tc>
        <w:tc>
          <w:tcPr>
            <w:tcW w:w="1226" w:type="pct"/>
            <w:noWrap/>
            <w:hideMark/>
          </w:tcPr>
          <w:p w14:paraId="0820F2E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24.43</w:t>
            </w:r>
          </w:p>
        </w:tc>
      </w:tr>
      <w:tr w:rsidR="00F43EBA" w:rsidRPr="0093104B" w14:paraId="46EFC3AA" w14:textId="77777777" w:rsidTr="009C6FA7">
        <w:trPr>
          <w:trHeight w:val="367"/>
        </w:trPr>
        <w:tc>
          <w:tcPr>
            <w:tcW w:w="991" w:type="pct"/>
            <w:noWrap/>
            <w:hideMark/>
          </w:tcPr>
          <w:p w14:paraId="64F1863D"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OIL content</w:t>
            </w:r>
          </w:p>
        </w:tc>
        <w:tc>
          <w:tcPr>
            <w:tcW w:w="755" w:type="pct"/>
            <w:noWrap/>
            <w:hideMark/>
          </w:tcPr>
          <w:p w14:paraId="20B7BC0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57.65</w:t>
            </w:r>
          </w:p>
        </w:tc>
        <w:tc>
          <w:tcPr>
            <w:tcW w:w="1038" w:type="pct"/>
            <w:noWrap/>
            <w:hideMark/>
          </w:tcPr>
          <w:p w14:paraId="43B571F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4.92</w:t>
            </w:r>
          </w:p>
        </w:tc>
        <w:tc>
          <w:tcPr>
            <w:tcW w:w="991" w:type="pct"/>
            <w:noWrap/>
            <w:hideMark/>
          </w:tcPr>
          <w:p w14:paraId="22E31D7A"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50.39</w:t>
            </w:r>
          </w:p>
        </w:tc>
        <w:tc>
          <w:tcPr>
            <w:tcW w:w="1226" w:type="pct"/>
            <w:noWrap/>
            <w:hideMark/>
          </w:tcPr>
          <w:p w14:paraId="7DEEA2F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70.55</w:t>
            </w:r>
          </w:p>
        </w:tc>
      </w:tr>
      <w:tr w:rsidR="00F43EBA" w:rsidRPr="0093104B" w14:paraId="4D8F810F" w14:textId="77777777" w:rsidTr="009C6FA7">
        <w:trPr>
          <w:trHeight w:val="367"/>
        </w:trPr>
        <w:tc>
          <w:tcPr>
            <w:tcW w:w="991" w:type="pct"/>
            <w:noWrap/>
            <w:hideMark/>
          </w:tcPr>
          <w:p w14:paraId="77321F0E"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OLEIC Acid</w:t>
            </w:r>
          </w:p>
        </w:tc>
        <w:tc>
          <w:tcPr>
            <w:tcW w:w="755" w:type="pct"/>
            <w:noWrap/>
            <w:hideMark/>
          </w:tcPr>
          <w:p w14:paraId="58DE552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18.41</w:t>
            </w:r>
          </w:p>
        </w:tc>
        <w:tc>
          <w:tcPr>
            <w:tcW w:w="1038" w:type="pct"/>
            <w:noWrap/>
            <w:hideMark/>
          </w:tcPr>
          <w:p w14:paraId="647640D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2.92</w:t>
            </w:r>
          </w:p>
        </w:tc>
        <w:tc>
          <w:tcPr>
            <w:tcW w:w="991" w:type="pct"/>
            <w:noWrap/>
            <w:hideMark/>
          </w:tcPr>
          <w:p w14:paraId="27A2595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11.43</w:t>
            </w:r>
          </w:p>
        </w:tc>
        <w:tc>
          <w:tcPr>
            <w:tcW w:w="1226" w:type="pct"/>
            <w:noWrap/>
            <w:hideMark/>
          </w:tcPr>
          <w:p w14:paraId="1A4B15C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23.28</w:t>
            </w:r>
          </w:p>
        </w:tc>
      </w:tr>
      <w:tr w:rsidR="00F43EBA" w:rsidRPr="0093104B" w14:paraId="07535BAF" w14:textId="77777777" w:rsidTr="009C6FA7">
        <w:trPr>
          <w:trHeight w:val="367"/>
        </w:trPr>
        <w:tc>
          <w:tcPr>
            <w:tcW w:w="991" w:type="pct"/>
            <w:noWrap/>
            <w:hideMark/>
          </w:tcPr>
          <w:p w14:paraId="1556E967"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LINOLEIC Acid</w:t>
            </w:r>
          </w:p>
        </w:tc>
        <w:tc>
          <w:tcPr>
            <w:tcW w:w="755" w:type="pct"/>
            <w:noWrap/>
            <w:hideMark/>
          </w:tcPr>
          <w:p w14:paraId="4244DCC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52.17</w:t>
            </w:r>
          </w:p>
        </w:tc>
        <w:tc>
          <w:tcPr>
            <w:tcW w:w="1038" w:type="pct"/>
            <w:noWrap/>
            <w:hideMark/>
          </w:tcPr>
          <w:p w14:paraId="66D769C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4.54</w:t>
            </w:r>
          </w:p>
        </w:tc>
        <w:tc>
          <w:tcPr>
            <w:tcW w:w="991" w:type="pct"/>
            <w:noWrap/>
            <w:hideMark/>
          </w:tcPr>
          <w:p w14:paraId="7101F82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44.65</w:t>
            </w:r>
          </w:p>
        </w:tc>
        <w:tc>
          <w:tcPr>
            <w:tcW w:w="1226" w:type="pct"/>
            <w:noWrap/>
            <w:hideMark/>
          </w:tcPr>
          <w:p w14:paraId="739A73A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62.49</w:t>
            </w:r>
          </w:p>
        </w:tc>
      </w:tr>
      <w:tr w:rsidR="00F43EBA" w:rsidRPr="0093104B" w14:paraId="2247146E" w14:textId="77777777" w:rsidTr="009C6FA7">
        <w:trPr>
          <w:trHeight w:val="367"/>
        </w:trPr>
        <w:tc>
          <w:tcPr>
            <w:tcW w:w="991" w:type="pct"/>
            <w:noWrap/>
            <w:hideMark/>
          </w:tcPr>
          <w:p w14:paraId="23F0FADA"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Total FLAVONOID</w:t>
            </w:r>
          </w:p>
        </w:tc>
        <w:tc>
          <w:tcPr>
            <w:tcW w:w="755" w:type="pct"/>
            <w:noWrap/>
            <w:hideMark/>
          </w:tcPr>
          <w:p w14:paraId="6ED4527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15.70</w:t>
            </w:r>
          </w:p>
        </w:tc>
        <w:tc>
          <w:tcPr>
            <w:tcW w:w="1038" w:type="pct"/>
            <w:noWrap/>
            <w:hideMark/>
          </w:tcPr>
          <w:p w14:paraId="626C6DD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6.28</w:t>
            </w:r>
          </w:p>
        </w:tc>
        <w:tc>
          <w:tcPr>
            <w:tcW w:w="991" w:type="pct"/>
            <w:noWrap/>
            <w:hideMark/>
          </w:tcPr>
          <w:p w14:paraId="74BE4CA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5.43</w:t>
            </w:r>
          </w:p>
        </w:tc>
        <w:tc>
          <w:tcPr>
            <w:tcW w:w="1226" w:type="pct"/>
            <w:noWrap/>
            <w:hideMark/>
          </w:tcPr>
          <w:p w14:paraId="4390BA4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26.66</w:t>
            </w:r>
          </w:p>
        </w:tc>
      </w:tr>
    </w:tbl>
    <w:p w14:paraId="1BE78340" w14:textId="77777777" w:rsidR="00F43EBA" w:rsidRPr="0093104B" w:rsidRDefault="00F43EBA"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1BA2E613"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and Ash Content</w:t>
      </w:r>
    </w:p>
    <w:p w14:paraId="536126BE" w14:textId="77777777" w:rsidR="00F43EBA" w:rsidRPr="0093104B" w:rsidRDefault="00F43EBA" w:rsidP="0093104B">
      <w:pPr>
        <w:pStyle w:val="NormalWeb"/>
        <w:spacing w:line="360" w:lineRule="auto"/>
        <w:jc w:val="both"/>
      </w:pPr>
      <w:r w:rsidRPr="0093104B">
        <w:t>Moisture content varied between 2.19 % and 3.25 %, with a population mean of 2.63 ± 0.06 %. The highest value was recorded in genotype SWS-02 (3.25 %), followed by SWS-03 (3.10 %) and SWS-04 (2.92 %), whereas TWS-05 (2.19 %) showed the lowest. The phenotypic coefficient of variation (PCV) (16.55 %) was slightly higher than the genotypic coefficient of variation (GCV) (11.86 %) (Table 2), suggesting moderate environmental influence. Broad-sense heritability for moisture content was 51.3 %, with an expected genetic gain of 22.86 % of the mean, indicating moderate potential for selection-based improvement.</w:t>
      </w:r>
    </w:p>
    <w:p w14:paraId="51181792" w14:textId="77777777" w:rsidR="00F43EBA" w:rsidRPr="0093104B" w:rsidRDefault="00F43EBA" w:rsidP="0093104B">
      <w:pPr>
        <w:pStyle w:val="NormalWeb"/>
        <w:spacing w:line="360" w:lineRule="auto"/>
        <w:jc w:val="both"/>
      </w:pPr>
      <w:r w:rsidRPr="0093104B">
        <w:t>Ash content ranged from 1.12 % to 2.21 %, with a population mean of 1.62 ± 0.07 %. Genotype SWS-01 recorded the highest value (2.21 %), followed by SWS-02 (2.11 %) and RWS-17 (1.96 %). PCV (21.73 %) and GCV (20.63 %) were both high, indicating that ash content is primarily genetically controlled and less affected by environmental variation. Heritability in the broad sense was 72.3 %, and expected genetic gain was 38.83 % of the mean, showing that direct selection could effectively enhance this trait.</w:t>
      </w:r>
    </w:p>
    <w:p w14:paraId="244D1FFF"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Protein and Carbohydrate Content</w:t>
      </w:r>
    </w:p>
    <w:p w14:paraId="3DD138F4" w14:textId="77777777" w:rsidR="00F43EBA" w:rsidRPr="0093104B" w:rsidRDefault="00F43EBA" w:rsidP="0093104B">
      <w:pPr>
        <w:pStyle w:val="NormalWeb"/>
        <w:spacing w:line="360" w:lineRule="auto"/>
        <w:jc w:val="both"/>
      </w:pPr>
      <w:r w:rsidRPr="0093104B">
        <w:t>Protein content varied from 17.12 % to 20.88 %, with a mean of 19.03 ± 0.22 %. Genotype SWS-01 recorded the maximum protein content (20.88 %), while TWS-05 had the lowest (17.12 %). PCV (10.34 %) was slightly higher than GCV (10.31 %), and heritability was moderate (61.5 %), with an expected genetic gain of 21.19 % of the mean. These results suggest that both genetic and environmental factors influence kernel protein, yet selection could yield meaningful improvement.</w:t>
      </w:r>
    </w:p>
    <w:p w14:paraId="1E82AEC7" w14:textId="77777777" w:rsidR="00F43EBA" w:rsidRPr="0093104B" w:rsidRDefault="00F43EBA" w:rsidP="0093104B">
      <w:pPr>
        <w:pStyle w:val="NormalWeb"/>
        <w:spacing w:line="360" w:lineRule="auto"/>
        <w:jc w:val="both"/>
      </w:pPr>
      <w:r w:rsidRPr="0093104B">
        <w:t xml:space="preserve">Carbohydrate content ranged from 8.48 % to 24.43 %, with a mean of 18.66 ± 0.90 %. The highest value was recorded in SWS-01 (24.43 %), followed by SWS-02 (23.78 %) and SWS-03 (23.52 %). High PCV (15.62 %) and GCV (15.58 %) along with heritability (78.4 %) and </w:t>
      </w:r>
      <w:r w:rsidRPr="0093104B">
        <w:lastRenderedPageBreak/>
        <w:t>genetic gain (32.33 %) indicate strong genetic control and excellent potential for selection-based enhancement.</w:t>
      </w:r>
    </w:p>
    <w:p w14:paraId="1677BC5F" w14:textId="77777777" w:rsidR="00F43EBA" w:rsidRPr="0093104B" w:rsidRDefault="00F43EBA"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2. Variability and Genetic Parameters for Kernel Moisture, Ash, Protein, and Carbohydrate Content</w:t>
      </w:r>
    </w:p>
    <w:tbl>
      <w:tblPr>
        <w:tblStyle w:val="TableGrid"/>
        <w:tblpPr w:leftFromText="180" w:rightFromText="180" w:vertAnchor="text" w:tblpY="1"/>
        <w:tblOverlap w:val="never"/>
        <w:tblW w:w="5000" w:type="pct"/>
        <w:tblLook w:val="04A0" w:firstRow="1" w:lastRow="0" w:firstColumn="1" w:lastColumn="0" w:noHBand="0" w:noVBand="1"/>
      </w:tblPr>
      <w:tblGrid>
        <w:gridCol w:w="2892"/>
        <w:gridCol w:w="1553"/>
        <w:gridCol w:w="1308"/>
        <w:gridCol w:w="1428"/>
        <w:gridCol w:w="2061"/>
      </w:tblGrid>
      <w:tr w:rsidR="00F43EBA" w:rsidRPr="0093104B" w14:paraId="08164F98" w14:textId="77777777" w:rsidTr="009C6FA7">
        <w:trPr>
          <w:trHeight w:val="532"/>
        </w:trPr>
        <w:tc>
          <w:tcPr>
            <w:tcW w:w="1575" w:type="pct"/>
            <w:hideMark/>
          </w:tcPr>
          <w:p w14:paraId="0A824535"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Parameter</w:t>
            </w:r>
          </w:p>
        </w:tc>
        <w:tc>
          <w:tcPr>
            <w:tcW w:w="850" w:type="pct"/>
            <w:hideMark/>
          </w:tcPr>
          <w:p w14:paraId="42A5BAAD"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Moisture (%)</w:t>
            </w:r>
          </w:p>
        </w:tc>
        <w:tc>
          <w:tcPr>
            <w:tcW w:w="691" w:type="pct"/>
            <w:hideMark/>
          </w:tcPr>
          <w:p w14:paraId="6AF75011"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Ash (%)</w:t>
            </w:r>
          </w:p>
        </w:tc>
        <w:tc>
          <w:tcPr>
            <w:tcW w:w="759" w:type="pct"/>
            <w:hideMark/>
          </w:tcPr>
          <w:p w14:paraId="2CC7987C"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Protein (%)</w:t>
            </w:r>
          </w:p>
        </w:tc>
        <w:tc>
          <w:tcPr>
            <w:tcW w:w="1125" w:type="pct"/>
            <w:hideMark/>
          </w:tcPr>
          <w:p w14:paraId="00318DB7"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Carbohydrate (%)</w:t>
            </w:r>
          </w:p>
        </w:tc>
      </w:tr>
      <w:tr w:rsidR="00F43EBA" w:rsidRPr="0093104B" w14:paraId="0D472C9C" w14:textId="77777777" w:rsidTr="009C6FA7">
        <w:trPr>
          <w:trHeight w:val="532"/>
        </w:trPr>
        <w:tc>
          <w:tcPr>
            <w:tcW w:w="1575" w:type="pct"/>
            <w:hideMark/>
          </w:tcPr>
          <w:p w14:paraId="5AF830D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850" w:type="pct"/>
            <w:hideMark/>
          </w:tcPr>
          <w:p w14:paraId="7E76A04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2.63 ±0.06</w:t>
            </w:r>
          </w:p>
        </w:tc>
        <w:tc>
          <w:tcPr>
            <w:tcW w:w="691" w:type="pct"/>
            <w:hideMark/>
          </w:tcPr>
          <w:p w14:paraId="27EFC23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1.62±0.065</w:t>
            </w:r>
          </w:p>
        </w:tc>
        <w:tc>
          <w:tcPr>
            <w:tcW w:w="759" w:type="pct"/>
            <w:hideMark/>
          </w:tcPr>
          <w:p w14:paraId="33F9E27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19.033±0.22</w:t>
            </w:r>
          </w:p>
        </w:tc>
        <w:tc>
          <w:tcPr>
            <w:tcW w:w="1125" w:type="pct"/>
            <w:hideMark/>
          </w:tcPr>
          <w:p w14:paraId="1472A59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18.66 ±0.90</w:t>
            </w:r>
          </w:p>
        </w:tc>
      </w:tr>
      <w:tr w:rsidR="00F43EBA" w:rsidRPr="0093104B" w14:paraId="7BD37AC6" w14:textId="77777777" w:rsidTr="009C6FA7">
        <w:trPr>
          <w:trHeight w:val="532"/>
        </w:trPr>
        <w:tc>
          <w:tcPr>
            <w:tcW w:w="1575" w:type="pct"/>
            <w:hideMark/>
          </w:tcPr>
          <w:p w14:paraId="7E870A3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850" w:type="pct"/>
            <w:hideMark/>
          </w:tcPr>
          <w:p w14:paraId="1DA03DB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2.19–3.25</w:t>
            </w:r>
          </w:p>
        </w:tc>
        <w:tc>
          <w:tcPr>
            <w:tcW w:w="691" w:type="pct"/>
            <w:hideMark/>
          </w:tcPr>
          <w:p w14:paraId="276B9B6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1.12–2.21</w:t>
            </w:r>
          </w:p>
        </w:tc>
        <w:tc>
          <w:tcPr>
            <w:tcW w:w="759" w:type="pct"/>
            <w:hideMark/>
          </w:tcPr>
          <w:p w14:paraId="66365C31"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17.12–20.88</w:t>
            </w:r>
          </w:p>
        </w:tc>
        <w:tc>
          <w:tcPr>
            <w:tcW w:w="1125" w:type="pct"/>
            <w:hideMark/>
          </w:tcPr>
          <w:p w14:paraId="4E7BBB7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8.48–24.43</w:t>
            </w:r>
          </w:p>
        </w:tc>
      </w:tr>
      <w:tr w:rsidR="00F43EBA" w:rsidRPr="0093104B" w14:paraId="4205B6D3" w14:textId="77777777" w:rsidTr="009C6FA7">
        <w:trPr>
          <w:trHeight w:val="532"/>
        </w:trPr>
        <w:tc>
          <w:tcPr>
            <w:tcW w:w="1575" w:type="pct"/>
          </w:tcPr>
          <w:p w14:paraId="7B1A071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Phenotypic variance</w:t>
            </w:r>
          </w:p>
        </w:tc>
        <w:tc>
          <w:tcPr>
            <w:tcW w:w="850" w:type="pct"/>
          </w:tcPr>
          <w:p w14:paraId="3090209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0.077</w:t>
            </w:r>
          </w:p>
        </w:tc>
        <w:tc>
          <w:tcPr>
            <w:tcW w:w="691" w:type="pct"/>
          </w:tcPr>
          <w:p w14:paraId="243EB26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144EA45C"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280424D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1FA821FD" w14:textId="77777777" w:rsidTr="009C6FA7">
        <w:trPr>
          <w:trHeight w:val="532"/>
        </w:trPr>
        <w:tc>
          <w:tcPr>
            <w:tcW w:w="1575" w:type="pct"/>
          </w:tcPr>
          <w:p w14:paraId="7043A66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Genotypic variance</w:t>
            </w:r>
          </w:p>
        </w:tc>
        <w:tc>
          <w:tcPr>
            <w:tcW w:w="850" w:type="pct"/>
          </w:tcPr>
          <w:p w14:paraId="6E52960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0.076</w:t>
            </w:r>
          </w:p>
        </w:tc>
        <w:tc>
          <w:tcPr>
            <w:tcW w:w="691" w:type="pct"/>
          </w:tcPr>
          <w:p w14:paraId="71526CC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0223C6D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3190EB8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40E1CCC6" w14:textId="77777777" w:rsidTr="009C6FA7">
        <w:trPr>
          <w:trHeight w:val="532"/>
        </w:trPr>
        <w:tc>
          <w:tcPr>
            <w:tcW w:w="1575" w:type="pct"/>
            <w:hideMark/>
          </w:tcPr>
          <w:p w14:paraId="102CBB2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850" w:type="pct"/>
            <w:hideMark/>
          </w:tcPr>
          <w:p w14:paraId="1F13C12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10.53</w:t>
            </w:r>
          </w:p>
        </w:tc>
        <w:tc>
          <w:tcPr>
            <w:tcW w:w="691" w:type="pct"/>
          </w:tcPr>
          <w:p w14:paraId="53E49DD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18.56</w:t>
            </w:r>
          </w:p>
        </w:tc>
        <w:tc>
          <w:tcPr>
            <w:tcW w:w="759" w:type="pct"/>
          </w:tcPr>
          <w:p w14:paraId="0487802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5D4BD2C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2CCE3C2D" w14:textId="77777777" w:rsidTr="009C6FA7">
        <w:trPr>
          <w:trHeight w:val="532"/>
        </w:trPr>
        <w:tc>
          <w:tcPr>
            <w:tcW w:w="1575" w:type="pct"/>
            <w:hideMark/>
          </w:tcPr>
          <w:p w14:paraId="31798F6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850" w:type="pct"/>
            <w:hideMark/>
          </w:tcPr>
          <w:p w14:paraId="1F7F93E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10.51</w:t>
            </w:r>
          </w:p>
        </w:tc>
        <w:tc>
          <w:tcPr>
            <w:tcW w:w="691" w:type="pct"/>
          </w:tcPr>
          <w:p w14:paraId="7C5AAA5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18.55</w:t>
            </w:r>
          </w:p>
        </w:tc>
        <w:tc>
          <w:tcPr>
            <w:tcW w:w="759" w:type="pct"/>
          </w:tcPr>
          <w:p w14:paraId="3D458AC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2FE98634"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76F7DDC1" w14:textId="77777777" w:rsidTr="009C6FA7">
        <w:trPr>
          <w:trHeight w:val="532"/>
        </w:trPr>
        <w:tc>
          <w:tcPr>
            <w:tcW w:w="1575" w:type="pct"/>
            <w:hideMark/>
          </w:tcPr>
          <w:p w14:paraId="7EE7688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850" w:type="pct"/>
            <w:hideMark/>
          </w:tcPr>
          <w:p w14:paraId="0EA20F9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99.6</w:t>
            </w:r>
          </w:p>
        </w:tc>
        <w:tc>
          <w:tcPr>
            <w:tcW w:w="691" w:type="pct"/>
            <w:hideMark/>
          </w:tcPr>
          <w:p w14:paraId="7A3DA43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99.88</w:t>
            </w:r>
          </w:p>
        </w:tc>
        <w:tc>
          <w:tcPr>
            <w:tcW w:w="759" w:type="pct"/>
          </w:tcPr>
          <w:p w14:paraId="29D1DC4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99.98</w:t>
            </w:r>
          </w:p>
        </w:tc>
        <w:tc>
          <w:tcPr>
            <w:tcW w:w="1125" w:type="pct"/>
          </w:tcPr>
          <w:p w14:paraId="72FD356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100</w:t>
            </w:r>
          </w:p>
        </w:tc>
      </w:tr>
      <w:tr w:rsidR="00F43EBA" w:rsidRPr="0093104B" w14:paraId="6AC5557F" w14:textId="77777777" w:rsidTr="009C6FA7">
        <w:trPr>
          <w:trHeight w:val="532"/>
        </w:trPr>
        <w:tc>
          <w:tcPr>
            <w:tcW w:w="1575" w:type="pct"/>
            <w:hideMark/>
          </w:tcPr>
          <w:p w14:paraId="1E032DD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850" w:type="pct"/>
            <w:hideMark/>
          </w:tcPr>
          <w:p w14:paraId="7B01C31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21.60</w:t>
            </w:r>
          </w:p>
        </w:tc>
        <w:tc>
          <w:tcPr>
            <w:tcW w:w="691" w:type="pct"/>
            <w:hideMark/>
          </w:tcPr>
          <w:p w14:paraId="0DA6B94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38.19</w:t>
            </w:r>
          </w:p>
        </w:tc>
        <w:tc>
          <w:tcPr>
            <w:tcW w:w="759" w:type="pct"/>
            <w:hideMark/>
          </w:tcPr>
          <w:p w14:paraId="501EA3F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11.07</w:t>
            </w:r>
          </w:p>
        </w:tc>
        <w:tc>
          <w:tcPr>
            <w:tcW w:w="1125" w:type="pct"/>
            <w:hideMark/>
          </w:tcPr>
          <w:p w14:paraId="42845BD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45.92</w:t>
            </w:r>
          </w:p>
        </w:tc>
      </w:tr>
    </w:tbl>
    <w:p w14:paraId="2F6DE106" w14:textId="77777777" w:rsidR="00F43EBA" w:rsidRPr="0093104B" w:rsidRDefault="00F43EBA" w:rsidP="0093104B">
      <w:pPr>
        <w:pStyle w:val="NormalWeb"/>
        <w:spacing w:line="360" w:lineRule="auto"/>
        <w:jc w:val="both"/>
      </w:pPr>
    </w:p>
    <w:p w14:paraId="255E6EA2" w14:textId="77777777" w:rsidR="00F43EBA" w:rsidRPr="0093104B" w:rsidRDefault="00F43EBA" w:rsidP="0093104B">
      <w:pPr>
        <w:pStyle w:val="NormalWeb"/>
        <w:spacing w:line="360" w:lineRule="auto"/>
        <w:jc w:val="both"/>
      </w:pPr>
    </w:p>
    <w:p w14:paraId="32C71352" w14:textId="77777777" w:rsidR="00F43EBA" w:rsidRPr="0093104B" w:rsidRDefault="00F43EBA" w:rsidP="0093104B">
      <w:pPr>
        <w:pStyle w:val="NormalWeb"/>
        <w:spacing w:line="360" w:lineRule="auto"/>
        <w:jc w:val="both"/>
      </w:pPr>
    </w:p>
    <w:p w14:paraId="1A3CFBCB" w14:textId="77777777" w:rsidR="00F43EBA" w:rsidRPr="0093104B" w:rsidRDefault="00F43EBA" w:rsidP="0093104B">
      <w:pPr>
        <w:pStyle w:val="NormalWeb"/>
        <w:spacing w:line="360" w:lineRule="auto"/>
        <w:jc w:val="both"/>
      </w:pPr>
    </w:p>
    <w:p w14:paraId="30946DC5" w14:textId="77777777" w:rsidR="00F43EBA" w:rsidRPr="0093104B" w:rsidRDefault="00F43EBA" w:rsidP="0093104B">
      <w:pPr>
        <w:pStyle w:val="NormalWeb"/>
        <w:spacing w:line="360" w:lineRule="auto"/>
        <w:jc w:val="both"/>
      </w:pPr>
    </w:p>
    <w:p w14:paraId="4943DBEF" w14:textId="77777777" w:rsidR="00F43EBA" w:rsidRPr="0093104B" w:rsidRDefault="00F43EBA" w:rsidP="0093104B">
      <w:pPr>
        <w:pStyle w:val="NormalWeb"/>
        <w:spacing w:line="360" w:lineRule="auto"/>
        <w:jc w:val="both"/>
      </w:pPr>
    </w:p>
    <w:p w14:paraId="4B593099" w14:textId="77777777" w:rsidR="00F43EBA" w:rsidRPr="0093104B" w:rsidRDefault="00F43EBA" w:rsidP="0093104B">
      <w:pPr>
        <w:pStyle w:val="NormalWeb"/>
        <w:spacing w:line="360" w:lineRule="auto"/>
        <w:jc w:val="both"/>
      </w:pPr>
    </w:p>
    <w:p w14:paraId="37AA3014" w14:textId="77777777"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17034895"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Fatty Acids, and Flavonoid Content</w:t>
      </w:r>
    </w:p>
    <w:p w14:paraId="74044362" w14:textId="77777777" w:rsidR="00F43EBA" w:rsidRPr="0093104B" w:rsidRDefault="00F43EBA" w:rsidP="0093104B">
      <w:pPr>
        <w:pStyle w:val="NormalWeb"/>
        <w:spacing w:line="360" w:lineRule="auto"/>
        <w:jc w:val="both"/>
      </w:pPr>
      <w:r w:rsidRPr="0093104B">
        <w:t>Kernel oil content exhibited wide variability among genotypes, ranging from 50.39 % to 70.55 %, with a mean of 56.72 %</w:t>
      </w:r>
      <w:r w:rsidR="00471EE7" w:rsidRPr="0093104B">
        <w:t xml:space="preserve"> (Table 3)</w:t>
      </w:r>
      <w:r w:rsidRPr="0093104B">
        <w:t>. The highest oil content was recorded in PWS-25 (70.55 %), followed by TWS-08 (65.32 %) and SWS-03 (64.06 %), whereas PWS-09 (50.39 %) and KWS-18 (50.42 %) had the lowest. PCV (13.73 %) and GCV (13.37 %) were similar, and heritability was high (83.1 %), with an expected genetic gain of 26.67 %, confirming a strong genetic basis for oil content.</w:t>
      </w:r>
    </w:p>
    <w:p w14:paraId="6299FCD6" w14:textId="77777777" w:rsidR="00F43EBA" w:rsidRPr="0093104B" w:rsidRDefault="00F43EBA" w:rsidP="0093104B">
      <w:pPr>
        <w:pStyle w:val="NormalWeb"/>
        <w:spacing w:line="360" w:lineRule="auto"/>
        <w:jc w:val="both"/>
      </w:pPr>
      <w:r w:rsidRPr="0093104B">
        <w:t>Oleic acid content ranged from 11.43 % to 23.28 % (mean 18.41 %)</w:t>
      </w:r>
      <w:r w:rsidR="00471EE7" w:rsidRPr="0093104B">
        <w:t>;</w:t>
      </w:r>
      <w:r w:rsidRPr="0093104B">
        <w:t xml:space="preserve"> with PWS-10 showing the highest value (23.28 %). Linoleic acid content varied from 44.65 % to 62.49 % (mean 52.17 %), with TWS-08 (62.49 %) and SWS-03 (61.29 %) showing the highest levels. Oleic acid exhibited moderate heritability (53.1 %) and expected genetic gain (16.71 %), whereas linoleic acid showed heritability (65.4 %) and genetic gain (10.80 %), suggesting moderate scope for improvement.</w:t>
      </w:r>
    </w:p>
    <w:p w14:paraId="48858FDC" w14:textId="77777777" w:rsidR="00F43EBA" w:rsidRPr="0093104B" w:rsidRDefault="00F43EBA" w:rsidP="0093104B">
      <w:pPr>
        <w:pStyle w:val="NormalWeb"/>
        <w:spacing w:line="360" w:lineRule="auto"/>
        <w:jc w:val="both"/>
      </w:pPr>
      <w:r w:rsidRPr="0093104B">
        <w:t>Total flavonoid content ranged from 5.43 to 26.66 mg g⁻¹ QE, with a population mean of 15.70 mg g⁻¹ QE</w:t>
      </w:r>
      <w:r w:rsidR="00471EE7" w:rsidRPr="0093104B">
        <w:t xml:space="preserve"> (Table 3)</w:t>
      </w:r>
      <w:r w:rsidRPr="0093104B">
        <w:t>. Genotype TWS-06 had the highest flavonoid content (26.66 mg g⁻¹ QE), while RWS-16 showed the lowest (5.43 mg g⁻¹ QE). High PCV (41.94 %), GCV (36.42 %), and heritability (75 %) with a genetic gain of 25.45 % indicate that flavonoid content is largely governed by genetic factors and can be effectively enhanced through selection.</w:t>
      </w:r>
    </w:p>
    <w:p w14:paraId="46ECB6E6" w14:textId="77777777" w:rsidR="00471EE7" w:rsidRPr="0093104B" w:rsidRDefault="00471EE7"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3. Variability and Genetic Parameters for Kernel Oil, Fatty Acid, and Total Flavonoid Content</w:t>
      </w:r>
    </w:p>
    <w:tbl>
      <w:tblPr>
        <w:tblStyle w:val="TableGrid"/>
        <w:tblW w:w="0" w:type="auto"/>
        <w:tblLook w:val="04A0" w:firstRow="1" w:lastRow="0" w:firstColumn="1" w:lastColumn="0" w:noHBand="0" w:noVBand="1"/>
      </w:tblPr>
      <w:tblGrid>
        <w:gridCol w:w="2417"/>
        <w:gridCol w:w="1232"/>
        <w:gridCol w:w="1417"/>
        <w:gridCol w:w="1758"/>
        <w:gridCol w:w="2418"/>
      </w:tblGrid>
      <w:tr w:rsidR="00471EE7" w:rsidRPr="0093104B" w14:paraId="6291CF25" w14:textId="77777777" w:rsidTr="003737C0">
        <w:tc>
          <w:tcPr>
            <w:tcW w:w="0" w:type="auto"/>
            <w:hideMark/>
          </w:tcPr>
          <w:p w14:paraId="02317671"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Parameter</w:t>
            </w:r>
          </w:p>
        </w:tc>
        <w:tc>
          <w:tcPr>
            <w:tcW w:w="0" w:type="auto"/>
            <w:hideMark/>
          </w:tcPr>
          <w:p w14:paraId="3E997B35"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Oil (%)</w:t>
            </w:r>
          </w:p>
        </w:tc>
        <w:tc>
          <w:tcPr>
            <w:tcW w:w="0" w:type="auto"/>
            <w:hideMark/>
          </w:tcPr>
          <w:p w14:paraId="211875E7"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Oleic acid (%)</w:t>
            </w:r>
          </w:p>
        </w:tc>
        <w:tc>
          <w:tcPr>
            <w:tcW w:w="0" w:type="auto"/>
            <w:hideMark/>
          </w:tcPr>
          <w:p w14:paraId="426FDAA3"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Linoleic acid (%)</w:t>
            </w:r>
          </w:p>
        </w:tc>
        <w:tc>
          <w:tcPr>
            <w:tcW w:w="0" w:type="auto"/>
            <w:hideMark/>
          </w:tcPr>
          <w:p w14:paraId="58237023"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Total flavonoids (mg/g QE)</w:t>
            </w:r>
          </w:p>
        </w:tc>
      </w:tr>
      <w:tr w:rsidR="00471EE7" w:rsidRPr="0093104B" w14:paraId="67EB0BB4" w14:textId="77777777" w:rsidTr="003737C0">
        <w:tc>
          <w:tcPr>
            <w:tcW w:w="0" w:type="auto"/>
            <w:hideMark/>
          </w:tcPr>
          <w:p w14:paraId="0EC4B5E1"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0" w:type="auto"/>
            <w:hideMark/>
          </w:tcPr>
          <w:p w14:paraId="2B8240BF"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56.72</w:t>
            </w:r>
          </w:p>
        </w:tc>
        <w:tc>
          <w:tcPr>
            <w:tcW w:w="0" w:type="auto"/>
            <w:hideMark/>
          </w:tcPr>
          <w:p w14:paraId="3EFAA83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18.41</w:t>
            </w:r>
          </w:p>
        </w:tc>
        <w:tc>
          <w:tcPr>
            <w:tcW w:w="0" w:type="auto"/>
            <w:hideMark/>
          </w:tcPr>
          <w:p w14:paraId="3114351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52.17±0.99</w:t>
            </w:r>
          </w:p>
        </w:tc>
        <w:tc>
          <w:tcPr>
            <w:tcW w:w="0" w:type="auto"/>
            <w:hideMark/>
          </w:tcPr>
          <w:p w14:paraId="6F45E83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15.70 ±1.37</w:t>
            </w:r>
          </w:p>
        </w:tc>
      </w:tr>
      <w:tr w:rsidR="00471EE7" w:rsidRPr="0093104B" w14:paraId="140328FD" w14:textId="77777777" w:rsidTr="003737C0">
        <w:tc>
          <w:tcPr>
            <w:tcW w:w="0" w:type="auto"/>
            <w:hideMark/>
          </w:tcPr>
          <w:p w14:paraId="3F2CE45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0" w:type="auto"/>
            <w:hideMark/>
          </w:tcPr>
          <w:p w14:paraId="384193CF"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50.39–70.55</w:t>
            </w:r>
          </w:p>
        </w:tc>
        <w:tc>
          <w:tcPr>
            <w:tcW w:w="0" w:type="auto"/>
            <w:hideMark/>
          </w:tcPr>
          <w:p w14:paraId="46D045B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11.43–23.28</w:t>
            </w:r>
          </w:p>
        </w:tc>
        <w:tc>
          <w:tcPr>
            <w:tcW w:w="0" w:type="auto"/>
            <w:hideMark/>
          </w:tcPr>
          <w:p w14:paraId="3F103FD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44.65–62.49</w:t>
            </w:r>
          </w:p>
        </w:tc>
        <w:tc>
          <w:tcPr>
            <w:tcW w:w="0" w:type="auto"/>
            <w:hideMark/>
          </w:tcPr>
          <w:p w14:paraId="6D6D452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5.43–26.66</w:t>
            </w:r>
          </w:p>
        </w:tc>
      </w:tr>
      <w:tr w:rsidR="00471EE7" w:rsidRPr="0093104B" w14:paraId="1FE545A9" w14:textId="77777777" w:rsidTr="003737C0">
        <w:tc>
          <w:tcPr>
            <w:tcW w:w="0" w:type="auto"/>
            <w:hideMark/>
          </w:tcPr>
          <w:p w14:paraId="5848256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0" w:type="auto"/>
            <w:hideMark/>
          </w:tcPr>
          <w:p w14:paraId="62CF18A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13.73</w:t>
            </w:r>
          </w:p>
        </w:tc>
        <w:tc>
          <w:tcPr>
            <w:tcW w:w="0" w:type="auto"/>
            <w:hideMark/>
          </w:tcPr>
          <w:p w14:paraId="3DF0FE9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18.08</w:t>
            </w:r>
          </w:p>
        </w:tc>
        <w:tc>
          <w:tcPr>
            <w:tcW w:w="0" w:type="auto"/>
            <w:hideMark/>
          </w:tcPr>
          <w:p w14:paraId="61644E8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8.73</w:t>
            </w:r>
          </w:p>
        </w:tc>
        <w:tc>
          <w:tcPr>
            <w:tcW w:w="0" w:type="auto"/>
            <w:hideMark/>
          </w:tcPr>
          <w:p w14:paraId="6025A98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41.94</w:t>
            </w:r>
          </w:p>
        </w:tc>
      </w:tr>
      <w:tr w:rsidR="00471EE7" w:rsidRPr="0093104B" w14:paraId="0B2E63AA" w14:textId="77777777" w:rsidTr="003737C0">
        <w:tc>
          <w:tcPr>
            <w:tcW w:w="0" w:type="auto"/>
            <w:hideMark/>
          </w:tcPr>
          <w:p w14:paraId="39AE1EE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0" w:type="auto"/>
            <w:hideMark/>
          </w:tcPr>
          <w:p w14:paraId="67E4CB86"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13.37</w:t>
            </w:r>
          </w:p>
        </w:tc>
        <w:tc>
          <w:tcPr>
            <w:tcW w:w="0" w:type="auto"/>
            <w:hideMark/>
          </w:tcPr>
          <w:p w14:paraId="4F60CFAF"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13.24</w:t>
            </w:r>
          </w:p>
        </w:tc>
        <w:tc>
          <w:tcPr>
            <w:tcW w:w="0" w:type="auto"/>
            <w:hideMark/>
          </w:tcPr>
          <w:p w14:paraId="500C5E04"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7.08</w:t>
            </w:r>
          </w:p>
        </w:tc>
        <w:tc>
          <w:tcPr>
            <w:tcW w:w="0" w:type="auto"/>
            <w:hideMark/>
          </w:tcPr>
          <w:p w14:paraId="057F997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36.42</w:t>
            </w:r>
          </w:p>
        </w:tc>
      </w:tr>
      <w:tr w:rsidR="00471EE7" w:rsidRPr="0093104B" w14:paraId="6C553F7A" w14:textId="77777777" w:rsidTr="003737C0">
        <w:tc>
          <w:tcPr>
            <w:tcW w:w="0" w:type="auto"/>
            <w:hideMark/>
          </w:tcPr>
          <w:p w14:paraId="0DB21B8C"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lastRenderedPageBreak/>
              <w:t>Heritability (h², broad sense)</w:t>
            </w:r>
          </w:p>
        </w:tc>
        <w:tc>
          <w:tcPr>
            <w:tcW w:w="0" w:type="auto"/>
            <w:hideMark/>
          </w:tcPr>
          <w:p w14:paraId="04D7727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0.831</w:t>
            </w:r>
          </w:p>
        </w:tc>
        <w:tc>
          <w:tcPr>
            <w:tcW w:w="0" w:type="auto"/>
            <w:hideMark/>
          </w:tcPr>
          <w:p w14:paraId="584F50A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0.531</w:t>
            </w:r>
          </w:p>
        </w:tc>
        <w:tc>
          <w:tcPr>
            <w:tcW w:w="0" w:type="auto"/>
            <w:hideMark/>
          </w:tcPr>
          <w:p w14:paraId="75D67940"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0.654</w:t>
            </w:r>
          </w:p>
        </w:tc>
        <w:tc>
          <w:tcPr>
            <w:tcW w:w="0" w:type="auto"/>
            <w:hideMark/>
          </w:tcPr>
          <w:p w14:paraId="3FF670E1"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0.75</w:t>
            </w:r>
          </w:p>
        </w:tc>
      </w:tr>
      <w:tr w:rsidR="00471EE7" w:rsidRPr="0093104B" w14:paraId="1E4F5A1D" w14:textId="77777777" w:rsidTr="003737C0">
        <w:tc>
          <w:tcPr>
            <w:tcW w:w="0" w:type="auto"/>
            <w:hideMark/>
          </w:tcPr>
          <w:p w14:paraId="1D712010"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0" w:type="auto"/>
            <w:hideMark/>
          </w:tcPr>
          <w:p w14:paraId="17E7B94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26.67</w:t>
            </w:r>
          </w:p>
        </w:tc>
        <w:tc>
          <w:tcPr>
            <w:tcW w:w="0" w:type="auto"/>
            <w:hideMark/>
          </w:tcPr>
          <w:p w14:paraId="2FBC1D8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16.71</w:t>
            </w:r>
          </w:p>
        </w:tc>
        <w:tc>
          <w:tcPr>
            <w:tcW w:w="0" w:type="auto"/>
            <w:hideMark/>
          </w:tcPr>
          <w:p w14:paraId="5EC6A9F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10.80</w:t>
            </w:r>
          </w:p>
        </w:tc>
        <w:tc>
          <w:tcPr>
            <w:tcW w:w="0" w:type="auto"/>
            <w:hideMark/>
          </w:tcPr>
          <w:p w14:paraId="0673AA0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25.45</w:t>
            </w:r>
          </w:p>
        </w:tc>
      </w:tr>
    </w:tbl>
    <w:p w14:paraId="6540D683"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Correlation Analysis</w:t>
      </w:r>
    </w:p>
    <w:p w14:paraId="0372407A" w14:textId="77777777" w:rsidR="00F43EBA" w:rsidRPr="0093104B" w:rsidRDefault="00F43EBA" w:rsidP="0093104B">
      <w:pPr>
        <w:pStyle w:val="NormalWeb"/>
        <w:spacing w:line="360" w:lineRule="auto"/>
        <w:jc w:val="both"/>
      </w:pPr>
      <w:r w:rsidRPr="0093104B">
        <w:t xml:space="preserve">Correlation coefficients among biochemical traits (Table 4) revealed significant positive associations between oil and linoleic acid contents, implying that genotypes with higher oil yield tend to possess greater linoleic proportions. Moderate positive relationships were also observed between oil and oleic acid and between protein and flavonoid contents. Moisture content showed a negative correlation with oil and flavonoid contents, suggesting that lower-moisture kernels generally possess superior biochemical quality. These patterns are consistent with earlier findings in </w:t>
      </w:r>
      <w:r w:rsidRPr="0093104B">
        <w:rPr>
          <w:rStyle w:val="Emphasis"/>
          <w:rFonts w:eastAsiaTheme="majorEastAsia"/>
        </w:rPr>
        <w:t>Juglans regia</w:t>
      </w:r>
      <w:r w:rsidRPr="0093104B">
        <w:t>.</w:t>
      </w:r>
    </w:p>
    <w:p w14:paraId="5120367A" w14:textId="77777777" w:rsidR="00471EE7" w:rsidRPr="0093104B" w:rsidRDefault="00471EE7" w:rsidP="009C6FA7">
      <w:pPr>
        <w:spacing w:line="360" w:lineRule="auto"/>
        <w:jc w:val="both"/>
        <w:rPr>
          <w:rFonts w:ascii="Times New Roman" w:hAnsi="Times New Roman" w:cs="Times New Roman"/>
          <w:b/>
        </w:rPr>
      </w:pPr>
      <w:r w:rsidRPr="0093104B">
        <w:rPr>
          <w:rStyle w:val="Strong"/>
          <w:rFonts w:ascii="Times New Roman" w:hAnsi="Times New Roman" w:cs="Times New Roman"/>
        </w:rPr>
        <w:t>Table 4.</w:t>
      </w:r>
      <w:r w:rsidRPr="0093104B">
        <w:rPr>
          <w:rFonts w:ascii="Times New Roman" w:hAnsi="Times New Roman" w:cs="Times New Roman"/>
        </w:rPr>
        <w:t xml:space="preserve"> </w:t>
      </w:r>
      <w:r w:rsidRPr="0093104B">
        <w:rPr>
          <w:rFonts w:ascii="Times New Roman" w:hAnsi="Times New Roman" w:cs="Times New Roman"/>
          <w:b/>
        </w:rPr>
        <w:t>Pearson correlation coefficients among biochemical traits in 21 walnut genotypes.</w:t>
      </w:r>
    </w:p>
    <w:tbl>
      <w:tblPr>
        <w:tblStyle w:val="TableGrid"/>
        <w:tblW w:w="5000" w:type="pct"/>
        <w:tblLook w:val="04A0" w:firstRow="1" w:lastRow="0" w:firstColumn="1" w:lastColumn="0" w:noHBand="0" w:noVBand="1"/>
      </w:tblPr>
      <w:tblGrid>
        <w:gridCol w:w="1384"/>
        <w:gridCol w:w="1116"/>
        <w:gridCol w:w="843"/>
        <w:gridCol w:w="1028"/>
        <w:gridCol w:w="1384"/>
        <w:gridCol w:w="801"/>
        <w:gridCol w:w="740"/>
        <w:gridCol w:w="891"/>
        <w:gridCol w:w="1055"/>
      </w:tblGrid>
      <w:tr w:rsidR="00471EE7" w:rsidRPr="0093104B" w14:paraId="6CF10872" w14:textId="77777777" w:rsidTr="009C6FA7">
        <w:trPr>
          <w:trHeight w:val="395"/>
        </w:trPr>
        <w:tc>
          <w:tcPr>
            <w:tcW w:w="902" w:type="pct"/>
            <w:noWrap/>
            <w:hideMark/>
          </w:tcPr>
          <w:p w14:paraId="5BD6BBF6"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Traits</w:t>
            </w:r>
          </w:p>
        </w:tc>
        <w:tc>
          <w:tcPr>
            <w:tcW w:w="442" w:type="pct"/>
            <w:noWrap/>
            <w:hideMark/>
          </w:tcPr>
          <w:p w14:paraId="57F5BDCF"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28" w:type="pct"/>
            <w:noWrap/>
            <w:hideMark/>
          </w:tcPr>
          <w:p w14:paraId="097F8831"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28" w:type="pct"/>
            <w:noWrap/>
            <w:hideMark/>
          </w:tcPr>
          <w:p w14:paraId="7C98790B"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607" w:type="pct"/>
            <w:noWrap/>
            <w:hideMark/>
          </w:tcPr>
          <w:p w14:paraId="00689283"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501" w:type="pct"/>
            <w:noWrap/>
            <w:hideMark/>
          </w:tcPr>
          <w:p w14:paraId="46C95447"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61" w:type="pct"/>
            <w:noWrap/>
            <w:hideMark/>
          </w:tcPr>
          <w:p w14:paraId="34B2F379"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577" w:type="pct"/>
            <w:noWrap/>
            <w:hideMark/>
          </w:tcPr>
          <w:p w14:paraId="50333C5A"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654" w:type="pct"/>
            <w:noWrap/>
            <w:hideMark/>
          </w:tcPr>
          <w:p w14:paraId="589F28E7"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Total Flavonoid</w:t>
            </w:r>
          </w:p>
        </w:tc>
      </w:tr>
      <w:tr w:rsidR="00471EE7" w:rsidRPr="0093104B" w14:paraId="1D1FFC02" w14:textId="77777777" w:rsidTr="009C6FA7">
        <w:trPr>
          <w:trHeight w:val="395"/>
        </w:trPr>
        <w:tc>
          <w:tcPr>
            <w:tcW w:w="902" w:type="pct"/>
            <w:noWrap/>
            <w:hideMark/>
          </w:tcPr>
          <w:p w14:paraId="75DDF825"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42" w:type="pct"/>
            <w:noWrap/>
            <w:hideMark/>
          </w:tcPr>
          <w:p w14:paraId="5F8591A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2231E1B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6EAD748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607" w:type="pct"/>
            <w:noWrap/>
            <w:hideMark/>
          </w:tcPr>
          <w:p w14:paraId="0F5C8F0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501" w:type="pct"/>
            <w:noWrap/>
            <w:hideMark/>
          </w:tcPr>
          <w:p w14:paraId="6CE8B31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61" w:type="pct"/>
            <w:noWrap/>
            <w:hideMark/>
          </w:tcPr>
          <w:p w14:paraId="362C9E7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577" w:type="pct"/>
            <w:noWrap/>
            <w:hideMark/>
          </w:tcPr>
          <w:p w14:paraId="68C79B1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654" w:type="pct"/>
            <w:noWrap/>
            <w:hideMark/>
          </w:tcPr>
          <w:p w14:paraId="4C9577C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r>
      <w:tr w:rsidR="00471EE7" w:rsidRPr="0093104B" w14:paraId="5C5E056E" w14:textId="77777777" w:rsidTr="009C6FA7">
        <w:trPr>
          <w:trHeight w:val="395"/>
        </w:trPr>
        <w:tc>
          <w:tcPr>
            <w:tcW w:w="902" w:type="pct"/>
            <w:noWrap/>
            <w:hideMark/>
          </w:tcPr>
          <w:p w14:paraId="6F13AAD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42" w:type="pct"/>
            <w:noWrap/>
            <w:hideMark/>
          </w:tcPr>
          <w:p w14:paraId="608E23A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47FB330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0AE29B6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607" w:type="pct"/>
            <w:noWrap/>
            <w:hideMark/>
          </w:tcPr>
          <w:p w14:paraId="327130F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501" w:type="pct"/>
            <w:noWrap/>
            <w:hideMark/>
          </w:tcPr>
          <w:p w14:paraId="3B70261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61" w:type="pct"/>
            <w:noWrap/>
            <w:hideMark/>
          </w:tcPr>
          <w:p w14:paraId="5871CFD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577" w:type="pct"/>
            <w:noWrap/>
            <w:hideMark/>
          </w:tcPr>
          <w:p w14:paraId="2140422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654" w:type="pct"/>
            <w:noWrap/>
            <w:hideMark/>
          </w:tcPr>
          <w:p w14:paraId="3935B49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r>
      <w:tr w:rsidR="00471EE7" w:rsidRPr="0093104B" w14:paraId="538AEC1B" w14:textId="77777777" w:rsidTr="009C6FA7">
        <w:trPr>
          <w:trHeight w:val="395"/>
        </w:trPr>
        <w:tc>
          <w:tcPr>
            <w:tcW w:w="902" w:type="pct"/>
            <w:noWrap/>
            <w:hideMark/>
          </w:tcPr>
          <w:p w14:paraId="1E03417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442" w:type="pct"/>
            <w:noWrap/>
            <w:hideMark/>
          </w:tcPr>
          <w:p w14:paraId="7DF3AA1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428" w:type="pct"/>
            <w:noWrap/>
            <w:hideMark/>
          </w:tcPr>
          <w:p w14:paraId="07D19DE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428" w:type="pct"/>
            <w:noWrap/>
            <w:hideMark/>
          </w:tcPr>
          <w:p w14:paraId="0FA3ADD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07" w:type="pct"/>
            <w:noWrap/>
            <w:hideMark/>
          </w:tcPr>
          <w:p w14:paraId="1551D64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501" w:type="pct"/>
            <w:noWrap/>
            <w:hideMark/>
          </w:tcPr>
          <w:p w14:paraId="7F96E15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461" w:type="pct"/>
            <w:noWrap/>
            <w:hideMark/>
          </w:tcPr>
          <w:p w14:paraId="5A50E97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577" w:type="pct"/>
            <w:noWrap/>
            <w:hideMark/>
          </w:tcPr>
          <w:p w14:paraId="6D18EF5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54" w:type="pct"/>
            <w:noWrap/>
            <w:hideMark/>
          </w:tcPr>
          <w:p w14:paraId="70A3B60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r>
      <w:tr w:rsidR="00471EE7" w:rsidRPr="0093104B" w14:paraId="44E04384" w14:textId="77777777" w:rsidTr="009C6FA7">
        <w:trPr>
          <w:trHeight w:val="395"/>
        </w:trPr>
        <w:tc>
          <w:tcPr>
            <w:tcW w:w="902" w:type="pct"/>
            <w:noWrap/>
          </w:tcPr>
          <w:p w14:paraId="13909F4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442" w:type="pct"/>
            <w:noWrap/>
            <w:hideMark/>
          </w:tcPr>
          <w:p w14:paraId="2E3A331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428" w:type="pct"/>
            <w:noWrap/>
            <w:hideMark/>
          </w:tcPr>
          <w:p w14:paraId="09C7C9B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428" w:type="pct"/>
            <w:noWrap/>
            <w:hideMark/>
          </w:tcPr>
          <w:p w14:paraId="50920D5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607" w:type="pct"/>
            <w:noWrap/>
            <w:hideMark/>
          </w:tcPr>
          <w:p w14:paraId="0E17256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01" w:type="pct"/>
            <w:noWrap/>
            <w:hideMark/>
          </w:tcPr>
          <w:p w14:paraId="290326A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461" w:type="pct"/>
            <w:noWrap/>
            <w:hideMark/>
          </w:tcPr>
          <w:p w14:paraId="78EFAC8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77" w:type="pct"/>
            <w:noWrap/>
            <w:hideMark/>
          </w:tcPr>
          <w:p w14:paraId="1DBA0C7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654" w:type="pct"/>
            <w:noWrap/>
            <w:hideMark/>
          </w:tcPr>
          <w:p w14:paraId="057DC44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r>
      <w:tr w:rsidR="00471EE7" w:rsidRPr="0093104B" w14:paraId="640C4A21" w14:textId="77777777" w:rsidTr="009C6FA7">
        <w:trPr>
          <w:trHeight w:val="395"/>
        </w:trPr>
        <w:tc>
          <w:tcPr>
            <w:tcW w:w="902" w:type="pct"/>
            <w:noWrap/>
          </w:tcPr>
          <w:p w14:paraId="6A8B09B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42" w:type="pct"/>
            <w:noWrap/>
            <w:hideMark/>
          </w:tcPr>
          <w:p w14:paraId="7300F83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28" w:type="pct"/>
            <w:noWrap/>
            <w:hideMark/>
          </w:tcPr>
          <w:p w14:paraId="073E3E8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28" w:type="pct"/>
            <w:noWrap/>
            <w:hideMark/>
          </w:tcPr>
          <w:p w14:paraId="79F27D7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607" w:type="pct"/>
            <w:noWrap/>
            <w:hideMark/>
          </w:tcPr>
          <w:p w14:paraId="66C41AB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501" w:type="pct"/>
            <w:noWrap/>
            <w:hideMark/>
          </w:tcPr>
          <w:p w14:paraId="0C40D7D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61" w:type="pct"/>
            <w:noWrap/>
            <w:hideMark/>
          </w:tcPr>
          <w:p w14:paraId="2EA4F6E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577" w:type="pct"/>
            <w:noWrap/>
            <w:hideMark/>
          </w:tcPr>
          <w:p w14:paraId="09A18ED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654" w:type="pct"/>
            <w:noWrap/>
            <w:hideMark/>
          </w:tcPr>
          <w:p w14:paraId="15F145B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r>
      <w:tr w:rsidR="00471EE7" w:rsidRPr="0093104B" w14:paraId="7251EA9B" w14:textId="77777777" w:rsidTr="009C6FA7">
        <w:trPr>
          <w:trHeight w:val="395"/>
        </w:trPr>
        <w:tc>
          <w:tcPr>
            <w:tcW w:w="902" w:type="pct"/>
            <w:noWrap/>
            <w:hideMark/>
          </w:tcPr>
          <w:p w14:paraId="4684CD3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442" w:type="pct"/>
            <w:noWrap/>
            <w:hideMark/>
          </w:tcPr>
          <w:p w14:paraId="6FC1D97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428" w:type="pct"/>
            <w:noWrap/>
            <w:hideMark/>
          </w:tcPr>
          <w:p w14:paraId="7AC1DC8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428" w:type="pct"/>
            <w:noWrap/>
            <w:hideMark/>
          </w:tcPr>
          <w:p w14:paraId="7A3585B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607" w:type="pct"/>
            <w:noWrap/>
            <w:hideMark/>
          </w:tcPr>
          <w:p w14:paraId="7257047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01" w:type="pct"/>
            <w:noWrap/>
            <w:hideMark/>
          </w:tcPr>
          <w:p w14:paraId="0F52F40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461" w:type="pct"/>
            <w:noWrap/>
            <w:hideMark/>
          </w:tcPr>
          <w:p w14:paraId="7C680C8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77" w:type="pct"/>
            <w:noWrap/>
            <w:hideMark/>
          </w:tcPr>
          <w:p w14:paraId="3EB47C8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654" w:type="pct"/>
            <w:noWrap/>
            <w:hideMark/>
          </w:tcPr>
          <w:p w14:paraId="2D1AA5A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r>
      <w:tr w:rsidR="00471EE7" w:rsidRPr="0093104B" w14:paraId="251B4E38" w14:textId="77777777" w:rsidTr="009C6FA7">
        <w:trPr>
          <w:trHeight w:val="395"/>
        </w:trPr>
        <w:tc>
          <w:tcPr>
            <w:tcW w:w="902" w:type="pct"/>
            <w:noWrap/>
            <w:hideMark/>
          </w:tcPr>
          <w:p w14:paraId="4BA22E9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442" w:type="pct"/>
            <w:noWrap/>
            <w:hideMark/>
          </w:tcPr>
          <w:p w14:paraId="27E1976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428" w:type="pct"/>
            <w:noWrap/>
            <w:hideMark/>
          </w:tcPr>
          <w:p w14:paraId="1479B6F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428" w:type="pct"/>
            <w:noWrap/>
            <w:hideMark/>
          </w:tcPr>
          <w:p w14:paraId="1C6BE65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07" w:type="pct"/>
            <w:noWrap/>
            <w:hideMark/>
          </w:tcPr>
          <w:p w14:paraId="7270403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501" w:type="pct"/>
            <w:noWrap/>
            <w:hideMark/>
          </w:tcPr>
          <w:p w14:paraId="575C690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461" w:type="pct"/>
            <w:noWrap/>
            <w:hideMark/>
          </w:tcPr>
          <w:p w14:paraId="0F37074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577" w:type="pct"/>
            <w:noWrap/>
            <w:hideMark/>
          </w:tcPr>
          <w:p w14:paraId="4D1F8D7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54" w:type="pct"/>
            <w:noWrap/>
            <w:hideMark/>
          </w:tcPr>
          <w:p w14:paraId="4E837B3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r>
      <w:tr w:rsidR="00471EE7" w:rsidRPr="0093104B" w14:paraId="5173A008" w14:textId="77777777" w:rsidTr="009C6FA7">
        <w:trPr>
          <w:trHeight w:val="395"/>
        </w:trPr>
        <w:tc>
          <w:tcPr>
            <w:tcW w:w="902" w:type="pct"/>
            <w:noWrap/>
          </w:tcPr>
          <w:p w14:paraId="23946E4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lastRenderedPageBreak/>
              <w:t>Total Flavonoid</w:t>
            </w:r>
          </w:p>
        </w:tc>
        <w:tc>
          <w:tcPr>
            <w:tcW w:w="442" w:type="pct"/>
            <w:noWrap/>
            <w:hideMark/>
          </w:tcPr>
          <w:p w14:paraId="1057223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c>
          <w:tcPr>
            <w:tcW w:w="428" w:type="pct"/>
            <w:noWrap/>
            <w:hideMark/>
          </w:tcPr>
          <w:p w14:paraId="79C74C1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c>
          <w:tcPr>
            <w:tcW w:w="428" w:type="pct"/>
            <w:noWrap/>
            <w:hideMark/>
          </w:tcPr>
          <w:p w14:paraId="6DBF51E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c>
          <w:tcPr>
            <w:tcW w:w="607" w:type="pct"/>
            <w:noWrap/>
            <w:hideMark/>
          </w:tcPr>
          <w:p w14:paraId="5FB6818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c>
          <w:tcPr>
            <w:tcW w:w="501" w:type="pct"/>
            <w:noWrap/>
            <w:hideMark/>
          </w:tcPr>
          <w:p w14:paraId="779329A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c>
          <w:tcPr>
            <w:tcW w:w="461" w:type="pct"/>
            <w:noWrap/>
            <w:hideMark/>
          </w:tcPr>
          <w:p w14:paraId="63B2965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c>
          <w:tcPr>
            <w:tcW w:w="577" w:type="pct"/>
            <w:noWrap/>
            <w:hideMark/>
          </w:tcPr>
          <w:p w14:paraId="553E159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c>
          <w:tcPr>
            <w:tcW w:w="654" w:type="pct"/>
            <w:noWrap/>
            <w:hideMark/>
          </w:tcPr>
          <w:p w14:paraId="49D026F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r>
    </w:tbl>
    <w:p w14:paraId="5BCF25A0" w14:textId="77777777"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34E35958"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Principal Component Analysis (PCA)</w:t>
      </w:r>
    </w:p>
    <w:p w14:paraId="10E7663B" w14:textId="77777777" w:rsidR="003737C0" w:rsidRPr="0093104B" w:rsidRDefault="00F43EBA" w:rsidP="0093104B">
      <w:pPr>
        <w:pStyle w:val="NormalWeb"/>
        <w:spacing w:line="360" w:lineRule="auto"/>
        <w:jc w:val="both"/>
      </w:pPr>
      <w:r w:rsidRPr="0093104B">
        <w:t xml:space="preserve">Principal component analysis (PCA) based on eight biochemical traits indicated that the first two components explained most of the total variance among genotypes. Oil, linoleic acid, and flavonoid content contributed strongly to the first component, whereas moisture, protein, and ash had higher loadings on the second. The PCA biplot clearly separated certain genotypes such as PWS-10 and TWS-06, reflecting distinct biochemical profiles. This confirms substantial biochemical diversity within the studied germplasm, which can be utilized to identify superior genotypes combining high oil content with </w:t>
      </w:r>
      <w:proofErr w:type="spellStart"/>
      <w:r w:rsidRPr="0093104B">
        <w:t>favorable</w:t>
      </w:r>
      <w:proofErr w:type="spellEnd"/>
      <w:r w:rsidRPr="0093104B">
        <w:t xml:space="preserve"> fatty acid composition and antioxidant potential.</w:t>
      </w:r>
      <w:r w:rsidR="003737C0" w:rsidRPr="0093104B">
        <w:t xml:space="preserve"> The first two principal components (PC1 and PC2) together explained a major portion of the total variance among the studied walnut genotypes, indicating that a few biochemical traits accounted for most of the observed diversity (Figure 1, Table 5). PC1 was mainly influenced by oil, oleic, and linoleic acid contents, which contributed strongly and negatively to this component, distinguishing high-oil genotypes from those with lower oil content. PC2 showed high positive loadings for protein, carbohydrate, and ash contents, representing variation in nutrient reserves.</w:t>
      </w:r>
    </w:p>
    <w:p w14:paraId="18499012"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biplot clearly separated several genotypes, particularly PWS-10 and TWS-06, from the remaining population, reflecting their distinct biochemical composition characterized by higher oil, linoleic acid, and flavonoid contents. Genotypes positioned toward the upper right quadrant were associated with higher protein and carbohydrate concentrations, whereas those on the left side of the biplot corresponded to oil-rich and flavonoid-rich types. The wide dispersion of genotypes across quadrants confirms the existence of substantial biochemical diversity within the evaluated germplasm, highlighting their potential for selection and improvement of kernel quality traits.</w:t>
      </w:r>
    </w:p>
    <w:p w14:paraId="5928C393" w14:textId="77777777" w:rsidR="00F43EBA" w:rsidRPr="0093104B" w:rsidRDefault="00F43EBA" w:rsidP="0093104B">
      <w:pPr>
        <w:pStyle w:val="NormalWeb"/>
        <w:spacing w:line="360" w:lineRule="auto"/>
        <w:jc w:val="both"/>
      </w:pPr>
    </w:p>
    <w:p w14:paraId="0BE3D1B8" w14:textId="77777777" w:rsidR="00471EE7" w:rsidRPr="0093104B" w:rsidRDefault="003737C0" w:rsidP="0093104B">
      <w:pPr>
        <w:pStyle w:val="NormalWeb"/>
        <w:spacing w:line="360" w:lineRule="auto"/>
        <w:jc w:val="both"/>
      </w:pPr>
      <w:r w:rsidRPr="0093104B">
        <w:rPr>
          <w:b/>
          <w:noProof/>
          <w:lang w:val="en-US" w:eastAsia="en-US"/>
        </w:rPr>
        <w:lastRenderedPageBreak/>
        <w:drawing>
          <wp:inline distT="0" distB="0" distL="0" distR="0" wp14:anchorId="35C0E98B" wp14:editId="44CC4506">
            <wp:extent cx="61055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_bipl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3913" cy="2952089"/>
                    </a:xfrm>
                    <a:prstGeom prst="rect">
                      <a:avLst/>
                    </a:prstGeom>
                  </pic:spPr>
                </pic:pic>
              </a:graphicData>
            </a:graphic>
          </wp:inline>
        </w:drawing>
      </w:r>
    </w:p>
    <w:p w14:paraId="3DF1483A"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r w:rsidRPr="0093104B">
        <w:rPr>
          <w:rFonts w:ascii="Times New Roman" w:eastAsia="Times New Roman" w:hAnsi="Times New Roman" w:cs="Times New Roman"/>
          <w:b/>
          <w:bCs/>
          <w:sz w:val="20"/>
          <w:szCs w:val="24"/>
          <w:lang w:eastAsia="en-IN"/>
        </w:rPr>
        <w:t>Figure 1.</w:t>
      </w:r>
      <w:r w:rsidRPr="0093104B">
        <w:rPr>
          <w:rFonts w:ascii="Times New Roman" w:eastAsia="Times New Roman" w:hAnsi="Times New Roman" w:cs="Times New Roman"/>
          <w:sz w:val="20"/>
          <w:szCs w:val="24"/>
          <w:lang w:eastAsia="en-IN"/>
        </w:rPr>
        <w:t xml:space="preserve"> </w:t>
      </w:r>
      <w:r w:rsidRPr="0093104B">
        <w:rPr>
          <w:rFonts w:ascii="Times New Roman" w:eastAsia="Times New Roman" w:hAnsi="Times New Roman" w:cs="Times New Roman"/>
          <w:i/>
          <w:iCs/>
          <w:sz w:val="20"/>
          <w:szCs w:val="24"/>
          <w:lang w:eastAsia="en-IN"/>
        </w:rPr>
        <w:t>PCA biplot showing the distribution of 21 walnut genotypes based on eight biochemical traits. Arrows indicate the direction and contribution of each trait to the principal components.</w:t>
      </w:r>
    </w:p>
    <w:p w14:paraId="6C6C9E60"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i/>
          <w:iCs/>
          <w:sz w:val="20"/>
          <w:szCs w:val="24"/>
          <w:lang w:eastAsia="en-IN"/>
        </w:rPr>
      </w:pPr>
      <w:r w:rsidRPr="0093104B">
        <w:rPr>
          <w:rFonts w:ascii="Times New Roman" w:eastAsia="Times New Roman" w:hAnsi="Times New Roman" w:cs="Times New Roman"/>
          <w:i/>
          <w:iCs/>
          <w:sz w:val="20"/>
          <w:szCs w:val="24"/>
          <w:lang w:eastAsia="en-IN"/>
        </w:rPr>
        <w:t>(The biplot should show PC1 vs. PC2 with genotypes labeled, and vectors for traits such as oil, linoleic acid, flavonoid, etc.)</w:t>
      </w:r>
    </w:p>
    <w:p w14:paraId="1E04C9C1" w14:textId="77777777" w:rsidR="003737C0" w:rsidRPr="0093104B" w:rsidRDefault="003737C0" w:rsidP="0093104B">
      <w:pPr>
        <w:pStyle w:val="NormalWeb"/>
        <w:spacing w:line="360" w:lineRule="auto"/>
        <w:jc w:val="both"/>
        <w:rPr>
          <w:b/>
        </w:rPr>
      </w:pPr>
      <w:r w:rsidRPr="0093104B">
        <w:rPr>
          <w:i/>
          <w:iCs/>
          <w:sz w:val="20"/>
        </w:rPr>
        <w:tab/>
      </w:r>
      <w:r w:rsidRPr="0093104B">
        <w:rPr>
          <w:i/>
          <w:iCs/>
          <w:sz w:val="20"/>
        </w:rPr>
        <w:tab/>
      </w:r>
      <w:r w:rsidRPr="0093104B">
        <w:rPr>
          <w:b/>
          <w:bCs/>
        </w:rPr>
        <w:t>Table 5.</w:t>
      </w:r>
      <w:r w:rsidRPr="0093104B">
        <w:t xml:space="preserve"> </w:t>
      </w:r>
      <w:r w:rsidRPr="0093104B">
        <w:rPr>
          <w:b/>
          <w:iCs/>
        </w:rPr>
        <w:t>Principal component loadings for biochemical traits of 21 walnut genotypes.</w:t>
      </w:r>
    </w:p>
    <w:tbl>
      <w:tblPr>
        <w:tblStyle w:val="TableGrid"/>
        <w:tblW w:w="5000" w:type="pct"/>
        <w:tblLook w:val="04A0" w:firstRow="1" w:lastRow="0" w:firstColumn="1" w:lastColumn="0" w:noHBand="0" w:noVBand="1"/>
      </w:tblPr>
      <w:tblGrid>
        <w:gridCol w:w="3276"/>
        <w:gridCol w:w="2988"/>
        <w:gridCol w:w="2978"/>
      </w:tblGrid>
      <w:tr w:rsidR="003737C0" w:rsidRPr="0093104B" w14:paraId="574B1659" w14:textId="77777777" w:rsidTr="009C6FA7">
        <w:trPr>
          <w:trHeight w:val="369"/>
        </w:trPr>
        <w:tc>
          <w:tcPr>
            <w:tcW w:w="1772" w:type="pct"/>
            <w:hideMark/>
          </w:tcPr>
          <w:p w14:paraId="38BCB4C6"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Trait</w:t>
            </w:r>
          </w:p>
        </w:tc>
        <w:tc>
          <w:tcPr>
            <w:tcW w:w="1616" w:type="pct"/>
            <w:hideMark/>
          </w:tcPr>
          <w:p w14:paraId="3A6FEA98"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PC1</w:t>
            </w:r>
          </w:p>
        </w:tc>
        <w:tc>
          <w:tcPr>
            <w:tcW w:w="1611" w:type="pct"/>
            <w:hideMark/>
          </w:tcPr>
          <w:p w14:paraId="72879AD0"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PC2</w:t>
            </w:r>
          </w:p>
        </w:tc>
      </w:tr>
      <w:tr w:rsidR="003737C0" w:rsidRPr="0093104B" w14:paraId="07F3EDEE" w14:textId="77777777" w:rsidTr="009C6FA7">
        <w:trPr>
          <w:trHeight w:val="369"/>
        </w:trPr>
        <w:tc>
          <w:tcPr>
            <w:tcW w:w="1772" w:type="pct"/>
            <w:hideMark/>
          </w:tcPr>
          <w:p w14:paraId="76A526AD"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Moisture Content</w:t>
            </w:r>
          </w:p>
        </w:tc>
        <w:tc>
          <w:tcPr>
            <w:tcW w:w="1616" w:type="pct"/>
            <w:hideMark/>
          </w:tcPr>
          <w:p w14:paraId="38C9AC9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-0.18682</w:t>
            </w:r>
          </w:p>
        </w:tc>
        <w:tc>
          <w:tcPr>
            <w:tcW w:w="1611" w:type="pct"/>
            <w:hideMark/>
          </w:tcPr>
          <w:p w14:paraId="2BEEEC81"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0.31593</w:t>
            </w:r>
          </w:p>
        </w:tc>
      </w:tr>
      <w:tr w:rsidR="003737C0" w:rsidRPr="0093104B" w14:paraId="6F698484" w14:textId="77777777" w:rsidTr="009C6FA7">
        <w:trPr>
          <w:trHeight w:val="369"/>
        </w:trPr>
        <w:tc>
          <w:tcPr>
            <w:tcW w:w="1772" w:type="pct"/>
            <w:hideMark/>
          </w:tcPr>
          <w:p w14:paraId="33FB6781"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Ash Content</w:t>
            </w:r>
          </w:p>
        </w:tc>
        <w:tc>
          <w:tcPr>
            <w:tcW w:w="1616" w:type="pct"/>
            <w:hideMark/>
          </w:tcPr>
          <w:p w14:paraId="4EBE8180"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-0.07950</w:t>
            </w:r>
          </w:p>
        </w:tc>
        <w:tc>
          <w:tcPr>
            <w:tcW w:w="1611" w:type="pct"/>
            <w:hideMark/>
          </w:tcPr>
          <w:p w14:paraId="7D7AE9D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0.42169</w:t>
            </w:r>
          </w:p>
        </w:tc>
      </w:tr>
      <w:tr w:rsidR="003737C0" w:rsidRPr="0093104B" w14:paraId="2D86E33B" w14:textId="77777777" w:rsidTr="009C6FA7">
        <w:trPr>
          <w:trHeight w:val="369"/>
        </w:trPr>
        <w:tc>
          <w:tcPr>
            <w:tcW w:w="1772" w:type="pct"/>
            <w:hideMark/>
          </w:tcPr>
          <w:p w14:paraId="3E0DAAC6"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Protein Content</w:t>
            </w:r>
          </w:p>
        </w:tc>
        <w:tc>
          <w:tcPr>
            <w:tcW w:w="1616" w:type="pct"/>
            <w:hideMark/>
          </w:tcPr>
          <w:p w14:paraId="2D5D3A4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-0.17626</w:t>
            </w:r>
          </w:p>
        </w:tc>
        <w:tc>
          <w:tcPr>
            <w:tcW w:w="1611" w:type="pct"/>
            <w:hideMark/>
          </w:tcPr>
          <w:p w14:paraId="6C91B984"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0.56341</w:t>
            </w:r>
          </w:p>
        </w:tc>
      </w:tr>
      <w:tr w:rsidR="003737C0" w:rsidRPr="0093104B" w14:paraId="224D4EE3" w14:textId="77777777" w:rsidTr="009C6FA7">
        <w:trPr>
          <w:trHeight w:val="369"/>
        </w:trPr>
        <w:tc>
          <w:tcPr>
            <w:tcW w:w="1772" w:type="pct"/>
            <w:hideMark/>
          </w:tcPr>
          <w:p w14:paraId="2AC8260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Carbohydrate Content</w:t>
            </w:r>
          </w:p>
        </w:tc>
        <w:tc>
          <w:tcPr>
            <w:tcW w:w="1616" w:type="pct"/>
            <w:hideMark/>
          </w:tcPr>
          <w:p w14:paraId="5B679AFB"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-0.29310</w:t>
            </w:r>
          </w:p>
        </w:tc>
        <w:tc>
          <w:tcPr>
            <w:tcW w:w="1611" w:type="pct"/>
            <w:hideMark/>
          </w:tcPr>
          <w:p w14:paraId="30B1711E"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0.48973</w:t>
            </w:r>
          </w:p>
        </w:tc>
      </w:tr>
      <w:tr w:rsidR="003737C0" w:rsidRPr="0093104B" w14:paraId="2DF2D175" w14:textId="77777777" w:rsidTr="009C6FA7">
        <w:trPr>
          <w:trHeight w:val="369"/>
        </w:trPr>
        <w:tc>
          <w:tcPr>
            <w:tcW w:w="1772" w:type="pct"/>
            <w:hideMark/>
          </w:tcPr>
          <w:p w14:paraId="0AD81CC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Oil Content</w:t>
            </w:r>
          </w:p>
        </w:tc>
        <w:tc>
          <w:tcPr>
            <w:tcW w:w="1616" w:type="pct"/>
            <w:hideMark/>
          </w:tcPr>
          <w:p w14:paraId="1FD4CE9E"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-0.51388</w:t>
            </w:r>
          </w:p>
        </w:tc>
        <w:tc>
          <w:tcPr>
            <w:tcW w:w="1611" w:type="pct"/>
            <w:hideMark/>
          </w:tcPr>
          <w:p w14:paraId="4207527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-0.19456</w:t>
            </w:r>
          </w:p>
        </w:tc>
      </w:tr>
      <w:tr w:rsidR="003737C0" w:rsidRPr="0093104B" w14:paraId="09966FF4" w14:textId="77777777" w:rsidTr="009C6FA7">
        <w:trPr>
          <w:trHeight w:val="186"/>
        </w:trPr>
        <w:tc>
          <w:tcPr>
            <w:tcW w:w="1772" w:type="pct"/>
            <w:hideMark/>
          </w:tcPr>
          <w:p w14:paraId="575A3A8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Oleic Acid</w:t>
            </w:r>
          </w:p>
        </w:tc>
        <w:tc>
          <w:tcPr>
            <w:tcW w:w="1616" w:type="pct"/>
            <w:hideMark/>
          </w:tcPr>
          <w:p w14:paraId="3B83989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-0.45068</w:t>
            </w:r>
          </w:p>
        </w:tc>
        <w:tc>
          <w:tcPr>
            <w:tcW w:w="1611" w:type="pct"/>
            <w:hideMark/>
          </w:tcPr>
          <w:p w14:paraId="4281D35D"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-0.31411</w:t>
            </w:r>
          </w:p>
        </w:tc>
      </w:tr>
      <w:tr w:rsidR="003737C0" w:rsidRPr="0093104B" w14:paraId="23CF0F01" w14:textId="77777777" w:rsidTr="009C6FA7">
        <w:trPr>
          <w:trHeight w:val="186"/>
        </w:trPr>
        <w:tc>
          <w:tcPr>
            <w:tcW w:w="1772" w:type="pct"/>
            <w:hideMark/>
          </w:tcPr>
          <w:p w14:paraId="6B519CF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Linoleic Acid</w:t>
            </w:r>
          </w:p>
        </w:tc>
        <w:tc>
          <w:tcPr>
            <w:tcW w:w="1616" w:type="pct"/>
            <w:hideMark/>
          </w:tcPr>
          <w:p w14:paraId="34FF617C"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-0.54571</w:t>
            </w:r>
          </w:p>
        </w:tc>
        <w:tc>
          <w:tcPr>
            <w:tcW w:w="1611" w:type="pct"/>
            <w:hideMark/>
          </w:tcPr>
          <w:p w14:paraId="444B9CE6"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-0.10448</w:t>
            </w:r>
          </w:p>
        </w:tc>
      </w:tr>
      <w:tr w:rsidR="003737C0" w:rsidRPr="0093104B" w14:paraId="110A84DF" w14:textId="77777777" w:rsidTr="009C6FA7">
        <w:trPr>
          <w:trHeight w:val="186"/>
        </w:trPr>
        <w:tc>
          <w:tcPr>
            <w:tcW w:w="1772" w:type="pct"/>
            <w:hideMark/>
          </w:tcPr>
          <w:p w14:paraId="597F5EF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Total Flavonoid</w:t>
            </w:r>
          </w:p>
        </w:tc>
        <w:tc>
          <w:tcPr>
            <w:tcW w:w="1616" w:type="pct"/>
            <w:hideMark/>
          </w:tcPr>
          <w:p w14:paraId="066B467C"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-0.27715</w:t>
            </w:r>
          </w:p>
        </w:tc>
        <w:tc>
          <w:tcPr>
            <w:tcW w:w="1611" w:type="pct"/>
            <w:hideMark/>
          </w:tcPr>
          <w:p w14:paraId="5C7BB639"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-0.13289</w:t>
            </w:r>
          </w:p>
        </w:tc>
      </w:tr>
    </w:tbl>
    <w:p w14:paraId="5B982285"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p>
    <w:p w14:paraId="76713B67" w14:textId="74285FB8" w:rsidR="003737C0" w:rsidRPr="0093104B" w:rsidRDefault="003737C0" w:rsidP="0093104B">
      <w:pPr>
        <w:pStyle w:val="Heading3"/>
        <w:spacing w:line="360" w:lineRule="auto"/>
        <w:jc w:val="both"/>
      </w:pPr>
      <w:r>
        <w:t>Discussion</w:t>
      </w:r>
      <w:r>
        <w:br/>
      </w:r>
      <w:r>
        <w:br/>
      </w:r>
      <w:r w:rsidRPr="001C23D5">
        <w:rPr>
          <w:b w:val="0"/>
          <w:bCs w:val="0"/>
        </w:rPr>
        <w:lastRenderedPageBreak/>
        <w:t>The study revealed clear and meaningful variation among the twenty-one walnut (Juglans regia L.) genotypes for their biochemical and nutritional characteristics, including moisture, protein, ash, carbohydrate, oil, fatty acid composition, and flavonoid content. This diversity forms a valuable foundation for walnut improvement programs that aim to enhance both nutritional quality and industrial use. The broad range observed in kernel oil (50.39–70.55%) and protein (17.12–20.88%) confirms a wide genetic base among the studied genotypes. Similar variability has been reported in earlier work from other walnut-growing regions, highlighting that both genotype and local environmental factors influence kernel composition (</w:t>
      </w:r>
      <w:proofErr w:type="spellStart"/>
      <w:r w:rsidR="00E42D7B" w:rsidRPr="008755D7">
        <w:rPr>
          <w:b w:val="0"/>
          <w:bCs w:val="0"/>
          <w:highlight w:val="yellow"/>
        </w:rPr>
        <w:t>Chatrabnous</w:t>
      </w:r>
      <w:proofErr w:type="spellEnd"/>
      <w:r w:rsidR="00E42D7B" w:rsidRPr="008755D7">
        <w:rPr>
          <w:b w:val="0"/>
          <w:bCs w:val="0"/>
          <w:highlight w:val="yellow"/>
        </w:rPr>
        <w:t xml:space="preserve"> </w:t>
      </w:r>
      <w:r w:rsidRPr="008755D7">
        <w:rPr>
          <w:b w:val="0"/>
          <w:bCs w:val="0"/>
          <w:highlight w:val="yellow"/>
        </w:rPr>
        <w:t>et al., 20</w:t>
      </w:r>
      <w:r w:rsidR="00E42D7B" w:rsidRPr="008755D7">
        <w:rPr>
          <w:b w:val="0"/>
          <w:bCs w:val="0"/>
          <w:highlight w:val="yellow"/>
        </w:rPr>
        <w:t>24</w:t>
      </w:r>
      <w:r w:rsidRPr="001C23D5">
        <w:rPr>
          <w:b w:val="0"/>
          <w:bCs w:val="0"/>
        </w:rPr>
        <w:t xml:space="preserve">; </w:t>
      </w:r>
      <w:proofErr w:type="spellStart"/>
      <w:r w:rsidRPr="001C23D5">
        <w:rPr>
          <w:b w:val="0"/>
          <w:bCs w:val="0"/>
        </w:rPr>
        <w:t>Kodada</w:t>
      </w:r>
      <w:proofErr w:type="spellEnd"/>
      <w:r w:rsidRPr="001C23D5">
        <w:rPr>
          <w:b w:val="0"/>
          <w:bCs w:val="0"/>
        </w:rPr>
        <w:t xml:space="preserve"> et al., 2016).</w:t>
      </w:r>
      <w:r w:rsidRPr="001C23D5">
        <w:rPr>
          <w:b w:val="0"/>
          <w:bCs w:val="0"/>
        </w:rPr>
        <w:br/>
      </w:r>
      <w:r w:rsidRPr="001C23D5">
        <w:rPr>
          <w:b w:val="0"/>
          <w:bCs w:val="0"/>
        </w:rPr>
        <w:br/>
        <w:t xml:space="preserve">Low kernel moisture, as recorded in several genotypes, is considered desirable since it improves storage stability and reduces the risk of microbial spoilage. Comparable patterns have been described by Ozkan and Koyuncu (2005), who reported that reduced moisture content helps maintain kernel quality. Variation in ash content (1.12–2.21%) indicates differences in mineral accumulation among genotypes and agrees with the findings of </w:t>
      </w:r>
      <w:r w:rsidR="00131E8C" w:rsidRPr="008755D7">
        <w:rPr>
          <w:b w:val="0"/>
          <w:bCs w:val="0"/>
          <w:highlight w:val="yellow"/>
        </w:rPr>
        <w:t>Mir</w:t>
      </w:r>
      <w:r w:rsidR="00131E8C" w:rsidRPr="008755D7">
        <w:rPr>
          <w:b w:val="0"/>
          <w:bCs w:val="0"/>
          <w:highlight w:val="yellow"/>
        </w:rPr>
        <w:t xml:space="preserve"> </w:t>
      </w:r>
      <w:r w:rsidRPr="008755D7">
        <w:rPr>
          <w:b w:val="0"/>
          <w:bCs w:val="0"/>
          <w:highlight w:val="yellow"/>
        </w:rPr>
        <w:t>et al. (202</w:t>
      </w:r>
      <w:r w:rsidR="00131E8C" w:rsidRPr="008755D7">
        <w:rPr>
          <w:b w:val="0"/>
          <w:bCs w:val="0"/>
          <w:highlight w:val="yellow"/>
        </w:rPr>
        <w:t>5</w:t>
      </w:r>
      <w:r w:rsidRPr="008755D7">
        <w:rPr>
          <w:b w:val="0"/>
          <w:bCs w:val="0"/>
          <w:highlight w:val="yellow"/>
        </w:rPr>
        <w:t>).</w:t>
      </w:r>
      <w:r w:rsidRPr="001C23D5">
        <w:rPr>
          <w:b w:val="0"/>
          <w:bCs w:val="0"/>
        </w:rPr>
        <w:t xml:space="preserve"> The high heritability and genetic gain estimates for ash, carbohydrate, oil, and flavonoid content suggest that these traits are mainly governed by additive genetic factors and can be effectively improved through direct selection.</w:t>
      </w:r>
      <w:r w:rsidRPr="001C23D5">
        <w:rPr>
          <w:b w:val="0"/>
          <w:bCs w:val="0"/>
        </w:rPr>
        <w:br/>
      </w:r>
      <w:r w:rsidRPr="001C23D5">
        <w:rPr>
          <w:b w:val="0"/>
          <w:bCs w:val="0"/>
        </w:rPr>
        <w:br/>
        <w:t xml:space="preserve">Protein and carbohydrate contents showed moderate heritability values, implying that both genetic and environmental influences play a role in determining these traits. Comparable results were reported in walnut germplasm from Turkey and Iran (Simsek et al., 2017; </w:t>
      </w:r>
      <w:proofErr w:type="spellStart"/>
      <w:r w:rsidR="003D3F82" w:rsidRPr="008755D7">
        <w:rPr>
          <w:b w:val="0"/>
          <w:bCs w:val="0"/>
          <w:highlight w:val="yellow"/>
        </w:rPr>
        <w:t>Temizyürek</w:t>
      </w:r>
      <w:proofErr w:type="spellEnd"/>
      <w:r w:rsidR="003D3F82" w:rsidRPr="008755D7">
        <w:rPr>
          <w:b w:val="0"/>
          <w:bCs w:val="0"/>
          <w:highlight w:val="yellow"/>
        </w:rPr>
        <w:t xml:space="preserve"> et al., 2025</w:t>
      </w:r>
      <w:r w:rsidRPr="008755D7">
        <w:rPr>
          <w:b w:val="0"/>
          <w:bCs w:val="0"/>
          <w:highlight w:val="yellow"/>
        </w:rPr>
        <w:t>).</w:t>
      </w:r>
      <w:r w:rsidRPr="001C23D5">
        <w:rPr>
          <w:b w:val="0"/>
          <w:bCs w:val="0"/>
        </w:rPr>
        <w:t xml:space="preserve"> The wider range of carbohydrate variation in this study (8.48–24.43%) than in some previous reports could reflect the diverse agro-climatic conditions of the collection sites and the heterogeneous genetic background of the trees.</w:t>
      </w:r>
      <w:r w:rsidRPr="001C23D5">
        <w:rPr>
          <w:b w:val="0"/>
          <w:bCs w:val="0"/>
        </w:rPr>
        <w:br/>
      </w:r>
      <w:r w:rsidRPr="001C23D5">
        <w:rPr>
          <w:b w:val="0"/>
          <w:bCs w:val="0"/>
        </w:rPr>
        <w:br/>
        <w:t xml:space="preserve">Oil and fatty acid composition are among the most critical determinants of </w:t>
      </w:r>
      <w:r w:rsidRPr="001C23D5">
        <w:rPr>
          <w:b w:val="0"/>
          <w:bCs w:val="0"/>
        </w:rPr>
        <w:lastRenderedPageBreak/>
        <w:t xml:space="preserve">walnut’s nutritional and industrial quality. In this study, linoleic acid was predominant (44.65–62.49%), while oleic acid occurred in moderate quantities (11.43–23.28%), in agreement with earlier research (Savage, 2001; Pereira et al., 2008). Differences in fatty acid ratios can be attributed to both genetic makeup and environmental factors affecting lipid biosynthesis (Li et al., 2014; </w:t>
      </w:r>
      <w:r w:rsidR="00131E8C" w:rsidRPr="008755D7">
        <w:rPr>
          <w:b w:val="0"/>
          <w:bCs w:val="0"/>
          <w:highlight w:val="yellow"/>
        </w:rPr>
        <w:t>Mir</w:t>
      </w:r>
      <w:r w:rsidR="00131E8C" w:rsidRPr="008755D7">
        <w:rPr>
          <w:b w:val="0"/>
          <w:bCs w:val="0"/>
          <w:highlight w:val="yellow"/>
        </w:rPr>
        <w:t xml:space="preserve"> </w:t>
      </w:r>
      <w:r w:rsidRPr="008755D7">
        <w:rPr>
          <w:b w:val="0"/>
          <w:bCs w:val="0"/>
          <w:highlight w:val="yellow"/>
        </w:rPr>
        <w:t>et al., 202</w:t>
      </w:r>
      <w:r w:rsidR="00131E8C" w:rsidRPr="008755D7">
        <w:rPr>
          <w:b w:val="0"/>
          <w:bCs w:val="0"/>
          <w:highlight w:val="yellow"/>
        </w:rPr>
        <w:t>5</w:t>
      </w:r>
      <w:r w:rsidRPr="008755D7">
        <w:rPr>
          <w:b w:val="0"/>
          <w:bCs w:val="0"/>
          <w:highlight w:val="yellow"/>
        </w:rPr>
        <w:t>).</w:t>
      </w:r>
      <w:r w:rsidRPr="001C23D5">
        <w:rPr>
          <w:b w:val="0"/>
          <w:bCs w:val="0"/>
        </w:rPr>
        <w:t xml:space="preserve"> The high heritability (83.1%) observed for oil content confirms its strong genetic control, indicating that selection for high-oil types would be effective and stable across environments.</w:t>
      </w:r>
      <w:r w:rsidRPr="001C23D5">
        <w:rPr>
          <w:b w:val="0"/>
          <w:bCs w:val="0"/>
        </w:rPr>
        <w:br/>
      </w:r>
      <w:r w:rsidRPr="001C23D5">
        <w:rPr>
          <w:b w:val="0"/>
          <w:bCs w:val="0"/>
        </w:rPr>
        <w:br/>
        <w:t>A considerable range was also recorded for total flavonoid content (5.43–26.66 mg g⁻¹ QE), confirming significant diversity in antioxidant potential among genotypes. This agrees with the observations of Ghasemi et al. (2011) and Bayazit and Sumbul (2012). Genotypes such as TWS-06 and PWS-10, which combined high flavonoid and oil contents, appear particularly promising for breeding nutritionally superior cultivars with added nutraceutical value.</w:t>
      </w:r>
      <w:r w:rsidRPr="001C23D5">
        <w:rPr>
          <w:b w:val="0"/>
          <w:bCs w:val="0"/>
        </w:rPr>
        <w:br/>
      </w:r>
      <w:r w:rsidRPr="001C23D5">
        <w:rPr>
          <w:b w:val="0"/>
          <w:bCs w:val="0"/>
        </w:rPr>
        <w:br/>
        <w:t xml:space="preserve">The correlation analysis indicated positive associations between oil and linoleic acid contents, suggesting that genotypes rich in oil often have higher proportions of polyunsaturated fatty acids. The negative correlation between moisture and oil content supports the preference for drier kernels in quality improvement programs. Similar inter-trait relationships were also observed by Shah et al. (2021) and </w:t>
      </w:r>
      <w:proofErr w:type="spellStart"/>
      <w:r w:rsidR="00B869DB" w:rsidRPr="008755D7">
        <w:rPr>
          <w:b w:val="0"/>
          <w:bCs w:val="0"/>
          <w:highlight w:val="yellow"/>
        </w:rPr>
        <w:t>Gündeşli</w:t>
      </w:r>
      <w:proofErr w:type="spellEnd"/>
      <w:r w:rsidR="00B869DB" w:rsidRPr="008755D7">
        <w:rPr>
          <w:b w:val="0"/>
          <w:bCs w:val="0"/>
          <w:highlight w:val="yellow"/>
        </w:rPr>
        <w:t xml:space="preserve"> </w:t>
      </w:r>
      <w:r w:rsidRPr="008755D7">
        <w:rPr>
          <w:b w:val="0"/>
          <w:bCs w:val="0"/>
          <w:highlight w:val="yellow"/>
        </w:rPr>
        <w:t>et al. (202</w:t>
      </w:r>
      <w:r w:rsidR="00B869DB" w:rsidRPr="008755D7">
        <w:rPr>
          <w:b w:val="0"/>
          <w:bCs w:val="0"/>
          <w:highlight w:val="yellow"/>
        </w:rPr>
        <w:t>3</w:t>
      </w:r>
      <w:r w:rsidRPr="008755D7">
        <w:rPr>
          <w:b w:val="0"/>
          <w:bCs w:val="0"/>
          <w:highlight w:val="yellow"/>
        </w:rPr>
        <w:t>).</w:t>
      </w:r>
      <w:r w:rsidRPr="001C23D5">
        <w:rPr>
          <w:b w:val="0"/>
          <w:bCs w:val="0"/>
        </w:rPr>
        <w:br/>
      </w:r>
      <w:r w:rsidRPr="001C23D5">
        <w:rPr>
          <w:b w:val="0"/>
          <w:bCs w:val="0"/>
        </w:rPr>
        <w:br/>
        <w:t xml:space="preserve">Principal component analysis further demonstrated that oil, oleic, and linoleic acids contributed most to the total variation, whereas protein and carbohydrate content defined the second principal axis. The clear separation of genotypes like PWS-10 and TWS-06 in the PCA plot reflects their distinct biochemical composition. These findings emphasize the presence of diverse biochemical profiles among walnut genotypes, which can be exploited for breeding programs targeting both nutritional </w:t>
      </w:r>
      <w:r w:rsidRPr="001C23D5">
        <w:rPr>
          <w:b w:val="0"/>
          <w:bCs w:val="0"/>
        </w:rPr>
        <w:lastRenderedPageBreak/>
        <w:t>enhancement and industrial suitability.</w:t>
      </w:r>
      <w:r w:rsidRPr="001C23D5">
        <w:rPr>
          <w:b w:val="0"/>
          <w:bCs w:val="0"/>
        </w:rPr>
        <w:br/>
      </w:r>
    </w:p>
    <w:p w14:paraId="7100DE9E" w14:textId="5787F792" w:rsidR="003737C0" w:rsidRPr="0093104B" w:rsidRDefault="003737C0" w:rsidP="0093104B">
      <w:pPr>
        <w:pStyle w:val="NormalWeb"/>
        <w:spacing w:line="360" w:lineRule="auto"/>
        <w:jc w:val="both"/>
      </w:pPr>
      <w:r w:rsidRPr="0093104B">
        <w:t>The present study revealed significant variability among twenty-one walnut (</w:t>
      </w:r>
      <w:r w:rsidRPr="0093104B">
        <w:rPr>
          <w:rStyle w:val="Emphasis"/>
        </w:rPr>
        <w:t>Juglans regia L.</w:t>
      </w:r>
      <w:r w:rsidRPr="0093104B">
        <w:t>) genotypes for biochemical and nutritional traits, including moisture, protein, ash, carbohydrate, oil, fatty acid composition, and flavonoid content. Such diversity is crucial for breeding programs aimed at improving both the nutritional and industrial value of walnut kernels. The wide range in kernel oil (50.39–70.55 %) and protein (17.12–20.88 %) content underscores the strong genetic base present within the studied population. Similar findings have been reported in diverse walnut-growing regions, confirming that genotype and environmental conditions jointly influence kernel composition (</w:t>
      </w:r>
      <w:proofErr w:type="spellStart"/>
      <w:r w:rsidR="00E42D7B" w:rsidRPr="008755D7">
        <w:rPr>
          <w:highlight w:val="yellow"/>
        </w:rPr>
        <w:t>Chatrabnous</w:t>
      </w:r>
      <w:proofErr w:type="spellEnd"/>
      <w:r w:rsidR="00E42D7B" w:rsidRPr="008755D7">
        <w:rPr>
          <w:highlight w:val="yellow"/>
        </w:rPr>
        <w:t xml:space="preserve"> </w:t>
      </w:r>
      <w:r w:rsidRPr="008755D7">
        <w:rPr>
          <w:highlight w:val="yellow"/>
        </w:rPr>
        <w:t>et al., 20</w:t>
      </w:r>
      <w:r w:rsidR="00E42D7B" w:rsidRPr="008755D7">
        <w:rPr>
          <w:highlight w:val="yellow"/>
        </w:rPr>
        <w:t>24</w:t>
      </w:r>
      <w:r w:rsidRPr="0093104B">
        <w:t xml:space="preserve">; </w:t>
      </w:r>
      <w:proofErr w:type="spellStart"/>
      <w:r w:rsidRPr="0093104B">
        <w:t>Kodada</w:t>
      </w:r>
      <w:proofErr w:type="spellEnd"/>
      <w:r w:rsidRPr="0093104B">
        <w:t xml:space="preserve"> et al., 2016).</w:t>
      </w:r>
    </w:p>
    <w:p w14:paraId="49694B82" w14:textId="16317AAD" w:rsidR="003737C0" w:rsidRPr="0093104B" w:rsidRDefault="003737C0" w:rsidP="0093104B">
      <w:pPr>
        <w:pStyle w:val="NormalWeb"/>
        <w:spacing w:line="360" w:lineRule="auto"/>
        <w:jc w:val="both"/>
      </w:pPr>
      <w:r w:rsidRPr="0093104B">
        <w:t xml:space="preserve">Low moisture content in kernels, as observed in several genotypes, is desirable for longer storage life and reduced microbial spoilage risk. Comparable trends were reported by Ozkan and Koyuncu (2005), who noted that moisture stability directly contributes to kernel quality. Ash content, an indicator of total mineral concentration, also showed wide variation (1.12–2.21 %), aligning with values reported by </w:t>
      </w:r>
      <w:r w:rsidR="00131E8C" w:rsidRPr="008755D7">
        <w:rPr>
          <w:highlight w:val="yellow"/>
        </w:rPr>
        <w:t>Mir</w:t>
      </w:r>
      <w:r w:rsidR="00131E8C" w:rsidRPr="008755D7">
        <w:rPr>
          <w:highlight w:val="yellow"/>
        </w:rPr>
        <w:t xml:space="preserve"> et al. (2025)</w:t>
      </w:r>
      <w:r w:rsidRPr="008755D7">
        <w:rPr>
          <w:highlight w:val="yellow"/>
        </w:rPr>
        <w:t>.</w:t>
      </w:r>
      <w:r w:rsidRPr="0093104B">
        <w:t xml:space="preserve"> High heritability and genetic gain for ash, carbohydrate, oil, and flavonoid content suggest that these traits are primarily governed by additive genetic effects and can be effectively improved through phenotypic selection.</w:t>
      </w:r>
    </w:p>
    <w:p w14:paraId="67829AA8" w14:textId="302AB08A" w:rsidR="003737C0" w:rsidRPr="0093104B" w:rsidRDefault="003737C0" w:rsidP="0093104B">
      <w:pPr>
        <w:pStyle w:val="NormalWeb"/>
        <w:spacing w:line="360" w:lineRule="auto"/>
        <w:jc w:val="both"/>
      </w:pPr>
      <w:r w:rsidRPr="0093104B">
        <w:t xml:space="preserve">Protein and carbohydrate content exhibited moderate heritability, implying both genetic and environmental influences on these parameters. Previous studies also noted comparable levels of variation in protein and carbohydrate contents among walnut genotypes from Turkey and Iran (Simsek et al., 2017; </w:t>
      </w:r>
      <w:proofErr w:type="spellStart"/>
      <w:r w:rsidR="003D3F82" w:rsidRPr="003D3F82">
        <w:rPr>
          <w:highlight w:val="yellow"/>
        </w:rPr>
        <w:t>Temizyürek</w:t>
      </w:r>
      <w:proofErr w:type="spellEnd"/>
      <w:r w:rsidR="003D3F82" w:rsidRPr="008755D7">
        <w:rPr>
          <w:highlight w:val="yellow"/>
        </w:rPr>
        <w:t xml:space="preserve"> </w:t>
      </w:r>
      <w:r w:rsidRPr="008755D7">
        <w:rPr>
          <w:highlight w:val="yellow"/>
        </w:rPr>
        <w:t>et al., 20</w:t>
      </w:r>
      <w:r w:rsidR="003D3F82" w:rsidRPr="008755D7">
        <w:rPr>
          <w:highlight w:val="yellow"/>
        </w:rPr>
        <w:t>25</w:t>
      </w:r>
      <w:r w:rsidRPr="0093104B">
        <w:t>). The carbohydrate variability observed in this study (8.48–24.43 %) was notably higher than some earlier reports, suggesting the influence of diverse local conditions and genetic backgrounds.</w:t>
      </w:r>
    </w:p>
    <w:p w14:paraId="18741678" w14:textId="70C35DF9" w:rsidR="003737C0" w:rsidRPr="0093104B" w:rsidRDefault="003737C0" w:rsidP="0093104B">
      <w:pPr>
        <w:pStyle w:val="NormalWeb"/>
        <w:spacing w:line="360" w:lineRule="auto"/>
        <w:jc w:val="both"/>
      </w:pPr>
      <w:r w:rsidRPr="0093104B">
        <w:t xml:space="preserve">Oil and fatty acid composition are key determinants of walnut’s nutritional and industrial quality. The dominance of linoleic acid (44.65–62.49 %) and moderate levels of oleic acid (11.43–23.28 %) are consistent with earlier findings (Savage, 2001; Pereira et al., 2008). Variations in fatty acid proportions may be attributed to genetic factors and climatic differences affecting lipid biosynthesis (Li et al., 2014; </w:t>
      </w:r>
      <w:r w:rsidR="00131E8C" w:rsidRPr="008755D7">
        <w:rPr>
          <w:highlight w:val="yellow"/>
        </w:rPr>
        <w:t>Mir</w:t>
      </w:r>
      <w:r w:rsidR="00131E8C" w:rsidRPr="008755D7">
        <w:rPr>
          <w:highlight w:val="yellow"/>
        </w:rPr>
        <w:t xml:space="preserve"> et al., 2025</w:t>
      </w:r>
      <w:r w:rsidRPr="008755D7">
        <w:rPr>
          <w:highlight w:val="yellow"/>
        </w:rPr>
        <w:t>).</w:t>
      </w:r>
      <w:r w:rsidRPr="0093104B">
        <w:t xml:space="preserve"> The high heritability </w:t>
      </w:r>
      <w:r w:rsidRPr="0093104B">
        <w:lastRenderedPageBreak/>
        <w:t>(83.1 %) observed for oil content indicates a strong genetic basis, suggesting that selection for high-oil genotypes would be effective and stable across environments.</w:t>
      </w:r>
    </w:p>
    <w:p w14:paraId="388EC19A" w14:textId="77777777" w:rsidR="003737C0" w:rsidRPr="0093104B" w:rsidRDefault="003737C0" w:rsidP="0093104B">
      <w:pPr>
        <w:pStyle w:val="NormalWeb"/>
        <w:spacing w:line="360" w:lineRule="auto"/>
        <w:jc w:val="both"/>
      </w:pPr>
      <w:r w:rsidRPr="0093104B">
        <w:t>Total flavonoid content varied substantially (5.43–26.66 mg g⁻¹ QE), confirming wide genetic diversity in antioxidant potential among genotypes. This variation aligns with the findings of Ghasemi et al. (2011) and Bayazit and Sumbul (2012), who reported comparable ranges in seedling-origin walnuts. Flavonoid-rich genotypes such as TWS-06 and PWS-10 hold promise for nutritional enhancement and potential nutraceutical applications.</w:t>
      </w:r>
    </w:p>
    <w:p w14:paraId="57A5F9C6" w14:textId="11F90103" w:rsidR="003737C0" w:rsidRPr="0093104B" w:rsidRDefault="003737C0" w:rsidP="0093104B">
      <w:pPr>
        <w:pStyle w:val="NormalWeb"/>
        <w:spacing w:line="360" w:lineRule="auto"/>
        <w:jc w:val="both"/>
      </w:pPr>
      <w:r w:rsidRPr="0093104B">
        <w:t xml:space="preserve">Correlation analysis showed positive associations between oil and linoleic acid, indicating that genotypes with higher oil content generally possess greater proportions of polyunsaturated fatty acids. The negative correlation between moisture and oil content further supports the preference for drier kernels in high-quality walnut production. Similar inter-trait relationships have been reported by Shah et al. (2021) and </w:t>
      </w:r>
      <w:proofErr w:type="spellStart"/>
      <w:r w:rsidR="00B869DB" w:rsidRPr="008755D7">
        <w:rPr>
          <w:highlight w:val="yellow"/>
        </w:rPr>
        <w:t>Gündeşli</w:t>
      </w:r>
      <w:proofErr w:type="spellEnd"/>
      <w:r w:rsidR="00B869DB" w:rsidRPr="008755D7">
        <w:rPr>
          <w:highlight w:val="yellow"/>
        </w:rPr>
        <w:t xml:space="preserve"> et al. (2023)</w:t>
      </w:r>
      <w:r w:rsidRPr="008755D7">
        <w:rPr>
          <w:highlight w:val="yellow"/>
        </w:rPr>
        <w:t>.</w:t>
      </w:r>
    </w:p>
    <w:p w14:paraId="156C100D" w14:textId="77777777" w:rsidR="003737C0" w:rsidRPr="0093104B" w:rsidRDefault="003737C0" w:rsidP="0093104B">
      <w:pPr>
        <w:pStyle w:val="NormalWeb"/>
        <w:spacing w:line="360" w:lineRule="auto"/>
        <w:jc w:val="both"/>
      </w:pPr>
      <w:r w:rsidRPr="0093104B">
        <w:t>Principal component analysis confirmed that oil, oleic, and linoleic acids were the major contributors to total variability (PC1), while protein and carbohydrate content defined the second component (PC2). The clear separation of certain genotypes such as PWS-10 and TWS-06 in the PCA biplot demonstrates their distinct biochemical profiles. These genotypes combine superior oil and flavonoid content, making them promising candidates for future breeding efforts focused on nutritional and industrial value.</w:t>
      </w:r>
    </w:p>
    <w:p w14:paraId="6DB08482" w14:textId="77777777" w:rsidR="003737C0" w:rsidRPr="0093104B" w:rsidRDefault="003737C0" w:rsidP="0093104B">
      <w:pPr>
        <w:pStyle w:val="Heading3"/>
        <w:spacing w:line="360" w:lineRule="auto"/>
        <w:jc w:val="both"/>
      </w:pPr>
      <w:r w:rsidRPr="0093104B">
        <w:rPr>
          <w:rStyle w:val="Strong"/>
          <w:b/>
          <w:bCs/>
        </w:rPr>
        <w:t>Conclusion</w:t>
      </w:r>
    </w:p>
    <w:p w14:paraId="27D85B80" w14:textId="77777777" w:rsidR="003737C0" w:rsidRPr="0093104B" w:rsidRDefault="003737C0" w:rsidP="0093104B">
      <w:pPr>
        <w:pStyle w:val="NormalWeb"/>
        <w:spacing w:line="360" w:lineRule="auto"/>
        <w:jc w:val="both"/>
      </w:pPr>
      <w:r w:rsidRPr="0093104B">
        <w:t xml:space="preserve">The present study highlights substantial biochemical and genetic variability among walnut genotypes from Jammu and Kashmir, indicating significant potential for selection and improvement. High heritability and genetic gain for oil, ash, carbohydrate, and flavonoid content emphasize their suitability as key selection criteria in breeding programs. The identification of genotypes combining high oil yield with </w:t>
      </w:r>
      <w:proofErr w:type="spellStart"/>
      <w:r w:rsidRPr="0093104B">
        <w:t>favorable</w:t>
      </w:r>
      <w:proofErr w:type="spellEnd"/>
      <w:r w:rsidRPr="0093104B">
        <w:t xml:space="preserve"> fatty acid composition and antioxidant potential provides valuable material for developing nutritionally superior and commercially viable walnut cultivars.</w:t>
      </w:r>
    </w:p>
    <w:p w14:paraId="323B031C" w14:textId="77777777" w:rsidR="003737C0" w:rsidRPr="0093104B" w:rsidRDefault="003737C0" w:rsidP="0093104B">
      <w:pPr>
        <w:pStyle w:val="NormalWeb"/>
        <w:spacing w:line="360" w:lineRule="auto"/>
        <w:jc w:val="both"/>
      </w:pPr>
      <w:r w:rsidRPr="0093104B">
        <w:t xml:space="preserve">Integrating biochemical characterization with molecular marker-assisted selection can further enhance breeding efficiency and accelerate genetic improvement. The results also emphasize the need for conservation and utilization of indigenous walnut germplasm to sustain </w:t>
      </w:r>
      <w:r w:rsidRPr="0093104B">
        <w:lastRenderedPageBreak/>
        <w:t>productivity and promote value-added walnut production in temperate regions such as Jammu and Kashmir.</w:t>
      </w:r>
    </w:p>
    <w:p w14:paraId="1CF31933" w14:textId="741BF735" w:rsidR="0093104B" w:rsidRPr="0093104B" w:rsidRDefault="0093104B" w:rsidP="0093104B">
      <w:pPr>
        <w:pStyle w:val="Heading3"/>
        <w:spacing w:line="360" w:lineRule="auto"/>
        <w:jc w:val="both"/>
      </w:pPr>
      <w:r>
        <w:t>Future</w:t>
      </w:r>
      <w:r w:rsidR="002E543D">
        <w:t xml:space="preserve"> </w:t>
      </w:r>
      <w:r>
        <w:t>Prospects</w:t>
      </w:r>
      <w:r>
        <w:br/>
      </w:r>
      <w:r>
        <w:br/>
      </w:r>
      <w:r w:rsidRPr="002E543D">
        <w:rPr>
          <w:b w:val="0"/>
          <w:bCs w:val="0"/>
        </w:rPr>
        <w:t>While this study provides a comprehensive understanding of biochemical diversity and genetic variability among walnut genotypes from Jammu and Kashmir, there is still ample scope for future research. Combining biochemical evaluation with molecular marker-based selection could greatly enhance the efficiency of walnut improvement programs. Tools such as QTL mapping, GWAS, and genomic selection can help identify key loci associated with traits like oil quality, protein content, and antioxidant capacity.</w:t>
      </w:r>
      <w:r w:rsidRPr="002E543D">
        <w:rPr>
          <w:b w:val="0"/>
          <w:bCs w:val="0"/>
        </w:rPr>
        <w:br/>
      </w:r>
      <w:r w:rsidRPr="002E543D">
        <w:rPr>
          <w:b w:val="0"/>
          <w:bCs w:val="0"/>
        </w:rPr>
        <w:br/>
        <w:t>Emerging technologies like CRISPR/Cas9 gene editing also offer opportunities for precise modification of genes involved in lipid metabolism and flavonoid synthesis. Integrating data from genomics, transcriptomics, proteomics, and metabolomics will allow a deeper understanding of how biochemical traits are regulated and influenced by environmental factors. Such an integrative approach will be crucial for developing climate-resilient walnut cultivars that maintain kernel quality under variable growing conditions.</w:t>
      </w:r>
      <w:r w:rsidRPr="002E543D">
        <w:rPr>
          <w:b w:val="0"/>
          <w:bCs w:val="0"/>
        </w:rPr>
        <w:br/>
      </w:r>
      <w:r w:rsidRPr="002E543D">
        <w:rPr>
          <w:b w:val="0"/>
          <w:bCs w:val="0"/>
        </w:rPr>
        <w:br/>
        <w:t>In addition, establishing regional germplasm banks and applying conservation genomics will ensure the long-term preservation of local walnut diversity. Encouraging farmers to cultivate improved genotypes with high oil and flavonoid content can help raise both nutritional value and economic returns. Altogether, strengthening research in walnut genomics and promoting value-added utilization of native germplasm will support sustainable production and economic growth of the walnut sector in temperate regions such as Jammu and Kashmir.</w:t>
      </w:r>
      <w:r w:rsidRPr="002E543D">
        <w:rPr>
          <w:b w:val="0"/>
          <w:bCs w:val="0"/>
        </w:rPr>
        <w:br/>
      </w:r>
    </w:p>
    <w:p w14:paraId="351A6CB4" w14:textId="77777777" w:rsidR="0093104B" w:rsidRPr="0093104B" w:rsidRDefault="0093104B" w:rsidP="0093104B">
      <w:pPr>
        <w:pStyle w:val="NormalWeb"/>
        <w:spacing w:line="360" w:lineRule="auto"/>
        <w:jc w:val="both"/>
      </w:pPr>
      <w:r w:rsidRPr="0093104B">
        <w:lastRenderedPageBreak/>
        <w:t>Although the present investigation provides valuable insights into the biochemical diversity and genetic variability among walnut (</w:t>
      </w:r>
      <w:r w:rsidRPr="0093104B">
        <w:rPr>
          <w:rStyle w:val="Emphasis"/>
        </w:rPr>
        <w:t>Juglans regia L.</w:t>
      </w:r>
      <w:r w:rsidRPr="0093104B">
        <w:t>) genotypes, further research is required to maximize the potential of this germplasm for breeding and commercial utilization. Integrating molecular marker-assisted selection (MAS) with conventional approaches can significantly accelerate the development of nutritionally enriched walnut cultivars. Advanced genomic tools such as quantitative trait loci (QTL) mapping, genome-wide association studies (GWAS), and genomic selection can help identify alleles associated with desirable biochemical traits, including oil quality, protein content, and antioxidant capacity.</w:t>
      </w:r>
    </w:p>
    <w:p w14:paraId="51C9118D" w14:textId="77777777" w:rsidR="0093104B" w:rsidRPr="0093104B" w:rsidRDefault="0093104B" w:rsidP="0093104B">
      <w:pPr>
        <w:pStyle w:val="NormalWeb"/>
        <w:spacing w:line="360" w:lineRule="auto"/>
        <w:jc w:val="both"/>
      </w:pPr>
      <w:r w:rsidRPr="0093104B">
        <w:t>Emerging molecular technologies such as CRISPR/Cas9-mediated genome editing provide additional opportunities for precise modification of genes involved in lipid metabolism and flavonoid biosynthesis. Multi-omics approaches combining genomics, transcriptomics, proteomics, and metabolomics can offer deeper insights into the molecular regulation of kernel composition and its interaction with environmental factors. This integrative understanding will be crucial for developing climate-resilient cultivars capable of maintaining kernel quality under changing climatic conditions.</w:t>
      </w:r>
    </w:p>
    <w:p w14:paraId="29B33819" w14:textId="77777777" w:rsidR="0093104B" w:rsidRDefault="0093104B" w:rsidP="0093104B">
      <w:pPr>
        <w:pStyle w:val="NormalWeb"/>
        <w:spacing w:line="360" w:lineRule="auto"/>
        <w:jc w:val="both"/>
      </w:pPr>
      <w:r w:rsidRPr="0093104B">
        <w:t>In addition, conservation genomics and the establishment of regional germplasm repositories will help preserve the genetic diversity of local walnut populations, ensuring long-term sustainability of breeding programs. Promoting the cultivation of improved genotypes with superior biochemical profiles can enhance both nutritional security and economic returns for farmers, contributing to the sustainable growth of the walnut industry in temperate regions, particularly Jammu and Kashmir.</w:t>
      </w:r>
    </w:p>
    <w:p w14:paraId="5B7BE3CF" w14:textId="77777777" w:rsidR="001C2BD0" w:rsidRPr="0093104B" w:rsidRDefault="001C2BD0" w:rsidP="001C2BD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3104B">
        <w:rPr>
          <w:rFonts w:ascii="Times New Roman" w:eastAsia="Times New Roman" w:hAnsi="Times New Roman" w:cs="Times New Roman"/>
          <w:b/>
          <w:bCs/>
          <w:sz w:val="27"/>
          <w:szCs w:val="27"/>
          <w:lang w:eastAsia="en-IN"/>
        </w:rPr>
        <w:t>Highlights</w:t>
      </w:r>
    </w:p>
    <w:p w14:paraId="3ADF560A"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Biochemical and nutritional traits of 21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from diverse agro-climatic regions of Jammu and Kashmir were evaluated.</w:t>
      </w:r>
    </w:p>
    <w:p w14:paraId="24F48F4E"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Wide genetic variability was observed for key kernel quality traits, including oil, protein, carbohydrate, and flavonoid content.</w:t>
      </w:r>
    </w:p>
    <w:p w14:paraId="552A7CB9"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High heritability and genetic gain for oil, ash, carbohydrate, and flavonoids suggest strong potential for selection and breeding.</w:t>
      </w:r>
    </w:p>
    <w:p w14:paraId="59FFB9CB"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Principal component and correlation analyses revealed distinct biochemical groupings and key contributing traits.</w:t>
      </w:r>
    </w:p>
    <w:p w14:paraId="428792DD" w14:textId="77777777" w:rsidR="001C2BD0"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lastRenderedPageBreak/>
        <w:t>The findings identify promising genotypes for breeding nutritionally superior and industrially valuable walnut cultivars.</w:t>
      </w:r>
    </w:p>
    <w:p w14:paraId="6619F443" w14:textId="77777777" w:rsidR="001C2BD0"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0CBC8F3A" w14:textId="77777777" w:rsidR="001C2BD0" w:rsidRPr="0093104B" w:rsidRDefault="001C2BD0" w:rsidP="001C2BD0">
      <w:pPr>
        <w:pStyle w:val="z-BottomofForm"/>
        <w:spacing w:line="360" w:lineRule="auto"/>
        <w:jc w:val="both"/>
        <w:rPr>
          <w:rFonts w:ascii="Times New Roman" w:hAnsi="Times New Roman" w:cs="Times New Roman"/>
        </w:rPr>
      </w:pPr>
      <w:r w:rsidRPr="0093104B">
        <w:rPr>
          <w:rFonts w:ascii="Times New Roman" w:hAnsi="Times New Roman" w:cs="Times New Roman"/>
        </w:rPr>
        <w:t>Bottom of Form</w:t>
      </w:r>
    </w:p>
    <w:p w14:paraId="38CF523A" w14:textId="77777777" w:rsidR="001C2BD0" w:rsidRPr="0093104B" w:rsidRDefault="001C2BD0" w:rsidP="001C2BD0">
      <w:pPr>
        <w:spacing w:after="120" w:line="360" w:lineRule="auto"/>
        <w:ind w:right="1440"/>
        <w:jc w:val="both"/>
        <w:rPr>
          <w:rFonts w:ascii="Times New Roman" w:hAnsi="Times New Roman" w:cs="Times New Roman"/>
        </w:rPr>
      </w:pPr>
    </w:p>
    <w:p w14:paraId="049250B8" w14:textId="77777777" w:rsidR="001C2BD0" w:rsidRPr="0093104B"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7C2F478E" w14:textId="77777777" w:rsidR="001C2BD0" w:rsidRPr="0093104B" w:rsidRDefault="001C2BD0" w:rsidP="0093104B">
      <w:pPr>
        <w:pStyle w:val="NormalWeb"/>
        <w:spacing w:line="360" w:lineRule="auto"/>
        <w:jc w:val="both"/>
      </w:pPr>
    </w:p>
    <w:p w14:paraId="3CD912F0" w14:textId="77777777" w:rsidR="00DB5846" w:rsidRDefault="00DB5846" w:rsidP="00DB5846">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6EB860DE"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32692321"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67573D8"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2E9EA8D"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D80F32"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75CBC12F"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4BF27FB"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546D7E0E" w14:textId="77777777" w:rsidR="00DB5846" w:rsidRDefault="00DB5846" w:rsidP="00DB5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0789CFEF" w14:textId="77777777" w:rsidR="00DB5846" w:rsidRDefault="00DB5846" w:rsidP="0093104B">
      <w:pPr>
        <w:pStyle w:val="Heading3"/>
        <w:spacing w:line="360" w:lineRule="auto"/>
        <w:jc w:val="both"/>
        <w:rPr>
          <w:rStyle w:val="Strong"/>
          <w:b/>
          <w:bCs/>
        </w:rPr>
      </w:pPr>
    </w:p>
    <w:p w14:paraId="4CFAA611" w14:textId="77777777" w:rsidR="0093104B" w:rsidRPr="0093104B" w:rsidRDefault="0093104B" w:rsidP="0093104B">
      <w:pPr>
        <w:pStyle w:val="Heading3"/>
        <w:spacing w:line="360" w:lineRule="auto"/>
        <w:jc w:val="both"/>
      </w:pPr>
      <w:r w:rsidRPr="0093104B">
        <w:rPr>
          <w:rStyle w:val="Strong"/>
          <w:b/>
          <w:bCs/>
        </w:rPr>
        <w:t>References</w:t>
      </w:r>
    </w:p>
    <w:p w14:paraId="262935EF" w14:textId="77777777" w:rsidR="00E42D7B" w:rsidRDefault="001872BF" w:rsidP="0093104B">
      <w:pPr>
        <w:pStyle w:val="NormalWeb"/>
        <w:spacing w:line="360" w:lineRule="auto"/>
        <w:jc w:val="both"/>
        <w:rPr>
          <w:lang w:val="es-US"/>
        </w:rPr>
      </w:pPr>
      <w:proofErr w:type="spellStart"/>
      <w:r w:rsidRPr="008755D7">
        <w:rPr>
          <w:highlight w:val="yellow"/>
          <w:lang w:val="es-US"/>
        </w:rPr>
        <w:t>Gündeşli</w:t>
      </w:r>
      <w:proofErr w:type="spellEnd"/>
      <w:r w:rsidRPr="008755D7">
        <w:rPr>
          <w:highlight w:val="yellow"/>
          <w:lang w:val="es-US"/>
        </w:rPr>
        <w:t xml:space="preserve">, M. A., </w:t>
      </w:r>
      <w:proofErr w:type="spellStart"/>
      <w:r w:rsidRPr="008755D7">
        <w:rPr>
          <w:highlight w:val="yellow"/>
          <w:lang w:val="es-US"/>
        </w:rPr>
        <w:t>Uğur</w:t>
      </w:r>
      <w:proofErr w:type="spellEnd"/>
      <w:r w:rsidRPr="008755D7">
        <w:rPr>
          <w:highlight w:val="yellow"/>
          <w:lang w:val="es-US"/>
        </w:rPr>
        <w:t xml:space="preserve">, R., &amp; </w:t>
      </w:r>
      <w:proofErr w:type="spellStart"/>
      <w:r w:rsidRPr="008755D7">
        <w:rPr>
          <w:highlight w:val="yellow"/>
          <w:lang w:val="es-US"/>
        </w:rPr>
        <w:t>Yaman</w:t>
      </w:r>
      <w:proofErr w:type="spellEnd"/>
      <w:r w:rsidRPr="008755D7">
        <w:rPr>
          <w:highlight w:val="yellow"/>
          <w:lang w:val="es-US"/>
        </w:rPr>
        <w:t xml:space="preserve">, M. (2023). </w:t>
      </w:r>
      <w:r w:rsidRPr="008755D7">
        <w:rPr>
          <w:highlight w:val="yellow"/>
        </w:rPr>
        <w:t>The effects of altitude on fruit characteristics, nutrient chemicals, and biochemical properties of walnut fruits (Juglans regia L.). </w:t>
      </w:r>
      <w:proofErr w:type="spellStart"/>
      <w:r w:rsidRPr="008755D7">
        <w:rPr>
          <w:i/>
          <w:iCs/>
          <w:highlight w:val="yellow"/>
          <w:lang w:val="es-US"/>
        </w:rPr>
        <w:t>Horticulturae</w:t>
      </w:r>
      <w:proofErr w:type="spellEnd"/>
      <w:r w:rsidRPr="008755D7">
        <w:rPr>
          <w:highlight w:val="yellow"/>
          <w:lang w:val="es-US"/>
        </w:rPr>
        <w:t>, </w:t>
      </w:r>
      <w:r w:rsidRPr="008755D7">
        <w:rPr>
          <w:i/>
          <w:iCs/>
          <w:highlight w:val="yellow"/>
          <w:lang w:val="es-US"/>
        </w:rPr>
        <w:t>9</w:t>
      </w:r>
      <w:r w:rsidRPr="008755D7">
        <w:rPr>
          <w:highlight w:val="yellow"/>
          <w:lang w:val="es-US"/>
        </w:rPr>
        <w:t>(10), 1086.</w:t>
      </w:r>
    </w:p>
    <w:p w14:paraId="24F32B1B" w14:textId="4329119D" w:rsidR="001872BF" w:rsidRDefault="00E42D7B" w:rsidP="0093104B">
      <w:pPr>
        <w:pStyle w:val="NormalWeb"/>
        <w:spacing w:line="360" w:lineRule="auto"/>
        <w:jc w:val="both"/>
        <w:rPr>
          <w:lang w:val="es-US"/>
        </w:rPr>
      </w:pPr>
      <w:proofErr w:type="spellStart"/>
      <w:r w:rsidRPr="008755D7">
        <w:rPr>
          <w:highlight w:val="yellow"/>
          <w:lang w:val="es-US"/>
        </w:rPr>
        <w:lastRenderedPageBreak/>
        <w:t>Chatrabnous</w:t>
      </w:r>
      <w:proofErr w:type="spellEnd"/>
      <w:r w:rsidRPr="008755D7">
        <w:rPr>
          <w:highlight w:val="yellow"/>
          <w:lang w:val="es-US"/>
        </w:rPr>
        <w:t xml:space="preserve">, N., </w:t>
      </w:r>
      <w:proofErr w:type="spellStart"/>
      <w:r w:rsidRPr="008755D7">
        <w:rPr>
          <w:highlight w:val="yellow"/>
          <w:lang w:val="es-US"/>
        </w:rPr>
        <w:t>Arzani</w:t>
      </w:r>
      <w:proofErr w:type="spellEnd"/>
      <w:r w:rsidRPr="008755D7">
        <w:rPr>
          <w:highlight w:val="yellow"/>
          <w:lang w:val="es-US"/>
        </w:rPr>
        <w:t xml:space="preserve">, K., </w:t>
      </w:r>
      <w:proofErr w:type="spellStart"/>
      <w:r w:rsidRPr="008755D7">
        <w:rPr>
          <w:highlight w:val="yellow"/>
          <w:lang w:val="es-US"/>
        </w:rPr>
        <w:t>Sarikhani</w:t>
      </w:r>
      <w:proofErr w:type="spellEnd"/>
      <w:r w:rsidRPr="008755D7">
        <w:rPr>
          <w:highlight w:val="yellow"/>
          <w:lang w:val="es-US"/>
        </w:rPr>
        <w:t xml:space="preserve">, S., &amp; </w:t>
      </w:r>
      <w:proofErr w:type="spellStart"/>
      <w:r w:rsidRPr="008755D7">
        <w:rPr>
          <w:highlight w:val="yellow"/>
          <w:lang w:val="es-US"/>
        </w:rPr>
        <w:t>Pavan</w:t>
      </w:r>
      <w:proofErr w:type="spellEnd"/>
      <w:r w:rsidRPr="008755D7">
        <w:rPr>
          <w:highlight w:val="yellow"/>
          <w:lang w:val="es-US"/>
        </w:rPr>
        <w:t xml:space="preserve">, S. (2024). </w:t>
      </w:r>
      <w:r w:rsidRPr="008755D7">
        <w:rPr>
          <w:highlight w:val="yellow"/>
        </w:rPr>
        <w:t>Phenotypic and pomological diversity of selected native walnut (Juglans regia) populations: implications for breeding and cultivation programs. </w:t>
      </w:r>
      <w:proofErr w:type="spellStart"/>
      <w:r w:rsidRPr="008755D7">
        <w:rPr>
          <w:i/>
          <w:iCs/>
          <w:highlight w:val="yellow"/>
        </w:rPr>
        <w:t>Euphytica</w:t>
      </w:r>
      <w:proofErr w:type="spellEnd"/>
      <w:r w:rsidRPr="008755D7">
        <w:rPr>
          <w:highlight w:val="yellow"/>
        </w:rPr>
        <w:t>, </w:t>
      </w:r>
      <w:r w:rsidRPr="008755D7">
        <w:rPr>
          <w:i/>
          <w:iCs/>
          <w:highlight w:val="yellow"/>
        </w:rPr>
        <w:t>220</w:t>
      </w:r>
      <w:r w:rsidRPr="008755D7">
        <w:rPr>
          <w:highlight w:val="yellow"/>
        </w:rPr>
        <w:t>(7), 98.</w:t>
      </w:r>
      <w:r w:rsidR="001872BF">
        <w:rPr>
          <w:lang w:val="es-US"/>
        </w:rPr>
        <w:t xml:space="preserve"> </w:t>
      </w:r>
    </w:p>
    <w:p w14:paraId="702DE977" w14:textId="36FD6741" w:rsidR="0093104B" w:rsidRPr="0093104B" w:rsidRDefault="0093104B" w:rsidP="0093104B">
      <w:pPr>
        <w:pStyle w:val="NormalWeb"/>
        <w:spacing w:line="360" w:lineRule="auto"/>
        <w:jc w:val="both"/>
      </w:pPr>
      <w:r w:rsidRPr="008755D7">
        <w:rPr>
          <w:highlight w:val="yellow"/>
        </w:rPr>
        <w:t xml:space="preserve">National Horticulture Board. </w:t>
      </w:r>
      <w:r w:rsidR="00B80A31">
        <w:rPr>
          <w:highlight w:val="yellow"/>
        </w:rPr>
        <w:t>(2019)</w:t>
      </w:r>
      <w:r w:rsidR="00465FB1">
        <w:rPr>
          <w:highlight w:val="yellow"/>
        </w:rPr>
        <w:t>.</w:t>
      </w:r>
      <w:r w:rsidR="00B80A31">
        <w:rPr>
          <w:highlight w:val="yellow"/>
        </w:rPr>
        <w:t xml:space="preserve"> </w:t>
      </w:r>
      <w:r w:rsidR="00B80A31" w:rsidRPr="008755D7">
        <w:rPr>
          <w:highlight w:val="yellow"/>
        </w:rPr>
        <w:t xml:space="preserve">Ministry of Agriculture and Farmers’ Welfare. </w:t>
      </w:r>
      <w:hyperlink r:id="rId8" w:history="1">
        <w:r w:rsidR="00B80A31" w:rsidRPr="008755D7">
          <w:rPr>
            <w:rStyle w:val="Hyperlink"/>
            <w:highlight w:val="yellow"/>
          </w:rPr>
          <w:t>https://nhb.gov.in/</w:t>
        </w:r>
      </w:hyperlink>
      <w:r w:rsidR="00B80A31" w:rsidRPr="008755D7">
        <w:rPr>
          <w:highlight w:val="yellow"/>
        </w:rPr>
        <w:t xml:space="preserve"> </w:t>
      </w:r>
    </w:p>
    <w:p w14:paraId="2C6270B2" w14:textId="654832F8" w:rsidR="0093104B" w:rsidRPr="0093104B" w:rsidRDefault="004D57E9" w:rsidP="0093104B">
      <w:pPr>
        <w:pStyle w:val="NormalWeb"/>
        <w:spacing w:line="360" w:lineRule="auto"/>
        <w:jc w:val="both"/>
      </w:pPr>
      <w:r>
        <w:rPr>
          <w:highlight w:val="yellow"/>
        </w:rPr>
        <w:t xml:space="preserve">FAO (2025). </w:t>
      </w:r>
      <w:r w:rsidR="0093104B" w:rsidRPr="008755D7">
        <w:rPr>
          <w:highlight w:val="yellow"/>
        </w:rPr>
        <w:t xml:space="preserve">Food and Agriculture Organization of the United Nations. </w:t>
      </w:r>
      <w:hyperlink r:id="rId9" w:history="1">
        <w:r w:rsidR="00B22FE7" w:rsidRPr="008755D7">
          <w:rPr>
            <w:rStyle w:val="Hyperlink"/>
            <w:highlight w:val="yellow"/>
          </w:rPr>
          <w:t>https://www.fao.org/home/en</w:t>
        </w:r>
      </w:hyperlink>
      <w:r w:rsidR="00B22FE7" w:rsidRPr="008755D7">
        <w:rPr>
          <w:highlight w:val="yellow"/>
        </w:rPr>
        <w:t xml:space="preserve"> </w:t>
      </w:r>
    </w:p>
    <w:p w14:paraId="578A16E2" w14:textId="77777777" w:rsidR="0093104B" w:rsidRDefault="0093104B" w:rsidP="0093104B">
      <w:pPr>
        <w:pStyle w:val="NormalWeb"/>
        <w:spacing w:line="360" w:lineRule="auto"/>
        <w:jc w:val="both"/>
      </w:pPr>
      <w:r w:rsidRPr="0093104B">
        <w:t xml:space="preserve">AOAC (1995). </w:t>
      </w:r>
      <w:r w:rsidRPr="0093104B">
        <w:rPr>
          <w:rStyle w:val="Emphasis"/>
        </w:rPr>
        <w:t>Official Methods of Analysis</w:t>
      </w:r>
      <w:r w:rsidRPr="0093104B">
        <w:t>, 16th ed.; Association of Official Analytical Chemists: Washington, DC, USA.</w:t>
      </w:r>
    </w:p>
    <w:p w14:paraId="7E9676EC" w14:textId="42700C6F" w:rsidR="00521BD8" w:rsidRDefault="00521BD8" w:rsidP="0093104B">
      <w:pPr>
        <w:pStyle w:val="NormalWeb"/>
        <w:spacing w:line="360" w:lineRule="auto"/>
        <w:jc w:val="both"/>
      </w:pPr>
      <w:r w:rsidRPr="008755D7">
        <w:rPr>
          <w:highlight w:val="yellow"/>
        </w:rPr>
        <w:t>Gao, P., Cao, Y., Liu, R., Jin, Q., &amp; Wang, X. (2019). Phytochemical content, minor‐constituent compositions, and antioxidant capacity of screw‐pressed walnut oil obtained from roasted kernels. </w:t>
      </w:r>
      <w:r w:rsidRPr="008755D7">
        <w:rPr>
          <w:i/>
          <w:iCs/>
          <w:highlight w:val="yellow"/>
        </w:rPr>
        <w:t>European Journal of Lipid Science and Technology</w:t>
      </w:r>
      <w:r w:rsidRPr="008755D7">
        <w:rPr>
          <w:highlight w:val="yellow"/>
        </w:rPr>
        <w:t>, </w:t>
      </w:r>
      <w:r w:rsidRPr="008755D7">
        <w:rPr>
          <w:i/>
          <w:iCs/>
          <w:highlight w:val="yellow"/>
        </w:rPr>
        <w:t>121</w:t>
      </w:r>
      <w:r w:rsidRPr="008755D7">
        <w:rPr>
          <w:highlight w:val="yellow"/>
        </w:rPr>
        <w:t>(1), 1800292.</w:t>
      </w:r>
    </w:p>
    <w:p w14:paraId="4A153FD1" w14:textId="1D844E0C" w:rsidR="00E41EC4" w:rsidRPr="0093104B" w:rsidRDefault="00E41EC4" w:rsidP="0093104B">
      <w:pPr>
        <w:pStyle w:val="NormalWeb"/>
        <w:spacing w:line="360" w:lineRule="auto"/>
        <w:jc w:val="both"/>
      </w:pPr>
      <w:proofErr w:type="spellStart"/>
      <w:r w:rsidRPr="008755D7">
        <w:rPr>
          <w:highlight w:val="yellow"/>
        </w:rPr>
        <w:t>Kafkas</w:t>
      </w:r>
      <w:proofErr w:type="spellEnd"/>
      <w:r w:rsidRPr="008755D7">
        <w:rPr>
          <w:highlight w:val="yellow"/>
        </w:rPr>
        <w:t xml:space="preserve">, E., Attar, S. H., </w:t>
      </w:r>
      <w:proofErr w:type="spellStart"/>
      <w:r w:rsidRPr="008755D7">
        <w:rPr>
          <w:highlight w:val="yellow"/>
        </w:rPr>
        <w:t>Gundesli</w:t>
      </w:r>
      <w:proofErr w:type="spellEnd"/>
      <w:r w:rsidRPr="008755D7">
        <w:rPr>
          <w:highlight w:val="yellow"/>
        </w:rPr>
        <w:t>, M. A., Ozcan, A., &amp; Ergun, M. (2020). Phenolic and fatty acid profile, and protein content of different walnut cultivars and genotypes (Juglans regia L.) grown in the USA. </w:t>
      </w:r>
      <w:r w:rsidRPr="008755D7">
        <w:rPr>
          <w:i/>
          <w:iCs/>
          <w:highlight w:val="yellow"/>
        </w:rPr>
        <w:t>International Journal of Fruit Science</w:t>
      </w:r>
      <w:r w:rsidRPr="008755D7">
        <w:rPr>
          <w:highlight w:val="yellow"/>
        </w:rPr>
        <w:t>, </w:t>
      </w:r>
      <w:r w:rsidRPr="008755D7">
        <w:rPr>
          <w:i/>
          <w:iCs/>
          <w:highlight w:val="yellow"/>
        </w:rPr>
        <w:t>20</w:t>
      </w:r>
      <w:r w:rsidRPr="008755D7">
        <w:rPr>
          <w:highlight w:val="yellow"/>
        </w:rPr>
        <w:t>(sup3), S1711-S1720.</w:t>
      </w:r>
    </w:p>
    <w:p w14:paraId="2154121E" w14:textId="2F34F259" w:rsidR="00BE7415" w:rsidRPr="0093104B" w:rsidRDefault="00BE7415" w:rsidP="0093104B">
      <w:pPr>
        <w:pStyle w:val="NormalWeb"/>
        <w:spacing w:line="360" w:lineRule="auto"/>
        <w:jc w:val="both"/>
      </w:pPr>
      <w:proofErr w:type="spellStart"/>
      <w:r w:rsidRPr="008755D7">
        <w:rPr>
          <w:highlight w:val="yellow"/>
        </w:rPr>
        <w:t>Chashman</w:t>
      </w:r>
      <w:proofErr w:type="spellEnd"/>
      <w:r w:rsidRPr="008755D7">
        <w:rPr>
          <w:highlight w:val="yellow"/>
        </w:rPr>
        <w:t>, S., Sanghvi, G., Menon, S. V., Rasheed, M., Kashyap, A., Devi, A., ... &amp; Ndagire, C. T. (2025). Nutritional composition, phytochemical profile, health benefits and food applications of walnuts (Juglans regia L.). </w:t>
      </w:r>
      <w:r w:rsidRPr="008755D7">
        <w:rPr>
          <w:i/>
          <w:iCs/>
          <w:highlight w:val="yellow"/>
        </w:rPr>
        <w:t>European Food Research and Technology</w:t>
      </w:r>
      <w:r w:rsidRPr="008755D7">
        <w:rPr>
          <w:highlight w:val="yellow"/>
        </w:rPr>
        <w:t>, 1-15.</w:t>
      </w:r>
    </w:p>
    <w:p w14:paraId="6F95AF4C" w14:textId="77777777" w:rsidR="0093104B" w:rsidRPr="0093104B" w:rsidRDefault="0093104B" w:rsidP="0093104B">
      <w:pPr>
        <w:pStyle w:val="NormalWeb"/>
        <w:spacing w:line="360" w:lineRule="auto"/>
        <w:jc w:val="both"/>
      </w:pPr>
      <w:r w:rsidRPr="0093104B">
        <w:t xml:space="preserve">Chang, C.; Yang, M.; Wen, H.; Chern, J. (2002). </w:t>
      </w:r>
      <w:r w:rsidRPr="008755D7">
        <w:t>Estimation of total flavonoid content in propolis by two complementary colorimetric methods</w:t>
      </w:r>
      <w:r w:rsidRPr="00CB2A04">
        <w:rPr>
          <w:highlight w:val="yellow"/>
        </w:rPr>
        <w:t>.</w:t>
      </w:r>
      <w:r w:rsidRPr="0093104B">
        <w:t xml:space="preserve"> </w:t>
      </w:r>
      <w:r w:rsidRPr="0093104B">
        <w:rPr>
          <w:rStyle w:val="Emphasis"/>
        </w:rPr>
        <w:t>Journal of Food and Drug Analysis</w:t>
      </w:r>
      <w:r w:rsidRPr="0093104B">
        <w:t xml:space="preserve">, </w:t>
      </w:r>
      <w:r w:rsidRPr="0093104B">
        <w:rPr>
          <w:rStyle w:val="Strong"/>
        </w:rPr>
        <w:t>10</w:t>
      </w:r>
      <w:r w:rsidRPr="0093104B">
        <w:t>(3), 178–182.</w:t>
      </w:r>
    </w:p>
    <w:p w14:paraId="5C72F2EA" w14:textId="77777777" w:rsidR="0093104B" w:rsidRPr="0093104B" w:rsidRDefault="0093104B" w:rsidP="0093104B">
      <w:pPr>
        <w:pStyle w:val="NormalWeb"/>
        <w:spacing w:line="360" w:lineRule="auto"/>
        <w:jc w:val="both"/>
      </w:pPr>
      <w:r w:rsidRPr="0093104B">
        <w:t xml:space="preserve">Dangl, J.L.; Horvath, D.M.; </w:t>
      </w:r>
      <w:proofErr w:type="spellStart"/>
      <w:r w:rsidRPr="0093104B">
        <w:t>Staskawicz</w:t>
      </w:r>
      <w:proofErr w:type="spellEnd"/>
      <w:r w:rsidRPr="0093104B">
        <w:t xml:space="preserve">, B.J. (2005). </w:t>
      </w:r>
      <w:r w:rsidRPr="008755D7">
        <w:t>Pivoting the plant immune system from dissection to deployment</w:t>
      </w:r>
      <w:r w:rsidRPr="0093104B">
        <w:t xml:space="preserve">. </w:t>
      </w:r>
      <w:r w:rsidRPr="0093104B">
        <w:rPr>
          <w:rStyle w:val="Emphasis"/>
        </w:rPr>
        <w:t>Science</w:t>
      </w:r>
      <w:r w:rsidRPr="0093104B">
        <w:t xml:space="preserve">, </w:t>
      </w:r>
      <w:r w:rsidRPr="0093104B">
        <w:rPr>
          <w:rStyle w:val="Strong"/>
        </w:rPr>
        <w:t>310</w:t>
      </w:r>
      <w:r w:rsidRPr="0093104B">
        <w:t>(5749), 1126–1131.</w:t>
      </w:r>
    </w:p>
    <w:p w14:paraId="1BCA9215" w14:textId="3984BA1A" w:rsidR="00131E8C" w:rsidRPr="0093104B" w:rsidRDefault="00131E8C" w:rsidP="0093104B">
      <w:pPr>
        <w:pStyle w:val="NormalWeb"/>
        <w:spacing w:line="360" w:lineRule="auto"/>
        <w:jc w:val="both"/>
      </w:pPr>
      <w:r w:rsidRPr="008755D7">
        <w:rPr>
          <w:highlight w:val="yellow"/>
        </w:rPr>
        <w:t>Mir, J. I., Irfan, M., Rashid, U., Javid, S., Rashid, M., Sharma, O. C., ... &amp; Mansoor, S. (2025). Comparative Pomological and Biochemical Characterization of Indigenous Walnut (Juglans regia) Genotypes from Temperate Region. </w:t>
      </w:r>
      <w:r w:rsidRPr="008755D7">
        <w:rPr>
          <w:i/>
          <w:iCs/>
          <w:highlight w:val="yellow"/>
        </w:rPr>
        <w:t>Applied Fruit Science</w:t>
      </w:r>
      <w:r w:rsidRPr="008755D7">
        <w:rPr>
          <w:highlight w:val="yellow"/>
        </w:rPr>
        <w:t>, </w:t>
      </w:r>
      <w:r w:rsidRPr="008755D7">
        <w:rPr>
          <w:i/>
          <w:iCs/>
          <w:highlight w:val="yellow"/>
        </w:rPr>
        <w:t>67</w:t>
      </w:r>
      <w:r w:rsidRPr="008755D7">
        <w:rPr>
          <w:highlight w:val="yellow"/>
        </w:rPr>
        <w:t>(3), 119.</w:t>
      </w:r>
      <w:r w:rsidRPr="008755D7">
        <w:rPr>
          <w:highlight w:val="yellow"/>
        </w:rPr>
        <w:t xml:space="preserve"> </w:t>
      </w:r>
    </w:p>
    <w:p w14:paraId="1D3AB02A" w14:textId="10148624" w:rsidR="006202BE" w:rsidRDefault="006202BE" w:rsidP="0093104B">
      <w:pPr>
        <w:pStyle w:val="NormalWeb"/>
        <w:spacing w:line="360" w:lineRule="auto"/>
        <w:jc w:val="both"/>
      </w:pPr>
      <w:r w:rsidRPr="008755D7">
        <w:rPr>
          <w:highlight w:val="yellow"/>
        </w:rPr>
        <w:lastRenderedPageBreak/>
        <w:t xml:space="preserve">Zheng, Y., Wu, S., Wang, R., Wu, Y., Zhang, W., Han, Y., ... &amp; Liu, Y. (2020). Analysis and </w:t>
      </w:r>
      <w:proofErr w:type="spellStart"/>
      <w:r w:rsidRPr="008755D7">
        <w:rPr>
          <w:highlight w:val="yellow"/>
        </w:rPr>
        <w:t>correlationship</w:t>
      </w:r>
      <w:proofErr w:type="spellEnd"/>
      <w:r w:rsidRPr="008755D7">
        <w:rPr>
          <w:highlight w:val="yellow"/>
        </w:rPr>
        <w:t xml:space="preserve"> of chemical components of various walnut (Juglans regia L.) cultivars. </w:t>
      </w:r>
      <w:r w:rsidRPr="008755D7">
        <w:rPr>
          <w:i/>
          <w:iCs/>
          <w:highlight w:val="yellow"/>
        </w:rPr>
        <w:t>Journal of Food Measurement and Characterization</w:t>
      </w:r>
      <w:r w:rsidRPr="008755D7">
        <w:rPr>
          <w:highlight w:val="yellow"/>
        </w:rPr>
        <w:t>, </w:t>
      </w:r>
      <w:r w:rsidRPr="008755D7">
        <w:rPr>
          <w:i/>
          <w:iCs/>
          <w:highlight w:val="yellow"/>
        </w:rPr>
        <w:t>14</w:t>
      </w:r>
      <w:r w:rsidRPr="008755D7">
        <w:rPr>
          <w:highlight w:val="yellow"/>
        </w:rPr>
        <w:t>(6), 3605-3614.</w:t>
      </w:r>
    </w:p>
    <w:p w14:paraId="7B3DE190" w14:textId="754B6A20" w:rsidR="00AD733E" w:rsidRPr="0093104B" w:rsidRDefault="00AD733E" w:rsidP="0093104B">
      <w:pPr>
        <w:pStyle w:val="NormalWeb"/>
        <w:spacing w:line="360" w:lineRule="auto"/>
        <w:jc w:val="both"/>
      </w:pPr>
      <w:r w:rsidRPr="008755D7">
        <w:rPr>
          <w:highlight w:val="yellow"/>
        </w:rPr>
        <w:t xml:space="preserve">Ara, T., Shafi, S., </w:t>
      </w:r>
      <w:proofErr w:type="spellStart"/>
      <w:r w:rsidRPr="008755D7">
        <w:rPr>
          <w:highlight w:val="yellow"/>
        </w:rPr>
        <w:t>Ghazwani</w:t>
      </w:r>
      <w:proofErr w:type="spellEnd"/>
      <w:r w:rsidRPr="008755D7">
        <w:rPr>
          <w:highlight w:val="yellow"/>
        </w:rPr>
        <w:t>, M., Mir, J. I., Shah, A. H., Qadri, R. A., ... &amp; Wahab, S. (2023). In vitro potent anticancer, antifungal, and antioxidant efficacy of walnut (Juglans regia L.) genotypes. </w:t>
      </w:r>
      <w:r w:rsidRPr="008755D7">
        <w:rPr>
          <w:i/>
          <w:iCs/>
          <w:highlight w:val="yellow"/>
        </w:rPr>
        <w:t>Agronomy</w:t>
      </w:r>
      <w:r w:rsidRPr="008755D7">
        <w:rPr>
          <w:highlight w:val="yellow"/>
        </w:rPr>
        <w:t>, </w:t>
      </w:r>
      <w:r w:rsidRPr="008755D7">
        <w:rPr>
          <w:i/>
          <w:iCs/>
          <w:highlight w:val="yellow"/>
        </w:rPr>
        <w:t>13</w:t>
      </w:r>
      <w:r w:rsidRPr="008755D7">
        <w:rPr>
          <w:highlight w:val="yellow"/>
        </w:rPr>
        <w:t>(5), 1232.</w:t>
      </w:r>
    </w:p>
    <w:p w14:paraId="481E0F86" w14:textId="77777777" w:rsidR="0093104B" w:rsidRPr="0093104B" w:rsidRDefault="0093104B" w:rsidP="0093104B">
      <w:pPr>
        <w:pStyle w:val="NormalWeb"/>
        <w:spacing w:line="360" w:lineRule="auto"/>
        <w:jc w:val="both"/>
      </w:pPr>
      <w:r w:rsidRPr="0093104B">
        <w:t xml:space="preserve">Grosso, G.; Valentini, M.; Mistretta, A.; </w:t>
      </w:r>
      <w:proofErr w:type="spellStart"/>
      <w:r w:rsidRPr="0093104B">
        <w:t>Marventano</w:t>
      </w:r>
      <w:proofErr w:type="spellEnd"/>
      <w:r w:rsidRPr="0093104B">
        <w:t xml:space="preserve">, S. (2000). Fatty acid composition and tocopherols in walnuts. </w:t>
      </w:r>
      <w:r w:rsidRPr="0093104B">
        <w:rPr>
          <w:rStyle w:val="Emphasis"/>
        </w:rPr>
        <w:t>Journal of the American Oil Chemists’ Society</w:t>
      </w:r>
      <w:r w:rsidRPr="0093104B">
        <w:t xml:space="preserve">, </w:t>
      </w:r>
      <w:r w:rsidRPr="0093104B">
        <w:rPr>
          <w:rStyle w:val="Strong"/>
        </w:rPr>
        <w:t>77</w:t>
      </w:r>
      <w:r w:rsidRPr="0093104B">
        <w:t>(10), 1127–1131.</w:t>
      </w:r>
    </w:p>
    <w:p w14:paraId="444673CD" w14:textId="77777777" w:rsidR="0093104B" w:rsidRPr="0093104B" w:rsidRDefault="0093104B" w:rsidP="0093104B">
      <w:pPr>
        <w:pStyle w:val="NormalWeb"/>
        <w:spacing w:line="360" w:lineRule="auto"/>
        <w:jc w:val="both"/>
      </w:pPr>
      <w:r w:rsidRPr="0093104B">
        <w:t xml:space="preserve">IOOC (2001). </w:t>
      </w:r>
      <w:r w:rsidRPr="0093104B">
        <w:rPr>
          <w:rStyle w:val="Emphasis"/>
        </w:rPr>
        <w:t>International Olive Oil Council Methods of Analysis</w:t>
      </w:r>
      <w:r w:rsidRPr="0093104B">
        <w:t>. Madrid, Spain.</w:t>
      </w:r>
    </w:p>
    <w:p w14:paraId="5DD55D6E" w14:textId="77777777" w:rsidR="0093104B" w:rsidRPr="0093104B" w:rsidRDefault="0093104B" w:rsidP="0093104B">
      <w:pPr>
        <w:pStyle w:val="NormalWeb"/>
        <w:spacing w:line="360" w:lineRule="auto"/>
        <w:jc w:val="both"/>
      </w:pPr>
      <w:r w:rsidRPr="0093104B">
        <w:t xml:space="preserve">IPGRI (1994). </w:t>
      </w:r>
      <w:r w:rsidRPr="0093104B">
        <w:rPr>
          <w:rStyle w:val="Emphasis"/>
        </w:rPr>
        <w:t>Descriptors for Walnut (Juglans regia L.)</w:t>
      </w:r>
      <w:r w:rsidRPr="0093104B">
        <w:t>. International Plant Genetic Resources Institute: Rome, Italy.</w:t>
      </w:r>
    </w:p>
    <w:p w14:paraId="5D6E3C9F" w14:textId="77777777" w:rsidR="0093104B" w:rsidRPr="0093104B" w:rsidRDefault="0093104B" w:rsidP="0093104B">
      <w:pPr>
        <w:pStyle w:val="NormalWeb"/>
        <w:spacing w:line="360" w:lineRule="auto"/>
        <w:jc w:val="both"/>
      </w:pPr>
      <w:proofErr w:type="spellStart"/>
      <w:r w:rsidRPr="001C23D5">
        <w:rPr>
          <w:lang w:val="es-US"/>
        </w:rPr>
        <w:t>Kodada</w:t>
      </w:r>
      <w:proofErr w:type="spellEnd"/>
      <w:r w:rsidRPr="001C23D5">
        <w:rPr>
          <w:lang w:val="es-US"/>
        </w:rPr>
        <w:t xml:space="preserve">, J.; </w:t>
      </w:r>
      <w:proofErr w:type="spellStart"/>
      <w:r w:rsidRPr="001C23D5">
        <w:rPr>
          <w:lang w:val="es-US"/>
        </w:rPr>
        <w:t>Zatloukal</w:t>
      </w:r>
      <w:proofErr w:type="spellEnd"/>
      <w:r w:rsidRPr="001C23D5">
        <w:rPr>
          <w:lang w:val="es-US"/>
        </w:rPr>
        <w:t xml:space="preserve">, M.; Pelikan, T. (2016). </w:t>
      </w:r>
      <w:r w:rsidRPr="0093104B">
        <w:t xml:space="preserve">Variation in chemical composition of walnut kernels. </w:t>
      </w:r>
      <w:r w:rsidRPr="0093104B">
        <w:rPr>
          <w:rStyle w:val="Emphasis"/>
        </w:rPr>
        <w:t>Acta Alimentaria</w:t>
      </w:r>
      <w:r w:rsidRPr="0093104B">
        <w:t xml:space="preserve">, </w:t>
      </w:r>
      <w:r w:rsidRPr="0093104B">
        <w:rPr>
          <w:rStyle w:val="Strong"/>
        </w:rPr>
        <w:t>45</w:t>
      </w:r>
      <w:r w:rsidRPr="0093104B">
        <w:t>(1), 50–60.</w:t>
      </w:r>
    </w:p>
    <w:p w14:paraId="69187CAC" w14:textId="77777777" w:rsidR="0093104B" w:rsidRPr="0093104B" w:rsidRDefault="0093104B" w:rsidP="0093104B">
      <w:pPr>
        <w:pStyle w:val="NormalWeb"/>
        <w:spacing w:line="360" w:lineRule="auto"/>
        <w:jc w:val="both"/>
      </w:pPr>
      <w:r w:rsidRPr="0093104B">
        <w:t xml:space="preserve">Kumar, S.; Singh, P.; Gupta, R. (2020). Nutritional evaluation of walnut genotypes in India. </w:t>
      </w:r>
      <w:r w:rsidRPr="0093104B">
        <w:rPr>
          <w:rStyle w:val="Emphasis"/>
        </w:rPr>
        <w:t>Indian Journal of Agricultural Sciences</w:t>
      </w:r>
      <w:r w:rsidRPr="0093104B">
        <w:t xml:space="preserve">, </w:t>
      </w:r>
      <w:r w:rsidRPr="0093104B">
        <w:rPr>
          <w:rStyle w:val="Strong"/>
        </w:rPr>
        <w:t>90</w:t>
      </w:r>
      <w:r w:rsidRPr="0093104B">
        <w:t>(5), 780–786.</w:t>
      </w:r>
    </w:p>
    <w:p w14:paraId="6B73B550" w14:textId="77777777" w:rsidR="0093104B" w:rsidRPr="0093104B" w:rsidRDefault="0093104B" w:rsidP="0093104B">
      <w:pPr>
        <w:pStyle w:val="NormalWeb"/>
        <w:spacing w:line="360" w:lineRule="auto"/>
        <w:jc w:val="both"/>
      </w:pPr>
      <w:r w:rsidRPr="0093104B">
        <w:t xml:space="preserve">Li, C.; Liu, Y.; Ma, Y. (2014). Phytochemical and antioxidant properties of walnut kernels. </w:t>
      </w:r>
      <w:r w:rsidRPr="0093104B">
        <w:rPr>
          <w:rStyle w:val="Emphasis"/>
        </w:rPr>
        <w:t>Food Chemistry</w:t>
      </w:r>
      <w:r w:rsidRPr="0093104B">
        <w:t xml:space="preserve">, </w:t>
      </w:r>
      <w:r w:rsidRPr="0093104B">
        <w:rPr>
          <w:rStyle w:val="Strong"/>
        </w:rPr>
        <w:t>164</w:t>
      </w:r>
      <w:r w:rsidRPr="0093104B">
        <w:t>, 153–160.</w:t>
      </w:r>
    </w:p>
    <w:p w14:paraId="74A6BEFC" w14:textId="2FC44062" w:rsidR="003D3F82" w:rsidRPr="0093104B" w:rsidRDefault="003D3F82" w:rsidP="0093104B">
      <w:pPr>
        <w:pStyle w:val="NormalWeb"/>
        <w:spacing w:line="360" w:lineRule="auto"/>
        <w:jc w:val="both"/>
      </w:pPr>
      <w:proofErr w:type="spellStart"/>
      <w:r w:rsidRPr="008755D7">
        <w:rPr>
          <w:highlight w:val="yellow"/>
        </w:rPr>
        <w:t>Temizyürek</w:t>
      </w:r>
      <w:proofErr w:type="spellEnd"/>
      <w:r w:rsidRPr="008755D7">
        <w:rPr>
          <w:highlight w:val="yellow"/>
        </w:rPr>
        <w:t xml:space="preserve">, F., </w:t>
      </w:r>
      <w:proofErr w:type="spellStart"/>
      <w:r w:rsidRPr="008755D7">
        <w:rPr>
          <w:highlight w:val="yellow"/>
        </w:rPr>
        <w:t>Gündeşli</w:t>
      </w:r>
      <w:proofErr w:type="spellEnd"/>
      <w:r w:rsidRPr="008755D7">
        <w:rPr>
          <w:highlight w:val="yellow"/>
        </w:rPr>
        <w:t xml:space="preserve">, M. A., </w:t>
      </w:r>
      <w:proofErr w:type="spellStart"/>
      <w:r w:rsidRPr="008755D7">
        <w:rPr>
          <w:highlight w:val="yellow"/>
        </w:rPr>
        <w:t>Canbay</w:t>
      </w:r>
      <w:proofErr w:type="spellEnd"/>
      <w:r w:rsidRPr="008755D7">
        <w:rPr>
          <w:highlight w:val="yellow"/>
        </w:rPr>
        <w:t xml:space="preserve">, Y., </w:t>
      </w:r>
      <w:proofErr w:type="spellStart"/>
      <w:r w:rsidRPr="008755D7">
        <w:rPr>
          <w:highlight w:val="yellow"/>
        </w:rPr>
        <w:t>Özatar</w:t>
      </w:r>
      <w:proofErr w:type="spellEnd"/>
      <w:r w:rsidRPr="008755D7">
        <w:rPr>
          <w:highlight w:val="yellow"/>
        </w:rPr>
        <w:t xml:space="preserve">, H. O., </w:t>
      </w:r>
      <w:proofErr w:type="spellStart"/>
      <w:r w:rsidRPr="008755D7">
        <w:rPr>
          <w:highlight w:val="yellow"/>
        </w:rPr>
        <w:t>Gölcü</w:t>
      </w:r>
      <w:proofErr w:type="spellEnd"/>
      <w:r w:rsidRPr="008755D7">
        <w:rPr>
          <w:highlight w:val="yellow"/>
        </w:rPr>
        <w:t xml:space="preserve">, E., Altun, V. C., ... &amp; </w:t>
      </w:r>
      <w:proofErr w:type="spellStart"/>
      <w:r w:rsidRPr="008755D7">
        <w:rPr>
          <w:highlight w:val="yellow"/>
        </w:rPr>
        <w:t>Sütyemez</w:t>
      </w:r>
      <w:proofErr w:type="spellEnd"/>
      <w:r w:rsidRPr="008755D7">
        <w:rPr>
          <w:highlight w:val="yellow"/>
        </w:rPr>
        <w:t xml:space="preserve">, M. (2025). Evaluation of biochemical profiles in walnut (Juglans regia L.) genotypes and predictive </w:t>
      </w:r>
      <w:proofErr w:type="spellStart"/>
      <w:r w:rsidRPr="008755D7">
        <w:rPr>
          <w:highlight w:val="yellow"/>
        </w:rPr>
        <w:t>modeling</w:t>
      </w:r>
      <w:proofErr w:type="spellEnd"/>
      <w:r w:rsidRPr="008755D7">
        <w:rPr>
          <w:highlight w:val="yellow"/>
        </w:rPr>
        <w:t xml:space="preserve"> using advanced machine learning algorithms. </w:t>
      </w:r>
      <w:r w:rsidRPr="008755D7">
        <w:rPr>
          <w:i/>
          <w:iCs/>
          <w:highlight w:val="yellow"/>
        </w:rPr>
        <w:t>European Food Research and Technology</w:t>
      </w:r>
      <w:r w:rsidRPr="008755D7">
        <w:rPr>
          <w:highlight w:val="yellow"/>
        </w:rPr>
        <w:t>, 1-18.</w:t>
      </w:r>
    </w:p>
    <w:p w14:paraId="3DCE8190" w14:textId="2E7D0387" w:rsidR="00F1156D" w:rsidRPr="0093104B" w:rsidRDefault="00F1156D" w:rsidP="0093104B">
      <w:pPr>
        <w:pStyle w:val="NormalWeb"/>
        <w:spacing w:line="360" w:lineRule="auto"/>
        <w:jc w:val="both"/>
      </w:pPr>
      <w:r w:rsidRPr="008755D7">
        <w:rPr>
          <w:highlight w:val="yellow"/>
        </w:rPr>
        <w:t xml:space="preserve">Goodarzi, H., Hassani, D., </w:t>
      </w:r>
      <w:proofErr w:type="spellStart"/>
      <w:r w:rsidRPr="008755D7">
        <w:rPr>
          <w:highlight w:val="yellow"/>
        </w:rPr>
        <w:t>Pourhosseini</w:t>
      </w:r>
      <w:proofErr w:type="spellEnd"/>
      <w:r w:rsidRPr="008755D7">
        <w:rPr>
          <w:highlight w:val="yellow"/>
        </w:rPr>
        <w:t>, L., Kalantari, S., &amp; Lashgari, A. (2023). Total lipid and fatty acids components of some Persian walnut (Juglans regia) cultivars. </w:t>
      </w:r>
      <w:r w:rsidRPr="008755D7">
        <w:rPr>
          <w:i/>
          <w:iCs/>
          <w:highlight w:val="yellow"/>
        </w:rPr>
        <w:t xml:space="preserve">Scientia </w:t>
      </w:r>
      <w:proofErr w:type="spellStart"/>
      <w:r w:rsidRPr="008755D7">
        <w:rPr>
          <w:i/>
          <w:iCs/>
          <w:highlight w:val="yellow"/>
        </w:rPr>
        <w:t>Horticulturae</w:t>
      </w:r>
      <w:proofErr w:type="spellEnd"/>
      <w:r w:rsidRPr="008755D7">
        <w:rPr>
          <w:highlight w:val="yellow"/>
        </w:rPr>
        <w:t>, </w:t>
      </w:r>
      <w:r w:rsidRPr="008755D7">
        <w:rPr>
          <w:i/>
          <w:iCs/>
          <w:highlight w:val="yellow"/>
        </w:rPr>
        <w:t>321</w:t>
      </w:r>
      <w:r w:rsidRPr="008755D7">
        <w:rPr>
          <w:highlight w:val="yellow"/>
        </w:rPr>
        <w:t>, 112252.</w:t>
      </w:r>
    </w:p>
    <w:p w14:paraId="4644C94B" w14:textId="77777777" w:rsidR="0093104B" w:rsidRPr="0093104B" w:rsidRDefault="0093104B" w:rsidP="0093104B">
      <w:pPr>
        <w:pStyle w:val="NormalWeb"/>
        <w:spacing w:line="360" w:lineRule="auto"/>
        <w:jc w:val="both"/>
      </w:pPr>
      <w:proofErr w:type="spellStart"/>
      <w:r w:rsidRPr="0093104B">
        <w:t>Oktan</w:t>
      </w:r>
      <w:proofErr w:type="spellEnd"/>
      <w:r w:rsidRPr="0093104B">
        <w:t xml:space="preserve">, R.; Erdem, M.; Yildiz, S. (2022). Antioxidant activity and phenolic content of walnut genotypes. </w:t>
      </w:r>
      <w:r w:rsidRPr="0093104B">
        <w:rPr>
          <w:rStyle w:val="Emphasis"/>
        </w:rPr>
        <w:t>Journal of Food Science</w:t>
      </w:r>
      <w:r w:rsidRPr="0093104B">
        <w:t xml:space="preserve">, </w:t>
      </w:r>
      <w:r w:rsidRPr="0093104B">
        <w:rPr>
          <w:rStyle w:val="Strong"/>
        </w:rPr>
        <w:t>87</w:t>
      </w:r>
      <w:r w:rsidRPr="0093104B">
        <w:t>(6), 2178–2185.</w:t>
      </w:r>
    </w:p>
    <w:p w14:paraId="57EB2BAB" w14:textId="77777777" w:rsidR="0093104B" w:rsidRPr="0093104B" w:rsidRDefault="0093104B" w:rsidP="0093104B">
      <w:pPr>
        <w:pStyle w:val="NormalWeb"/>
        <w:spacing w:line="360" w:lineRule="auto"/>
        <w:jc w:val="both"/>
      </w:pPr>
      <w:r w:rsidRPr="0093104B">
        <w:lastRenderedPageBreak/>
        <w:t xml:space="preserve">Ozkan, Y.; Koyuncu, M. (2005). Morphological and chemical characterization of walnut genotypes. </w:t>
      </w:r>
      <w:r w:rsidRPr="0093104B">
        <w:rPr>
          <w:rStyle w:val="Emphasis"/>
        </w:rPr>
        <w:t>Turkish Journal of Agriculture and Forestry</w:t>
      </w:r>
      <w:r w:rsidRPr="0093104B">
        <w:t xml:space="preserve">, </w:t>
      </w:r>
      <w:r w:rsidRPr="0093104B">
        <w:rPr>
          <w:rStyle w:val="Strong"/>
        </w:rPr>
        <w:t>29</w:t>
      </w:r>
      <w:r w:rsidRPr="0093104B">
        <w:t>(4), 239–246.</w:t>
      </w:r>
    </w:p>
    <w:p w14:paraId="73F72EC3" w14:textId="77777777" w:rsidR="0093104B" w:rsidRPr="0093104B" w:rsidRDefault="0093104B" w:rsidP="0093104B">
      <w:pPr>
        <w:pStyle w:val="NormalWeb"/>
        <w:spacing w:line="360" w:lineRule="auto"/>
        <w:jc w:val="both"/>
      </w:pPr>
      <w:r w:rsidRPr="0093104B">
        <w:t xml:space="preserve">Pereira, J.A.; Oliveira, I.; Sousa, A.; </w:t>
      </w:r>
      <w:proofErr w:type="spellStart"/>
      <w:r w:rsidRPr="0093104B">
        <w:t>Valentao</w:t>
      </w:r>
      <w:proofErr w:type="spellEnd"/>
      <w:r w:rsidRPr="0093104B">
        <w:t>, P.; Andrade, P.B.; Seabra, R.M.; Estevinho, L. (2008). Walnut (</w:t>
      </w:r>
      <w:r w:rsidRPr="0093104B">
        <w:rPr>
          <w:rStyle w:val="Emphasis"/>
        </w:rPr>
        <w:t>Juglans regia</w:t>
      </w:r>
      <w:r w:rsidRPr="0093104B">
        <w:t xml:space="preserve"> L.) oils: Fatty acids, tocopherols, and sterols. </w:t>
      </w:r>
      <w:r w:rsidRPr="0093104B">
        <w:rPr>
          <w:rStyle w:val="Emphasis"/>
        </w:rPr>
        <w:t>Food Chemistry</w:t>
      </w:r>
      <w:r w:rsidRPr="0093104B">
        <w:t xml:space="preserve">, </w:t>
      </w:r>
      <w:r w:rsidRPr="0093104B">
        <w:rPr>
          <w:rStyle w:val="Strong"/>
        </w:rPr>
        <w:t>107</w:t>
      </w:r>
      <w:r w:rsidRPr="0093104B">
        <w:t>(2), 593–601.</w:t>
      </w:r>
    </w:p>
    <w:p w14:paraId="6CC9E167" w14:textId="77777777" w:rsidR="0093104B" w:rsidRPr="0093104B" w:rsidRDefault="0093104B" w:rsidP="0093104B">
      <w:pPr>
        <w:pStyle w:val="NormalWeb"/>
        <w:spacing w:line="360" w:lineRule="auto"/>
        <w:jc w:val="both"/>
      </w:pPr>
      <w:proofErr w:type="spellStart"/>
      <w:r w:rsidRPr="0093104B">
        <w:t>Rabrenovic</w:t>
      </w:r>
      <w:proofErr w:type="spellEnd"/>
      <w:r w:rsidRPr="0093104B">
        <w:t xml:space="preserve">, B.; Nemet, I.; Maksimovic, V. (2011). Walnut kernel phenolics and antioxidant activity. </w:t>
      </w:r>
      <w:r w:rsidRPr="0093104B">
        <w:rPr>
          <w:rStyle w:val="Emphasis"/>
        </w:rPr>
        <w:t>Food Chemistry</w:t>
      </w:r>
      <w:r w:rsidRPr="0093104B">
        <w:t xml:space="preserve">, </w:t>
      </w:r>
      <w:r w:rsidRPr="0093104B">
        <w:rPr>
          <w:rStyle w:val="Strong"/>
        </w:rPr>
        <w:t>124</w:t>
      </w:r>
      <w:r w:rsidRPr="0093104B">
        <w:t>(3), 935–940.</w:t>
      </w:r>
    </w:p>
    <w:p w14:paraId="17D92248" w14:textId="77777777" w:rsidR="0093104B" w:rsidRPr="0093104B" w:rsidRDefault="0093104B" w:rsidP="0093104B">
      <w:pPr>
        <w:pStyle w:val="NormalWeb"/>
        <w:spacing w:line="360" w:lineRule="auto"/>
        <w:jc w:val="both"/>
      </w:pPr>
      <w:r w:rsidRPr="0093104B">
        <w:t xml:space="preserve">Romic, M.; Romic, D.; Vidic, J. (2022). Nutritional quality of walnut kernels. </w:t>
      </w:r>
      <w:r w:rsidRPr="0093104B">
        <w:rPr>
          <w:rStyle w:val="Emphasis"/>
        </w:rPr>
        <w:t>Journal of Food Composition and Analysis</w:t>
      </w:r>
      <w:r w:rsidRPr="0093104B">
        <w:t xml:space="preserve">, </w:t>
      </w:r>
      <w:r w:rsidRPr="0093104B">
        <w:rPr>
          <w:rStyle w:val="Strong"/>
        </w:rPr>
        <w:t>108</w:t>
      </w:r>
      <w:r w:rsidRPr="0093104B">
        <w:t>, 104437.</w:t>
      </w:r>
    </w:p>
    <w:p w14:paraId="0004F35C" w14:textId="77777777" w:rsidR="0093104B" w:rsidRPr="0093104B" w:rsidRDefault="0093104B" w:rsidP="0093104B">
      <w:pPr>
        <w:pStyle w:val="NormalWeb"/>
        <w:spacing w:line="360" w:lineRule="auto"/>
        <w:jc w:val="both"/>
      </w:pPr>
      <w:r w:rsidRPr="0093104B">
        <w:t xml:space="preserve">Savage, G.P. (2001). Chemical composition of walnuts. </w:t>
      </w:r>
      <w:r w:rsidRPr="0093104B">
        <w:rPr>
          <w:rStyle w:val="Emphasis"/>
        </w:rPr>
        <w:t>Nutrition Research</w:t>
      </w:r>
      <w:r w:rsidRPr="0093104B">
        <w:t xml:space="preserve">, </w:t>
      </w:r>
      <w:r w:rsidRPr="0093104B">
        <w:rPr>
          <w:rStyle w:val="Strong"/>
        </w:rPr>
        <w:t>21</w:t>
      </w:r>
      <w:r w:rsidRPr="0093104B">
        <w:t>(6), 833–840.</w:t>
      </w:r>
    </w:p>
    <w:p w14:paraId="58F8C3AC" w14:textId="77777777" w:rsidR="0093104B" w:rsidRPr="0093104B" w:rsidRDefault="0093104B" w:rsidP="0093104B">
      <w:pPr>
        <w:pStyle w:val="NormalWeb"/>
        <w:spacing w:line="360" w:lineRule="auto"/>
        <w:jc w:val="both"/>
      </w:pPr>
      <w:r w:rsidRPr="0093104B">
        <w:t xml:space="preserve">Shah, S.; Wani, M.; Bhat, R. (2021). Biochemical diversity in walnut genotypes. </w:t>
      </w:r>
      <w:r w:rsidRPr="0093104B">
        <w:rPr>
          <w:rStyle w:val="Emphasis"/>
        </w:rPr>
        <w:t>Plant Genetic Resources</w:t>
      </w:r>
      <w:r w:rsidRPr="0093104B">
        <w:t xml:space="preserve">, </w:t>
      </w:r>
      <w:r w:rsidRPr="0093104B">
        <w:rPr>
          <w:rStyle w:val="Strong"/>
        </w:rPr>
        <w:t>19</w:t>
      </w:r>
      <w:r w:rsidRPr="0093104B">
        <w:t>(4), 341–350.</w:t>
      </w:r>
    </w:p>
    <w:p w14:paraId="5A77809D" w14:textId="77777777" w:rsidR="0093104B" w:rsidRPr="0093104B" w:rsidRDefault="0093104B" w:rsidP="0093104B">
      <w:pPr>
        <w:pStyle w:val="NormalWeb"/>
        <w:spacing w:line="360" w:lineRule="auto"/>
        <w:jc w:val="both"/>
      </w:pPr>
      <w:r w:rsidRPr="0093104B">
        <w:t xml:space="preserve">Shah, S.; Wani, M.; Bhat, R. (2023). Morphological and biochemical traits in walnut genotypes. </w:t>
      </w:r>
      <w:r w:rsidRPr="0093104B">
        <w:rPr>
          <w:rStyle w:val="Emphasis"/>
        </w:rPr>
        <w:t>Journal of Plant Biochemistry and Biotechnology</w:t>
      </w:r>
      <w:r w:rsidRPr="0093104B">
        <w:t xml:space="preserve">, </w:t>
      </w:r>
      <w:r w:rsidRPr="0093104B">
        <w:rPr>
          <w:rStyle w:val="Strong"/>
        </w:rPr>
        <w:t>32</w:t>
      </w:r>
      <w:r w:rsidRPr="0093104B">
        <w:t>(2), 210–220.</w:t>
      </w:r>
    </w:p>
    <w:p w14:paraId="358DFAA7" w14:textId="77777777" w:rsidR="0093104B" w:rsidRPr="0093104B" w:rsidRDefault="0093104B" w:rsidP="0093104B">
      <w:pPr>
        <w:pStyle w:val="NormalWeb"/>
        <w:spacing w:line="360" w:lineRule="auto"/>
        <w:jc w:val="both"/>
      </w:pPr>
      <w:r w:rsidRPr="0093104B">
        <w:t xml:space="preserve">Simsek, O.; Yildiz, H.; </w:t>
      </w:r>
      <w:proofErr w:type="spellStart"/>
      <w:r w:rsidRPr="0093104B">
        <w:t>Ercisli</w:t>
      </w:r>
      <w:proofErr w:type="spellEnd"/>
      <w:r w:rsidRPr="0093104B">
        <w:t xml:space="preserve">, S. (2017). Chemical composition of walnut genotypes. </w:t>
      </w:r>
      <w:proofErr w:type="spellStart"/>
      <w:r w:rsidRPr="0093104B">
        <w:rPr>
          <w:rStyle w:val="Emphasis"/>
        </w:rPr>
        <w:t>Notulae</w:t>
      </w:r>
      <w:proofErr w:type="spellEnd"/>
      <w:r w:rsidRPr="0093104B">
        <w:rPr>
          <w:rStyle w:val="Emphasis"/>
        </w:rPr>
        <w:t xml:space="preserve"> </w:t>
      </w:r>
      <w:proofErr w:type="spellStart"/>
      <w:r w:rsidRPr="0093104B">
        <w:rPr>
          <w:rStyle w:val="Emphasis"/>
        </w:rPr>
        <w:t>Botanicae</w:t>
      </w:r>
      <w:proofErr w:type="spellEnd"/>
      <w:r w:rsidRPr="0093104B">
        <w:rPr>
          <w:rStyle w:val="Emphasis"/>
        </w:rPr>
        <w:t xml:space="preserve"> Horti </w:t>
      </w:r>
      <w:proofErr w:type="spellStart"/>
      <w:r w:rsidRPr="0093104B">
        <w:rPr>
          <w:rStyle w:val="Emphasis"/>
        </w:rPr>
        <w:t>Agrobotanici</w:t>
      </w:r>
      <w:proofErr w:type="spellEnd"/>
      <w:r w:rsidRPr="0093104B">
        <w:rPr>
          <w:rStyle w:val="Emphasis"/>
        </w:rPr>
        <w:t xml:space="preserve"> Cluj-Napoca</w:t>
      </w:r>
      <w:r w:rsidRPr="0093104B">
        <w:t xml:space="preserve">, </w:t>
      </w:r>
      <w:r w:rsidRPr="0093104B">
        <w:rPr>
          <w:rStyle w:val="Strong"/>
        </w:rPr>
        <w:t>45</w:t>
      </w:r>
      <w:r w:rsidRPr="0093104B">
        <w:t>(1), 175–182.</w:t>
      </w:r>
    </w:p>
    <w:p w14:paraId="22D59690" w14:textId="77777777" w:rsidR="0093104B" w:rsidRPr="0093104B" w:rsidRDefault="0093104B" w:rsidP="0093104B">
      <w:pPr>
        <w:pStyle w:val="NormalWeb"/>
        <w:spacing w:line="360" w:lineRule="auto"/>
        <w:jc w:val="both"/>
      </w:pPr>
      <w:r w:rsidRPr="0093104B">
        <w:t xml:space="preserve">Stewart, K. (2019). Nutritional and bioactive compounds in walnuts. </w:t>
      </w:r>
      <w:r w:rsidRPr="0093104B">
        <w:rPr>
          <w:rStyle w:val="Emphasis"/>
        </w:rPr>
        <w:t>Journal of Food Science and Technology</w:t>
      </w:r>
      <w:r w:rsidRPr="0093104B">
        <w:t xml:space="preserve">, </w:t>
      </w:r>
      <w:r w:rsidRPr="0093104B">
        <w:rPr>
          <w:rStyle w:val="Strong"/>
        </w:rPr>
        <w:t>56</w:t>
      </w:r>
      <w:r w:rsidRPr="0093104B">
        <w:t>(5), 2341–2350.</w:t>
      </w:r>
    </w:p>
    <w:p w14:paraId="76FDC722" w14:textId="77777777" w:rsidR="0093104B" w:rsidRPr="0093104B" w:rsidRDefault="0093104B" w:rsidP="0093104B">
      <w:pPr>
        <w:pStyle w:val="NormalWeb"/>
        <w:spacing w:line="360" w:lineRule="auto"/>
        <w:jc w:val="both"/>
      </w:pPr>
      <w:proofErr w:type="spellStart"/>
      <w:r w:rsidRPr="0093104B">
        <w:t>Tootoonchi</w:t>
      </w:r>
      <w:proofErr w:type="spellEnd"/>
      <w:r w:rsidRPr="0093104B">
        <w:t xml:space="preserve">, A.; </w:t>
      </w:r>
      <w:proofErr w:type="spellStart"/>
      <w:r w:rsidRPr="0093104B">
        <w:t>Shekafandeh</w:t>
      </w:r>
      <w:proofErr w:type="spellEnd"/>
      <w:r w:rsidRPr="0093104B">
        <w:t xml:space="preserve">, A.; Bahrami, R. (2013). Variation in chemical composition among walnut genotypes. </w:t>
      </w:r>
      <w:r w:rsidRPr="0093104B">
        <w:rPr>
          <w:rStyle w:val="Emphasis"/>
        </w:rPr>
        <w:t>Journal of Food Biochemistry</w:t>
      </w:r>
      <w:r w:rsidRPr="0093104B">
        <w:t xml:space="preserve">, </w:t>
      </w:r>
      <w:r w:rsidRPr="0093104B">
        <w:rPr>
          <w:rStyle w:val="Strong"/>
        </w:rPr>
        <w:t>37</w:t>
      </w:r>
      <w:r w:rsidRPr="0093104B">
        <w:t>(4), 451–459.</w:t>
      </w:r>
    </w:p>
    <w:p w14:paraId="00CD65BB" w14:textId="77777777" w:rsidR="0093104B" w:rsidRPr="0093104B" w:rsidRDefault="0093104B" w:rsidP="0093104B">
      <w:pPr>
        <w:pStyle w:val="NormalWeb"/>
        <w:spacing w:line="360" w:lineRule="auto"/>
        <w:jc w:val="both"/>
      </w:pPr>
      <w:r w:rsidRPr="0093104B">
        <w:t xml:space="preserve">Wani, S.; Ali, R.; Bhat, M. (2021). Assessment of biochemical traits in walnut genotypes. </w:t>
      </w:r>
      <w:r w:rsidRPr="0093104B">
        <w:rPr>
          <w:rStyle w:val="Emphasis"/>
        </w:rPr>
        <w:t>Plant Archives</w:t>
      </w:r>
      <w:r w:rsidRPr="0093104B">
        <w:t xml:space="preserve">, </w:t>
      </w:r>
      <w:r w:rsidRPr="0093104B">
        <w:rPr>
          <w:rStyle w:val="Strong"/>
        </w:rPr>
        <w:t>21</w:t>
      </w:r>
      <w:r w:rsidRPr="0093104B">
        <w:t>(1), 135–142.</w:t>
      </w:r>
    </w:p>
    <w:p w14:paraId="62C46C81" w14:textId="77777777" w:rsidR="0093104B" w:rsidRPr="0093104B" w:rsidRDefault="0093104B" w:rsidP="0093104B">
      <w:pPr>
        <w:pStyle w:val="NormalWeb"/>
        <w:spacing w:line="360" w:lineRule="auto"/>
        <w:jc w:val="both"/>
      </w:pPr>
      <w:r w:rsidRPr="0093104B">
        <w:t xml:space="preserve">Yildiz, K.; Ozturk, I.; Demir, A. (2021). Phytochemical and antioxidant analysis of walnut kernels. </w:t>
      </w:r>
      <w:r w:rsidRPr="0093104B">
        <w:rPr>
          <w:rStyle w:val="Emphasis"/>
        </w:rPr>
        <w:t>Journal of Food Measurement and Characterization</w:t>
      </w:r>
      <w:r w:rsidRPr="0093104B">
        <w:t xml:space="preserve">, </w:t>
      </w:r>
      <w:r w:rsidRPr="0093104B">
        <w:rPr>
          <w:rStyle w:val="Strong"/>
        </w:rPr>
        <w:t>15</w:t>
      </w:r>
      <w:r w:rsidRPr="0093104B">
        <w:t>(2), 1123–1132.</w:t>
      </w:r>
    </w:p>
    <w:p w14:paraId="24838C33" w14:textId="77777777" w:rsidR="0093104B" w:rsidRDefault="0093104B" w:rsidP="0093104B">
      <w:pPr>
        <w:pStyle w:val="NormalWeb"/>
        <w:spacing w:line="360" w:lineRule="auto"/>
        <w:jc w:val="both"/>
      </w:pPr>
      <w:r w:rsidRPr="0093104B">
        <w:lastRenderedPageBreak/>
        <w:t xml:space="preserve">Zhang, Y.; Li, J.; Wang, H. (2021). Walnut kernel composition and bioactive compounds. </w:t>
      </w:r>
      <w:r w:rsidRPr="0093104B">
        <w:rPr>
          <w:rStyle w:val="Emphasis"/>
        </w:rPr>
        <w:t>Food Bioscience</w:t>
      </w:r>
      <w:r w:rsidRPr="0093104B">
        <w:t xml:space="preserve">, </w:t>
      </w:r>
      <w:r w:rsidRPr="0093104B">
        <w:rPr>
          <w:rStyle w:val="Strong"/>
        </w:rPr>
        <w:t>42</w:t>
      </w:r>
      <w:r w:rsidRPr="0093104B">
        <w:t>, 101081.</w:t>
      </w:r>
    </w:p>
    <w:p w14:paraId="6EC79A87" w14:textId="77777777" w:rsidR="007A7165" w:rsidRPr="008755D7" w:rsidRDefault="007A7165" w:rsidP="007A7165">
      <w:pPr>
        <w:rPr>
          <w:rFonts w:ascii="Times New Roman" w:hAnsi="Times New Roman" w:cs="Times New Roman"/>
          <w:sz w:val="24"/>
          <w:szCs w:val="24"/>
          <w:highlight w:val="yellow"/>
          <w:lang w:val="en-GB"/>
        </w:rPr>
      </w:pPr>
      <w:r w:rsidRPr="008755D7">
        <w:rPr>
          <w:rFonts w:ascii="Times New Roman" w:hAnsi="Times New Roman" w:cs="Times New Roman"/>
          <w:sz w:val="24"/>
          <w:szCs w:val="24"/>
          <w:highlight w:val="yellow"/>
          <w:lang w:val="en-GB"/>
        </w:rPr>
        <w:t>Hakimi, Y., Taheri, Z., &amp; Rahmani, A. (2024). Morphological, pomological, and biochemical evaluation of several superior walnut (Juglans regia L.) genotypes. Genetic Resources and Crop Evolution, 71(7), 3361-3381.</w:t>
      </w:r>
    </w:p>
    <w:p w14:paraId="6DA0646B" w14:textId="77777777" w:rsidR="007A7165" w:rsidRPr="008755D7" w:rsidRDefault="007A7165" w:rsidP="007A7165">
      <w:pPr>
        <w:rPr>
          <w:rFonts w:ascii="Times New Roman" w:hAnsi="Times New Roman" w:cs="Times New Roman"/>
          <w:sz w:val="24"/>
          <w:szCs w:val="24"/>
          <w:lang w:val="en-GB"/>
        </w:rPr>
      </w:pPr>
      <w:proofErr w:type="spellStart"/>
      <w:r w:rsidRPr="008755D7">
        <w:rPr>
          <w:rFonts w:ascii="Times New Roman" w:hAnsi="Times New Roman" w:cs="Times New Roman"/>
          <w:sz w:val="24"/>
          <w:szCs w:val="24"/>
          <w:highlight w:val="yellow"/>
          <w:lang w:val="en-GB"/>
        </w:rPr>
        <w:t>Farokhzad</w:t>
      </w:r>
      <w:proofErr w:type="spellEnd"/>
      <w:r w:rsidRPr="008755D7">
        <w:rPr>
          <w:rFonts w:ascii="Times New Roman" w:hAnsi="Times New Roman" w:cs="Times New Roman"/>
          <w:sz w:val="24"/>
          <w:szCs w:val="24"/>
          <w:highlight w:val="yellow"/>
          <w:lang w:val="en-GB"/>
        </w:rPr>
        <w:t xml:space="preserve">, A., Nobakht, S., </w:t>
      </w:r>
      <w:proofErr w:type="spellStart"/>
      <w:r w:rsidRPr="008755D7">
        <w:rPr>
          <w:rFonts w:ascii="Times New Roman" w:hAnsi="Times New Roman" w:cs="Times New Roman"/>
          <w:sz w:val="24"/>
          <w:szCs w:val="24"/>
          <w:highlight w:val="yellow"/>
          <w:lang w:val="en-GB"/>
        </w:rPr>
        <w:t>Alahveran</w:t>
      </w:r>
      <w:proofErr w:type="spellEnd"/>
      <w:r w:rsidRPr="008755D7">
        <w:rPr>
          <w:rFonts w:ascii="Times New Roman" w:hAnsi="Times New Roman" w:cs="Times New Roman"/>
          <w:sz w:val="24"/>
          <w:szCs w:val="24"/>
          <w:highlight w:val="yellow"/>
          <w:lang w:val="en-GB"/>
        </w:rPr>
        <w:t xml:space="preserve">, A., </w:t>
      </w:r>
      <w:proofErr w:type="spellStart"/>
      <w:r w:rsidRPr="008755D7">
        <w:rPr>
          <w:rFonts w:ascii="Times New Roman" w:hAnsi="Times New Roman" w:cs="Times New Roman"/>
          <w:sz w:val="24"/>
          <w:szCs w:val="24"/>
          <w:highlight w:val="yellow"/>
          <w:lang w:val="en-GB"/>
        </w:rPr>
        <w:t>Sarkhosh</w:t>
      </w:r>
      <w:proofErr w:type="spellEnd"/>
      <w:r w:rsidRPr="008755D7">
        <w:rPr>
          <w:rFonts w:ascii="Times New Roman" w:hAnsi="Times New Roman" w:cs="Times New Roman"/>
          <w:sz w:val="24"/>
          <w:szCs w:val="24"/>
          <w:highlight w:val="yellow"/>
          <w:lang w:val="en-GB"/>
        </w:rPr>
        <w:t xml:space="preserve">, A., &amp; </w:t>
      </w:r>
      <w:proofErr w:type="spellStart"/>
      <w:r w:rsidRPr="008755D7">
        <w:rPr>
          <w:rFonts w:ascii="Times New Roman" w:hAnsi="Times New Roman" w:cs="Times New Roman"/>
          <w:sz w:val="24"/>
          <w:szCs w:val="24"/>
          <w:highlight w:val="yellow"/>
          <w:lang w:val="en-GB"/>
        </w:rPr>
        <w:t>Mohseniazar</w:t>
      </w:r>
      <w:proofErr w:type="spellEnd"/>
      <w:r w:rsidRPr="008755D7">
        <w:rPr>
          <w:rFonts w:ascii="Times New Roman" w:hAnsi="Times New Roman" w:cs="Times New Roman"/>
          <w:sz w:val="24"/>
          <w:szCs w:val="24"/>
          <w:highlight w:val="yellow"/>
          <w:lang w:val="en-GB"/>
        </w:rPr>
        <w:t>, M. (2018). Biochemical changes in terminal buds of three different walnut (Juglans regia L.) genotypes during dormancy break. Biochemical Systematics and Ecology, 76, 52-57.</w:t>
      </w:r>
    </w:p>
    <w:p w14:paraId="22E8954C" w14:textId="5858142B" w:rsidR="00935E0A" w:rsidRPr="008755D7" w:rsidRDefault="00935E0A" w:rsidP="007A7165">
      <w:pPr>
        <w:rPr>
          <w:rFonts w:ascii="Times New Roman" w:hAnsi="Times New Roman" w:cs="Times New Roman"/>
          <w:sz w:val="24"/>
          <w:szCs w:val="24"/>
        </w:rPr>
      </w:pPr>
      <w:proofErr w:type="spellStart"/>
      <w:r w:rsidRPr="008755D7">
        <w:rPr>
          <w:rFonts w:ascii="Times New Roman" w:hAnsi="Times New Roman" w:cs="Times New Roman"/>
          <w:sz w:val="24"/>
          <w:szCs w:val="24"/>
          <w:highlight w:val="yellow"/>
          <w:lang w:val="es-US"/>
        </w:rPr>
        <w:t>Sandulachi</w:t>
      </w:r>
      <w:proofErr w:type="spellEnd"/>
      <w:r w:rsidRPr="008755D7">
        <w:rPr>
          <w:rFonts w:ascii="Times New Roman" w:hAnsi="Times New Roman" w:cs="Times New Roman"/>
          <w:sz w:val="24"/>
          <w:szCs w:val="24"/>
          <w:highlight w:val="yellow"/>
          <w:lang w:val="es-US"/>
        </w:rPr>
        <w:t xml:space="preserve">, E., </w:t>
      </w:r>
      <w:proofErr w:type="spellStart"/>
      <w:r w:rsidRPr="008755D7">
        <w:rPr>
          <w:rFonts w:ascii="Times New Roman" w:hAnsi="Times New Roman" w:cs="Times New Roman"/>
          <w:sz w:val="24"/>
          <w:szCs w:val="24"/>
          <w:highlight w:val="yellow"/>
          <w:lang w:val="es-US"/>
        </w:rPr>
        <w:t>Bulgaru</w:t>
      </w:r>
      <w:proofErr w:type="spellEnd"/>
      <w:r w:rsidRPr="008755D7">
        <w:rPr>
          <w:rFonts w:ascii="Times New Roman" w:hAnsi="Times New Roman" w:cs="Times New Roman"/>
          <w:sz w:val="24"/>
          <w:szCs w:val="24"/>
          <w:highlight w:val="yellow"/>
          <w:lang w:val="es-US"/>
        </w:rPr>
        <w:t xml:space="preserve">, V., &amp; </w:t>
      </w:r>
      <w:proofErr w:type="spellStart"/>
      <w:r w:rsidRPr="008755D7">
        <w:rPr>
          <w:rFonts w:ascii="Times New Roman" w:hAnsi="Times New Roman" w:cs="Times New Roman"/>
          <w:sz w:val="24"/>
          <w:szCs w:val="24"/>
          <w:highlight w:val="yellow"/>
          <w:lang w:val="es-US"/>
        </w:rPr>
        <w:t>Tatarov</w:t>
      </w:r>
      <w:proofErr w:type="spellEnd"/>
      <w:r w:rsidRPr="008755D7">
        <w:rPr>
          <w:rFonts w:ascii="Times New Roman" w:hAnsi="Times New Roman" w:cs="Times New Roman"/>
          <w:sz w:val="24"/>
          <w:szCs w:val="24"/>
          <w:highlight w:val="yellow"/>
          <w:lang w:val="es-US"/>
        </w:rPr>
        <w:t xml:space="preserve">, P. (2019). </w:t>
      </w:r>
      <w:r w:rsidRPr="008755D7">
        <w:rPr>
          <w:rFonts w:ascii="Times New Roman" w:hAnsi="Times New Roman" w:cs="Times New Roman"/>
          <w:sz w:val="24"/>
          <w:szCs w:val="24"/>
          <w:highlight w:val="yellow"/>
        </w:rPr>
        <w:t>Study of the Light Influence on the Walnuts Oil Quality. </w:t>
      </w:r>
      <w:r w:rsidRPr="008755D7">
        <w:rPr>
          <w:rFonts w:ascii="Times New Roman" w:hAnsi="Times New Roman" w:cs="Times New Roman"/>
          <w:i/>
          <w:iCs/>
          <w:sz w:val="24"/>
          <w:szCs w:val="24"/>
          <w:highlight w:val="yellow"/>
        </w:rPr>
        <w:t>Asian Food Science Journal</w:t>
      </w:r>
      <w:r w:rsidRPr="008755D7">
        <w:rPr>
          <w:rFonts w:ascii="Times New Roman" w:hAnsi="Times New Roman" w:cs="Times New Roman"/>
          <w:sz w:val="24"/>
          <w:szCs w:val="24"/>
          <w:highlight w:val="yellow"/>
        </w:rPr>
        <w:t>, </w:t>
      </w:r>
      <w:r w:rsidRPr="008755D7">
        <w:rPr>
          <w:rFonts w:ascii="Times New Roman" w:hAnsi="Times New Roman" w:cs="Times New Roman"/>
          <w:i/>
          <w:iCs/>
          <w:sz w:val="24"/>
          <w:szCs w:val="24"/>
          <w:highlight w:val="yellow"/>
        </w:rPr>
        <w:t>10</w:t>
      </w:r>
      <w:r w:rsidRPr="008755D7">
        <w:rPr>
          <w:rFonts w:ascii="Times New Roman" w:hAnsi="Times New Roman" w:cs="Times New Roman"/>
          <w:sz w:val="24"/>
          <w:szCs w:val="24"/>
          <w:highlight w:val="yellow"/>
        </w:rPr>
        <w:t>(1), 1-10.</w:t>
      </w:r>
    </w:p>
    <w:p w14:paraId="58E33BAE" w14:textId="77777777" w:rsidR="00D36680" w:rsidRDefault="00D36680" w:rsidP="007A7165">
      <w:pPr>
        <w:rPr>
          <w:sz w:val="20"/>
          <w:szCs w:val="20"/>
          <w:lang w:val="en-GB"/>
        </w:rPr>
      </w:pPr>
    </w:p>
    <w:p w14:paraId="6B338F25" w14:textId="77777777" w:rsidR="007A7165" w:rsidRPr="0093104B" w:rsidRDefault="007A7165" w:rsidP="0093104B">
      <w:pPr>
        <w:pStyle w:val="NormalWeb"/>
        <w:spacing w:line="360" w:lineRule="auto"/>
        <w:jc w:val="both"/>
      </w:pPr>
    </w:p>
    <w:p w14:paraId="65A63EB7" w14:textId="77777777" w:rsidR="0064241E" w:rsidRDefault="0064241E" w:rsidP="0064241E">
      <w:pPr>
        <w:tabs>
          <w:tab w:val="left" w:pos="1440"/>
        </w:tabs>
        <w:spacing w:before="100" w:beforeAutospacing="1" w:after="100" w:afterAutospacing="1" w:line="360" w:lineRule="auto"/>
        <w:jc w:val="both"/>
        <w:rPr>
          <w:rFonts w:ascii="Times New Roman" w:hAnsi="Times New Roman" w:cs="Times New Roman"/>
        </w:rPr>
      </w:pPr>
    </w:p>
    <w:sectPr w:rsidR="0064241E" w:rsidSect="000A423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25FF" w14:textId="77777777" w:rsidR="007213B4" w:rsidRDefault="007213B4" w:rsidP="00164C38">
      <w:pPr>
        <w:spacing w:after="0" w:line="240" w:lineRule="auto"/>
      </w:pPr>
      <w:r>
        <w:separator/>
      </w:r>
    </w:p>
  </w:endnote>
  <w:endnote w:type="continuationSeparator" w:id="0">
    <w:p w14:paraId="4D89C852" w14:textId="77777777" w:rsidR="007213B4" w:rsidRDefault="007213B4" w:rsidP="001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6D94" w14:textId="77777777" w:rsidR="00164C38" w:rsidRDefault="0016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FD4" w14:textId="77777777" w:rsidR="00164C38" w:rsidRDefault="0016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1E0" w14:textId="77777777" w:rsidR="00164C38" w:rsidRDefault="0016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1623" w14:textId="77777777" w:rsidR="007213B4" w:rsidRDefault="007213B4" w:rsidP="00164C38">
      <w:pPr>
        <w:spacing w:after="0" w:line="240" w:lineRule="auto"/>
      </w:pPr>
      <w:r>
        <w:separator/>
      </w:r>
    </w:p>
  </w:footnote>
  <w:footnote w:type="continuationSeparator" w:id="0">
    <w:p w14:paraId="19D58E5A" w14:textId="77777777" w:rsidR="007213B4" w:rsidRDefault="007213B4" w:rsidP="0016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76AD" w14:textId="77777777" w:rsidR="00164C38" w:rsidRDefault="00000000">
    <w:pPr>
      <w:pStyle w:val="Header"/>
    </w:pPr>
    <w:r>
      <w:rPr>
        <w:noProof/>
      </w:rPr>
      <w:pict w14:anchorId="2BF5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C7A0" w14:textId="77777777" w:rsidR="00164C38" w:rsidRDefault="00000000">
    <w:pPr>
      <w:pStyle w:val="Header"/>
    </w:pPr>
    <w:r>
      <w:rPr>
        <w:noProof/>
      </w:rPr>
      <w:pict w14:anchorId="79B2D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05DE" w14:textId="77777777" w:rsidR="00164C38" w:rsidRDefault="00000000">
    <w:pPr>
      <w:pStyle w:val="Header"/>
    </w:pPr>
    <w:r>
      <w:rPr>
        <w:noProof/>
      </w:rPr>
      <w:pict w14:anchorId="5D37B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67DCF"/>
    <w:multiLevelType w:val="multilevel"/>
    <w:tmpl w:val="761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71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wMTIwNre0MLA0NLFQ0lEKTi0uzszPAykwrAUAXOpPuSwAAAA="/>
  </w:docVars>
  <w:rsids>
    <w:rsidRoot w:val="000A4234"/>
    <w:rsid w:val="000A4234"/>
    <w:rsid w:val="00117412"/>
    <w:rsid w:val="00131E8C"/>
    <w:rsid w:val="00164C38"/>
    <w:rsid w:val="001872BF"/>
    <w:rsid w:val="001C23D5"/>
    <w:rsid w:val="001C2BD0"/>
    <w:rsid w:val="002204E0"/>
    <w:rsid w:val="002E543D"/>
    <w:rsid w:val="003737C0"/>
    <w:rsid w:val="003D3F82"/>
    <w:rsid w:val="00463275"/>
    <w:rsid w:val="00465FB1"/>
    <w:rsid w:val="00471EE7"/>
    <w:rsid w:val="004A207B"/>
    <w:rsid w:val="004D57E9"/>
    <w:rsid w:val="004F7153"/>
    <w:rsid w:val="005169CB"/>
    <w:rsid w:val="00521BD8"/>
    <w:rsid w:val="00581D84"/>
    <w:rsid w:val="005F04E8"/>
    <w:rsid w:val="006202BE"/>
    <w:rsid w:val="0064241E"/>
    <w:rsid w:val="00667CAC"/>
    <w:rsid w:val="007213B4"/>
    <w:rsid w:val="007A7165"/>
    <w:rsid w:val="007E4D73"/>
    <w:rsid w:val="008077A2"/>
    <w:rsid w:val="008755D7"/>
    <w:rsid w:val="0093104B"/>
    <w:rsid w:val="00935E0A"/>
    <w:rsid w:val="00936F8B"/>
    <w:rsid w:val="009C6FA7"/>
    <w:rsid w:val="009D5B1E"/>
    <w:rsid w:val="009E5FF2"/>
    <w:rsid w:val="009E644D"/>
    <w:rsid w:val="00A66246"/>
    <w:rsid w:val="00AD733E"/>
    <w:rsid w:val="00B22FE7"/>
    <w:rsid w:val="00B80A31"/>
    <w:rsid w:val="00B869DB"/>
    <w:rsid w:val="00BE7415"/>
    <w:rsid w:val="00CB2A04"/>
    <w:rsid w:val="00D36680"/>
    <w:rsid w:val="00DB5846"/>
    <w:rsid w:val="00DF05A9"/>
    <w:rsid w:val="00E41EC4"/>
    <w:rsid w:val="00E42D7B"/>
    <w:rsid w:val="00EF2BB1"/>
    <w:rsid w:val="00F1156D"/>
    <w:rsid w:val="00F25B28"/>
    <w:rsid w:val="00F43EBA"/>
    <w:rsid w:val="00FD3F67"/>
    <w:rsid w:val="00FE6A89"/>
    <w:rsid w:val="00FF2B1A"/>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A205"/>
  <w15:docId w15:val="{22D4467E-A0DA-4B4B-8190-CF35EFE3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73"/>
  </w:style>
  <w:style w:type="paragraph" w:styleId="Heading3">
    <w:name w:val="heading 3"/>
    <w:basedOn w:val="Normal"/>
    <w:link w:val="Heading3Char"/>
    <w:uiPriority w:val="9"/>
    <w:qFormat/>
    <w:rsid w:val="000A423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A4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23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0A4234"/>
    <w:rPr>
      <w:b/>
      <w:bCs/>
    </w:rPr>
  </w:style>
  <w:style w:type="paragraph" w:styleId="NormalWeb">
    <w:name w:val="Normal (Web)"/>
    <w:basedOn w:val="Normal"/>
    <w:uiPriority w:val="99"/>
    <w:semiHidden/>
    <w:unhideWhenUsed/>
    <w:rsid w:val="000A42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4234"/>
    <w:rPr>
      <w:i/>
      <w:iCs/>
    </w:rPr>
  </w:style>
  <w:style w:type="character" w:customStyle="1" w:styleId="Heading4Char">
    <w:name w:val="Heading 4 Char"/>
    <w:basedOn w:val="DefaultParagraphFont"/>
    <w:link w:val="Heading4"/>
    <w:uiPriority w:val="9"/>
    <w:semiHidden/>
    <w:rsid w:val="000A4234"/>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0A4234"/>
  </w:style>
  <w:style w:type="character" w:customStyle="1" w:styleId="mord">
    <w:name w:val="mord"/>
    <w:basedOn w:val="DefaultParagraphFont"/>
    <w:rsid w:val="000A4234"/>
  </w:style>
  <w:style w:type="character" w:customStyle="1" w:styleId="mrel">
    <w:name w:val="mrel"/>
    <w:basedOn w:val="DefaultParagraphFont"/>
    <w:rsid w:val="000A4234"/>
  </w:style>
  <w:style w:type="character" w:customStyle="1" w:styleId="mopen">
    <w:name w:val="mopen"/>
    <w:basedOn w:val="DefaultParagraphFont"/>
    <w:rsid w:val="000A4234"/>
  </w:style>
  <w:style w:type="character" w:customStyle="1" w:styleId="vlist-s">
    <w:name w:val="vlist-s"/>
    <w:basedOn w:val="DefaultParagraphFont"/>
    <w:rsid w:val="000A4234"/>
  </w:style>
  <w:style w:type="character" w:customStyle="1" w:styleId="mclose">
    <w:name w:val="mclose"/>
    <w:basedOn w:val="DefaultParagraphFont"/>
    <w:rsid w:val="000A4234"/>
  </w:style>
  <w:style w:type="character" w:customStyle="1" w:styleId="mbin">
    <w:name w:val="mbin"/>
    <w:basedOn w:val="DefaultParagraphFont"/>
    <w:rsid w:val="000A4234"/>
  </w:style>
  <w:style w:type="table" w:styleId="TableGrid">
    <w:name w:val="Table Grid"/>
    <w:basedOn w:val="TableNormal"/>
    <w:uiPriority w:val="59"/>
    <w:rsid w:val="00F4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C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737C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37C0"/>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3737C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37C0"/>
    <w:rPr>
      <w:rFonts w:ascii="Arial" w:eastAsia="Times New Roman" w:hAnsi="Arial" w:cs="Arial"/>
      <w:vanish/>
      <w:sz w:val="16"/>
      <w:szCs w:val="16"/>
      <w:lang w:eastAsia="en-IN"/>
    </w:rPr>
  </w:style>
  <w:style w:type="character" w:styleId="Hyperlink">
    <w:name w:val="Hyperlink"/>
    <w:basedOn w:val="DefaultParagraphFont"/>
    <w:uiPriority w:val="99"/>
    <w:unhideWhenUsed/>
    <w:rsid w:val="0093104B"/>
    <w:rPr>
      <w:color w:val="0000FF"/>
      <w:u w:val="single"/>
    </w:rPr>
  </w:style>
  <w:style w:type="paragraph" w:styleId="Header">
    <w:name w:val="header"/>
    <w:basedOn w:val="Normal"/>
    <w:link w:val="HeaderChar"/>
    <w:uiPriority w:val="99"/>
    <w:unhideWhenUsed/>
    <w:rsid w:val="0016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38"/>
  </w:style>
  <w:style w:type="paragraph" w:styleId="Footer">
    <w:name w:val="footer"/>
    <w:basedOn w:val="Normal"/>
    <w:link w:val="FooterChar"/>
    <w:uiPriority w:val="99"/>
    <w:unhideWhenUsed/>
    <w:rsid w:val="0016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38"/>
  </w:style>
  <w:style w:type="paragraph" w:styleId="Revision">
    <w:name w:val="Revision"/>
    <w:hidden/>
    <w:uiPriority w:val="99"/>
    <w:semiHidden/>
    <w:rsid w:val="00DF05A9"/>
    <w:pPr>
      <w:spacing w:after="0" w:line="240" w:lineRule="auto"/>
    </w:pPr>
  </w:style>
  <w:style w:type="character" w:styleId="UnresolvedMention">
    <w:name w:val="Unresolved Mention"/>
    <w:basedOn w:val="DefaultParagraphFont"/>
    <w:uiPriority w:val="99"/>
    <w:semiHidden/>
    <w:unhideWhenUsed/>
    <w:rsid w:val="00B80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1315">
      <w:bodyDiv w:val="1"/>
      <w:marLeft w:val="0"/>
      <w:marRight w:val="0"/>
      <w:marTop w:val="0"/>
      <w:marBottom w:val="0"/>
      <w:divBdr>
        <w:top w:val="none" w:sz="0" w:space="0" w:color="auto"/>
        <w:left w:val="none" w:sz="0" w:space="0" w:color="auto"/>
        <w:bottom w:val="none" w:sz="0" w:space="0" w:color="auto"/>
        <w:right w:val="none" w:sz="0" w:space="0" w:color="auto"/>
      </w:divBdr>
    </w:div>
    <w:div w:id="548613182">
      <w:bodyDiv w:val="1"/>
      <w:marLeft w:val="0"/>
      <w:marRight w:val="0"/>
      <w:marTop w:val="0"/>
      <w:marBottom w:val="0"/>
      <w:divBdr>
        <w:top w:val="none" w:sz="0" w:space="0" w:color="auto"/>
        <w:left w:val="none" w:sz="0" w:space="0" w:color="auto"/>
        <w:bottom w:val="none" w:sz="0" w:space="0" w:color="auto"/>
        <w:right w:val="none" w:sz="0" w:space="0" w:color="auto"/>
      </w:divBdr>
    </w:div>
    <w:div w:id="615253859">
      <w:bodyDiv w:val="1"/>
      <w:marLeft w:val="0"/>
      <w:marRight w:val="0"/>
      <w:marTop w:val="0"/>
      <w:marBottom w:val="0"/>
      <w:divBdr>
        <w:top w:val="none" w:sz="0" w:space="0" w:color="auto"/>
        <w:left w:val="none" w:sz="0" w:space="0" w:color="auto"/>
        <w:bottom w:val="none" w:sz="0" w:space="0" w:color="auto"/>
        <w:right w:val="none" w:sz="0" w:space="0" w:color="auto"/>
      </w:divBdr>
    </w:div>
    <w:div w:id="634062885">
      <w:bodyDiv w:val="1"/>
      <w:marLeft w:val="0"/>
      <w:marRight w:val="0"/>
      <w:marTop w:val="0"/>
      <w:marBottom w:val="0"/>
      <w:divBdr>
        <w:top w:val="none" w:sz="0" w:space="0" w:color="auto"/>
        <w:left w:val="none" w:sz="0" w:space="0" w:color="auto"/>
        <w:bottom w:val="none" w:sz="0" w:space="0" w:color="auto"/>
        <w:right w:val="none" w:sz="0" w:space="0" w:color="auto"/>
      </w:divBdr>
    </w:div>
    <w:div w:id="988752492">
      <w:bodyDiv w:val="1"/>
      <w:marLeft w:val="0"/>
      <w:marRight w:val="0"/>
      <w:marTop w:val="0"/>
      <w:marBottom w:val="0"/>
      <w:divBdr>
        <w:top w:val="none" w:sz="0" w:space="0" w:color="auto"/>
        <w:left w:val="none" w:sz="0" w:space="0" w:color="auto"/>
        <w:bottom w:val="none" w:sz="0" w:space="0" w:color="auto"/>
        <w:right w:val="none" w:sz="0" w:space="0" w:color="auto"/>
      </w:divBdr>
    </w:div>
    <w:div w:id="1127047945">
      <w:bodyDiv w:val="1"/>
      <w:marLeft w:val="0"/>
      <w:marRight w:val="0"/>
      <w:marTop w:val="0"/>
      <w:marBottom w:val="0"/>
      <w:divBdr>
        <w:top w:val="none" w:sz="0" w:space="0" w:color="auto"/>
        <w:left w:val="none" w:sz="0" w:space="0" w:color="auto"/>
        <w:bottom w:val="none" w:sz="0" w:space="0" w:color="auto"/>
        <w:right w:val="none" w:sz="0" w:space="0" w:color="auto"/>
      </w:divBdr>
    </w:div>
    <w:div w:id="1130710018">
      <w:bodyDiv w:val="1"/>
      <w:marLeft w:val="0"/>
      <w:marRight w:val="0"/>
      <w:marTop w:val="0"/>
      <w:marBottom w:val="0"/>
      <w:divBdr>
        <w:top w:val="none" w:sz="0" w:space="0" w:color="auto"/>
        <w:left w:val="none" w:sz="0" w:space="0" w:color="auto"/>
        <w:bottom w:val="none" w:sz="0" w:space="0" w:color="auto"/>
        <w:right w:val="none" w:sz="0" w:space="0" w:color="auto"/>
      </w:divBdr>
    </w:div>
    <w:div w:id="1133713724">
      <w:bodyDiv w:val="1"/>
      <w:marLeft w:val="0"/>
      <w:marRight w:val="0"/>
      <w:marTop w:val="0"/>
      <w:marBottom w:val="0"/>
      <w:divBdr>
        <w:top w:val="none" w:sz="0" w:space="0" w:color="auto"/>
        <w:left w:val="none" w:sz="0" w:space="0" w:color="auto"/>
        <w:bottom w:val="none" w:sz="0" w:space="0" w:color="auto"/>
        <w:right w:val="none" w:sz="0" w:space="0" w:color="auto"/>
      </w:divBdr>
    </w:div>
    <w:div w:id="1181972905">
      <w:bodyDiv w:val="1"/>
      <w:marLeft w:val="0"/>
      <w:marRight w:val="0"/>
      <w:marTop w:val="0"/>
      <w:marBottom w:val="0"/>
      <w:divBdr>
        <w:top w:val="none" w:sz="0" w:space="0" w:color="auto"/>
        <w:left w:val="none" w:sz="0" w:space="0" w:color="auto"/>
        <w:bottom w:val="none" w:sz="0" w:space="0" w:color="auto"/>
        <w:right w:val="none" w:sz="0" w:space="0" w:color="auto"/>
      </w:divBdr>
    </w:div>
    <w:div w:id="1213080782">
      <w:bodyDiv w:val="1"/>
      <w:marLeft w:val="0"/>
      <w:marRight w:val="0"/>
      <w:marTop w:val="0"/>
      <w:marBottom w:val="0"/>
      <w:divBdr>
        <w:top w:val="none" w:sz="0" w:space="0" w:color="auto"/>
        <w:left w:val="none" w:sz="0" w:space="0" w:color="auto"/>
        <w:bottom w:val="none" w:sz="0" w:space="0" w:color="auto"/>
        <w:right w:val="none" w:sz="0" w:space="0" w:color="auto"/>
      </w:divBdr>
    </w:div>
    <w:div w:id="1242835045">
      <w:bodyDiv w:val="1"/>
      <w:marLeft w:val="0"/>
      <w:marRight w:val="0"/>
      <w:marTop w:val="0"/>
      <w:marBottom w:val="0"/>
      <w:divBdr>
        <w:top w:val="none" w:sz="0" w:space="0" w:color="auto"/>
        <w:left w:val="none" w:sz="0" w:space="0" w:color="auto"/>
        <w:bottom w:val="none" w:sz="0" w:space="0" w:color="auto"/>
        <w:right w:val="none" w:sz="0" w:space="0" w:color="auto"/>
      </w:divBdr>
    </w:div>
    <w:div w:id="1290747000">
      <w:bodyDiv w:val="1"/>
      <w:marLeft w:val="0"/>
      <w:marRight w:val="0"/>
      <w:marTop w:val="0"/>
      <w:marBottom w:val="0"/>
      <w:divBdr>
        <w:top w:val="none" w:sz="0" w:space="0" w:color="auto"/>
        <w:left w:val="none" w:sz="0" w:space="0" w:color="auto"/>
        <w:bottom w:val="none" w:sz="0" w:space="0" w:color="auto"/>
        <w:right w:val="none" w:sz="0" w:space="0" w:color="auto"/>
      </w:divBdr>
    </w:div>
    <w:div w:id="1373308326">
      <w:bodyDiv w:val="1"/>
      <w:marLeft w:val="0"/>
      <w:marRight w:val="0"/>
      <w:marTop w:val="0"/>
      <w:marBottom w:val="0"/>
      <w:divBdr>
        <w:top w:val="none" w:sz="0" w:space="0" w:color="auto"/>
        <w:left w:val="none" w:sz="0" w:space="0" w:color="auto"/>
        <w:bottom w:val="none" w:sz="0" w:space="0" w:color="auto"/>
        <w:right w:val="none" w:sz="0" w:space="0" w:color="auto"/>
      </w:divBdr>
    </w:div>
    <w:div w:id="1830512547">
      <w:bodyDiv w:val="1"/>
      <w:marLeft w:val="0"/>
      <w:marRight w:val="0"/>
      <w:marTop w:val="0"/>
      <w:marBottom w:val="0"/>
      <w:divBdr>
        <w:top w:val="none" w:sz="0" w:space="0" w:color="auto"/>
        <w:left w:val="none" w:sz="0" w:space="0" w:color="auto"/>
        <w:bottom w:val="none" w:sz="0" w:space="0" w:color="auto"/>
        <w:right w:val="none" w:sz="0" w:space="0" w:color="auto"/>
      </w:divBdr>
    </w:div>
    <w:div w:id="1838039681">
      <w:bodyDiv w:val="1"/>
      <w:marLeft w:val="0"/>
      <w:marRight w:val="0"/>
      <w:marTop w:val="0"/>
      <w:marBottom w:val="0"/>
      <w:divBdr>
        <w:top w:val="none" w:sz="0" w:space="0" w:color="auto"/>
        <w:left w:val="none" w:sz="0" w:space="0" w:color="auto"/>
        <w:bottom w:val="none" w:sz="0" w:space="0" w:color="auto"/>
        <w:right w:val="none" w:sz="0" w:space="0" w:color="auto"/>
      </w:divBdr>
      <w:divsChild>
        <w:div w:id="58671867">
          <w:marLeft w:val="0"/>
          <w:marRight w:val="0"/>
          <w:marTop w:val="0"/>
          <w:marBottom w:val="0"/>
          <w:divBdr>
            <w:top w:val="none" w:sz="0" w:space="0" w:color="auto"/>
            <w:left w:val="none" w:sz="0" w:space="0" w:color="auto"/>
            <w:bottom w:val="none" w:sz="0" w:space="0" w:color="auto"/>
            <w:right w:val="none" w:sz="0" w:space="0" w:color="auto"/>
          </w:divBdr>
          <w:divsChild>
            <w:div w:id="652294912">
              <w:marLeft w:val="0"/>
              <w:marRight w:val="0"/>
              <w:marTop w:val="0"/>
              <w:marBottom w:val="0"/>
              <w:divBdr>
                <w:top w:val="none" w:sz="0" w:space="0" w:color="auto"/>
                <w:left w:val="none" w:sz="0" w:space="0" w:color="auto"/>
                <w:bottom w:val="none" w:sz="0" w:space="0" w:color="auto"/>
                <w:right w:val="none" w:sz="0" w:space="0" w:color="auto"/>
              </w:divBdr>
              <w:divsChild>
                <w:div w:id="1947038102">
                  <w:marLeft w:val="0"/>
                  <w:marRight w:val="0"/>
                  <w:marTop w:val="0"/>
                  <w:marBottom w:val="0"/>
                  <w:divBdr>
                    <w:top w:val="none" w:sz="0" w:space="0" w:color="auto"/>
                    <w:left w:val="none" w:sz="0" w:space="0" w:color="auto"/>
                    <w:bottom w:val="none" w:sz="0" w:space="0" w:color="auto"/>
                    <w:right w:val="none" w:sz="0" w:space="0" w:color="auto"/>
                  </w:divBdr>
                  <w:divsChild>
                    <w:div w:id="662507621">
                      <w:marLeft w:val="0"/>
                      <w:marRight w:val="0"/>
                      <w:marTop w:val="0"/>
                      <w:marBottom w:val="0"/>
                      <w:divBdr>
                        <w:top w:val="none" w:sz="0" w:space="0" w:color="auto"/>
                        <w:left w:val="none" w:sz="0" w:space="0" w:color="auto"/>
                        <w:bottom w:val="none" w:sz="0" w:space="0" w:color="auto"/>
                        <w:right w:val="none" w:sz="0" w:space="0" w:color="auto"/>
                      </w:divBdr>
                      <w:divsChild>
                        <w:div w:id="1908416545">
                          <w:marLeft w:val="0"/>
                          <w:marRight w:val="0"/>
                          <w:marTop w:val="0"/>
                          <w:marBottom w:val="0"/>
                          <w:divBdr>
                            <w:top w:val="none" w:sz="0" w:space="0" w:color="auto"/>
                            <w:left w:val="none" w:sz="0" w:space="0" w:color="auto"/>
                            <w:bottom w:val="none" w:sz="0" w:space="0" w:color="auto"/>
                            <w:right w:val="none" w:sz="0" w:space="0" w:color="auto"/>
                          </w:divBdr>
                          <w:divsChild>
                            <w:div w:id="190076313">
                              <w:marLeft w:val="0"/>
                              <w:marRight w:val="0"/>
                              <w:marTop w:val="0"/>
                              <w:marBottom w:val="0"/>
                              <w:divBdr>
                                <w:top w:val="none" w:sz="0" w:space="0" w:color="auto"/>
                                <w:left w:val="none" w:sz="0" w:space="0" w:color="auto"/>
                                <w:bottom w:val="none" w:sz="0" w:space="0" w:color="auto"/>
                                <w:right w:val="none" w:sz="0" w:space="0" w:color="auto"/>
                              </w:divBdr>
                              <w:divsChild>
                                <w:div w:id="649362367">
                                  <w:marLeft w:val="0"/>
                                  <w:marRight w:val="0"/>
                                  <w:marTop w:val="0"/>
                                  <w:marBottom w:val="0"/>
                                  <w:divBdr>
                                    <w:top w:val="none" w:sz="0" w:space="0" w:color="auto"/>
                                    <w:left w:val="none" w:sz="0" w:space="0" w:color="auto"/>
                                    <w:bottom w:val="none" w:sz="0" w:space="0" w:color="auto"/>
                                    <w:right w:val="none" w:sz="0" w:space="0" w:color="auto"/>
                                  </w:divBdr>
                                  <w:divsChild>
                                    <w:div w:id="133254587">
                                      <w:marLeft w:val="0"/>
                                      <w:marRight w:val="0"/>
                                      <w:marTop w:val="0"/>
                                      <w:marBottom w:val="0"/>
                                      <w:divBdr>
                                        <w:top w:val="none" w:sz="0" w:space="0" w:color="auto"/>
                                        <w:left w:val="none" w:sz="0" w:space="0" w:color="auto"/>
                                        <w:bottom w:val="none" w:sz="0" w:space="0" w:color="auto"/>
                                        <w:right w:val="none" w:sz="0" w:space="0" w:color="auto"/>
                                      </w:divBdr>
                                      <w:divsChild>
                                        <w:div w:id="214701151">
                                          <w:marLeft w:val="0"/>
                                          <w:marRight w:val="0"/>
                                          <w:marTop w:val="0"/>
                                          <w:marBottom w:val="0"/>
                                          <w:divBdr>
                                            <w:top w:val="none" w:sz="0" w:space="0" w:color="auto"/>
                                            <w:left w:val="none" w:sz="0" w:space="0" w:color="auto"/>
                                            <w:bottom w:val="none" w:sz="0" w:space="0" w:color="auto"/>
                                            <w:right w:val="none" w:sz="0" w:space="0" w:color="auto"/>
                                          </w:divBdr>
                                          <w:divsChild>
                                            <w:div w:id="12922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19803">
          <w:marLeft w:val="0"/>
          <w:marRight w:val="0"/>
          <w:marTop w:val="0"/>
          <w:marBottom w:val="0"/>
          <w:divBdr>
            <w:top w:val="none" w:sz="0" w:space="0" w:color="auto"/>
            <w:left w:val="none" w:sz="0" w:space="0" w:color="auto"/>
            <w:bottom w:val="none" w:sz="0" w:space="0" w:color="auto"/>
            <w:right w:val="none" w:sz="0" w:space="0" w:color="auto"/>
          </w:divBdr>
          <w:divsChild>
            <w:div w:id="530194187">
              <w:marLeft w:val="0"/>
              <w:marRight w:val="0"/>
              <w:marTop w:val="0"/>
              <w:marBottom w:val="0"/>
              <w:divBdr>
                <w:top w:val="none" w:sz="0" w:space="0" w:color="auto"/>
                <w:left w:val="none" w:sz="0" w:space="0" w:color="auto"/>
                <w:bottom w:val="none" w:sz="0" w:space="0" w:color="auto"/>
                <w:right w:val="none" w:sz="0" w:space="0" w:color="auto"/>
              </w:divBdr>
              <w:divsChild>
                <w:div w:id="668947025">
                  <w:marLeft w:val="0"/>
                  <w:marRight w:val="0"/>
                  <w:marTop w:val="0"/>
                  <w:marBottom w:val="0"/>
                  <w:divBdr>
                    <w:top w:val="none" w:sz="0" w:space="0" w:color="auto"/>
                    <w:left w:val="none" w:sz="0" w:space="0" w:color="auto"/>
                    <w:bottom w:val="none" w:sz="0" w:space="0" w:color="auto"/>
                    <w:right w:val="none" w:sz="0" w:space="0" w:color="auto"/>
                  </w:divBdr>
                  <w:divsChild>
                    <w:div w:id="1330908966">
                      <w:marLeft w:val="0"/>
                      <w:marRight w:val="0"/>
                      <w:marTop w:val="0"/>
                      <w:marBottom w:val="0"/>
                      <w:divBdr>
                        <w:top w:val="none" w:sz="0" w:space="0" w:color="auto"/>
                        <w:left w:val="none" w:sz="0" w:space="0" w:color="auto"/>
                        <w:bottom w:val="none" w:sz="0" w:space="0" w:color="auto"/>
                        <w:right w:val="none" w:sz="0" w:space="0" w:color="auto"/>
                      </w:divBdr>
                      <w:divsChild>
                        <w:div w:id="500854487">
                          <w:marLeft w:val="0"/>
                          <w:marRight w:val="0"/>
                          <w:marTop w:val="0"/>
                          <w:marBottom w:val="0"/>
                          <w:divBdr>
                            <w:top w:val="none" w:sz="0" w:space="0" w:color="auto"/>
                            <w:left w:val="none" w:sz="0" w:space="0" w:color="auto"/>
                            <w:bottom w:val="none" w:sz="0" w:space="0" w:color="auto"/>
                            <w:right w:val="none" w:sz="0" w:space="0" w:color="auto"/>
                          </w:divBdr>
                          <w:divsChild>
                            <w:div w:id="881677062">
                              <w:marLeft w:val="0"/>
                              <w:marRight w:val="0"/>
                              <w:marTop w:val="0"/>
                              <w:marBottom w:val="0"/>
                              <w:divBdr>
                                <w:top w:val="none" w:sz="0" w:space="0" w:color="auto"/>
                                <w:left w:val="none" w:sz="0" w:space="0" w:color="auto"/>
                                <w:bottom w:val="none" w:sz="0" w:space="0" w:color="auto"/>
                                <w:right w:val="none" w:sz="0" w:space="0" w:color="auto"/>
                              </w:divBdr>
                              <w:divsChild>
                                <w:div w:id="1073747053">
                                  <w:marLeft w:val="0"/>
                                  <w:marRight w:val="0"/>
                                  <w:marTop w:val="0"/>
                                  <w:marBottom w:val="0"/>
                                  <w:divBdr>
                                    <w:top w:val="none" w:sz="0" w:space="0" w:color="auto"/>
                                    <w:left w:val="none" w:sz="0" w:space="0" w:color="auto"/>
                                    <w:bottom w:val="none" w:sz="0" w:space="0" w:color="auto"/>
                                    <w:right w:val="none" w:sz="0" w:space="0" w:color="auto"/>
                                  </w:divBdr>
                                  <w:divsChild>
                                    <w:div w:id="2027366765">
                                      <w:marLeft w:val="0"/>
                                      <w:marRight w:val="0"/>
                                      <w:marTop w:val="0"/>
                                      <w:marBottom w:val="0"/>
                                      <w:divBdr>
                                        <w:top w:val="none" w:sz="0" w:space="0" w:color="auto"/>
                                        <w:left w:val="none" w:sz="0" w:space="0" w:color="auto"/>
                                        <w:bottom w:val="none" w:sz="0" w:space="0" w:color="auto"/>
                                        <w:right w:val="none" w:sz="0" w:space="0" w:color="auto"/>
                                      </w:divBdr>
                                      <w:divsChild>
                                        <w:div w:id="722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13230">
      <w:bodyDiv w:val="1"/>
      <w:marLeft w:val="0"/>
      <w:marRight w:val="0"/>
      <w:marTop w:val="0"/>
      <w:marBottom w:val="0"/>
      <w:divBdr>
        <w:top w:val="none" w:sz="0" w:space="0" w:color="auto"/>
        <w:left w:val="none" w:sz="0" w:space="0" w:color="auto"/>
        <w:bottom w:val="none" w:sz="0" w:space="0" w:color="auto"/>
        <w:right w:val="none" w:sz="0" w:space="0" w:color="auto"/>
      </w:divBdr>
    </w:div>
    <w:div w:id="1900895641">
      <w:bodyDiv w:val="1"/>
      <w:marLeft w:val="0"/>
      <w:marRight w:val="0"/>
      <w:marTop w:val="0"/>
      <w:marBottom w:val="0"/>
      <w:divBdr>
        <w:top w:val="none" w:sz="0" w:space="0" w:color="auto"/>
        <w:left w:val="none" w:sz="0" w:space="0" w:color="auto"/>
        <w:bottom w:val="none" w:sz="0" w:space="0" w:color="auto"/>
        <w:right w:val="none" w:sz="0" w:space="0" w:color="auto"/>
      </w:divBdr>
    </w:div>
    <w:div w:id="2049527440">
      <w:bodyDiv w:val="1"/>
      <w:marLeft w:val="0"/>
      <w:marRight w:val="0"/>
      <w:marTop w:val="0"/>
      <w:marBottom w:val="0"/>
      <w:divBdr>
        <w:top w:val="none" w:sz="0" w:space="0" w:color="auto"/>
        <w:left w:val="none" w:sz="0" w:space="0" w:color="auto"/>
        <w:bottom w:val="none" w:sz="0" w:space="0" w:color="auto"/>
        <w:right w:val="none" w:sz="0" w:space="0" w:color="auto"/>
      </w:divBdr>
    </w:div>
    <w:div w:id="2055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b.gov.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home/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5852</Words>
  <Characters>33360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39</cp:revision>
  <dcterms:created xsi:type="dcterms:W3CDTF">2025-11-05T06:10:00Z</dcterms:created>
  <dcterms:modified xsi:type="dcterms:W3CDTF">2025-12-01T07:03:00Z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52fa3f1d-c9d5-493f-8ad1-12c50c622f31</vt:lpwstr>
  </property>
</Properties>
</file>