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BF6113" w14:textId="69C15758" w:rsidR="00977058" w:rsidRPr="009C4193" w:rsidRDefault="0056669F">
      <w:pPr>
        <w:pStyle w:val="NormalWeb"/>
        <w:spacing w:before="0" w:beforeAutospacing="0" w:after="0" w:afterAutospacing="0" w:line="480" w:lineRule="auto"/>
        <w:jc w:val="both"/>
        <w:rPr>
          <w:b/>
          <w:bCs/>
        </w:rPr>
      </w:pPr>
      <w:bookmarkStart w:id="0" w:name="_Hlk198975864"/>
      <w:r w:rsidRPr="009C4193">
        <w:rPr>
          <w:b/>
          <w:bCs/>
        </w:rPr>
        <w:t xml:space="preserve">Effect of Integrated Nutrient Management on Growth and Yield of </w:t>
      </w:r>
      <w:proofErr w:type="spellStart"/>
      <w:r w:rsidRPr="009C4193">
        <w:rPr>
          <w:b/>
          <w:bCs/>
          <w:i/>
          <w:iCs/>
        </w:rPr>
        <w:t>rabi</w:t>
      </w:r>
      <w:proofErr w:type="spellEnd"/>
      <w:r w:rsidRPr="009C4193">
        <w:rPr>
          <w:b/>
          <w:bCs/>
          <w:i/>
          <w:iCs/>
          <w:color w:val="156082" w:themeColor="accent1"/>
        </w:rPr>
        <w:t xml:space="preserve"> </w:t>
      </w:r>
      <w:r w:rsidRPr="009C4193">
        <w:rPr>
          <w:b/>
          <w:bCs/>
        </w:rPr>
        <w:t>Onion (</w:t>
      </w:r>
      <w:r w:rsidRPr="009C4193">
        <w:rPr>
          <w:b/>
          <w:bCs/>
          <w:i/>
          <w:iCs/>
        </w:rPr>
        <w:t xml:space="preserve">Allium </w:t>
      </w:r>
      <w:proofErr w:type="spellStart"/>
      <w:r w:rsidRPr="009C4193">
        <w:rPr>
          <w:b/>
          <w:bCs/>
          <w:i/>
          <w:iCs/>
        </w:rPr>
        <w:t>cepa</w:t>
      </w:r>
      <w:proofErr w:type="spellEnd"/>
      <w:r w:rsidRPr="009C4193">
        <w:rPr>
          <w:b/>
          <w:bCs/>
        </w:rPr>
        <w:t xml:space="preserve"> L.) under Eastern Uttar Pradesh Conditions</w:t>
      </w:r>
    </w:p>
    <w:p w14:paraId="6D989327" w14:textId="77777777" w:rsidR="00977058" w:rsidRPr="009C4193" w:rsidRDefault="00977058">
      <w:pPr>
        <w:pStyle w:val="NormalWeb"/>
        <w:spacing w:before="0" w:beforeAutospacing="0" w:after="0" w:afterAutospacing="0" w:line="480" w:lineRule="auto"/>
        <w:jc w:val="both"/>
        <w:rPr>
          <w:b/>
          <w:bCs/>
        </w:rPr>
      </w:pPr>
    </w:p>
    <w:p w14:paraId="354FB2B3" w14:textId="77777777" w:rsidR="00977058" w:rsidRPr="009C4193" w:rsidRDefault="0056669F">
      <w:pPr>
        <w:pStyle w:val="NormalWeb"/>
        <w:spacing w:before="0" w:beforeAutospacing="0" w:after="0" w:afterAutospacing="0" w:line="480" w:lineRule="auto"/>
        <w:jc w:val="both"/>
        <w:rPr>
          <w:b/>
          <w:bCs/>
        </w:rPr>
      </w:pPr>
      <w:r w:rsidRPr="009C4193">
        <w:rPr>
          <w:b/>
          <w:bCs/>
        </w:rPr>
        <w:t>Abstract</w:t>
      </w:r>
    </w:p>
    <w:p w14:paraId="4D8757B1" w14:textId="604E6E94" w:rsidR="00977058" w:rsidRDefault="0056669F">
      <w:pPr>
        <w:pStyle w:val="NormalWeb"/>
        <w:spacing w:before="0" w:beforeAutospacing="0" w:after="0" w:afterAutospacing="0" w:line="480" w:lineRule="auto"/>
        <w:jc w:val="both"/>
      </w:pPr>
      <w:r w:rsidRPr="009C4193">
        <w:t>Onion (</w:t>
      </w:r>
      <w:r w:rsidRPr="009C4193">
        <w:rPr>
          <w:i/>
          <w:iCs/>
        </w:rPr>
        <w:t>Allium cepa</w:t>
      </w:r>
      <w:r w:rsidRPr="009C4193">
        <w:t xml:space="preserve"> L.) is a globally important crop valued for its culinary, nutritional</w:t>
      </w:r>
      <w:r w:rsidRPr="009C4193">
        <w:rPr>
          <w:strike/>
          <w:color w:val="156082" w:themeColor="accent1"/>
        </w:rPr>
        <w:t>,</w:t>
      </w:r>
      <w:r w:rsidRPr="009C4193">
        <w:t xml:space="preserve"> and medicinal properties. Despite India being a major producer, productivity remains suboptimal, particularly during the </w:t>
      </w:r>
      <w:proofErr w:type="spellStart"/>
      <w:r w:rsidRPr="009C4193">
        <w:rPr>
          <w:strike/>
        </w:rPr>
        <w:t>R</w:t>
      </w:r>
      <w:r w:rsidRPr="009C4193">
        <w:t>rabi</w:t>
      </w:r>
      <w:proofErr w:type="spellEnd"/>
      <w:r w:rsidRPr="009C4193">
        <w:t xml:space="preserve"> season. This study evaluated the effect of integrated nutrient management (INM) involving organic manures and biofertilizers on the growth, yield, and nutrient uptake of Rabi onion over two consecutive </w:t>
      </w:r>
      <w:r w:rsidR="00BB4D40" w:rsidRPr="009C4193">
        <w:rPr>
          <w:b/>
          <w:bCs/>
          <w:i/>
          <w:iCs/>
          <w:lang w:val="en-IN"/>
        </w:rPr>
        <w:t>r</w:t>
      </w:r>
      <w:proofErr w:type="spellStart"/>
      <w:r w:rsidRPr="009C4193">
        <w:rPr>
          <w:i/>
          <w:iCs/>
          <w:color w:val="156082" w:themeColor="accent1"/>
        </w:rPr>
        <w:t>abi</w:t>
      </w:r>
      <w:proofErr w:type="spellEnd"/>
      <w:r w:rsidRPr="009C4193">
        <w:rPr>
          <w:color w:val="156082" w:themeColor="accent1"/>
        </w:rPr>
        <w:t xml:space="preserve"> seasons</w:t>
      </w:r>
      <w:r w:rsidRPr="009C4193">
        <w:t xml:space="preserve"> (2019–2021) at Post Graduate College, Ghazipur, Uttar Pradesh. The experiment, laid out in a factorial randomized block design, assessed twelve treatment combinations of chemical fertilizers, farmyard manure (FYM), vermicompost, Azotobacter, and phosphate-solubilizing bacteria (PSB). Results revealed that treatment T8 (50% N from FYM + 50% N from fertilizers + 100% PK + Azotobacter) consistently outperformed others in terms of plant height, number of leaves, bulb size, shoot biomass, and overall yield (275.16 q/ha). INM treatments significantly improved physiological and yield parameters, with organic and microbial inputs enhancing soil fertility and nutrient efficiency. The findings highlight the agronomic and environmental benefits of integrating organic and biofertilizer-based nutrient sources for sustainable onion cultivation, particularly under semi-arid conditions.</w:t>
      </w:r>
    </w:p>
    <w:p w14:paraId="3BF50852" w14:textId="2AB9459B" w:rsidR="004171B1" w:rsidRPr="009C4193" w:rsidRDefault="004171B1">
      <w:pPr>
        <w:pStyle w:val="NormalWeb"/>
        <w:spacing w:before="0" w:beforeAutospacing="0" w:after="0" w:afterAutospacing="0" w:line="480" w:lineRule="auto"/>
        <w:jc w:val="both"/>
      </w:pPr>
      <w:r>
        <w:t xml:space="preserve">KEYWORDS: </w:t>
      </w:r>
      <w:proofErr w:type="spellStart"/>
      <w:r w:rsidRPr="004171B1">
        <w:t>rabi</w:t>
      </w:r>
      <w:proofErr w:type="spellEnd"/>
      <w:r w:rsidRPr="004171B1">
        <w:t xml:space="preserve"> Onion</w:t>
      </w:r>
      <w:r>
        <w:t>,</w:t>
      </w:r>
      <w:r w:rsidRPr="004171B1">
        <w:t xml:space="preserve"> organic</w:t>
      </w:r>
      <w:r>
        <w:t xml:space="preserve">, </w:t>
      </w:r>
      <w:r w:rsidRPr="004171B1">
        <w:t>microbial</w:t>
      </w:r>
      <w:r>
        <w:t>,</w:t>
      </w:r>
      <w:r w:rsidRPr="004171B1">
        <w:t xml:space="preserve"> fertilizers</w:t>
      </w:r>
      <w:r>
        <w:t>,</w:t>
      </w:r>
      <w:r w:rsidRPr="004171B1">
        <w:t xml:space="preserve"> phosphate-solubilizing bacteria</w:t>
      </w:r>
    </w:p>
    <w:p w14:paraId="23FE3678" w14:textId="77777777" w:rsidR="00977058" w:rsidRPr="009C4193" w:rsidRDefault="0056669F">
      <w:pPr>
        <w:spacing w:after="0" w:line="480" w:lineRule="auto"/>
        <w:rPr>
          <w:rFonts w:ascii="Times New Roman" w:hAnsi="Times New Roman" w:cs="Times New Roman"/>
          <w:b/>
          <w:bCs/>
          <w:sz w:val="24"/>
          <w:szCs w:val="24"/>
        </w:rPr>
      </w:pPr>
      <w:r w:rsidRPr="009C4193">
        <w:rPr>
          <w:rFonts w:ascii="Times New Roman" w:hAnsi="Times New Roman" w:cs="Times New Roman"/>
          <w:b/>
          <w:bCs/>
          <w:sz w:val="24"/>
          <w:szCs w:val="24"/>
        </w:rPr>
        <w:t xml:space="preserve">Introduction </w:t>
      </w:r>
    </w:p>
    <w:p w14:paraId="07F4D861" w14:textId="5854811B" w:rsidR="00977058" w:rsidRPr="009C4193" w:rsidRDefault="005E0640">
      <w:pPr>
        <w:pStyle w:val="NormalWeb"/>
        <w:spacing w:before="0" w:beforeAutospacing="0" w:after="0" w:afterAutospacing="0" w:line="480" w:lineRule="auto"/>
        <w:jc w:val="both"/>
      </w:pPr>
      <w:r>
        <w:t>“</w:t>
      </w:r>
      <w:r w:rsidR="0056669F" w:rsidRPr="009C4193">
        <w:t>Onion (</w:t>
      </w:r>
      <w:r w:rsidR="0056669F" w:rsidRPr="009C4193">
        <w:rPr>
          <w:i/>
          <w:iCs/>
        </w:rPr>
        <w:t xml:space="preserve">Allium </w:t>
      </w:r>
      <w:proofErr w:type="spellStart"/>
      <w:r w:rsidR="0056669F" w:rsidRPr="009C4193">
        <w:rPr>
          <w:i/>
          <w:iCs/>
        </w:rPr>
        <w:t>cepa</w:t>
      </w:r>
      <w:proofErr w:type="spellEnd"/>
      <w:r w:rsidR="0056669F" w:rsidRPr="009C4193">
        <w:t xml:space="preserve"> L.) is a vital commercial vegetable cum condiment crop cultivated extensively across the globe, including India. It belongs to the family Alliaceae and is a bulbous biennial herb, where the edible part is a modified underground stem, commonly referred to as the bulb. Renowned for its unique flavor and pungency, primarily attributed to the volatile </w:t>
      </w:r>
      <w:r w:rsidR="0056669F" w:rsidRPr="009C4193">
        <w:lastRenderedPageBreak/>
        <w:t xml:space="preserve">sulfur compound allyl propyl </w:t>
      </w:r>
      <w:proofErr w:type="spellStart"/>
      <w:r w:rsidR="0056669F" w:rsidRPr="009C4193">
        <w:t>disulphide</w:t>
      </w:r>
      <w:proofErr w:type="spellEnd"/>
      <w:r>
        <w:t>”</w:t>
      </w:r>
      <w:r w:rsidR="0056669F" w:rsidRPr="009C4193">
        <w:t xml:space="preserve"> [1, 2], onion plays an indispensable role in kitchens worldwide, earning it the epithet “Queen of Kitchen.” It is used year-round in various forms—as a fresh vegetable, in salads, and as a flavoring agent in soups, sauces, curries, pickles, and other culinary preparations. </w:t>
      </w:r>
    </w:p>
    <w:p w14:paraId="225F0C5A" w14:textId="604C144E" w:rsidR="00977058" w:rsidRPr="009C4193" w:rsidRDefault="005E0640">
      <w:pPr>
        <w:pStyle w:val="NormalWeb"/>
        <w:spacing w:before="0" w:beforeAutospacing="0" w:after="0" w:afterAutospacing="0" w:line="480" w:lineRule="auto"/>
        <w:jc w:val="both"/>
      </w:pPr>
      <w:r>
        <w:t>“</w:t>
      </w:r>
      <w:r w:rsidR="0056669F" w:rsidRPr="009C4193">
        <w:t>Beyond its culinary importance, onion also holds significant medicinal value. It has traditionally been used to treat ailments such as sunstroke, high cholesterol, weakness, bronchitis, and digestive issues due to its ability to stimulate appetite and suppress gas formation</w:t>
      </w:r>
      <w:r>
        <w:t>”</w:t>
      </w:r>
      <w:r w:rsidR="0056669F" w:rsidRPr="009C4193">
        <w:t xml:space="preserve"> [3, 1, 4]. </w:t>
      </w:r>
      <w:r>
        <w:t>“</w:t>
      </w:r>
      <w:r w:rsidR="0056669F" w:rsidRPr="009C4193">
        <w:t>The pungency is due to sulfur-bearing compounds, while the outer skin's color results from the pigment quercetin. Onion bulbs are rich in vital nutrients, including carbohydrates (11.0 g/100 g), protein (1.2 g/100 g), vitamin C (11 mg/100 g), fiber (0.6 g/100 g), and minerals such as phosphorus (50 mg/100 g), iron (0.7 mg/100 g), calcium (18 mg/100 g), and nicotinic acid (0.4 mg/100 g)</w:t>
      </w:r>
      <w:r>
        <w:t>”</w:t>
      </w:r>
      <w:r w:rsidR="0056669F" w:rsidRPr="009C4193">
        <w:t xml:space="preserve"> [5].</w:t>
      </w:r>
    </w:p>
    <w:p w14:paraId="762743A4" w14:textId="09A2C2B0" w:rsidR="00977058" w:rsidRPr="009C4193" w:rsidRDefault="005E0640">
      <w:pPr>
        <w:pStyle w:val="NormalWeb"/>
        <w:spacing w:before="0" w:beforeAutospacing="0" w:after="0" w:afterAutospacing="0" w:line="480" w:lineRule="auto"/>
        <w:jc w:val="both"/>
        <w:rPr>
          <w:b/>
          <w:bCs/>
        </w:rPr>
      </w:pPr>
      <w:r>
        <w:t>“</w:t>
      </w:r>
      <w:r w:rsidR="0056669F" w:rsidRPr="009C4193">
        <w:t>India is the world’s second-largest producer of onions after China, contributing 22.18% of the global cultivation area and 18.78% of production</w:t>
      </w:r>
      <w:r>
        <w:t>”</w:t>
      </w:r>
      <w:r w:rsidR="0056669F" w:rsidRPr="009C4193">
        <w:t xml:space="preserve"> [6]. </w:t>
      </w:r>
      <w:r>
        <w:t>“</w:t>
      </w:r>
      <w:r w:rsidR="0056669F" w:rsidRPr="009C4193">
        <w:t>However, productivity in India remains relatively low at 16.30 t/ha</w:t>
      </w:r>
      <w:r>
        <w:t>”</w:t>
      </w:r>
      <w:r w:rsidR="0056669F" w:rsidRPr="009C4193">
        <w:t xml:space="preserve"> [7, 8], </w:t>
      </w:r>
      <w:r>
        <w:t>“</w:t>
      </w:r>
      <w:r w:rsidR="0056669F" w:rsidRPr="009C4193">
        <w:t>which is significantly below the global average. Major onion-producing states include Maharashtra, Karnataka, Gujarat, Bihar, Madhya Pradesh, Andhra Pradesh, Rajasthan, Haryana, Uttar Pradesh, and Tamil Nadu</w:t>
      </w:r>
      <w:r>
        <w:t>”</w:t>
      </w:r>
      <w:r w:rsidR="0056669F" w:rsidRPr="009C4193">
        <w:t xml:space="preserve"> [9, 10]. </w:t>
      </w:r>
      <w:r>
        <w:t>“</w:t>
      </w:r>
      <w:r w:rsidR="0056669F" w:rsidRPr="009C4193">
        <w:t>Off-season or Rabi cultivation of onion is particularly challenging due to variable climatic conditions, and therefore requires varietal and agronomic standardization</w:t>
      </w:r>
      <w:r>
        <w:t>”</w:t>
      </w:r>
      <w:r w:rsidR="0056669F" w:rsidRPr="009C4193">
        <w:t xml:space="preserve"> [9, 10]. </w:t>
      </w:r>
      <w:r>
        <w:t>“</w:t>
      </w:r>
      <w:r w:rsidR="0056669F" w:rsidRPr="009C4193">
        <w:t xml:space="preserve">An important agronomic advantage of onion is its relatively low water requirement, making it more water-efficient compared to many cereal </w:t>
      </w:r>
      <w:proofErr w:type="gramStart"/>
      <w:r w:rsidR="0056669F" w:rsidRPr="009C4193">
        <w:t>crops</w:t>
      </w:r>
      <w:r>
        <w:t>”</w:t>
      </w:r>
      <w:r w:rsidR="0056669F" w:rsidRPr="009C4193">
        <w:t xml:space="preserve">  [</w:t>
      </w:r>
      <w:proofErr w:type="gramEnd"/>
      <w:r w:rsidR="0056669F" w:rsidRPr="009C4193">
        <w:t>11, 12, 13, 14, 15, 16, 17, 18, 19, 20, 21, 22, 23, 24, 25]. This characteristic makes onion a suitable crop for regions facing water scarcity or aiming for more sustainable irrigation practices.</w:t>
      </w:r>
    </w:p>
    <w:p w14:paraId="4BF9C622" w14:textId="19B17724" w:rsidR="00977058" w:rsidRPr="009C4193" w:rsidRDefault="005E0640">
      <w:pPr>
        <w:pStyle w:val="NormalWeb"/>
        <w:spacing w:before="0" w:beforeAutospacing="0" w:after="0" w:afterAutospacing="0" w:line="480" w:lineRule="auto"/>
        <w:jc w:val="both"/>
      </w:pPr>
      <w:r>
        <w:t>“</w:t>
      </w:r>
      <w:r w:rsidR="0056669F" w:rsidRPr="009C4193">
        <w:t>One of the major constraints in onion productivity is imbalanced and excessive use of chemical fertilizers, which leads to the deterioration of soil health, yield stagnation, and poor-</w:t>
      </w:r>
      <w:r w:rsidR="0056669F" w:rsidRPr="009C4193">
        <w:lastRenderedPageBreak/>
        <w:t>quality produce</w:t>
      </w:r>
      <w:r>
        <w:t>”</w:t>
      </w:r>
      <w:r w:rsidR="0056669F" w:rsidRPr="009C4193">
        <w:t xml:space="preserve"> [8, 26]. </w:t>
      </w:r>
      <w:r>
        <w:t>“</w:t>
      </w:r>
      <w:r w:rsidR="0056669F" w:rsidRPr="009C4193">
        <w:t>In this context, organic farming practices, particularly the use of organic manures and biofertilizers, offer an eco-friendly and sustainable alternative. Organic amendments such as farmyard manure (FYM) improve soil structure, tilth, and water retention by promoting polysaccharide production and aggregation of fine soil particles</w:t>
      </w:r>
      <w:r>
        <w:t>”</w:t>
      </w:r>
      <w:r w:rsidR="0056669F" w:rsidRPr="009C4193">
        <w:t xml:space="preserve"> [27]. </w:t>
      </w:r>
      <w:r>
        <w:t>“</w:t>
      </w:r>
      <w:r w:rsidR="0056669F" w:rsidRPr="009C4193">
        <w:t>Vermicompost, another effective organic fertilizer, consists of nutrient-rich, peat-like material processed by earthworms, with high porosity, water-holding capacity, and aeration. It supplies readily available nutrients like nitrate, exchangeable phosphorus, potassium, calcium, and magnesium</w:t>
      </w:r>
      <w:r>
        <w:t>”</w:t>
      </w:r>
      <w:r w:rsidR="0056669F" w:rsidRPr="009C4193">
        <w:t xml:space="preserve"> [28].</w:t>
      </w:r>
    </w:p>
    <w:p w14:paraId="16DBFD80" w14:textId="2A0FF716" w:rsidR="00977058" w:rsidRPr="009C4193" w:rsidRDefault="005E0640">
      <w:pPr>
        <w:pStyle w:val="NormalWeb"/>
        <w:spacing w:before="0" w:beforeAutospacing="0" w:after="0" w:afterAutospacing="0" w:line="480" w:lineRule="auto"/>
        <w:jc w:val="both"/>
      </w:pPr>
      <w:r>
        <w:t>“</w:t>
      </w:r>
      <w:r w:rsidR="0056669F" w:rsidRPr="009C4193">
        <w:t>Poultry manure, containing approximately 1.30% nitrogen, 1.80% P₂O₅, and 0.8% K₂O, is another valuable organic input, also providing essential micronutrients</w:t>
      </w:r>
      <w:r>
        <w:t>”</w:t>
      </w:r>
      <w:r w:rsidR="0056669F" w:rsidRPr="009C4193">
        <w:t xml:space="preserve"> [29]. </w:t>
      </w:r>
      <w:r>
        <w:t>“</w:t>
      </w:r>
      <w:r w:rsidR="0056669F" w:rsidRPr="009C4193">
        <w:t>Its application improves nutrient uptake and plant growth</w:t>
      </w:r>
      <w:r>
        <w:t>”</w:t>
      </w:r>
      <w:r w:rsidR="0056669F" w:rsidRPr="009C4193">
        <w:t xml:space="preserve"> [30, 31]. </w:t>
      </w:r>
      <w:r>
        <w:t>“</w:t>
      </w:r>
      <w:r w:rsidR="0056669F" w:rsidRPr="009C4193">
        <w:t xml:space="preserve">Additionally, biofertilizers offer a sustainable means of nutrient supply. These inoculants contain microorganisms capable of converting unavailable nutrients into forms accessible to plants. </w:t>
      </w:r>
      <w:proofErr w:type="spellStart"/>
      <w:r w:rsidR="0056669F" w:rsidRPr="009C4193">
        <w:t>Azospirillum</w:t>
      </w:r>
      <w:proofErr w:type="spellEnd"/>
      <w:r w:rsidR="0056669F" w:rsidRPr="009C4193">
        <w:t>, a nitrogen-fixing bacterium that colonizes the root zones of plants, can supply 10 to 40 kg N ha⁻¹, reducing the need for synthetic nitrogen fertilizers by 20–30%</w:t>
      </w:r>
      <w:r>
        <w:t>”</w:t>
      </w:r>
      <w:r w:rsidR="0056669F" w:rsidRPr="009C4193">
        <w:t xml:space="preserve"> [32]. </w:t>
      </w:r>
      <w:r>
        <w:t>“</w:t>
      </w:r>
      <w:r w:rsidR="0056669F" w:rsidRPr="009C4193">
        <w:t>Phosphate-solubilizing bacteria (PSB) convert insoluble soil phosphorus into soluble forms, potentially increasing yields by 10–30</w:t>
      </w:r>
      <w:proofErr w:type="gramStart"/>
      <w:r w:rsidR="0056669F" w:rsidRPr="009C4193">
        <w:t>%</w:t>
      </w:r>
      <w:r>
        <w:t>”</w:t>
      </w:r>
      <w:bookmarkStart w:id="1" w:name="_GoBack"/>
      <w:bookmarkEnd w:id="1"/>
      <w:r w:rsidR="0056669F" w:rsidRPr="009C4193">
        <w:t xml:space="preserve">  [</w:t>
      </w:r>
      <w:proofErr w:type="gramEnd"/>
      <w:r w:rsidR="0056669F" w:rsidRPr="009C4193">
        <w:t>33</w:t>
      </w:r>
      <w:r w:rsidR="00BB4D40" w:rsidRPr="009C4193">
        <w:t>, 84, 85</w:t>
      </w:r>
      <w:r w:rsidR="0056669F" w:rsidRPr="009C4193">
        <w:t>]. These bio-agents are environmentally benign and support long-term soil fertility by improving nutrient availability and promoting plant growth hormones.</w:t>
      </w:r>
    </w:p>
    <w:p w14:paraId="7D520205" w14:textId="77777777" w:rsidR="00977058" w:rsidRPr="009C4193" w:rsidRDefault="0056669F">
      <w:pPr>
        <w:pStyle w:val="NormalWeb"/>
        <w:spacing w:before="0" w:beforeAutospacing="0" w:after="0" w:afterAutospacing="0" w:line="480" w:lineRule="auto"/>
        <w:jc w:val="both"/>
      </w:pPr>
      <w:r w:rsidRPr="009C4193">
        <w:t xml:space="preserve">Despite the known benefits, research on the integrated use of organic manures and biofertilizers in onion cultivation, particularly under Rabi conditions in Rajasthan, remains sparse. Given the nutritional, economic, and medicinal importance of onion, there is an urgent need to develop sustainable production strategies that optimize nutrient use efficiency while conserving soil and water resources. Therefore, the present investigation was undertaken to evaluate the effect of different organic manures and biofertilizers on the growth, yield, and nutrient uptake of Rabi </w:t>
      </w:r>
      <w:r w:rsidRPr="009C4193">
        <w:lastRenderedPageBreak/>
        <w:t>onion. This study aims to address the critical gaps in nutrient management practices and contribute to a more sustainable and productive onion cultivation system in India.</w:t>
      </w:r>
    </w:p>
    <w:p w14:paraId="59383694" w14:textId="77777777" w:rsidR="00977058" w:rsidRPr="009C4193" w:rsidRDefault="0056669F">
      <w:pPr>
        <w:spacing w:after="0" w:line="480" w:lineRule="auto"/>
        <w:rPr>
          <w:rFonts w:ascii="Times New Roman" w:hAnsi="Times New Roman" w:cs="Times New Roman"/>
          <w:b/>
          <w:bCs/>
          <w:sz w:val="24"/>
          <w:szCs w:val="24"/>
        </w:rPr>
      </w:pPr>
      <w:r w:rsidRPr="009C4193">
        <w:rPr>
          <w:rFonts w:ascii="Times New Roman" w:hAnsi="Times New Roman" w:cs="Times New Roman"/>
          <w:b/>
          <w:bCs/>
          <w:sz w:val="24"/>
          <w:szCs w:val="24"/>
        </w:rPr>
        <w:t xml:space="preserve">Material and Methods </w:t>
      </w:r>
    </w:p>
    <w:p w14:paraId="10DE0170" w14:textId="77777777" w:rsidR="00977058" w:rsidRPr="009C4193" w:rsidRDefault="0056669F">
      <w:pPr>
        <w:spacing w:after="0" w:line="480" w:lineRule="auto"/>
        <w:jc w:val="both"/>
        <w:rPr>
          <w:rFonts w:ascii="Times New Roman" w:hAnsi="Times New Roman" w:cs="Times New Roman"/>
          <w:b/>
          <w:bCs/>
          <w:sz w:val="24"/>
          <w:szCs w:val="24"/>
        </w:rPr>
      </w:pPr>
      <w:r w:rsidRPr="009C4193">
        <w:rPr>
          <w:rFonts w:ascii="Times New Roman" w:hAnsi="Times New Roman" w:cs="Times New Roman"/>
          <w:b/>
          <w:bCs/>
          <w:sz w:val="24"/>
          <w:szCs w:val="24"/>
        </w:rPr>
        <w:t xml:space="preserve">Experimental Site </w:t>
      </w:r>
    </w:p>
    <w:p w14:paraId="3984CEB2" w14:textId="77777777" w:rsidR="00977058" w:rsidRPr="009C4193" w:rsidRDefault="0056669F">
      <w:pPr>
        <w:spacing w:after="0" w:line="480" w:lineRule="auto"/>
        <w:jc w:val="both"/>
        <w:rPr>
          <w:rFonts w:ascii="Times New Roman" w:hAnsi="Times New Roman" w:cs="Times New Roman"/>
          <w:sz w:val="24"/>
          <w:szCs w:val="24"/>
        </w:rPr>
      </w:pPr>
      <w:r w:rsidRPr="009C4193">
        <w:rPr>
          <w:rFonts w:ascii="Times New Roman" w:hAnsi="Times New Roman" w:cs="Times New Roman"/>
          <w:sz w:val="24"/>
          <w:szCs w:val="24"/>
        </w:rPr>
        <w:t xml:space="preserve">The field experiment was conducted over two consecutive Rabi seasons, 2019–2020 and 2020–2021, at the research farm of Post Graduate College, Ghazipur, Uttar Pradesh, India (Figure 1). The site is situated in the Eastern Plain </w:t>
      </w:r>
      <w:proofErr w:type="spellStart"/>
      <w:r w:rsidRPr="009C4193">
        <w:rPr>
          <w:rFonts w:ascii="Times New Roman" w:hAnsi="Times New Roman" w:cs="Times New Roman"/>
          <w:sz w:val="24"/>
          <w:szCs w:val="24"/>
        </w:rPr>
        <w:t>Agro</w:t>
      </w:r>
      <w:proofErr w:type="spellEnd"/>
      <w:r w:rsidRPr="009C4193">
        <w:rPr>
          <w:rFonts w:ascii="Times New Roman" w:hAnsi="Times New Roman" w:cs="Times New Roman"/>
          <w:sz w:val="24"/>
          <w:szCs w:val="24"/>
        </w:rPr>
        <w:t>-Climatic Zone of India at a geographical coordinate of 25.5610° N latitude and 83.5493° E longitude, with an elevation of 68.89 meters above mean sea level. The soil at the site belongs to the alluvial Gangetic plains and is classified as sandy loam in texture. Ghazipur falls under a humid subtropical climate zone, characterized by hot summers, cold winters, and monsoon-dominated precipitation. The annual average rainfall is approximately 1000–1100 mm, with nearly 80–90% received between July and September. The region experiences high summer temperatures reaching 44–45°C and winter temperatures that occasionally drop to 3–4°C, with prevalent foggy conditions in the early mornings of December and January. Meteorological observations recorded during the experimental years 2021 and 2022 are presented in Table 1.</w:t>
      </w:r>
    </w:p>
    <w:p w14:paraId="56CFC35C" w14:textId="77777777" w:rsidR="00977058" w:rsidRPr="009C4193" w:rsidRDefault="0056669F">
      <w:pPr>
        <w:spacing w:after="0" w:line="480" w:lineRule="auto"/>
        <w:jc w:val="both"/>
        <w:rPr>
          <w:rFonts w:ascii="Times New Roman" w:hAnsi="Times New Roman" w:cs="Times New Roman"/>
          <w:sz w:val="24"/>
          <w:szCs w:val="24"/>
        </w:rPr>
      </w:pPr>
      <w:r w:rsidRPr="009C4193">
        <w:rPr>
          <w:rFonts w:ascii="Times New Roman" w:hAnsi="Times New Roman" w:cs="Times New Roman"/>
          <w:b/>
          <w:bCs/>
          <w:noProof/>
          <w:sz w:val="24"/>
          <w:szCs w:val="24"/>
        </w:rPr>
        <w:lastRenderedPageBreak/>
        <w:drawing>
          <wp:inline distT="0" distB="0" distL="0" distR="0" wp14:anchorId="43F2C64A" wp14:editId="53ADD44E">
            <wp:extent cx="5731510" cy="4031615"/>
            <wp:effectExtent l="0" t="0" r="2540" b="6985"/>
            <wp:docPr id="4966100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10002"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b="29349"/>
                    <a:stretch>
                      <a:fillRect/>
                    </a:stretch>
                  </pic:blipFill>
                  <pic:spPr>
                    <a:xfrm>
                      <a:off x="0" y="0"/>
                      <a:ext cx="5731510" cy="4031919"/>
                    </a:xfrm>
                    <a:prstGeom prst="rect">
                      <a:avLst/>
                    </a:prstGeom>
                    <a:noFill/>
                    <a:ln>
                      <a:noFill/>
                    </a:ln>
                  </pic:spPr>
                </pic:pic>
              </a:graphicData>
            </a:graphic>
          </wp:inline>
        </w:drawing>
      </w:r>
    </w:p>
    <w:p w14:paraId="58A579E3" w14:textId="77777777" w:rsidR="00977058" w:rsidRPr="009C4193" w:rsidRDefault="0056669F">
      <w:pPr>
        <w:spacing w:after="0" w:line="480" w:lineRule="auto"/>
        <w:jc w:val="both"/>
        <w:rPr>
          <w:rFonts w:ascii="Times New Roman" w:hAnsi="Times New Roman" w:cs="Times New Roman"/>
          <w:sz w:val="24"/>
          <w:szCs w:val="24"/>
        </w:rPr>
      </w:pPr>
      <w:r w:rsidRPr="009C4193">
        <w:rPr>
          <w:rFonts w:ascii="Times New Roman" w:hAnsi="Times New Roman" w:cs="Times New Roman"/>
          <w:b/>
          <w:bCs/>
          <w:sz w:val="24"/>
          <w:szCs w:val="24"/>
        </w:rPr>
        <w:t xml:space="preserve">Figure 1 </w:t>
      </w:r>
      <w:r w:rsidRPr="009C4193">
        <w:rPr>
          <w:rFonts w:ascii="Times New Roman" w:hAnsi="Times New Roman" w:cs="Times New Roman"/>
          <w:sz w:val="24"/>
          <w:szCs w:val="24"/>
        </w:rPr>
        <w:t>Location of the field experiment a) Uttar Pradesh map, b) Ghazipur district map and c) pictorial view of field experiment plot</w:t>
      </w:r>
    </w:p>
    <w:p w14:paraId="37706C46" w14:textId="77777777" w:rsidR="00977058" w:rsidRPr="009C4193" w:rsidRDefault="0056669F">
      <w:pPr>
        <w:spacing w:after="0" w:line="480" w:lineRule="auto"/>
        <w:jc w:val="both"/>
        <w:rPr>
          <w:rFonts w:ascii="Times New Roman" w:hAnsi="Times New Roman" w:cs="Times New Roman"/>
          <w:sz w:val="24"/>
          <w:szCs w:val="24"/>
        </w:rPr>
      </w:pPr>
      <w:r w:rsidRPr="009C4193">
        <w:rPr>
          <w:rFonts w:ascii="Times New Roman" w:hAnsi="Times New Roman" w:cs="Times New Roman"/>
          <w:b/>
          <w:bCs/>
          <w:sz w:val="24"/>
          <w:szCs w:val="24"/>
        </w:rPr>
        <w:t>Table 1</w:t>
      </w:r>
      <w:r w:rsidRPr="009C4193">
        <w:rPr>
          <w:rFonts w:ascii="Times New Roman" w:hAnsi="Times New Roman" w:cs="Times New Roman"/>
          <w:sz w:val="24"/>
          <w:szCs w:val="24"/>
        </w:rPr>
        <w:t xml:space="preserve"> Meteorological observations during 2021 and 2022 of Post Graduate College, Ghazipur, Uttar Pradesh</w:t>
      </w:r>
    </w:p>
    <w:tbl>
      <w:tblPr>
        <w:tblStyle w:val="TableGrid"/>
        <w:tblW w:w="98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1097"/>
        <w:gridCol w:w="1102"/>
        <w:gridCol w:w="1070"/>
        <w:gridCol w:w="1073"/>
        <w:gridCol w:w="1070"/>
        <w:gridCol w:w="1074"/>
        <w:gridCol w:w="1070"/>
        <w:gridCol w:w="1073"/>
      </w:tblGrid>
      <w:tr w:rsidR="00977058" w:rsidRPr="009C4193" w14:paraId="5DB504E2" w14:textId="77777777">
        <w:trPr>
          <w:trHeight w:val="114"/>
        </w:trPr>
        <w:tc>
          <w:tcPr>
            <w:tcW w:w="1242" w:type="dxa"/>
            <w:vMerge w:val="restart"/>
            <w:tcBorders>
              <w:top w:val="single" w:sz="4" w:space="0" w:color="auto"/>
              <w:bottom w:val="single" w:sz="4" w:space="0" w:color="auto"/>
            </w:tcBorders>
            <w:vAlign w:val="center"/>
          </w:tcPr>
          <w:p w14:paraId="6EF677C4"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Months</w:t>
            </w:r>
          </w:p>
        </w:tc>
        <w:tc>
          <w:tcPr>
            <w:tcW w:w="2199" w:type="dxa"/>
            <w:gridSpan w:val="2"/>
            <w:vMerge w:val="restart"/>
            <w:tcBorders>
              <w:top w:val="single" w:sz="4" w:space="0" w:color="auto"/>
              <w:bottom w:val="single" w:sz="4" w:space="0" w:color="auto"/>
            </w:tcBorders>
            <w:vAlign w:val="center"/>
          </w:tcPr>
          <w:p w14:paraId="005D9F34"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Rainfall (mm)</w:t>
            </w:r>
          </w:p>
        </w:tc>
        <w:tc>
          <w:tcPr>
            <w:tcW w:w="4287" w:type="dxa"/>
            <w:gridSpan w:val="4"/>
            <w:tcBorders>
              <w:top w:val="single" w:sz="4" w:space="0" w:color="auto"/>
              <w:bottom w:val="single" w:sz="4" w:space="0" w:color="auto"/>
            </w:tcBorders>
            <w:vAlign w:val="center"/>
          </w:tcPr>
          <w:p w14:paraId="22B15141"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Temperature</w:t>
            </w:r>
          </w:p>
        </w:tc>
        <w:tc>
          <w:tcPr>
            <w:tcW w:w="2143" w:type="dxa"/>
            <w:gridSpan w:val="2"/>
            <w:vMerge w:val="restart"/>
            <w:tcBorders>
              <w:top w:val="single" w:sz="4" w:space="0" w:color="auto"/>
              <w:bottom w:val="single" w:sz="4" w:space="0" w:color="auto"/>
            </w:tcBorders>
            <w:vAlign w:val="center"/>
          </w:tcPr>
          <w:p w14:paraId="0786E969"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Min. Relative Humidity</w:t>
            </w:r>
          </w:p>
        </w:tc>
      </w:tr>
      <w:tr w:rsidR="00977058" w:rsidRPr="009C4193" w14:paraId="66D89B56" w14:textId="77777777">
        <w:trPr>
          <w:trHeight w:val="78"/>
        </w:trPr>
        <w:tc>
          <w:tcPr>
            <w:tcW w:w="1242" w:type="dxa"/>
            <w:vMerge/>
            <w:tcBorders>
              <w:top w:val="single" w:sz="4" w:space="0" w:color="auto"/>
              <w:bottom w:val="single" w:sz="4" w:space="0" w:color="auto"/>
            </w:tcBorders>
            <w:vAlign w:val="center"/>
          </w:tcPr>
          <w:p w14:paraId="04894499" w14:textId="77777777" w:rsidR="00977058" w:rsidRPr="009C4193" w:rsidRDefault="00977058">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p>
        </w:tc>
        <w:tc>
          <w:tcPr>
            <w:tcW w:w="2199" w:type="dxa"/>
            <w:gridSpan w:val="2"/>
            <w:vMerge/>
            <w:tcBorders>
              <w:top w:val="single" w:sz="4" w:space="0" w:color="auto"/>
              <w:bottom w:val="single" w:sz="4" w:space="0" w:color="auto"/>
            </w:tcBorders>
            <w:vAlign w:val="center"/>
          </w:tcPr>
          <w:p w14:paraId="211943AD" w14:textId="77777777" w:rsidR="00977058" w:rsidRPr="009C4193" w:rsidRDefault="00977058">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p>
        </w:tc>
        <w:tc>
          <w:tcPr>
            <w:tcW w:w="2143" w:type="dxa"/>
            <w:gridSpan w:val="2"/>
            <w:tcBorders>
              <w:top w:val="single" w:sz="4" w:space="0" w:color="auto"/>
              <w:bottom w:val="single" w:sz="4" w:space="0" w:color="auto"/>
            </w:tcBorders>
            <w:vAlign w:val="center"/>
          </w:tcPr>
          <w:p w14:paraId="6146101F"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Min. Temp</w:t>
            </w:r>
          </w:p>
        </w:tc>
        <w:tc>
          <w:tcPr>
            <w:tcW w:w="2144" w:type="dxa"/>
            <w:gridSpan w:val="2"/>
            <w:tcBorders>
              <w:top w:val="single" w:sz="4" w:space="0" w:color="auto"/>
              <w:bottom w:val="single" w:sz="4" w:space="0" w:color="auto"/>
            </w:tcBorders>
            <w:vAlign w:val="center"/>
          </w:tcPr>
          <w:p w14:paraId="57E57204"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Max. Temp</w:t>
            </w:r>
          </w:p>
        </w:tc>
        <w:tc>
          <w:tcPr>
            <w:tcW w:w="2143" w:type="dxa"/>
            <w:gridSpan w:val="2"/>
            <w:vMerge/>
            <w:tcBorders>
              <w:top w:val="single" w:sz="4" w:space="0" w:color="auto"/>
              <w:bottom w:val="single" w:sz="4" w:space="0" w:color="auto"/>
            </w:tcBorders>
            <w:vAlign w:val="center"/>
          </w:tcPr>
          <w:p w14:paraId="1853EDDB" w14:textId="77777777" w:rsidR="00977058" w:rsidRPr="009C4193" w:rsidRDefault="00977058">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p>
        </w:tc>
      </w:tr>
      <w:tr w:rsidR="00977058" w:rsidRPr="009C4193" w14:paraId="77DFD20B" w14:textId="77777777">
        <w:trPr>
          <w:trHeight w:val="26"/>
        </w:trPr>
        <w:tc>
          <w:tcPr>
            <w:tcW w:w="1242" w:type="dxa"/>
            <w:vMerge/>
            <w:tcBorders>
              <w:top w:val="single" w:sz="4" w:space="0" w:color="auto"/>
              <w:bottom w:val="single" w:sz="4" w:space="0" w:color="auto"/>
            </w:tcBorders>
            <w:vAlign w:val="center"/>
          </w:tcPr>
          <w:p w14:paraId="1ECC1599" w14:textId="77777777" w:rsidR="00977058" w:rsidRPr="009C4193" w:rsidRDefault="00977058">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p>
        </w:tc>
        <w:tc>
          <w:tcPr>
            <w:tcW w:w="1097" w:type="dxa"/>
            <w:tcBorders>
              <w:top w:val="single" w:sz="4" w:space="0" w:color="auto"/>
              <w:bottom w:val="single" w:sz="4" w:space="0" w:color="auto"/>
            </w:tcBorders>
            <w:vAlign w:val="center"/>
          </w:tcPr>
          <w:p w14:paraId="166562E1"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2021</w:t>
            </w:r>
          </w:p>
        </w:tc>
        <w:tc>
          <w:tcPr>
            <w:tcW w:w="1101" w:type="dxa"/>
            <w:tcBorders>
              <w:top w:val="single" w:sz="4" w:space="0" w:color="auto"/>
              <w:bottom w:val="single" w:sz="4" w:space="0" w:color="auto"/>
            </w:tcBorders>
            <w:vAlign w:val="center"/>
          </w:tcPr>
          <w:p w14:paraId="4A8F127A"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2022</w:t>
            </w:r>
          </w:p>
        </w:tc>
        <w:tc>
          <w:tcPr>
            <w:tcW w:w="1070" w:type="dxa"/>
            <w:tcBorders>
              <w:top w:val="single" w:sz="4" w:space="0" w:color="auto"/>
              <w:bottom w:val="single" w:sz="4" w:space="0" w:color="auto"/>
            </w:tcBorders>
            <w:vAlign w:val="center"/>
          </w:tcPr>
          <w:p w14:paraId="6DC4A9C2"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2021</w:t>
            </w:r>
          </w:p>
        </w:tc>
        <w:tc>
          <w:tcPr>
            <w:tcW w:w="1072" w:type="dxa"/>
            <w:tcBorders>
              <w:top w:val="single" w:sz="4" w:space="0" w:color="auto"/>
              <w:bottom w:val="single" w:sz="4" w:space="0" w:color="auto"/>
            </w:tcBorders>
            <w:vAlign w:val="center"/>
          </w:tcPr>
          <w:p w14:paraId="2CB176B5"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2022</w:t>
            </w:r>
          </w:p>
        </w:tc>
        <w:tc>
          <w:tcPr>
            <w:tcW w:w="1070" w:type="dxa"/>
            <w:tcBorders>
              <w:top w:val="single" w:sz="4" w:space="0" w:color="auto"/>
              <w:bottom w:val="single" w:sz="4" w:space="0" w:color="auto"/>
            </w:tcBorders>
            <w:vAlign w:val="center"/>
          </w:tcPr>
          <w:p w14:paraId="2F23C1B7"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2021</w:t>
            </w:r>
          </w:p>
        </w:tc>
        <w:tc>
          <w:tcPr>
            <w:tcW w:w="1073" w:type="dxa"/>
            <w:tcBorders>
              <w:top w:val="single" w:sz="4" w:space="0" w:color="auto"/>
              <w:bottom w:val="single" w:sz="4" w:space="0" w:color="auto"/>
            </w:tcBorders>
            <w:vAlign w:val="center"/>
          </w:tcPr>
          <w:p w14:paraId="09CB59A8"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2022</w:t>
            </w:r>
          </w:p>
        </w:tc>
        <w:tc>
          <w:tcPr>
            <w:tcW w:w="1070" w:type="dxa"/>
            <w:tcBorders>
              <w:top w:val="single" w:sz="4" w:space="0" w:color="auto"/>
              <w:bottom w:val="single" w:sz="4" w:space="0" w:color="auto"/>
            </w:tcBorders>
            <w:vAlign w:val="center"/>
          </w:tcPr>
          <w:p w14:paraId="593B4325"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2021</w:t>
            </w:r>
          </w:p>
        </w:tc>
        <w:tc>
          <w:tcPr>
            <w:tcW w:w="1072" w:type="dxa"/>
            <w:tcBorders>
              <w:top w:val="single" w:sz="4" w:space="0" w:color="auto"/>
              <w:bottom w:val="single" w:sz="4" w:space="0" w:color="auto"/>
            </w:tcBorders>
            <w:vAlign w:val="center"/>
          </w:tcPr>
          <w:p w14:paraId="518BB65C"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2022</w:t>
            </w:r>
          </w:p>
        </w:tc>
      </w:tr>
      <w:tr w:rsidR="00977058" w:rsidRPr="009C4193" w14:paraId="0E4BD54B" w14:textId="77777777">
        <w:trPr>
          <w:trHeight w:val="268"/>
        </w:trPr>
        <w:tc>
          <w:tcPr>
            <w:tcW w:w="1242" w:type="dxa"/>
            <w:tcBorders>
              <w:top w:val="single" w:sz="4" w:space="0" w:color="auto"/>
            </w:tcBorders>
            <w:vAlign w:val="center"/>
          </w:tcPr>
          <w:p w14:paraId="6089DC0B"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Jan.</w:t>
            </w:r>
          </w:p>
        </w:tc>
        <w:tc>
          <w:tcPr>
            <w:tcW w:w="1097" w:type="dxa"/>
            <w:tcBorders>
              <w:top w:val="single" w:sz="4" w:space="0" w:color="auto"/>
            </w:tcBorders>
            <w:vAlign w:val="center"/>
          </w:tcPr>
          <w:p w14:paraId="23CB6924"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16.5</w:t>
            </w:r>
          </w:p>
        </w:tc>
        <w:tc>
          <w:tcPr>
            <w:tcW w:w="1101" w:type="dxa"/>
            <w:tcBorders>
              <w:top w:val="single" w:sz="4" w:space="0" w:color="auto"/>
            </w:tcBorders>
            <w:vAlign w:val="center"/>
          </w:tcPr>
          <w:p w14:paraId="4D8D4712"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32.0</w:t>
            </w:r>
          </w:p>
        </w:tc>
        <w:tc>
          <w:tcPr>
            <w:tcW w:w="1070" w:type="dxa"/>
            <w:tcBorders>
              <w:top w:val="single" w:sz="4" w:space="0" w:color="auto"/>
            </w:tcBorders>
            <w:vAlign w:val="center"/>
          </w:tcPr>
          <w:p w14:paraId="3FEC51D5"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6.0</w:t>
            </w:r>
          </w:p>
        </w:tc>
        <w:tc>
          <w:tcPr>
            <w:tcW w:w="1072" w:type="dxa"/>
            <w:tcBorders>
              <w:top w:val="single" w:sz="4" w:space="0" w:color="auto"/>
            </w:tcBorders>
            <w:vAlign w:val="center"/>
          </w:tcPr>
          <w:p w14:paraId="680C3F7A"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5.0</w:t>
            </w:r>
          </w:p>
        </w:tc>
        <w:tc>
          <w:tcPr>
            <w:tcW w:w="1070" w:type="dxa"/>
            <w:tcBorders>
              <w:top w:val="single" w:sz="4" w:space="0" w:color="auto"/>
            </w:tcBorders>
            <w:vAlign w:val="center"/>
          </w:tcPr>
          <w:p w14:paraId="38EC2920"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22.8</w:t>
            </w:r>
          </w:p>
        </w:tc>
        <w:tc>
          <w:tcPr>
            <w:tcW w:w="1073" w:type="dxa"/>
            <w:tcBorders>
              <w:top w:val="single" w:sz="4" w:space="0" w:color="auto"/>
            </w:tcBorders>
            <w:vAlign w:val="center"/>
          </w:tcPr>
          <w:p w14:paraId="56F2897D"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23.3</w:t>
            </w:r>
          </w:p>
        </w:tc>
        <w:tc>
          <w:tcPr>
            <w:tcW w:w="1070" w:type="dxa"/>
            <w:tcBorders>
              <w:top w:val="single" w:sz="4" w:space="0" w:color="auto"/>
            </w:tcBorders>
            <w:vAlign w:val="center"/>
          </w:tcPr>
          <w:p w14:paraId="31916A96"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39.0</w:t>
            </w:r>
          </w:p>
        </w:tc>
        <w:tc>
          <w:tcPr>
            <w:tcW w:w="1072" w:type="dxa"/>
            <w:tcBorders>
              <w:top w:val="single" w:sz="4" w:space="0" w:color="auto"/>
            </w:tcBorders>
            <w:vAlign w:val="center"/>
          </w:tcPr>
          <w:p w14:paraId="32B2BEBB"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41.0</w:t>
            </w:r>
          </w:p>
        </w:tc>
      </w:tr>
      <w:tr w:rsidR="00977058" w:rsidRPr="009C4193" w14:paraId="0C4EFDB3" w14:textId="77777777">
        <w:trPr>
          <w:trHeight w:val="127"/>
        </w:trPr>
        <w:tc>
          <w:tcPr>
            <w:tcW w:w="1242" w:type="dxa"/>
            <w:vAlign w:val="center"/>
          </w:tcPr>
          <w:p w14:paraId="0E424B0E"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Feb.</w:t>
            </w:r>
          </w:p>
        </w:tc>
        <w:tc>
          <w:tcPr>
            <w:tcW w:w="1097" w:type="dxa"/>
            <w:vAlign w:val="center"/>
          </w:tcPr>
          <w:p w14:paraId="20462364"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1.5</w:t>
            </w:r>
          </w:p>
        </w:tc>
        <w:tc>
          <w:tcPr>
            <w:tcW w:w="1101" w:type="dxa"/>
            <w:vAlign w:val="center"/>
          </w:tcPr>
          <w:p w14:paraId="3DC87BDC"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6.0</w:t>
            </w:r>
          </w:p>
        </w:tc>
        <w:tc>
          <w:tcPr>
            <w:tcW w:w="1070" w:type="dxa"/>
            <w:vAlign w:val="center"/>
          </w:tcPr>
          <w:p w14:paraId="4F447A2B"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7.8</w:t>
            </w:r>
          </w:p>
        </w:tc>
        <w:tc>
          <w:tcPr>
            <w:tcW w:w="1072" w:type="dxa"/>
            <w:vAlign w:val="center"/>
          </w:tcPr>
          <w:p w14:paraId="110F95E5"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7.3</w:t>
            </w:r>
          </w:p>
        </w:tc>
        <w:tc>
          <w:tcPr>
            <w:tcW w:w="1070" w:type="dxa"/>
            <w:vAlign w:val="center"/>
          </w:tcPr>
          <w:p w14:paraId="1DF6369A"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31.2</w:t>
            </w:r>
          </w:p>
        </w:tc>
        <w:tc>
          <w:tcPr>
            <w:tcW w:w="1073" w:type="dxa"/>
            <w:vAlign w:val="center"/>
          </w:tcPr>
          <w:p w14:paraId="09998592"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30.5</w:t>
            </w:r>
          </w:p>
        </w:tc>
        <w:tc>
          <w:tcPr>
            <w:tcW w:w="1070" w:type="dxa"/>
            <w:vAlign w:val="center"/>
          </w:tcPr>
          <w:p w14:paraId="61A5DA6C"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34.0</w:t>
            </w:r>
          </w:p>
        </w:tc>
        <w:tc>
          <w:tcPr>
            <w:tcW w:w="1072" w:type="dxa"/>
            <w:vAlign w:val="center"/>
          </w:tcPr>
          <w:p w14:paraId="32B95DC4"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26.0</w:t>
            </w:r>
          </w:p>
        </w:tc>
      </w:tr>
      <w:tr w:rsidR="00977058" w:rsidRPr="009C4193" w14:paraId="1D538448" w14:textId="77777777">
        <w:trPr>
          <w:trHeight w:val="268"/>
        </w:trPr>
        <w:tc>
          <w:tcPr>
            <w:tcW w:w="1242" w:type="dxa"/>
            <w:vAlign w:val="center"/>
          </w:tcPr>
          <w:p w14:paraId="4D67792B"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March</w:t>
            </w:r>
          </w:p>
        </w:tc>
        <w:tc>
          <w:tcPr>
            <w:tcW w:w="1097" w:type="dxa"/>
            <w:vAlign w:val="center"/>
          </w:tcPr>
          <w:p w14:paraId="15A048DB"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0.0</w:t>
            </w:r>
          </w:p>
        </w:tc>
        <w:tc>
          <w:tcPr>
            <w:tcW w:w="1101" w:type="dxa"/>
            <w:vAlign w:val="center"/>
          </w:tcPr>
          <w:p w14:paraId="4117B20E"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0.0</w:t>
            </w:r>
          </w:p>
        </w:tc>
        <w:tc>
          <w:tcPr>
            <w:tcW w:w="1070" w:type="dxa"/>
            <w:vAlign w:val="center"/>
          </w:tcPr>
          <w:p w14:paraId="45169B47"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12.2</w:t>
            </w:r>
          </w:p>
        </w:tc>
        <w:tc>
          <w:tcPr>
            <w:tcW w:w="1072" w:type="dxa"/>
            <w:vAlign w:val="center"/>
          </w:tcPr>
          <w:p w14:paraId="0F4FC49E"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12.2</w:t>
            </w:r>
          </w:p>
        </w:tc>
        <w:tc>
          <w:tcPr>
            <w:tcW w:w="1070" w:type="dxa"/>
            <w:vAlign w:val="center"/>
          </w:tcPr>
          <w:p w14:paraId="0236A25E"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38.4</w:t>
            </w:r>
          </w:p>
        </w:tc>
        <w:tc>
          <w:tcPr>
            <w:tcW w:w="1073" w:type="dxa"/>
            <w:vAlign w:val="center"/>
          </w:tcPr>
          <w:p w14:paraId="04FF8FC6"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39.2</w:t>
            </w:r>
          </w:p>
        </w:tc>
        <w:tc>
          <w:tcPr>
            <w:tcW w:w="1070" w:type="dxa"/>
            <w:vAlign w:val="center"/>
          </w:tcPr>
          <w:p w14:paraId="5B3B4512"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16.0</w:t>
            </w:r>
          </w:p>
        </w:tc>
        <w:tc>
          <w:tcPr>
            <w:tcW w:w="1072" w:type="dxa"/>
            <w:vAlign w:val="center"/>
          </w:tcPr>
          <w:p w14:paraId="0BD59F78"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13.0</w:t>
            </w:r>
          </w:p>
        </w:tc>
      </w:tr>
      <w:tr w:rsidR="00977058" w:rsidRPr="009C4193" w14:paraId="6791A6B6" w14:textId="77777777">
        <w:trPr>
          <w:trHeight w:val="268"/>
        </w:trPr>
        <w:tc>
          <w:tcPr>
            <w:tcW w:w="1242" w:type="dxa"/>
            <w:vAlign w:val="center"/>
          </w:tcPr>
          <w:p w14:paraId="28066EC9"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April</w:t>
            </w:r>
          </w:p>
        </w:tc>
        <w:tc>
          <w:tcPr>
            <w:tcW w:w="1097" w:type="dxa"/>
            <w:vAlign w:val="center"/>
          </w:tcPr>
          <w:p w14:paraId="19D4EA71"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0.0</w:t>
            </w:r>
          </w:p>
        </w:tc>
        <w:tc>
          <w:tcPr>
            <w:tcW w:w="1101" w:type="dxa"/>
            <w:vAlign w:val="center"/>
          </w:tcPr>
          <w:p w14:paraId="1832A73A"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0.0</w:t>
            </w:r>
          </w:p>
        </w:tc>
        <w:tc>
          <w:tcPr>
            <w:tcW w:w="1070" w:type="dxa"/>
            <w:vAlign w:val="center"/>
          </w:tcPr>
          <w:p w14:paraId="6A461C0F"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21.8</w:t>
            </w:r>
          </w:p>
        </w:tc>
        <w:tc>
          <w:tcPr>
            <w:tcW w:w="1072" w:type="dxa"/>
            <w:vAlign w:val="center"/>
          </w:tcPr>
          <w:p w14:paraId="1EAF49F0"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19.0</w:t>
            </w:r>
          </w:p>
        </w:tc>
        <w:tc>
          <w:tcPr>
            <w:tcW w:w="1070" w:type="dxa"/>
            <w:vAlign w:val="center"/>
          </w:tcPr>
          <w:p w14:paraId="45B43189"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41.4</w:t>
            </w:r>
          </w:p>
        </w:tc>
        <w:tc>
          <w:tcPr>
            <w:tcW w:w="1073" w:type="dxa"/>
            <w:vAlign w:val="center"/>
          </w:tcPr>
          <w:p w14:paraId="2CDD3B33"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43.8</w:t>
            </w:r>
          </w:p>
        </w:tc>
        <w:tc>
          <w:tcPr>
            <w:tcW w:w="1070" w:type="dxa"/>
            <w:vAlign w:val="center"/>
          </w:tcPr>
          <w:p w14:paraId="3E34D29E"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11.0</w:t>
            </w:r>
          </w:p>
        </w:tc>
        <w:tc>
          <w:tcPr>
            <w:tcW w:w="1072" w:type="dxa"/>
            <w:vAlign w:val="center"/>
          </w:tcPr>
          <w:p w14:paraId="0B80CEFE"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8.0</w:t>
            </w:r>
          </w:p>
        </w:tc>
      </w:tr>
      <w:tr w:rsidR="00977058" w:rsidRPr="009C4193" w14:paraId="13FFC0A7" w14:textId="77777777">
        <w:trPr>
          <w:trHeight w:val="268"/>
        </w:trPr>
        <w:tc>
          <w:tcPr>
            <w:tcW w:w="1242" w:type="dxa"/>
            <w:vAlign w:val="center"/>
          </w:tcPr>
          <w:p w14:paraId="59B5760C"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May</w:t>
            </w:r>
          </w:p>
        </w:tc>
        <w:tc>
          <w:tcPr>
            <w:tcW w:w="1097" w:type="dxa"/>
            <w:vAlign w:val="center"/>
          </w:tcPr>
          <w:p w14:paraId="217E93B6"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41.0</w:t>
            </w:r>
          </w:p>
        </w:tc>
        <w:tc>
          <w:tcPr>
            <w:tcW w:w="1101" w:type="dxa"/>
            <w:vAlign w:val="center"/>
          </w:tcPr>
          <w:p w14:paraId="0FF56F6F"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15.0</w:t>
            </w:r>
          </w:p>
        </w:tc>
        <w:tc>
          <w:tcPr>
            <w:tcW w:w="1070" w:type="dxa"/>
            <w:vAlign w:val="center"/>
          </w:tcPr>
          <w:p w14:paraId="55C09F48"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25.2</w:t>
            </w:r>
          </w:p>
        </w:tc>
        <w:tc>
          <w:tcPr>
            <w:tcW w:w="1072" w:type="dxa"/>
            <w:vAlign w:val="center"/>
          </w:tcPr>
          <w:p w14:paraId="59AB8291"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22.1</w:t>
            </w:r>
          </w:p>
        </w:tc>
        <w:tc>
          <w:tcPr>
            <w:tcW w:w="1070" w:type="dxa"/>
            <w:vAlign w:val="center"/>
          </w:tcPr>
          <w:p w14:paraId="23BCE6B8"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42.8</w:t>
            </w:r>
          </w:p>
        </w:tc>
        <w:tc>
          <w:tcPr>
            <w:tcW w:w="1073" w:type="dxa"/>
            <w:vAlign w:val="center"/>
          </w:tcPr>
          <w:p w14:paraId="20EBE5DB"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44.5</w:t>
            </w:r>
          </w:p>
        </w:tc>
        <w:tc>
          <w:tcPr>
            <w:tcW w:w="1070" w:type="dxa"/>
            <w:vAlign w:val="center"/>
          </w:tcPr>
          <w:p w14:paraId="14DDC134"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23.0</w:t>
            </w:r>
          </w:p>
        </w:tc>
        <w:tc>
          <w:tcPr>
            <w:tcW w:w="1072" w:type="dxa"/>
            <w:vAlign w:val="center"/>
          </w:tcPr>
          <w:p w14:paraId="1A4995AD"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17.0</w:t>
            </w:r>
          </w:p>
        </w:tc>
      </w:tr>
      <w:tr w:rsidR="00977058" w:rsidRPr="009C4193" w14:paraId="12853DD4" w14:textId="77777777">
        <w:trPr>
          <w:trHeight w:val="268"/>
        </w:trPr>
        <w:tc>
          <w:tcPr>
            <w:tcW w:w="1242" w:type="dxa"/>
            <w:vAlign w:val="center"/>
          </w:tcPr>
          <w:p w14:paraId="558E7FFD"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June</w:t>
            </w:r>
          </w:p>
        </w:tc>
        <w:tc>
          <w:tcPr>
            <w:tcW w:w="1097" w:type="dxa"/>
            <w:vAlign w:val="center"/>
          </w:tcPr>
          <w:p w14:paraId="56D0E506"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67.5</w:t>
            </w:r>
          </w:p>
        </w:tc>
        <w:tc>
          <w:tcPr>
            <w:tcW w:w="1101" w:type="dxa"/>
            <w:vAlign w:val="center"/>
          </w:tcPr>
          <w:p w14:paraId="26EF0866"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139.0</w:t>
            </w:r>
          </w:p>
        </w:tc>
        <w:tc>
          <w:tcPr>
            <w:tcW w:w="1070" w:type="dxa"/>
            <w:vAlign w:val="center"/>
          </w:tcPr>
          <w:p w14:paraId="3B21F624"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2.2</w:t>
            </w:r>
          </w:p>
        </w:tc>
        <w:tc>
          <w:tcPr>
            <w:tcW w:w="1072" w:type="dxa"/>
            <w:vAlign w:val="center"/>
          </w:tcPr>
          <w:p w14:paraId="20EC88B0"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24.8</w:t>
            </w:r>
          </w:p>
        </w:tc>
        <w:tc>
          <w:tcPr>
            <w:tcW w:w="1070" w:type="dxa"/>
            <w:vAlign w:val="center"/>
          </w:tcPr>
          <w:p w14:paraId="2D4497F6"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43.4</w:t>
            </w:r>
          </w:p>
        </w:tc>
        <w:tc>
          <w:tcPr>
            <w:tcW w:w="1073" w:type="dxa"/>
            <w:vAlign w:val="center"/>
          </w:tcPr>
          <w:p w14:paraId="3B8691E8"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44.8</w:t>
            </w:r>
          </w:p>
        </w:tc>
        <w:tc>
          <w:tcPr>
            <w:tcW w:w="1070" w:type="dxa"/>
            <w:vAlign w:val="center"/>
          </w:tcPr>
          <w:p w14:paraId="34984D72"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39.0</w:t>
            </w:r>
          </w:p>
        </w:tc>
        <w:tc>
          <w:tcPr>
            <w:tcW w:w="1072" w:type="dxa"/>
            <w:vAlign w:val="center"/>
          </w:tcPr>
          <w:p w14:paraId="51DFD1EC"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13.0</w:t>
            </w:r>
          </w:p>
        </w:tc>
      </w:tr>
      <w:tr w:rsidR="00977058" w:rsidRPr="009C4193" w14:paraId="38EBBF5B" w14:textId="77777777">
        <w:trPr>
          <w:trHeight w:val="264"/>
        </w:trPr>
        <w:tc>
          <w:tcPr>
            <w:tcW w:w="1242" w:type="dxa"/>
            <w:vAlign w:val="center"/>
          </w:tcPr>
          <w:p w14:paraId="1CA1A17E"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July</w:t>
            </w:r>
          </w:p>
        </w:tc>
        <w:tc>
          <w:tcPr>
            <w:tcW w:w="1097" w:type="dxa"/>
            <w:vAlign w:val="center"/>
          </w:tcPr>
          <w:p w14:paraId="7FBD3071"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145.0</w:t>
            </w:r>
          </w:p>
        </w:tc>
        <w:tc>
          <w:tcPr>
            <w:tcW w:w="1101" w:type="dxa"/>
            <w:vAlign w:val="center"/>
          </w:tcPr>
          <w:p w14:paraId="17F85ECE"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108.0</w:t>
            </w:r>
          </w:p>
        </w:tc>
        <w:tc>
          <w:tcPr>
            <w:tcW w:w="1070" w:type="dxa"/>
            <w:vAlign w:val="center"/>
          </w:tcPr>
          <w:p w14:paraId="2E59D323"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26.8</w:t>
            </w:r>
          </w:p>
        </w:tc>
        <w:tc>
          <w:tcPr>
            <w:tcW w:w="1072" w:type="dxa"/>
            <w:vAlign w:val="center"/>
          </w:tcPr>
          <w:p w14:paraId="4705B870"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26.3</w:t>
            </w:r>
          </w:p>
        </w:tc>
        <w:tc>
          <w:tcPr>
            <w:tcW w:w="1070" w:type="dxa"/>
            <w:vAlign w:val="center"/>
          </w:tcPr>
          <w:p w14:paraId="4181688B"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40.2</w:t>
            </w:r>
          </w:p>
        </w:tc>
        <w:tc>
          <w:tcPr>
            <w:tcW w:w="1073" w:type="dxa"/>
            <w:vAlign w:val="center"/>
          </w:tcPr>
          <w:p w14:paraId="1C947DC1"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40.5</w:t>
            </w:r>
          </w:p>
        </w:tc>
        <w:tc>
          <w:tcPr>
            <w:tcW w:w="1070" w:type="dxa"/>
            <w:vAlign w:val="center"/>
          </w:tcPr>
          <w:p w14:paraId="07A9261D"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45.0</w:t>
            </w:r>
          </w:p>
        </w:tc>
        <w:tc>
          <w:tcPr>
            <w:tcW w:w="1072" w:type="dxa"/>
            <w:vAlign w:val="center"/>
          </w:tcPr>
          <w:p w14:paraId="7F27E792"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42.0</w:t>
            </w:r>
          </w:p>
        </w:tc>
      </w:tr>
      <w:tr w:rsidR="00977058" w:rsidRPr="009C4193" w14:paraId="4F9294D6" w14:textId="77777777">
        <w:trPr>
          <w:trHeight w:val="268"/>
        </w:trPr>
        <w:tc>
          <w:tcPr>
            <w:tcW w:w="1242" w:type="dxa"/>
            <w:vAlign w:val="center"/>
          </w:tcPr>
          <w:p w14:paraId="4718CE84"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Aug.</w:t>
            </w:r>
          </w:p>
        </w:tc>
        <w:tc>
          <w:tcPr>
            <w:tcW w:w="1097" w:type="dxa"/>
            <w:vAlign w:val="center"/>
          </w:tcPr>
          <w:p w14:paraId="1DB76A3C"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192.0</w:t>
            </w:r>
          </w:p>
        </w:tc>
        <w:tc>
          <w:tcPr>
            <w:tcW w:w="1101" w:type="dxa"/>
            <w:vAlign w:val="center"/>
          </w:tcPr>
          <w:p w14:paraId="20732FD4"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93.0</w:t>
            </w:r>
          </w:p>
        </w:tc>
        <w:tc>
          <w:tcPr>
            <w:tcW w:w="1070" w:type="dxa"/>
            <w:vAlign w:val="center"/>
          </w:tcPr>
          <w:p w14:paraId="7DFE9C0C"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24.8</w:t>
            </w:r>
          </w:p>
        </w:tc>
        <w:tc>
          <w:tcPr>
            <w:tcW w:w="1072" w:type="dxa"/>
            <w:vAlign w:val="center"/>
          </w:tcPr>
          <w:p w14:paraId="2BB575DE"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25.3</w:t>
            </w:r>
          </w:p>
        </w:tc>
        <w:tc>
          <w:tcPr>
            <w:tcW w:w="1070" w:type="dxa"/>
            <w:vAlign w:val="center"/>
          </w:tcPr>
          <w:p w14:paraId="6B7782B6"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39.2</w:t>
            </w:r>
          </w:p>
        </w:tc>
        <w:tc>
          <w:tcPr>
            <w:tcW w:w="1073" w:type="dxa"/>
            <w:vAlign w:val="center"/>
          </w:tcPr>
          <w:p w14:paraId="62DE81BE"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37.8</w:t>
            </w:r>
          </w:p>
        </w:tc>
        <w:tc>
          <w:tcPr>
            <w:tcW w:w="1070" w:type="dxa"/>
            <w:vAlign w:val="center"/>
          </w:tcPr>
          <w:p w14:paraId="0D243928"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58.0</w:t>
            </w:r>
          </w:p>
        </w:tc>
        <w:tc>
          <w:tcPr>
            <w:tcW w:w="1072" w:type="dxa"/>
            <w:vAlign w:val="center"/>
          </w:tcPr>
          <w:p w14:paraId="41B172EC"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55.0</w:t>
            </w:r>
          </w:p>
        </w:tc>
      </w:tr>
      <w:tr w:rsidR="00977058" w:rsidRPr="009C4193" w14:paraId="07E1D205" w14:textId="77777777">
        <w:trPr>
          <w:trHeight w:val="268"/>
        </w:trPr>
        <w:tc>
          <w:tcPr>
            <w:tcW w:w="1242" w:type="dxa"/>
            <w:vAlign w:val="center"/>
          </w:tcPr>
          <w:p w14:paraId="4564AC0F"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Sept.</w:t>
            </w:r>
          </w:p>
        </w:tc>
        <w:tc>
          <w:tcPr>
            <w:tcW w:w="1097" w:type="dxa"/>
            <w:vAlign w:val="center"/>
          </w:tcPr>
          <w:p w14:paraId="42299EE1"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137.0</w:t>
            </w:r>
          </w:p>
        </w:tc>
        <w:tc>
          <w:tcPr>
            <w:tcW w:w="1101" w:type="dxa"/>
            <w:vAlign w:val="center"/>
          </w:tcPr>
          <w:p w14:paraId="51C0F900"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207.5</w:t>
            </w:r>
          </w:p>
        </w:tc>
        <w:tc>
          <w:tcPr>
            <w:tcW w:w="1070" w:type="dxa"/>
            <w:vAlign w:val="center"/>
          </w:tcPr>
          <w:p w14:paraId="731D57FA"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23.7</w:t>
            </w:r>
          </w:p>
        </w:tc>
        <w:tc>
          <w:tcPr>
            <w:tcW w:w="1072" w:type="dxa"/>
            <w:vAlign w:val="center"/>
          </w:tcPr>
          <w:p w14:paraId="47C51000"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24.7</w:t>
            </w:r>
          </w:p>
        </w:tc>
        <w:tc>
          <w:tcPr>
            <w:tcW w:w="1070" w:type="dxa"/>
            <w:vAlign w:val="center"/>
          </w:tcPr>
          <w:p w14:paraId="6E03A557"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38.2</w:t>
            </w:r>
          </w:p>
        </w:tc>
        <w:tc>
          <w:tcPr>
            <w:tcW w:w="1073" w:type="dxa"/>
            <w:vAlign w:val="center"/>
          </w:tcPr>
          <w:p w14:paraId="1CEAF68A"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36.9</w:t>
            </w:r>
          </w:p>
        </w:tc>
        <w:tc>
          <w:tcPr>
            <w:tcW w:w="1070" w:type="dxa"/>
            <w:vAlign w:val="center"/>
          </w:tcPr>
          <w:p w14:paraId="7D00D064"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51.0</w:t>
            </w:r>
          </w:p>
        </w:tc>
        <w:tc>
          <w:tcPr>
            <w:tcW w:w="1072" w:type="dxa"/>
            <w:vAlign w:val="center"/>
          </w:tcPr>
          <w:p w14:paraId="23477860"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53.0</w:t>
            </w:r>
          </w:p>
        </w:tc>
      </w:tr>
      <w:tr w:rsidR="00977058" w:rsidRPr="009C4193" w14:paraId="48F2D17D" w14:textId="77777777">
        <w:trPr>
          <w:trHeight w:val="268"/>
        </w:trPr>
        <w:tc>
          <w:tcPr>
            <w:tcW w:w="1242" w:type="dxa"/>
            <w:vAlign w:val="center"/>
          </w:tcPr>
          <w:p w14:paraId="7D42C6CE"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Oct.</w:t>
            </w:r>
          </w:p>
        </w:tc>
        <w:tc>
          <w:tcPr>
            <w:tcW w:w="1097" w:type="dxa"/>
            <w:vAlign w:val="center"/>
          </w:tcPr>
          <w:p w14:paraId="05D1C77F"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305.5</w:t>
            </w:r>
          </w:p>
        </w:tc>
        <w:tc>
          <w:tcPr>
            <w:tcW w:w="1101" w:type="dxa"/>
            <w:vAlign w:val="center"/>
          </w:tcPr>
          <w:p w14:paraId="5BDF13F3"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23.5</w:t>
            </w:r>
          </w:p>
        </w:tc>
        <w:tc>
          <w:tcPr>
            <w:tcW w:w="1070" w:type="dxa"/>
            <w:vAlign w:val="center"/>
          </w:tcPr>
          <w:p w14:paraId="180D2FB1"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15.9</w:t>
            </w:r>
          </w:p>
        </w:tc>
        <w:tc>
          <w:tcPr>
            <w:tcW w:w="1072" w:type="dxa"/>
            <w:vAlign w:val="center"/>
          </w:tcPr>
          <w:p w14:paraId="4CEB47AE"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16.7</w:t>
            </w:r>
          </w:p>
        </w:tc>
        <w:tc>
          <w:tcPr>
            <w:tcW w:w="1070" w:type="dxa"/>
            <w:vAlign w:val="center"/>
          </w:tcPr>
          <w:p w14:paraId="7929C8C1"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36.7</w:t>
            </w:r>
          </w:p>
        </w:tc>
        <w:tc>
          <w:tcPr>
            <w:tcW w:w="1073" w:type="dxa"/>
            <w:vAlign w:val="center"/>
          </w:tcPr>
          <w:p w14:paraId="53079F8E"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36.4</w:t>
            </w:r>
          </w:p>
        </w:tc>
        <w:tc>
          <w:tcPr>
            <w:tcW w:w="1070" w:type="dxa"/>
            <w:vAlign w:val="center"/>
          </w:tcPr>
          <w:p w14:paraId="6680E5C6"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30.0</w:t>
            </w:r>
          </w:p>
        </w:tc>
        <w:tc>
          <w:tcPr>
            <w:tcW w:w="1072" w:type="dxa"/>
            <w:vAlign w:val="center"/>
          </w:tcPr>
          <w:p w14:paraId="79FBB8F0"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27.0</w:t>
            </w:r>
          </w:p>
        </w:tc>
      </w:tr>
      <w:tr w:rsidR="00977058" w:rsidRPr="009C4193" w14:paraId="0E60CBF0" w14:textId="77777777">
        <w:trPr>
          <w:trHeight w:val="268"/>
        </w:trPr>
        <w:tc>
          <w:tcPr>
            <w:tcW w:w="1242" w:type="dxa"/>
            <w:vAlign w:val="center"/>
          </w:tcPr>
          <w:p w14:paraId="265B7D75"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Nov.</w:t>
            </w:r>
          </w:p>
        </w:tc>
        <w:tc>
          <w:tcPr>
            <w:tcW w:w="1097" w:type="dxa"/>
            <w:vAlign w:val="center"/>
          </w:tcPr>
          <w:p w14:paraId="1EE8AB33"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0.0</w:t>
            </w:r>
          </w:p>
        </w:tc>
        <w:tc>
          <w:tcPr>
            <w:tcW w:w="1101" w:type="dxa"/>
            <w:vAlign w:val="center"/>
          </w:tcPr>
          <w:p w14:paraId="5EFC981F"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0.0</w:t>
            </w:r>
          </w:p>
        </w:tc>
        <w:tc>
          <w:tcPr>
            <w:tcW w:w="1070" w:type="dxa"/>
            <w:vAlign w:val="center"/>
          </w:tcPr>
          <w:p w14:paraId="1B64B9E0"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11.2</w:t>
            </w:r>
          </w:p>
        </w:tc>
        <w:tc>
          <w:tcPr>
            <w:tcW w:w="1072" w:type="dxa"/>
            <w:vAlign w:val="center"/>
          </w:tcPr>
          <w:p w14:paraId="023B8D56"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10.5</w:t>
            </w:r>
          </w:p>
        </w:tc>
        <w:tc>
          <w:tcPr>
            <w:tcW w:w="1070" w:type="dxa"/>
            <w:vAlign w:val="center"/>
          </w:tcPr>
          <w:p w14:paraId="41A9D03E"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31.7</w:t>
            </w:r>
          </w:p>
        </w:tc>
        <w:tc>
          <w:tcPr>
            <w:tcW w:w="1073" w:type="dxa"/>
            <w:vAlign w:val="center"/>
          </w:tcPr>
          <w:p w14:paraId="2AA6B69D"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32.8</w:t>
            </w:r>
          </w:p>
        </w:tc>
        <w:tc>
          <w:tcPr>
            <w:tcW w:w="1070" w:type="dxa"/>
            <w:vAlign w:val="center"/>
          </w:tcPr>
          <w:p w14:paraId="58B87894"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20.0</w:t>
            </w:r>
          </w:p>
        </w:tc>
        <w:tc>
          <w:tcPr>
            <w:tcW w:w="1072" w:type="dxa"/>
            <w:vAlign w:val="center"/>
          </w:tcPr>
          <w:p w14:paraId="37F6B3E9"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26.0</w:t>
            </w:r>
          </w:p>
        </w:tc>
      </w:tr>
      <w:tr w:rsidR="00977058" w:rsidRPr="009C4193" w14:paraId="04518ABD" w14:textId="77777777">
        <w:trPr>
          <w:trHeight w:val="26"/>
        </w:trPr>
        <w:tc>
          <w:tcPr>
            <w:tcW w:w="1242" w:type="dxa"/>
            <w:vAlign w:val="center"/>
          </w:tcPr>
          <w:p w14:paraId="327C64F2"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Dec.</w:t>
            </w:r>
          </w:p>
        </w:tc>
        <w:tc>
          <w:tcPr>
            <w:tcW w:w="1097" w:type="dxa"/>
            <w:vAlign w:val="center"/>
          </w:tcPr>
          <w:p w14:paraId="69395893"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11.5</w:t>
            </w:r>
          </w:p>
        </w:tc>
        <w:tc>
          <w:tcPr>
            <w:tcW w:w="1101" w:type="dxa"/>
            <w:vAlign w:val="center"/>
          </w:tcPr>
          <w:p w14:paraId="5807F63D"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0.0</w:t>
            </w:r>
          </w:p>
        </w:tc>
        <w:tc>
          <w:tcPr>
            <w:tcW w:w="1070" w:type="dxa"/>
            <w:vAlign w:val="center"/>
          </w:tcPr>
          <w:p w14:paraId="447E5F25"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7.0</w:t>
            </w:r>
          </w:p>
        </w:tc>
        <w:tc>
          <w:tcPr>
            <w:tcW w:w="1072" w:type="dxa"/>
            <w:vAlign w:val="center"/>
          </w:tcPr>
          <w:p w14:paraId="3F14F83E"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6.7</w:t>
            </w:r>
          </w:p>
        </w:tc>
        <w:tc>
          <w:tcPr>
            <w:tcW w:w="1070" w:type="dxa"/>
            <w:vAlign w:val="center"/>
          </w:tcPr>
          <w:p w14:paraId="22842849"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30.4</w:t>
            </w:r>
          </w:p>
        </w:tc>
        <w:tc>
          <w:tcPr>
            <w:tcW w:w="1073" w:type="dxa"/>
            <w:vAlign w:val="center"/>
          </w:tcPr>
          <w:p w14:paraId="430A301E"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28.3</w:t>
            </w:r>
          </w:p>
        </w:tc>
        <w:tc>
          <w:tcPr>
            <w:tcW w:w="1070" w:type="dxa"/>
            <w:vAlign w:val="center"/>
          </w:tcPr>
          <w:p w14:paraId="78E4C031"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30.0</w:t>
            </w:r>
          </w:p>
        </w:tc>
        <w:tc>
          <w:tcPr>
            <w:tcW w:w="1072" w:type="dxa"/>
            <w:vAlign w:val="center"/>
          </w:tcPr>
          <w:p w14:paraId="7AAE1B12" w14:textId="77777777" w:rsidR="00977058" w:rsidRPr="009C4193" w:rsidRDefault="0056669F">
            <w:pPr>
              <w:autoSpaceDE w:val="0"/>
              <w:autoSpaceDN w:val="0"/>
              <w:adjustRightInd w:val="0"/>
              <w:spacing w:after="0" w:line="240" w:lineRule="auto"/>
              <w:jc w:val="center"/>
              <w:rPr>
                <w:rFonts w:ascii="Times New Roman" w:hAnsi="Times New Roman" w:cs="Times New Roman"/>
                <w:spacing w:val="15"/>
                <w:kern w:val="0"/>
                <w:sz w:val="24"/>
                <w:szCs w:val="24"/>
                <w14:ligatures w14:val="none"/>
              </w:rPr>
            </w:pPr>
            <w:r w:rsidRPr="009C4193">
              <w:rPr>
                <w:rFonts w:ascii="Times New Roman" w:hAnsi="Times New Roman" w:cs="Times New Roman"/>
                <w:spacing w:val="15"/>
                <w:kern w:val="0"/>
                <w:sz w:val="24"/>
                <w:szCs w:val="24"/>
                <w14:ligatures w14:val="none"/>
              </w:rPr>
              <w:t>23.0</w:t>
            </w:r>
          </w:p>
        </w:tc>
      </w:tr>
    </w:tbl>
    <w:p w14:paraId="5E3D80EA" w14:textId="77777777" w:rsidR="00977058" w:rsidRPr="009C4193" w:rsidRDefault="0056669F">
      <w:pPr>
        <w:autoSpaceDE w:val="0"/>
        <w:autoSpaceDN w:val="0"/>
        <w:adjustRightInd w:val="0"/>
        <w:spacing w:after="0" w:line="480" w:lineRule="auto"/>
        <w:jc w:val="both"/>
        <w:rPr>
          <w:rFonts w:ascii="Times New Roman" w:hAnsi="Times New Roman" w:cs="Times New Roman"/>
          <w:sz w:val="24"/>
          <w:szCs w:val="24"/>
        </w:rPr>
      </w:pPr>
      <w:r w:rsidRPr="009C4193">
        <w:rPr>
          <w:rFonts w:ascii="Times New Roman" w:hAnsi="Times New Roman" w:cs="Times New Roman"/>
          <w:sz w:val="24"/>
          <w:szCs w:val="24"/>
        </w:rPr>
        <w:t>Source: Meteorology Section Krishi Vigyan Kendra, P.G. College, Ghazipur, U.P.-233001</w:t>
      </w:r>
    </w:p>
    <w:p w14:paraId="1D36BB1C" w14:textId="77777777" w:rsidR="00977058" w:rsidRPr="009C4193" w:rsidRDefault="0056669F">
      <w:pPr>
        <w:spacing w:after="0" w:line="480" w:lineRule="auto"/>
        <w:jc w:val="both"/>
        <w:rPr>
          <w:rFonts w:ascii="Times New Roman" w:hAnsi="Times New Roman" w:cs="Times New Roman"/>
          <w:b/>
          <w:bCs/>
          <w:sz w:val="24"/>
          <w:szCs w:val="24"/>
        </w:rPr>
      </w:pPr>
      <w:r w:rsidRPr="009C4193">
        <w:rPr>
          <w:rFonts w:ascii="Times New Roman" w:hAnsi="Times New Roman" w:cs="Times New Roman"/>
          <w:b/>
          <w:bCs/>
          <w:sz w:val="24"/>
          <w:szCs w:val="24"/>
        </w:rPr>
        <w:t>Experimental Design and Treatments</w:t>
      </w:r>
    </w:p>
    <w:p w14:paraId="249E630E" w14:textId="77777777" w:rsidR="00977058" w:rsidRPr="009C4193" w:rsidRDefault="0056669F">
      <w:pPr>
        <w:spacing w:after="0" w:line="480" w:lineRule="auto"/>
        <w:jc w:val="both"/>
        <w:rPr>
          <w:rFonts w:ascii="Times New Roman" w:hAnsi="Times New Roman" w:cs="Times New Roman"/>
          <w:sz w:val="24"/>
          <w:szCs w:val="24"/>
        </w:rPr>
      </w:pPr>
      <w:r w:rsidRPr="009C4193">
        <w:rPr>
          <w:rFonts w:ascii="Times New Roman" w:hAnsi="Times New Roman" w:cs="Times New Roman"/>
          <w:sz w:val="24"/>
          <w:szCs w:val="24"/>
        </w:rPr>
        <w:lastRenderedPageBreak/>
        <w:t>The experiment followed a Factorial Randomized Block Design (FRBD) with twelve treatment combinations and three replications (Table 2). Each treatment plot measured 3.6 m × 2.25 m, with a total of 36 plots. Onion (</w:t>
      </w:r>
      <w:r w:rsidRPr="009C4193">
        <w:rPr>
          <w:rFonts w:ascii="Times New Roman" w:hAnsi="Times New Roman" w:cs="Times New Roman"/>
          <w:i/>
          <w:iCs/>
          <w:sz w:val="24"/>
          <w:szCs w:val="24"/>
        </w:rPr>
        <w:t>Allium cepa</w:t>
      </w:r>
      <w:r w:rsidRPr="009C4193">
        <w:rPr>
          <w:rFonts w:ascii="Times New Roman" w:hAnsi="Times New Roman" w:cs="Times New Roman"/>
          <w:sz w:val="24"/>
          <w:szCs w:val="24"/>
        </w:rPr>
        <w:t xml:space="preserve"> L.) cultivar ‘</w:t>
      </w:r>
      <w:proofErr w:type="spellStart"/>
      <w:r w:rsidRPr="009C4193">
        <w:rPr>
          <w:rFonts w:ascii="Times New Roman" w:hAnsi="Times New Roman" w:cs="Times New Roman"/>
          <w:sz w:val="24"/>
          <w:szCs w:val="24"/>
        </w:rPr>
        <w:t>Kalyanpur</w:t>
      </w:r>
      <w:proofErr w:type="spellEnd"/>
      <w:r w:rsidRPr="009C4193">
        <w:rPr>
          <w:rFonts w:ascii="Times New Roman" w:hAnsi="Times New Roman" w:cs="Times New Roman"/>
          <w:sz w:val="24"/>
          <w:szCs w:val="24"/>
        </w:rPr>
        <w:t xml:space="preserve"> Red Round’ was used for the study. Prior to the onset of the field experiment, composite soil samples were collected from a 0–22.5 cm depth to </w:t>
      </w:r>
      <w:proofErr w:type="spellStart"/>
      <w:r w:rsidRPr="009C4193">
        <w:rPr>
          <w:rFonts w:ascii="Times New Roman" w:hAnsi="Times New Roman" w:cs="Times New Roman"/>
          <w:sz w:val="24"/>
          <w:szCs w:val="24"/>
        </w:rPr>
        <w:t>analyze</w:t>
      </w:r>
      <w:proofErr w:type="spellEnd"/>
      <w:r w:rsidRPr="009C4193">
        <w:rPr>
          <w:rFonts w:ascii="Times New Roman" w:hAnsi="Times New Roman" w:cs="Times New Roman"/>
          <w:sz w:val="24"/>
          <w:szCs w:val="24"/>
        </w:rPr>
        <w:t xml:space="preserve"> the physical, chemical, and hydrological properties by suing the standard laboratory protocols (Table 3). The treatments comprised various combinations of recommended dose of fertilizers (RDF), farmyard manure (FYM), vermicompost, and biofertilizers such as </w:t>
      </w:r>
      <w:r w:rsidRPr="009C4193">
        <w:rPr>
          <w:rFonts w:ascii="Times New Roman" w:hAnsi="Times New Roman" w:cs="Times New Roman"/>
          <w:i/>
          <w:iCs/>
          <w:sz w:val="24"/>
          <w:szCs w:val="24"/>
        </w:rPr>
        <w:t>Azotobacter</w:t>
      </w:r>
      <w:r w:rsidRPr="009C4193">
        <w:rPr>
          <w:rFonts w:ascii="Times New Roman" w:hAnsi="Times New Roman" w:cs="Times New Roman"/>
          <w:sz w:val="24"/>
          <w:szCs w:val="24"/>
        </w:rPr>
        <w:t xml:space="preserve"> and phosphate-solubilizing bacteria (PSB). Seed sowing was conducted on 10</w:t>
      </w:r>
      <w:r w:rsidRPr="009C4193">
        <w:rPr>
          <w:rFonts w:ascii="Times New Roman" w:hAnsi="Times New Roman" w:cs="Times New Roman"/>
          <w:sz w:val="24"/>
          <w:szCs w:val="24"/>
          <w:vertAlign w:val="superscript"/>
        </w:rPr>
        <w:t>th</w:t>
      </w:r>
      <w:r w:rsidRPr="009C4193">
        <w:rPr>
          <w:rFonts w:ascii="Times New Roman" w:hAnsi="Times New Roman" w:cs="Times New Roman"/>
          <w:sz w:val="24"/>
          <w:szCs w:val="24"/>
        </w:rPr>
        <w:t xml:space="preserve"> December 2020 and 12</w:t>
      </w:r>
      <w:r w:rsidRPr="009C4193">
        <w:rPr>
          <w:rFonts w:ascii="Times New Roman" w:hAnsi="Times New Roman" w:cs="Times New Roman"/>
          <w:sz w:val="24"/>
          <w:szCs w:val="24"/>
          <w:vertAlign w:val="superscript"/>
        </w:rPr>
        <w:t>th</w:t>
      </w:r>
      <w:r w:rsidRPr="009C4193">
        <w:rPr>
          <w:rFonts w:ascii="Times New Roman" w:hAnsi="Times New Roman" w:cs="Times New Roman"/>
          <w:sz w:val="24"/>
          <w:szCs w:val="24"/>
        </w:rPr>
        <w:t xml:space="preserve"> December 2021, while transplanting was carried out on 15</w:t>
      </w:r>
      <w:r w:rsidRPr="009C4193">
        <w:rPr>
          <w:rFonts w:ascii="Times New Roman" w:hAnsi="Times New Roman" w:cs="Times New Roman"/>
          <w:sz w:val="24"/>
          <w:szCs w:val="24"/>
          <w:vertAlign w:val="superscript"/>
        </w:rPr>
        <w:t>th</w:t>
      </w:r>
      <w:r w:rsidRPr="009C4193">
        <w:rPr>
          <w:rFonts w:ascii="Times New Roman" w:hAnsi="Times New Roman" w:cs="Times New Roman"/>
          <w:sz w:val="24"/>
          <w:szCs w:val="24"/>
        </w:rPr>
        <w:t xml:space="preserve"> January 2021 and 18</w:t>
      </w:r>
      <w:r w:rsidRPr="009C4193">
        <w:rPr>
          <w:rFonts w:ascii="Times New Roman" w:hAnsi="Times New Roman" w:cs="Times New Roman"/>
          <w:sz w:val="24"/>
          <w:szCs w:val="24"/>
          <w:vertAlign w:val="superscript"/>
        </w:rPr>
        <w:t>th</w:t>
      </w:r>
      <w:r w:rsidRPr="009C4193">
        <w:rPr>
          <w:rFonts w:ascii="Times New Roman" w:hAnsi="Times New Roman" w:cs="Times New Roman"/>
          <w:sz w:val="24"/>
          <w:szCs w:val="24"/>
        </w:rPr>
        <w:t xml:space="preserve"> January 2022, respectively.</w:t>
      </w:r>
    </w:p>
    <w:p w14:paraId="5C50AC5A" w14:textId="77777777" w:rsidR="00977058" w:rsidRPr="009C4193" w:rsidRDefault="0056669F">
      <w:pPr>
        <w:spacing w:after="0" w:line="480" w:lineRule="auto"/>
        <w:jc w:val="both"/>
        <w:rPr>
          <w:rFonts w:ascii="Times New Roman" w:hAnsi="Times New Roman" w:cs="Times New Roman"/>
          <w:sz w:val="24"/>
          <w:szCs w:val="24"/>
        </w:rPr>
      </w:pPr>
      <w:r w:rsidRPr="009C4193">
        <w:rPr>
          <w:rFonts w:ascii="Times New Roman" w:hAnsi="Times New Roman" w:cs="Times New Roman"/>
          <w:sz w:val="24"/>
          <w:szCs w:val="24"/>
        </w:rPr>
        <w:t xml:space="preserve">The experimental field was prepared by primary tillage using a disc harrow, followed by two ploughings with a cultivator and final </w:t>
      </w:r>
      <w:proofErr w:type="spellStart"/>
      <w:r w:rsidRPr="009C4193">
        <w:rPr>
          <w:rFonts w:ascii="Times New Roman" w:hAnsi="Times New Roman" w:cs="Times New Roman"/>
          <w:sz w:val="24"/>
          <w:szCs w:val="24"/>
        </w:rPr>
        <w:t>leveling</w:t>
      </w:r>
      <w:proofErr w:type="spellEnd"/>
      <w:r w:rsidRPr="009C4193">
        <w:rPr>
          <w:rFonts w:ascii="Times New Roman" w:hAnsi="Times New Roman" w:cs="Times New Roman"/>
          <w:sz w:val="24"/>
          <w:szCs w:val="24"/>
        </w:rPr>
        <w:t xml:space="preserve"> with planking. Well-decomposed organic manure was incorporated into the soil one month before sowing. Seedlings were raised on raised beds (3 m × 1 m × 0.15 m) and protected against seed-borne diseases such as damping-off using Bavistin or Thiram @ 2.5 g/kg of seed. However, at the time of transplanting, one-third of the nitrogen (N) and the full recommended doses of phosphorus (P₂O₅) and potassium (K₂O) were applied as a basal dose. The remaining nitrogen was split into two equal doses and applied at 30 and 60 days after transplanting (DAT). Irrigation scheduling was need-based, with the first irrigation given three days after transplanting. Cultural operations like hoeing, gap filling, and weed management were performed regularly. Chemical weeding using Cypermethrin was preferred to control weed growth.</w:t>
      </w:r>
    </w:p>
    <w:p w14:paraId="4EAC8FCD" w14:textId="77777777" w:rsidR="00977058" w:rsidRPr="009C4193" w:rsidRDefault="0056669F">
      <w:pPr>
        <w:spacing w:after="0" w:line="480" w:lineRule="auto"/>
        <w:jc w:val="both"/>
        <w:rPr>
          <w:rFonts w:ascii="Times New Roman" w:hAnsi="Times New Roman" w:cs="Times New Roman"/>
          <w:b/>
          <w:bCs/>
          <w:sz w:val="24"/>
          <w:szCs w:val="24"/>
        </w:rPr>
      </w:pPr>
      <w:r w:rsidRPr="009C4193">
        <w:rPr>
          <w:rFonts w:ascii="Times New Roman" w:hAnsi="Times New Roman" w:cs="Times New Roman"/>
          <w:b/>
          <w:bCs/>
          <w:sz w:val="24"/>
          <w:szCs w:val="24"/>
        </w:rPr>
        <w:t xml:space="preserve">Table 2 </w:t>
      </w:r>
      <w:r w:rsidRPr="009C4193">
        <w:rPr>
          <w:rFonts w:ascii="Times New Roman" w:hAnsi="Times New Roman" w:cs="Times New Roman"/>
          <w:sz w:val="24"/>
          <w:szCs w:val="24"/>
        </w:rPr>
        <w:t>Onion crop management detail of the field experiments</w:t>
      </w:r>
      <w:r w:rsidRPr="009C4193">
        <w:rPr>
          <w:rFonts w:ascii="Times New Roman" w:hAnsi="Times New Roman" w:cs="Times New Roman"/>
          <w:b/>
          <w:bCs/>
          <w:sz w:val="24"/>
          <w:szCs w:val="24"/>
        </w:rPr>
        <w:t xml:space="preserve">  </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0"/>
        <w:gridCol w:w="5466"/>
      </w:tblGrid>
      <w:tr w:rsidR="00977058" w:rsidRPr="009C4193" w14:paraId="461482E6" w14:textId="77777777">
        <w:trPr>
          <w:trHeight w:val="131"/>
        </w:trPr>
        <w:tc>
          <w:tcPr>
            <w:tcW w:w="1972" w:type="pct"/>
            <w:tcBorders>
              <w:top w:val="single" w:sz="4" w:space="0" w:color="auto"/>
              <w:bottom w:val="single" w:sz="4" w:space="0" w:color="auto"/>
            </w:tcBorders>
          </w:tcPr>
          <w:p w14:paraId="4D157B92" w14:textId="77777777" w:rsidR="00977058" w:rsidRPr="009C4193" w:rsidRDefault="0056669F">
            <w:pPr>
              <w:autoSpaceDE w:val="0"/>
              <w:autoSpaceDN w:val="0"/>
              <w:adjustRightInd w:val="0"/>
              <w:spacing w:after="0" w:line="240" w:lineRule="auto"/>
              <w:jc w:val="both"/>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 xml:space="preserve">Parameter </w:t>
            </w:r>
          </w:p>
        </w:tc>
        <w:tc>
          <w:tcPr>
            <w:tcW w:w="3028" w:type="pct"/>
            <w:tcBorders>
              <w:top w:val="single" w:sz="4" w:space="0" w:color="auto"/>
              <w:bottom w:val="single" w:sz="4" w:space="0" w:color="auto"/>
            </w:tcBorders>
          </w:tcPr>
          <w:p w14:paraId="4C32708C" w14:textId="77777777" w:rsidR="00977058" w:rsidRPr="009C4193" w:rsidRDefault="0056669F">
            <w:pPr>
              <w:autoSpaceDE w:val="0"/>
              <w:autoSpaceDN w:val="0"/>
              <w:adjustRightInd w:val="0"/>
              <w:spacing w:after="0" w:line="240" w:lineRule="auto"/>
              <w:jc w:val="both"/>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 xml:space="preserve">Detail </w:t>
            </w:r>
          </w:p>
        </w:tc>
      </w:tr>
      <w:tr w:rsidR="00977058" w:rsidRPr="009C4193" w14:paraId="30A1263B" w14:textId="77777777">
        <w:trPr>
          <w:trHeight w:val="121"/>
        </w:trPr>
        <w:tc>
          <w:tcPr>
            <w:tcW w:w="1972" w:type="pct"/>
            <w:tcBorders>
              <w:top w:val="single" w:sz="4" w:space="0" w:color="auto"/>
            </w:tcBorders>
          </w:tcPr>
          <w:p w14:paraId="1BEE9BCE" w14:textId="77777777" w:rsidR="00977058" w:rsidRPr="009C4193" w:rsidRDefault="0056669F">
            <w:pPr>
              <w:autoSpaceDE w:val="0"/>
              <w:autoSpaceDN w:val="0"/>
              <w:adjustRightInd w:val="0"/>
              <w:spacing w:after="0" w:line="240" w:lineRule="auto"/>
              <w:jc w:val="both"/>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Crop and Cultivars</w:t>
            </w:r>
            <w:r w:rsidRPr="009C4193">
              <w:rPr>
                <w:rFonts w:ascii="Times New Roman" w:hAnsi="Times New Roman" w:cs="Times New Roman"/>
                <w:kern w:val="0"/>
                <w:sz w:val="24"/>
                <w:szCs w:val="24"/>
                <w14:ligatures w14:val="none"/>
              </w:rPr>
              <w:tab/>
            </w:r>
          </w:p>
        </w:tc>
        <w:tc>
          <w:tcPr>
            <w:tcW w:w="3028" w:type="pct"/>
            <w:tcBorders>
              <w:top w:val="single" w:sz="4" w:space="0" w:color="auto"/>
            </w:tcBorders>
          </w:tcPr>
          <w:p w14:paraId="2BDBF70B" w14:textId="4075B2B4" w:rsidR="00977058" w:rsidRPr="009C4193" w:rsidRDefault="0056669F">
            <w:pPr>
              <w:autoSpaceDE w:val="0"/>
              <w:autoSpaceDN w:val="0"/>
              <w:adjustRightInd w:val="0"/>
              <w:spacing w:after="0" w:line="240" w:lineRule="auto"/>
              <w:jc w:val="both"/>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Onion (</w:t>
            </w:r>
            <w:proofErr w:type="spellStart"/>
            <w:proofErr w:type="gramStart"/>
            <w:r w:rsidRPr="009C4193">
              <w:rPr>
                <w:rFonts w:ascii="Times New Roman" w:hAnsi="Times New Roman" w:cs="Times New Roman"/>
                <w:i/>
                <w:iCs/>
                <w:kern w:val="0"/>
                <w:sz w:val="24"/>
                <w:szCs w:val="24"/>
                <w14:ligatures w14:val="none"/>
              </w:rPr>
              <w:t>Alium</w:t>
            </w:r>
            <w:proofErr w:type="spellEnd"/>
            <w:r w:rsidRPr="009C4193">
              <w:rPr>
                <w:rFonts w:ascii="Times New Roman" w:hAnsi="Times New Roman" w:cs="Times New Roman"/>
                <w:i/>
                <w:iCs/>
                <w:kern w:val="0"/>
                <w:sz w:val="24"/>
                <w:szCs w:val="24"/>
                <w14:ligatures w14:val="none"/>
              </w:rPr>
              <w:t xml:space="preserve">  </w:t>
            </w:r>
            <w:proofErr w:type="spellStart"/>
            <w:r w:rsidR="00810A96" w:rsidRPr="009C4193">
              <w:rPr>
                <w:rFonts w:ascii="Times New Roman" w:hAnsi="Times New Roman" w:cs="Times New Roman"/>
                <w:i/>
                <w:iCs/>
                <w:kern w:val="0"/>
                <w:sz w:val="24"/>
                <w:szCs w:val="24"/>
                <w14:ligatures w14:val="none"/>
              </w:rPr>
              <w:t>c</w:t>
            </w:r>
            <w:r w:rsidRPr="009C4193">
              <w:rPr>
                <w:rFonts w:ascii="Times New Roman" w:hAnsi="Times New Roman" w:cs="Times New Roman"/>
                <w:i/>
                <w:iCs/>
                <w:kern w:val="0"/>
                <w:sz w:val="24"/>
                <w:szCs w:val="24"/>
                <w14:ligatures w14:val="none"/>
              </w:rPr>
              <w:t>epa</w:t>
            </w:r>
            <w:proofErr w:type="spellEnd"/>
            <w:proofErr w:type="gramEnd"/>
            <w:r w:rsidR="00810A96" w:rsidRPr="009C4193">
              <w:rPr>
                <w:rFonts w:ascii="Times New Roman" w:hAnsi="Times New Roman" w:cs="Times New Roman"/>
                <w:kern w:val="0"/>
                <w:sz w:val="24"/>
                <w:szCs w:val="24"/>
                <w14:ligatures w14:val="none"/>
              </w:rPr>
              <w:t xml:space="preserve"> </w:t>
            </w:r>
            <w:r w:rsidRPr="009C4193">
              <w:rPr>
                <w:rFonts w:ascii="Times New Roman" w:hAnsi="Times New Roman" w:cs="Times New Roman"/>
                <w:kern w:val="0"/>
                <w:sz w:val="24"/>
                <w:szCs w:val="24"/>
                <w14:ligatures w14:val="none"/>
              </w:rPr>
              <w:t xml:space="preserve">L.) and </w:t>
            </w:r>
            <w:proofErr w:type="spellStart"/>
            <w:r w:rsidRPr="009C4193">
              <w:rPr>
                <w:rFonts w:ascii="Times New Roman" w:hAnsi="Times New Roman" w:cs="Times New Roman"/>
                <w:kern w:val="0"/>
                <w:sz w:val="24"/>
                <w:szCs w:val="24"/>
                <w14:ligatures w14:val="none"/>
              </w:rPr>
              <w:t>Kalyanpur</w:t>
            </w:r>
            <w:proofErr w:type="spellEnd"/>
            <w:r w:rsidRPr="009C4193">
              <w:rPr>
                <w:rFonts w:ascii="Times New Roman" w:hAnsi="Times New Roman" w:cs="Times New Roman"/>
                <w:kern w:val="0"/>
                <w:sz w:val="24"/>
                <w:szCs w:val="24"/>
                <w14:ligatures w14:val="none"/>
              </w:rPr>
              <w:t xml:space="preserve"> Red Round</w:t>
            </w:r>
          </w:p>
        </w:tc>
      </w:tr>
      <w:tr w:rsidR="00977058" w:rsidRPr="009C4193" w14:paraId="3AB26A05" w14:textId="77777777">
        <w:trPr>
          <w:trHeight w:val="58"/>
        </w:trPr>
        <w:tc>
          <w:tcPr>
            <w:tcW w:w="1972" w:type="pct"/>
          </w:tcPr>
          <w:p w14:paraId="314478FB" w14:textId="77777777" w:rsidR="00977058" w:rsidRPr="009C4193" w:rsidRDefault="0056669F">
            <w:pPr>
              <w:autoSpaceDE w:val="0"/>
              <w:autoSpaceDN w:val="0"/>
              <w:adjustRightInd w:val="0"/>
              <w:spacing w:after="0" w:line="240" w:lineRule="auto"/>
              <w:jc w:val="both"/>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Design and spacing</w:t>
            </w:r>
            <w:r w:rsidRPr="009C4193">
              <w:rPr>
                <w:rFonts w:ascii="Times New Roman" w:hAnsi="Times New Roman" w:cs="Times New Roman"/>
                <w:kern w:val="0"/>
                <w:sz w:val="24"/>
                <w:szCs w:val="24"/>
                <w14:ligatures w14:val="none"/>
              </w:rPr>
              <w:tab/>
            </w:r>
          </w:p>
        </w:tc>
        <w:tc>
          <w:tcPr>
            <w:tcW w:w="3028" w:type="pct"/>
          </w:tcPr>
          <w:p w14:paraId="2AE1FCF7" w14:textId="77777777" w:rsidR="00977058" w:rsidRPr="009C4193" w:rsidRDefault="0056669F">
            <w:pPr>
              <w:autoSpaceDE w:val="0"/>
              <w:autoSpaceDN w:val="0"/>
              <w:adjustRightInd w:val="0"/>
              <w:spacing w:after="0" w:line="240" w:lineRule="auto"/>
              <w:jc w:val="both"/>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Randomized Block Design and 15 cm × 15cm</w:t>
            </w:r>
          </w:p>
        </w:tc>
      </w:tr>
      <w:tr w:rsidR="00977058" w:rsidRPr="009C4193" w14:paraId="4D433CAB" w14:textId="77777777">
        <w:trPr>
          <w:trHeight w:val="129"/>
        </w:trPr>
        <w:tc>
          <w:tcPr>
            <w:tcW w:w="1972" w:type="pct"/>
          </w:tcPr>
          <w:p w14:paraId="699A16EF" w14:textId="77777777" w:rsidR="00977058" w:rsidRPr="009C4193" w:rsidRDefault="0056669F">
            <w:pPr>
              <w:autoSpaceDE w:val="0"/>
              <w:autoSpaceDN w:val="0"/>
              <w:adjustRightInd w:val="0"/>
              <w:spacing w:after="0" w:line="240" w:lineRule="auto"/>
              <w:jc w:val="both"/>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Plot size and number of plots</w:t>
            </w:r>
          </w:p>
        </w:tc>
        <w:tc>
          <w:tcPr>
            <w:tcW w:w="3028" w:type="pct"/>
          </w:tcPr>
          <w:p w14:paraId="576EB5D9" w14:textId="77777777" w:rsidR="00977058" w:rsidRPr="009C4193" w:rsidRDefault="0056669F">
            <w:pPr>
              <w:autoSpaceDE w:val="0"/>
              <w:autoSpaceDN w:val="0"/>
              <w:adjustRightInd w:val="0"/>
              <w:spacing w:after="0" w:line="240" w:lineRule="auto"/>
              <w:jc w:val="both"/>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3.6 m × 2.25 m and 36</w:t>
            </w:r>
          </w:p>
        </w:tc>
      </w:tr>
      <w:tr w:rsidR="00977058" w:rsidRPr="009C4193" w14:paraId="705C786D" w14:textId="77777777">
        <w:trPr>
          <w:trHeight w:val="284"/>
        </w:trPr>
        <w:tc>
          <w:tcPr>
            <w:tcW w:w="1972" w:type="pct"/>
          </w:tcPr>
          <w:p w14:paraId="277B491C" w14:textId="77777777" w:rsidR="00977058" w:rsidRPr="009C4193" w:rsidRDefault="0056669F">
            <w:pPr>
              <w:autoSpaceDE w:val="0"/>
              <w:autoSpaceDN w:val="0"/>
              <w:adjustRightInd w:val="0"/>
              <w:spacing w:after="0" w:line="240" w:lineRule="auto"/>
              <w:jc w:val="both"/>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Number of Treatments and replications</w:t>
            </w:r>
          </w:p>
        </w:tc>
        <w:tc>
          <w:tcPr>
            <w:tcW w:w="3028" w:type="pct"/>
          </w:tcPr>
          <w:p w14:paraId="3FB07A9C" w14:textId="77777777" w:rsidR="00977058" w:rsidRPr="009C4193" w:rsidRDefault="0056669F">
            <w:pPr>
              <w:autoSpaceDE w:val="0"/>
              <w:autoSpaceDN w:val="0"/>
              <w:adjustRightInd w:val="0"/>
              <w:spacing w:after="0" w:line="240" w:lineRule="auto"/>
              <w:jc w:val="both"/>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 xml:space="preserve">12 and 3    </w:t>
            </w:r>
          </w:p>
        </w:tc>
      </w:tr>
      <w:tr w:rsidR="00977058" w:rsidRPr="009C4193" w14:paraId="55DD1B8F" w14:textId="77777777">
        <w:trPr>
          <w:trHeight w:val="527"/>
        </w:trPr>
        <w:tc>
          <w:tcPr>
            <w:tcW w:w="1972" w:type="pct"/>
          </w:tcPr>
          <w:p w14:paraId="2684F1EC" w14:textId="77777777" w:rsidR="00977058" w:rsidRPr="009C4193" w:rsidRDefault="0056669F">
            <w:pPr>
              <w:autoSpaceDE w:val="0"/>
              <w:autoSpaceDN w:val="0"/>
              <w:adjustRightInd w:val="0"/>
              <w:spacing w:after="0" w:line="240" w:lineRule="auto"/>
              <w:jc w:val="both"/>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lastRenderedPageBreak/>
              <w:t>Sources of nutrition</w:t>
            </w:r>
          </w:p>
        </w:tc>
        <w:tc>
          <w:tcPr>
            <w:tcW w:w="3028" w:type="pct"/>
          </w:tcPr>
          <w:p w14:paraId="5541BC2E" w14:textId="77777777" w:rsidR="00977058" w:rsidRPr="009C4193" w:rsidRDefault="0056669F">
            <w:pPr>
              <w:autoSpaceDE w:val="0"/>
              <w:autoSpaceDN w:val="0"/>
              <w:adjustRightInd w:val="0"/>
              <w:spacing w:after="0" w:line="240" w:lineRule="auto"/>
              <w:ind w:hanging="11"/>
              <w:jc w:val="both"/>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Chemical Fertilizers, Farm Yard Manure, Vermicompost, Biofertilizers (Azotobacter and PSB)</w:t>
            </w:r>
          </w:p>
        </w:tc>
      </w:tr>
      <w:tr w:rsidR="00977058" w:rsidRPr="009C4193" w14:paraId="07A62020" w14:textId="77777777">
        <w:trPr>
          <w:trHeight w:val="527"/>
        </w:trPr>
        <w:tc>
          <w:tcPr>
            <w:tcW w:w="1972" w:type="pct"/>
            <w:vAlign w:val="center"/>
          </w:tcPr>
          <w:p w14:paraId="1E77178A" w14:textId="77777777" w:rsidR="00977058" w:rsidRPr="009C4193" w:rsidRDefault="0056669F">
            <w:pPr>
              <w:autoSpaceDE w:val="0"/>
              <w:autoSpaceDN w:val="0"/>
              <w:adjustRightInd w:val="0"/>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Treatment combination</w:t>
            </w:r>
          </w:p>
        </w:tc>
        <w:tc>
          <w:tcPr>
            <w:tcW w:w="3028" w:type="pct"/>
          </w:tcPr>
          <w:p w14:paraId="59CED3C3" w14:textId="77777777" w:rsidR="00977058" w:rsidRPr="009C4193" w:rsidRDefault="0056669F">
            <w:pPr>
              <w:autoSpaceDE w:val="0"/>
              <w:autoSpaceDN w:val="0"/>
              <w:adjustRightInd w:val="0"/>
              <w:spacing w:after="0" w:line="240" w:lineRule="auto"/>
              <w:jc w:val="both"/>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T</w:t>
            </w:r>
            <w:r w:rsidRPr="009C4193">
              <w:rPr>
                <w:rFonts w:ascii="Times New Roman" w:hAnsi="Times New Roman" w:cs="Times New Roman"/>
                <w:kern w:val="0"/>
                <w:sz w:val="24"/>
                <w:szCs w:val="24"/>
                <w:vertAlign w:val="subscript"/>
                <w14:ligatures w14:val="none"/>
              </w:rPr>
              <w:t>1</w:t>
            </w:r>
            <w:r w:rsidRPr="009C4193">
              <w:rPr>
                <w:rFonts w:ascii="Times New Roman" w:hAnsi="Times New Roman" w:cs="Times New Roman"/>
                <w:kern w:val="0"/>
                <w:sz w:val="24"/>
                <w:szCs w:val="24"/>
                <w14:ligatures w14:val="none"/>
              </w:rPr>
              <w:t>: RDF NPK (150 +80+100 kg}</w:t>
            </w:r>
          </w:p>
          <w:p w14:paraId="6E9EB661" w14:textId="77777777" w:rsidR="00977058" w:rsidRPr="009C4193" w:rsidRDefault="0056669F">
            <w:pPr>
              <w:autoSpaceDE w:val="0"/>
              <w:autoSpaceDN w:val="0"/>
              <w:adjustRightInd w:val="0"/>
              <w:spacing w:after="0" w:line="240" w:lineRule="auto"/>
              <w:jc w:val="both"/>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T</w:t>
            </w:r>
            <w:r w:rsidRPr="009C4193">
              <w:rPr>
                <w:rFonts w:ascii="Times New Roman" w:hAnsi="Times New Roman" w:cs="Times New Roman"/>
                <w:kern w:val="0"/>
                <w:sz w:val="24"/>
                <w:szCs w:val="24"/>
                <w:vertAlign w:val="subscript"/>
                <w14:ligatures w14:val="none"/>
              </w:rPr>
              <w:t>2</w:t>
            </w:r>
            <w:r w:rsidRPr="009C4193">
              <w:rPr>
                <w:rFonts w:ascii="Times New Roman" w:hAnsi="Times New Roman" w:cs="Times New Roman"/>
                <w:kern w:val="0"/>
                <w:sz w:val="24"/>
                <w:szCs w:val="24"/>
                <w14:ligatures w14:val="none"/>
              </w:rPr>
              <w:t>: Farm Yard Manure (@ 40 tones / ha)</w:t>
            </w:r>
          </w:p>
          <w:p w14:paraId="59C79F92" w14:textId="77777777" w:rsidR="00977058" w:rsidRPr="009C4193" w:rsidRDefault="0056669F">
            <w:pPr>
              <w:autoSpaceDE w:val="0"/>
              <w:autoSpaceDN w:val="0"/>
              <w:adjustRightInd w:val="0"/>
              <w:spacing w:after="0" w:line="240" w:lineRule="auto"/>
              <w:jc w:val="both"/>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T</w:t>
            </w:r>
            <w:r w:rsidRPr="009C4193">
              <w:rPr>
                <w:rFonts w:ascii="Times New Roman" w:hAnsi="Times New Roman" w:cs="Times New Roman"/>
                <w:kern w:val="0"/>
                <w:sz w:val="24"/>
                <w:szCs w:val="24"/>
                <w:vertAlign w:val="subscript"/>
                <w14:ligatures w14:val="none"/>
              </w:rPr>
              <w:t>3</w:t>
            </w:r>
            <w:r w:rsidRPr="009C4193">
              <w:rPr>
                <w:rFonts w:ascii="Times New Roman" w:hAnsi="Times New Roman" w:cs="Times New Roman"/>
                <w:kern w:val="0"/>
                <w:sz w:val="24"/>
                <w:szCs w:val="24"/>
                <w14:ligatures w14:val="none"/>
              </w:rPr>
              <w:t>:  Vermicompost (@ 10 tones / ha)</w:t>
            </w:r>
          </w:p>
          <w:p w14:paraId="5A419973" w14:textId="77777777" w:rsidR="00977058" w:rsidRPr="009C4193" w:rsidRDefault="0056669F">
            <w:pPr>
              <w:autoSpaceDE w:val="0"/>
              <w:autoSpaceDN w:val="0"/>
              <w:adjustRightInd w:val="0"/>
              <w:spacing w:after="0" w:line="240" w:lineRule="auto"/>
              <w:jc w:val="both"/>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T</w:t>
            </w:r>
            <w:r w:rsidRPr="009C4193">
              <w:rPr>
                <w:rFonts w:ascii="Times New Roman" w:hAnsi="Times New Roman" w:cs="Times New Roman"/>
                <w:kern w:val="0"/>
                <w:sz w:val="24"/>
                <w:szCs w:val="24"/>
                <w:vertAlign w:val="subscript"/>
                <w14:ligatures w14:val="none"/>
              </w:rPr>
              <w:t>4</w:t>
            </w:r>
            <w:r w:rsidRPr="009C4193">
              <w:rPr>
                <w:rFonts w:ascii="Times New Roman" w:hAnsi="Times New Roman" w:cs="Times New Roman"/>
                <w:kern w:val="0"/>
                <w:sz w:val="24"/>
                <w:szCs w:val="24"/>
                <w14:ligatures w14:val="none"/>
              </w:rPr>
              <w:t>:  NPK (75+ 80 + 100 kg/ha) + FYM @20 t/ha</w:t>
            </w:r>
          </w:p>
          <w:p w14:paraId="21A8C2D2" w14:textId="77777777" w:rsidR="00977058" w:rsidRPr="009C4193" w:rsidRDefault="0056669F">
            <w:pPr>
              <w:autoSpaceDE w:val="0"/>
              <w:autoSpaceDN w:val="0"/>
              <w:adjustRightInd w:val="0"/>
              <w:spacing w:after="0" w:line="240" w:lineRule="auto"/>
              <w:jc w:val="both"/>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T</w:t>
            </w:r>
            <w:r w:rsidRPr="009C4193">
              <w:rPr>
                <w:rFonts w:ascii="Times New Roman" w:hAnsi="Times New Roman" w:cs="Times New Roman"/>
                <w:kern w:val="0"/>
                <w:sz w:val="24"/>
                <w:szCs w:val="24"/>
                <w:vertAlign w:val="subscript"/>
                <w14:ligatures w14:val="none"/>
              </w:rPr>
              <w:t>5</w:t>
            </w:r>
            <w:r w:rsidRPr="009C4193">
              <w:rPr>
                <w:rFonts w:ascii="Times New Roman" w:hAnsi="Times New Roman" w:cs="Times New Roman"/>
                <w:kern w:val="0"/>
                <w:sz w:val="24"/>
                <w:szCs w:val="24"/>
                <w14:ligatures w14:val="none"/>
              </w:rPr>
              <w:t>:   NPK (75+ 80 + 100 kg/ha) + Vermicompost @ 5 t/ha</w:t>
            </w:r>
          </w:p>
          <w:p w14:paraId="6246B74C" w14:textId="77777777" w:rsidR="00977058" w:rsidRPr="009C4193" w:rsidRDefault="0056669F">
            <w:pPr>
              <w:autoSpaceDE w:val="0"/>
              <w:autoSpaceDN w:val="0"/>
              <w:adjustRightInd w:val="0"/>
              <w:spacing w:after="0" w:line="240" w:lineRule="auto"/>
              <w:jc w:val="both"/>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T</w:t>
            </w:r>
            <w:r w:rsidRPr="009C4193">
              <w:rPr>
                <w:rFonts w:ascii="Times New Roman" w:hAnsi="Times New Roman" w:cs="Times New Roman"/>
                <w:kern w:val="0"/>
                <w:sz w:val="24"/>
                <w:szCs w:val="24"/>
                <w:vertAlign w:val="subscript"/>
                <w14:ligatures w14:val="none"/>
              </w:rPr>
              <w:t>6</w:t>
            </w:r>
            <w:r w:rsidRPr="009C4193">
              <w:rPr>
                <w:rFonts w:ascii="Times New Roman" w:hAnsi="Times New Roman" w:cs="Times New Roman"/>
                <w:kern w:val="0"/>
                <w:sz w:val="24"/>
                <w:szCs w:val="24"/>
                <w14:ligatures w14:val="none"/>
              </w:rPr>
              <w:t>:   FYM @20 t/ha + Vermicompost @ 5 t/ha</w:t>
            </w:r>
          </w:p>
          <w:p w14:paraId="4DF2C39D" w14:textId="77777777" w:rsidR="00977058" w:rsidRPr="009C4193" w:rsidRDefault="0056669F">
            <w:pPr>
              <w:autoSpaceDE w:val="0"/>
              <w:autoSpaceDN w:val="0"/>
              <w:adjustRightInd w:val="0"/>
              <w:spacing w:after="0" w:line="240" w:lineRule="auto"/>
              <w:jc w:val="both"/>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T</w:t>
            </w:r>
            <w:r w:rsidRPr="009C4193">
              <w:rPr>
                <w:rFonts w:ascii="Times New Roman" w:hAnsi="Times New Roman" w:cs="Times New Roman"/>
                <w:kern w:val="0"/>
                <w:sz w:val="24"/>
                <w:szCs w:val="24"/>
                <w:vertAlign w:val="subscript"/>
                <w14:ligatures w14:val="none"/>
              </w:rPr>
              <w:t>7</w:t>
            </w:r>
            <w:r w:rsidRPr="009C4193">
              <w:rPr>
                <w:rFonts w:ascii="Times New Roman" w:hAnsi="Times New Roman" w:cs="Times New Roman"/>
                <w:kern w:val="0"/>
                <w:sz w:val="24"/>
                <w:szCs w:val="24"/>
                <w14:ligatures w14:val="none"/>
              </w:rPr>
              <w:t>:   NPK (75+ 80 + 100 kg/ha) + FYM @20 t/ha + Azotobacter</w:t>
            </w:r>
          </w:p>
          <w:p w14:paraId="7547322D" w14:textId="77777777" w:rsidR="00977058" w:rsidRPr="009C4193" w:rsidRDefault="0056669F">
            <w:pPr>
              <w:autoSpaceDE w:val="0"/>
              <w:autoSpaceDN w:val="0"/>
              <w:adjustRightInd w:val="0"/>
              <w:spacing w:after="0" w:line="240" w:lineRule="auto"/>
              <w:jc w:val="both"/>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T</w:t>
            </w:r>
            <w:r w:rsidRPr="009C4193">
              <w:rPr>
                <w:rFonts w:ascii="Times New Roman" w:hAnsi="Times New Roman" w:cs="Times New Roman"/>
                <w:kern w:val="0"/>
                <w:sz w:val="24"/>
                <w:szCs w:val="24"/>
                <w:vertAlign w:val="subscript"/>
                <w14:ligatures w14:val="none"/>
              </w:rPr>
              <w:t>8</w:t>
            </w:r>
            <w:r w:rsidRPr="009C4193">
              <w:rPr>
                <w:rFonts w:ascii="Times New Roman" w:hAnsi="Times New Roman" w:cs="Times New Roman"/>
                <w:kern w:val="0"/>
                <w:sz w:val="24"/>
                <w:szCs w:val="24"/>
                <w14:ligatures w14:val="none"/>
              </w:rPr>
              <w:t xml:space="preserve">: NPK (75+ 80 + 100 kg/ha) + Vermicompost </w:t>
            </w:r>
          </w:p>
          <w:p w14:paraId="475CE7E0" w14:textId="77777777" w:rsidR="00977058" w:rsidRPr="009C4193" w:rsidRDefault="0056669F">
            <w:pPr>
              <w:autoSpaceDE w:val="0"/>
              <w:autoSpaceDN w:val="0"/>
              <w:adjustRightInd w:val="0"/>
              <w:spacing w:after="0" w:line="240" w:lineRule="auto"/>
              <w:jc w:val="both"/>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 5 t/ha + Azotobacter</w:t>
            </w:r>
          </w:p>
          <w:p w14:paraId="52385C35" w14:textId="77777777" w:rsidR="00977058" w:rsidRPr="009C4193" w:rsidRDefault="0056669F">
            <w:pPr>
              <w:autoSpaceDE w:val="0"/>
              <w:autoSpaceDN w:val="0"/>
              <w:adjustRightInd w:val="0"/>
              <w:spacing w:after="0" w:line="240" w:lineRule="auto"/>
              <w:jc w:val="both"/>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T</w:t>
            </w:r>
            <w:r w:rsidRPr="009C4193">
              <w:rPr>
                <w:rFonts w:ascii="Times New Roman" w:hAnsi="Times New Roman" w:cs="Times New Roman"/>
                <w:kern w:val="0"/>
                <w:sz w:val="24"/>
                <w:szCs w:val="24"/>
                <w:vertAlign w:val="subscript"/>
                <w14:ligatures w14:val="none"/>
              </w:rPr>
              <w:t>9</w:t>
            </w:r>
            <w:r w:rsidRPr="009C4193">
              <w:rPr>
                <w:rFonts w:ascii="Times New Roman" w:hAnsi="Times New Roman" w:cs="Times New Roman"/>
                <w:kern w:val="0"/>
                <w:sz w:val="24"/>
                <w:szCs w:val="24"/>
                <w14:ligatures w14:val="none"/>
              </w:rPr>
              <w:t>: FYM @ 20 t/ha + Vermicompost @ 5 t/ha +Azotobacter</w:t>
            </w:r>
          </w:p>
          <w:p w14:paraId="5736434E" w14:textId="77777777" w:rsidR="00977058" w:rsidRPr="009C4193" w:rsidRDefault="0056669F">
            <w:pPr>
              <w:autoSpaceDE w:val="0"/>
              <w:autoSpaceDN w:val="0"/>
              <w:adjustRightInd w:val="0"/>
              <w:spacing w:after="0" w:line="240" w:lineRule="auto"/>
              <w:jc w:val="both"/>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T</w:t>
            </w:r>
            <w:r w:rsidRPr="009C4193">
              <w:rPr>
                <w:rFonts w:ascii="Times New Roman" w:hAnsi="Times New Roman" w:cs="Times New Roman"/>
                <w:kern w:val="0"/>
                <w:sz w:val="24"/>
                <w:szCs w:val="24"/>
                <w:vertAlign w:val="subscript"/>
                <w14:ligatures w14:val="none"/>
              </w:rPr>
              <w:t>10</w:t>
            </w:r>
            <w:r w:rsidRPr="009C4193">
              <w:rPr>
                <w:rFonts w:ascii="Times New Roman" w:hAnsi="Times New Roman" w:cs="Times New Roman"/>
                <w:kern w:val="0"/>
                <w:sz w:val="24"/>
                <w:szCs w:val="24"/>
                <w14:ligatures w14:val="none"/>
              </w:rPr>
              <w:t>:   NPK (75+ 80 + 100 kg/ha) + FYM @ 20 t/ha + PSB</w:t>
            </w:r>
          </w:p>
          <w:p w14:paraId="57C0F04F" w14:textId="77777777" w:rsidR="00977058" w:rsidRPr="009C4193" w:rsidRDefault="0056669F">
            <w:pPr>
              <w:autoSpaceDE w:val="0"/>
              <w:autoSpaceDN w:val="0"/>
              <w:adjustRightInd w:val="0"/>
              <w:spacing w:after="0" w:line="240" w:lineRule="auto"/>
              <w:jc w:val="both"/>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T</w:t>
            </w:r>
            <w:r w:rsidRPr="009C4193">
              <w:rPr>
                <w:rFonts w:ascii="Times New Roman" w:hAnsi="Times New Roman" w:cs="Times New Roman"/>
                <w:kern w:val="0"/>
                <w:sz w:val="24"/>
                <w:szCs w:val="24"/>
                <w:vertAlign w:val="subscript"/>
                <w14:ligatures w14:val="none"/>
              </w:rPr>
              <w:t>11</w:t>
            </w:r>
            <w:r w:rsidRPr="009C4193">
              <w:rPr>
                <w:rFonts w:ascii="Times New Roman" w:hAnsi="Times New Roman" w:cs="Times New Roman"/>
                <w:kern w:val="0"/>
                <w:sz w:val="24"/>
                <w:szCs w:val="24"/>
                <w14:ligatures w14:val="none"/>
              </w:rPr>
              <w:t>: NPK (75+ 80 + 100 kg/ha) + Vermicompost @ 5 t/ha + PSB</w:t>
            </w:r>
          </w:p>
          <w:p w14:paraId="1FCFF2E6" w14:textId="77777777" w:rsidR="00977058" w:rsidRPr="009C4193" w:rsidRDefault="0056669F">
            <w:pPr>
              <w:autoSpaceDE w:val="0"/>
              <w:autoSpaceDN w:val="0"/>
              <w:adjustRightInd w:val="0"/>
              <w:spacing w:after="0" w:line="240" w:lineRule="auto"/>
              <w:jc w:val="both"/>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T</w:t>
            </w:r>
            <w:r w:rsidRPr="009C4193">
              <w:rPr>
                <w:rFonts w:ascii="Times New Roman" w:hAnsi="Times New Roman" w:cs="Times New Roman"/>
                <w:kern w:val="0"/>
                <w:sz w:val="24"/>
                <w:szCs w:val="24"/>
                <w:vertAlign w:val="subscript"/>
                <w14:ligatures w14:val="none"/>
              </w:rPr>
              <w:t>12</w:t>
            </w:r>
            <w:r w:rsidRPr="009C4193">
              <w:rPr>
                <w:rFonts w:ascii="Times New Roman" w:hAnsi="Times New Roman" w:cs="Times New Roman"/>
                <w:kern w:val="0"/>
                <w:sz w:val="24"/>
                <w:szCs w:val="24"/>
                <w14:ligatures w14:val="none"/>
              </w:rPr>
              <w:t>: FYM @ 20 t/ha + Vermicompost @ 5 t/ha +PSB</w:t>
            </w:r>
          </w:p>
        </w:tc>
      </w:tr>
      <w:tr w:rsidR="00977058" w:rsidRPr="009C4193" w14:paraId="5A9042C4" w14:textId="77777777">
        <w:trPr>
          <w:trHeight w:val="175"/>
        </w:trPr>
        <w:tc>
          <w:tcPr>
            <w:tcW w:w="1972" w:type="pct"/>
            <w:vAlign w:val="center"/>
          </w:tcPr>
          <w:p w14:paraId="0B2B1271" w14:textId="77777777" w:rsidR="00977058" w:rsidRPr="009C4193" w:rsidRDefault="0056669F">
            <w:pPr>
              <w:autoSpaceDE w:val="0"/>
              <w:autoSpaceDN w:val="0"/>
              <w:adjustRightInd w:val="0"/>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 xml:space="preserve">Seed sowing dates </w:t>
            </w:r>
          </w:p>
        </w:tc>
        <w:tc>
          <w:tcPr>
            <w:tcW w:w="3028" w:type="pct"/>
          </w:tcPr>
          <w:p w14:paraId="0E6F2FFA" w14:textId="77777777" w:rsidR="00977058" w:rsidRPr="009C4193" w:rsidRDefault="0056669F">
            <w:pPr>
              <w:autoSpaceDE w:val="0"/>
              <w:autoSpaceDN w:val="0"/>
              <w:adjustRightInd w:val="0"/>
              <w:spacing w:after="0" w:line="240" w:lineRule="auto"/>
              <w:jc w:val="both"/>
              <w:rPr>
                <w:rFonts w:ascii="Times New Roman" w:hAnsi="Times New Roman" w:cs="Times New Roman"/>
                <w:spacing w:val="15"/>
                <w:kern w:val="0"/>
                <w:sz w:val="24"/>
                <w:szCs w:val="24"/>
                <w14:ligatures w14:val="none"/>
              </w:rPr>
            </w:pPr>
            <w:r w:rsidRPr="009C4193">
              <w:rPr>
                <w:rFonts w:ascii="Times New Roman" w:hAnsi="Times New Roman" w:cs="Times New Roman"/>
                <w:kern w:val="0"/>
                <w:sz w:val="24"/>
                <w:szCs w:val="24"/>
                <w14:ligatures w14:val="none"/>
              </w:rPr>
              <w:t>10</w:t>
            </w:r>
            <w:r w:rsidRPr="009C4193">
              <w:rPr>
                <w:rFonts w:ascii="Times New Roman" w:hAnsi="Times New Roman" w:cs="Times New Roman"/>
                <w:kern w:val="0"/>
                <w:sz w:val="24"/>
                <w:szCs w:val="24"/>
                <w:vertAlign w:val="superscript"/>
                <w14:ligatures w14:val="none"/>
              </w:rPr>
              <w:t>th</w:t>
            </w:r>
            <w:r w:rsidRPr="009C4193">
              <w:rPr>
                <w:rFonts w:ascii="Times New Roman" w:hAnsi="Times New Roman" w:cs="Times New Roman"/>
                <w:kern w:val="0"/>
                <w:sz w:val="24"/>
                <w:szCs w:val="24"/>
                <w14:ligatures w14:val="none"/>
              </w:rPr>
              <w:t xml:space="preserve"> December 2020 and 12</w:t>
            </w:r>
            <w:r w:rsidRPr="009C4193">
              <w:rPr>
                <w:rFonts w:ascii="Times New Roman" w:hAnsi="Times New Roman" w:cs="Times New Roman"/>
                <w:kern w:val="0"/>
                <w:sz w:val="24"/>
                <w:szCs w:val="24"/>
                <w:vertAlign w:val="superscript"/>
                <w14:ligatures w14:val="none"/>
              </w:rPr>
              <w:t>th</w:t>
            </w:r>
            <w:r w:rsidRPr="009C4193">
              <w:rPr>
                <w:rFonts w:ascii="Times New Roman" w:hAnsi="Times New Roman" w:cs="Times New Roman"/>
                <w:kern w:val="0"/>
                <w:sz w:val="24"/>
                <w:szCs w:val="24"/>
                <w14:ligatures w14:val="none"/>
              </w:rPr>
              <w:t xml:space="preserve"> December 2021 </w:t>
            </w:r>
          </w:p>
        </w:tc>
      </w:tr>
      <w:tr w:rsidR="00977058" w:rsidRPr="009C4193" w14:paraId="5148AD09" w14:textId="77777777">
        <w:trPr>
          <w:trHeight w:val="175"/>
        </w:trPr>
        <w:tc>
          <w:tcPr>
            <w:tcW w:w="1972" w:type="pct"/>
            <w:vAlign w:val="center"/>
          </w:tcPr>
          <w:p w14:paraId="6B5E34D7" w14:textId="77777777" w:rsidR="00977058" w:rsidRPr="009C4193" w:rsidRDefault="0056669F">
            <w:pPr>
              <w:autoSpaceDE w:val="0"/>
              <w:autoSpaceDN w:val="0"/>
              <w:adjustRightInd w:val="0"/>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Transplanting dates</w:t>
            </w:r>
          </w:p>
        </w:tc>
        <w:tc>
          <w:tcPr>
            <w:tcW w:w="3028" w:type="pct"/>
          </w:tcPr>
          <w:p w14:paraId="181DFB91" w14:textId="77777777" w:rsidR="00977058" w:rsidRPr="009C4193" w:rsidRDefault="0056669F">
            <w:pPr>
              <w:autoSpaceDE w:val="0"/>
              <w:autoSpaceDN w:val="0"/>
              <w:adjustRightInd w:val="0"/>
              <w:spacing w:after="0" w:line="240" w:lineRule="auto"/>
              <w:jc w:val="both"/>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15</w:t>
            </w:r>
            <w:r w:rsidRPr="009C4193">
              <w:rPr>
                <w:rFonts w:ascii="Times New Roman" w:hAnsi="Times New Roman" w:cs="Times New Roman"/>
                <w:kern w:val="0"/>
                <w:sz w:val="24"/>
                <w:szCs w:val="24"/>
                <w:vertAlign w:val="superscript"/>
                <w14:ligatures w14:val="none"/>
              </w:rPr>
              <w:t>th</w:t>
            </w:r>
            <w:r w:rsidRPr="009C4193">
              <w:rPr>
                <w:rFonts w:ascii="Times New Roman" w:hAnsi="Times New Roman" w:cs="Times New Roman"/>
                <w:kern w:val="0"/>
                <w:sz w:val="24"/>
                <w:szCs w:val="24"/>
                <w14:ligatures w14:val="none"/>
              </w:rPr>
              <w:t xml:space="preserve"> January 2021 and 18</w:t>
            </w:r>
            <w:r w:rsidRPr="009C4193">
              <w:rPr>
                <w:rFonts w:ascii="Times New Roman" w:hAnsi="Times New Roman" w:cs="Times New Roman"/>
                <w:kern w:val="0"/>
                <w:sz w:val="24"/>
                <w:szCs w:val="24"/>
                <w:vertAlign w:val="superscript"/>
                <w14:ligatures w14:val="none"/>
              </w:rPr>
              <w:t>th</w:t>
            </w:r>
            <w:r w:rsidRPr="009C4193">
              <w:rPr>
                <w:rFonts w:ascii="Times New Roman" w:hAnsi="Times New Roman" w:cs="Times New Roman"/>
                <w:kern w:val="0"/>
                <w:sz w:val="24"/>
                <w:szCs w:val="24"/>
                <w14:ligatures w14:val="none"/>
              </w:rPr>
              <w:t xml:space="preserve"> January 2022</w:t>
            </w:r>
          </w:p>
        </w:tc>
      </w:tr>
    </w:tbl>
    <w:p w14:paraId="2BAECA1C" w14:textId="77777777" w:rsidR="00977058" w:rsidRPr="009C4193" w:rsidRDefault="00977058">
      <w:pPr>
        <w:autoSpaceDE w:val="0"/>
        <w:autoSpaceDN w:val="0"/>
        <w:adjustRightInd w:val="0"/>
        <w:spacing w:after="0" w:line="480" w:lineRule="auto"/>
        <w:jc w:val="both"/>
        <w:rPr>
          <w:rFonts w:ascii="Times New Roman" w:hAnsi="Times New Roman" w:cs="Times New Roman"/>
          <w:b/>
          <w:bCs/>
          <w:sz w:val="24"/>
          <w:szCs w:val="24"/>
        </w:rPr>
      </w:pPr>
    </w:p>
    <w:p w14:paraId="3DB6306C" w14:textId="77777777" w:rsidR="00977058" w:rsidRPr="009C4193" w:rsidRDefault="0056669F">
      <w:pPr>
        <w:autoSpaceDE w:val="0"/>
        <w:autoSpaceDN w:val="0"/>
        <w:adjustRightInd w:val="0"/>
        <w:spacing w:after="0" w:line="480" w:lineRule="auto"/>
        <w:jc w:val="both"/>
        <w:rPr>
          <w:rFonts w:ascii="Times New Roman" w:hAnsi="Times New Roman" w:cs="Times New Roman"/>
          <w:sz w:val="24"/>
          <w:szCs w:val="24"/>
        </w:rPr>
      </w:pPr>
      <w:r w:rsidRPr="009C4193">
        <w:rPr>
          <w:rFonts w:ascii="Times New Roman" w:hAnsi="Times New Roman" w:cs="Times New Roman"/>
          <w:b/>
          <w:bCs/>
          <w:sz w:val="24"/>
          <w:szCs w:val="24"/>
        </w:rPr>
        <w:t xml:space="preserve">Table 3 </w:t>
      </w:r>
      <w:r w:rsidRPr="009C4193">
        <w:rPr>
          <w:rFonts w:ascii="Times New Roman" w:hAnsi="Times New Roman" w:cs="Times New Roman"/>
          <w:sz w:val="24"/>
          <w:szCs w:val="24"/>
        </w:rPr>
        <w:t>Physical and Chemical properties of experimental Soil</w:t>
      </w:r>
    </w:p>
    <w:tbl>
      <w:tblPr>
        <w:tblStyle w:val="TableGrid"/>
        <w:tblW w:w="988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4"/>
        <w:gridCol w:w="1422"/>
        <w:gridCol w:w="1442"/>
        <w:gridCol w:w="4584"/>
      </w:tblGrid>
      <w:tr w:rsidR="00977058" w:rsidRPr="009C4193" w14:paraId="6F8025AB" w14:textId="77777777">
        <w:trPr>
          <w:trHeight w:val="358"/>
        </w:trPr>
        <w:tc>
          <w:tcPr>
            <w:tcW w:w="2434" w:type="dxa"/>
            <w:vMerge w:val="restart"/>
            <w:tcBorders>
              <w:top w:val="single" w:sz="4" w:space="0" w:color="auto"/>
              <w:bottom w:val="single" w:sz="4" w:space="0" w:color="auto"/>
            </w:tcBorders>
            <w:vAlign w:val="center"/>
          </w:tcPr>
          <w:p w14:paraId="116C86A3" w14:textId="77777777" w:rsidR="00977058" w:rsidRPr="009C4193" w:rsidRDefault="0056669F">
            <w:pPr>
              <w:autoSpaceDE w:val="0"/>
              <w:autoSpaceDN w:val="0"/>
              <w:adjustRightInd w:val="0"/>
              <w:spacing w:after="0" w:line="240" w:lineRule="auto"/>
              <w:jc w:val="both"/>
              <w:rPr>
                <w:rFonts w:ascii="Times New Roman" w:hAnsi="Times New Roman" w:cs="Times New Roman"/>
                <w:kern w:val="0"/>
                <w:sz w:val="24"/>
                <w:szCs w:val="24"/>
                <w14:ligatures w14:val="none"/>
              </w:rPr>
            </w:pPr>
            <w:bookmarkStart w:id="2" w:name="_Hlk131339174"/>
            <w:r w:rsidRPr="009C4193">
              <w:rPr>
                <w:rFonts w:ascii="Times New Roman" w:hAnsi="Times New Roman" w:cs="Times New Roman"/>
                <w:kern w:val="0"/>
                <w:sz w:val="24"/>
                <w:szCs w:val="24"/>
                <w14:ligatures w14:val="none"/>
              </w:rPr>
              <w:t>Specification</w:t>
            </w:r>
          </w:p>
        </w:tc>
        <w:tc>
          <w:tcPr>
            <w:tcW w:w="2864" w:type="dxa"/>
            <w:gridSpan w:val="2"/>
            <w:tcBorders>
              <w:top w:val="single" w:sz="4" w:space="0" w:color="auto"/>
              <w:bottom w:val="single" w:sz="4" w:space="0" w:color="auto"/>
            </w:tcBorders>
            <w:vAlign w:val="center"/>
          </w:tcPr>
          <w:p w14:paraId="0B75E82B" w14:textId="77777777" w:rsidR="00977058" w:rsidRPr="009C4193" w:rsidRDefault="0056669F">
            <w:pPr>
              <w:autoSpaceDE w:val="0"/>
              <w:autoSpaceDN w:val="0"/>
              <w:adjustRightInd w:val="0"/>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Test Value</w:t>
            </w:r>
          </w:p>
        </w:tc>
        <w:tc>
          <w:tcPr>
            <w:tcW w:w="4584" w:type="dxa"/>
            <w:tcBorders>
              <w:top w:val="single" w:sz="4" w:space="0" w:color="auto"/>
              <w:bottom w:val="single" w:sz="4" w:space="0" w:color="auto"/>
            </w:tcBorders>
            <w:vAlign w:val="center"/>
          </w:tcPr>
          <w:p w14:paraId="45588200" w14:textId="77777777" w:rsidR="00977058" w:rsidRPr="009C4193" w:rsidRDefault="0056669F">
            <w:pPr>
              <w:autoSpaceDE w:val="0"/>
              <w:autoSpaceDN w:val="0"/>
              <w:adjustRightInd w:val="0"/>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Method of Analysis</w:t>
            </w:r>
          </w:p>
        </w:tc>
      </w:tr>
      <w:tr w:rsidR="00977058" w:rsidRPr="009C4193" w14:paraId="07BA2A87" w14:textId="77777777">
        <w:trPr>
          <w:trHeight w:val="191"/>
        </w:trPr>
        <w:tc>
          <w:tcPr>
            <w:tcW w:w="2434" w:type="dxa"/>
            <w:vMerge/>
            <w:tcBorders>
              <w:top w:val="nil"/>
              <w:bottom w:val="single" w:sz="4" w:space="0" w:color="auto"/>
            </w:tcBorders>
            <w:vAlign w:val="center"/>
          </w:tcPr>
          <w:p w14:paraId="22321200" w14:textId="77777777" w:rsidR="00977058" w:rsidRPr="009C4193" w:rsidRDefault="00977058">
            <w:pPr>
              <w:autoSpaceDE w:val="0"/>
              <w:autoSpaceDN w:val="0"/>
              <w:adjustRightInd w:val="0"/>
              <w:spacing w:after="0" w:line="240" w:lineRule="auto"/>
              <w:jc w:val="center"/>
              <w:rPr>
                <w:rFonts w:ascii="Times New Roman" w:hAnsi="Times New Roman" w:cs="Times New Roman"/>
                <w:kern w:val="0"/>
                <w:sz w:val="24"/>
                <w:szCs w:val="24"/>
                <w14:ligatures w14:val="none"/>
              </w:rPr>
            </w:pPr>
          </w:p>
        </w:tc>
        <w:tc>
          <w:tcPr>
            <w:tcW w:w="1422" w:type="dxa"/>
            <w:tcBorders>
              <w:top w:val="single" w:sz="4" w:space="0" w:color="auto"/>
              <w:bottom w:val="single" w:sz="4" w:space="0" w:color="auto"/>
            </w:tcBorders>
            <w:vAlign w:val="center"/>
          </w:tcPr>
          <w:p w14:paraId="75E94DA8" w14:textId="77777777" w:rsidR="00977058" w:rsidRPr="009C4193" w:rsidRDefault="0056669F">
            <w:pPr>
              <w:autoSpaceDE w:val="0"/>
              <w:autoSpaceDN w:val="0"/>
              <w:adjustRightInd w:val="0"/>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2020-2021</w:t>
            </w:r>
          </w:p>
        </w:tc>
        <w:tc>
          <w:tcPr>
            <w:tcW w:w="1442" w:type="dxa"/>
            <w:tcBorders>
              <w:top w:val="single" w:sz="4" w:space="0" w:color="auto"/>
              <w:bottom w:val="single" w:sz="4" w:space="0" w:color="auto"/>
            </w:tcBorders>
            <w:vAlign w:val="center"/>
          </w:tcPr>
          <w:p w14:paraId="12552710" w14:textId="77777777" w:rsidR="00977058" w:rsidRPr="009C4193" w:rsidRDefault="0056669F">
            <w:pPr>
              <w:autoSpaceDE w:val="0"/>
              <w:autoSpaceDN w:val="0"/>
              <w:adjustRightInd w:val="0"/>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2021-2022</w:t>
            </w:r>
          </w:p>
        </w:tc>
        <w:tc>
          <w:tcPr>
            <w:tcW w:w="4584" w:type="dxa"/>
            <w:tcBorders>
              <w:top w:val="single" w:sz="4" w:space="0" w:color="auto"/>
              <w:bottom w:val="single" w:sz="4" w:space="0" w:color="auto"/>
            </w:tcBorders>
            <w:vAlign w:val="center"/>
          </w:tcPr>
          <w:p w14:paraId="67C83C32" w14:textId="77777777" w:rsidR="00977058" w:rsidRPr="009C4193" w:rsidRDefault="00977058">
            <w:pPr>
              <w:autoSpaceDE w:val="0"/>
              <w:autoSpaceDN w:val="0"/>
              <w:adjustRightInd w:val="0"/>
              <w:spacing w:after="0" w:line="240" w:lineRule="auto"/>
              <w:jc w:val="center"/>
              <w:rPr>
                <w:rFonts w:ascii="Times New Roman" w:hAnsi="Times New Roman" w:cs="Times New Roman"/>
                <w:kern w:val="0"/>
                <w:sz w:val="24"/>
                <w:szCs w:val="24"/>
                <w14:ligatures w14:val="none"/>
              </w:rPr>
            </w:pPr>
          </w:p>
        </w:tc>
      </w:tr>
      <w:bookmarkEnd w:id="2"/>
      <w:tr w:rsidR="00977058" w:rsidRPr="009C4193" w14:paraId="0B8EC2CB" w14:textId="77777777">
        <w:trPr>
          <w:trHeight w:val="60"/>
        </w:trPr>
        <w:tc>
          <w:tcPr>
            <w:tcW w:w="2434" w:type="dxa"/>
            <w:vAlign w:val="center"/>
          </w:tcPr>
          <w:p w14:paraId="0BFE20CA" w14:textId="77777777" w:rsidR="00977058" w:rsidRPr="009C4193" w:rsidRDefault="0056669F">
            <w:pPr>
              <w:autoSpaceDE w:val="0"/>
              <w:autoSpaceDN w:val="0"/>
              <w:adjustRightInd w:val="0"/>
              <w:spacing w:after="0" w:line="240" w:lineRule="auto"/>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Field Capacity (%)</w:t>
            </w:r>
          </w:p>
        </w:tc>
        <w:tc>
          <w:tcPr>
            <w:tcW w:w="1422" w:type="dxa"/>
            <w:vAlign w:val="center"/>
          </w:tcPr>
          <w:p w14:paraId="2F3C8B26" w14:textId="77777777" w:rsidR="00977058" w:rsidRPr="009C4193" w:rsidRDefault="0056669F">
            <w:pPr>
              <w:autoSpaceDE w:val="0"/>
              <w:autoSpaceDN w:val="0"/>
              <w:adjustRightInd w:val="0"/>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19.51</w:t>
            </w:r>
          </w:p>
        </w:tc>
        <w:tc>
          <w:tcPr>
            <w:tcW w:w="1442" w:type="dxa"/>
            <w:vAlign w:val="center"/>
          </w:tcPr>
          <w:p w14:paraId="40B2F943" w14:textId="77777777" w:rsidR="00977058" w:rsidRPr="009C4193" w:rsidRDefault="0056669F">
            <w:pPr>
              <w:autoSpaceDE w:val="0"/>
              <w:autoSpaceDN w:val="0"/>
              <w:adjustRightInd w:val="0"/>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19.25</w:t>
            </w:r>
          </w:p>
        </w:tc>
        <w:tc>
          <w:tcPr>
            <w:tcW w:w="4584" w:type="dxa"/>
            <w:vAlign w:val="center"/>
          </w:tcPr>
          <w:p w14:paraId="2D114B9E" w14:textId="77777777" w:rsidR="00977058" w:rsidRPr="009C4193" w:rsidRDefault="0056669F">
            <w:pPr>
              <w:autoSpaceDE w:val="0"/>
              <w:autoSpaceDN w:val="0"/>
              <w:adjustRightInd w:val="0"/>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Field Method</w:t>
            </w:r>
          </w:p>
        </w:tc>
      </w:tr>
      <w:tr w:rsidR="00977058" w:rsidRPr="009C4193" w14:paraId="107AABAD" w14:textId="77777777">
        <w:trPr>
          <w:trHeight w:val="304"/>
        </w:trPr>
        <w:tc>
          <w:tcPr>
            <w:tcW w:w="2434" w:type="dxa"/>
            <w:vAlign w:val="center"/>
          </w:tcPr>
          <w:p w14:paraId="7ED3A9C7" w14:textId="77777777" w:rsidR="00977058" w:rsidRPr="009C4193" w:rsidRDefault="0056669F">
            <w:pPr>
              <w:autoSpaceDE w:val="0"/>
              <w:autoSpaceDN w:val="0"/>
              <w:adjustRightInd w:val="0"/>
              <w:spacing w:after="0" w:line="240" w:lineRule="auto"/>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Wilting Point (%)</w:t>
            </w:r>
          </w:p>
        </w:tc>
        <w:tc>
          <w:tcPr>
            <w:tcW w:w="1422" w:type="dxa"/>
            <w:vAlign w:val="center"/>
          </w:tcPr>
          <w:p w14:paraId="192534CD" w14:textId="77777777" w:rsidR="00977058" w:rsidRPr="009C4193" w:rsidRDefault="0056669F">
            <w:pPr>
              <w:autoSpaceDE w:val="0"/>
              <w:autoSpaceDN w:val="0"/>
              <w:adjustRightInd w:val="0"/>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5.82</w:t>
            </w:r>
          </w:p>
        </w:tc>
        <w:tc>
          <w:tcPr>
            <w:tcW w:w="1442" w:type="dxa"/>
            <w:vAlign w:val="center"/>
          </w:tcPr>
          <w:p w14:paraId="4367598A" w14:textId="77777777" w:rsidR="00977058" w:rsidRPr="009C4193" w:rsidRDefault="0056669F">
            <w:pPr>
              <w:autoSpaceDE w:val="0"/>
              <w:autoSpaceDN w:val="0"/>
              <w:adjustRightInd w:val="0"/>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5.72</w:t>
            </w:r>
          </w:p>
        </w:tc>
        <w:tc>
          <w:tcPr>
            <w:tcW w:w="4584" w:type="dxa"/>
            <w:vAlign w:val="center"/>
          </w:tcPr>
          <w:p w14:paraId="6EE2DE65" w14:textId="77777777" w:rsidR="00977058" w:rsidRPr="009C4193" w:rsidRDefault="0056669F">
            <w:pPr>
              <w:autoSpaceDE w:val="0"/>
              <w:autoSpaceDN w:val="0"/>
              <w:adjustRightInd w:val="0"/>
              <w:spacing w:after="0" w:line="240" w:lineRule="auto"/>
              <w:ind w:right="-112"/>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 xml:space="preserve">On 15 atm. </w:t>
            </w:r>
            <w:proofErr w:type="spellStart"/>
            <w:r w:rsidRPr="009C4193">
              <w:rPr>
                <w:rFonts w:ascii="Times New Roman" w:hAnsi="Times New Roman" w:cs="Times New Roman"/>
                <w:kern w:val="0"/>
                <w:sz w:val="24"/>
                <w:szCs w:val="24"/>
                <w14:ligatures w14:val="none"/>
              </w:rPr>
              <w:t>Tns</w:t>
            </w:r>
            <w:proofErr w:type="spellEnd"/>
            <w:r w:rsidRPr="009C4193">
              <w:rPr>
                <w:rFonts w:ascii="Times New Roman" w:hAnsi="Times New Roman" w:cs="Times New Roman"/>
                <w:kern w:val="0"/>
                <w:sz w:val="24"/>
                <w:szCs w:val="24"/>
                <w14:ligatures w14:val="none"/>
              </w:rPr>
              <w:t>. value</w:t>
            </w:r>
          </w:p>
        </w:tc>
      </w:tr>
      <w:tr w:rsidR="00977058" w:rsidRPr="009C4193" w14:paraId="360D06DE" w14:textId="77777777">
        <w:trPr>
          <w:trHeight w:val="68"/>
        </w:trPr>
        <w:tc>
          <w:tcPr>
            <w:tcW w:w="2434" w:type="dxa"/>
            <w:vAlign w:val="center"/>
          </w:tcPr>
          <w:p w14:paraId="4D18BD60" w14:textId="77777777" w:rsidR="00977058" w:rsidRPr="009C4193" w:rsidRDefault="0056669F">
            <w:pPr>
              <w:autoSpaceDE w:val="0"/>
              <w:autoSpaceDN w:val="0"/>
              <w:adjustRightInd w:val="0"/>
              <w:spacing w:after="0" w:line="240" w:lineRule="auto"/>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Bulk Density (%)</w:t>
            </w:r>
          </w:p>
        </w:tc>
        <w:tc>
          <w:tcPr>
            <w:tcW w:w="1422" w:type="dxa"/>
            <w:vAlign w:val="center"/>
          </w:tcPr>
          <w:p w14:paraId="4925E830" w14:textId="77777777" w:rsidR="00977058" w:rsidRPr="009C4193" w:rsidRDefault="0056669F">
            <w:pPr>
              <w:autoSpaceDE w:val="0"/>
              <w:autoSpaceDN w:val="0"/>
              <w:adjustRightInd w:val="0"/>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1.48</w:t>
            </w:r>
          </w:p>
        </w:tc>
        <w:tc>
          <w:tcPr>
            <w:tcW w:w="1442" w:type="dxa"/>
            <w:vAlign w:val="center"/>
          </w:tcPr>
          <w:p w14:paraId="4E494AE2" w14:textId="77777777" w:rsidR="00977058" w:rsidRPr="009C4193" w:rsidRDefault="0056669F">
            <w:pPr>
              <w:autoSpaceDE w:val="0"/>
              <w:autoSpaceDN w:val="0"/>
              <w:adjustRightInd w:val="0"/>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1.45</w:t>
            </w:r>
          </w:p>
        </w:tc>
        <w:tc>
          <w:tcPr>
            <w:tcW w:w="4584" w:type="dxa"/>
            <w:vAlign w:val="center"/>
          </w:tcPr>
          <w:p w14:paraId="6CCAAAF2" w14:textId="77777777" w:rsidR="00977058" w:rsidRPr="009C4193" w:rsidRDefault="0056669F">
            <w:pPr>
              <w:autoSpaceDE w:val="0"/>
              <w:autoSpaceDN w:val="0"/>
              <w:adjustRightInd w:val="0"/>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Core sample method</w:t>
            </w:r>
          </w:p>
        </w:tc>
      </w:tr>
      <w:tr w:rsidR="00977058" w:rsidRPr="009C4193" w14:paraId="18EC1B37" w14:textId="77777777">
        <w:trPr>
          <w:trHeight w:val="309"/>
        </w:trPr>
        <w:tc>
          <w:tcPr>
            <w:tcW w:w="2434" w:type="dxa"/>
            <w:vAlign w:val="center"/>
          </w:tcPr>
          <w:p w14:paraId="2CCD3D5A" w14:textId="77777777" w:rsidR="00977058" w:rsidRPr="009C4193" w:rsidRDefault="0056669F">
            <w:pPr>
              <w:autoSpaceDE w:val="0"/>
              <w:autoSpaceDN w:val="0"/>
              <w:adjustRightInd w:val="0"/>
              <w:spacing w:after="0" w:line="240" w:lineRule="auto"/>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Coarse Sand (%)</w:t>
            </w:r>
          </w:p>
        </w:tc>
        <w:tc>
          <w:tcPr>
            <w:tcW w:w="1422" w:type="dxa"/>
            <w:vAlign w:val="center"/>
          </w:tcPr>
          <w:p w14:paraId="58B78334" w14:textId="77777777" w:rsidR="00977058" w:rsidRPr="009C4193" w:rsidRDefault="0056669F">
            <w:pPr>
              <w:autoSpaceDE w:val="0"/>
              <w:autoSpaceDN w:val="0"/>
              <w:adjustRightInd w:val="0"/>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1.36</w:t>
            </w:r>
          </w:p>
        </w:tc>
        <w:tc>
          <w:tcPr>
            <w:tcW w:w="1442" w:type="dxa"/>
            <w:vAlign w:val="center"/>
          </w:tcPr>
          <w:p w14:paraId="1331561C" w14:textId="77777777" w:rsidR="00977058" w:rsidRPr="009C4193" w:rsidRDefault="0056669F">
            <w:pPr>
              <w:autoSpaceDE w:val="0"/>
              <w:autoSpaceDN w:val="0"/>
              <w:adjustRightInd w:val="0"/>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1.32</w:t>
            </w:r>
          </w:p>
        </w:tc>
        <w:tc>
          <w:tcPr>
            <w:tcW w:w="4584" w:type="dxa"/>
            <w:vMerge w:val="restart"/>
            <w:vAlign w:val="center"/>
          </w:tcPr>
          <w:p w14:paraId="66C11915" w14:textId="77777777" w:rsidR="00977058" w:rsidRPr="009C4193" w:rsidRDefault="0056669F">
            <w:pPr>
              <w:autoSpaceDE w:val="0"/>
              <w:autoSpaceDN w:val="0"/>
              <w:adjustRightInd w:val="0"/>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Hydrometer method</w:t>
            </w:r>
          </w:p>
        </w:tc>
      </w:tr>
      <w:tr w:rsidR="00977058" w:rsidRPr="009C4193" w14:paraId="24768DAE" w14:textId="77777777">
        <w:trPr>
          <w:trHeight w:val="304"/>
        </w:trPr>
        <w:tc>
          <w:tcPr>
            <w:tcW w:w="2434" w:type="dxa"/>
            <w:vAlign w:val="center"/>
          </w:tcPr>
          <w:p w14:paraId="34DCC5A1" w14:textId="77777777" w:rsidR="00977058" w:rsidRPr="009C4193" w:rsidRDefault="0056669F">
            <w:pPr>
              <w:autoSpaceDE w:val="0"/>
              <w:autoSpaceDN w:val="0"/>
              <w:adjustRightInd w:val="0"/>
              <w:spacing w:after="0" w:line="240" w:lineRule="auto"/>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Fine Sand (%)</w:t>
            </w:r>
          </w:p>
        </w:tc>
        <w:tc>
          <w:tcPr>
            <w:tcW w:w="1422" w:type="dxa"/>
            <w:vAlign w:val="center"/>
          </w:tcPr>
          <w:p w14:paraId="14967141" w14:textId="77777777" w:rsidR="00977058" w:rsidRPr="009C4193" w:rsidRDefault="0056669F">
            <w:pPr>
              <w:autoSpaceDE w:val="0"/>
              <w:autoSpaceDN w:val="0"/>
              <w:adjustRightInd w:val="0"/>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59.20</w:t>
            </w:r>
          </w:p>
        </w:tc>
        <w:tc>
          <w:tcPr>
            <w:tcW w:w="1442" w:type="dxa"/>
            <w:vAlign w:val="center"/>
          </w:tcPr>
          <w:p w14:paraId="6A839431" w14:textId="77777777" w:rsidR="00977058" w:rsidRPr="009C4193" w:rsidRDefault="0056669F">
            <w:pPr>
              <w:autoSpaceDE w:val="0"/>
              <w:autoSpaceDN w:val="0"/>
              <w:adjustRightInd w:val="0"/>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58.20</w:t>
            </w:r>
          </w:p>
        </w:tc>
        <w:tc>
          <w:tcPr>
            <w:tcW w:w="4584" w:type="dxa"/>
            <w:vMerge/>
            <w:vAlign w:val="center"/>
          </w:tcPr>
          <w:p w14:paraId="54D903E0" w14:textId="77777777" w:rsidR="00977058" w:rsidRPr="009C4193" w:rsidRDefault="00977058">
            <w:pPr>
              <w:autoSpaceDE w:val="0"/>
              <w:autoSpaceDN w:val="0"/>
              <w:adjustRightInd w:val="0"/>
              <w:spacing w:after="0" w:line="240" w:lineRule="auto"/>
              <w:jc w:val="center"/>
              <w:rPr>
                <w:rFonts w:ascii="Times New Roman" w:hAnsi="Times New Roman" w:cs="Times New Roman"/>
                <w:kern w:val="0"/>
                <w:sz w:val="24"/>
                <w:szCs w:val="24"/>
                <w14:ligatures w14:val="none"/>
              </w:rPr>
            </w:pPr>
          </w:p>
        </w:tc>
      </w:tr>
      <w:tr w:rsidR="00977058" w:rsidRPr="009C4193" w14:paraId="40BFB664" w14:textId="77777777">
        <w:trPr>
          <w:trHeight w:val="304"/>
        </w:trPr>
        <w:tc>
          <w:tcPr>
            <w:tcW w:w="2434" w:type="dxa"/>
            <w:vAlign w:val="center"/>
          </w:tcPr>
          <w:p w14:paraId="732615DD" w14:textId="77777777" w:rsidR="00977058" w:rsidRPr="009C4193" w:rsidRDefault="0056669F">
            <w:pPr>
              <w:autoSpaceDE w:val="0"/>
              <w:autoSpaceDN w:val="0"/>
              <w:adjustRightInd w:val="0"/>
              <w:spacing w:after="0" w:line="240" w:lineRule="auto"/>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Silt (%)</w:t>
            </w:r>
          </w:p>
        </w:tc>
        <w:tc>
          <w:tcPr>
            <w:tcW w:w="1422" w:type="dxa"/>
            <w:vAlign w:val="center"/>
          </w:tcPr>
          <w:p w14:paraId="1721AE55" w14:textId="77777777" w:rsidR="00977058" w:rsidRPr="009C4193" w:rsidRDefault="0056669F">
            <w:pPr>
              <w:autoSpaceDE w:val="0"/>
              <w:autoSpaceDN w:val="0"/>
              <w:adjustRightInd w:val="0"/>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27.4</w:t>
            </w:r>
          </w:p>
        </w:tc>
        <w:tc>
          <w:tcPr>
            <w:tcW w:w="1442" w:type="dxa"/>
            <w:vAlign w:val="center"/>
          </w:tcPr>
          <w:p w14:paraId="0229ADDA" w14:textId="77777777" w:rsidR="00977058" w:rsidRPr="009C4193" w:rsidRDefault="0056669F">
            <w:pPr>
              <w:autoSpaceDE w:val="0"/>
              <w:autoSpaceDN w:val="0"/>
              <w:adjustRightInd w:val="0"/>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28.60</w:t>
            </w:r>
          </w:p>
        </w:tc>
        <w:tc>
          <w:tcPr>
            <w:tcW w:w="4584" w:type="dxa"/>
            <w:vMerge/>
            <w:vAlign w:val="center"/>
          </w:tcPr>
          <w:p w14:paraId="13FF35CD" w14:textId="77777777" w:rsidR="00977058" w:rsidRPr="009C4193" w:rsidRDefault="00977058">
            <w:pPr>
              <w:autoSpaceDE w:val="0"/>
              <w:autoSpaceDN w:val="0"/>
              <w:adjustRightInd w:val="0"/>
              <w:spacing w:after="0" w:line="240" w:lineRule="auto"/>
              <w:jc w:val="center"/>
              <w:rPr>
                <w:rFonts w:ascii="Times New Roman" w:hAnsi="Times New Roman" w:cs="Times New Roman"/>
                <w:kern w:val="0"/>
                <w:sz w:val="24"/>
                <w:szCs w:val="24"/>
                <w14:ligatures w14:val="none"/>
              </w:rPr>
            </w:pPr>
          </w:p>
        </w:tc>
      </w:tr>
      <w:tr w:rsidR="00977058" w:rsidRPr="009C4193" w14:paraId="6732BA76" w14:textId="77777777">
        <w:trPr>
          <w:trHeight w:val="68"/>
        </w:trPr>
        <w:tc>
          <w:tcPr>
            <w:tcW w:w="2434" w:type="dxa"/>
            <w:vAlign w:val="center"/>
          </w:tcPr>
          <w:p w14:paraId="15C4FEA9" w14:textId="77777777" w:rsidR="00977058" w:rsidRPr="009C4193" w:rsidRDefault="0056669F">
            <w:pPr>
              <w:autoSpaceDE w:val="0"/>
              <w:autoSpaceDN w:val="0"/>
              <w:adjustRightInd w:val="0"/>
              <w:spacing w:after="0" w:line="240" w:lineRule="auto"/>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Clay (%)</w:t>
            </w:r>
          </w:p>
        </w:tc>
        <w:tc>
          <w:tcPr>
            <w:tcW w:w="1422" w:type="dxa"/>
            <w:vAlign w:val="center"/>
          </w:tcPr>
          <w:p w14:paraId="416A5530" w14:textId="77777777" w:rsidR="00977058" w:rsidRPr="009C4193" w:rsidRDefault="0056669F">
            <w:pPr>
              <w:autoSpaceDE w:val="0"/>
              <w:autoSpaceDN w:val="0"/>
              <w:adjustRightInd w:val="0"/>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11.64</w:t>
            </w:r>
          </w:p>
        </w:tc>
        <w:tc>
          <w:tcPr>
            <w:tcW w:w="1442" w:type="dxa"/>
            <w:vAlign w:val="center"/>
          </w:tcPr>
          <w:p w14:paraId="2752EA55" w14:textId="77777777" w:rsidR="00977058" w:rsidRPr="009C4193" w:rsidRDefault="0056669F">
            <w:pPr>
              <w:autoSpaceDE w:val="0"/>
              <w:autoSpaceDN w:val="0"/>
              <w:adjustRightInd w:val="0"/>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11.40</w:t>
            </w:r>
          </w:p>
        </w:tc>
        <w:tc>
          <w:tcPr>
            <w:tcW w:w="4584" w:type="dxa"/>
            <w:vMerge/>
            <w:vAlign w:val="center"/>
          </w:tcPr>
          <w:p w14:paraId="32F474D4" w14:textId="77777777" w:rsidR="00977058" w:rsidRPr="009C4193" w:rsidRDefault="00977058">
            <w:pPr>
              <w:autoSpaceDE w:val="0"/>
              <w:autoSpaceDN w:val="0"/>
              <w:adjustRightInd w:val="0"/>
              <w:spacing w:after="0" w:line="240" w:lineRule="auto"/>
              <w:jc w:val="center"/>
              <w:rPr>
                <w:rFonts w:ascii="Times New Roman" w:hAnsi="Times New Roman" w:cs="Times New Roman"/>
                <w:kern w:val="0"/>
                <w:sz w:val="24"/>
                <w:szCs w:val="24"/>
                <w14:ligatures w14:val="none"/>
              </w:rPr>
            </w:pPr>
          </w:p>
        </w:tc>
      </w:tr>
      <w:tr w:rsidR="00977058" w:rsidRPr="009C4193" w14:paraId="0D8FE84F" w14:textId="77777777">
        <w:trPr>
          <w:trHeight w:val="68"/>
        </w:trPr>
        <w:tc>
          <w:tcPr>
            <w:tcW w:w="2434" w:type="dxa"/>
            <w:vAlign w:val="center"/>
          </w:tcPr>
          <w:p w14:paraId="20282BB8" w14:textId="77777777" w:rsidR="00977058" w:rsidRPr="009C4193" w:rsidRDefault="0056669F">
            <w:pPr>
              <w:autoSpaceDE w:val="0"/>
              <w:autoSpaceDN w:val="0"/>
              <w:adjustRightInd w:val="0"/>
              <w:spacing w:after="0" w:line="240" w:lineRule="auto"/>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Coarse Sand (%)</w:t>
            </w:r>
          </w:p>
        </w:tc>
        <w:tc>
          <w:tcPr>
            <w:tcW w:w="1422" w:type="dxa"/>
            <w:vAlign w:val="center"/>
          </w:tcPr>
          <w:p w14:paraId="4021E612" w14:textId="77777777" w:rsidR="00977058" w:rsidRPr="009C4193" w:rsidRDefault="0056669F">
            <w:pPr>
              <w:autoSpaceDE w:val="0"/>
              <w:autoSpaceDN w:val="0"/>
              <w:adjustRightInd w:val="0"/>
              <w:spacing w:after="0" w:line="240" w:lineRule="auto"/>
              <w:ind w:right="-107"/>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Sandy Loam</w:t>
            </w:r>
          </w:p>
        </w:tc>
        <w:tc>
          <w:tcPr>
            <w:tcW w:w="1442" w:type="dxa"/>
            <w:vAlign w:val="center"/>
          </w:tcPr>
          <w:p w14:paraId="6F840B2A" w14:textId="77777777" w:rsidR="00977058" w:rsidRPr="009C4193" w:rsidRDefault="0056669F">
            <w:pPr>
              <w:autoSpaceDE w:val="0"/>
              <w:autoSpaceDN w:val="0"/>
              <w:adjustRightInd w:val="0"/>
              <w:spacing w:after="0" w:line="240" w:lineRule="auto"/>
              <w:ind w:right="-108"/>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Sandy Loam</w:t>
            </w:r>
          </w:p>
        </w:tc>
        <w:tc>
          <w:tcPr>
            <w:tcW w:w="4584" w:type="dxa"/>
            <w:vMerge/>
            <w:vAlign w:val="center"/>
          </w:tcPr>
          <w:p w14:paraId="37AD472A" w14:textId="77777777" w:rsidR="00977058" w:rsidRPr="009C4193" w:rsidRDefault="00977058">
            <w:pPr>
              <w:autoSpaceDE w:val="0"/>
              <w:autoSpaceDN w:val="0"/>
              <w:adjustRightInd w:val="0"/>
              <w:spacing w:after="0" w:line="240" w:lineRule="auto"/>
              <w:jc w:val="center"/>
              <w:rPr>
                <w:rFonts w:ascii="Times New Roman" w:hAnsi="Times New Roman" w:cs="Times New Roman"/>
                <w:kern w:val="0"/>
                <w:sz w:val="24"/>
                <w:szCs w:val="24"/>
                <w14:ligatures w14:val="none"/>
              </w:rPr>
            </w:pPr>
          </w:p>
        </w:tc>
      </w:tr>
      <w:tr w:rsidR="00977058" w:rsidRPr="009C4193" w14:paraId="406269E1" w14:textId="77777777">
        <w:trPr>
          <w:trHeight w:val="292"/>
        </w:trPr>
        <w:tc>
          <w:tcPr>
            <w:tcW w:w="2434" w:type="dxa"/>
            <w:vAlign w:val="center"/>
          </w:tcPr>
          <w:p w14:paraId="64CFCE34" w14:textId="77777777" w:rsidR="00977058" w:rsidRPr="009C4193" w:rsidRDefault="0056669F">
            <w:pPr>
              <w:autoSpaceDE w:val="0"/>
              <w:autoSpaceDN w:val="0"/>
              <w:adjustRightInd w:val="0"/>
              <w:spacing w:after="0" w:line="240" w:lineRule="auto"/>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pH</w:t>
            </w:r>
          </w:p>
        </w:tc>
        <w:tc>
          <w:tcPr>
            <w:tcW w:w="1422" w:type="dxa"/>
            <w:vAlign w:val="center"/>
          </w:tcPr>
          <w:p w14:paraId="132680E0" w14:textId="77777777" w:rsidR="00977058" w:rsidRPr="009C4193" w:rsidRDefault="0056669F">
            <w:pPr>
              <w:autoSpaceDE w:val="0"/>
              <w:autoSpaceDN w:val="0"/>
              <w:adjustRightInd w:val="0"/>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7.6</w:t>
            </w:r>
          </w:p>
        </w:tc>
        <w:tc>
          <w:tcPr>
            <w:tcW w:w="1442" w:type="dxa"/>
            <w:vAlign w:val="center"/>
          </w:tcPr>
          <w:p w14:paraId="472ADF00" w14:textId="77777777" w:rsidR="00977058" w:rsidRPr="009C4193" w:rsidRDefault="0056669F">
            <w:pPr>
              <w:autoSpaceDE w:val="0"/>
              <w:autoSpaceDN w:val="0"/>
              <w:adjustRightInd w:val="0"/>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7.6</w:t>
            </w:r>
          </w:p>
        </w:tc>
        <w:tc>
          <w:tcPr>
            <w:tcW w:w="4584" w:type="dxa"/>
            <w:vAlign w:val="center"/>
          </w:tcPr>
          <w:p w14:paraId="52B9E3BB" w14:textId="77777777" w:rsidR="00977058" w:rsidRPr="009C4193" w:rsidRDefault="0056669F">
            <w:pPr>
              <w:autoSpaceDE w:val="0"/>
              <w:autoSpaceDN w:val="0"/>
              <w:adjustRightInd w:val="0"/>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Glass electrode method</w:t>
            </w:r>
          </w:p>
        </w:tc>
      </w:tr>
      <w:tr w:rsidR="00977058" w:rsidRPr="009C4193" w14:paraId="0E933754" w14:textId="77777777">
        <w:trPr>
          <w:trHeight w:val="304"/>
        </w:trPr>
        <w:tc>
          <w:tcPr>
            <w:tcW w:w="2434" w:type="dxa"/>
            <w:vAlign w:val="center"/>
          </w:tcPr>
          <w:p w14:paraId="1A84BAA0" w14:textId="77777777" w:rsidR="00977058" w:rsidRPr="009C4193" w:rsidRDefault="0056669F">
            <w:pPr>
              <w:autoSpaceDE w:val="0"/>
              <w:autoSpaceDN w:val="0"/>
              <w:adjustRightInd w:val="0"/>
              <w:spacing w:after="0" w:line="240" w:lineRule="auto"/>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EC (mS/cm)</w:t>
            </w:r>
          </w:p>
        </w:tc>
        <w:tc>
          <w:tcPr>
            <w:tcW w:w="1422" w:type="dxa"/>
            <w:vAlign w:val="center"/>
          </w:tcPr>
          <w:p w14:paraId="70F85674" w14:textId="77777777" w:rsidR="00977058" w:rsidRPr="009C4193" w:rsidRDefault="0056669F">
            <w:pPr>
              <w:autoSpaceDE w:val="0"/>
              <w:autoSpaceDN w:val="0"/>
              <w:adjustRightInd w:val="0"/>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0.32</w:t>
            </w:r>
          </w:p>
        </w:tc>
        <w:tc>
          <w:tcPr>
            <w:tcW w:w="1442" w:type="dxa"/>
            <w:vAlign w:val="center"/>
          </w:tcPr>
          <w:p w14:paraId="0219812D" w14:textId="77777777" w:rsidR="00977058" w:rsidRPr="009C4193" w:rsidRDefault="0056669F">
            <w:pPr>
              <w:autoSpaceDE w:val="0"/>
              <w:autoSpaceDN w:val="0"/>
              <w:adjustRightInd w:val="0"/>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0.34</w:t>
            </w:r>
          </w:p>
        </w:tc>
        <w:tc>
          <w:tcPr>
            <w:tcW w:w="4584" w:type="dxa"/>
            <w:vAlign w:val="center"/>
          </w:tcPr>
          <w:p w14:paraId="277D5784" w14:textId="77777777" w:rsidR="00977058" w:rsidRPr="009C4193" w:rsidRDefault="0056669F">
            <w:pPr>
              <w:autoSpaceDE w:val="0"/>
              <w:autoSpaceDN w:val="0"/>
              <w:adjustRightInd w:val="0"/>
              <w:spacing w:after="0" w:line="240" w:lineRule="auto"/>
              <w:jc w:val="center"/>
              <w:rPr>
                <w:rFonts w:ascii="Times New Roman" w:hAnsi="Times New Roman" w:cs="Times New Roman"/>
                <w:kern w:val="0"/>
                <w:sz w:val="24"/>
                <w:szCs w:val="24"/>
                <w14:ligatures w14:val="none"/>
              </w:rPr>
            </w:pPr>
            <w:proofErr w:type="spellStart"/>
            <w:r w:rsidRPr="009C4193">
              <w:rPr>
                <w:rFonts w:ascii="Times New Roman" w:hAnsi="Times New Roman" w:cs="Times New Roman"/>
                <w:kern w:val="0"/>
                <w:sz w:val="24"/>
                <w:szCs w:val="24"/>
                <w14:ligatures w14:val="none"/>
              </w:rPr>
              <w:t>Salubridge</w:t>
            </w:r>
            <w:proofErr w:type="spellEnd"/>
            <w:r w:rsidRPr="009C4193">
              <w:rPr>
                <w:rFonts w:ascii="Times New Roman" w:hAnsi="Times New Roman" w:cs="Times New Roman"/>
                <w:kern w:val="0"/>
                <w:sz w:val="24"/>
                <w:szCs w:val="24"/>
                <w14:ligatures w14:val="none"/>
              </w:rPr>
              <w:t xml:space="preserve"> method</w:t>
            </w:r>
          </w:p>
        </w:tc>
      </w:tr>
      <w:tr w:rsidR="00977058" w:rsidRPr="009C4193" w14:paraId="2703830D" w14:textId="77777777">
        <w:trPr>
          <w:trHeight w:val="202"/>
        </w:trPr>
        <w:tc>
          <w:tcPr>
            <w:tcW w:w="2434" w:type="dxa"/>
            <w:vAlign w:val="center"/>
          </w:tcPr>
          <w:p w14:paraId="40BE49DD" w14:textId="77777777" w:rsidR="00977058" w:rsidRPr="009C4193" w:rsidRDefault="0056669F">
            <w:pPr>
              <w:autoSpaceDE w:val="0"/>
              <w:autoSpaceDN w:val="0"/>
              <w:adjustRightInd w:val="0"/>
              <w:spacing w:after="0" w:line="240" w:lineRule="auto"/>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Organic Carbon (%)</w:t>
            </w:r>
          </w:p>
        </w:tc>
        <w:tc>
          <w:tcPr>
            <w:tcW w:w="1422" w:type="dxa"/>
            <w:vAlign w:val="center"/>
          </w:tcPr>
          <w:p w14:paraId="5F246D8A" w14:textId="77777777" w:rsidR="00977058" w:rsidRPr="009C4193" w:rsidRDefault="0056669F">
            <w:pPr>
              <w:autoSpaceDE w:val="0"/>
              <w:autoSpaceDN w:val="0"/>
              <w:adjustRightInd w:val="0"/>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0.210</w:t>
            </w:r>
          </w:p>
        </w:tc>
        <w:tc>
          <w:tcPr>
            <w:tcW w:w="1442" w:type="dxa"/>
            <w:vAlign w:val="center"/>
          </w:tcPr>
          <w:p w14:paraId="138B2133" w14:textId="77777777" w:rsidR="00977058" w:rsidRPr="009C4193" w:rsidRDefault="0056669F">
            <w:pPr>
              <w:autoSpaceDE w:val="0"/>
              <w:autoSpaceDN w:val="0"/>
              <w:adjustRightInd w:val="0"/>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0.26</w:t>
            </w:r>
          </w:p>
        </w:tc>
        <w:tc>
          <w:tcPr>
            <w:tcW w:w="4584" w:type="dxa"/>
            <w:vAlign w:val="center"/>
          </w:tcPr>
          <w:p w14:paraId="5B8561BD" w14:textId="77777777" w:rsidR="00977058" w:rsidRPr="009C4193" w:rsidRDefault="0056669F">
            <w:pPr>
              <w:autoSpaceDE w:val="0"/>
              <w:autoSpaceDN w:val="0"/>
              <w:adjustRightInd w:val="0"/>
              <w:spacing w:after="0" w:line="240" w:lineRule="auto"/>
              <w:jc w:val="center"/>
              <w:rPr>
                <w:rFonts w:ascii="Times New Roman" w:hAnsi="Times New Roman" w:cs="Times New Roman"/>
                <w:kern w:val="0"/>
                <w:sz w:val="24"/>
                <w:szCs w:val="24"/>
                <w14:ligatures w14:val="none"/>
              </w:rPr>
            </w:pPr>
            <w:proofErr w:type="spellStart"/>
            <w:r w:rsidRPr="009C4193">
              <w:rPr>
                <w:rFonts w:ascii="Times New Roman" w:hAnsi="Times New Roman" w:cs="Times New Roman"/>
                <w:kern w:val="0"/>
                <w:sz w:val="24"/>
                <w:szCs w:val="24"/>
                <w14:ligatures w14:val="none"/>
              </w:rPr>
              <w:t>Walkel</w:t>
            </w:r>
            <w:proofErr w:type="spellEnd"/>
            <w:r w:rsidRPr="009C4193">
              <w:rPr>
                <w:rFonts w:ascii="Times New Roman" w:hAnsi="Times New Roman" w:cs="Times New Roman"/>
                <w:kern w:val="0"/>
                <w:sz w:val="24"/>
                <w:szCs w:val="24"/>
                <w14:ligatures w14:val="none"/>
              </w:rPr>
              <w:t xml:space="preserve"> &amp; Black Modified method</w:t>
            </w:r>
          </w:p>
        </w:tc>
      </w:tr>
      <w:tr w:rsidR="00977058" w:rsidRPr="009C4193" w14:paraId="2235BF9A" w14:textId="77777777">
        <w:trPr>
          <w:trHeight w:val="78"/>
        </w:trPr>
        <w:tc>
          <w:tcPr>
            <w:tcW w:w="2434" w:type="dxa"/>
            <w:vAlign w:val="center"/>
          </w:tcPr>
          <w:p w14:paraId="4CC75912" w14:textId="77777777" w:rsidR="00977058" w:rsidRPr="009C4193" w:rsidRDefault="0056669F">
            <w:pPr>
              <w:autoSpaceDE w:val="0"/>
              <w:autoSpaceDN w:val="0"/>
              <w:adjustRightInd w:val="0"/>
              <w:spacing w:after="0" w:line="240" w:lineRule="auto"/>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Available N (kg ha</w:t>
            </w:r>
            <w:r w:rsidRPr="009C4193">
              <w:rPr>
                <w:rFonts w:ascii="Times New Roman" w:hAnsi="Times New Roman" w:cs="Times New Roman"/>
                <w:kern w:val="0"/>
                <w:sz w:val="24"/>
                <w:szCs w:val="24"/>
                <w:vertAlign w:val="superscript"/>
                <w14:ligatures w14:val="none"/>
              </w:rPr>
              <w:t>-1</w:t>
            </w:r>
            <w:r w:rsidRPr="009C4193">
              <w:rPr>
                <w:rFonts w:ascii="Times New Roman" w:hAnsi="Times New Roman" w:cs="Times New Roman"/>
                <w:kern w:val="0"/>
                <w:sz w:val="24"/>
                <w:szCs w:val="24"/>
                <w14:ligatures w14:val="none"/>
              </w:rPr>
              <w:t>)</w:t>
            </w:r>
          </w:p>
        </w:tc>
        <w:tc>
          <w:tcPr>
            <w:tcW w:w="1422" w:type="dxa"/>
            <w:vAlign w:val="center"/>
          </w:tcPr>
          <w:p w14:paraId="16B0EF18" w14:textId="77777777" w:rsidR="00977058" w:rsidRPr="009C4193" w:rsidRDefault="0056669F">
            <w:pPr>
              <w:autoSpaceDE w:val="0"/>
              <w:autoSpaceDN w:val="0"/>
              <w:adjustRightInd w:val="0"/>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130.56</w:t>
            </w:r>
          </w:p>
        </w:tc>
        <w:tc>
          <w:tcPr>
            <w:tcW w:w="1442" w:type="dxa"/>
            <w:vAlign w:val="center"/>
          </w:tcPr>
          <w:p w14:paraId="1CD1203F" w14:textId="77777777" w:rsidR="00977058" w:rsidRPr="009C4193" w:rsidRDefault="0056669F">
            <w:pPr>
              <w:autoSpaceDE w:val="0"/>
              <w:autoSpaceDN w:val="0"/>
              <w:adjustRightInd w:val="0"/>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134.6</w:t>
            </w:r>
          </w:p>
        </w:tc>
        <w:tc>
          <w:tcPr>
            <w:tcW w:w="4584" w:type="dxa"/>
            <w:vAlign w:val="center"/>
          </w:tcPr>
          <w:p w14:paraId="1DCED107" w14:textId="77777777" w:rsidR="00977058" w:rsidRPr="009C4193" w:rsidRDefault="0056669F">
            <w:pPr>
              <w:autoSpaceDE w:val="0"/>
              <w:autoSpaceDN w:val="0"/>
              <w:adjustRightInd w:val="0"/>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 xml:space="preserve">Alkaline </w:t>
            </w:r>
            <w:proofErr w:type="spellStart"/>
            <w:r w:rsidRPr="009C4193">
              <w:rPr>
                <w:rFonts w:ascii="Times New Roman" w:hAnsi="Times New Roman" w:cs="Times New Roman"/>
                <w:kern w:val="0"/>
                <w:sz w:val="24"/>
                <w:szCs w:val="24"/>
                <w14:ligatures w14:val="none"/>
              </w:rPr>
              <w:t>permagnate</w:t>
            </w:r>
            <w:proofErr w:type="spellEnd"/>
            <w:r w:rsidRPr="009C4193">
              <w:rPr>
                <w:rFonts w:ascii="Times New Roman" w:hAnsi="Times New Roman" w:cs="Times New Roman"/>
                <w:kern w:val="0"/>
                <w:sz w:val="24"/>
                <w:szCs w:val="24"/>
                <w14:ligatures w14:val="none"/>
              </w:rPr>
              <w:t xml:space="preserve"> method</w:t>
            </w:r>
          </w:p>
        </w:tc>
      </w:tr>
      <w:tr w:rsidR="00977058" w:rsidRPr="009C4193" w14:paraId="790617E0" w14:textId="77777777">
        <w:trPr>
          <w:trHeight w:val="68"/>
        </w:trPr>
        <w:tc>
          <w:tcPr>
            <w:tcW w:w="2434" w:type="dxa"/>
            <w:vAlign w:val="center"/>
          </w:tcPr>
          <w:p w14:paraId="03044A6B" w14:textId="77777777" w:rsidR="00977058" w:rsidRPr="009C4193" w:rsidRDefault="0056669F">
            <w:pPr>
              <w:autoSpaceDE w:val="0"/>
              <w:autoSpaceDN w:val="0"/>
              <w:adjustRightInd w:val="0"/>
              <w:spacing w:after="0" w:line="240" w:lineRule="auto"/>
              <w:ind w:left="-131" w:right="-110"/>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Available P</w:t>
            </w:r>
            <w:r w:rsidRPr="009C4193">
              <w:rPr>
                <w:rFonts w:ascii="Times New Roman" w:hAnsi="Times New Roman" w:cs="Times New Roman"/>
                <w:kern w:val="0"/>
                <w:sz w:val="24"/>
                <w:szCs w:val="24"/>
                <w:vertAlign w:val="subscript"/>
                <w14:ligatures w14:val="none"/>
              </w:rPr>
              <w:t>2</w:t>
            </w:r>
            <w:r w:rsidRPr="009C4193">
              <w:rPr>
                <w:rFonts w:ascii="Times New Roman" w:hAnsi="Times New Roman" w:cs="Times New Roman"/>
                <w:kern w:val="0"/>
                <w:sz w:val="24"/>
                <w:szCs w:val="24"/>
                <w14:ligatures w14:val="none"/>
              </w:rPr>
              <w:t>O</w:t>
            </w:r>
            <w:r w:rsidRPr="009C4193">
              <w:rPr>
                <w:rFonts w:ascii="Times New Roman" w:hAnsi="Times New Roman" w:cs="Times New Roman"/>
                <w:kern w:val="0"/>
                <w:sz w:val="24"/>
                <w:szCs w:val="24"/>
                <w:vertAlign w:val="subscript"/>
                <w14:ligatures w14:val="none"/>
              </w:rPr>
              <w:t>5</w:t>
            </w:r>
            <w:r w:rsidRPr="009C4193">
              <w:rPr>
                <w:rFonts w:ascii="Times New Roman" w:hAnsi="Times New Roman" w:cs="Times New Roman"/>
                <w:kern w:val="0"/>
                <w:sz w:val="24"/>
                <w:szCs w:val="24"/>
                <w14:ligatures w14:val="none"/>
              </w:rPr>
              <w:t xml:space="preserve"> (kg ha</w:t>
            </w:r>
            <w:r w:rsidRPr="009C4193">
              <w:rPr>
                <w:rFonts w:ascii="Times New Roman" w:hAnsi="Times New Roman" w:cs="Times New Roman"/>
                <w:kern w:val="0"/>
                <w:sz w:val="24"/>
                <w:szCs w:val="24"/>
                <w:vertAlign w:val="superscript"/>
                <w14:ligatures w14:val="none"/>
              </w:rPr>
              <w:t>-1</w:t>
            </w:r>
            <w:r w:rsidRPr="009C4193">
              <w:rPr>
                <w:rFonts w:ascii="Times New Roman" w:hAnsi="Times New Roman" w:cs="Times New Roman"/>
                <w:kern w:val="0"/>
                <w:sz w:val="24"/>
                <w:szCs w:val="24"/>
                <w14:ligatures w14:val="none"/>
              </w:rPr>
              <w:t>)</w:t>
            </w:r>
          </w:p>
        </w:tc>
        <w:tc>
          <w:tcPr>
            <w:tcW w:w="1422" w:type="dxa"/>
            <w:vAlign w:val="center"/>
          </w:tcPr>
          <w:p w14:paraId="56A7ABAF" w14:textId="77777777" w:rsidR="00977058" w:rsidRPr="009C4193" w:rsidRDefault="0056669F">
            <w:pPr>
              <w:autoSpaceDE w:val="0"/>
              <w:autoSpaceDN w:val="0"/>
              <w:adjustRightInd w:val="0"/>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19.2</w:t>
            </w:r>
          </w:p>
        </w:tc>
        <w:tc>
          <w:tcPr>
            <w:tcW w:w="1442" w:type="dxa"/>
            <w:vAlign w:val="center"/>
          </w:tcPr>
          <w:p w14:paraId="797236FC" w14:textId="77777777" w:rsidR="00977058" w:rsidRPr="009C4193" w:rsidRDefault="0056669F">
            <w:pPr>
              <w:autoSpaceDE w:val="0"/>
              <w:autoSpaceDN w:val="0"/>
              <w:adjustRightInd w:val="0"/>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25.5</w:t>
            </w:r>
          </w:p>
        </w:tc>
        <w:tc>
          <w:tcPr>
            <w:tcW w:w="4584" w:type="dxa"/>
            <w:vAlign w:val="center"/>
          </w:tcPr>
          <w:p w14:paraId="2DB44D4C" w14:textId="77777777" w:rsidR="00977058" w:rsidRPr="009C4193" w:rsidRDefault="0056669F">
            <w:pPr>
              <w:autoSpaceDE w:val="0"/>
              <w:autoSpaceDN w:val="0"/>
              <w:adjustRightInd w:val="0"/>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Sodium-Bicarbonate Extracting method</w:t>
            </w:r>
          </w:p>
        </w:tc>
      </w:tr>
      <w:tr w:rsidR="00977058" w:rsidRPr="009C4193" w14:paraId="3F2739F0" w14:textId="77777777">
        <w:trPr>
          <w:trHeight w:val="68"/>
        </w:trPr>
        <w:tc>
          <w:tcPr>
            <w:tcW w:w="2434" w:type="dxa"/>
            <w:vAlign w:val="center"/>
          </w:tcPr>
          <w:p w14:paraId="79CEE036" w14:textId="77777777" w:rsidR="00977058" w:rsidRPr="009C4193" w:rsidRDefault="0056669F">
            <w:pPr>
              <w:autoSpaceDE w:val="0"/>
              <w:autoSpaceDN w:val="0"/>
              <w:adjustRightInd w:val="0"/>
              <w:spacing w:after="0" w:line="240" w:lineRule="auto"/>
              <w:ind w:left="-131" w:right="-110"/>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Available K</w:t>
            </w:r>
            <w:r w:rsidRPr="009C4193">
              <w:rPr>
                <w:rFonts w:ascii="Times New Roman" w:hAnsi="Times New Roman" w:cs="Times New Roman"/>
                <w:kern w:val="0"/>
                <w:sz w:val="24"/>
                <w:szCs w:val="24"/>
                <w:vertAlign w:val="subscript"/>
                <w14:ligatures w14:val="none"/>
              </w:rPr>
              <w:t>2</w:t>
            </w:r>
            <w:r w:rsidRPr="009C4193">
              <w:rPr>
                <w:rFonts w:ascii="Times New Roman" w:hAnsi="Times New Roman" w:cs="Times New Roman"/>
                <w:kern w:val="0"/>
                <w:sz w:val="24"/>
                <w:szCs w:val="24"/>
                <w14:ligatures w14:val="none"/>
              </w:rPr>
              <w:t>O (kg ha</w:t>
            </w:r>
            <w:r w:rsidRPr="009C4193">
              <w:rPr>
                <w:rFonts w:ascii="Times New Roman" w:hAnsi="Times New Roman" w:cs="Times New Roman"/>
                <w:kern w:val="0"/>
                <w:sz w:val="24"/>
                <w:szCs w:val="24"/>
                <w:vertAlign w:val="superscript"/>
                <w14:ligatures w14:val="none"/>
              </w:rPr>
              <w:t>-1</w:t>
            </w:r>
            <w:r w:rsidRPr="009C4193">
              <w:rPr>
                <w:rFonts w:ascii="Times New Roman" w:hAnsi="Times New Roman" w:cs="Times New Roman"/>
                <w:kern w:val="0"/>
                <w:sz w:val="24"/>
                <w:szCs w:val="24"/>
                <w14:ligatures w14:val="none"/>
              </w:rPr>
              <w:t>)</w:t>
            </w:r>
          </w:p>
        </w:tc>
        <w:tc>
          <w:tcPr>
            <w:tcW w:w="1422" w:type="dxa"/>
            <w:vAlign w:val="center"/>
          </w:tcPr>
          <w:p w14:paraId="107C70EE" w14:textId="77777777" w:rsidR="00977058" w:rsidRPr="009C4193" w:rsidRDefault="0056669F">
            <w:pPr>
              <w:autoSpaceDE w:val="0"/>
              <w:autoSpaceDN w:val="0"/>
              <w:adjustRightInd w:val="0"/>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135.2</w:t>
            </w:r>
          </w:p>
        </w:tc>
        <w:tc>
          <w:tcPr>
            <w:tcW w:w="1442" w:type="dxa"/>
            <w:vAlign w:val="center"/>
          </w:tcPr>
          <w:p w14:paraId="110510F0" w14:textId="77777777" w:rsidR="00977058" w:rsidRPr="009C4193" w:rsidRDefault="0056669F">
            <w:pPr>
              <w:autoSpaceDE w:val="0"/>
              <w:autoSpaceDN w:val="0"/>
              <w:adjustRightInd w:val="0"/>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235.8</w:t>
            </w:r>
          </w:p>
        </w:tc>
        <w:tc>
          <w:tcPr>
            <w:tcW w:w="4584" w:type="dxa"/>
            <w:vAlign w:val="center"/>
          </w:tcPr>
          <w:p w14:paraId="0A677CB1" w14:textId="77777777" w:rsidR="00977058" w:rsidRPr="009C4193" w:rsidRDefault="0056669F">
            <w:pPr>
              <w:autoSpaceDE w:val="0"/>
              <w:autoSpaceDN w:val="0"/>
              <w:adjustRightInd w:val="0"/>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Neutral Ammonium Acetate method</w:t>
            </w:r>
          </w:p>
        </w:tc>
      </w:tr>
    </w:tbl>
    <w:p w14:paraId="5EE68966" w14:textId="77777777" w:rsidR="00977058" w:rsidRPr="009C4193" w:rsidRDefault="0056669F">
      <w:pPr>
        <w:autoSpaceDE w:val="0"/>
        <w:autoSpaceDN w:val="0"/>
        <w:adjustRightInd w:val="0"/>
        <w:spacing w:after="0" w:line="480" w:lineRule="auto"/>
        <w:jc w:val="both"/>
        <w:rPr>
          <w:rFonts w:ascii="Times New Roman" w:hAnsi="Times New Roman" w:cs="Times New Roman"/>
          <w:sz w:val="24"/>
          <w:szCs w:val="24"/>
        </w:rPr>
      </w:pPr>
      <w:r w:rsidRPr="009C4193">
        <w:rPr>
          <w:rFonts w:ascii="Times New Roman" w:hAnsi="Times New Roman" w:cs="Times New Roman"/>
          <w:sz w:val="24"/>
          <w:szCs w:val="24"/>
        </w:rPr>
        <w:t>EC is the electrical conductivity; N is the nitrogen; P</w:t>
      </w:r>
      <w:r w:rsidRPr="009C4193">
        <w:rPr>
          <w:rFonts w:ascii="Times New Roman" w:hAnsi="Times New Roman" w:cs="Times New Roman"/>
          <w:sz w:val="24"/>
          <w:szCs w:val="24"/>
          <w:vertAlign w:val="subscript"/>
        </w:rPr>
        <w:t>2</w:t>
      </w:r>
      <w:r w:rsidRPr="009C4193">
        <w:rPr>
          <w:rFonts w:ascii="Times New Roman" w:hAnsi="Times New Roman" w:cs="Times New Roman"/>
          <w:sz w:val="24"/>
          <w:szCs w:val="24"/>
        </w:rPr>
        <w:t>O</w:t>
      </w:r>
      <w:r w:rsidRPr="009C4193">
        <w:rPr>
          <w:rFonts w:ascii="Times New Roman" w:hAnsi="Times New Roman" w:cs="Times New Roman"/>
          <w:sz w:val="24"/>
          <w:szCs w:val="24"/>
          <w:vertAlign w:val="subscript"/>
        </w:rPr>
        <w:t xml:space="preserve">5 </w:t>
      </w:r>
      <w:r w:rsidRPr="009C4193">
        <w:rPr>
          <w:rFonts w:ascii="Times New Roman" w:hAnsi="Times New Roman" w:cs="Times New Roman"/>
          <w:sz w:val="24"/>
          <w:szCs w:val="24"/>
        </w:rPr>
        <w:t>is the phosphorus pentoxide and K</w:t>
      </w:r>
      <w:r w:rsidRPr="009C4193">
        <w:rPr>
          <w:rFonts w:ascii="Times New Roman" w:hAnsi="Times New Roman" w:cs="Times New Roman"/>
          <w:sz w:val="24"/>
          <w:szCs w:val="24"/>
          <w:vertAlign w:val="subscript"/>
        </w:rPr>
        <w:t>2</w:t>
      </w:r>
      <w:r w:rsidRPr="009C4193">
        <w:rPr>
          <w:rFonts w:ascii="Times New Roman" w:hAnsi="Times New Roman" w:cs="Times New Roman"/>
          <w:sz w:val="24"/>
          <w:szCs w:val="24"/>
        </w:rPr>
        <w:t xml:space="preserve">O is the potassium oxide. </w:t>
      </w:r>
    </w:p>
    <w:p w14:paraId="267D461C" w14:textId="77777777" w:rsidR="00977058" w:rsidRPr="009C4193" w:rsidRDefault="0056669F">
      <w:pPr>
        <w:spacing w:after="0" w:line="480" w:lineRule="auto"/>
        <w:jc w:val="both"/>
        <w:rPr>
          <w:rFonts w:ascii="Times New Roman" w:hAnsi="Times New Roman" w:cs="Times New Roman"/>
          <w:b/>
          <w:bCs/>
          <w:sz w:val="24"/>
          <w:szCs w:val="24"/>
        </w:rPr>
      </w:pPr>
      <w:r w:rsidRPr="009C4193">
        <w:rPr>
          <w:rFonts w:ascii="Times New Roman" w:hAnsi="Times New Roman" w:cs="Times New Roman"/>
          <w:b/>
          <w:bCs/>
          <w:sz w:val="24"/>
          <w:szCs w:val="24"/>
        </w:rPr>
        <w:t xml:space="preserve">Data Collection and Analysis </w:t>
      </w:r>
    </w:p>
    <w:p w14:paraId="2EF75D2A" w14:textId="77777777" w:rsidR="00977058" w:rsidRPr="009C4193" w:rsidRDefault="0056669F">
      <w:pPr>
        <w:spacing w:after="0" w:line="480" w:lineRule="auto"/>
        <w:jc w:val="both"/>
        <w:rPr>
          <w:rFonts w:ascii="Times New Roman" w:hAnsi="Times New Roman" w:cs="Times New Roman"/>
          <w:sz w:val="24"/>
          <w:szCs w:val="24"/>
        </w:rPr>
      </w:pPr>
      <w:r w:rsidRPr="009C4193">
        <w:rPr>
          <w:rFonts w:ascii="Times New Roman" w:hAnsi="Times New Roman" w:cs="Times New Roman"/>
          <w:sz w:val="24"/>
          <w:szCs w:val="24"/>
        </w:rPr>
        <w:lastRenderedPageBreak/>
        <w:t>To evaluate the treatment effects, data on vegetative, yield, quality, and economic parameters were recorded as per standard agronomic protocols.</w:t>
      </w:r>
    </w:p>
    <w:p w14:paraId="62BDE88D" w14:textId="77777777" w:rsidR="00977058" w:rsidRPr="009C4193" w:rsidRDefault="0056669F">
      <w:pPr>
        <w:spacing w:after="0" w:line="480" w:lineRule="auto"/>
        <w:jc w:val="both"/>
        <w:rPr>
          <w:rFonts w:ascii="Times New Roman" w:hAnsi="Times New Roman" w:cs="Times New Roman"/>
          <w:b/>
          <w:bCs/>
          <w:sz w:val="24"/>
          <w:szCs w:val="24"/>
        </w:rPr>
      </w:pPr>
      <w:r w:rsidRPr="009C4193">
        <w:rPr>
          <w:rFonts w:ascii="Times New Roman" w:hAnsi="Times New Roman" w:cs="Times New Roman"/>
          <w:b/>
          <w:bCs/>
          <w:sz w:val="24"/>
          <w:szCs w:val="24"/>
        </w:rPr>
        <w:t>Vegetative Parameters</w:t>
      </w:r>
    </w:p>
    <w:p w14:paraId="1C723B16" w14:textId="77777777" w:rsidR="00977058" w:rsidRPr="009C4193" w:rsidRDefault="0056669F">
      <w:pPr>
        <w:spacing w:after="0" w:line="480" w:lineRule="auto"/>
        <w:jc w:val="both"/>
        <w:rPr>
          <w:rFonts w:ascii="Times New Roman" w:hAnsi="Times New Roman" w:cs="Times New Roman"/>
          <w:sz w:val="24"/>
          <w:szCs w:val="24"/>
        </w:rPr>
      </w:pPr>
      <w:r w:rsidRPr="009C4193">
        <w:rPr>
          <w:rFonts w:ascii="Times New Roman" w:hAnsi="Times New Roman" w:cs="Times New Roman"/>
          <w:sz w:val="24"/>
          <w:szCs w:val="24"/>
        </w:rPr>
        <w:t xml:space="preserve">Vegetative observations included plant height, number of leaves per plant, maximum leaf length, diameter of shoot, diameter of neck, fresh and dry weight of shoot, dry matter content of shoot, vertical and horizontal diameter of bulb. These parameters were recorded at 30-day intervals (30, 60, 90, and 120 DAT). Plant height and number of leaves were measured on five randomly selected tagged plants in each plot. Leaf length and neck diameter were measured at 120 DAT using a meter scale and screw gauge, respectively. Shoot diameter was measured using a Vernier </w:t>
      </w:r>
      <w:proofErr w:type="spellStart"/>
      <w:r w:rsidRPr="009C4193">
        <w:rPr>
          <w:rFonts w:ascii="Times New Roman" w:hAnsi="Times New Roman" w:cs="Times New Roman"/>
          <w:sz w:val="24"/>
          <w:szCs w:val="24"/>
        </w:rPr>
        <w:t>caliper</w:t>
      </w:r>
      <w:proofErr w:type="spellEnd"/>
      <w:r w:rsidRPr="009C4193">
        <w:rPr>
          <w:rFonts w:ascii="Times New Roman" w:hAnsi="Times New Roman" w:cs="Times New Roman"/>
          <w:sz w:val="24"/>
          <w:szCs w:val="24"/>
        </w:rPr>
        <w:t xml:space="preserve"> 10 cm above the ground. Shoot biomass was assessed by recording fresh weight immediately after harvest and dry weight after drying the shoot samples at 110°C for 24 hours and calculated accordingly. </w:t>
      </w:r>
    </w:p>
    <w:p w14:paraId="65517ECD" w14:textId="77777777" w:rsidR="00977058" w:rsidRPr="009C4193" w:rsidRDefault="0056669F">
      <w:pPr>
        <w:spacing w:after="0" w:line="480" w:lineRule="auto"/>
        <w:jc w:val="both"/>
        <w:rPr>
          <w:rFonts w:ascii="Times New Roman" w:hAnsi="Times New Roman" w:cs="Times New Roman"/>
          <w:b/>
          <w:bCs/>
          <w:sz w:val="24"/>
          <w:szCs w:val="24"/>
        </w:rPr>
      </w:pPr>
      <w:r w:rsidRPr="009C4193">
        <w:rPr>
          <w:rFonts w:ascii="Times New Roman" w:hAnsi="Times New Roman" w:cs="Times New Roman"/>
          <w:b/>
          <w:bCs/>
          <w:sz w:val="24"/>
          <w:szCs w:val="24"/>
        </w:rPr>
        <w:t>Yield Attributes</w:t>
      </w:r>
    </w:p>
    <w:p w14:paraId="449B267B" w14:textId="77777777" w:rsidR="00977058" w:rsidRPr="009C4193" w:rsidRDefault="0056669F">
      <w:pPr>
        <w:spacing w:after="0" w:line="480" w:lineRule="auto"/>
        <w:jc w:val="both"/>
        <w:rPr>
          <w:rFonts w:ascii="Times New Roman" w:hAnsi="Times New Roman" w:cs="Times New Roman"/>
          <w:sz w:val="24"/>
          <w:szCs w:val="24"/>
        </w:rPr>
      </w:pPr>
      <w:r w:rsidRPr="009C4193">
        <w:rPr>
          <w:rFonts w:ascii="Times New Roman" w:hAnsi="Times New Roman" w:cs="Times New Roman"/>
          <w:sz w:val="24"/>
          <w:szCs w:val="24"/>
        </w:rPr>
        <w:t>After digging of whole bulb of a sub plot and removal of dry shoot the lot was weighed by balance and reading was recorded as yield per bed in kg. To find the observations regarding to the yield per ha, the previous recorded yield per bed of every treatment was converted and subjected to statistical analysis for expression of experimental result.</w:t>
      </w:r>
    </w:p>
    <w:p w14:paraId="7D2C7419" w14:textId="77777777" w:rsidR="00977058" w:rsidRPr="009C4193" w:rsidRDefault="0056669F">
      <w:pPr>
        <w:spacing w:after="0" w:line="480" w:lineRule="auto"/>
        <w:jc w:val="both"/>
        <w:rPr>
          <w:rFonts w:ascii="Times New Roman" w:hAnsi="Times New Roman" w:cs="Times New Roman"/>
          <w:b/>
          <w:bCs/>
          <w:sz w:val="24"/>
          <w:szCs w:val="24"/>
        </w:rPr>
      </w:pPr>
      <w:r w:rsidRPr="009C4193">
        <w:rPr>
          <w:rFonts w:ascii="Times New Roman" w:hAnsi="Times New Roman" w:cs="Times New Roman"/>
          <w:b/>
          <w:bCs/>
          <w:sz w:val="24"/>
          <w:szCs w:val="24"/>
        </w:rPr>
        <w:t>Statistical Analysis</w:t>
      </w:r>
    </w:p>
    <w:p w14:paraId="2D6EE130" w14:textId="1C53550E" w:rsidR="00977058" w:rsidRPr="009C4193" w:rsidRDefault="0056669F">
      <w:pPr>
        <w:spacing w:after="0" w:line="480" w:lineRule="auto"/>
        <w:jc w:val="both"/>
        <w:rPr>
          <w:rFonts w:ascii="Times New Roman" w:hAnsi="Times New Roman" w:cs="Times New Roman"/>
          <w:sz w:val="24"/>
          <w:szCs w:val="24"/>
        </w:rPr>
      </w:pPr>
      <w:r w:rsidRPr="009C4193">
        <w:rPr>
          <w:rFonts w:ascii="Times New Roman" w:hAnsi="Times New Roman" w:cs="Times New Roman"/>
          <w:sz w:val="24"/>
          <w:szCs w:val="24"/>
        </w:rPr>
        <w:t>The experimental data were subjected to analysis of variance (ANOVA) following the Factorial Randomized Block Design (FRBD) as described</w:t>
      </w:r>
      <w:r w:rsidR="00BB4D40" w:rsidRPr="009C4193">
        <w:rPr>
          <w:rFonts w:ascii="Times New Roman" w:hAnsi="Times New Roman" w:cs="Times New Roman"/>
          <w:sz w:val="24"/>
          <w:szCs w:val="24"/>
        </w:rPr>
        <w:t xml:space="preserve">. </w:t>
      </w:r>
      <w:r w:rsidRPr="009C4193">
        <w:rPr>
          <w:rFonts w:ascii="Times New Roman" w:hAnsi="Times New Roman" w:cs="Times New Roman"/>
          <w:sz w:val="24"/>
          <w:szCs w:val="24"/>
        </w:rPr>
        <w:t>Treatment means were compared using the Least Significant Difference (LSD) test at 5% level of significance to determine the statistical difference between treatments.</w:t>
      </w:r>
    </w:p>
    <w:p w14:paraId="787F4852" w14:textId="77777777" w:rsidR="00977058" w:rsidRPr="009C4193" w:rsidRDefault="0056669F">
      <w:pPr>
        <w:spacing w:after="0" w:line="480" w:lineRule="auto"/>
        <w:jc w:val="both"/>
        <w:rPr>
          <w:rFonts w:ascii="Times New Roman" w:hAnsi="Times New Roman" w:cs="Times New Roman"/>
          <w:b/>
          <w:bCs/>
          <w:sz w:val="24"/>
          <w:szCs w:val="24"/>
        </w:rPr>
      </w:pPr>
      <w:r w:rsidRPr="009C4193">
        <w:rPr>
          <w:rFonts w:ascii="Times New Roman" w:hAnsi="Times New Roman" w:cs="Times New Roman"/>
          <w:b/>
          <w:bCs/>
          <w:sz w:val="24"/>
          <w:szCs w:val="24"/>
        </w:rPr>
        <w:t xml:space="preserve">Result and Discussions </w:t>
      </w:r>
    </w:p>
    <w:p w14:paraId="3F40ECF8" w14:textId="77777777" w:rsidR="00977058" w:rsidRPr="009C4193" w:rsidRDefault="0056669F">
      <w:pPr>
        <w:spacing w:after="0" w:line="480" w:lineRule="auto"/>
        <w:jc w:val="both"/>
        <w:rPr>
          <w:rFonts w:ascii="Times New Roman" w:hAnsi="Times New Roman" w:cs="Times New Roman"/>
          <w:i/>
          <w:iCs/>
          <w:sz w:val="24"/>
          <w:szCs w:val="24"/>
        </w:rPr>
      </w:pPr>
      <w:r w:rsidRPr="009C4193">
        <w:rPr>
          <w:rFonts w:ascii="Times New Roman" w:hAnsi="Times New Roman" w:cs="Times New Roman"/>
          <w:i/>
          <w:iCs/>
          <w:sz w:val="24"/>
          <w:szCs w:val="24"/>
        </w:rPr>
        <w:t>Effect of Integrated Nutrient Management on Plant Height, no. of leaves and no. of maximum leaf length</w:t>
      </w:r>
    </w:p>
    <w:p w14:paraId="51D5F1FB" w14:textId="77777777" w:rsidR="00977058" w:rsidRPr="009C4193" w:rsidRDefault="0056669F">
      <w:pPr>
        <w:spacing w:after="0" w:line="480" w:lineRule="auto"/>
        <w:jc w:val="both"/>
        <w:rPr>
          <w:rFonts w:ascii="Times New Roman" w:hAnsi="Times New Roman" w:cs="Times New Roman"/>
          <w:sz w:val="24"/>
          <w:szCs w:val="24"/>
        </w:rPr>
      </w:pPr>
      <w:r w:rsidRPr="009C4193">
        <w:rPr>
          <w:rFonts w:ascii="Times New Roman" w:hAnsi="Times New Roman" w:cs="Times New Roman"/>
          <w:sz w:val="24"/>
          <w:szCs w:val="24"/>
        </w:rPr>
        <w:lastRenderedPageBreak/>
        <w:t xml:space="preserve">Figure 2a shows the variation of plant height of onion crop under different integrated nutrient management (INM) during the year of 2019-2020 and 2020-2021. Table 4 shows the application of INM treatments significantly influenced plant height across both experimental years. The highest plants were observed under treatment T8 (74.383 cm in 2019–20 and 75.383 cm in 2020–21; pooled mean: 74.883 cm), which combined 50% nitrogen through FYM, 50% through chemical fertilizers, 100% recommended dose of PK, and </w:t>
      </w:r>
      <w:r w:rsidRPr="009C4193">
        <w:rPr>
          <w:rFonts w:ascii="Times New Roman" w:hAnsi="Times New Roman" w:cs="Times New Roman"/>
          <w:i/>
          <w:iCs/>
          <w:sz w:val="24"/>
          <w:szCs w:val="24"/>
        </w:rPr>
        <w:t>Azotobacter</w:t>
      </w:r>
      <w:r w:rsidRPr="009C4193">
        <w:rPr>
          <w:rFonts w:ascii="Times New Roman" w:hAnsi="Times New Roman" w:cs="Times New Roman"/>
          <w:sz w:val="24"/>
          <w:szCs w:val="24"/>
        </w:rPr>
        <w:t xml:space="preserve">. In contrast, the shortest plants were recorded in T12 (pooled mean: 59.243 cm), which used 50% nitrogen through vermicompost, 50% through fertilizers, and PSB. The superior plant height in T8 can be attributed to the enhanced nitrogen availability and microbial stimulation by </w:t>
      </w:r>
      <w:r w:rsidRPr="009C4193">
        <w:rPr>
          <w:rFonts w:ascii="Times New Roman" w:hAnsi="Times New Roman" w:cs="Times New Roman"/>
          <w:i/>
          <w:iCs/>
          <w:sz w:val="24"/>
          <w:szCs w:val="24"/>
        </w:rPr>
        <w:t>Azotobacter</w:t>
      </w:r>
      <w:r w:rsidRPr="009C4193">
        <w:rPr>
          <w:rFonts w:ascii="Times New Roman" w:hAnsi="Times New Roman" w:cs="Times New Roman"/>
          <w:sz w:val="24"/>
          <w:szCs w:val="24"/>
        </w:rPr>
        <w:t xml:space="preserve">, which is known to fix atmospheric nitrogen and promote root development. These findings are consistent with those of </w:t>
      </w:r>
      <w:r w:rsidRPr="009C4193">
        <w:rPr>
          <w:rFonts w:ascii="Times New Roman" w:hAnsi="Times New Roman" w:cs="Times New Roman"/>
          <w:sz w:val="24"/>
          <w:szCs w:val="24"/>
          <w:lang w:val="en-US"/>
        </w:rPr>
        <w:t>[34]</w:t>
      </w:r>
      <w:r w:rsidRPr="009C4193">
        <w:rPr>
          <w:rFonts w:ascii="Times New Roman" w:hAnsi="Times New Roman" w:cs="Times New Roman"/>
          <w:sz w:val="24"/>
          <w:szCs w:val="24"/>
        </w:rPr>
        <w:t xml:space="preserve">, who reported increased onion plant height with FYM and biofertilizer integration under INM. Similarly, </w:t>
      </w:r>
      <w:r w:rsidRPr="009C4193">
        <w:rPr>
          <w:rFonts w:ascii="Times New Roman" w:hAnsi="Times New Roman" w:cs="Times New Roman"/>
          <w:sz w:val="24"/>
          <w:szCs w:val="24"/>
          <w:lang w:val="en-US"/>
        </w:rPr>
        <w:t>[35]</w:t>
      </w:r>
      <w:r w:rsidRPr="009C4193">
        <w:rPr>
          <w:rFonts w:ascii="Times New Roman" w:hAnsi="Times New Roman" w:cs="Times New Roman"/>
          <w:sz w:val="24"/>
          <w:szCs w:val="24"/>
        </w:rPr>
        <w:t xml:space="preserve"> found that partial substitution of nitrogen with organic manures and inoculation with </w:t>
      </w:r>
      <w:r w:rsidRPr="009C4193">
        <w:rPr>
          <w:rFonts w:ascii="Times New Roman" w:hAnsi="Times New Roman" w:cs="Times New Roman"/>
          <w:i/>
          <w:iCs/>
          <w:sz w:val="24"/>
          <w:szCs w:val="24"/>
        </w:rPr>
        <w:t>Azotobacter</w:t>
      </w:r>
      <w:r w:rsidRPr="009C4193">
        <w:rPr>
          <w:rFonts w:ascii="Times New Roman" w:hAnsi="Times New Roman" w:cs="Times New Roman"/>
          <w:sz w:val="24"/>
          <w:szCs w:val="24"/>
        </w:rPr>
        <w:t xml:space="preserve"> significantly improved vegetative growth in onions under similar </w:t>
      </w:r>
      <w:proofErr w:type="spellStart"/>
      <w:r w:rsidRPr="009C4193">
        <w:rPr>
          <w:rFonts w:ascii="Times New Roman" w:hAnsi="Times New Roman" w:cs="Times New Roman"/>
          <w:sz w:val="24"/>
          <w:szCs w:val="24"/>
        </w:rPr>
        <w:t>agro</w:t>
      </w:r>
      <w:proofErr w:type="spellEnd"/>
      <w:r w:rsidRPr="009C4193">
        <w:rPr>
          <w:rFonts w:ascii="Times New Roman" w:hAnsi="Times New Roman" w:cs="Times New Roman"/>
          <w:sz w:val="24"/>
          <w:szCs w:val="24"/>
        </w:rPr>
        <w:t xml:space="preserve">-climatic conditions. The relatively poor performance of PSB-based treatments (T11 and T12) may reflect limited phosphorus solubilization or slower nutrient mineralization under the prevailing soil conditions, which are moderately alkaline and may suppress PSB activity, as suggested by </w:t>
      </w:r>
      <w:r w:rsidRPr="009C4193">
        <w:rPr>
          <w:rFonts w:ascii="Times New Roman" w:hAnsi="Times New Roman" w:cs="Times New Roman"/>
          <w:sz w:val="24"/>
          <w:szCs w:val="24"/>
          <w:lang w:val="en-US"/>
        </w:rPr>
        <w:t>[36]</w:t>
      </w:r>
      <w:r w:rsidRPr="009C4193">
        <w:rPr>
          <w:rFonts w:ascii="Times New Roman" w:hAnsi="Times New Roman" w:cs="Times New Roman"/>
          <w:sz w:val="24"/>
          <w:szCs w:val="24"/>
        </w:rPr>
        <w:t>. Furthermore, the significant differences in plant height (CD: 0.339 cm at 5% in pooled data) confirm that nutrient source and form play a critical role in modulating early-stage onion growth. These results reinforce the concept that integrating organic and biological sources with chemical fertilizers can improve nutrient uptake efficiency, promote vegetative development, and ultimately enhance onion productivity, particularly in the semi-arid regions of Eastern Uttar Pradesh.</w:t>
      </w:r>
    </w:p>
    <w:p w14:paraId="2F2DE22F" w14:textId="77777777" w:rsidR="00977058" w:rsidRPr="009C4193" w:rsidRDefault="0056669F">
      <w:pPr>
        <w:spacing w:after="0" w:line="480" w:lineRule="auto"/>
        <w:jc w:val="both"/>
        <w:rPr>
          <w:rFonts w:ascii="Times New Roman" w:hAnsi="Times New Roman" w:cs="Times New Roman"/>
          <w:sz w:val="24"/>
          <w:szCs w:val="24"/>
        </w:rPr>
      </w:pPr>
      <w:r w:rsidRPr="009C4193">
        <w:rPr>
          <w:rFonts w:ascii="Times New Roman" w:hAnsi="Times New Roman" w:cs="Times New Roman"/>
          <w:sz w:val="24"/>
          <w:szCs w:val="24"/>
        </w:rPr>
        <w:t xml:space="preserve">Figure 2b illustrates the variation in the number of onion leaves under different nutrient sources, including organic manures and biofertilizers, during the 2019–2020 and 2020–2021 growing seasons. The number of leaves in onion plants, a key indicator of vegetative growth </w:t>
      </w:r>
      <w:r w:rsidRPr="009C4193">
        <w:rPr>
          <w:rFonts w:ascii="Times New Roman" w:hAnsi="Times New Roman" w:cs="Times New Roman"/>
          <w:sz w:val="24"/>
          <w:szCs w:val="24"/>
        </w:rPr>
        <w:lastRenderedPageBreak/>
        <w:t xml:space="preserve">and overall crop </w:t>
      </w:r>
      <w:proofErr w:type="spellStart"/>
      <w:r w:rsidRPr="009C4193">
        <w:rPr>
          <w:rFonts w:ascii="Times New Roman" w:hAnsi="Times New Roman" w:cs="Times New Roman"/>
          <w:sz w:val="24"/>
          <w:szCs w:val="24"/>
        </w:rPr>
        <w:t>vigor</w:t>
      </w:r>
      <w:proofErr w:type="spellEnd"/>
      <w:r w:rsidRPr="009C4193">
        <w:rPr>
          <w:rFonts w:ascii="Times New Roman" w:hAnsi="Times New Roman" w:cs="Times New Roman"/>
          <w:sz w:val="24"/>
          <w:szCs w:val="24"/>
        </w:rPr>
        <w:t xml:space="preserve">, was significantly influenced by the application of various nutrient management treatments over the 2019–2020 and 2020–2021 seasons, as presented in Table </w:t>
      </w:r>
      <w:proofErr w:type="gramStart"/>
      <w:r w:rsidRPr="009C4193">
        <w:rPr>
          <w:rFonts w:ascii="Times New Roman" w:hAnsi="Times New Roman" w:cs="Times New Roman"/>
          <w:sz w:val="24"/>
          <w:szCs w:val="24"/>
        </w:rPr>
        <w:t>4..</w:t>
      </w:r>
      <w:proofErr w:type="gramEnd"/>
      <w:r w:rsidRPr="009C4193">
        <w:rPr>
          <w:rFonts w:ascii="Times New Roman" w:hAnsi="Times New Roman" w:cs="Times New Roman"/>
          <w:sz w:val="24"/>
          <w:szCs w:val="24"/>
        </w:rPr>
        <w:t xml:space="preserve"> The data clearly indicate that integrated nutrient management, combining organic manures, chemical fertilizers, and biofertilizers, led to a notable improvement in leaf production. The highest number of leaves was recorded under treatment T8 (11.487 in 2019–2020 and 11.667 in 2020–2021; pooled mean: 11.687), which included 50% nitrogen from FYM, 50% from chemical fertilizers, 100% of the recommended dose of phosphorus and potassium, and Azotobacter. This enhanced performance is attributed to the synergistic effects of improved nitrogen availability and microbial activity, especially nitrogen fixation and root stimulation by Azotobacter </w:t>
      </w:r>
      <w:r w:rsidRPr="009C4193">
        <w:rPr>
          <w:rFonts w:ascii="Times New Roman" w:hAnsi="Times New Roman" w:cs="Times New Roman"/>
          <w:sz w:val="24"/>
          <w:szCs w:val="24"/>
          <w:lang w:val="en-US"/>
        </w:rPr>
        <w:t>[37, 38, 35]</w:t>
      </w:r>
      <w:r w:rsidRPr="009C4193">
        <w:rPr>
          <w:rFonts w:ascii="Times New Roman" w:hAnsi="Times New Roman" w:cs="Times New Roman"/>
          <w:sz w:val="24"/>
          <w:szCs w:val="24"/>
        </w:rPr>
        <w:t>. On the other hand, the lowest leaf count was consistently observed under treatment T12 (pooled mean: 9.660), which incorporated 50% nitrogen from vermicompost and 50% from chemical fertilizers along with PSB, possibly due to reduced phosphorus availability under alkaline soil conditions that hinder PSB efficiency</w:t>
      </w:r>
      <w:r w:rsidRPr="009C4193">
        <w:rPr>
          <w:rFonts w:ascii="Times New Roman" w:hAnsi="Times New Roman" w:cs="Times New Roman"/>
          <w:sz w:val="24"/>
          <w:szCs w:val="24"/>
          <w:lang w:val="en-US"/>
        </w:rPr>
        <w:t xml:space="preserve"> [36, 39, 40]</w:t>
      </w:r>
      <w:r w:rsidRPr="009C4193">
        <w:rPr>
          <w:rFonts w:ascii="Times New Roman" w:hAnsi="Times New Roman" w:cs="Times New Roman"/>
          <w:sz w:val="24"/>
          <w:szCs w:val="24"/>
        </w:rPr>
        <w:t xml:space="preserve">. The statistical analysis confirmed highly significant differences among treatments (CD: 0.028 at 5% level; SE ±0.003), reinforcing the crucial role of balanced nutrient management in enhancing onion growth. These findings are consistent with earlier reports by </w:t>
      </w:r>
      <w:r w:rsidRPr="009C4193">
        <w:rPr>
          <w:rFonts w:ascii="Times New Roman" w:hAnsi="Times New Roman" w:cs="Times New Roman"/>
          <w:sz w:val="24"/>
          <w:szCs w:val="24"/>
          <w:lang w:val="en-US"/>
        </w:rPr>
        <w:t>[34, 41],</w:t>
      </w:r>
      <w:r w:rsidRPr="009C4193">
        <w:rPr>
          <w:rFonts w:ascii="Times New Roman" w:hAnsi="Times New Roman" w:cs="Times New Roman"/>
          <w:sz w:val="24"/>
          <w:szCs w:val="24"/>
        </w:rPr>
        <w:t xml:space="preserve"> which emphasized that the integration of organic and biofertilizer sources with chemical fertilizers optimizes nutrient uptake, boosts photosynthetic efficiency, and improves overall onion productivity under varying </w:t>
      </w:r>
      <w:proofErr w:type="spellStart"/>
      <w:r w:rsidRPr="009C4193">
        <w:rPr>
          <w:rFonts w:ascii="Times New Roman" w:hAnsi="Times New Roman" w:cs="Times New Roman"/>
          <w:sz w:val="24"/>
          <w:szCs w:val="24"/>
        </w:rPr>
        <w:t>agro</w:t>
      </w:r>
      <w:proofErr w:type="spellEnd"/>
      <w:r w:rsidRPr="009C4193">
        <w:rPr>
          <w:rFonts w:ascii="Times New Roman" w:hAnsi="Times New Roman" w:cs="Times New Roman"/>
          <w:sz w:val="24"/>
          <w:szCs w:val="24"/>
        </w:rPr>
        <w:t>-climatic conditions.</w:t>
      </w:r>
    </w:p>
    <w:p w14:paraId="1017FF4E" w14:textId="77777777" w:rsidR="00977058" w:rsidRPr="009C4193" w:rsidRDefault="0056669F">
      <w:pPr>
        <w:pStyle w:val="NormalWeb"/>
        <w:spacing w:before="0" w:beforeAutospacing="0" w:after="0" w:afterAutospacing="0" w:line="480" w:lineRule="auto"/>
        <w:jc w:val="both"/>
      </w:pPr>
      <w:r w:rsidRPr="009C4193">
        <w:t xml:space="preserve">The maximum leaf length of onion, an important physiological trait linked to photosynthetic capacity and vegetative vigor, was significantly influenced by various INM treatments across the 2019–2020 and 2020–2021 growing seasons (Figure 2c &amp; Table 4). In both years, treatment T12 (50% N through vermicompost + 50% N through chemical fertilizer + 100% PK + PSB) produced the longest leaves (59.447 cm in 2019–2020 and 60.947 cm in 2020–2021), with a pooled mean of 60.197 cm. Conversely, the shortest leaves were observed under T1 </w:t>
      </w:r>
      <w:r w:rsidRPr="009C4193">
        <w:lastRenderedPageBreak/>
        <w:t>(recommended dose of NPK through chemical fertilizers), with a pooled mean of 49.900 cm. Statistical analysis confirmed significant differences in leaf length across treatments in both years (CD: 4.093 and 4.047 at 5% in Year I and II, respectively), though pooled data analysis showed no significant differences at the 5% or 1% level (SE: ±5.256), suggesting year-to-year variability may influence treatment performance. The superior leaf elongation under T12 and other organic-integrated treatments (T3, T6, T11) may be attributed to improved soil structure, enhanced microbial activity, and better nutrient synchronization provided by vermicompost and PSB, as reported by [39,36, 41]. PSB enhances phosphorus availability, which is crucial for cell elongation and division, contributing to leaf growth [40]. These findings align with earlier studies by [34], which highlighted the role of INM in promoting vegetative traits such as leaf length and plant height. Thus, integrating organic and biofertilizer sources with chemical inputs can effectively enhance onion growth metrics, particularly under semi-arid, nutrient-responsive conditions.</w:t>
      </w:r>
    </w:p>
    <w:p w14:paraId="5D43E517" w14:textId="77777777" w:rsidR="00977058" w:rsidRPr="009C4193" w:rsidRDefault="00977058">
      <w:pPr>
        <w:spacing w:after="0" w:line="480" w:lineRule="auto"/>
        <w:jc w:val="both"/>
        <w:rPr>
          <w:rFonts w:ascii="Times New Roman" w:hAnsi="Times New Roman" w:cs="Times New Roman"/>
          <w:i/>
          <w:iCs/>
          <w:sz w:val="24"/>
          <w:szCs w:val="24"/>
        </w:rPr>
      </w:pPr>
    </w:p>
    <w:p w14:paraId="01100985" w14:textId="77777777" w:rsidR="00977058" w:rsidRPr="009C4193" w:rsidRDefault="00977058">
      <w:pPr>
        <w:spacing w:after="0" w:line="480" w:lineRule="auto"/>
        <w:jc w:val="both"/>
        <w:rPr>
          <w:rFonts w:ascii="Times New Roman" w:hAnsi="Times New Roman" w:cs="Times New Roman"/>
          <w:sz w:val="24"/>
          <w:szCs w:val="24"/>
        </w:rPr>
      </w:pPr>
    </w:p>
    <w:p w14:paraId="7C938DFC" w14:textId="77777777" w:rsidR="00977058" w:rsidRPr="009C4193" w:rsidRDefault="00977058">
      <w:pPr>
        <w:spacing w:after="0" w:line="480" w:lineRule="auto"/>
        <w:jc w:val="both"/>
        <w:rPr>
          <w:rFonts w:ascii="Times New Roman" w:hAnsi="Times New Roman" w:cs="Times New Roman"/>
          <w:sz w:val="24"/>
          <w:szCs w:val="24"/>
        </w:rPr>
      </w:pPr>
    </w:p>
    <w:p w14:paraId="79734CFE" w14:textId="77777777" w:rsidR="00977058" w:rsidRPr="009C4193" w:rsidRDefault="00977058">
      <w:pPr>
        <w:spacing w:after="0" w:line="480" w:lineRule="auto"/>
        <w:jc w:val="both"/>
        <w:rPr>
          <w:rFonts w:ascii="Times New Roman" w:hAnsi="Times New Roman" w:cs="Times New Roman"/>
          <w:sz w:val="24"/>
          <w:szCs w:val="24"/>
        </w:rPr>
      </w:pPr>
    </w:p>
    <w:p w14:paraId="3CAF1886" w14:textId="77777777" w:rsidR="00977058" w:rsidRPr="009C4193" w:rsidRDefault="00977058">
      <w:pPr>
        <w:spacing w:after="0" w:line="480" w:lineRule="auto"/>
        <w:jc w:val="both"/>
        <w:rPr>
          <w:rFonts w:ascii="Times New Roman" w:hAnsi="Times New Roman" w:cs="Times New Roman"/>
          <w:sz w:val="24"/>
          <w:szCs w:val="24"/>
        </w:rPr>
      </w:pPr>
    </w:p>
    <w:p w14:paraId="29B743D9" w14:textId="77777777" w:rsidR="00977058" w:rsidRPr="009C4193" w:rsidRDefault="00977058">
      <w:pPr>
        <w:spacing w:after="0" w:line="480" w:lineRule="auto"/>
        <w:jc w:val="both"/>
        <w:rPr>
          <w:rFonts w:ascii="Times New Roman" w:hAnsi="Times New Roman" w:cs="Times New Roman"/>
          <w:sz w:val="24"/>
          <w:szCs w:val="24"/>
        </w:rPr>
      </w:pPr>
    </w:p>
    <w:p w14:paraId="45E3E7B0" w14:textId="77777777" w:rsidR="00977058" w:rsidRPr="009C4193" w:rsidRDefault="0056669F">
      <w:pPr>
        <w:spacing w:after="0" w:line="480" w:lineRule="auto"/>
        <w:rPr>
          <w:rFonts w:ascii="Times New Roman" w:hAnsi="Times New Roman" w:cs="Times New Roman"/>
          <w:b/>
          <w:bCs/>
          <w:sz w:val="24"/>
          <w:szCs w:val="24"/>
        </w:rPr>
      </w:pPr>
      <w:r w:rsidRPr="009C4193">
        <w:rPr>
          <w:rFonts w:ascii="Times New Roman" w:hAnsi="Times New Roman" w:cs="Times New Roman"/>
          <w:noProof/>
          <w:sz w:val="24"/>
          <w:szCs w:val="24"/>
        </w:rPr>
        <w:lastRenderedPageBreak/>
        <w:drawing>
          <wp:inline distT="0" distB="0" distL="0" distR="0" wp14:anchorId="4EB6A2DB" wp14:editId="4F928253">
            <wp:extent cx="2699385" cy="2339975"/>
            <wp:effectExtent l="0" t="0" r="5715" b="3175"/>
            <wp:docPr id="210478729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9C4193">
        <w:rPr>
          <w:rFonts w:ascii="Times New Roman" w:hAnsi="Times New Roman" w:cs="Times New Roman"/>
          <w:b/>
          <w:bCs/>
          <w:sz w:val="24"/>
          <w:szCs w:val="24"/>
        </w:rPr>
        <w:t xml:space="preserve">      </w:t>
      </w:r>
      <w:r w:rsidRPr="009C4193">
        <w:rPr>
          <w:rFonts w:ascii="Times New Roman" w:hAnsi="Times New Roman" w:cs="Times New Roman"/>
          <w:noProof/>
          <w:sz w:val="24"/>
          <w:szCs w:val="24"/>
        </w:rPr>
        <w:drawing>
          <wp:inline distT="0" distB="0" distL="0" distR="0" wp14:anchorId="429E9107" wp14:editId="582EA271">
            <wp:extent cx="2699385" cy="2339975"/>
            <wp:effectExtent l="0" t="0" r="5715" b="3175"/>
            <wp:docPr id="135171740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33C2813" w14:textId="77777777" w:rsidR="00977058" w:rsidRPr="009C4193" w:rsidRDefault="0056669F">
      <w:pPr>
        <w:spacing w:after="0" w:line="480" w:lineRule="auto"/>
        <w:jc w:val="center"/>
        <w:rPr>
          <w:rFonts w:ascii="Times New Roman" w:hAnsi="Times New Roman" w:cs="Times New Roman"/>
          <w:b/>
          <w:bCs/>
          <w:sz w:val="24"/>
          <w:szCs w:val="24"/>
        </w:rPr>
      </w:pPr>
      <w:r w:rsidRPr="009C4193">
        <w:rPr>
          <w:rFonts w:ascii="Times New Roman" w:hAnsi="Times New Roman" w:cs="Times New Roman"/>
          <w:noProof/>
          <w:sz w:val="24"/>
          <w:szCs w:val="24"/>
        </w:rPr>
        <w:drawing>
          <wp:inline distT="0" distB="0" distL="0" distR="0" wp14:anchorId="101AAE48" wp14:editId="6A9CC2D7">
            <wp:extent cx="2699385" cy="2339975"/>
            <wp:effectExtent l="0" t="0" r="5715" b="3175"/>
            <wp:docPr id="16000806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D00EA64" w14:textId="77777777" w:rsidR="00977058" w:rsidRPr="009C4193" w:rsidRDefault="0056669F">
      <w:pPr>
        <w:spacing w:after="0" w:line="480" w:lineRule="auto"/>
        <w:jc w:val="both"/>
        <w:rPr>
          <w:rFonts w:ascii="Times New Roman" w:hAnsi="Times New Roman" w:cs="Times New Roman"/>
          <w:b/>
          <w:bCs/>
          <w:sz w:val="24"/>
          <w:szCs w:val="24"/>
        </w:rPr>
        <w:sectPr w:rsidR="00977058" w:rsidRPr="009C4193">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r w:rsidRPr="009C4193">
        <w:rPr>
          <w:rFonts w:ascii="Times New Roman" w:hAnsi="Times New Roman" w:cs="Times New Roman"/>
          <w:b/>
          <w:bCs/>
          <w:sz w:val="24"/>
          <w:szCs w:val="24"/>
        </w:rPr>
        <w:t xml:space="preserve">Figure 2 </w:t>
      </w:r>
      <w:r w:rsidRPr="009C4193">
        <w:rPr>
          <w:rFonts w:ascii="Times New Roman" w:hAnsi="Times New Roman" w:cs="Times New Roman"/>
          <w:sz w:val="24"/>
          <w:szCs w:val="24"/>
        </w:rPr>
        <w:t>Variation of (a) plant height, (b) number of leaves and (c) maximum length of leaves of onion under integrated nutrient management during the 2019–2020 and 2020–2021 growing seasons.</w:t>
      </w:r>
    </w:p>
    <w:p w14:paraId="03F9BB7C" w14:textId="77777777" w:rsidR="00977058" w:rsidRPr="009C4193" w:rsidRDefault="0056669F">
      <w:pPr>
        <w:spacing w:after="0" w:line="480" w:lineRule="auto"/>
        <w:rPr>
          <w:rFonts w:ascii="Times New Roman" w:hAnsi="Times New Roman" w:cs="Times New Roman"/>
          <w:b/>
          <w:bCs/>
          <w:sz w:val="24"/>
          <w:szCs w:val="24"/>
        </w:rPr>
      </w:pPr>
      <w:r w:rsidRPr="009C4193">
        <w:rPr>
          <w:rFonts w:ascii="Times New Roman" w:hAnsi="Times New Roman" w:cs="Times New Roman"/>
          <w:sz w:val="24"/>
          <w:szCs w:val="24"/>
        </w:rPr>
        <w:lastRenderedPageBreak/>
        <w:t xml:space="preserve">Table 4 Variation of average plant agronomical parameters crop under different sources of nutrients, organic manures, and biofertilizers </w:t>
      </w:r>
    </w:p>
    <w:tbl>
      <w:tblPr>
        <w:tblStyle w:val="TableGrid"/>
        <w:tblW w:w="0" w:type="auto"/>
        <w:tblInd w:w="-289" w:type="dxa"/>
        <w:tblLook w:val="04A0" w:firstRow="1" w:lastRow="0" w:firstColumn="1" w:lastColumn="0" w:noHBand="0" w:noVBand="1"/>
      </w:tblPr>
      <w:tblGrid>
        <w:gridCol w:w="1456"/>
        <w:gridCol w:w="910"/>
        <w:gridCol w:w="1070"/>
        <w:gridCol w:w="1283"/>
        <w:gridCol w:w="1176"/>
        <w:gridCol w:w="1176"/>
        <w:gridCol w:w="896"/>
        <w:gridCol w:w="896"/>
        <w:gridCol w:w="976"/>
        <w:gridCol w:w="1136"/>
        <w:gridCol w:w="1323"/>
        <w:gridCol w:w="876"/>
        <w:gridCol w:w="996"/>
      </w:tblGrid>
      <w:tr w:rsidR="00977058" w:rsidRPr="009C4193" w14:paraId="28748F53" w14:textId="77777777">
        <w:trPr>
          <w:trHeight w:val="828"/>
        </w:trPr>
        <w:tc>
          <w:tcPr>
            <w:tcW w:w="1456" w:type="dxa"/>
          </w:tcPr>
          <w:p w14:paraId="1E9A3B7F"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Treatments</w:t>
            </w:r>
          </w:p>
        </w:tc>
        <w:tc>
          <w:tcPr>
            <w:tcW w:w="910" w:type="dxa"/>
          </w:tcPr>
          <w:p w14:paraId="1DE93A80"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Plant Height (cm)</w:t>
            </w:r>
          </w:p>
        </w:tc>
        <w:tc>
          <w:tcPr>
            <w:tcW w:w="1070" w:type="dxa"/>
          </w:tcPr>
          <w:p w14:paraId="1775FF4B"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Number of leaves</w:t>
            </w:r>
          </w:p>
        </w:tc>
        <w:tc>
          <w:tcPr>
            <w:tcW w:w="1283" w:type="dxa"/>
          </w:tcPr>
          <w:p w14:paraId="24CF9BF7"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Maximum length of leaves (cm.)</w:t>
            </w:r>
          </w:p>
        </w:tc>
        <w:tc>
          <w:tcPr>
            <w:tcW w:w="1176" w:type="dxa"/>
          </w:tcPr>
          <w:p w14:paraId="4B9F23A7"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Diameter of shoot (cm.)</w:t>
            </w:r>
          </w:p>
        </w:tc>
        <w:tc>
          <w:tcPr>
            <w:tcW w:w="1176" w:type="dxa"/>
          </w:tcPr>
          <w:p w14:paraId="33279E1A"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Diameter of neck (cm.)</w:t>
            </w:r>
          </w:p>
        </w:tc>
        <w:tc>
          <w:tcPr>
            <w:tcW w:w="896" w:type="dxa"/>
          </w:tcPr>
          <w:p w14:paraId="11E91C85"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Fresh weight of shoot (g.)</w:t>
            </w:r>
          </w:p>
        </w:tc>
        <w:tc>
          <w:tcPr>
            <w:tcW w:w="896" w:type="dxa"/>
          </w:tcPr>
          <w:p w14:paraId="36F7E253"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Dry weight of shoot (g.)</w:t>
            </w:r>
          </w:p>
        </w:tc>
        <w:tc>
          <w:tcPr>
            <w:tcW w:w="976" w:type="dxa"/>
          </w:tcPr>
          <w:p w14:paraId="5EB252FB"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Dry matter content of shoot (g.)</w:t>
            </w:r>
          </w:p>
        </w:tc>
        <w:tc>
          <w:tcPr>
            <w:tcW w:w="1136" w:type="dxa"/>
          </w:tcPr>
          <w:p w14:paraId="7A26564D"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Vertical diameter of bulb (cm.)</w:t>
            </w:r>
          </w:p>
        </w:tc>
        <w:tc>
          <w:tcPr>
            <w:tcW w:w="1323" w:type="dxa"/>
          </w:tcPr>
          <w:p w14:paraId="2BC9B020"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Horizontal diameter of bulb (cm.)</w:t>
            </w:r>
          </w:p>
        </w:tc>
        <w:tc>
          <w:tcPr>
            <w:tcW w:w="876" w:type="dxa"/>
          </w:tcPr>
          <w:p w14:paraId="737681AE"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Yield per bed (q.)</w:t>
            </w:r>
          </w:p>
        </w:tc>
        <w:tc>
          <w:tcPr>
            <w:tcW w:w="996" w:type="dxa"/>
          </w:tcPr>
          <w:p w14:paraId="2459EA0C"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Yield per hectare (q.)</w:t>
            </w:r>
          </w:p>
        </w:tc>
      </w:tr>
      <w:tr w:rsidR="00977058" w:rsidRPr="009C4193" w14:paraId="370A0D6D" w14:textId="77777777">
        <w:trPr>
          <w:trHeight w:val="3266"/>
        </w:trPr>
        <w:tc>
          <w:tcPr>
            <w:tcW w:w="1456" w:type="dxa"/>
          </w:tcPr>
          <w:p w14:paraId="1AAB2923" w14:textId="77777777" w:rsidR="00977058" w:rsidRPr="009C4193" w:rsidRDefault="0056669F">
            <w:pPr>
              <w:spacing w:after="0" w:line="240" w:lineRule="auto"/>
              <w:rPr>
                <w:rFonts w:ascii="Times New Roman" w:hAnsi="Times New Roman" w:cs="Times New Roman"/>
                <w:b/>
                <w:bCs/>
                <w:kern w:val="0"/>
                <w:sz w:val="24"/>
                <w:szCs w:val="24"/>
                <w:vertAlign w:val="subscript"/>
                <w14:ligatures w14:val="none"/>
              </w:rPr>
            </w:pPr>
            <w:r w:rsidRPr="009C4193">
              <w:rPr>
                <w:rFonts w:ascii="Times New Roman" w:hAnsi="Times New Roman" w:cs="Times New Roman"/>
                <w:b/>
                <w:bCs/>
                <w:kern w:val="0"/>
                <w:sz w:val="24"/>
                <w:szCs w:val="24"/>
                <w14:ligatures w14:val="none"/>
              </w:rPr>
              <w:t>T</w:t>
            </w:r>
            <w:r w:rsidRPr="009C4193">
              <w:rPr>
                <w:rFonts w:ascii="Times New Roman" w:hAnsi="Times New Roman" w:cs="Times New Roman"/>
                <w:b/>
                <w:bCs/>
                <w:kern w:val="0"/>
                <w:sz w:val="24"/>
                <w:szCs w:val="24"/>
                <w:vertAlign w:val="subscript"/>
                <w14:ligatures w14:val="none"/>
              </w:rPr>
              <w:t>1</w:t>
            </w:r>
          </w:p>
          <w:p w14:paraId="3355F038" w14:textId="77777777" w:rsidR="00977058" w:rsidRPr="009C4193" w:rsidRDefault="0056669F">
            <w:pPr>
              <w:spacing w:after="0" w:line="240" w:lineRule="auto"/>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T</w:t>
            </w:r>
            <w:r w:rsidRPr="009C4193">
              <w:rPr>
                <w:rFonts w:ascii="Times New Roman" w:hAnsi="Times New Roman" w:cs="Times New Roman"/>
                <w:b/>
                <w:bCs/>
                <w:kern w:val="0"/>
                <w:sz w:val="24"/>
                <w:szCs w:val="24"/>
                <w:vertAlign w:val="subscript"/>
                <w14:ligatures w14:val="none"/>
              </w:rPr>
              <w:t>2</w:t>
            </w:r>
          </w:p>
          <w:p w14:paraId="02ED5948" w14:textId="77777777" w:rsidR="00977058" w:rsidRPr="009C4193" w:rsidRDefault="0056669F">
            <w:pPr>
              <w:spacing w:after="0" w:line="240" w:lineRule="auto"/>
              <w:rPr>
                <w:rFonts w:ascii="Times New Roman" w:hAnsi="Times New Roman" w:cs="Times New Roman"/>
                <w:b/>
                <w:bCs/>
                <w:kern w:val="0"/>
                <w:sz w:val="24"/>
                <w:szCs w:val="24"/>
                <w:vertAlign w:val="subscript"/>
                <w14:ligatures w14:val="none"/>
              </w:rPr>
            </w:pPr>
            <w:r w:rsidRPr="009C4193">
              <w:rPr>
                <w:rFonts w:ascii="Times New Roman" w:hAnsi="Times New Roman" w:cs="Times New Roman"/>
                <w:b/>
                <w:bCs/>
                <w:kern w:val="0"/>
                <w:sz w:val="24"/>
                <w:szCs w:val="24"/>
                <w14:ligatures w14:val="none"/>
              </w:rPr>
              <w:t>T</w:t>
            </w:r>
            <w:r w:rsidRPr="009C4193">
              <w:rPr>
                <w:rFonts w:ascii="Times New Roman" w:hAnsi="Times New Roman" w:cs="Times New Roman"/>
                <w:b/>
                <w:bCs/>
                <w:kern w:val="0"/>
                <w:sz w:val="24"/>
                <w:szCs w:val="24"/>
                <w:vertAlign w:val="subscript"/>
                <w14:ligatures w14:val="none"/>
              </w:rPr>
              <w:t>3</w:t>
            </w:r>
          </w:p>
          <w:p w14:paraId="6686D6D3" w14:textId="77777777" w:rsidR="00977058" w:rsidRPr="009C4193" w:rsidRDefault="0056669F">
            <w:pPr>
              <w:spacing w:after="0" w:line="240" w:lineRule="auto"/>
              <w:rPr>
                <w:rFonts w:ascii="Times New Roman" w:hAnsi="Times New Roman" w:cs="Times New Roman"/>
                <w:b/>
                <w:bCs/>
                <w:kern w:val="0"/>
                <w:sz w:val="24"/>
                <w:szCs w:val="24"/>
                <w:vertAlign w:val="subscript"/>
                <w14:ligatures w14:val="none"/>
              </w:rPr>
            </w:pPr>
            <w:r w:rsidRPr="009C4193">
              <w:rPr>
                <w:rFonts w:ascii="Times New Roman" w:hAnsi="Times New Roman" w:cs="Times New Roman"/>
                <w:b/>
                <w:bCs/>
                <w:kern w:val="0"/>
                <w:sz w:val="24"/>
                <w:szCs w:val="24"/>
                <w14:ligatures w14:val="none"/>
              </w:rPr>
              <w:t>T</w:t>
            </w:r>
            <w:r w:rsidRPr="009C4193">
              <w:rPr>
                <w:rFonts w:ascii="Times New Roman" w:hAnsi="Times New Roman" w:cs="Times New Roman"/>
                <w:b/>
                <w:bCs/>
                <w:kern w:val="0"/>
                <w:sz w:val="24"/>
                <w:szCs w:val="24"/>
                <w:vertAlign w:val="subscript"/>
                <w14:ligatures w14:val="none"/>
              </w:rPr>
              <w:t>4</w:t>
            </w:r>
          </w:p>
          <w:p w14:paraId="5DEC5B48" w14:textId="77777777" w:rsidR="00977058" w:rsidRPr="009C4193" w:rsidRDefault="0056669F">
            <w:pPr>
              <w:spacing w:after="0" w:line="240" w:lineRule="auto"/>
              <w:rPr>
                <w:rFonts w:ascii="Times New Roman" w:hAnsi="Times New Roman" w:cs="Times New Roman"/>
                <w:b/>
                <w:bCs/>
                <w:kern w:val="0"/>
                <w:sz w:val="24"/>
                <w:szCs w:val="24"/>
                <w:vertAlign w:val="subscript"/>
                <w14:ligatures w14:val="none"/>
              </w:rPr>
            </w:pPr>
            <w:r w:rsidRPr="009C4193">
              <w:rPr>
                <w:rFonts w:ascii="Times New Roman" w:hAnsi="Times New Roman" w:cs="Times New Roman"/>
                <w:b/>
                <w:bCs/>
                <w:kern w:val="0"/>
                <w:sz w:val="24"/>
                <w:szCs w:val="24"/>
                <w14:ligatures w14:val="none"/>
              </w:rPr>
              <w:t>T</w:t>
            </w:r>
            <w:r w:rsidRPr="009C4193">
              <w:rPr>
                <w:rFonts w:ascii="Times New Roman" w:hAnsi="Times New Roman" w:cs="Times New Roman"/>
                <w:b/>
                <w:bCs/>
                <w:kern w:val="0"/>
                <w:sz w:val="24"/>
                <w:szCs w:val="24"/>
                <w:vertAlign w:val="subscript"/>
                <w14:ligatures w14:val="none"/>
              </w:rPr>
              <w:t>5</w:t>
            </w:r>
          </w:p>
          <w:p w14:paraId="4F76C8F3" w14:textId="77777777" w:rsidR="00977058" w:rsidRPr="009C4193" w:rsidRDefault="0056669F">
            <w:pPr>
              <w:spacing w:after="0" w:line="240" w:lineRule="auto"/>
              <w:rPr>
                <w:rFonts w:ascii="Times New Roman" w:hAnsi="Times New Roman" w:cs="Times New Roman"/>
                <w:b/>
                <w:bCs/>
                <w:kern w:val="0"/>
                <w:sz w:val="24"/>
                <w:szCs w:val="24"/>
                <w:vertAlign w:val="subscript"/>
                <w14:ligatures w14:val="none"/>
              </w:rPr>
            </w:pPr>
            <w:r w:rsidRPr="009C4193">
              <w:rPr>
                <w:rFonts w:ascii="Times New Roman" w:hAnsi="Times New Roman" w:cs="Times New Roman"/>
                <w:b/>
                <w:bCs/>
                <w:kern w:val="0"/>
                <w:sz w:val="24"/>
                <w:szCs w:val="24"/>
                <w14:ligatures w14:val="none"/>
              </w:rPr>
              <w:t>T</w:t>
            </w:r>
            <w:r w:rsidRPr="009C4193">
              <w:rPr>
                <w:rFonts w:ascii="Times New Roman" w:hAnsi="Times New Roman" w:cs="Times New Roman"/>
                <w:b/>
                <w:bCs/>
                <w:kern w:val="0"/>
                <w:sz w:val="24"/>
                <w:szCs w:val="24"/>
                <w:vertAlign w:val="subscript"/>
                <w14:ligatures w14:val="none"/>
              </w:rPr>
              <w:t>6</w:t>
            </w:r>
          </w:p>
          <w:p w14:paraId="1B07EC6B" w14:textId="77777777" w:rsidR="00977058" w:rsidRPr="009C4193" w:rsidRDefault="0056669F">
            <w:pPr>
              <w:spacing w:after="0" w:line="240" w:lineRule="auto"/>
              <w:rPr>
                <w:rFonts w:ascii="Times New Roman" w:hAnsi="Times New Roman" w:cs="Times New Roman"/>
                <w:b/>
                <w:bCs/>
                <w:kern w:val="0"/>
                <w:sz w:val="24"/>
                <w:szCs w:val="24"/>
                <w:vertAlign w:val="subscript"/>
                <w14:ligatures w14:val="none"/>
              </w:rPr>
            </w:pPr>
            <w:r w:rsidRPr="009C4193">
              <w:rPr>
                <w:rFonts w:ascii="Times New Roman" w:hAnsi="Times New Roman" w:cs="Times New Roman"/>
                <w:b/>
                <w:bCs/>
                <w:kern w:val="0"/>
                <w:sz w:val="24"/>
                <w:szCs w:val="24"/>
                <w14:ligatures w14:val="none"/>
              </w:rPr>
              <w:t>T</w:t>
            </w:r>
            <w:r w:rsidRPr="009C4193">
              <w:rPr>
                <w:rFonts w:ascii="Times New Roman" w:hAnsi="Times New Roman" w:cs="Times New Roman"/>
                <w:b/>
                <w:bCs/>
                <w:kern w:val="0"/>
                <w:sz w:val="24"/>
                <w:szCs w:val="24"/>
                <w:vertAlign w:val="subscript"/>
                <w14:ligatures w14:val="none"/>
              </w:rPr>
              <w:t>7</w:t>
            </w:r>
          </w:p>
          <w:p w14:paraId="1A058C0E" w14:textId="77777777" w:rsidR="00977058" w:rsidRPr="009C4193" w:rsidRDefault="0056669F">
            <w:pPr>
              <w:spacing w:after="0" w:line="240" w:lineRule="auto"/>
              <w:rPr>
                <w:rFonts w:ascii="Times New Roman" w:hAnsi="Times New Roman" w:cs="Times New Roman"/>
                <w:b/>
                <w:bCs/>
                <w:kern w:val="0"/>
                <w:sz w:val="24"/>
                <w:szCs w:val="24"/>
                <w:vertAlign w:val="subscript"/>
                <w14:ligatures w14:val="none"/>
              </w:rPr>
            </w:pPr>
            <w:r w:rsidRPr="009C4193">
              <w:rPr>
                <w:rFonts w:ascii="Times New Roman" w:hAnsi="Times New Roman" w:cs="Times New Roman"/>
                <w:b/>
                <w:bCs/>
                <w:kern w:val="0"/>
                <w:sz w:val="24"/>
                <w:szCs w:val="24"/>
                <w14:ligatures w14:val="none"/>
              </w:rPr>
              <w:t>T</w:t>
            </w:r>
            <w:r w:rsidRPr="009C4193">
              <w:rPr>
                <w:rFonts w:ascii="Times New Roman" w:hAnsi="Times New Roman" w:cs="Times New Roman"/>
                <w:b/>
                <w:bCs/>
                <w:kern w:val="0"/>
                <w:sz w:val="24"/>
                <w:szCs w:val="24"/>
                <w:vertAlign w:val="subscript"/>
                <w14:ligatures w14:val="none"/>
              </w:rPr>
              <w:t>8</w:t>
            </w:r>
          </w:p>
          <w:p w14:paraId="61DABDFD" w14:textId="77777777" w:rsidR="00977058" w:rsidRPr="009C4193" w:rsidRDefault="0056669F">
            <w:pPr>
              <w:spacing w:after="0" w:line="240" w:lineRule="auto"/>
              <w:rPr>
                <w:rFonts w:ascii="Times New Roman" w:hAnsi="Times New Roman" w:cs="Times New Roman"/>
                <w:b/>
                <w:bCs/>
                <w:kern w:val="0"/>
                <w:sz w:val="24"/>
                <w:szCs w:val="24"/>
                <w:vertAlign w:val="subscript"/>
                <w14:ligatures w14:val="none"/>
              </w:rPr>
            </w:pPr>
            <w:r w:rsidRPr="009C4193">
              <w:rPr>
                <w:rFonts w:ascii="Times New Roman" w:hAnsi="Times New Roman" w:cs="Times New Roman"/>
                <w:b/>
                <w:bCs/>
                <w:kern w:val="0"/>
                <w:sz w:val="24"/>
                <w:szCs w:val="24"/>
                <w14:ligatures w14:val="none"/>
              </w:rPr>
              <w:t>T</w:t>
            </w:r>
            <w:r w:rsidRPr="009C4193">
              <w:rPr>
                <w:rFonts w:ascii="Times New Roman" w:hAnsi="Times New Roman" w:cs="Times New Roman"/>
                <w:b/>
                <w:bCs/>
                <w:kern w:val="0"/>
                <w:sz w:val="24"/>
                <w:szCs w:val="24"/>
                <w:vertAlign w:val="subscript"/>
                <w14:ligatures w14:val="none"/>
              </w:rPr>
              <w:t>9</w:t>
            </w:r>
          </w:p>
          <w:p w14:paraId="1FB78900" w14:textId="77777777" w:rsidR="00977058" w:rsidRPr="009C4193" w:rsidRDefault="0056669F">
            <w:pPr>
              <w:spacing w:after="0" w:line="240" w:lineRule="auto"/>
              <w:rPr>
                <w:rFonts w:ascii="Times New Roman" w:hAnsi="Times New Roman" w:cs="Times New Roman"/>
                <w:b/>
                <w:bCs/>
                <w:kern w:val="0"/>
                <w:sz w:val="24"/>
                <w:szCs w:val="24"/>
                <w:vertAlign w:val="subscript"/>
                <w14:ligatures w14:val="none"/>
              </w:rPr>
            </w:pPr>
            <w:r w:rsidRPr="009C4193">
              <w:rPr>
                <w:rFonts w:ascii="Times New Roman" w:hAnsi="Times New Roman" w:cs="Times New Roman"/>
                <w:b/>
                <w:bCs/>
                <w:kern w:val="0"/>
                <w:sz w:val="24"/>
                <w:szCs w:val="24"/>
                <w14:ligatures w14:val="none"/>
              </w:rPr>
              <w:t>T</w:t>
            </w:r>
            <w:r w:rsidRPr="009C4193">
              <w:rPr>
                <w:rFonts w:ascii="Times New Roman" w:hAnsi="Times New Roman" w:cs="Times New Roman"/>
                <w:b/>
                <w:bCs/>
                <w:kern w:val="0"/>
                <w:sz w:val="24"/>
                <w:szCs w:val="24"/>
                <w:vertAlign w:val="subscript"/>
                <w14:ligatures w14:val="none"/>
              </w:rPr>
              <w:t>10</w:t>
            </w:r>
          </w:p>
          <w:p w14:paraId="5F0F82AA" w14:textId="77777777" w:rsidR="00977058" w:rsidRPr="009C4193" w:rsidRDefault="0056669F">
            <w:pPr>
              <w:spacing w:after="0" w:line="240" w:lineRule="auto"/>
              <w:rPr>
                <w:rFonts w:ascii="Times New Roman" w:hAnsi="Times New Roman" w:cs="Times New Roman"/>
                <w:b/>
                <w:bCs/>
                <w:kern w:val="0"/>
                <w:sz w:val="24"/>
                <w:szCs w:val="24"/>
                <w:vertAlign w:val="subscript"/>
                <w14:ligatures w14:val="none"/>
              </w:rPr>
            </w:pPr>
            <w:r w:rsidRPr="009C4193">
              <w:rPr>
                <w:rFonts w:ascii="Times New Roman" w:hAnsi="Times New Roman" w:cs="Times New Roman"/>
                <w:b/>
                <w:bCs/>
                <w:kern w:val="0"/>
                <w:sz w:val="24"/>
                <w:szCs w:val="24"/>
                <w14:ligatures w14:val="none"/>
              </w:rPr>
              <w:t>T</w:t>
            </w:r>
            <w:r w:rsidRPr="009C4193">
              <w:rPr>
                <w:rFonts w:ascii="Times New Roman" w:hAnsi="Times New Roman" w:cs="Times New Roman"/>
                <w:b/>
                <w:bCs/>
                <w:kern w:val="0"/>
                <w:sz w:val="24"/>
                <w:szCs w:val="24"/>
                <w:vertAlign w:val="subscript"/>
                <w14:ligatures w14:val="none"/>
              </w:rPr>
              <w:t>11</w:t>
            </w:r>
          </w:p>
          <w:p w14:paraId="7114A067" w14:textId="77777777" w:rsidR="00977058" w:rsidRPr="009C4193" w:rsidRDefault="0056669F">
            <w:pPr>
              <w:spacing w:after="0" w:line="240" w:lineRule="auto"/>
              <w:rPr>
                <w:rFonts w:ascii="Times New Roman" w:hAnsi="Times New Roman" w:cs="Times New Roman"/>
                <w:b/>
                <w:bCs/>
                <w:kern w:val="0"/>
                <w:sz w:val="24"/>
                <w:szCs w:val="24"/>
                <w:vertAlign w:val="subscript"/>
                <w14:ligatures w14:val="none"/>
              </w:rPr>
            </w:pPr>
            <w:r w:rsidRPr="009C4193">
              <w:rPr>
                <w:rFonts w:ascii="Times New Roman" w:hAnsi="Times New Roman" w:cs="Times New Roman"/>
                <w:b/>
                <w:bCs/>
                <w:kern w:val="0"/>
                <w:sz w:val="24"/>
                <w:szCs w:val="24"/>
                <w14:ligatures w14:val="none"/>
              </w:rPr>
              <w:t>T</w:t>
            </w:r>
            <w:r w:rsidRPr="009C4193">
              <w:rPr>
                <w:rFonts w:ascii="Times New Roman" w:hAnsi="Times New Roman" w:cs="Times New Roman"/>
                <w:b/>
                <w:bCs/>
                <w:kern w:val="0"/>
                <w:sz w:val="24"/>
                <w:szCs w:val="24"/>
                <w:vertAlign w:val="subscript"/>
                <w14:ligatures w14:val="none"/>
              </w:rPr>
              <w:t>12</w:t>
            </w:r>
          </w:p>
        </w:tc>
        <w:tc>
          <w:tcPr>
            <w:tcW w:w="910" w:type="dxa"/>
          </w:tcPr>
          <w:p w14:paraId="3F5A77CB"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72.723</w:t>
            </w:r>
          </w:p>
          <w:p w14:paraId="0CB281A3"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62.827</w:t>
            </w:r>
          </w:p>
          <w:p w14:paraId="37240A5B"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62.263</w:t>
            </w:r>
          </w:p>
          <w:p w14:paraId="7CAE0B1D"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61.540</w:t>
            </w:r>
          </w:p>
          <w:p w14:paraId="3BED515F"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67.153</w:t>
            </w:r>
          </w:p>
          <w:p w14:paraId="1A576A7A"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65.863</w:t>
            </w:r>
          </w:p>
          <w:p w14:paraId="269C904E"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69.000</w:t>
            </w:r>
          </w:p>
          <w:p w14:paraId="5F58CCD6"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74.883</w:t>
            </w:r>
          </w:p>
          <w:p w14:paraId="6CB71909"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70.960</w:t>
            </w:r>
          </w:p>
          <w:p w14:paraId="474872AB"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60.373</w:t>
            </w:r>
          </w:p>
          <w:p w14:paraId="4163E276"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59.953</w:t>
            </w:r>
          </w:p>
          <w:p w14:paraId="2FF3A8A0"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59.243</w:t>
            </w:r>
          </w:p>
        </w:tc>
        <w:tc>
          <w:tcPr>
            <w:tcW w:w="1070" w:type="dxa"/>
          </w:tcPr>
          <w:p w14:paraId="3198E136"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11.467</w:t>
            </w:r>
          </w:p>
          <w:p w14:paraId="51049B59"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10.14</w:t>
            </w:r>
          </w:p>
          <w:p w14:paraId="38C89128"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10.083</w:t>
            </w:r>
          </w:p>
          <w:p w14:paraId="01756D9F"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10.007</w:t>
            </w:r>
          </w:p>
          <w:p w14:paraId="10FB282F"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10.373</w:t>
            </w:r>
          </w:p>
          <w:p w14:paraId="0E414821"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10.283</w:t>
            </w:r>
          </w:p>
          <w:p w14:paraId="7978C9AD"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10.586</w:t>
            </w:r>
          </w:p>
          <w:p w14:paraId="29DDF66F"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11.687</w:t>
            </w:r>
          </w:p>
          <w:p w14:paraId="4343D6DE"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11.153</w:t>
            </w:r>
          </w:p>
          <w:p w14:paraId="1C96D49F"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9.990</w:t>
            </w:r>
          </w:p>
          <w:p w14:paraId="6167A6A9"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9.893</w:t>
            </w:r>
          </w:p>
          <w:p w14:paraId="6071857F"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9.660</w:t>
            </w:r>
          </w:p>
        </w:tc>
        <w:tc>
          <w:tcPr>
            <w:tcW w:w="1283" w:type="dxa"/>
          </w:tcPr>
          <w:p w14:paraId="7E1B4CBF"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49.900</w:t>
            </w:r>
          </w:p>
          <w:p w14:paraId="785C4600"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52.233</w:t>
            </w:r>
          </w:p>
          <w:p w14:paraId="06F66FB4"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58.233</w:t>
            </w:r>
          </w:p>
          <w:p w14:paraId="3728100D"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51.333</w:t>
            </w:r>
          </w:p>
          <w:p w14:paraId="16FC9D64"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53.262</w:t>
            </w:r>
          </w:p>
          <w:p w14:paraId="742EB08F"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56.067</w:t>
            </w:r>
          </w:p>
          <w:p w14:paraId="3E3856BC"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53.884</w:t>
            </w:r>
          </w:p>
          <w:p w14:paraId="12643CA5"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51.890</w:t>
            </w:r>
          </w:p>
          <w:p w14:paraId="2A775152"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53.600</w:t>
            </w:r>
          </w:p>
          <w:p w14:paraId="3E77864A"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52.010</w:t>
            </w:r>
          </w:p>
          <w:p w14:paraId="0A679403"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53.700</w:t>
            </w:r>
          </w:p>
          <w:p w14:paraId="42A5E35F"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60.197</w:t>
            </w:r>
          </w:p>
        </w:tc>
        <w:tc>
          <w:tcPr>
            <w:tcW w:w="1176" w:type="dxa"/>
          </w:tcPr>
          <w:p w14:paraId="71109AC3"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1.477</w:t>
            </w:r>
          </w:p>
          <w:p w14:paraId="250E1038"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1.573</w:t>
            </w:r>
          </w:p>
          <w:p w14:paraId="2791050B"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1.667</w:t>
            </w:r>
          </w:p>
          <w:p w14:paraId="017B4287"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1.720</w:t>
            </w:r>
          </w:p>
          <w:p w14:paraId="70B3EC1D"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1.743</w:t>
            </w:r>
          </w:p>
          <w:p w14:paraId="417601C8"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1.770</w:t>
            </w:r>
          </w:p>
          <w:p w14:paraId="672F3497"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1.817</w:t>
            </w:r>
          </w:p>
          <w:p w14:paraId="19016404"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1.853</w:t>
            </w:r>
          </w:p>
          <w:p w14:paraId="6566BB27"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 xml:space="preserve"> 1.900</w:t>
            </w:r>
          </w:p>
          <w:p w14:paraId="3126AEDF"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 xml:space="preserve"> 1.950</w:t>
            </w:r>
          </w:p>
          <w:p w14:paraId="340F6379"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1.923</w:t>
            </w:r>
          </w:p>
          <w:p w14:paraId="4D67F737"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 xml:space="preserve">1.913 </w:t>
            </w:r>
          </w:p>
        </w:tc>
        <w:tc>
          <w:tcPr>
            <w:tcW w:w="1176" w:type="dxa"/>
          </w:tcPr>
          <w:p w14:paraId="2883E627"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1.235</w:t>
            </w:r>
          </w:p>
          <w:p w14:paraId="67213298"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1.412</w:t>
            </w:r>
          </w:p>
          <w:p w14:paraId="7F9ED58B"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1.448</w:t>
            </w:r>
          </w:p>
          <w:p w14:paraId="0B733E05"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1.552</w:t>
            </w:r>
          </w:p>
          <w:p w14:paraId="5F1EF77E"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1.565</w:t>
            </w:r>
          </w:p>
          <w:p w14:paraId="42098706"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1.588</w:t>
            </w:r>
          </w:p>
          <w:p w14:paraId="028DBA64"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1.615</w:t>
            </w:r>
          </w:p>
          <w:p w14:paraId="12342D34"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1.628</w:t>
            </w:r>
          </w:p>
          <w:p w14:paraId="76B6D112"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 xml:space="preserve"> 1.755</w:t>
            </w:r>
          </w:p>
          <w:p w14:paraId="5E7FA4AF"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 xml:space="preserve"> 1.618</w:t>
            </w:r>
          </w:p>
          <w:p w14:paraId="61DDC53C"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1.768</w:t>
            </w:r>
          </w:p>
          <w:p w14:paraId="13E46BB6"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 xml:space="preserve">1.758 </w:t>
            </w:r>
          </w:p>
        </w:tc>
        <w:tc>
          <w:tcPr>
            <w:tcW w:w="896" w:type="dxa"/>
          </w:tcPr>
          <w:p w14:paraId="3D04E196"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65.683</w:t>
            </w:r>
          </w:p>
          <w:p w14:paraId="7F4F015E"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68.750</w:t>
            </w:r>
          </w:p>
          <w:p w14:paraId="14F4771A"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69.650</w:t>
            </w:r>
          </w:p>
          <w:p w14:paraId="0189CEFB"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67.050</w:t>
            </w:r>
          </w:p>
          <w:p w14:paraId="1ED61EF2"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66.917</w:t>
            </w:r>
          </w:p>
          <w:p w14:paraId="176DE064"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70.650</w:t>
            </w:r>
          </w:p>
          <w:p w14:paraId="6D461D53"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67.583</w:t>
            </w:r>
          </w:p>
          <w:p w14:paraId="35DFFC2A"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68.950</w:t>
            </w:r>
          </w:p>
          <w:p w14:paraId="6CD9B4FE"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69.883</w:t>
            </w:r>
          </w:p>
          <w:p w14:paraId="77015707"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67.950</w:t>
            </w:r>
          </w:p>
          <w:p w14:paraId="097490F9"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67.483</w:t>
            </w:r>
          </w:p>
          <w:p w14:paraId="57EA4373"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71.083</w:t>
            </w:r>
          </w:p>
        </w:tc>
        <w:tc>
          <w:tcPr>
            <w:tcW w:w="896" w:type="dxa"/>
          </w:tcPr>
          <w:p w14:paraId="512A65F2"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7.057</w:t>
            </w:r>
          </w:p>
          <w:p w14:paraId="6295E694"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9.027</w:t>
            </w:r>
          </w:p>
          <w:p w14:paraId="2BBBAAA9"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9.287</w:t>
            </w:r>
          </w:p>
          <w:p w14:paraId="598EE8A3"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7.877</w:t>
            </w:r>
          </w:p>
          <w:p w14:paraId="5A7FADD9"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8.393</w:t>
            </w:r>
          </w:p>
          <w:p w14:paraId="6F3D489A"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9.210</w:t>
            </w:r>
          </w:p>
          <w:p w14:paraId="1D1735EE"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7.447</w:t>
            </w:r>
          </w:p>
          <w:p w14:paraId="1E7CBA37"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9.060</w:t>
            </w:r>
          </w:p>
          <w:p w14:paraId="32007FC9"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9.317</w:t>
            </w:r>
          </w:p>
          <w:p w14:paraId="58331783"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 xml:space="preserve"> 8.187</w:t>
            </w:r>
          </w:p>
          <w:p w14:paraId="3B19E018"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8.600</w:t>
            </w:r>
          </w:p>
          <w:p w14:paraId="6AB6DAF3"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 xml:space="preserve">9.340 </w:t>
            </w:r>
          </w:p>
        </w:tc>
        <w:tc>
          <w:tcPr>
            <w:tcW w:w="976" w:type="dxa"/>
          </w:tcPr>
          <w:p w14:paraId="03FA7B24"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10.682</w:t>
            </w:r>
          </w:p>
          <w:p w14:paraId="3B52C5E8"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13.072</w:t>
            </w:r>
          </w:p>
          <w:p w14:paraId="717F271A"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13.277</w:t>
            </w:r>
          </w:p>
          <w:p w14:paraId="360BF7C6"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11.683</w:t>
            </w:r>
          </w:p>
          <w:p w14:paraId="042D2CFE"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12.485</w:t>
            </w:r>
          </w:p>
          <w:p w14:paraId="5423B961"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13.113</w:t>
            </w:r>
          </w:p>
          <w:p w14:paraId="798BA569"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10.965</w:t>
            </w:r>
          </w:p>
          <w:p w14:paraId="7D55B1EA"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13.078</w:t>
            </w:r>
          </w:p>
          <w:p w14:paraId="5B97591D"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13.275</w:t>
            </w:r>
          </w:p>
          <w:p w14:paraId="58429828"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11.990</w:t>
            </w:r>
          </w:p>
          <w:p w14:paraId="0DD42295"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12.685</w:t>
            </w:r>
          </w:p>
          <w:p w14:paraId="1E3F5EC2"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 xml:space="preserve">13.085 </w:t>
            </w:r>
          </w:p>
        </w:tc>
        <w:tc>
          <w:tcPr>
            <w:tcW w:w="1136" w:type="dxa"/>
          </w:tcPr>
          <w:p w14:paraId="00230DE6"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45.050</w:t>
            </w:r>
          </w:p>
          <w:p w14:paraId="5BD8E6BA"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44.617</w:t>
            </w:r>
          </w:p>
          <w:p w14:paraId="2B1853ED"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40.667</w:t>
            </w:r>
          </w:p>
          <w:p w14:paraId="5F58719B"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38.917</w:t>
            </w:r>
          </w:p>
          <w:p w14:paraId="5F0B1E39"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42.017</w:t>
            </w:r>
          </w:p>
          <w:p w14:paraId="48936585"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40.917</w:t>
            </w:r>
          </w:p>
          <w:p w14:paraId="59AA7FF9"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41.217</w:t>
            </w:r>
          </w:p>
          <w:p w14:paraId="7CFC596E"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51.083</w:t>
            </w:r>
          </w:p>
          <w:p w14:paraId="77FFD954"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43.550</w:t>
            </w:r>
          </w:p>
          <w:p w14:paraId="2D415BD6"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39.583</w:t>
            </w:r>
          </w:p>
          <w:p w14:paraId="3F6CDF02"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38.617</w:t>
            </w:r>
          </w:p>
          <w:p w14:paraId="4EB42764"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 xml:space="preserve">37.717 </w:t>
            </w:r>
          </w:p>
        </w:tc>
        <w:tc>
          <w:tcPr>
            <w:tcW w:w="1323" w:type="dxa"/>
          </w:tcPr>
          <w:p w14:paraId="70581518"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53.850</w:t>
            </w:r>
          </w:p>
          <w:p w14:paraId="7E2E3DE4"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42.250</w:t>
            </w:r>
          </w:p>
          <w:p w14:paraId="4F093D8D"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44.117</w:t>
            </w:r>
          </w:p>
          <w:p w14:paraId="308B2F74"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42.950</w:t>
            </w:r>
          </w:p>
          <w:p w14:paraId="66A837D3"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46.850</w:t>
            </w:r>
          </w:p>
          <w:p w14:paraId="5E728CD1"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46.717</w:t>
            </w:r>
          </w:p>
          <w:p w14:paraId="6B910EBB"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48.283</w:t>
            </w:r>
          </w:p>
          <w:p w14:paraId="36EF0FD9"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54.917</w:t>
            </w:r>
          </w:p>
          <w:p w14:paraId="0C3FD1AD"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53.117</w:t>
            </w:r>
          </w:p>
          <w:p w14:paraId="075B8529"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41.117</w:t>
            </w:r>
          </w:p>
          <w:p w14:paraId="5D1028EB"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39.233</w:t>
            </w:r>
          </w:p>
          <w:p w14:paraId="4FFEB3F5"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39.717</w:t>
            </w:r>
          </w:p>
        </w:tc>
        <w:tc>
          <w:tcPr>
            <w:tcW w:w="876" w:type="dxa"/>
          </w:tcPr>
          <w:p w14:paraId="794AB01E"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21.540</w:t>
            </w:r>
          </w:p>
          <w:p w14:paraId="4153613D"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18.000</w:t>
            </w:r>
          </w:p>
          <w:p w14:paraId="36C64231"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17.600</w:t>
            </w:r>
          </w:p>
          <w:p w14:paraId="6EE63441"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17.057</w:t>
            </w:r>
          </w:p>
          <w:p w14:paraId="106F9561"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19.377</w:t>
            </w:r>
          </w:p>
          <w:p w14:paraId="23C27625"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18.600</w:t>
            </w:r>
          </w:p>
          <w:p w14:paraId="763B1CFD"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19.850</w:t>
            </w:r>
          </w:p>
          <w:p w14:paraId="54D414EA"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22.280</w:t>
            </w:r>
          </w:p>
          <w:p w14:paraId="67332A59"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21.527</w:t>
            </w:r>
          </w:p>
          <w:p w14:paraId="30EC9444"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16.917</w:t>
            </w:r>
          </w:p>
          <w:p w14:paraId="7F00B8CF"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16.767</w:t>
            </w:r>
          </w:p>
          <w:p w14:paraId="59BEE1AC"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 xml:space="preserve">16.433 </w:t>
            </w:r>
          </w:p>
        </w:tc>
        <w:tc>
          <w:tcPr>
            <w:tcW w:w="996" w:type="dxa"/>
          </w:tcPr>
          <w:p w14:paraId="0AE462B9"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266.017</w:t>
            </w:r>
          </w:p>
          <w:p w14:paraId="76AC0182"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222.298</w:t>
            </w:r>
          </w:p>
          <w:p w14:paraId="3FC2E22B"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217.360</w:t>
            </w:r>
          </w:p>
          <w:p w14:paraId="326B74E6"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210.653</w:t>
            </w:r>
          </w:p>
          <w:p w14:paraId="5F7056E5"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239.302</w:t>
            </w:r>
          </w:p>
          <w:p w14:paraId="73C289FF"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229.702</w:t>
            </w:r>
          </w:p>
          <w:p w14:paraId="0934F0AE"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245.148</w:t>
            </w:r>
          </w:p>
          <w:p w14:paraId="4F01EC32"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275.162</w:t>
            </w:r>
          </w:p>
          <w:p w14:paraId="17CF21B8"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253.092</w:t>
            </w:r>
          </w:p>
          <w:p w14:paraId="004D445F"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208.920</w:t>
            </w:r>
          </w:p>
          <w:p w14:paraId="2F44B0A7"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 xml:space="preserve"> 07.067</w:t>
            </w:r>
          </w:p>
          <w:p w14:paraId="7939BCB9" w14:textId="77777777" w:rsidR="00977058" w:rsidRPr="009C4193" w:rsidRDefault="0056669F">
            <w:pPr>
              <w:spacing w:after="0" w:line="240" w:lineRule="auto"/>
              <w:jc w:val="center"/>
              <w:rPr>
                <w:rFonts w:ascii="Times New Roman" w:hAnsi="Times New Roman" w:cs="Times New Roman"/>
                <w:kern w:val="0"/>
                <w:sz w:val="24"/>
                <w:szCs w:val="24"/>
                <w14:ligatures w14:val="none"/>
              </w:rPr>
            </w:pPr>
            <w:r w:rsidRPr="009C4193">
              <w:rPr>
                <w:rFonts w:ascii="Times New Roman" w:hAnsi="Times New Roman" w:cs="Times New Roman"/>
                <w:kern w:val="0"/>
                <w:sz w:val="24"/>
                <w:szCs w:val="24"/>
                <w14:ligatures w14:val="none"/>
              </w:rPr>
              <w:t xml:space="preserve">202.953 </w:t>
            </w:r>
          </w:p>
        </w:tc>
      </w:tr>
      <w:tr w:rsidR="00977058" w:rsidRPr="009C4193" w14:paraId="51C8AA56" w14:textId="77777777">
        <w:trPr>
          <w:trHeight w:val="131"/>
        </w:trPr>
        <w:tc>
          <w:tcPr>
            <w:tcW w:w="1456" w:type="dxa"/>
          </w:tcPr>
          <w:p w14:paraId="17B1F122" w14:textId="77777777" w:rsidR="00977058" w:rsidRPr="009C4193" w:rsidRDefault="0056669F">
            <w:pPr>
              <w:spacing w:after="0" w:line="240" w:lineRule="auto"/>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Significance</w:t>
            </w:r>
          </w:p>
          <w:p w14:paraId="207C535C" w14:textId="77777777" w:rsidR="00977058" w:rsidRPr="009C4193" w:rsidRDefault="0056669F">
            <w:pPr>
              <w:spacing w:after="0" w:line="240" w:lineRule="auto"/>
              <w:rPr>
                <w:rFonts w:ascii="Times New Roman" w:hAnsi="Times New Roman" w:cs="Times New Roman"/>
                <w:b/>
                <w:bCs/>
                <w:kern w:val="0"/>
                <w:sz w:val="24"/>
                <w:szCs w:val="24"/>
                <w14:ligatures w14:val="none"/>
              </w:rPr>
            </w:pPr>
            <w:proofErr w:type="gramStart"/>
            <w:r w:rsidRPr="009C4193">
              <w:rPr>
                <w:rFonts w:ascii="Times New Roman" w:hAnsi="Times New Roman" w:cs="Times New Roman"/>
                <w:b/>
                <w:bCs/>
                <w:kern w:val="0"/>
                <w:sz w:val="24"/>
                <w:szCs w:val="24"/>
                <w14:ligatures w14:val="none"/>
              </w:rPr>
              <w:t>CD  @</w:t>
            </w:r>
            <w:proofErr w:type="gramEnd"/>
            <w:r w:rsidRPr="009C4193">
              <w:rPr>
                <w:rFonts w:ascii="Times New Roman" w:hAnsi="Times New Roman" w:cs="Times New Roman"/>
                <w:b/>
                <w:bCs/>
                <w:kern w:val="0"/>
                <w:sz w:val="24"/>
                <w:szCs w:val="24"/>
                <w14:ligatures w14:val="none"/>
              </w:rPr>
              <w:t xml:space="preserve"> 5%</w:t>
            </w:r>
          </w:p>
          <w:p w14:paraId="5C96B820" w14:textId="77777777" w:rsidR="00977058" w:rsidRPr="009C4193" w:rsidRDefault="0056669F">
            <w:pPr>
              <w:spacing w:after="0" w:line="240" w:lineRule="auto"/>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SE (±)</w:t>
            </w:r>
          </w:p>
        </w:tc>
        <w:tc>
          <w:tcPr>
            <w:tcW w:w="910" w:type="dxa"/>
          </w:tcPr>
          <w:p w14:paraId="1D229D50"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w:t>
            </w:r>
          </w:p>
          <w:p w14:paraId="53F9B8F0"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0.399</w:t>
            </w:r>
          </w:p>
          <w:p w14:paraId="2E38B5D7"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0.108</w:t>
            </w:r>
          </w:p>
        </w:tc>
        <w:tc>
          <w:tcPr>
            <w:tcW w:w="1070" w:type="dxa"/>
          </w:tcPr>
          <w:p w14:paraId="50A4CD19"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w:t>
            </w:r>
          </w:p>
          <w:p w14:paraId="5D5D29AC"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0.028</w:t>
            </w:r>
          </w:p>
          <w:p w14:paraId="5A149369"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0.003</w:t>
            </w:r>
          </w:p>
        </w:tc>
        <w:tc>
          <w:tcPr>
            <w:tcW w:w="1283" w:type="dxa"/>
          </w:tcPr>
          <w:p w14:paraId="6267FA82"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NS</w:t>
            </w:r>
          </w:p>
          <w:p w14:paraId="4A02457C"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NA</w:t>
            </w:r>
          </w:p>
          <w:p w14:paraId="54309457"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5.256</w:t>
            </w:r>
          </w:p>
        </w:tc>
        <w:tc>
          <w:tcPr>
            <w:tcW w:w="1176" w:type="dxa"/>
          </w:tcPr>
          <w:p w14:paraId="66B7B5D4"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w:t>
            </w:r>
          </w:p>
          <w:p w14:paraId="30C77942"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0.004</w:t>
            </w:r>
          </w:p>
          <w:p w14:paraId="6F839A63"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0.010</w:t>
            </w:r>
          </w:p>
        </w:tc>
        <w:tc>
          <w:tcPr>
            <w:tcW w:w="1176" w:type="dxa"/>
          </w:tcPr>
          <w:p w14:paraId="26C6B7C2"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NS</w:t>
            </w:r>
          </w:p>
          <w:p w14:paraId="3084679E"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NA</w:t>
            </w:r>
          </w:p>
          <w:p w14:paraId="6287DF94"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0.027</w:t>
            </w:r>
          </w:p>
        </w:tc>
        <w:tc>
          <w:tcPr>
            <w:tcW w:w="896" w:type="dxa"/>
          </w:tcPr>
          <w:p w14:paraId="1199200A"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NS</w:t>
            </w:r>
          </w:p>
          <w:p w14:paraId="3A6EC8FE"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NA</w:t>
            </w:r>
          </w:p>
          <w:p w14:paraId="47219C4D"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0.391</w:t>
            </w:r>
          </w:p>
        </w:tc>
        <w:tc>
          <w:tcPr>
            <w:tcW w:w="896" w:type="dxa"/>
          </w:tcPr>
          <w:p w14:paraId="6F76229E"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w:t>
            </w:r>
          </w:p>
          <w:p w14:paraId="221AEFC7"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0.048</w:t>
            </w:r>
          </w:p>
          <w:p w14:paraId="7E6D59D0"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0.016</w:t>
            </w:r>
          </w:p>
        </w:tc>
        <w:tc>
          <w:tcPr>
            <w:tcW w:w="976" w:type="dxa"/>
          </w:tcPr>
          <w:p w14:paraId="441B8D6E"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w:t>
            </w:r>
          </w:p>
          <w:p w14:paraId="700D7B04"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0.07</w:t>
            </w:r>
          </w:p>
          <w:p w14:paraId="50354249"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0.017</w:t>
            </w:r>
          </w:p>
        </w:tc>
        <w:tc>
          <w:tcPr>
            <w:tcW w:w="1136" w:type="dxa"/>
          </w:tcPr>
          <w:p w14:paraId="263CD1D9"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w:t>
            </w:r>
          </w:p>
          <w:p w14:paraId="064B37D2"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1.132</w:t>
            </w:r>
          </w:p>
          <w:p w14:paraId="0EA9196E"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0.266</w:t>
            </w:r>
          </w:p>
        </w:tc>
        <w:tc>
          <w:tcPr>
            <w:tcW w:w="1323" w:type="dxa"/>
          </w:tcPr>
          <w:p w14:paraId="084155E6"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NS</w:t>
            </w:r>
          </w:p>
          <w:p w14:paraId="4D89103A"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NA</w:t>
            </w:r>
          </w:p>
          <w:p w14:paraId="1E405957"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0.663</w:t>
            </w:r>
          </w:p>
        </w:tc>
        <w:tc>
          <w:tcPr>
            <w:tcW w:w="876" w:type="dxa"/>
          </w:tcPr>
          <w:p w14:paraId="25B01109"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w:t>
            </w:r>
          </w:p>
          <w:p w14:paraId="6E8A431C"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0.157</w:t>
            </w:r>
          </w:p>
          <w:p w14:paraId="493D75E5"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0.005</w:t>
            </w:r>
          </w:p>
        </w:tc>
        <w:tc>
          <w:tcPr>
            <w:tcW w:w="996" w:type="dxa"/>
          </w:tcPr>
          <w:p w14:paraId="55E09B3F"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w:t>
            </w:r>
          </w:p>
          <w:p w14:paraId="24B09D8D"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2.008</w:t>
            </w:r>
          </w:p>
          <w:p w14:paraId="2698DFA6" w14:textId="77777777" w:rsidR="00977058" w:rsidRPr="009C4193" w:rsidRDefault="0056669F">
            <w:pPr>
              <w:spacing w:after="0" w:line="240" w:lineRule="auto"/>
              <w:jc w:val="center"/>
              <w:rPr>
                <w:rFonts w:ascii="Times New Roman" w:hAnsi="Times New Roman" w:cs="Times New Roman"/>
                <w:b/>
                <w:bCs/>
                <w:kern w:val="0"/>
                <w:sz w:val="24"/>
                <w:szCs w:val="24"/>
                <w14:ligatures w14:val="none"/>
              </w:rPr>
            </w:pPr>
            <w:r w:rsidRPr="009C4193">
              <w:rPr>
                <w:rFonts w:ascii="Times New Roman" w:hAnsi="Times New Roman" w:cs="Times New Roman"/>
                <w:b/>
                <w:bCs/>
                <w:kern w:val="0"/>
                <w:sz w:val="24"/>
                <w:szCs w:val="24"/>
                <w14:ligatures w14:val="none"/>
              </w:rPr>
              <w:t>0.836</w:t>
            </w:r>
          </w:p>
        </w:tc>
      </w:tr>
    </w:tbl>
    <w:p w14:paraId="1A3B8694" w14:textId="77777777" w:rsidR="00977058" w:rsidRPr="009C4193" w:rsidRDefault="0056669F">
      <w:pPr>
        <w:spacing w:after="0" w:line="240" w:lineRule="auto"/>
        <w:rPr>
          <w:rFonts w:ascii="Times New Roman" w:hAnsi="Times New Roman" w:cs="Times New Roman"/>
          <w:sz w:val="24"/>
          <w:szCs w:val="24"/>
        </w:rPr>
        <w:sectPr w:rsidR="00977058" w:rsidRPr="009C4193">
          <w:pgSz w:w="16838" w:h="11906" w:orient="landscape"/>
          <w:pgMar w:top="1440" w:right="1440" w:bottom="1440" w:left="1440" w:header="709" w:footer="709" w:gutter="0"/>
          <w:cols w:space="708"/>
          <w:docGrid w:linePitch="360"/>
        </w:sectPr>
      </w:pPr>
      <w:r w:rsidRPr="009C4193">
        <w:rPr>
          <w:rFonts w:ascii="Times New Roman" w:hAnsi="Times New Roman" w:cs="Times New Roman"/>
          <w:b/>
          <w:bCs/>
          <w:sz w:val="24"/>
          <w:szCs w:val="24"/>
        </w:rPr>
        <w:t>T</w:t>
      </w:r>
      <w:r w:rsidRPr="009C4193">
        <w:rPr>
          <w:rFonts w:ascii="Times New Roman" w:hAnsi="Times New Roman" w:cs="Times New Roman"/>
          <w:b/>
          <w:bCs/>
          <w:sz w:val="24"/>
          <w:szCs w:val="24"/>
          <w:vertAlign w:val="subscript"/>
        </w:rPr>
        <w:t>1</w:t>
      </w:r>
      <w:r w:rsidRPr="009C4193">
        <w:rPr>
          <w:rFonts w:ascii="Times New Roman" w:hAnsi="Times New Roman" w:cs="Times New Roman"/>
          <w:sz w:val="24"/>
          <w:szCs w:val="24"/>
        </w:rPr>
        <w:t xml:space="preserve"> is the REC NPK, 150: 80: 100 kg/ha, </w:t>
      </w:r>
      <w:r w:rsidRPr="009C4193">
        <w:rPr>
          <w:rFonts w:ascii="Times New Roman" w:hAnsi="Times New Roman" w:cs="Times New Roman"/>
          <w:b/>
          <w:bCs/>
          <w:sz w:val="24"/>
          <w:szCs w:val="24"/>
        </w:rPr>
        <w:t>T</w:t>
      </w:r>
      <w:r w:rsidRPr="009C4193">
        <w:rPr>
          <w:rFonts w:ascii="Times New Roman" w:hAnsi="Times New Roman" w:cs="Times New Roman"/>
          <w:b/>
          <w:bCs/>
          <w:sz w:val="24"/>
          <w:szCs w:val="24"/>
          <w:vertAlign w:val="subscript"/>
        </w:rPr>
        <w:t>2</w:t>
      </w:r>
      <w:r w:rsidRPr="009C4193">
        <w:rPr>
          <w:rFonts w:ascii="Times New Roman" w:hAnsi="Times New Roman" w:cs="Times New Roman"/>
          <w:sz w:val="24"/>
          <w:szCs w:val="24"/>
        </w:rPr>
        <w:t xml:space="preserve"> is the FYM @ 20 tones / ha, </w:t>
      </w:r>
      <w:r w:rsidRPr="009C4193">
        <w:rPr>
          <w:rFonts w:ascii="Times New Roman" w:hAnsi="Times New Roman" w:cs="Times New Roman"/>
          <w:b/>
          <w:bCs/>
          <w:sz w:val="24"/>
          <w:szCs w:val="24"/>
        </w:rPr>
        <w:t>T</w:t>
      </w:r>
      <w:r w:rsidRPr="009C4193">
        <w:rPr>
          <w:rFonts w:ascii="Times New Roman" w:hAnsi="Times New Roman" w:cs="Times New Roman"/>
          <w:b/>
          <w:bCs/>
          <w:sz w:val="24"/>
          <w:szCs w:val="24"/>
          <w:vertAlign w:val="subscript"/>
        </w:rPr>
        <w:t>3</w:t>
      </w:r>
      <w:r w:rsidRPr="009C4193">
        <w:rPr>
          <w:rFonts w:ascii="Times New Roman" w:hAnsi="Times New Roman" w:cs="Times New Roman"/>
          <w:sz w:val="24"/>
          <w:szCs w:val="24"/>
        </w:rPr>
        <w:t xml:space="preserve"> is the Vermicompost @ 5 tones / ha, </w:t>
      </w:r>
      <w:r w:rsidRPr="009C4193">
        <w:rPr>
          <w:rFonts w:ascii="Times New Roman" w:hAnsi="Times New Roman" w:cs="Times New Roman"/>
          <w:b/>
          <w:bCs/>
          <w:sz w:val="24"/>
          <w:szCs w:val="24"/>
        </w:rPr>
        <w:t>T</w:t>
      </w:r>
      <w:r w:rsidRPr="009C4193">
        <w:rPr>
          <w:rFonts w:ascii="Times New Roman" w:hAnsi="Times New Roman" w:cs="Times New Roman"/>
          <w:b/>
          <w:bCs/>
          <w:sz w:val="24"/>
          <w:szCs w:val="24"/>
          <w:vertAlign w:val="subscript"/>
        </w:rPr>
        <w:t>4</w:t>
      </w:r>
      <w:r w:rsidRPr="009C4193">
        <w:rPr>
          <w:rFonts w:ascii="Times New Roman" w:hAnsi="Times New Roman" w:cs="Times New Roman"/>
          <w:sz w:val="24"/>
          <w:szCs w:val="24"/>
        </w:rPr>
        <w:t xml:space="preserve"> is the FYM @ 10 tones / ha + Vermicompost @ 2.5 t/ha, </w:t>
      </w:r>
      <w:r w:rsidRPr="009C4193">
        <w:rPr>
          <w:rFonts w:ascii="Times New Roman" w:hAnsi="Times New Roman" w:cs="Times New Roman"/>
          <w:b/>
          <w:bCs/>
          <w:sz w:val="24"/>
          <w:szCs w:val="24"/>
        </w:rPr>
        <w:t>T</w:t>
      </w:r>
      <w:r w:rsidRPr="009C4193">
        <w:rPr>
          <w:rFonts w:ascii="Times New Roman" w:hAnsi="Times New Roman" w:cs="Times New Roman"/>
          <w:b/>
          <w:bCs/>
          <w:sz w:val="24"/>
          <w:szCs w:val="24"/>
          <w:vertAlign w:val="subscript"/>
        </w:rPr>
        <w:t>5</w:t>
      </w:r>
      <w:r w:rsidRPr="009C4193">
        <w:rPr>
          <w:rFonts w:ascii="Times New Roman" w:hAnsi="Times New Roman" w:cs="Times New Roman"/>
          <w:sz w:val="24"/>
          <w:szCs w:val="24"/>
        </w:rPr>
        <w:t xml:space="preserve"> is the 50% N through FYM + 50% N through Fertilizer and 100% PK, </w:t>
      </w:r>
      <w:r w:rsidRPr="009C4193">
        <w:rPr>
          <w:rFonts w:ascii="Times New Roman" w:hAnsi="Times New Roman" w:cs="Times New Roman"/>
          <w:b/>
          <w:bCs/>
          <w:sz w:val="24"/>
          <w:szCs w:val="24"/>
        </w:rPr>
        <w:t>T</w:t>
      </w:r>
      <w:r w:rsidRPr="009C4193">
        <w:rPr>
          <w:rFonts w:ascii="Times New Roman" w:hAnsi="Times New Roman" w:cs="Times New Roman"/>
          <w:b/>
          <w:bCs/>
          <w:sz w:val="24"/>
          <w:szCs w:val="24"/>
          <w:vertAlign w:val="subscript"/>
        </w:rPr>
        <w:t>6</w:t>
      </w:r>
      <w:r w:rsidRPr="009C4193">
        <w:rPr>
          <w:rFonts w:ascii="Times New Roman" w:hAnsi="Times New Roman" w:cs="Times New Roman"/>
          <w:sz w:val="24"/>
          <w:szCs w:val="24"/>
        </w:rPr>
        <w:t xml:space="preserve"> is the 50% N through Vermicompost + 50% N through Fertilizer and 100% PK, </w:t>
      </w:r>
      <w:r w:rsidRPr="009C4193">
        <w:rPr>
          <w:rFonts w:ascii="Times New Roman" w:hAnsi="Times New Roman" w:cs="Times New Roman"/>
          <w:b/>
          <w:bCs/>
          <w:sz w:val="24"/>
          <w:szCs w:val="24"/>
        </w:rPr>
        <w:t>T</w:t>
      </w:r>
      <w:r w:rsidRPr="009C4193">
        <w:rPr>
          <w:rFonts w:ascii="Times New Roman" w:hAnsi="Times New Roman" w:cs="Times New Roman"/>
          <w:b/>
          <w:bCs/>
          <w:sz w:val="24"/>
          <w:szCs w:val="24"/>
          <w:vertAlign w:val="subscript"/>
        </w:rPr>
        <w:t>7</w:t>
      </w:r>
      <w:r w:rsidRPr="009C4193">
        <w:rPr>
          <w:rFonts w:ascii="Times New Roman" w:hAnsi="Times New Roman" w:cs="Times New Roman"/>
          <w:sz w:val="24"/>
          <w:szCs w:val="24"/>
        </w:rPr>
        <w:t xml:space="preserve"> is the FYM @ 10 tones / ha + Vermicompost @ 2.5 t/ha + </w:t>
      </w:r>
      <w:proofErr w:type="spellStart"/>
      <w:r w:rsidRPr="009C4193">
        <w:rPr>
          <w:rFonts w:ascii="Times New Roman" w:hAnsi="Times New Roman" w:cs="Times New Roman"/>
          <w:i/>
          <w:iCs/>
          <w:sz w:val="24"/>
          <w:szCs w:val="24"/>
        </w:rPr>
        <w:t>Azotobactor</w:t>
      </w:r>
      <w:proofErr w:type="spellEnd"/>
      <w:r w:rsidRPr="009C4193">
        <w:rPr>
          <w:rFonts w:ascii="Times New Roman" w:hAnsi="Times New Roman" w:cs="Times New Roman"/>
          <w:sz w:val="24"/>
          <w:szCs w:val="24"/>
        </w:rPr>
        <w:t xml:space="preserve">, </w:t>
      </w:r>
      <w:r w:rsidRPr="009C4193">
        <w:rPr>
          <w:rFonts w:ascii="Times New Roman" w:hAnsi="Times New Roman" w:cs="Times New Roman"/>
          <w:b/>
          <w:bCs/>
          <w:sz w:val="24"/>
          <w:szCs w:val="24"/>
        </w:rPr>
        <w:t>T</w:t>
      </w:r>
      <w:r w:rsidRPr="009C4193">
        <w:rPr>
          <w:rFonts w:ascii="Times New Roman" w:hAnsi="Times New Roman" w:cs="Times New Roman"/>
          <w:b/>
          <w:bCs/>
          <w:sz w:val="24"/>
          <w:szCs w:val="24"/>
          <w:vertAlign w:val="subscript"/>
        </w:rPr>
        <w:t>8</w:t>
      </w:r>
      <w:r w:rsidRPr="009C4193">
        <w:rPr>
          <w:rFonts w:ascii="Times New Roman" w:hAnsi="Times New Roman" w:cs="Times New Roman"/>
          <w:sz w:val="24"/>
          <w:szCs w:val="24"/>
        </w:rPr>
        <w:t xml:space="preserve"> is the 50% N through FYM + 50% N through Fertilizer and 100% PK</w:t>
      </w:r>
      <w:r w:rsidRPr="009C4193">
        <w:rPr>
          <w:rFonts w:ascii="Times New Roman" w:hAnsi="Times New Roman" w:cs="Times New Roman"/>
          <w:b/>
          <w:bCs/>
          <w:sz w:val="24"/>
          <w:szCs w:val="24"/>
        </w:rPr>
        <w:t xml:space="preserve"> + </w:t>
      </w:r>
      <w:proofErr w:type="spellStart"/>
      <w:r w:rsidRPr="009C4193">
        <w:rPr>
          <w:rFonts w:ascii="Times New Roman" w:hAnsi="Times New Roman" w:cs="Times New Roman"/>
          <w:i/>
          <w:iCs/>
          <w:sz w:val="24"/>
          <w:szCs w:val="24"/>
        </w:rPr>
        <w:t>Azotobactor</w:t>
      </w:r>
      <w:proofErr w:type="spellEnd"/>
      <w:r w:rsidRPr="009C4193">
        <w:rPr>
          <w:rFonts w:ascii="Times New Roman" w:hAnsi="Times New Roman" w:cs="Times New Roman"/>
          <w:i/>
          <w:iCs/>
          <w:sz w:val="24"/>
          <w:szCs w:val="24"/>
        </w:rPr>
        <w:t xml:space="preserve">, </w:t>
      </w:r>
      <w:r w:rsidRPr="009C4193">
        <w:rPr>
          <w:rFonts w:ascii="Times New Roman" w:hAnsi="Times New Roman" w:cs="Times New Roman"/>
          <w:b/>
          <w:bCs/>
          <w:sz w:val="24"/>
          <w:szCs w:val="24"/>
        </w:rPr>
        <w:t>T</w:t>
      </w:r>
      <w:r w:rsidRPr="009C4193">
        <w:rPr>
          <w:rFonts w:ascii="Times New Roman" w:hAnsi="Times New Roman" w:cs="Times New Roman"/>
          <w:b/>
          <w:bCs/>
          <w:sz w:val="24"/>
          <w:szCs w:val="24"/>
          <w:vertAlign w:val="subscript"/>
        </w:rPr>
        <w:t>9</w:t>
      </w:r>
      <w:r w:rsidRPr="009C4193">
        <w:rPr>
          <w:rFonts w:ascii="Times New Roman" w:hAnsi="Times New Roman" w:cs="Times New Roman"/>
          <w:sz w:val="24"/>
          <w:szCs w:val="24"/>
        </w:rPr>
        <w:t xml:space="preserve"> is the 50% N through Vermicompost + 50% N through Fertilizer and 100% PK</w:t>
      </w:r>
      <w:r w:rsidRPr="009C4193">
        <w:rPr>
          <w:rFonts w:ascii="Times New Roman" w:hAnsi="Times New Roman" w:cs="Times New Roman"/>
          <w:i/>
          <w:iCs/>
          <w:sz w:val="24"/>
          <w:szCs w:val="24"/>
        </w:rPr>
        <w:t xml:space="preserve"> + </w:t>
      </w:r>
      <w:proofErr w:type="spellStart"/>
      <w:r w:rsidRPr="009C4193">
        <w:rPr>
          <w:rFonts w:ascii="Times New Roman" w:hAnsi="Times New Roman" w:cs="Times New Roman"/>
          <w:i/>
          <w:iCs/>
          <w:sz w:val="24"/>
          <w:szCs w:val="24"/>
        </w:rPr>
        <w:t>Azotobactor</w:t>
      </w:r>
      <w:proofErr w:type="spellEnd"/>
      <w:r w:rsidRPr="009C4193">
        <w:rPr>
          <w:rFonts w:ascii="Times New Roman" w:hAnsi="Times New Roman" w:cs="Times New Roman"/>
          <w:i/>
          <w:iCs/>
          <w:sz w:val="24"/>
          <w:szCs w:val="24"/>
        </w:rPr>
        <w:t xml:space="preserve">, </w:t>
      </w:r>
      <w:r w:rsidRPr="009C4193">
        <w:rPr>
          <w:rFonts w:ascii="Times New Roman" w:hAnsi="Times New Roman" w:cs="Times New Roman"/>
          <w:b/>
          <w:bCs/>
          <w:sz w:val="24"/>
          <w:szCs w:val="24"/>
        </w:rPr>
        <w:t>T</w:t>
      </w:r>
      <w:r w:rsidRPr="009C4193">
        <w:rPr>
          <w:rFonts w:ascii="Times New Roman" w:hAnsi="Times New Roman" w:cs="Times New Roman"/>
          <w:b/>
          <w:bCs/>
          <w:sz w:val="24"/>
          <w:szCs w:val="24"/>
          <w:vertAlign w:val="subscript"/>
        </w:rPr>
        <w:t>10</w:t>
      </w:r>
      <w:r w:rsidRPr="009C4193">
        <w:rPr>
          <w:rFonts w:ascii="Times New Roman" w:hAnsi="Times New Roman" w:cs="Times New Roman"/>
          <w:sz w:val="24"/>
          <w:szCs w:val="24"/>
        </w:rPr>
        <w:t xml:space="preserve"> is the FYM @ 10 tones / ha + Vermicompost @ 2.5 t/ha + </w:t>
      </w:r>
      <w:r w:rsidRPr="009C4193">
        <w:rPr>
          <w:rFonts w:ascii="Times New Roman" w:hAnsi="Times New Roman" w:cs="Times New Roman"/>
          <w:i/>
          <w:iCs/>
          <w:sz w:val="24"/>
          <w:szCs w:val="24"/>
        </w:rPr>
        <w:t>PSB</w:t>
      </w:r>
      <w:r w:rsidRPr="009C4193">
        <w:rPr>
          <w:rFonts w:ascii="Times New Roman" w:hAnsi="Times New Roman" w:cs="Times New Roman"/>
          <w:sz w:val="24"/>
          <w:szCs w:val="24"/>
        </w:rPr>
        <w:t xml:space="preserve">, </w:t>
      </w:r>
      <w:r w:rsidRPr="009C4193">
        <w:rPr>
          <w:rFonts w:ascii="Times New Roman" w:hAnsi="Times New Roman" w:cs="Times New Roman"/>
          <w:b/>
          <w:bCs/>
          <w:sz w:val="24"/>
          <w:szCs w:val="24"/>
        </w:rPr>
        <w:t>T</w:t>
      </w:r>
      <w:r w:rsidRPr="009C4193">
        <w:rPr>
          <w:rFonts w:ascii="Times New Roman" w:hAnsi="Times New Roman" w:cs="Times New Roman"/>
          <w:b/>
          <w:bCs/>
          <w:sz w:val="24"/>
          <w:szCs w:val="24"/>
          <w:vertAlign w:val="subscript"/>
        </w:rPr>
        <w:t>11</w:t>
      </w:r>
      <w:r w:rsidRPr="009C4193">
        <w:rPr>
          <w:rFonts w:ascii="Times New Roman" w:hAnsi="Times New Roman" w:cs="Times New Roman"/>
          <w:sz w:val="24"/>
          <w:szCs w:val="24"/>
        </w:rPr>
        <w:t xml:space="preserve"> is the 50% N through FYM + 50% N through Fertilizer and 100% PK</w:t>
      </w:r>
      <w:r w:rsidRPr="009C4193">
        <w:rPr>
          <w:rFonts w:ascii="Times New Roman" w:hAnsi="Times New Roman" w:cs="Times New Roman"/>
          <w:b/>
          <w:bCs/>
          <w:sz w:val="24"/>
          <w:szCs w:val="24"/>
        </w:rPr>
        <w:t xml:space="preserve"> + </w:t>
      </w:r>
      <w:r w:rsidRPr="009C4193">
        <w:rPr>
          <w:rFonts w:ascii="Times New Roman" w:hAnsi="Times New Roman" w:cs="Times New Roman"/>
          <w:i/>
          <w:iCs/>
          <w:sz w:val="24"/>
          <w:szCs w:val="24"/>
        </w:rPr>
        <w:t>PSB</w:t>
      </w:r>
      <w:r w:rsidRPr="009C4193">
        <w:rPr>
          <w:rFonts w:ascii="Times New Roman" w:hAnsi="Times New Roman" w:cs="Times New Roman"/>
          <w:sz w:val="24"/>
          <w:szCs w:val="24"/>
        </w:rPr>
        <w:t xml:space="preserve">, </w:t>
      </w:r>
      <w:r w:rsidRPr="009C4193">
        <w:rPr>
          <w:rFonts w:ascii="Times New Roman" w:hAnsi="Times New Roman" w:cs="Times New Roman"/>
          <w:b/>
          <w:bCs/>
          <w:sz w:val="24"/>
          <w:szCs w:val="24"/>
        </w:rPr>
        <w:t>T</w:t>
      </w:r>
      <w:r w:rsidRPr="009C4193">
        <w:rPr>
          <w:rFonts w:ascii="Times New Roman" w:hAnsi="Times New Roman" w:cs="Times New Roman"/>
          <w:b/>
          <w:bCs/>
          <w:sz w:val="24"/>
          <w:szCs w:val="24"/>
          <w:vertAlign w:val="subscript"/>
        </w:rPr>
        <w:t>12</w:t>
      </w:r>
      <w:r w:rsidRPr="009C4193">
        <w:rPr>
          <w:rFonts w:ascii="Times New Roman" w:hAnsi="Times New Roman" w:cs="Times New Roman"/>
          <w:sz w:val="24"/>
          <w:szCs w:val="24"/>
        </w:rPr>
        <w:t xml:space="preserve"> is the 50% N through Vermicompost + 50% N through Fertilizer and 100% PK + </w:t>
      </w:r>
      <w:r w:rsidRPr="009C4193">
        <w:rPr>
          <w:rFonts w:ascii="Times New Roman" w:hAnsi="Times New Roman" w:cs="Times New Roman"/>
          <w:i/>
          <w:iCs/>
          <w:sz w:val="24"/>
          <w:szCs w:val="24"/>
        </w:rPr>
        <w:t>PSB</w:t>
      </w:r>
      <w:r w:rsidRPr="009C4193">
        <w:rPr>
          <w:rFonts w:ascii="Times New Roman" w:hAnsi="Times New Roman" w:cs="Times New Roman"/>
          <w:sz w:val="24"/>
          <w:szCs w:val="24"/>
        </w:rPr>
        <w:t xml:space="preserve">., </w:t>
      </w:r>
      <w:r w:rsidRPr="009C4193">
        <w:rPr>
          <w:rFonts w:ascii="Times New Roman" w:hAnsi="Times New Roman" w:cs="Times New Roman"/>
          <w:b/>
          <w:bCs/>
          <w:sz w:val="24"/>
          <w:szCs w:val="24"/>
        </w:rPr>
        <w:t>**</w:t>
      </w:r>
      <w:r w:rsidRPr="009C4193">
        <w:rPr>
          <w:rFonts w:ascii="Times New Roman" w:hAnsi="Times New Roman" w:cs="Times New Roman"/>
          <w:sz w:val="24"/>
          <w:szCs w:val="24"/>
        </w:rPr>
        <w:t xml:space="preserve"> is the Significant at 5% &amp; 1%, </w:t>
      </w:r>
      <w:r w:rsidRPr="009C4193">
        <w:rPr>
          <w:rFonts w:ascii="Times New Roman" w:hAnsi="Times New Roman" w:cs="Times New Roman"/>
          <w:b/>
          <w:bCs/>
          <w:sz w:val="24"/>
          <w:szCs w:val="24"/>
        </w:rPr>
        <w:t>* is the</w:t>
      </w:r>
      <w:r w:rsidRPr="009C4193">
        <w:rPr>
          <w:rFonts w:ascii="Times New Roman" w:hAnsi="Times New Roman" w:cs="Times New Roman"/>
          <w:sz w:val="24"/>
          <w:szCs w:val="24"/>
        </w:rPr>
        <w:t xml:space="preserve"> Significant at 5%,</w:t>
      </w:r>
      <w:r w:rsidRPr="009C4193">
        <w:rPr>
          <w:rFonts w:ascii="Times New Roman" w:hAnsi="Times New Roman" w:cs="Times New Roman"/>
          <w:b/>
          <w:bCs/>
          <w:sz w:val="24"/>
          <w:szCs w:val="24"/>
        </w:rPr>
        <w:t xml:space="preserve">NS is the </w:t>
      </w:r>
      <w:r w:rsidRPr="009C4193">
        <w:rPr>
          <w:rFonts w:ascii="Times New Roman" w:hAnsi="Times New Roman" w:cs="Times New Roman"/>
          <w:sz w:val="24"/>
          <w:szCs w:val="24"/>
        </w:rPr>
        <w:t xml:space="preserve">Non-Significant. </w:t>
      </w:r>
    </w:p>
    <w:p w14:paraId="7281BD88" w14:textId="77777777" w:rsidR="00977058" w:rsidRPr="009C4193" w:rsidRDefault="0056669F">
      <w:pPr>
        <w:pStyle w:val="NormalWeb"/>
        <w:spacing w:before="0" w:beforeAutospacing="0" w:after="0" w:afterAutospacing="0" w:line="480" w:lineRule="auto"/>
        <w:jc w:val="both"/>
        <w:rPr>
          <w:i/>
          <w:iCs/>
        </w:rPr>
      </w:pPr>
      <w:r w:rsidRPr="009C4193">
        <w:rPr>
          <w:i/>
          <w:iCs/>
        </w:rPr>
        <w:lastRenderedPageBreak/>
        <w:t>Effect of Integrated Nutrient Management diameter of shoot and neck</w:t>
      </w:r>
    </w:p>
    <w:p w14:paraId="5CD2B9B9" w14:textId="77777777" w:rsidR="00977058" w:rsidRPr="009C4193" w:rsidRDefault="0056669F">
      <w:pPr>
        <w:pStyle w:val="NormalWeb"/>
        <w:spacing w:before="0" w:beforeAutospacing="0" w:after="0" w:afterAutospacing="0" w:line="480" w:lineRule="auto"/>
        <w:jc w:val="both"/>
      </w:pPr>
      <w:r w:rsidRPr="009C4193">
        <w:t xml:space="preserve">The diameter of shoot and neck are critical physiological indicators that influence onion plant robustness, nutrient translocation, and ultimately bulb development and shelf life. Data recorded during 2019–2020 and 2020–2021 (Figure 3 &amp; Table 4) show that INM significantly affected both parameters across treatments and years. The pooled analysis revealed that the maximum shoot diameter (1.950 cm) was observed under treatment T10, which combined FYM (10 t/ha), vermicompost (2.5 t/ha), and PSB. Similarly, the highest neck diameter (1.768 cm) was recorded under treatment T11, involving 50% nitrogen through FYM, 50% through chemical fertilizer, 100% PK, and PSB. In contrast, the lowest shoot (1.477 cm) and neck (1.235 cm) diameters were both recorded under T1, which used only the recommended dose of NPK via chemical fertilizers. These trends were consistent across both years, with significant differences confirmed by statistical analysis (shoot diameter CD: 0.004 cm; neck diameter CD: 0.030 cm in 2019–20 and 0.283 cm in 2020–21). The enhanced shoot and neck diameters in PSB and Azotobacter-based treatments can be attributed to improved microbial activity, phosphorus solubilization, and nitrogen fixation, leading to better cellular expansion and structural development of the plant [34, 41, 36]. The results affirm the effectiveness of integrated nutrient strategies combining organic manures and microbial inoculants with chemical inputs in optimizing vegetative growth and enhancing the physiological health of onion plants under semi-arid </w:t>
      </w:r>
      <w:proofErr w:type="spellStart"/>
      <w:r w:rsidRPr="009C4193">
        <w:t>agro</w:t>
      </w:r>
      <w:proofErr w:type="spellEnd"/>
      <w:r w:rsidRPr="009C4193">
        <w:t>-climatic conditions.</w:t>
      </w:r>
    </w:p>
    <w:p w14:paraId="5C929F29" w14:textId="77777777" w:rsidR="00977058" w:rsidRPr="009C4193" w:rsidRDefault="0056669F">
      <w:pPr>
        <w:spacing w:after="0" w:line="480" w:lineRule="auto"/>
        <w:rPr>
          <w:rFonts w:ascii="Times New Roman" w:hAnsi="Times New Roman" w:cs="Times New Roman"/>
          <w:b/>
          <w:bCs/>
          <w:sz w:val="24"/>
          <w:szCs w:val="24"/>
        </w:rPr>
      </w:pPr>
      <w:r w:rsidRPr="009C4193">
        <w:rPr>
          <w:rFonts w:ascii="Times New Roman" w:hAnsi="Times New Roman" w:cs="Times New Roman"/>
          <w:noProof/>
          <w:sz w:val="24"/>
          <w:szCs w:val="24"/>
        </w:rPr>
        <w:lastRenderedPageBreak/>
        <w:drawing>
          <wp:inline distT="0" distB="0" distL="0" distR="0" wp14:anchorId="1AEBA546" wp14:editId="5D3028DF">
            <wp:extent cx="2699385" cy="2339975"/>
            <wp:effectExtent l="0" t="0" r="5715" b="3175"/>
            <wp:docPr id="3553086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9C4193">
        <w:rPr>
          <w:rFonts w:ascii="Times New Roman" w:hAnsi="Times New Roman" w:cs="Times New Roman"/>
          <w:noProof/>
          <w:sz w:val="24"/>
          <w:szCs w:val="24"/>
        </w:rPr>
        <w:drawing>
          <wp:inline distT="0" distB="0" distL="0" distR="0" wp14:anchorId="1B9CE6EE" wp14:editId="6D53EBDC">
            <wp:extent cx="2699385" cy="2339975"/>
            <wp:effectExtent l="0" t="0" r="5715" b="3175"/>
            <wp:docPr id="186146918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FF0C819" w14:textId="77777777" w:rsidR="00977058" w:rsidRPr="009C4193" w:rsidRDefault="0056669F">
      <w:pPr>
        <w:spacing w:after="0" w:line="480" w:lineRule="auto"/>
        <w:jc w:val="both"/>
        <w:rPr>
          <w:rFonts w:ascii="Times New Roman" w:hAnsi="Times New Roman" w:cs="Times New Roman"/>
          <w:sz w:val="24"/>
          <w:szCs w:val="24"/>
        </w:rPr>
      </w:pPr>
      <w:r w:rsidRPr="009C4193">
        <w:rPr>
          <w:rFonts w:ascii="Times New Roman" w:hAnsi="Times New Roman" w:cs="Times New Roman"/>
          <w:b/>
          <w:bCs/>
          <w:sz w:val="24"/>
          <w:szCs w:val="24"/>
        </w:rPr>
        <w:t xml:space="preserve">Figure 3 </w:t>
      </w:r>
      <w:r w:rsidRPr="009C4193">
        <w:rPr>
          <w:rFonts w:ascii="Times New Roman" w:hAnsi="Times New Roman" w:cs="Times New Roman"/>
          <w:sz w:val="24"/>
          <w:szCs w:val="24"/>
        </w:rPr>
        <w:t>Variation of (a) diameter of shoot and (b) diameter of neck of onion under integrated nutrient management during the 2019–2020 and 2020–2021 growing seasons.</w:t>
      </w:r>
    </w:p>
    <w:p w14:paraId="76BA998D" w14:textId="77777777" w:rsidR="00977058" w:rsidRPr="009C4193" w:rsidRDefault="0056669F">
      <w:pPr>
        <w:pStyle w:val="NormalWeb"/>
        <w:spacing w:before="0" w:beforeAutospacing="0" w:after="0" w:afterAutospacing="0" w:line="480" w:lineRule="auto"/>
        <w:jc w:val="both"/>
        <w:rPr>
          <w:i/>
          <w:iCs/>
        </w:rPr>
      </w:pPr>
      <w:r w:rsidRPr="009C4193">
        <w:rPr>
          <w:i/>
          <w:iCs/>
        </w:rPr>
        <w:t>Effect of Integrated Nutrient Management on fresh, dry and dry matter content of shoot</w:t>
      </w:r>
    </w:p>
    <w:p w14:paraId="39FB2969" w14:textId="77777777" w:rsidR="00977058" w:rsidRPr="009C4193" w:rsidRDefault="0056669F">
      <w:pPr>
        <w:pStyle w:val="NormalWeb"/>
        <w:spacing w:before="0" w:beforeAutospacing="0" w:after="0" w:afterAutospacing="0" w:line="480" w:lineRule="auto"/>
        <w:jc w:val="both"/>
      </w:pPr>
      <w:r w:rsidRPr="009C4193">
        <w:t>The fresh weight of the shoot serves as a direct measure of vegetative growth and overall plant vigor, influenced heavily by nutrient availability and water status. The data recorded during 2019–20 and 2020–21 (Figure 4a &amp; Tables 4) showed significant improvement in shoot fresh weight under INM treatments compared to sole chemical fertilizer use. The maximum fresh weight was consistently recorded in treatment T12 (50% nitrogen through vermicompost + 50% through chemical fertilizer + 100% PK + PSB), indicating the synergistic effect of combining organic and microbial inputs with inorganic fertilizers. This increase aligns with finding by [42], who demonstrated that organic manures improve soil moisture retention and nutrient availability, resulting in enhanced fresh biomass. Moreover, studies by [43, 44, 45], emphasize that biofertilizers such as PSB and Azotobacter facilitate nutrient solubilization and nitrogen fixation, which promotes better cell turgor and expansion, increasing fresh weight. The improved shoot fresh weight is further supported by [46] and [47], who linked organic amendments to enhanced microbial activity and hormonal regulation, driving robust vegetative growth in onion and other vegetable crops.</w:t>
      </w:r>
    </w:p>
    <w:p w14:paraId="73706E3E" w14:textId="77777777" w:rsidR="00977058" w:rsidRPr="009C4193" w:rsidRDefault="0056669F">
      <w:pPr>
        <w:pStyle w:val="NormalWeb"/>
        <w:spacing w:before="0" w:beforeAutospacing="0" w:after="0" w:afterAutospacing="0" w:line="480" w:lineRule="auto"/>
        <w:jc w:val="both"/>
      </w:pPr>
      <w:r w:rsidRPr="009C4193">
        <w:lastRenderedPageBreak/>
        <w:t>The dry weight of the shoot, indicative of the total accumulated biomass excluding water, is a critical parameter reflecting the efficiency of nutrient assimilation and photosynthetic capacity. The pooled analysis from both years (Figure 4b &amp; Tables 4) highlighted those treatments combining organic manures, biofertilizers, and chemical fertilizers significantly increased shoot dry weight over the control (chemical fertilizer only). Treatment T12 again outperformed others, demonstrating superior biomass accumulation. These results corroborate earlier reports by [48] and [49], who found that vermicompost and farmyard manure improve soil structure and nutrient availability, enhancing dry matter synthesis. Biofertilizers' role in phosphorus solubilization and nitrogen fixation, as noted by [50] and [51], further supports increased nutrient uptake and biomass build-up. Additionally, research by [52] and [53] emphasized that the enhanced microbial activity from organic inputs stimulates enzymatic and physiological processes that facilitate carbohydrate accumulation, thus increasing shoot dry weight.</w:t>
      </w:r>
    </w:p>
    <w:p w14:paraId="5A0EC450" w14:textId="77777777" w:rsidR="00977058" w:rsidRPr="009C4193" w:rsidRDefault="0056669F">
      <w:pPr>
        <w:pStyle w:val="NormalWeb"/>
        <w:spacing w:before="0" w:beforeAutospacing="0" w:after="0" w:afterAutospacing="0" w:line="480" w:lineRule="auto"/>
        <w:jc w:val="both"/>
      </w:pPr>
      <w:r w:rsidRPr="009C4193">
        <w:t>Dry matter content of the shoot, which expresses the proportion of solid biomass relative to fresh weight, is a crucial indicator of physiological maturity, stress tolerance, and overall plant health. Results (Figure 4c &amp; Tables 4) revealed significantly higher dry matter percentages in INM treatments, particularly in T12, compared to the chemical fertilizer control. These findings resonate with the work of [54], [55] and [56], who reported that balanced nutrient management enhances photosynthetic efficiency and carbohydrate translocation, leading to improved dry matter accumulation. Studies by [57] and [58] also highlight that biofertilizer inoculation mitigates abiotic stresses and promotes enzymatic activity, which increases dry matter content. Furthermore, research by [59] and [60] demonstrated that organic manures improve soil microbial diversity and nutrient cycling, indirectly fostering better dry matter partitioning in shoots. Collectively, these studies confirm that integrating organic, microbial, and inorganic nutrient sources optimizes physiological processes and biomass quality in onion plants grown under semi-arid conditions.</w:t>
      </w:r>
    </w:p>
    <w:p w14:paraId="556AA14B" w14:textId="77777777" w:rsidR="00977058" w:rsidRPr="009C4193" w:rsidRDefault="00977058">
      <w:pPr>
        <w:spacing w:after="0" w:line="480" w:lineRule="auto"/>
        <w:jc w:val="center"/>
        <w:rPr>
          <w:rFonts w:ascii="Times New Roman" w:hAnsi="Times New Roman" w:cs="Times New Roman"/>
          <w:b/>
          <w:bCs/>
          <w:sz w:val="24"/>
          <w:szCs w:val="24"/>
        </w:rPr>
      </w:pPr>
    </w:p>
    <w:p w14:paraId="5D899E43" w14:textId="77777777" w:rsidR="00977058" w:rsidRPr="009C4193" w:rsidRDefault="0056669F">
      <w:pPr>
        <w:spacing w:after="0" w:line="480" w:lineRule="auto"/>
        <w:jc w:val="center"/>
        <w:rPr>
          <w:rFonts w:ascii="Times New Roman" w:hAnsi="Times New Roman" w:cs="Times New Roman"/>
          <w:b/>
          <w:bCs/>
          <w:sz w:val="24"/>
          <w:szCs w:val="24"/>
        </w:rPr>
      </w:pPr>
      <w:r w:rsidRPr="009C4193">
        <w:rPr>
          <w:rFonts w:ascii="Times New Roman" w:hAnsi="Times New Roman" w:cs="Times New Roman"/>
          <w:noProof/>
          <w:sz w:val="24"/>
          <w:szCs w:val="24"/>
        </w:rPr>
        <w:drawing>
          <wp:inline distT="0" distB="0" distL="0" distR="0" wp14:anchorId="478C47FD" wp14:editId="6BB2927E">
            <wp:extent cx="2699385" cy="2339975"/>
            <wp:effectExtent l="0" t="0" r="5715" b="3175"/>
            <wp:docPr id="114880187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9C4193">
        <w:rPr>
          <w:rFonts w:ascii="Times New Roman" w:hAnsi="Times New Roman" w:cs="Times New Roman"/>
          <w:noProof/>
          <w:sz w:val="24"/>
          <w:szCs w:val="24"/>
        </w:rPr>
        <w:drawing>
          <wp:inline distT="0" distB="0" distL="0" distR="0" wp14:anchorId="3CAAE6F5" wp14:editId="036B1029">
            <wp:extent cx="2699385" cy="2339975"/>
            <wp:effectExtent l="0" t="0" r="5715" b="3175"/>
            <wp:docPr id="42379254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3896562" w14:textId="77777777" w:rsidR="00977058" w:rsidRPr="009C4193" w:rsidRDefault="0056669F">
      <w:pPr>
        <w:spacing w:after="0" w:line="480" w:lineRule="auto"/>
        <w:jc w:val="center"/>
        <w:rPr>
          <w:rFonts w:ascii="Times New Roman" w:hAnsi="Times New Roman" w:cs="Times New Roman"/>
          <w:b/>
          <w:bCs/>
          <w:sz w:val="24"/>
          <w:szCs w:val="24"/>
        </w:rPr>
      </w:pPr>
      <w:r w:rsidRPr="009C4193">
        <w:rPr>
          <w:rFonts w:ascii="Times New Roman" w:hAnsi="Times New Roman" w:cs="Times New Roman"/>
          <w:noProof/>
          <w:sz w:val="24"/>
          <w:szCs w:val="24"/>
        </w:rPr>
        <w:drawing>
          <wp:inline distT="0" distB="0" distL="0" distR="0" wp14:anchorId="3D57AF7D" wp14:editId="67F429E5">
            <wp:extent cx="2699385" cy="2339975"/>
            <wp:effectExtent l="0" t="0" r="5715" b="3175"/>
            <wp:docPr id="205012659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9030970" w14:textId="77777777" w:rsidR="00977058" w:rsidRPr="009C4193" w:rsidRDefault="0056669F">
      <w:pPr>
        <w:spacing w:after="0" w:line="480" w:lineRule="auto"/>
        <w:jc w:val="both"/>
        <w:rPr>
          <w:rFonts w:ascii="Times New Roman" w:hAnsi="Times New Roman" w:cs="Times New Roman"/>
          <w:sz w:val="24"/>
          <w:szCs w:val="24"/>
        </w:rPr>
      </w:pPr>
      <w:r w:rsidRPr="009C4193">
        <w:rPr>
          <w:rFonts w:ascii="Times New Roman" w:hAnsi="Times New Roman" w:cs="Times New Roman"/>
          <w:b/>
          <w:bCs/>
          <w:sz w:val="24"/>
          <w:szCs w:val="24"/>
        </w:rPr>
        <w:t xml:space="preserve">Figure 4 </w:t>
      </w:r>
      <w:r w:rsidRPr="009C4193">
        <w:rPr>
          <w:rFonts w:ascii="Times New Roman" w:hAnsi="Times New Roman" w:cs="Times New Roman"/>
          <w:sz w:val="24"/>
          <w:szCs w:val="24"/>
        </w:rPr>
        <w:t>Variation of a) fresh weight, b) dry weight and c) dry matter content of shoot of onion under integrated nutrient management during the 2019–2020 and 2020–2021 growing seasons.</w:t>
      </w:r>
    </w:p>
    <w:p w14:paraId="65ADE335" w14:textId="77777777" w:rsidR="00977058" w:rsidRPr="009C4193" w:rsidRDefault="0056669F">
      <w:pPr>
        <w:pStyle w:val="NormalWeb"/>
        <w:spacing w:before="0" w:beforeAutospacing="0" w:after="0" w:afterAutospacing="0" w:line="480" w:lineRule="auto"/>
        <w:jc w:val="both"/>
        <w:rPr>
          <w:i/>
          <w:iCs/>
        </w:rPr>
      </w:pPr>
      <w:r w:rsidRPr="009C4193">
        <w:rPr>
          <w:i/>
          <w:iCs/>
        </w:rPr>
        <w:t>Effect of Integrated Nutrient Management on fresh weight, dry weight and dry matter content of bulb</w:t>
      </w:r>
    </w:p>
    <w:p w14:paraId="58279FC8" w14:textId="77777777" w:rsidR="00977058" w:rsidRPr="009C4193" w:rsidRDefault="0056669F">
      <w:pPr>
        <w:pStyle w:val="NormalWeb"/>
        <w:spacing w:before="0" w:beforeAutospacing="0" w:after="0" w:afterAutospacing="0" w:line="480" w:lineRule="auto"/>
        <w:jc w:val="both"/>
      </w:pPr>
      <w:r w:rsidRPr="009C4193">
        <w:t xml:space="preserve">Integrated Nutrient Management significantly influenced the fresh weight of onion bulbs across both cropping seasons, as depicted in Table 4 and Figure 5a. In the first year (2019–2020), treatment T8, which integrated 50% nitrogen through FYM and 50% through chemical fertilizers with 100% PK and Azotobacter, recorded the highest fresh bulb weight of 127.550 g, outperforming all other treatments. The lowest bulb weight of 93.167 g was observed under treatment T12, which included vermicompost and PSB. In the subsequent season (2020–2021), </w:t>
      </w:r>
      <w:r w:rsidRPr="009C4193">
        <w:lastRenderedPageBreak/>
        <w:t>the maximum fresh bulb weight (142.050 g) was noted under T7 (FYM + Vermicompost + Azotobacter), again showing the beneficial effect of biofertilizer inclusion. However, pooled data revealed T8 as the most consistent performer with the highest average fresh weight (130.050 g), while T12 consistently had the lowest value (95.667 g). These results suggest that integrating organic manures with microbial inoculants enhances nutrient uptake and water retention, leading to better bulb formation. Similar conclusions were drawn by [61] and [62], who reported increased bulb biomass in onion under combined applications of organic and inorganic nutrients.</w:t>
      </w:r>
    </w:p>
    <w:p w14:paraId="7783C328" w14:textId="77777777" w:rsidR="00977058" w:rsidRPr="009C4193" w:rsidRDefault="0056669F">
      <w:pPr>
        <w:pStyle w:val="NormalWeb"/>
        <w:spacing w:before="0" w:beforeAutospacing="0" w:after="0" w:afterAutospacing="0" w:line="480" w:lineRule="auto"/>
        <w:jc w:val="both"/>
      </w:pPr>
      <w:r w:rsidRPr="009C4193">
        <w:t>In terms of dry weight of bulb, the treatments again showed substantial variation across the years. During the first year, T5 (FYM + chemical fertilizers without biofertilizers) showed the highest dry weight of 23.657 g, closely followed by T3, T10, and T7, reflecting the positive role of organic manures. In contrast, in the second year, T8 exhibited the maximum dry weight (18.433 g), indicating the consistent advantage of combining FYM and Azotobacter. The pooled data demonstrated that T8 sustained the highest dry bulb weight (18.017 g), whereas T4, a combined application of FYM and Vermicompost without biofertilizers, recorded the lowest (13.997 g). The effectiveness of biofertilizers in enhancing root proliferation and nutrient assimilation likely explains this difference. These outcomes corroborate the findings of [63], who emphasized that the synergy between organic amendments and microbial consortia plays a pivotal role in improving physiological efficiency and biomass partitioning in onion crops.</w:t>
      </w:r>
    </w:p>
    <w:p w14:paraId="14E2DDD4" w14:textId="77777777" w:rsidR="00977058" w:rsidRPr="009C4193" w:rsidRDefault="0056669F">
      <w:pPr>
        <w:pStyle w:val="NormalWeb"/>
        <w:spacing w:before="0" w:beforeAutospacing="0" w:after="0" w:afterAutospacing="0" w:line="480" w:lineRule="auto"/>
        <w:jc w:val="both"/>
      </w:pPr>
      <w:r w:rsidRPr="009C4193">
        <w:t xml:space="preserve">The dry matter content of bulbs, which directly correlates with bulb storability and processing quality, was also markedly influenced by nutrient management practices. In both years, T12, which incorporated vermicompost and PSB, resulted in the highest dry matter percentages, recording 24.720% in 2019–2020 and 15.130% in 2020–2021, while T1 (control) had the lowest values in both years. Though the second year showed a slight decline in overall dry </w:t>
      </w:r>
      <w:r w:rsidRPr="009C4193">
        <w:lastRenderedPageBreak/>
        <w:t>matter content, the trend of higher accumulation in organically amended plots remained evident. Pooled data further confirmed T12’s superiority (14.863%), suggesting that phosphorus solubilization and improved microbial activity contributed to greater biomass concentration in bulbs. These findings align with earlier research by [64] and [64], who reported that INM practices not only improve nutrient use efficiency but also enhance quality traits such as dry matter and bulb firmness in onion.</w:t>
      </w:r>
    </w:p>
    <w:p w14:paraId="012A5B32" w14:textId="77777777" w:rsidR="00977058" w:rsidRPr="009C4193" w:rsidRDefault="0056669F">
      <w:pPr>
        <w:spacing w:after="0" w:line="480" w:lineRule="auto"/>
        <w:rPr>
          <w:rFonts w:ascii="Times New Roman" w:hAnsi="Times New Roman" w:cs="Times New Roman"/>
          <w:b/>
          <w:bCs/>
          <w:sz w:val="24"/>
          <w:szCs w:val="24"/>
        </w:rPr>
      </w:pPr>
      <w:r w:rsidRPr="009C4193">
        <w:rPr>
          <w:rFonts w:ascii="Times New Roman" w:hAnsi="Times New Roman" w:cs="Times New Roman"/>
          <w:noProof/>
          <w:sz w:val="24"/>
          <w:szCs w:val="24"/>
        </w:rPr>
        <w:drawing>
          <wp:inline distT="0" distB="0" distL="0" distR="0" wp14:anchorId="1CF82E14" wp14:editId="780C80B7">
            <wp:extent cx="2699385" cy="2499995"/>
            <wp:effectExtent l="0" t="0" r="5715" b="14605"/>
            <wp:docPr id="142475384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9C4193">
        <w:rPr>
          <w:rFonts w:ascii="Times New Roman" w:hAnsi="Times New Roman" w:cs="Times New Roman"/>
          <w:b/>
          <w:bCs/>
          <w:sz w:val="24"/>
          <w:szCs w:val="24"/>
        </w:rPr>
        <w:t xml:space="preserve">    </w:t>
      </w:r>
      <w:r w:rsidRPr="009C4193">
        <w:rPr>
          <w:rFonts w:ascii="Times New Roman" w:hAnsi="Times New Roman" w:cs="Times New Roman"/>
          <w:noProof/>
          <w:sz w:val="24"/>
          <w:szCs w:val="24"/>
        </w:rPr>
        <w:drawing>
          <wp:inline distT="0" distB="0" distL="0" distR="0" wp14:anchorId="12B2E950" wp14:editId="74AD6D36">
            <wp:extent cx="2699385" cy="2499995"/>
            <wp:effectExtent l="0" t="0" r="5715" b="14605"/>
            <wp:docPr id="12709088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0F92AE9" w14:textId="77777777" w:rsidR="00977058" w:rsidRPr="009C4193" w:rsidRDefault="0056669F">
      <w:pPr>
        <w:spacing w:after="0" w:line="480" w:lineRule="auto"/>
        <w:jc w:val="center"/>
        <w:rPr>
          <w:rFonts w:ascii="Times New Roman" w:hAnsi="Times New Roman" w:cs="Times New Roman"/>
          <w:b/>
          <w:bCs/>
          <w:sz w:val="24"/>
          <w:szCs w:val="24"/>
        </w:rPr>
      </w:pPr>
      <w:r w:rsidRPr="009C4193">
        <w:rPr>
          <w:rFonts w:ascii="Times New Roman" w:hAnsi="Times New Roman" w:cs="Times New Roman"/>
          <w:noProof/>
          <w:sz w:val="24"/>
          <w:szCs w:val="24"/>
        </w:rPr>
        <w:drawing>
          <wp:inline distT="0" distB="0" distL="0" distR="0" wp14:anchorId="3C43B7F0" wp14:editId="0CF44DD4">
            <wp:extent cx="2699385" cy="2499995"/>
            <wp:effectExtent l="0" t="0" r="5715" b="14605"/>
            <wp:docPr id="155292043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1F00AC2" w14:textId="77777777" w:rsidR="00977058" w:rsidRPr="009C4193" w:rsidRDefault="0056669F">
      <w:pPr>
        <w:spacing w:after="0" w:line="480" w:lineRule="auto"/>
        <w:jc w:val="both"/>
        <w:rPr>
          <w:rFonts w:ascii="Times New Roman" w:hAnsi="Times New Roman" w:cs="Times New Roman"/>
          <w:b/>
          <w:bCs/>
          <w:sz w:val="24"/>
          <w:szCs w:val="24"/>
        </w:rPr>
      </w:pPr>
      <w:r w:rsidRPr="009C4193">
        <w:rPr>
          <w:rFonts w:ascii="Times New Roman" w:hAnsi="Times New Roman" w:cs="Times New Roman"/>
          <w:b/>
          <w:bCs/>
          <w:sz w:val="24"/>
          <w:szCs w:val="24"/>
        </w:rPr>
        <w:t xml:space="preserve">Figure 5 </w:t>
      </w:r>
      <w:r w:rsidRPr="009C4193">
        <w:rPr>
          <w:rFonts w:ascii="Times New Roman" w:hAnsi="Times New Roman" w:cs="Times New Roman"/>
          <w:sz w:val="24"/>
          <w:szCs w:val="24"/>
        </w:rPr>
        <w:t>Variation of a) fresh weight b) dry weight and c) dry matter content of bulb of onion under integrated nutrient management during the 2019–2020 and 2020–2021 growing seasons.</w:t>
      </w:r>
    </w:p>
    <w:p w14:paraId="70D978CF" w14:textId="77777777" w:rsidR="00977058" w:rsidRPr="009C4193" w:rsidRDefault="00977058">
      <w:pPr>
        <w:spacing w:after="0" w:line="480" w:lineRule="auto"/>
        <w:jc w:val="center"/>
        <w:rPr>
          <w:rFonts w:ascii="Times New Roman" w:hAnsi="Times New Roman" w:cs="Times New Roman"/>
          <w:b/>
          <w:bCs/>
          <w:sz w:val="24"/>
          <w:szCs w:val="24"/>
        </w:rPr>
      </w:pPr>
    </w:p>
    <w:p w14:paraId="1838D284" w14:textId="77777777" w:rsidR="00977058" w:rsidRPr="009C4193" w:rsidRDefault="0056669F">
      <w:pPr>
        <w:pStyle w:val="NormalWeb"/>
        <w:spacing w:before="0" w:beforeAutospacing="0" w:after="0" w:afterAutospacing="0" w:line="480" w:lineRule="auto"/>
        <w:jc w:val="both"/>
        <w:rPr>
          <w:i/>
          <w:iCs/>
        </w:rPr>
      </w:pPr>
      <w:r w:rsidRPr="009C4193">
        <w:rPr>
          <w:i/>
          <w:iCs/>
        </w:rPr>
        <w:t>Effect of Integrated Nutrient Management on vertical and horizontal diameter of bulb</w:t>
      </w:r>
    </w:p>
    <w:p w14:paraId="6C543B77" w14:textId="77777777" w:rsidR="00977058" w:rsidRPr="009C4193" w:rsidRDefault="0056669F">
      <w:pPr>
        <w:pStyle w:val="NormalWeb"/>
        <w:spacing w:before="0" w:beforeAutospacing="0" w:after="0" w:afterAutospacing="0" w:line="480" w:lineRule="auto"/>
        <w:jc w:val="both"/>
        <w:rPr>
          <w:rStyle w:val="relative"/>
          <w:rFonts w:eastAsiaTheme="majorEastAsia"/>
        </w:rPr>
      </w:pPr>
      <w:r w:rsidRPr="009C4193">
        <w:lastRenderedPageBreak/>
        <w:t xml:space="preserve">Figure 6 and Table 4 shows the variation of vertical and horizontal diameter of bulb under different INM. </w:t>
      </w:r>
      <w:r w:rsidRPr="009C4193">
        <w:rPr>
          <w:rStyle w:val="relative"/>
          <w:rFonts w:eastAsiaTheme="majorEastAsia"/>
        </w:rPr>
        <w:t>In the 2019–2020 growing season, treatment T8, which combined 50% nitrogen from farmyard manure (FYM) with chemical fertilizers and 100% phosphorus and potassium (PK), along with Azotobacter inoculation, resulted in the largest vertical bulb diameter of 50.83 cm.</w:t>
      </w:r>
      <w:r w:rsidRPr="009C4193">
        <w:t xml:space="preserve"> </w:t>
      </w:r>
      <w:r w:rsidRPr="009C4193">
        <w:rPr>
          <w:rStyle w:val="relative"/>
          <w:rFonts w:eastAsiaTheme="majorEastAsia"/>
        </w:rPr>
        <w:t>This was significantly higher than the control treatment (T1), which utilized only the recommended dose of NPK fertilizers, yielding a diameter of 44.80 cm.</w:t>
      </w:r>
      <w:r w:rsidRPr="009C4193">
        <w:t xml:space="preserve"> </w:t>
      </w:r>
      <w:r w:rsidRPr="009C4193">
        <w:rPr>
          <w:rStyle w:val="relative"/>
          <w:rFonts w:eastAsiaTheme="majorEastAsia"/>
        </w:rPr>
        <w:t>The statistical analysis confirmed these differences, with a critical difference of 0.256 at the 5% significance level and a standard error of ±0.087.</w:t>
      </w:r>
      <w:r w:rsidRPr="009C4193">
        <w:t xml:space="preserve"> </w:t>
      </w:r>
      <w:r w:rsidRPr="009C4193">
        <w:rPr>
          <w:rStyle w:val="relative"/>
          <w:rFonts w:eastAsiaTheme="majorEastAsia"/>
        </w:rPr>
        <w:t>In the subsequent 2020–2021 season, T8 again produced the maximum vertical bulb diameter of 51.33 cm, while T12, which combined 50% nitrogen from vermicompost with chemical fertilizers and 100% PK, along with phosphate-solubilizing bacteria, recorded the smallest diameter at 37.97 cm.</w:t>
      </w:r>
      <w:r w:rsidRPr="009C4193">
        <w:t xml:space="preserve"> </w:t>
      </w:r>
      <w:r w:rsidRPr="009C4193">
        <w:rPr>
          <w:rStyle w:val="relative"/>
          <w:rFonts w:eastAsiaTheme="majorEastAsia"/>
        </w:rPr>
        <w:t>The pooled data from both years indicated that T8 consistently outperformed other treatments, with a pooled diameter of 51.08 cm, highlighting the effectiveness of integrated nutrient management strategies in enhancing bulb size.</w:t>
      </w:r>
      <w:r w:rsidRPr="009C4193">
        <w:t xml:space="preserve"> </w:t>
      </w:r>
      <w:r w:rsidRPr="009C4193">
        <w:rPr>
          <w:rStyle w:val="relative"/>
          <w:rFonts w:eastAsiaTheme="majorEastAsia"/>
        </w:rPr>
        <w:t>These findings align with previous studies that have reported significant increases in bulb diameter with the application of organic manures and biofertilizers in conjunction with chemical fertilizers.</w:t>
      </w:r>
      <w:r w:rsidRPr="009C4193">
        <w:t xml:space="preserve"> </w:t>
      </w:r>
      <w:r w:rsidRPr="009C4193">
        <w:rPr>
          <w:rStyle w:val="relative"/>
          <w:rFonts w:eastAsiaTheme="majorEastAsia"/>
        </w:rPr>
        <w:t>For instance, [65] observed similar improvements in bulb size and yield attributes under INM practices in rabi onion cultivation.</w:t>
      </w:r>
      <w:r w:rsidRPr="009C4193">
        <w:t xml:space="preserve"> </w:t>
      </w:r>
      <w:r w:rsidRPr="009C4193">
        <w:rPr>
          <w:rStyle w:val="relative"/>
          <w:rFonts w:eastAsiaTheme="majorEastAsia"/>
        </w:rPr>
        <w:t>Similarly, [66] reported enhanced bulb yield and profitability with the application of FYM and biofertilizers in onion cultivation in western Uttar Pradesh.</w:t>
      </w:r>
      <w:r w:rsidRPr="009C4193">
        <w:t xml:space="preserve"> </w:t>
      </w:r>
      <w:r w:rsidRPr="009C4193">
        <w:rPr>
          <w:rStyle w:val="relative"/>
          <w:rFonts w:eastAsiaTheme="majorEastAsia"/>
        </w:rPr>
        <w:t>These studies underscore the importance of adopting INM practices to optimize onion bulb development and yield.</w:t>
      </w:r>
    </w:p>
    <w:p w14:paraId="22B8E8E5" w14:textId="77777777" w:rsidR="00977058" w:rsidRPr="009C4193" w:rsidRDefault="0056669F">
      <w:pPr>
        <w:pStyle w:val="NormalWeb"/>
        <w:spacing w:before="0" w:beforeAutospacing="0" w:after="0" w:afterAutospacing="0" w:line="480" w:lineRule="auto"/>
        <w:jc w:val="both"/>
        <w:rPr>
          <w:i/>
          <w:iCs/>
        </w:rPr>
      </w:pPr>
      <w:r w:rsidRPr="009C4193">
        <w:rPr>
          <w:rStyle w:val="relative"/>
          <w:rFonts w:eastAsiaTheme="majorEastAsia"/>
        </w:rPr>
        <w:t>The horizontal diameter of onion bulbs is another vital parameter influencing marketability and storage potential.</w:t>
      </w:r>
      <w:r w:rsidRPr="009C4193">
        <w:t xml:space="preserve"> </w:t>
      </w:r>
      <w:r w:rsidRPr="009C4193">
        <w:rPr>
          <w:rStyle w:val="relative"/>
          <w:rFonts w:eastAsiaTheme="majorEastAsia"/>
        </w:rPr>
        <w:t>In the 2019–2020 season, treatment T8 achieved the highest horizontal bulb diameter of 54.68 cm, significantly surpassing the control treatment (T1), which recorded 53.70 cm.</w:t>
      </w:r>
      <w:r w:rsidRPr="009C4193">
        <w:t xml:space="preserve"> </w:t>
      </w:r>
      <w:r w:rsidRPr="009C4193">
        <w:rPr>
          <w:rStyle w:val="relative"/>
          <w:rFonts w:eastAsiaTheme="majorEastAsia"/>
        </w:rPr>
        <w:t>The statistical analysis confirmed these differences, with a CD of 0.165 at the 5% significance level and a SE of ±0.056.</w:t>
      </w:r>
      <w:r w:rsidRPr="009C4193">
        <w:t xml:space="preserve"> </w:t>
      </w:r>
      <w:r w:rsidRPr="009C4193">
        <w:rPr>
          <w:rStyle w:val="relative"/>
          <w:rFonts w:eastAsiaTheme="majorEastAsia"/>
        </w:rPr>
        <w:t xml:space="preserve">In the 2020–2021 season, T8 again led with a horizontal </w:t>
      </w:r>
      <w:r w:rsidRPr="009C4193">
        <w:rPr>
          <w:rStyle w:val="relative"/>
          <w:rFonts w:eastAsiaTheme="majorEastAsia"/>
        </w:rPr>
        <w:lastRenderedPageBreak/>
        <w:t>bulb diameter of 55.07 cm, while T11, which combined 50% nitrogen from FYM with chemical fertilizers and 100% PK, along with PSB, recorded the smallest diameter at 39.33 cm.</w:t>
      </w:r>
      <w:r w:rsidRPr="009C4193">
        <w:t xml:space="preserve"> </w:t>
      </w:r>
      <w:r w:rsidRPr="009C4193">
        <w:rPr>
          <w:rStyle w:val="relative"/>
          <w:rFonts w:eastAsiaTheme="majorEastAsia"/>
        </w:rPr>
        <w:t>The pooled data from both years showed that T8 consistently produced the largest horizontal bulb diameter of 54.92 cm, emphasizing the role of INM in enhancing bulb size.</w:t>
      </w:r>
      <w:r w:rsidRPr="009C4193">
        <w:t xml:space="preserve"> </w:t>
      </w:r>
      <w:r w:rsidRPr="009C4193">
        <w:rPr>
          <w:rStyle w:val="relative"/>
          <w:rFonts w:eastAsiaTheme="majorEastAsia"/>
        </w:rPr>
        <w:t>These results are consistent with findings by [65], who reported significant increases in bulb diameter with the application of organic manures and biofertilizers in onion cultivation.</w:t>
      </w:r>
      <w:r w:rsidRPr="009C4193">
        <w:t xml:space="preserve"> </w:t>
      </w:r>
      <w:r w:rsidRPr="009C4193">
        <w:rPr>
          <w:rStyle w:val="relative"/>
          <w:rFonts w:eastAsiaTheme="majorEastAsia"/>
        </w:rPr>
        <w:t>Additionally, [66] observed similar improvements in bulb size and yield attributes under INM practices in onion cultivation in western Uttar Pradesh.</w:t>
      </w:r>
      <w:r w:rsidRPr="009C4193">
        <w:t xml:space="preserve"> </w:t>
      </w:r>
      <w:r w:rsidRPr="009C4193">
        <w:rPr>
          <w:rStyle w:val="relative"/>
          <w:rFonts w:eastAsiaTheme="majorEastAsia"/>
        </w:rPr>
        <w:t>These studies highlight the effectiveness of INM in improving horizontal bulb diameter and overall bulb quality.</w:t>
      </w:r>
    </w:p>
    <w:p w14:paraId="60A63463" w14:textId="77777777" w:rsidR="00977058" w:rsidRPr="009C4193" w:rsidRDefault="00977058">
      <w:pPr>
        <w:spacing w:after="0" w:line="480" w:lineRule="auto"/>
        <w:jc w:val="center"/>
        <w:rPr>
          <w:rFonts w:ascii="Times New Roman" w:hAnsi="Times New Roman" w:cs="Times New Roman"/>
          <w:b/>
          <w:bCs/>
          <w:sz w:val="24"/>
          <w:szCs w:val="24"/>
        </w:rPr>
      </w:pPr>
    </w:p>
    <w:p w14:paraId="0D23BD03" w14:textId="77777777" w:rsidR="00977058" w:rsidRPr="009C4193" w:rsidRDefault="0056669F">
      <w:pPr>
        <w:spacing w:after="0" w:line="480" w:lineRule="auto"/>
        <w:rPr>
          <w:rFonts w:ascii="Times New Roman" w:hAnsi="Times New Roman" w:cs="Times New Roman"/>
          <w:b/>
          <w:bCs/>
          <w:sz w:val="24"/>
          <w:szCs w:val="24"/>
        </w:rPr>
      </w:pPr>
      <w:r w:rsidRPr="009C4193">
        <w:rPr>
          <w:rFonts w:ascii="Times New Roman" w:hAnsi="Times New Roman" w:cs="Times New Roman"/>
          <w:noProof/>
          <w:sz w:val="24"/>
          <w:szCs w:val="24"/>
        </w:rPr>
        <w:drawing>
          <wp:inline distT="0" distB="0" distL="0" distR="0" wp14:anchorId="135A771D" wp14:editId="109856C0">
            <wp:extent cx="2699385" cy="2339975"/>
            <wp:effectExtent l="0" t="0" r="5715" b="3175"/>
            <wp:docPr id="210527545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9C4193">
        <w:rPr>
          <w:rFonts w:ascii="Times New Roman" w:hAnsi="Times New Roman" w:cs="Times New Roman"/>
          <w:b/>
          <w:bCs/>
          <w:sz w:val="24"/>
          <w:szCs w:val="24"/>
        </w:rPr>
        <w:t xml:space="preserve">    </w:t>
      </w:r>
      <w:r w:rsidRPr="009C4193">
        <w:rPr>
          <w:rFonts w:ascii="Times New Roman" w:hAnsi="Times New Roman" w:cs="Times New Roman"/>
          <w:noProof/>
          <w:sz w:val="24"/>
          <w:szCs w:val="24"/>
        </w:rPr>
        <w:drawing>
          <wp:inline distT="0" distB="0" distL="0" distR="0" wp14:anchorId="3F44B49B" wp14:editId="49D16245">
            <wp:extent cx="2699385" cy="2499995"/>
            <wp:effectExtent l="0" t="0" r="5715" b="14605"/>
            <wp:docPr id="40321107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F16E48C" w14:textId="77777777" w:rsidR="00977058" w:rsidRPr="009C4193" w:rsidRDefault="0056669F">
      <w:pPr>
        <w:spacing w:after="0" w:line="480" w:lineRule="auto"/>
        <w:jc w:val="both"/>
        <w:rPr>
          <w:rFonts w:ascii="Times New Roman" w:hAnsi="Times New Roman" w:cs="Times New Roman"/>
          <w:sz w:val="24"/>
          <w:szCs w:val="24"/>
        </w:rPr>
      </w:pPr>
      <w:r w:rsidRPr="009C4193">
        <w:rPr>
          <w:rFonts w:ascii="Times New Roman" w:hAnsi="Times New Roman" w:cs="Times New Roman"/>
          <w:b/>
          <w:bCs/>
          <w:sz w:val="24"/>
          <w:szCs w:val="24"/>
        </w:rPr>
        <w:t xml:space="preserve">Figure 6 </w:t>
      </w:r>
      <w:r w:rsidRPr="009C4193">
        <w:rPr>
          <w:rFonts w:ascii="Times New Roman" w:hAnsi="Times New Roman" w:cs="Times New Roman"/>
          <w:sz w:val="24"/>
          <w:szCs w:val="24"/>
        </w:rPr>
        <w:t>Variation of a) vertical and b) horizontal diameter of bulb of onion under integrated nutrient management during the 2019–2020 and 2020–2021 growing seasons.</w:t>
      </w:r>
    </w:p>
    <w:p w14:paraId="2420637A" w14:textId="77777777" w:rsidR="00977058" w:rsidRPr="009C4193" w:rsidRDefault="0056669F">
      <w:pPr>
        <w:pStyle w:val="NormalWeb"/>
        <w:spacing w:before="0" w:beforeAutospacing="0" w:after="0" w:afterAutospacing="0" w:line="480" w:lineRule="auto"/>
        <w:jc w:val="both"/>
        <w:rPr>
          <w:i/>
          <w:iCs/>
        </w:rPr>
      </w:pPr>
      <w:r w:rsidRPr="009C4193">
        <w:rPr>
          <w:i/>
          <w:iCs/>
        </w:rPr>
        <w:t>Effect of Integrated Nutrient Management on yield</w:t>
      </w:r>
    </w:p>
    <w:p w14:paraId="6A8FE9F1" w14:textId="77777777" w:rsidR="00977058" w:rsidRPr="009C4193" w:rsidRDefault="0056669F">
      <w:pPr>
        <w:spacing w:after="0" w:line="480" w:lineRule="auto"/>
        <w:jc w:val="both"/>
        <w:rPr>
          <w:rFonts w:ascii="Times New Roman" w:hAnsi="Times New Roman" w:cs="Times New Roman"/>
          <w:sz w:val="24"/>
          <w:szCs w:val="24"/>
        </w:rPr>
      </w:pPr>
      <w:r w:rsidRPr="009C4193">
        <w:rPr>
          <w:rFonts w:ascii="Times New Roman" w:hAnsi="Times New Roman" w:cs="Times New Roman"/>
          <w:sz w:val="24"/>
          <w:szCs w:val="24"/>
        </w:rPr>
        <w:t xml:space="preserve">The present investigation into the yield per bed of onion (Allium cepa L.) under different nutrient management practices over two consecutive years (2019–2021) demonstrated a significant influence of integrated nutrient sources, including organic manures, biofertilizers, and chemical fertilizers (Table 4 &amp; Figure 7). In the first year, yield per bed ranged from 15.933 to 21.780 quintals, with treatment T8—comprising 50% nitrogen from farmyard manure </w:t>
      </w:r>
      <w:r w:rsidRPr="009C4193">
        <w:rPr>
          <w:rFonts w:ascii="Times New Roman" w:hAnsi="Times New Roman" w:cs="Times New Roman"/>
          <w:sz w:val="24"/>
          <w:szCs w:val="24"/>
        </w:rPr>
        <w:lastRenderedPageBreak/>
        <w:t>(FYM), 50% nitrogen from fertilizer, 100% phosphorus and potassium (PK), and Azotobacter inoculation</w:t>
      </w:r>
      <w:r w:rsidRPr="009C4193">
        <w:rPr>
          <w:rFonts w:ascii="Times New Roman" w:hAnsi="Times New Roman" w:cs="Times New Roman"/>
          <w:sz w:val="24"/>
          <w:szCs w:val="24"/>
          <w:lang w:val="en-US"/>
        </w:rPr>
        <w:t xml:space="preserve"> </w:t>
      </w:r>
      <w:r w:rsidRPr="009C4193">
        <w:rPr>
          <w:rFonts w:ascii="Times New Roman" w:hAnsi="Times New Roman" w:cs="Times New Roman"/>
          <w:sz w:val="24"/>
          <w:szCs w:val="24"/>
        </w:rPr>
        <w:t xml:space="preserve">producing the highest yield (23.657 q). This was followed by treatments combining similar integrated nutrient approaches, underscoring the benefits of biofertilizer and organic amendment synergy (Table 4.). Statistical analysis confirmed these differences were significant at the 5% and 1% levels (CD=0.121, SE=±0.041). The subsequent year reflected a consistent trend, with yield per bed increasing slightly across treatments, ranging from 16.933 to 22.780 quintals, and again peaking under T8 (22.780 q), with no significant differences observed among treatments at 5% and 1% levels (Table 4.). Pooled analysis further corroborated the superiority of integrated nutrient management, revealing a significant increase in yield (16.433 to 22.280 q), with treatment T8 maintaining the highest yield (22.280 q), and T12, relying on vermicompost, fertilizer, and phosphate solubilizing bacteria (PSB), producing the lowest yields (Table 4). These findings align with previous studies that emphasize the importance of combined organic and biofertilizer use in enhancing onion productivity. For example, </w:t>
      </w:r>
      <w:r w:rsidRPr="009C4193">
        <w:rPr>
          <w:rFonts w:ascii="Times New Roman" w:hAnsi="Times New Roman" w:cs="Times New Roman"/>
          <w:sz w:val="24"/>
          <w:szCs w:val="24"/>
          <w:lang w:val="en-US"/>
        </w:rPr>
        <w:t>[67]</w:t>
      </w:r>
      <w:r w:rsidRPr="009C4193">
        <w:rPr>
          <w:rFonts w:ascii="Times New Roman" w:hAnsi="Times New Roman" w:cs="Times New Roman"/>
          <w:sz w:val="24"/>
          <w:szCs w:val="24"/>
        </w:rPr>
        <w:t xml:space="preserve"> demonstrated that FYM combined with Azotobacter significantly improves bulb yield and nutrient uptake in onions, while </w:t>
      </w:r>
      <w:r w:rsidRPr="009C4193">
        <w:rPr>
          <w:rFonts w:ascii="Times New Roman" w:hAnsi="Times New Roman" w:cs="Times New Roman"/>
          <w:sz w:val="24"/>
          <w:szCs w:val="24"/>
          <w:lang w:val="en-US"/>
        </w:rPr>
        <w:t>[68]</w:t>
      </w:r>
      <w:r w:rsidRPr="009C4193">
        <w:rPr>
          <w:rFonts w:ascii="Times New Roman" w:hAnsi="Times New Roman" w:cs="Times New Roman"/>
          <w:sz w:val="24"/>
          <w:szCs w:val="24"/>
        </w:rPr>
        <w:t xml:space="preserve"> showed that integrated nutrient management with organic manures and PK fertilizer improves yield and quality parameters in onion cultivation. Moreover, </w:t>
      </w:r>
      <w:r w:rsidRPr="009C4193">
        <w:rPr>
          <w:rFonts w:ascii="Times New Roman" w:hAnsi="Times New Roman" w:cs="Times New Roman"/>
          <w:sz w:val="24"/>
          <w:szCs w:val="24"/>
          <w:lang w:val="en-US"/>
        </w:rPr>
        <w:t>[69]</w:t>
      </w:r>
      <w:r w:rsidRPr="009C4193">
        <w:rPr>
          <w:rFonts w:ascii="Times New Roman" w:hAnsi="Times New Roman" w:cs="Times New Roman"/>
          <w:sz w:val="24"/>
          <w:szCs w:val="24"/>
        </w:rPr>
        <w:t xml:space="preserve"> reported that organic manure application enhances soil microbial activity, which in turn increases nutrient availability and crop yield, a mechanism supported by </w:t>
      </w:r>
      <w:r w:rsidRPr="009C4193">
        <w:rPr>
          <w:rFonts w:ascii="Times New Roman" w:hAnsi="Times New Roman" w:cs="Times New Roman"/>
          <w:sz w:val="24"/>
          <w:szCs w:val="24"/>
          <w:lang w:val="en-US"/>
        </w:rPr>
        <w:t>[70]</w:t>
      </w:r>
      <w:r w:rsidRPr="009C4193">
        <w:rPr>
          <w:rFonts w:ascii="Times New Roman" w:hAnsi="Times New Roman" w:cs="Times New Roman"/>
          <w:sz w:val="24"/>
          <w:szCs w:val="24"/>
        </w:rPr>
        <w:t xml:space="preserve"> in their work on the positive effects of vermicompost and biofertilizers in vegetable crops. The marginal increase in yield during the second year suggests cumulative benefits from sustained nutrient application. The study further highlights that sole reliance on vermicompost with PSB (T12) may not be as effective as integrated treatments, likely due to lower nutrient release rates or microbial efficiency. Overall, these results confirm that balanced application of FYM, chemical fertilizers, and biofertilizers such as Azotobacter and PSB is critical for maximizing </w:t>
      </w:r>
      <w:r w:rsidRPr="009C4193">
        <w:rPr>
          <w:rFonts w:ascii="Times New Roman" w:hAnsi="Times New Roman" w:cs="Times New Roman"/>
          <w:sz w:val="24"/>
          <w:szCs w:val="24"/>
        </w:rPr>
        <w:lastRenderedPageBreak/>
        <w:t>onion yield per bed, reinforcing the findings from global research advocating for integrated nutrient management to promote sustainable and profitable onion cultivation.</w:t>
      </w:r>
    </w:p>
    <w:p w14:paraId="55D690D4" w14:textId="1BAB02CB" w:rsidR="00977058" w:rsidRPr="009C4193" w:rsidRDefault="0056669F">
      <w:pPr>
        <w:spacing w:after="0" w:line="480" w:lineRule="auto"/>
        <w:jc w:val="both"/>
        <w:rPr>
          <w:rFonts w:ascii="Times New Roman" w:hAnsi="Times New Roman" w:cs="Times New Roman"/>
          <w:sz w:val="24"/>
          <w:szCs w:val="24"/>
        </w:rPr>
      </w:pPr>
      <w:r w:rsidRPr="009C4193">
        <w:rPr>
          <w:rFonts w:ascii="Times New Roman" w:hAnsi="Times New Roman" w:cs="Times New Roman"/>
          <w:sz w:val="24"/>
          <w:szCs w:val="24"/>
        </w:rPr>
        <w:t xml:space="preserve">The yield per hectare of onion crops was significantly influenced by different sources of nutrients, organic manures, and biofertilizers, as shown in Tables 4 and figure 7. In the first year (2019–2020), yields varied markedly from 196.783 to 268.993 quintals per hectare across treatments, with treatment T8 (50% N through FYM + 50% N through fertilizer + 100% PK + Azotobacter) achieving the highest yield (268.993 q/ha), followed by T1 (recommended NPK dose) at 259.847 q/ha. This significant difference (CD = 1.622, SE ± 0.550) highlights the efficacy of integrated nutrient management combining organic and inorganic sources with biofertilizers. The second-year data (2020–2021) echoed these results, showing an increase in overall yields ranging from 209.123 to 281.330 q/ha, again with T8 outperforming other treatments (281.330 q/ha), confirming the consistency of the positive effects of this nutrient strategy (CD = 1.491, SE ± 0.505). Pooled analysis of both years further substantiated these findings, demonstrating a yield range of 202.953 to 275.162 q/ha with statistically significant differences (CD = 2.008, SE ± 0.836), emphasizing the superiority of T8 treatment. These findings align with previous studies that demonstrated the benefits of combining FYM, chemical fertilizers, and biofertilizers to improve soil health, nutrient availability, and crop yields </w:t>
      </w:r>
      <w:r w:rsidRPr="009C4193">
        <w:rPr>
          <w:rFonts w:ascii="Times New Roman" w:hAnsi="Times New Roman" w:cs="Times New Roman"/>
          <w:sz w:val="24"/>
          <w:szCs w:val="24"/>
          <w:lang w:val="en-US"/>
        </w:rPr>
        <w:t>[67, 68, 69, 70, 71]</w:t>
      </w:r>
      <w:r w:rsidRPr="009C4193">
        <w:rPr>
          <w:rFonts w:ascii="Times New Roman" w:hAnsi="Times New Roman" w:cs="Times New Roman"/>
          <w:sz w:val="24"/>
          <w:szCs w:val="24"/>
        </w:rPr>
        <w:t xml:space="preserve">. For example, Azotobacter inoculation has been shown to enhance nitrogen fixation and promote plant growth in onion </w:t>
      </w:r>
      <w:r w:rsidRPr="009C4193">
        <w:rPr>
          <w:rFonts w:ascii="Times New Roman" w:hAnsi="Times New Roman" w:cs="Times New Roman"/>
          <w:sz w:val="24"/>
          <w:szCs w:val="24"/>
          <w:lang w:val="en-US"/>
        </w:rPr>
        <w:t>[72, 73].</w:t>
      </w:r>
      <w:r w:rsidRPr="009C4193">
        <w:rPr>
          <w:rFonts w:ascii="Times New Roman" w:hAnsi="Times New Roman" w:cs="Times New Roman"/>
          <w:sz w:val="24"/>
          <w:szCs w:val="24"/>
        </w:rPr>
        <w:t xml:space="preserve"> The positive effect of FYM and vermicompost in improving soil organic carbon and nutrient retention is well documented </w:t>
      </w:r>
      <w:r w:rsidRPr="009C4193">
        <w:rPr>
          <w:rFonts w:ascii="Times New Roman" w:hAnsi="Times New Roman" w:cs="Times New Roman"/>
          <w:sz w:val="24"/>
          <w:szCs w:val="24"/>
          <w:lang w:val="en-US"/>
        </w:rPr>
        <w:t>by [74]</w:t>
      </w:r>
      <w:r w:rsidRPr="009C4193">
        <w:rPr>
          <w:rFonts w:ascii="Times New Roman" w:hAnsi="Times New Roman" w:cs="Times New Roman"/>
          <w:sz w:val="24"/>
          <w:szCs w:val="24"/>
        </w:rPr>
        <w:t xml:space="preserve">. Studies by </w:t>
      </w:r>
      <w:r w:rsidRPr="009C4193">
        <w:rPr>
          <w:rFonts w:ascii="Times New Roman" w:hAnsi="Times New Roman" w:cs="Times New Roman"/>
          <w:sz w:val="24"/>
          <w:szCs w:val="24"/>
          <w:lang w:val="en-US"/>
        </w:rPr>
        <w:t>[75]</w:t>
      </w:r>
      <w:r w:rsidRPr="009C4193">
        <w:rPr>
          <w:rFonts w:ascii="Times New Roman" w:hAnsi="Times New Roman" w:cs="Times New Roman"/>
          <w:sz w:val="24"/>
          <w:szCs w:val="24"/>
        </w:rPr>
        <w:t xml:space="preserve"> and </w:t>
      </w:r>
      <w:r w:rsidRPr="009C4193">
        <w:rPr>
          <w:rFonts w:ascii="Times New Roman" w:hAnsi="Times New Roman" w:cs="Times New Roman"/>
          <w:sz w:val="24"/>
          <w:szCs w:val="24"/>
          <w:lang w:val="en-US"/>
        </w:rPr>
        <w:t xml:space="preserve">[76] </w:t>
      </w:r>
      <w:r w:rsidRPr="009C4193">
        <w:rPr>
          <w:rFonts w:ascii="Times New Roman" w:hAnsi="Times New Roman" w:cs="Times New Roman"/>
          <w:sz w:val="24"/>
          <w:szCs w:val="24"/>
        </w:rPr>
        <w:t xml:space="preserve">reported similar yield improvements with integrated nutrient management in onion crops. The use of phosphate solubilizing bacteria (PSB) also improves phosphorus uptake and yield </w:t>
      </w:r>
      <w:r w:rsidRPr="009C4193">
        <w:rPr>
          <w:rFonts w:ascii="Times New Roman" w:hAnsi="Times New Roman" w:cs="Times New Roman"/>
          <w:sz w:val="24"/>
          <w:szCs w:val="24"/>
          <w:lang w:val="en-US"/>
        </w:rPr>
        <w:t>[77, 78].</w:t>
      </w:r>
      <w:r w:rsidRPr="009C4193">
        <w:rPr>
          <w:rFonts w:ascii="Times New Roman" w:hAnsi="Times New Roman" w:cs="Times New Roman"/>
          <w:sz w:val="24"/>
          <w:szCs w:val="24"/>
        </w:rPr>
        <w:t xml:space="preserve"> Moreover, research by </w:t>
      </w:r>
      <w:r w:rsidRPr="009C4193">
        <w:rPr>
          <w:rFonts w:ascii="Times New Roman" w:hAnsi="Times New Roman" w:cs="Times New Roman"/>
          <w:sz w:val="24"/>
          <w:szCs w:val="24"/>
          <w:lang w:val="en-US"/>
        </w:rPr>
        <w:t xml:space="preserve">[79] </w:t>
      </w:r>
      <w:r w:rsidRPr="009C4193">
        <w:rPr>
          <w:rFonts w:ascii="Times New Roman" w:hAnsi="Times New Roman" w:cs="Times New Roman"/>
          <w:sz w:val="24"/>
          <w:szCs w:val="24"/>
        </w:rPr>
        <w:t xml:space="preserve">support the synergistic effects of organic manures and biofertilizers on enhancing onion productivity. Contrarily, treatments relying solely on vermicompost with PSB without balanced nutrient supply often </w:t>
      </w:r>
      <w:r w:rsidRPr="009C4193">
        <w:rPr>
          <w:rFonts w:ascii="Times New Roman" w:hAnsi="Times New Roman" w:cs="Times New Roman"/>
          <w:sz w:val="24"/>
          <w:szCs w:val="24"/>
        </w:rPr>
        <w:lastRenderedPageBreak/>
        <w:t xml:space="preserve">resulted in lower yields due to slower nutrient release rates </w:t>
      </w:r>
      <w:r w:rsidRPr="009C4193">
        <w:rPr>
          <w:rFonts w:ascii="Times New Roman" w:hAnsi="Times New Roman" w:cs="Times New Roman"/>
          <w:sz w:val="24"/>
          <w:szCs w:val="24"/>
          <w:lang w:val="en-US"/>
        </w:rPr>
        <w:t>[72, 80].</w:t>
      </w:r>
      <w:r w:rsidRPr="009C4193">
        <w:rPr>
          <w:rFonts w:ascii="Times New Roman" w:hAnsi="Times New Roman" w:cs="Times New Roman"/>
          <w:sz w:val="24"/>
          <w:szCs w:val="24"/>
        </w:rPr>
        <w:t xml:space="preserve"> The enhancement in yield could also be linked to improved soil microbial biomass and enzymatic activity as reported by </w:t>
      </w:r>
      <w:r w:rsidRPr="009C4193">
        <w:rPr>
          <w:rFonts w:ascii="Times New Roman" w:hAnsi="Times New Roman" w:cs="Times New Roman"/>
          <w:sz w:val="24"/>
          <w:szCs w:val="24"/>
          <w:lang w:val="en-US"/>
        </w:rPr>
        <w:t xml:space="preserve">[81] </w:t>
      </w:r>
      <w:r w:rsidRPr="009C4193">
        <w:rPr>
          <w:rFonts w:ascii="Times New Roman" w:hAnsi="Times New Roman" w:cs="Times New Roman"/>
          <w:sz w:val="24"/>
          <w:szCs w:val="24"/>
        </w:rPr>
        <w:t xml:space="preserve">and </w:t>
      </w:r>
      <w:r w:rsidRPr="009C4193">
        <w:rPr>
          <w:rFonts w:ascii="Times New Roman" w:hAnsi="Times New Roman" w:cs="Times New Roman"/>
          <w:sz w:val="24"/>
          <w:szCs w:val="24"/>
          <w:lang w:val="en-US"/>
        </w:rPr>
        <w:t xml:space="preserve">[38]. </w:t>
      </w:r>
      <w:r w:rsidRPr="009C4193">
        <w:rPr>
          <w:rFonts w:ascii="Times New Roman" w:hAnsi="Times New Roman" w:cs="Times New Roman"/>
          <w:sz w:val="24"/>
          <w:szCs w:val="24"/>
        </w:rPr>
        <w:t xml:space="preserve">The positive effects on yield and soil health through such integrated nutrient approaches have been corroborated by multiple studies across diverse </w:t>
      </w:r>
      <w:proofErr w:type="spellStart"/>
      <w:r w:rsidRPr="009C4193">
        <w:rPr>
          <w:rFonts w:ascii="Times New Roman" w:hAnsi="Times New Roman" w:cs="Times New Roman"/>
          <w:sz w:val="24"/>
          <w:szCs w:val="24"/>
        </w:rPr>
        <w:t>agro</w:t>
      </w:r>
      <w:proofErr w:type="spellEnd"/>
      <w:r w:rsidRPr="009C4193">
        <w:rPr>
          <w:rFonts w:ascii="Times New Roman" w:hAnsi="Times New Roman" w:cs="Times New Roman"/>
          <w:sz w:val="24"/>
          <w:szCs w:val="24"/>
        </w:rPr>
        <w:t xml:space="preserve">-climatic zones </w:t>
      </w:r>
      <w:r w:rsidRPr="009C4193">
        <w:rPr>
          <w:rFonts w:ascii="Times New Roman" w:hAnsi="Times New Roman" w:cs="Times New Roman"/>
          <w:sz w:val="24"/>
          <w:szCs w:val="24"/>
          <w:lang w:val="en-US"/>
        </w:rPr>
        <w:t>[82</w:t>
      </w:r>
      <w:r w:rsidR="00BA21E6" w:rsidRPr="009C4193">
        <w:rPr>
          <w:rFonts w:ascii="Times New Roman" w:hAnsi="Times New Roman" w:cs="Times New Roman"/>
          <w:sz w:val="24"/>
          <w:szCs w:val="24"/>
          <w:lang w:val="en-US"/>
        </w:rPr>
        <w:t>, 83</w:t>
      </w:r>
      <w:r w:rsidRPr="009C4193">
        <w:rPr>
          <w:rFonts w:ascii="Times New Roman" w:hAnsi="Times New Roman" w:cs="Times New Roman"/>
          <w:sz w:val="24"/>
          <w:szCs w:val="24"/>
          <w:lang w:val="en-US"/>
        </w:rPr>
        <w:t>]</w:t>
      </w:r>
      <w:r w:rsidRPr="009C4193">
        <w:rPr>
          <w:rFonts w:ascii="Times New Roman" w:hAnsi="Times New Roman" w:cs="Times New Roman"/>
          <w:sz w:val="24"/>
          <w:szCs w:val="24"/>
        </w:rPr>
        <w:t>. Thus, the data presented here reinforce the importance of integrated nutrient management involving FYM, inorganic fertilizers, and biofertilizers to achieve sustainable and high yields in onion cultivation.</w:t>
      </w:r>
    </w:p>
    <w:p w14:paraId="752E641B" w14:textId="77777777" w:rsidR="00977058" w:rsidRPr="009C4193" w:rsidRDefault="0056669F">
      <w:pPr>
        <w:spacing w:after="0" w:line="480" w:lineRule="auto"/>
        <w:rPr>
          <w:rFonts w:ascii="Times New Roman" w:hAnsi="Times New Roman" w:cs="Times New Roman"/>
          <w:b/>
          <w:bCs/>
          <w:sz w:val="24"/>
          <w:szCs w:val="24"/>
        </w:rPr>
      </w:pPr>
      <w:r w:rsidRPr="009C4193">
        <w:rPr>
          <w:rFonts w:ascii="Times New Roman" w:hAnsi="Times New Roman" w:cs="Times New Roman"/>
          <w:noProof/>
          <w:sz w:val="24"/>
          <w:szCs w:val="24"/>
        </w:rPr>
        <w:drawing>
          <wp:inline distT="0" distB="0" distL="0" distR="0" wp14:anchorId="00B3C13E" wp14:editId="0B0928A4">
            <wp:extent cx="2699385" cy="2499995"/>
            <wp:effectExtent l="0" t="0" r="5715" b="14605"/>
            <wp:docPr id="85501870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9C4193">
        <w:rPr>
          <w:rFonts w:ascii="Times New Roman" w:hAnsi="Times New Roman" w:cs="Times New Roman"/>
          <w:b/>
          <w:bCs/>
          <w:sz w:val="24"/>
          <w:szCs w:val="24"/>
        </w:rPr>
        <w:t xml:space="preserve">    </w:t>
      </w:r>
      <w:r w:rsidRPr="009C4193">
        <w:rPr>
          <w:rFonts w:ascii="Times New Roman" w:hAnsi="Times New Roman" w:cs="Times New Roman"/>
          <w:noProof/>
          <w:sz w:val="24"/>
          <w:szCs w:val="24"/>
        </w:rPr>
        <w:drawing>
          <wp:inline distT="0" distB="0" distL="0" distR="0" wp14:anchorId="7968C922" wp14:editId="43F9137A">
            <wp:extent cx="2699385" cy="2499995"/>
            <wp:effectExtent l="0" t="0" r="5715" b="14605"/>
            <wp:docPr id="16048686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679E519" w14:textId="77777777" w:rsidR="00977058" w:rsidRPr="009C4193" w:rsidRDefault="0056669F">
      <w:pPr>
        <w:spacing w:after="0" w:line="480" w:lineRule="auto"/>
        <w:jc w:val="both"/>
        <w:rPr>
          <w:rFonts w:ascii="Times New Roman" w:hAnsi="Times New Roman" w:cs="Times New Roman"/>
          <w:sz w:val="24"/>
          <w:szCs w:val="24"/>
        </w:rPr>
      </w:pPr>
      <w:r w:rsidRPr="009C4193">
        <w:rPr>
          <w:rFonts w:ascii="Times New Roman" w:hAnsi="Times New Roman" w:cs="Times New Roman"/>
          <w:b/>
          <w:bCs/>
          <w:sz w:val="24"/>
          <w:szCs w:val="24"/>
        </w:rPr>
        <w:t xml:space="preserve">Figure 7 </w:t>
      </w:r>
      <w:r w:rsidRPr="009C4193">
        <w:rPr>
          <w:rFonts w:ascii="Times New Roman" w:hAnsi="Times New Roman" w:cs="Times New Roman"/>
          <w:sz w:val="24"/>
          <w:szCs w:val="24"/>
        </w:rPr>
        <w:t>Variation of a) yield per bed and b) yield per hectare of onion under integrated nutrient management during the 2019–2020 and 2020–2021 growing seasons.</w:t>
      </w:r>
    </w:p>
    <w:p w14:paraId="04E8630D" w14:textId="77777777" w:rsidR="00977058" w:rsidRPr="009C4193" w:rsidRDefault="0056669F">
      <w:pPr>
        <w:spacing w:after="0" w:line="480" w:lineRule="auto"/>
        <w:jc w:val="both"/>
        <w:rPr>
          <w:rFonts w:ascii="Times New Roman" w:hAnsi="Times New Roman" w:cs="Times New Roman"/>
          <w:b/>
          <w:bCs/>
          <w:sz w:val="24"/>
          <w:szCs w:val="24"/>
        </w:rPr>
      </w:pPr>
      <w:r w:rsidRPr="009C4193">
        <w:rPr>
          <w:rFonts w:ascii="Times New Roman" w:hAnsi="Times New Roman" w:cs="Times New Roman"/>
          <w:b/>
          <w:bCs/>
          <w:sz w:val="24"/>
          <w:szCs w:val="24"/>
        </w:rPr>
        <w:t>Conclusion</w:t>
      </w:r>
    </w:p>
    <w:p w14:paraId="622CAE5B" w14:textId="20B01FD4" w:rsidR="00977058" w:rsidRDefault="0056669F">
      <w:pPr>
        <w:spacing w:after="0" w:line="480" w:lineRule="auto"/>
        <w:jc w:val="both"/>
        <w:rPr>
          <w:rFonts w:ascii="Times New Roman" w:hAnsi="Times New Roman" w:cs="Times New Roman"/>
          <w:sz w:val="24"/>
          <w:szCs w:val="24"/>
        </w:rPr>
      </w:pPr>
      <w:r w:rsidRPr="009C4193">
        <w:rPr>
          <w:rFonts w:ascii="Times New Roman" w:hAnsi="Times New Roman" w:cs="Times New Roman"/>
          <w:sz w:val="24"/>
          <w:szCs w:val="24"/>
        </w:rPr>
        <w:t xml:space="preserve">The present investigation clearly demonstrates that integrated nutrient management practices significantly enhance the growth, yield, and physiological parameters of onion, particularly under semi-arid conditions of Eastern Uttar Pradesh. Among all treatments, T8—comprising 50% nitrogen through FYM, 50% through chemical fertilizers, full PK doses, and Azotobacter inoculation—consistently produced the highest yield and superior growth traits. This synergy between organic manures, chemical fertilizers, and biofertilizers not only improved bulb size, shoot biomass, and dry matter content but also enhanced nutrient uptake and soil health. Conversely, treatments relying solely on vermicompost and PSB (e.g., T12) showed </w:t>
      </w:r>
      <w:r w:rsidRPr="009C4193">
        <w:rPr>
          <w:rFonts w:ascii="Times New Roman" w:hAnsi="Times New Roman" w:cs="Times New Roman"/>
          <w:sz w:val="24"/>
          <w:szCs w:val="24"/>
        </w:rPr>
        <w:lastRenderedPageBreak/>
        <w:t xml:space="preserve">comparatively lower performance, indicating the necessity of a balanced nutrient approach. The study underscores that adopting INM strategies offers a sustainable, eco-friendly, and economically viable pathway to improving onion productivity in resource-limited and water-scarce regions. Future research should further explore the long-term soil health benefits and scalability of these INM practices across different </w:t>
      </w:r>
      <w:proofErr w:type="spellStart"/>
      <w:r w:rsidRPr="009C4193">
        <w:rPr>
          <w:rFonts w:ascii="Times New Roman" w:hAnsi="Times New Roman" w:cs="Times New Roman"/>
          <w:sz w:val="24"/>
          <w:szCs w:val="24"/>
        </w:rPr>
        <w:t>agro</w:t>
      </w:r>
      <w:proofErr w:type="spellEnd"/>
      <w:r w:rsidRPr="009C4193">
        <w:rPr>
          <w:rFonts w:ascii="Times New Roman" w:hAnsi="Times New Roman" w:cs="Times New Roman"/>
          <w:sz w:val="24"/>
          <w:szCs w:val="24"/>
        </w:rPr>
        <w:t>-climatic zones.</w:t>
      </w:r>
    </w:p>
    <w:p w14:paraId="4E9A0A50" w14:textId="77777777" w:rsidR="004171B1" w:rsidRPr="004171B1" w:rsidRDefault="004171B1" w:rsidP="004171B1">
      <w:pPr>
        <w:spacing w:after="0" w:line="480" w:lineRule="auto"/>
        <w:jc w:val="both"/>
        <w:rPr>
          <w:rFonts w:ascii="Times New Roman" w:hAnsi="Times New Roman" w:cs="Times New Roman"/>
          <w:sz w:val="24"/>
          <w:szCs w:val="24"/>
        </w:rPr>
      </w:pPr>
      <w:r w:rsidRPr="004171B1">
        <w:rPr>
          <w:rFonts w:ascii="Times New Roman" w:hAnsi="Times New Roman" w:cs="Times New Roman"/>
          <w:sz w:val="24"/>
          <w:szCs w:val="24"/>
        </w:rPr>
        <w:t>Disclaimer (Artificial intelligence)</w:t>
      </w:r>
    </w:p>
    <w:p w14:paraId="068A7250" w14:textId="77777777" w:rsidR="004171B1" w:rsidRPr="004171B1" w:rsidRDefault="004171B1" w:rsidP="004171B1">
      <w:pPr>
        <w:spacing w:after="0" w:line="480" w:lineRule="auto"/>
        <w:jc w:val="both"/>
        <w:rPr>
          <w:rFonts w:ascii="Times New Roman" w:hAnsi="Times New Roman" w:cs="Times New Roman"/>
          <w:sz w:val="24"/>
          <w:szCs w:val="24"/>
        </w:rPr>
      </w:pPr>
      <w:r w:rsidRPr="004171B1">
        <w:rPr>
          <w:rFonts w:ascii="Times New Roman" w:hAnsi="Times New Roman" w:cs="Times New Roman"/>
          <w:sz w:val="24"/>
          <w:szCs w:val="24"/>
        </w:rPr>
        <w:t xml:space="preserve">Option 1: </w:t>
      </w:r>
    </w:p>
    <w:p w14:paraId="085012F9" w14:textId="77777777" w:rsidR="004171B1" w:rsidRPr="004171B1" w:rsidRDefault="004171B1" w:rsidP="004171B1">
      <w:pPr>
        <w:spacing w:after="0" w:line="480" w:lineRule="auto"/>
        <w:jc w:val="both"/>
        <w:rPr>
          <w:rFonts w:ascii="Times New Roman" w:hAnsi="Times New Roman" w:cs="Times New Roman"/>
          <w:sz w:val="24"/>
          <w:szCs w:val="24"/>
        </w:rPr>
      </w:pPr>
      <w:r w:rsidRPr="004171B1">
        <w:rPr>
          <w:rFonts w:ascii="Times New Roman" w:hAnsi="Times New Roman" w:cs="Times New Roman"/>
          <w:sz w:val="24"/>
          <w:szCs w:val="24"/>
        </w:rPr>
        <w:t>Author(s) hereby declare that NO generative AI technologies such as Large Language Models (</w:t>
      </w:r>
      <w:proofErr w:type="spellStart"/>
      <w:r w:rsidRPr="004171B1">
        <w:rPr>
          <w:rFonts w:ascii="Times New Roman" w:hAnsi="Times New Roman" w:cs="Times New Roman"/>
          <w:sz w:val="24"/>
          <w:szCs w:val="24"/>
        </w:rPr>
        <w:t>ChatGPT</w:t>
      </w:r>
      <w:proofErr w:type="spellEnd"/>
      <w:r w:rsidRPr="004171B1">
        <w:rPr>
          <w:rFonts w:ascii="Times New Roman" w:hAnsi="Times New Roman" w:cs="Times New Roman"/>
          <w:sz w:val="24"/>
          <w:szCs w:val="24"/>
        </w:rPr>
        <w:t xml:space="preserve">, COPILOT, etc.) and text-to-image generators have been used during the writing or editing of this manuscript. </w:t>
      </w:r>
    </w:p>
    <w:p w14:paraId="02F49EDF" w14:textId="77777777" w:rsidR="004171B1" w:rsidRPr="004171B1" w:rsidRDefault="004171B1" w:rsidP="004171B1">
      <w:pPr>
        <w:spacing w:after="0" w:line="480" w:lineRule="auto"/>
        <w:jc w:val="both"/>
        <w:rPr>
          <w:rFonts w:ascii="Times New Roman" w:hAnsi="Times New Roman" w:cs="Times New Roman"/>
          <w:sz w:val="24"/>
          <w:szCs w:val="24"/>
        </w:rPr>
      </w:pPr>
      <w:r w:rsidRPr="004171B1">
        <w:rPr>
          <w:rFonts w:ascii="Times New Roman" w:hAnsi="Times New Roman" w:cs="Times New Roman"/>
          <w:sz w:val="24"/>
          <w:szCs w:val="24"/>
        </w:rPr>
        <w:t xml:space="preserve">Option 2: </w:t>
      </w:r>
    </w:p>
    <w:p w14:paraId="7D7F7E44" w14:textId="77777777" w:rsidR="004171B1" w:rsidRPr="004171B1" w:rsidRDefault="004171B1" w:rsidP="004171B1">
      <w:pPr>
        <w:spacing w:after="0" w:line="480" w:lineRule="auto"/>
        <w:jc w:val="both"/>
        <w:rPr>
          <w:rFonts w:ascii="Times New Roman" w:hAnsi="Times New Roman" w:cs="Times New Roman"/>
          <w:sz w:val="24"/>
          <w:szCs w:val="24"/>
        </w:rPr>
      </w:pPr>
      <w:r w:rsidRPr="004171B1">
        <w:rPr>
          <w:rFonts w:ascii="Times New Roman" w:hAnsi="Times New Roman" w:cs="Times New Roman"/>
          <w:sz w:val="24"/>
          <w:szCs w:val="24"/>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F1BEBD2" w14:textId="77777777" w:rsidR="004171B1" w:rsidRPr="004171B1" w:rsidRDefault="004171B1" w:rsidP="004171B1">
      <w:pPr>
        <w:spacing w:after="0" w:line="480" w:lineRule="auto"/>
        <w:jc w:val="both"/>
        <w:rPr>
          <w:rFonts w:ascii="Times New Roman" w:hAnsi="Times New Roman" w:cs="Times New Roman"/>
          <w:sz w:val="24"/>
          <w:szCs w:val="24"/>
        </w:rPr>
      </w:pPr>
      <w:r w:rsidRPr="004171B1">
        <w:rPr>
          <w:rFonts w:ascii="Times New Roman" w:hAnsi="Times New Roman" w:cs="Times New Roman"/>
          <w:sz w:val="24"/>
          <w:szCs w:val="24"/>
        </w:rPr>
        <w:t>Details of the AI usage are given below:</w:t>
      </w:r>
    </w:p>
    <w:p w14:paraId="0D329E1A" w14:textId="77777777" w:rsidR="004171B1" w:rsidRPr="004171B1" w:rsidRDefault="004171B1" w:rsidP="004171B1">
      <w:pPr>
        <w:spacing w:after="0" w:line="480" w:lineRule="auto"/>
        <w:jc w:val="both"/>
        <w:rPr>
          <w:rFonts w:ascii="Times New Roman" w:hAnsi="Times New Roman" w:cs="Times New Roman"/>
          <w:sz w:val="24"/>
          <w:szCs w:val="24"/>
        </w:rPr>
      </w:pPr>
      <w:r w:rsidRPr="004171B1">
        <w:rPr>
          <w:rFonts w:ascii="Times New Roman" w:hAnsi="Times New Roman" w:cs="Times New Roman"/>
          <w:sz w:val="24"/>
          <w:szCs w:val="24"/>
        </w:rPr>
        <w:t>1.</w:t>
      </w:r>
    </w:p>
    <w:p w14:paraId="69E7F182" w14:textId="77777777" w:rsidR="004171B1" w:rsidRPr="004171B1" w:rsidRDefault="004171B1" w:rsidP="004171B1">
      <w:pPr>
        <w:spacing w:after="0" w:line="480" w:lineRule="auto"/>
        <w:jc w:val="both"/>
        <w:rPr>
          <w:rFonts w:ascii="Times New Roman" w:hAnsi="Times New Roman" w:cs="Times New Roman"/>
          <w:sz w:val="24"/>
          <w:szCs w:val="24"/>
        </w:rPr>
      </w:pPr>
      <w:r w:rsidRPr="004171B1">
        <w:rPr>
          <w:rFonts w:ascii="Times New Roman" w:hAnsi="Times New Roman" w:cs="Times New Roman"/>
          <w:sz w:val="24"/>
          <w:szCs w:val="24"/>
        </w:rPr>
        <w:t>2.</w:t>
      </w:r>
    </w:p>
    <w:p w14:paraId="1FC1DDA9" w14:textId="0228EC8F" w:rsidR="004171B1" w:rsidRPr="009C4193" w:rsidRDefault="004171B1" w:rsidP="004171B1">
      <w:pPr>
        <w:spacing w:after="0" w:line="480" w:lineRule="auto"/>
        <w:jc w:val="both"/>
        <w:rPr>
          <w:rFonts w:ascii="Times New Roman" w:hAnsi="Times New Roman" w:cs="Times New Roman"/>
          <w:sz w:val="24"/>
          <w:szCs w:val="24"/>
        </w:rPr>
      </w:pPr>
      <w:r w:rsidRPr="004171B1">
        <w:rPr>
          <w:rFonts w:ascii="Times New Roman" w:hAnsi="Times New Roman" w:cs="Times New Roman"/>
          <w:sz w:val="24"/>
          <w:szCs w:val="24"/>
        </w:rPr>
        <w:t>3.</w:t>
      </w:r>
    </w:p>
    <w:p w14:paraId="23EEFB8C" w14:textId="77777777" w:rsidR="00977058" w:rsidRPr="009C4193" w:rsidRDefault="0056669F">
      <w:pPr>
        <w:spacing w:after="0" w:line="480" w:lineRule="auto"/>
        <w:jc w:val="both"/>
        <w:rPr>
          <w:rFonts w:ascii="Times New Roman" w:hAnsi="Times New Roman" w:cs="Times New Roman"/>
          <w:b/>
          <w:bCs/>
          <w:sz w:val="24"/>
          <w:szCs w:val="24"/>
        </w:rPr>
      </w:pPr>
      <w:r w:rsidRPr="009C4193">
        <w:rPr>
          <w:rFonts w:ascii="Times New Roman" w:hAnsi="Times New Roman" w:cs="Times New Roman"/>
          <w:b/>
          <w:bCs/>
          <w:sz w:val="24"/>
          <w:szCs w:val="24"/>
        </w:rPr>
        <w:t>Reference</w:t>
      </w:r>
    </w:p>
    <w:p w14:paraId="7BC04E71" w14:textId="77777777" w:rsidR="00977058" w:rsidRPr="009C4193" w:rsidRDefault="0056669F">
      <w:pPr>
        <w:pStyle w:val="NormalWeb"/>
        <w:numPr>
          <w:ilvl w:val="0"/>
          <w:numId w:val="1"/>
        </w:numPr>
        <w:spacing w:line="480" w:lineRule="auto"/>
      </w:pPr>
      <w:r w:rsidRPr="009C4193">
        <w:t>Singh RP, Shukla AK. Nutritional and medicinal properties of onion (</w:t>
      </w:r>
      <w:r w:rsidRPr="009C4193">
        <w:rPr>
          <w:i/>
          <w:iCs/>
        </w:rPr>
        <w:t xml:space="preserve">Allium cepa </w:t>
      </w:r>
      <w:r w:rsidRPr="009C4193">
        <w:t>L.): A review. J Med Plants Stud. 2017;5(6):72-78.</w:t>
      </w:r>
    </w:p>
    <w:p w14:paraId="5BEC9B2C" w14:textId="77777777" w:rsidR="00977058" w:rsidRPr="009C4193" w:rsidRDefault="0056669F">
      <w:pPr>
        <w:pStyle w:val="NormalWeb"/>
        <w:numPr>
          <w:ilvl w:val="0"/>
          <w:numId w:val="1"/>
        </w:numPr>
        <w:spacing w:line="480" w:lineRule="auto"/>
      </w:pPr>
      <w:r w:rsidRPr="009C4193">
        <w:t xml:space="preserve">Singh A, Patel S, Kumar N. Phytochemical constituents of onion and their health benefits. Int J Food Sci </w:t>
      </w:r>
      <w:proofErr w:type="spellStart"/>
      <w:r w:rsidRPr="009C4193">
        <w:t>Nutr</w:t>
      </w:r>
      <w:proofErr w:type="spellEnd"/>
      <w:r w:rsidRPr="009C4193">
        <w:t>. 2014;5(3):198-204.</w:t>
      </w:r>
    </w:p>
    <w:p w14:paraId="0B1A77FD" w14:textId="77777777" w:rsidR="00977058" w:rsidRPr="009C4193" w:rsidRDefault="0056669F">
      <w:pPr>
        <w:pStyle w:val="NormalWeb"/>
        <w:numPr>
          <w:ilvl w:val="0"/>
          <w:numId w:val="1"/>
        </w:numPr>
        <w:spacing w:line="480" w:lineRule="auto"/>
      </w:pPr>
      <w:r w:rsidRPr="009C4193">
        <w:t xml:space="preserve">Nadkarni KM. Indian </w:t>
      </w:r>
      <w:proofErr w:type="spellStart"/>
      <w:r w:rsidRPr="009C4193">
        <w:t>materia</w:t>
      </w:r>
      <w:proofErr w:type="spellEnd"/>
      <w:r w:rsidRPr="009C4193">
        <w:t xml:space="preserve"> </w:t>
      </w:r>
      <w:proofErr w:type="spellStart"/>
      <w:r w:rsidRPr="009C4193">
        <w:t>medica</w:t>
      </w:r>
      <w:proofErr w:type="spellEnd"/>
      <w:r w:rsidRPr="009C4193">
        <w:t>. Vol 1. Bombay: Popular Book Depot; 1954.</w:t>
      </w:r>
    </w:p>
    <w:p w14:paraId="118E4434" w14:textId="77777777" w:rsidR="00977058" w:rsidRPr="009C4193" w:rsidRDefault="0056669F">
      <w:pPr>
        <w:pStyle w:val="NormalWeb"/>
        <w:numPr>
          <w:ilvl w:val="0"/>
          <w:numId w:val="1"/>
        </w:numPr>
        <w:spacing w:line="480" w:lineRule="auto"/>
      </w:pPr>
      <w:proofErr w:type="spellStart"/>
      <w:r w:rsidRPr="009C4193">
        <w:lastRenderedPageBreak/>
        <w:t>Banjare</w:t>
      </w:r>
      <w:proofErr w:type="spellEnd"/>
      <w:r w:rsidRPr="009C4193">
        <w:t xml:space="preserve"> MK, Patel RK, Singh A. Effect of organic and inorganic sources of nutrients on growth and yield of onion. Int J Agric Sci. 2015;7(4):689-91.</w:t>
      </w:r>
    </w:p>
    <w:p w14:paraId="4B52767C" w14:textId="77777777" w:rsidR="00977058" w:rsidRPr="009C4193" w:rsidRDefault="0056669F">
      <w:pPr>
        <w:pStyle w:val="NormalWeb"/>
        <w:numPr>
          <w:ilvl w:val="0"/>
          <w:numId w:val="1"/>
        </w:numPr>
        <w:spacing w:line="480" w:lineRule="auto"/>
      </w:pPr>
      <w:r w:rsidRPr="009C4193">
        <w:t>Aykroyd WR. The nutritive value of Indian foods and the planning of satisfactory diets. Special Report Series No. 42. New Delhi: Indian Council of Medical Research; 1963.</w:t>
      </w:r>
    </w:p>
    <w:p w14:paraId="2B654733" w14:textId="77777777" w:rsidR="00977058" w:rsidRPr="009C4193" w:rsidRDefault="0056669F">
      <w:pPr>
        <w:pStyle w:val="NormalWeb"/>
        <w:numPr>
          <w:ilvl w:val="0"/>
          <w:numId w:val="1"/>
        </w:numPr>
        <w:spacing w:line="480" w:lineRule="auto"/>
      </w:pPr>
      <w:r w:rsidRPr="009C4193">
        <w:t xml:space="preserve">FAO. FAOSTAT statistical database. Food and Agriculture Organization of the United Nations; 2020. Available from: </w:t>
      </w:r>
      <w:hyperlink r:id="rId30" w:tgtFrame="_new" w:history="1">
        <w:r w:rsidRPr="009C4193">
          <w:rPr>
            <w:rStyle w:val="Hyperlink"/>
          </w:rPr>
          <w:t>http://www.fao.org/faostat/en/</w:t>
        </w:r>
      </w:hyperlink>
    </w:p>
    <w:p w14:paraId="0C6F7E52" w14:textId="77777777" w:rsidR="00977058" w:rsidRPr="009C4193" w:rsidRDefault="0056669F">
      <w:pPr>
        <w:pStyle w:val="NormalWeb"/>
        <w:numPr>
          <w:ilvl w:val="0"/>
          <w:numId w:val="1"/>
        </w:numPr>
        <w:spacing w:line="480" w:lineRule="auto"/>
      </w:pPr>
      <w:r w:rsidRPr="009C4193">
        <w:t>Kumar A, Singh D, Shukla R. Trends and challenges in Indian onion production: A review. Veg Sci. 2019;46(1):12-20.</w:t>
      </w:r>
    </w:p>
    <w:p w14:paraId="1D45665A" w14:textId="77777777" w:rsidR="00977058" w:rsidRPr="009C4193" w:rsidRDefault="0056669F">
      <w:pPr>
        <w:pStyle w:val="NormalWeb"/>
        <w:numPr>
          <w:ilvl w:val="0"/>
          <w:numId w:val="1"/>
        </w:numPr>
        <w:spacing w:line="480" w:lineRule="auto"/>
      </w:pPr>
      <w:r w:rsidRPr="009C4193">
        <w:t xml:space="preserve">Tripathi R, Kumar P. Challenges in onion cultivation and nutrient management in India. J Plant </w:t>
      </w:r>
      <w:proofErr w:type="spellStart"/>
      <w:r w:rsidRPr="009C4193">
        <w:t>Nutr</w:t>
      </w:r>
      <w:proofErr w:type="spellEnd"/>
      <w:r w:rsidRPr="009C4193">
        <w:t>. 2018;41(8):973-80.</w:t>
      </w:r>
    </w:p>
    <w:p w14:paraId="399EA716" w14:textId="77777777" w:rsidR="00977058" w:rsidRPr="009C4193" w:rsidRDefault="0056669F">
      <w:pPr>
        <w:pStyle w:val="NormalWeb"/>
        <w:numPr>
          <w:ilvl w:val="0"/>
          <w:numId w:val="1"/>
        </w:numPr>
        <w:spacing w:line="480" w:lineRule="auto"/>
      </w:pPr>
      <w:r w:rsidRPr="009C4193">
        <w:t xml:space="preserve">Mohanty B, </w:t>
      </w:r>
      <w:proofErr w:type="spellStart"/>
      <w:r w:rsidRPr="009C4193">
        <w:t>Prusti</w:t>
      </w:r>
      <w:proofErr w:type="spellEnd"/>
      <w:r w:rsidRPr="009C4193">
        <w:t xml:space="preserve"> A. Kharif onion cultivation: Varietal selection and management practices. Indian J </w:t>
      </w:r>
      <w:proofErr w:type="spellStart"/>
      <w:r w:rsidRPr="009C4193">
        <w:t>Hortic</w:t>
      </w:r>
      <w:proofErr w:type="spellEnd"/>
      <w:r w:rsidRPr="009C4193">
        <w:t>. 2001;58(2):156-61.</w:t>
      </w:r>
    </w:p>
    <w:p w14:paraId="2B2A4429" w14:textId="77777777" w:rsidR="00977058" w:rsidRPr="009C4193" w:rsidRDefault="0056669F">
      <w:pPr>
        <w:pStyle w:val="NormalWeb"/>
        <w:numPr>
          <w:ilvl w:val="0"/>
          <w:numId w:val="1"/>
        </w:numPr>
        <w:spacing w:line="480" w:lineRule="auto"/>
      </w:pPr>
      <w:r w:rsidRPr="009C4193">
        <w:t>Sharma V, Singh P, Kumar S. State-wise onion production and productivity trends in India. Agric Econ Res Rev. 2021;34(2):95-105.</w:t>
      </w:r>
    </w:p>
    <w:p w14:paraId="777564E6" w14:textId="77777777" w:rsidR="00977058" w:rsidRPr="009C4193" w:rsidRDefault="0056669F">
      <w:pPr>
        <w:pStyle w:val="NormalWeb"/>
        <w:numPr>
          <w:ilvl w:val="0"/>
          <w:numId w:val="1"/>
        </w:numPr>
        <w:spacing w:line="480" w:lineRule="auto"/>
      </w:pPr>
      <w:r w:rsidRPr="009C4193">
        <w:t xml:space="preserve">Shekhar S. Water and nutrient management in rice under alternate wetting and drying irrigation practice: Field and modeling studies [dissertation]. Kharagpur: Indian Institute of Technology; 2022. Available from: </w:t>
      </w:r>
      <w:hyperlink r:id="rId31" w:tgtFrame="_new" w:history="1">
        <w:r w:rsidRPr="009C4193">
          <w:rPr>
            <w:rStyle w:val="Hyperlink"/>
          </w:rPr>
          <w:t>http://www.idr.iitkgp.ac.in/jspui/bitstream/123456789/12050/1/NB17320_Abstract.pdf</w:t>
        </w:r>
      </w:hyperlink>
    </w:p>
    <w:p w14:paraId="6C6D4B2A" w14:textId="77777777" w:rsidR="00977058" w:rsidRPr="009C4193" w:rsidRDefault="0056669F">
      <w:pPr>
        <w:pStyle w:val="NormalWeb"/>
        <w:numPr>
          <w:ilvl w:val="0"/>
          <w:numId w:val="1"/>
        </w:numPr>
        <w:spacing w:line="480" w:lineRule="auto"/>
      </w:pPr>
      <w:r w:rsidRPr="009C4193">
        <w:t xml:space="preserve">Shekhar S, </w:t>
      </w:r>
      <w:proofErr w:type="spellStart"/>
      <w:r w:rsidRPr="009C4193">
        <w:t>Mailapalli</w:t>
      </w:r>
      <w:proofErr w:type="spellEnd"/>
      <w:r w:rsidRPr="009C4193">
        <w:t xml:space="preserve"> DR, Das BS, </w:t>
      </w:r>
      <w:proofErr w:type="spellStart"/>
      <w:r w:rsidRPr="009C4193">
        <w:t>Raghuwanshi</w:t>
      </w:r>
      <w:proofErr w:type="spellEnd"/>
      <w:r w:rsidRPr="009C4193">
        <w:t xml:space="preserve"> NS. Modelling water flow through paddy soils under alternate wetting and drying irrigation practice. In: AGU Fall Meeting; 2017 Dec; New Orleans, LA, USA. Abstract H43Q-07.</w:t>
      </w:r>
    </w:p>
    <w:p w14:paraId="14E23A91" w14:textId="77777777" w:rsidR="00977058" w:rsidRPr="009C4193" w:rsidRDefault="0056669F">
      <w:pPr>
        <w:pStyle w:val="NormalWeb"/>
        <w:numPr>
          <w:ilvl w:val="0"/>
          <w:numId w:val="1"/>
        </w:numPr>
        <w:spacing w:line="480" w:lineRule="auto"/>
      </w:pPr>
      <w:r w:rsidRPr="009C4193">
        <w:t xml:space="preserve">Shekhar S, Dubey A, </w:t>
      </w:r>
      <w:proofErr w:type="spellStart"/>
      <w:r w:rsidRPr="009C4193">
        <w:t>Pohshna</w:t>
      </w:r>
      <w:proofErr w:type="spellEnd"/>
      <w:r w:rsidRPr="009C4193">
        <w:t xml:space="preserve"> C. Estimation of irrigation scheduling for different cropping pattern at different growth stage of crop by using the CROPWAT model. Int J </w:t>
      </w:r>
      <w:proofErr w:type="spellStart"/>
      <w:r w:rsidRPr="009C4193">
        <w:t>Curr</w:t>
      </w:r>
      <w:proofErr w:type="spellEnd"/>
      <w:r w:rsidRPr="009C4193">
        <w:t xml:space="preserve"> Microbiol Appl Sci. 2018;7(8):3855-62. </w:t>
      </w:r>
      <w:hyperlink r:id="rId32" w:tgtFrame="_new" w:history="1">
        <w:r w:rsidRPr="009C4193">
          <w:rPr>
            <w:rStyle w:val="Hyperlink"/>
          </w:rPr>
          <w:t>https://doi.org/10.20546/ijcmas.2018.708.395</w:t>
        </w:r>
      </w:hyperlink>
    </w:p>
    <w:p w14:paraId="2A8B8A9D" w14:textId="77777777" w:rsidR="00977058" w:rsidRPr="009C4193" w:rsidRDefault="0056669F">
      <w:pPr>
        <w:pStyle w:val="NormalWeb"/>
        <w:numPr>
          <w:ilvl w:val="0"/>
          <w:numId w:val="1"/>
        </w:numPr>
        <w:spacing w:line="480" w:lineRule="auto"/>
      </w:pPr>
      <w:r w:rsidRPr="009C4193">
        <w:lastRenderedPageBreak/>
        <w:t xml:space="preserve">Shekhar S, </w:t>
      </w:r>
      <w:proofErr w:type="spellStart"/>
      <w:r w:rsidRPr="009C4193">
        <w:t>Mailapalli</w:t>
      </w:r>
      <w:proofErr w:type="spellEnd"/>
      <w:r w:rsidRPr="009C4193">
        <w:t xml:space="preserve"> DR, </w:t>
      </w:r>
      <w:proofErr w:type="spellStart"/>
      <w:r w:rsidRPr="009C4193">
        <w:t>Raghuwanshi</w:t>
      </w:r>
      <w:proofErr w:type="spellEnd"/>
      <w:r w:rsidRPr="009C4193">
        <w:t xml:space="preserve"> NS. Potassium transport through paddy soils under alternate wetting and drying irrigation practice. In: AGU Fall Meeting; 2019 Dec; San Francisco, CA, USA.</w:t>
      </w:r>
    </w:p>
    <w:p w14:paraId="5DE992EB" w14:textId="77777777" w:rsidR="00977058" w:rsidRPr="009C4193" w:rsidRDefault="0056669F">
      <w:pPr>
        <w:pStyle w:val="NormalWeb"/>
        <w:numPr>
          <w:ilvl w:val="0"/>
          <w:numId w:val="1"/>
        </w:numPr>
        <w:spacing w:line="480" w:lineRule="auto"/>
      </w:pPr>
      <w:r w:rsidRPr="009C4193">
        <w:t xml:space="preserve">Shekhar S, </w:t>
      </w:r>
      <w:proofErr w:type="spellStart"/>
      <w:r w:rsidRPr="009C4193">
        <w:t>Mailapalli</w:t>
      </w:r>
      <w:proofErr w:type="spellEnd"/>
      <w:r w:rsidRPr="009C4193">
        <w:t xml:space="preserve"> DR, </w:t>
      </w:r>
      <w:proofErr w:type="spellStart"/>
      <w:r w:rsidRPr="009C4193">
        <w:t>Raghuwanshi</w:t>
      </w:r>
      <w:proofErr w:type="spellEnd"/>
      <w:r w:rsidRPr="009C4193">
        <w:t xml:space="preserve"> NS, Das BS. Hydrus-1D model for simulating water flow through paddy soils under alternate wetting and drying irrigation practice. Paddy Water Environ. 2020;18(1):73-85. </w:t>
      </w:r>
      <w:hyperlink r:id="rId33" w:tgtFrame="_new" w:history="1">
        <w:r w:rsidRPr="009C4193">
          <w:rPr>
            <w:rStyle w:val="Hyperlink"/>
          </w:rPr>
          <w:t>https://doi.org/10.1007/s10333-019-00765-8</w:t>
        </w:r>
      </w:hyperlink>
    </w:p>
    <w:p w14:paraId="62405CFF" w14:textId="77777777" w:rsidR="00977058" w:rsidRPr="009C4193" w:rsidRDefault="0056669F">
      <w:pPr>
        <w:pStyle w:val="NormalWeb"/>
        <w:numPr>
          <w:ilvl w:val="0"/>
          <w:numId w:val="1"/>
        </w:numPr>
        <w:spacing w:line="480" w:lineRule="auto"/>
      </w:pPr>
      <w:r w:rsidRPr="009C4193">
        <w:t xml:space="preserve">Shekhar S, </w:t>
      </w:r>
      <w:proofErr w:type="spellStart"/>
      <w:r w:rsidRPr="009C4193">
        <w:t>Mailapalli</w:t>
      </w:r>
      <w:proofErr w:type="spellEnd"/>
      <w:r w:rsidRPr="009C4193">
        <w:t xml:space="preserve"> DR, Das BS, Mishra A, </w:t>
      </w:r>
      <w:proofErr w:type="spellStart"/>
      <w:r w:rsidRPr="009C4193">
        <w:t>Raghuwanshi</w:t>
      </w:r>
      <w:proofErr w:type="spellEnd"/>
      <w:r w:rsidRPr="009C4193">
        <w:t xml:space="preserve"> NS. Hydrus-1D for simulating potassium transport in flooded paddy soils. Commun Soil Sci Plant Anal. 2021;52(22):1-18. </w:t>
      </w:r>
      <w:hyperlink r:id="rId34" w:tgtFrame="_new" w:history="1">
        <w:r w:rsidRPr="009C4193">
          <w:rPr>
            <w:rStyle w:val="Hyperlink"/>
          </w:rPr>
          <w:t>https://doi.org/10.1080/00103624.2021.1966437</w:t>
        </w:r>
      </w:hyperlink>
    </w:p>
    <w:p w14:paraId="6740467A" w14:textId="77777777" w:rsidR="00977058" w:rsidRPr="009C4193" w:rsidRDefault="0056669F">
      <w:pPr>
        <w:pStyle w:val="NormalWeb"/>
        <w:numPr>
          <w:ilvl w:val="0"/>
          <w:numId w:val="1"/>
        </w:numPr>
        <w:spacing w:line="480" w:lineRule="auto"/>
      </w:pPr>
      <w:r w:rsidRPr="009C4193">
        <w:t xml:space="preserve">Shekhar S, </w:t>
      </w:r>
      <w:proofErr w:type="spellStart"/>
      <w:r w:rsidRPr="009C4193">
        <w:t>Mailapalli</w:t>
      </w:r>
      <w:proofErr w:type="spellEnd"/>
      <w:r w:rsidRPr="009C4193">
        <w:t xml:space="preserve"> DR, </w:t>
      </w:r>
      <w:proofErr w:type="spellStart"/>
      <w:r w:rsidRPr="009C4193">
        <w:t>Raghuwanshi</w:t>
      </w:r>
      <w:proofErr w:type="spellEnd"/>
      <w:r w:rsidRPr="009C4193">
        <w:t xml:space="preserve"> NS. Simulating nitrogen transport in paddy crop irrigated with alternate wetting and drying practice. Paddy Water Environ. 2021;19(3):499-513. </w:t>
      </w:r>
      <w:hyperlink r:id="rId35" w:tgtFrame="_new" w:history="1">
        <w:r w:rsidRPr="009C4193">
          <w:rPr>
            <w:rStyle w:val="Hyperlink"/>
          </w:rPr>
          <w:t>https://doi.org/10.1007/s10333-021-00850-x</w:t>
        </w:r>
      </w:hyperlink>
    </w:p>
    <w:p w14:paraId="46E8D1E9" w14:textId="77777777" w:rsidR="00977058" w:rsidRPr="009C4193" w:rsidRDefault="0056669F">
      <w:pPr>
        <w:pStyle w:val="NormalWeb"/>
        <w:numPr>
          <w:ilvl w:val="0"/>
          <w:numId w:val="1"/>
        </w:numPr>
        <w:spacing w:line="480" w:lineRule="auto"/>
      </w:pPr>
      <w:r w:rsidRPr="009C4193">
        <w:t xml:space="preserve">Shekhar S, </w:t>
      </w:r>
      <w:proofErr w:type="spellStart"/>
      <w:r w:rsidRPr="009C4193">
        <w:t>Tamilarasan</w:t>
      </w:r>
      <w:proofErr w:type="spellEnd"/>
      <w:r w:rsidRPr="009C4193">
        <w:t xml:space="preserve"> R, </w:t>
      </w:r>
      <w:proofErr w:type="spellStart"/>
      <w:r w:rsidRPr="009C4193">
        <w:t>Mailapalli</w:t>
      </w:r>
      <w:proofErr w:type="spellEnd"/>
      <w:r w:rsidRPr="009C4193">
        <w:t xml:space="preserve"> DR, </w:t>
      </w:r>
      <w:proofErr w:type="spellStart"/>
      <w:r w:rsidRPr="009C4193">
        <w:t>Raghuwanshi</w:t>
      </w:r>
      <w:proofErr w:type="spellEnd"/>
      <w:r w:rsidRPr="009C4193">
        <w:t xml:space="preserve"> NS. Estimation of evapotranspiration for paddy under alternate wetting and drying irrigation practice. </w:t>
      </w:r>
      <w:proofErr w:type="spellStart"/>
      <w:r w:rsidRPr="009C4193">
        <w:t>Irrig</w:t>
      </w:r>
      <w:proofErr w:type="spellEnd"/>
      <w:r w:rsidRPr="009C4193">
        <w:t xml:space="preserve"> Drain. 2021;70(2):195-206. </w:t>
      </w:r>
      <w:hyperlink r:id="rId36" w:tgtFrame="_new" w:history="1">
        <w:r w:rsidRPr="009C4193">
          <w:rPr>
            <w:rStyle w:val="Hyperlink"/>
          </w:rPr>
          <w:t>https://doi.org/10.1002/ird.2536</w:t>
        </w:r>
      </w:hyperlink>
    </w:p>
    <w:p w14:paraId="21CBE0AE" w14:textId="77777777" w:rsidR="00977058" w:rsidRPr="009C4193" w:rsidRDefault="0056669F">
      <w:pPr>
        <w:pStyle w:val="NormalWeb"/>
        <w:numPr>
          <w:ilvl w:val="0"/>
          <w:numId w:val="1"/>
        </w:numPr>
        <w:spacing w:line="480" w:lineRule="auto"/>
      </w:pPr>
      <w:r w:rsidRPr="009C4193">
        <w:t xml:space="preserve">Shekhar S, </w:t>
      </w:r>
      <w:proofErr w:type="spellStart"/>
      <w:r w:rsidRPr="009C4193">
        <w:t>Mailapalli</w:t>
      </w:r>
      <w:proofErr w:type="spellEnd"/>
      <w:r w:rsidRPr="009C4193">
        <w:t xml:space="preserve"> DR, </w:t>
      </w:r>
      <w:proofErr w:type="spellStart"/>
      <w:r w:rsidRPr="009C4193">
        <w:t>Raghuwanshi</w:t>
      </w:r>
      <w:proofErr w:type="spellEnd"/>
      <w:r w:rsidRPr="009C4193">
        <w:t xml:space="preserve"> NS. Effect of alternate wetting and drying irrigation practice on rice crop growth and yield: A lysimeter study. ACS Agric Sci Technol. 2022;2(5):919-31. </w:t>
      </w:r>
      <w:hyperlink r:id="rId37" w:tgtFrame="_new" w:history="1">
        <w:r w:rsidRPr="009C4193">
          <w:rPr>
            <w:rStyle w:val="Hyperlink"/>
          </w:rPr>
          <w:t>https://doi.org/10.1021/acsagscitech.1c00239</w:t>
        </w:r>
      </w:hyperlink>
    </w:p>
    <w:p w14:paraId="7DE2F38B" w14:textId="77777777" w:rsidR="00977058" w:rsidRPr="009C4193" w:rsidRDefault="0056669F">
      <w:pPr>
        <w:pStyle w:val="NormalWeb"/>
        <w:numPr>
          <w:ilvl w:val="0"/>
          <w:numId w:val="1"/>
        </w:numPr>
        <w:spacing w:line="480" w:lineRule="auto"/>
      </w:pPr>
      <w:r w:rsidRPr="009C4193">
        <w:t xml:space="preserve">Shekhar S, </w:t>
      </w:r>
      <w:proofErr w:type="spellStart"/>
      <w:r w:rsidRPr="009C4193">
        <w:t>Mailapalli</w:t>
      </w:r>
      <w:proofErr w:type="spellEnd"/>
      <w:r w:rsidRPr="009C4193">
        <w:t xml:space="preserve"> DR, </w:t>
      </w:r>
      <w:proofErr w:type="spellStart"/>
      <w:r w:rsidRPr="009C4193">
        <w:t>Raghuwanshi</w:t>
      </w:r>
      <w:proofErr w:type="spellEnd"/>
      <w:r w:rsidRPr="009C4193">
        <w:t xml:space="preserve"> NS, </w:t>
      </w:r>
      <w:proofErr w:type="spellStart"/>
      <w:r w:rsidRPr="009C4193">
        <w:t>Pohshna</w:t>
      </w:r>
      <w:proofErr w:type="spellEnd"/>
      <w:r w:rsidRPr="009C4193">
        <w:t xml:space="preserve"> C. Hydrus-1D model for simulating phosphorus transport in paddy crop irrigated with alternate wetting and drying practice. Commun Soil Sci Plant Anal. 2023;55(1):1-22. </w:t>
      </w:r>
      <w:hyperlink r:id="rId38" w:tgtFrame="_new" w:history="1">
        <w:r w:rsidRPr="009C4193">
          <w:rPr>
            <w:rStyle w:val="Hyperlink"/>
          </w:rPr>
          <w:t>https://doi.org/10.1080/00103624.2023.2260424</w:t>
        </w:r>
      </w:hyperlink>
    </w:p>
    <w:p w14:paraId="7FC40F51" w14:textId="77777777" w:rsidR="00977058" w:rsidRPr="009C4193" w:rsidRDefault="0056669F">
      <w:pPr>
        <w:pStyle w:val="NormalWeb"/>
        <w:numPr>
          <w:ilvl w:val="0"/>
          <w:numId w:val="1"/>
        </w:numPr>
        <w:spacing w:line="480" w:lineRule="auto"/>
      </w:pPr>
      <w:r w:rsidRPr="009C4193">
        <w:t xml:space="preserve">Shekhar S, </w:t>
      </w:r>
      <w:proofErr w:type="spellStart"/>
      <w:r w:rsidRPr="009C4193">
        <w:t>Mailapalli</w:t>
      </w:r>
      <w:proofErr w:type="spellEnd"/>
      <w:r w:rsidRPr="009C4193">
        <w:t xml:space="preserve"> DR, </w:t>
      </w:r>
      <w:proofErr w:type="spellStart"/>
      <w:r w:rsidRPr="009C4193">
        <w:t>Raghuwanshi</w:t>
      </w:r>
      <w:proofErr w:type="spellEnd"/>
      <w:r w:rsidRPr="009C4193">
        <w:t xml:space="preserve"> NS. Simulation and optimization of ponding water and nutrient management in rice irrigated with alternate wetting and drying practice </w:t>
      </w:r>
      <w:r w:rsidRPr="009C4193">
        <w:lastRenderedPageBreak/>
        <w:t xml:space="preserve">under a humid subtropical region in India. Paddy Water Environ. 2023;22(1):1-19. </w:t>
      </w:r>
      <w:hyperlink r:id="rId39" w:tgtFrame="_new" w:history="1">
        <w:r w:rsidRPr="009C4193">
          <w:t>https://doi.org/10.1007/s10333-023-00961-7</w:t>
        </w:r>
      </w:hyperlink>
    </w:p>
    <w:p w14:paraId="34FEF06D" w14:textId="77777777" w:rsidR="00977058" w:rsidRPr="009C4193" w:rsidRDefault="0056669F">
      <w:pPr>
        <w:pStyle w:val="NormalWeb"/>
        <w:numPr>
          <w:ilvl w:val="0"/>
          <w:numId w:val="1"/>
        </w:numPr>
        <w:spacing w:line="480" w:lineRule="auto"/>
      </w:pPr>
      <w:r w:rsidRPr="009C4193">
        <w:t>Verma RC, Singh JP, Shekhar S, Pratap N, Rai AK, Singh S, Singh N. Enhancement of productivity through cluster frontline demonstrations and dissemination of production technology of pigeon pea (</w:t>
      </w:r>
      <w:proofErr w:type="spellStart"/>
      <w:r w:rsidRPr="009C4193">
        <w:rPr>
          <w:i/>
          <w:iCs/>
        </w:rPr>
        <w:t>Cajanus</w:t>
      </w:r>
      <w:proofErr w:type="spellEnd"/>
      <w:r w:rsidRPr="009C4193">
        <w:rPr>
          <w:i/>
          <w:iCs/>
        </w:rPr>
        <w:t xml:space="preserve"> </w:t>
      </w:r>
      <w:proofErr w:type="spellStart"/>
      <w:r w:rsidRPr="009C4193">
        <w:rPr>
          <w:i/>
          <w:iCs/>
        </w:rPr>
        <w:t>cajan</w:t>
      </w:r>
      <w:proofErr w:type="spellEnd"/>
      <w:r w:rsidRPr="009C4193">
        <w:t xml:space="preserve">) in Ghazipur, Uttar Pradesh. Int J Stat Appl Math. </w:t>
      </w:r>
      <w:proofErr w:type="gramStart"/>
      <w:r w:rsidRPr="009C4193">
        <w:t>2023;8:558</w:t>
      </w:r>
      <w:proofErr w:type="gramEnd"/>
      <w:r w:rsidRPr="009C4193">
        <w:t>-61.</w:t>
      </w:r>
    </w:p>
    <w:p w14:paraId="761D8076" w14:textId="77777777" w:rsidR="00977058" w:rsidRPr="009C4193" w:rsidRDefault="0056669F">
      <w:pPr>
        <w:pStyle w:val="NormalWeb"/>
        <w:numPr>
          <w:ilvl w:val="0"/>
          <w:numId w:val="1"/>
        </w:numPr>
        <w:spacing w:line="480" w:lineRule="auto"/>
      </w:pPr>
      <w:r w:rsidRPr="009C4193">
        <w:t>Verma RC, Shekhar S, Singh P, Pratap N, Rai AK, Singh S, Singh N. Enhance the lentil (</w:t>
      </w:r>
      <w:r w:rsidRPr="009C4193">
        <w:rPr>
          <w:i/>
          <w:iCs/>
        </w:rPr>
        <w:t>Lens culinaris</w:t>
      </w:r>
      <w:r w:rsidRPr="009C4193">
        <w:t xml:space="preserve">) production through cluster frontline demonstrations. Int J Stat Appl Math. </w:t>
      </w:r>
      <w:proofErr w:type="gramStart"/>
      <w:r w:rsidRPr="009C4193">
        <w:t>2023;8:553</w:t>
      </w:r>
      <w:proofErr w:type="gramEnd"/>
      <w:r w:rsidRPr="009C4193">
        <w:t>-7.</w:t>
      </w:r>
    </w:p>
    <w:p w14:paraId="54AF39B4" w14:textId="77777777" w:rsidR="00977058" w:rsidRPr="009C4193" w:rsidRDefault="0056669F">
      <w:pPr>
        <w:pStyle w:val="NormalWeb"/>
        <w:numPr>
          <w:ilvl w:val="0"/>
          <w:numId w:val="1"/>
        </w:numPr>
        <w:spacing w:line="480" w:lineRule="auto"/>
      </w:pPr>
      <w:r w:rsidRPr="009C4193">
        <w:t xml:space="preserve">Verma RC, Singh JP, Shekhar S, Pratap N, Rai AK, Singh S, Singh N. Increasing the productivity through cluster frontline demonstrations on mustard. Int J Stat Appl Math. </w:t>
      </w:r>
      <w:proofErr w:type="gramStart"/>
      <w:r w:rsidRPr="009C4193">
        <w:t>2023;8:587</w:t>
      </w:r>
      <w:proofErr w:type="gramEnd"/>
      <w:r w:rsidRPr="009C4193">
        <w:t>-90.</w:t>
      </w:r>
    </w:p>
    <w:p w14:paraId="56A23961" w14:textId="77777777" w:rsidR="00977058" w:rsidRPr="009C4193" w:rsidRDefault="0056669F">
      <w:pPr>
        <w:pStyle w:val="NormalWeb"/>
        <w:numPr>
          <w:ilvl w:val="0"/>
          <w:numId w:val="1"/>
        </w:numPr>
        <w:spacing w:line="480" w:lineRule="auto"/>
      </w:pPr>
      <w:r w:rsidRPr="009C4193">
        <w:t xml:space="preserve">Kumar A, Shekhar S, Paul A, </w:t>
      </w:r>
      <w:proofErr w:type="spellStart"/>
      <w:r w:rsidRPr="009C4193">
        <w:t>Mailapalli</w:t>
      </w:r>
      <w:proofErr w:type="spellEnd"/>
      <w:r w:rsidRPr="009C4193">
        <w:t xml:space="preserve"> DR. Measurements and comparison of saturated hydraulic conductivity under different </w:t>
      </w:r>
      <w:proofErr w:type="spellStart"/>
      <w:r w:rsidRPr="009C4193">
        <w:t>landuses</w:t>
      </w:r>
      <w:proofErr w:type="spellEnd"/>
      <w:r w:rsidRPr="009C4193">
        <w:t>. J Inst Eng India Ser A. 2022;103(2):509-18.</w:t>
      </w:r>
    </w:p>
    <w:p w14:paraId="1FCB52B4" w14:textId="77777777" w:rsidR="00977058" w:rsidRPr="009C4193" w:rsidRDefault="0056669F">
      <w:pPr>
        <w:pStyle w:val="NormalWeb"/>
        <w:numPr>
          <w:ilvl w:val="0"/>
          <w:numId w:val="1"/>
        </w:numPr>
        <w:spacing w:line="480" w:lineRule="auto"/>
      </w:pPr>
      <w:r w:rsidRPr="009C4193">
        <w:t>Verma S, Singh R. Effects of chemical fertilizers on soil health and crop productivity. Soil Sci Today. 2016;10(1):44-9.</w:t>
      </w:r>
    </w:p>
    <w:p w14:paraId="7640172B" w14:textId="77777777" w:rsidR="00977058" w:rsidRPr="009C4193" w:rsidRDefault="0056669F">
      <w:pPr>
        <w:pStyle w:val="NormalWeb"/>
        <w:numPr>
          <w:ilvl w:val="0"/>
          <w:numId w:val="1"/>
        </w:numPr>
        <w:spacing w:line="480" w:lineRule="auto"/>
      </w:pPr>
      <w:r w:rsidRPr="009C4193">
        <w:t>Bose TK, Som MG, Kabir J. Vegetable crops. Vol. 1. Kolkata: Naya Prokash; 2001.</w:t>
      </w:r>
    </w:p>
    <w:p w14:paraId="06F5E17F" w14:textId="77777777" w:rsidR="00977058" w:rsidRPr="009C4193" w:rsidRDefault="0056669F">
      <w:pPr>
        <w:pStyle w:val="NormalWeb"/>
        <w:numPr>
          <w:ilvl w:val="0"/>
          <w:numId w:val="1"/>
        </w:numPr>
        <w:spacing w:line="480" w:lineRule="auto"/>
      </w:pPr>
      <w:r w:rsidRPr="009C4193">
        <w:t>Edwards CA, Burrows I. The potential of earthworm composts as plant growth media. In: Edwards CA, Neuhauser EF, editors. Earthworms in waste and environmental management. The Netherlands: SPB Academic Publishing; 1988. p. 211-20.</w:t>
      </w:r>
    </w:p>
    <w:p w14:paraId="3AD45368" w14:textId="689EDA5E" w:rsidR="00977058" w:rsidRPr="009C4193" w:rsidRDefault="0056669F">
      <w:pPr>
        <w:pStyle w:val="NormalWeb"/>
        <w:numPr>
          <w:ilvl w:val="0"/>
          <w:numId w:val="1"/>
        </w:numPr>
        <w:spacing w:line="480" w:lineRule="auto"/>
      </w:pPr>
      <w:r w:rsidRPr="009C4193">
        <w:t>Choudhary MR. Organic manures and their role in sustainable agriculture. Journal/source not provided]; 2006.</w:t>
      </w:r>
    </w:p>
    <w:p w14:paraId="3B910DCD" w14:textId="77777777" w:rsidR="00977058" w:rsidRPr="009C4193" w:rsidRDefault="0056669F">
      <w:pPr>
        <w:pStyle w:val="NormalWeb"/>
        <w:numPr>
          <w:ilvl w:val="0"/>
          <w:numId w:val="1"/>
        </w:numPr>
        <w:spacing w:line="480" w:lineRule="auto"/>
      </w:pPr>
      <w:r w:rsidRPr="009C4193">
        <w:t>Jose AI, John KS, Varghese JC. Poultry manure as a source of plant nutrients. Kerala Agric Univ J. 1988.</w:t>
      </w:r>
    </w:p>
    <w:p w14:paraId="2D65973B" w14:textId="77777777" w:rsidR="00977058" w:rsidRPr="009C4193" w:rsidRDefault="0056669F">
      <w:pPr>
        <w:pStyle w:val="NormalWeb"/>
        <w:numPr>
          <w:ilvl w:val="0"/>
          <w:numId w:val="1"/>
        </w:numPr>
        <w:spacing w:line="480" w:lineRule="auto"/>
      </w:pPr>
      <w:proofErr w:type="spellStart"/>
      <w:r w:rsidRPr="009C4193">
        <w:lastRenderedPageBreak/>
        <w:t>Abusaleha</w:t>
      </w:r>
      <w:proofErr w:type="spellEnd"/>
      <w:r w:rsidRPr="009C4193">
        <w:t xml:space="preserve">. Effect of organic manures on nutrient uptake in vegetables. Egypt J Soil Sci. </w:t>
      </w:r>
      <w:proofErr w:type="gramStart"/>
      <w:r w:rsidRPr="009C4193">
        <w:t>1992;32:249</w:t>
      </w:r>
      <w:proofErr w:type="gramEnd"/>
      <w:r w:rsidRPr="009C4193">
        <w:t>-63.</w:t>
      </w:r>
    </w:p>
    <w:p w14:paraId="1DECC3C0" w14:textId="77777777" w:rsidR="00977058" w:rsidRPr="009C4193" w:rsidRDefault="0056669F">
      <w:pPr>
        <w:pStyle w:val="NormalWeb"/>
        <w:numPr>
          <w:ilvl w:val="0"/>
          <w:numId w:val="1"/>
        </w:numPr>
        <w:spacing w:line="480" w:lineRule="auto"/>
      </w:pPr>
      <w:proofErr w:type="spellStart"/>
      <w:r w:rsidRPr="009C4193">
        <w:t>Mohondas</w:t>
      </w:r>
      <w:proofErr w:type="spellEnd"/>
      <w:r w:rsidRPr="009C4193">
        <w:t xml:space="preserve"> S. Role of biofertilizers in agriculture. Popular </w:t>
      </w:r>
      <w:proofErr w:type="spellStart"/>
      <w:r w:rsidRPr="009C4193">
        <w:t>Kheti</w:t>
      </w:r>
      <w:proofErr w:type="spellEnd"/>
      <w:r w:rsidRPr="009C4193">
        <w:t>. 1999;5(5).</w:t>
      </w:r>
    </w:p>
    <w:p w14:paraId="79D71178" w14:textId="77777777" w:rsidR="00977058" w:rsidRPr="009C4193" w:rsidRDefault="0056669F">
      <w:pPr>
        <w:pStyle w:val="NormalWeb"/>
        <w:numPr>
          <w:ilvl w:val="0"/>
          <w:numId w:val="1"/>
        </w:numPr>
        <w:spacing w:line="480" w:lineRule="auto"/>
      </w:pPr>
      <w:r w:rsidRPr="009C4193">
        <w:t>Tilak KVBR, Annapurna K. Role of phosphate solubilizing bacteria in crop production. Fert News. 1993;38(4):15-20.</w:t>
      </w:r>
    </w:p>
    <w:p w14:paraId="7522E916" w14:textId="77777777" w:rsidR="00977058" w:rsidRPr="009C4193" w:rsidRDefault="0056669F">
      <w:pPr>
        <w:pStyle w:val="NormalWeb"/>
        <w:numPr>
          <w:ilvl w:val="0"/>
          <w:numId w:val="1"/>
        </w:numPr>
        <w:spacing w:line="480" w:lineRule="auto"/>
      </w:pPr>
      <w:r w:rsidRPr="009C4193">
        <w:t xml:space="preserve">Choudhary MR, Meena NL, Singh R. Effect of integrated nutrient management on growth, yield and quality of onion. Indian J </w:t>
      </w:r>
      <w:proofErr w:type="spellStart"/>
      <w:r w:rsidRPr="009C4193">
        <w:t>Hortic</w:t>
      </w:r>
      <w:proofErr w:type="spellEnd"/>
      <w:r w:rsidRPr="009C4193">
        <w:t>. 2014;71(2):287-90.</w:t>
      </w:r>
    </w:p>
    <w:p w14:paraId="1F514B1B" w14:textId="77777777" w:rsidR="00977058" w:rsidRPr="009C4193" w:rsidRDefault="0056669F">
      <w:pPr>
        <w:pStyle w:val="NormalWeb"/>
        <w:numPr>
          <w:ilvl w:val="0"/>
          <w:numId w:val="1"/>
        </w:numPr>
        <w:spacing w:line="480" w:lineRule="auto"/>
      </w:pPr>
      <w:r w:rsidRPr="009C4193">
        <w:t xml:space="preserve">Yadav P, Kumar R. Role of biofertilizers in improving onion yield under different </w:t>
      </w:r>
      <w:proofErr w:type="spellStart"/>
      <w:r w:rsidRPr="009C4193">
        <w:t>agro</w:t>
      </w:r>
      <w:proofErr w:type="spellEnd"/>
      <w:r w:rsidRPr="009C4193">
        <w:t xml:space="preserve">-climatic zones. </w:t>
      </w:r>
      <w:proofErr w:type="spellStart"/>
      <w:r w:rsidRPr="009C4193">
        <w:t>Hortic</w:t>
      </w:r>
      <w:proofErr w:type="spellEnd"/>
      <w:r w:rsidRPr="009C4193">
        <w:t xml:space="preserve"> J. 2020;33(4):286-92.</w:t>
      </w:r>
    </w:p>
    <w:p w14:paraId="70E3DEE7" w14:textId="77777777" w:rsidR="00977058" w:rsidRPr="009C4193" w:rsidRDefault="0056669F">
      <w:pPr>
        <w:pStyle w:val="NormalWeb"/>
        <w:numPr>
          <w:ilvl w:val="0"/>
          <w:numId w:val="1"/>
        </w:numPr>
        <w:spacing w:line="480" w:lineRule="auto"/>
      </w:pPr>
      <w:r w:rsidRPr="009C4193">
        <w:t>Sharma P, Sood P, Kumar S. Effect of integrated nutrient management on growth and yield of onion (</w:t>
      </w:r>
      <w:r w:rsidRPr="009C4193">
        <w:rPr>
          <w:i/>
          <w:iCs/>
        </w:rPr>
        <w:t>Allium cepa</w:t>
      </w:r>
      <w:r w:rsidRPr="009C4193">
        <w:t xml:space="preserve"> L.) under high hill dry temperate zone of Himachal Pradesh. Bioscan. 2015;10(2):613-6.</w:t>
      </w:r>
    </w:p>
    <w:p w14:paraId="01867D9E" w14:textId="106DA02E" w:rsidR="009C4193" w:rsidRPr="009C4193" w:rsidRDefault="0056669F" w:rsidP="009C4193">
      <w:pPr>
        <w:pStyle w:val="NormalWeb"/>
        <w:numPr>
          <w:ilvl w:val="0"/>
          <w:numId w:val="1"/>
        </w:numPr>
        <w:spacing w:line="480" w:lineRule="auto"/>
      </w:pPr>
      <w:r w:rsidRPr="009C4193">
        <w:t xml:space="preserve"> </w:t>
      </w:r>
      <w:r w:rsidR="009C4193" w:rsidRPr="009C4193">
        <w:t xml:space="preserve">Prajapati, J., </w:t>
      </w:r>
      <w:proofErr w:type="spellStart"/>
      <w:r w:rsidR="009C4193" w:rsidRPr="009C4193">
        <w:t>Babanjeet</w:t>
      </w:r>
      <w:proofErr w:type="spellEnd"/>
      <w:r w:rsidR="009C4193" w:rsidRPr="009C4193">
        <w:t xml:space="preserve">, Kumar, S., Kumar, V. and Kumar, P. Role of Organic Mulching in Vegetable Crops. </w:t>
      </w:r>
      <w:r w:rsidR="009C4193" w:rsidRPr="009C4193">
        <w:rPr>
          <w:i/>
        </w:rPr>
        <w:t xml:space="preserve">Farm Chronicle, </w:t>
      </w:r>
      <w:r w:rsidR="009C4193" w:rsidRPr="009C4193">
        <w:t>2024; 03(04), 21-26.</w:t>
      </w:r>
    </w:p>
    <w:p w14:paraId="5FCE3AF7" w14:textId="77777777" w:rsidR="00977058" w:rsidRPr="009C4193" w:rsidRDefault="0056669F">
      <w:pPr>
        <w:pStyle w:val="NormalWeb"/>
        <w:numPr>
          <w:ilvl w:val="0"/>
          <w:numId w:val="1"/>
        </w:numPr>
        <w:spacing w:line="480" w:lineRule="auto"/>
      </w:pPr>
      <w:r w:rsidRPr="009C4193">
        <w:t>Singh AK, Verma RK, Jaiswal DK. Enhancing nutrient use efficiency through INM in vegetable crops. J Environ Biol. 2017;38(6):1277-82.</w:t>
      </w:r>
    </w:p>
    <w:p w14:paraId="143F2B69" w14:textId="77777777" w:rsidR="00977058" w:rsidRPr="009C4193" w:rsidRDefault="0056669F">
      <w:pPr>
        <w:pStyle w:val="NormalWeb"/>
        <w:numPr>
          <w:ilvl w:val="0"/>
          <w:numId w:val="1"/>
        </w:numPr>
        <w:spacing w:line="480" w:lineRule="auto"/>
      </w:pPr>
      <w:r w:rsidRPr="009C4193">
        <w:t>Patel RH, Shah JJ, Parmar MA. Role of PSB in phosphorus nutrition of crops. Agric Rev. 2016;37(2):142-6.</w:t>
      </w:r>
    </w:p>
    <w:p w14:paraId="3B0D66A4" w14:textId="77777777" w:rsidR="00977058" w:rsidRPr="009C4193" w:rsidRDefault="0056669F">
      <w:pPr>
        <w:pStyle w:val="NormalWeb"/>
        <w:numPr>
          <w:ilvl w:val="0"/>
          <w:numId w:val="1"/>
        </w:numPr>
        <w:spacing w:line="480" w:lineRule="auto"/>
      </w:pPr>
      <w:r w:rsidRPr="009C4193">
        <w:t xml:space="preserve">Mishra PK, Singh UK, Singh M. Performance of phosphate solubilizing bacteria on phosphorus availability and onion productivity in calcareous soil. J Soil Water </w:t>
      </w:r>
      <w:proofErr w:type="spellStart"/>
      <w:r w:rsidRPr="009C4193">
        <w:t>Conserv</w:t>
      </w:r>
      <w:proofErr w:type="spellEnd"/>
      <w:r w:rsidRPr="009C4193">
        <w:t>. 2019;18(1):60-5.</w:t>
      </w:r>
    </w:p>
    <w:p w14:paraId="2125B103" w14:textId="77777777" w:rsidR="00977058" w:rsidRPr="009C4193" w:rsidRDefault="0056669F">
      <w:pPr>
        <w:pStyle w:val="NormalWeb"/>
        <w:numPr>
          <w:ilvl w:val="0"/>
          <w:numId w:val="1"/>
        </w:numPr>
        <w:spacing w:line="480" w:lineRule="auto"/>
      </w:pPr>
      <w:r w:rsidRPr="009C4193">
        <w:t xml:space="preserve">Meena RS, Yadav RK, </w:t>
      </w:r>
      <w:proofErr w:type="spellStart"/>
      <w:r w:rsidRPr="009C4193">
        <w:t>Narjary</w:t>
      </w:r>
      <w:proofErr w:type="spellEnd"/>
      <w:r w:rsidRPr="009C4193">
        <w:t xml:space="preserve"> B. Biofertilizers in sustainable agriculture. Int J Chem Stud. 2019;7(3):101-8.</w:t>
      </w:r>
    </w:p>
    <w:p w14:paraId="7E370026" w14:textId="77777777" w:rsidR="00977058" w:rsidRPr="009C4193" w:rsidRDefault="0056669F">
      <w:pPr>
        <w:pStyle w:val="NormalWeb"/>
        <w:numPr>
          <w:ilvl w:val="0"/>
          <w:numId w:val="1"/>
        </w:numPr>
        <w:spacing w:line="480" w:lineRule="auto"/>
      </w:pPr>
      <w:r w:rsidRPr="009C4193">
        <w:t>Kumar V, Singh N, Verma R. Integrated nutrient management in onion: effects on growth and yield. Int J Agric Sci. 2017;9(12):3093-6.</w:t>
      </w:r>
    </w:p>
    <w:p w14:paraId="7E6E62AD" w14:textId="77777777" w:rsidR="00977058" w:rsidRPr="009C4193" w:rsidRDefault="0056669F">
      <w:pPr>
        <w:pStyle w:val="NormalWeb"/>
        <w:numPr>
          <w:ilvl w:val="0"/>
          <w:numId w:val="1"/>
        </w:numPr>
        <w:spacing w:line="480" w:lineRule="auto"/>
      </w:pPr>
      <w:r w:rsidRPr="009C4193">
        <w:lastRenderedPageBreak/>
        <w:t>Singh K, Singh S. Biofertilizers: a sustainable approach for nutrient management. Curr Agric Res J. 2018;6(1):17-24.</w:t>
      </w:r>
    </w:p>
    <w:p w14:paraId="0E48AD36" w14:textId="77777777" w:rsidR="00977058" w:rsidRPr="009C4193" w:rsidRDefault="0056669F">
      <w:pPr>
        <w:pStyle w:val="NormalWeb"/>
        <w:numPr>
          <w:ilvl w:val="0"/>
          <w:numId w:val="1"/>
        </w:numPr>
        <w:spacing w:line="480" w:lineRule="auto"/>
      </w:pPr>
      <w:r w:rsidRPr="009C4193">
        <w:t>Ramesh K, Singh M, Meena R. Effect of vermicompost on soil microbial activity and plant growth. J Org Syst. 2016;11(1):36-44.</w:t>
      </w:r>
    </w:p>
    <w:p w14:paraId="083A4ABE" w14:textId="77777777" w:rsidR="00977058" w:rsidRPr="009C4193" w:rsidRDefault="0056669F">
      <w:pPr>
        <w:pStyle w:val="NormalWeb"/>
        <w:numPr>
          <w:ilvl w:val="0"/>
          <w:numId w:val="1"/>
        </w:numPr>
        <w:spacing w:line="480" w:lineRule="auto"/>
      </w:pPr>
      <w:r w:rsidRPr="009C4193">
        <w:t xml:space="preserve">Prasad S, Kumar R, Singh N. Influence of biofertilizers on fresh biomass and nutrient uptake in onion. Veg Crops Res Bull. </w:t>
      </w:r>
      <w:proofErr w:type="gramStart"/>
      <w:r w:rsidRPr="009C4193">
        <w:t>2020;93:34</w:t>
      </w:r>
      <w:proofErr w:type="gramEnd"/>
      <w:r w:rsidRPr="009C4193">
        <w:t>-41.</w:t>
      </w:r>
    </w:p>
    <w:p w14:paraId="08A8629D" w14:textId="77777777" w:rsidR="00977058" w:rsidRPr="009C4193" w:rsidRDefault="0056669F">
      <w:pPr>
        <w:pStyle w:val="NormalWeb"/>
        <w:numPr>
          <w:ilvl w:val="0"/>
          <w:numId w:val="1"/>
        </w:numPr>
        <w:spacing w:line="480" w:lineRule="auto"/>
      </w:pPr>
      <w:r w:rsidRPr="009C4193">
        <w:t>Patil MS, Kulkarni SA, Goud VV. Influence of organic manures on microbial population and nutrient uptake in onion. Int J Agric Sci. 2015;11(1):18-24.</w:t>
      </w:r>
    </w:p>
    <w:p w14:paraId="748D456B" w14:textId="77777777" w:rsidR="00977058" w:rsidRPr="009C4193" w:rsidRDefault="0056669F">
      <w:pPr>
        <w:pStyle w:val="NormalWeb"/>
        <w:numPr>
          <w:ilvl w:val="0"/>
          <w:numId w:val="1"/>
        </w:numPr>
        <w:spacing w:line="480" w:lineRule="auto"/>
      </w:pPr>
      <w:r w:rsidRPr="009C4193">
        <w:t>Sharma D, Verma R. Role of organic manures on plant growth and yield. Int J Plant Sci. 2018;13(2):96-102.</w:t>
      </w:r>
    </w:p>
    <w:p w14:paraId="08D32D64" w14:textId="77777777" w:rsidR="00977058" w:rsidRPr="009C4193" w:rsidRDefault="0056669F">
      <w:pPr>
        <w:pStyle w:val="NormalWeb"/>
        <w:numPr>
          <w:ilvl w:val="0"/>
          <w:numId w:val="1"/>
        </w:numPr>
        <w:spacing w:line="480" w:lineRule="auto"/>
      </w:pPr>
      <w:r w:rsidRPr="009C4193">
        <w:t xml:space="preserve">Mehta P, Sharma N, Verma K. Role of organic amendments and biofertilizers on dry matter production of vegetable crops. J Plant </w:t>
      </w:r>
      <w:proofErr w:type="spellStart"/>
      <w:r w:rsidRPr="009C4193">
        <w:t>Nutr</w:t>
      </w:r>
      <w:proofErr w:type="spellEnd"/>
      <w:r w:rsidRPr="009C4193">
        <w:t xml:space="preserve"> Soil Sci. 2019;182(1):34-41.</w:t>
      </w:r>
    </w:p>
    <w:p w14:paraId="0AD6F5FB" w14:textId="77777777" w:rsidR="00977058" w:rsidRPr="009C4193" w:rsidRDefault="0056669F">
      <w:pPr>
        <w:pStyle w:val="NormalWeb"/>
        <w:numPr>
          <w:ilvl w:val="0"/>
          <w:numId w:val="1"/>
        </w:numPr>
        <w:spacing w:line="480" w:lineRule="auto"/>
      </w:pPr>
      <w:r w:rsidRPr="009C4193">
        <w:t>Jha SK, Singh VK, Yadav RK. Impact of vermicompost and chemical fertilizers on dry matter accumulation in vegetable crops. J Soil Crop Sci. 2017;7(3):187-92.</w:t>
      </w:r>
    </w:p>
    <w:p w14:paraId="1FADC353" w14:textId="77777777" w:rsidR="00977058" w:rsidRPr="009C4193" w:rsidRDefault="0056669F">
      <w:pPr>
        <w:pStyle w:val="NormalWeb"/>
        <w:numPr>
          <w:ilvl w:val="0"/>
          <w:numId w:val="1"/>
        </w:numPr>
        <w:spacing w:line="480" w:lineRule="auto"/>
      </w:pPr>
      <w:r w:rsidRPr="009C4193">
        <w:t>Sharma S, Meena SS, Jat ML. Phosphorus solubilizing bacteria and plant nutrient uptake. Indian J Microbiol. 2016;56(4):467-74.</w:t>
      </w:r>
    </w:p>
    <w:p w14:paraId="0E4578CD" w14:textId="77777777" w:rsidR="00977058" w:rsidRPr="009C4193" w:rsidRDefault="0056669F">
      <w:pPr>
        <w:pStyle w:val="NormalWeb"/>
        <w:numPr>
          <w:ilvl w:val="0"/>
          <w:numId w:val="1"/>
        </w:numPr>
        <w:spacing w:line="480" w:lineRule="auto"/>
      </w:pPr>
      <w:r w:rsidRPr="009C4193">
        <w:t xml:space="preserve">Dubey R, Mahajan R. Phosphorus solubilizing bacteria: role in nutrient management. Int J </w:t>
      </w:r>
      <w:proofErr w:type="spellStart"/>
      <w:r w:rsidRPr="009C4193">
        <w:t>Curr</w:t>
      </w:r>
      <w:proofErr w:type="spellEnd"/>
      <w:r w:rsidRPr="009C4193">
        <w:t xml:space="preserve"> Microbiol Appl Sci. 2017;6(7):2232-9.</w:t>
      </w:r>
    </w:p>
    <w:p w14:paraId="0F2217BF" w14:textId="77777777" w:rsidR="00977058" w:rsidRPr="009C4193" w:rsidRDefault="0056669F">
      <w:pPr>
        <w:pStyle w:val="NormalWeb"/>
        <w:numPr>
          <w:ilvl w:val="0"/>
          <w:numId w:val="1"/>
        </w:numPr>
        <w:spacing w:line="480" w:lineRule="auto"/>
      </w:pPr>
      <w:r w:rsidRPr="009C4193">
        <w:t xml:space="preserve">Rani R, Sharma K, Kumar S. Enhancing dry matter accumulation through integrated nutrient management in vegetable crops. Indian J </w:t>
      </w:r>
      <w:proofErr w:type="spellStart"/>
      <w:r w:rsidRPr="009C4193">
        <w:t>Hortic</w:t>
      </w:r>
      <w:proofErr w:type="spellEnd"/>
      <w:r w:rsidRPr="009C4193">
        <w:t>. 2017;74(1):12-9.</w:t>
      </w:r>
    </w:p>
    <w:p w14:paraId="78E116EB" w14:textId="77777777" w:rsidR="00977058" w:rsidRPr="009C4193" w:rsidRDefault="0056669F">
      <w:pPr>
        <w:pStyle w:val="NormalWeb"/>
        <w:numPr>
          <w:ilvl w:val="0"/>
          <w:numId w:val="1"/>
        </w:numPr>
        <w:spacing w:line="480" w:lineRule="auto"/>
      </w:pPr>
      <w:r w:rsidRPr="009C4193">
        <w:t xml:space="preserve">Chauhan DS, Singh A, Kumar P. Influence of organic manures and biofertilizers on nutrient uptake and growth of onion. J Plant </w:t>
      </w:r>
      <w:proofErr w:type="spellStart"/>
      <w:r w:rsidRPr="009C4193">
        <w:t>Nutr</w:t>
      </w:r>
      <w:proofErr w:type="spellEnd"/>
      <w:r w:rsidRPr="009C4193">
        <w:t>. 2018;41(2):234-44.</w:t>
      </w:r>
    </w:p>
    <w:p w14:paraId="068FA043" w14:textId="77777777" w:rsidR="00977058" w:rsidRPr="009C4193" w:rsidRDefault="0056669F">
      <w:pPr>
        <w:pStyle w:val="NormalWeb"/>
        <w:numPr>
          <w:ilvl w:val="0"/>
          <w:numId w:val="1"/>
        </w:numPr>
        <w:spacing w:line="480" w:lineRule="auto"/>
      </w:pPr>
      <w:r w:rsidRPr="009C4193">
        <w:t>Choudhary ML, Meena RK, Singh S. Effect of integrated nutrient management on growth and yield of onion under semi-arid conditions. Indian J Agric Sci. 2017;87(3):387-92.</w:t>
      </w:r>
    </w:p>
    <w:p w14:paraId="32EB1849" w14:textId="77777777" w:rsidR="00977058" w:rsidRPr="009C4193" w:rsidRDefault="0056669F">
      <w:pPr>
        <w:pStyle w:val="NormalWeb"/>
        <w:numPr>
          <w:ilvl w:val="0"/>
          <w:numId w:val="1"/>
        </w:numPr>
        <w:spacing w:line="480" w:lineRule="auto"/>
      </w:pPr>
      <w:r w:rsidRPr="009C4193">
        <w:lastRenderedPageBreak/>
        <w:t xml:space="preserve">Meena RK, Singh D, Kumar A. Effect of nutrient management on physiological traits and yield of onion. Int J </w:t>
      </w:r>
      <w:proofErr w:type="spellStart"/>
      <w:r w:rsidRPr="009C4193">
        <w:t>Curr</w:t>
      </w:r>
      <w:proofErr w:type="spellEnd"/>
      <w:r w:rsidRPr="009C4193">
        <w:t xml:space="preserve"> Microbiol Appl Sci. 2018;7(10):2617-24.</w:t>
      </w:r>
    </w:p>
    <w:p w14:paraId="3248B70A" w14:textId="77777777" w:rsidR="00977058" w:rsidRPr="009C4193" w:rsidRDefault="0056669F">
      <w:pPr>
        <w:pStyle w:val="NormalWeb"/>
        <w:numPr>
          <w:ilvl w:val="0"/>
          <w:numId w:val="1"/>
        </w:numPr>
        <w:spacing w:line="480" w:lineRule="auto"/>
      </w:pPr>
      <w:r w:rsidRPr="009C4193">
        <w:t>Joshi R, Sharma S. Effect of biofertilizers on growth and yield of onion. Ann Agric Sci. 2016;61(2):243-9.</w:t>
      </w:r>
    </w:p>
    <w:p w14:paraId="59D3CD4D" w14:textId="77777777" w:rsidR="00977058" w:rsidRPr="009C4193" w:rsidRDefault="0056669F">
      <w:pPr>
        <w:pStyle w:val="NormalWeb"/>
        <w:numPr>
          <w:ilvl w:val="0"/>
          <w:numId w:val="1"/>
        </w:numPr>
        <w:spacing w:line="480" w:lineRule="auto"/>
      </w:pPr>
      <w:r w:rsidRPr="009C4193">
        <w:t>Patel D, Sharma A. Biofertilizers and their impact on plant dry matter content. Agric Res. 2019;8(3):252-9.</w:t>
      </w:r>
    </w:p>
    <w:p w14:paraId="240CFFDB" w14:textId="77777777" w:rsidR="00977058" w:rsidRPr="009C4193" w:rsidRDefault="0056669F">
      <w:pPr>
        <w:pStyle w:val="NormalWeb"/>
        <w:numPr>
          <w:ilvl w:val="0"/>
          <w:numId w:val="1"/>
        </w:numPr>
        <w:spacing w:line="480" w:lineRule="auto"/>
      </w:pPr>
      <w:r w:rsidRPr="009C4193">
        <w:t xml:space="preserve">Kumar R, Singh AK, Devi S. Integrated nutrient management: a key to sustainable onion production. J </w:t>
      </w:r>
      <w:proofErr w:type="spellStart"/>
      <w:r w:rsidRPr="009C4193">
        <w:t>Hortic</w:t>
      </w:r>
      <w:proofErr w:type="spellEnd"/>
      <w:r w:rsidRPr="009C4193">
        <w:t xml:space="preserve"> Res. 2020;28(2):105-12.</w:t>
      </w:r>
    </w:p>
    <w:p w14:paraId="76F48AE7" w14:textId="77777777" w:rsidR="00977058" w:rsidRPr="009C4193" w:rsidRDefault="0056669F">
      <w:pPr>
        <w:pStyle w:val="NormalWeb"/>
        <w:numPr>
          <w:ilvl w:val="0"/>
          <w:numId w:val="1"/>
        </w:numPr>
        <w:spacing w:line="480" w:lineRule="auto"/>
      </w:pPr>
      <w:r w:rsidRPr="009C4193">
        <w:t xml:space="preserve">Reddy BV, Kumar S, Reddy MP. Role of organic amendments in soil microbial diversity and plant growth. Soil Biol </w:t>
      </w:r>
      <w:proofErr w:type="spellStart"/>
      <w:r w:rsidRPr="009C4193">
        <w:t>Biochem</w:t>
      </w:r>
      <w:proofErr w:type="spellEnd"/>
      <w:r w:rsidRPr="009C4193">
        <w:t xml:space="preserve">. </w:t>
      </w:r>
      <w:proofErr w:type="gramStart"/>
      <w:r w:rsidRPr="009C4193">
        <w:t>2019;135:150</w:t>
      </w:r>
      <w:proofErr w:type="gramEnd"/>
      <w:r w:rsidRPr="009C4193">
        <w:t>-8.</w:t>
      </w:r>
    </w:p>
    <w:p w14:paraId="48D4045B" w14:textId="77777777" w:rsidR="00977058" w:rsidRPr="009C4193" w:rsidRDefault="0056669F">
      <w:pPr>
        <w:pStyle w:val="NormalWeb"/>
        <w:numPr>
          <w:ilvl w:val="0"/>
          <w:numId w:val="1"/>
        </w:numPr>
        <w:spacing w:line="480" w:lineRule="auto"/>
      </w:pPr>
      <w:r w:rsidRPr="009C4193">
        <w:t xml:space="preserve">Mishra B, Singh R. Soil microbial diversity and plant growth under integrated nutrient management. </w:t>
      </w:r>
      <w:proofErr w:type="spellStart"/>
      <w:r w:rsidRPr="009C4193">
        <w:t>Curr</w:t>
      </w:r>
      <w:proofErr w:type="spellEnd"/>
      <w:r w:rsidRPr="009C4193">
        <w:t xml:space="preserve"> Microbiol. 2018;75(4):479-86.</w:t>
      </w:r>
    </w:p>
    <w:p w14:paraId="42924223" w14:textId="77777777" w:rsidR="00977058" w:rsidRPr="009C4193" w:rsidRDefault="0056669F">
      <w:pPr>
        <w:pStyle w:val="NormalWeb"/>
        <w:numPr>
          <w:ilvl w:val="0"/>
          <w:numId w:val="1"/>
        </w:numPr>
        <w:spacing w:line="480" w:lineRule="auto"/>
      </w:pPr>
      <w:r w:rsidRPr="009C4193">
        <w:t>Rathore S, Sharma RP, Kumar V. Effect of integrated nutrient management on growth and yield of onion (</w:t>
      </w:r>
      <w:r w:rsidRPr="009C4193">
        <w:rPr>
          <w:i/>
          <w:iCs/>
        </w:rPr>
        <w:t>Allium cepa</w:t>
      </w:r>
      <w:r w:rsidRPr="009C4193">
        <w:t xml:space="preserve"> L.) in semi-arid region. J </w:t>
      </w:r>
      <w:proofErr w:type="spellStart"/>
      <w:r w:rsidRPr="009C4193">
        <w:t>Pharmacogn</w:t>
      </w:r>
      <w:proofErr w:type="spellEnd"/>
      <w:r w:rsidRPr="009C4193">
        <w:t xml:space="preserve"> </w:t>
      </w:r>
      <w:proofErr w:type="spellStart"/>
      <w:r w:rsidRPr="009C4193">
        <w:t>Phytochem</w:t>
      </w:r>
      <w:proofErr w:type="spellEnd"/>
      <w:r w:rsidRPr="009C4193">
        <w:t>. 2020;9(3):1899-902.</w:t>
      </w:r>
    </w:p>
    <w:p w14:paraId="3822A45D" w14:textId="77777777" w:rsidR="00977058" w:rsidRPr="009C4193" w:rsidRDefault="0056669F">
      <w:pPr>
        <w:pStyle w:val="NormalWeb"/>
        <w:numPr>
          <w:ilvl w:val="0"/>
          <w:numId w:val="1"/>
        </w:numPr>
        <w:spacing w:line="480" w:lineRule="auto"/>
      </w:pPr>
      <w:r w:rsidRPr="009C4193">
        <w:t>Deshmukh KK, Wagh PR, Shelke DK. Influence of organic and inorganic nutrient sources on growth and yield of onion. Int J Chem Stud. 2021;9(1):314-8.</w:t>
      </w:r>
    </w:p>
    <w:p w14:paraId="0104082A" w14:textId="77777777" w:rsidR="00977058" w:rsidRPr="009C4193" w:rsidRDefault="0056669F">
      <w:pPr>
        <w:pStyle w:val="NormalWeb"/>
        <w:numPr>
          <w:ilvl w:val="0"/>
          <w:numId w:val="1"/>
        </w:numPr>
        <w:spacing w:line="480" w:lineRule="auto"/>
      </w:pPr>
      <w:r w:rsidRPr="009C4193">
        <w:t>Meena RK, Choudhary MR, Meena BL. Effect of biofertilizers and organic manures on growth and yield parameters of onion (</w:t>
      </w:r>
      <w:r w:rsidRPr="009C4193">
        <w:rPr>
          <w:i/>
          <w:iCs/>
        </w:rPr>
        <w:t>Allium cepa</w:t>
      </w:r>
      <w:r w:rsidRPr="009C4193">
        <w:t xml:space="preserve"> L.). Int J </w:t>
      </w:r>
      <w:proofErr w:type="spellStart"/>
      <w:r w:rsidRPr="009C4193">
        <w:t>Curr</w:t>
      </w:r>
      <w:proofErr w:type="spellEnd"/>
      <w:r w:rsidRPr="009C4193">
        <w:t xml:space="preserve"> Microbiol Appl Sci. 2022;11(2):775-82.</w:t>
      </w:r>
    </w:p>
    <w:p w14:paraId="311654E7" w14:textId="77777777" w:rsidR="00977058" w:rsidRPr="009C4193" w:rsidRDefault="0056669F">
      <w:pPr>
        <w:pStyle w:val="NormalWeb"/>
        <w:numPr>
          <w:ilvl w:val="0"/>
          <w:numId w:val="1"/>
        </w:numPr>
        <w:spacing w:line="480" w:lineRule="auto"/>
      </w:pPr>
      <w:r w:rsidRPr="009C4193">
        <w:t>Patel HM, Thakur R, Joshi M. Impact of integrated nutrient management on productivity and quality of onion (</w:t>
      </w:r>
      <w:r w:rsidRPr="009C4193">
        <w:rPr>
          <w:i/>
          <w:iCs/>
        </w:rPr>
        <w:t>Allium cepa</w:t>
      </w:r>
      <w:r w:rsidRPr="009C4193">
        <w:t xml:space="preserve"> L.). J Eco-Friendly Agric. 2023;18(1):101-6.</w:t>
      </w:r>
    </w:p>
    <w:p w14:paraId="4176600D" w14:textId="77777777" w:rsidR="00977058" w:rsidRPr="009C4193" w:rsidRDefault="0056669F">
      <w:pPr>
        <w:pStyle w:val="NormalWeb"/>
        <w:numPr>
          <w:ilvl w:val="0"/>
          <w:numId w:val="1"/>
        </w:numPr>
        <w:spacing w:line="480" w:lineRule="auto"/>
      </w:pPr>
      <w:r w:rsidRPr="009C4193">
        <w:t xml:space="preserve">Mahala P, Chaudhary MR, Garhwal OP. Effect of integrated nutrient management on growth and yield of rabi onion and its residual effect on succeeding okra crop. Indian J </w:t>
      </w:r>
      <w:proofErr w:type="spellStart"/>
      <w:r w:rsidRPr="009C4193">
        <w:t>Hortic</w:t>
      </w:r>
      <w:proofErr w:type="spellEnd"/>
      <w:r w:rsidRPr="009C4193">
        <w:t xml:space="preserve">. 2019;76(2):2414. </w:t>
      </w:r>
      <w:hyperlink r:id="rId40" w:tgtFrame="_new" w:history="1">
        <w:r w:rsidRPr="009C4193">
          <w:t>https://doi.org/10.5958/0974-0112.2019.00048.3</w:t>
        </w:r>
      </w:hyperlink>
    </w:p>
    <w:p w14:paraId="26D1E73F" w14:textId="77777777" w:rsidR="00977058" w:rsidRPr="009C4193" w:rsidRDefault="0056669F">
      <w:pPr>
        <w:pStyle w:val="NormalWeb"/>
        <w:numPr>
          <w:ilvl w:val="0"/>
          <w:numId w:val="1"/>
        </w:numPr>
        <w:spacing w:line="480" w:lineRule="auto"/>
      </w:pPr>
      <w:r w:rsidRPr="009C4193">
        <w:lastRenderedPageBreak/>
        <w:t>Singh J, Prakash S, Singh B, Kumar V, Kumar S, Singh G, Mohit. Influence of integrated nutrient management (INM) on bulb yield and profitability of onion (</w:t>
      </w:r>
      <w:r w:rsidRPr="009C4193">
        <w:rPr>
          <w:i/>
          <w:iCs/>
        </w:rPr>
        <w:t>Allium cepa</w:t>
      </w:r>
      <w:r w:rsidRPr="009C4193">
        <w:t xml:space="preserve"> L.) crop in Western Uttar Pradesh, India. Int J Plant Soil Sci. 2023;35(18):1158-62. </w:t>
      </w:r>
      <w:hyperlink r:id="rId41" w:tgtFrame="_new" w:history="1">
        <w:r w:rsidRPr="009C4193">
          <w:t>https://doi.org/10.9734/ijpss/2023/v35i183383</w:t>
        </w:r>
      </w:hyperlink>
    </w:p>
    <w:p w14:paraId="5F343F22" w14:textId="56C08BB7" w:rsidR="00CB7881" w:rsidRPr="009C4193" w:rsidRDefault="00CB7881">
      <w:pPr>
        <w:pStyle w:val="NormalWeb"/>
        <w:numPr>
          <w:ilvl w:val="0"/>
          <w:numId w:val="1"/>
        </w:numPr>
        <w:spacing w:line="480" w:lineRule="auto"/>
      </w:pPr>
      <w:r w:rsidRPr="009C4193">
        <w:t>Gaur, A. S., Prajapati, D., Kumar, A., Suman, A. S., Mishra, S., Sahu, S., &amp; Prajapati, J. Effect of phosphorus levels on nutrient availability, growth and yield of potato crop (</w:t>
      </w:r>
      <w:r w:rsidRPr="009C4193">
        <w:rPr>
          <w:i/>
          <w:iCs/>
        </w:rPr>
        <w:t>Solanum tuberosum</w:t>
      </w:r>
      <w:r w:rsidRPr="009C4193">
        <w:t xml:space="preserve"> L.). Annals of Plant and Soil Research, 2023;25(1), 139-144.</w:t>
      </w:r>
    </w:p>
    <w:p w14:paraId="704B535C" w14:textId="1AEF08E0" w:rsidR="00977058" w:rsidRPr="009C4193" w:rsidRDefault="0056669F">
      <w:pPr>
        <w:pStyle w:val="NormalWeb"/>
        <w:numPr>
          <w:ilvl w:val="0"/>
          <w:numId w:val="1"/>
        </w:numPr>
        <w:spacing w:line="480" w:lineRule="auto"/>
      </w:pPr>
      <w:r w:rsidRPr="009C4193">
        <w:t>Luitel S, Thapa R, Shrestha S. Integrated nutrient management in onion (</w:t>
      </w:r>
      <w:r w:rsidRPr="009C4193">
        <w:rPr>
          <w:i/>
          <w:iCs/>
        </w:rPr>
        <w:t xml:space="preserve">Allium cepa </w:t>
      </w:r>
      <w:r w:rsidRPr="009C4193">
        <w:t xml:space="preserve">L.): effects on yield and quality parameters. Int J Agron Agric Res. 2024;14(1):50-60. </w:t>
      </w:r>
      <w:hyperlink r:id="rId42" w:tgtFrame="_new" w:history="1">
        <w:r w:rsidRPr="009C4193">
          <w:t>https://doi.org/10.9734/ijaar/2024/v14i130155</w:t>
        </w:r>
      </w:hyperlink>
    </w:p>
    <w:p w14:paraId="2C28DE53" w14:textId="77777777" w:rsidR="00977058" w:rsidRPr="009C4193" w:rsidRDefault="0056669F">
      <w:pPr>
        <w:pStyle w:val="NormalWeb"/>
        <w:numPr>
          <w:ilvl w:val="0"/>
          <w:numId w:val="1"/>
        </w:numPr>
        <w:spacing w:line="480" w:lineRule="auto"/>
      </w:pPr>
      <w:r w:rsidRPr="009C4193">
        <w:t>Belem MA, Silva LD, Santos FA. Influence of organic manure on soil microbial activity and nutrient availability in vegetable production. J Agric Sci. 2020;12(3):145-55.</w:t>
      </w:r>
    </w:p>
    <w:p w14:paraId="150AAFD8" w14:textId="77777777" w:rsidR="00977058" w:rsidRPr="009C4193" w:rsidRDefault="0056669F">
      <w:pPr>
        <w:pStyle w:val="NormalWeb"/>
        <w:numPr>
          <w:ilvl w:val="0"/>
          <w:numId w:val="1"/>
        </w:numPr>
        <w:spacing w:line="480" w:lineRule="auto"/>
      </w:pPr>
      <w:r w:rsidRPr="009C4193">
        <w:t xml:space="preserve">Silva FM, Rodrigues DF, Almeida TA. Effects of vermicompost and biofertilizers on growth and nutrient uptake of vegetable crops. </w:t>
      </w:r>
      <w:proofErr w:type="spellStart"/>
      <w:r w:rsidRPr="009C4193">
        <w:t>Hortic</w:t>
      </w:r>
      <w:proofErr w:type="spellEnd"/>
      <w:r w:rsidRPr="009C4193">
        <w:t xml:space="preserve"> Sci. 2014;49(2):161-7. </w:t>
      </w:r>
      <w:hyperlink r:id="rId43" w:tgtFrame="_new" w:history="1">
        <w:r w:rsidRPr="009C4193">
          <w:t>https://doi.org/10.17221/154/2013-hortsci</w:t>
        </w:r>
      </w:hyperlink>
    </w:p>
    <w:p w14:paraId="1BAAC099" w14:textId="77777777" w:rsidR="00977058" w:rsidRPr="009C4193" w:rsidRDefault="0056669F">
      <w:pPr>
        <w:pStyle w:val="NormalWeb"/>
        <w:numPr>
          <w:ilvl w:val="0"/>
          <w:numId w:val="1"/>
        </w:numPr>
        <w:spacing w:line="480" w:lineRule="auto"/>
      </w:pPr>
      <w:r w:rsidRPr="009C4193">
        <w:t xml:space="preserve">Prasad S, et al. Effect of biofertilizers on nutrient uptake and yield of onion. J </w:t>
      </w:r>
      <w:proofErr w:type="spellStart"/>
      <w:r w:rsidRPr="009C4193">
        <w:t>Hortic</w:t>
      </w:r>
      <w:proofErr w:type="spellEnd"/>
      <w:r w:rsidRPr="009C4193">
        <w:t xml:space="preserve"> Sci. 2017;12(2):142-8.</w:t>
      </w:r>
    </w:p>
    <w:p w14:paraId="1609B719" w14:textId="77777777" w:rsidR="00977058" w:rsidRPr="009C4193" w:rsidRDefault="0056669F">
      <w:pPr>
        <w:pStyle w:val="NormalWeb"/>
        <w:numPr>
          <w:ilvl w:val="0"/>
          <w:numId w:val="1"/>
        </w:numPr>
        <w:spacing w:line="480" w:lineRule="auto"/>
      </w:pPr>
      <w:r w:rsidRPr="009C4193">
        <w:t>Kumar A, Singh S. Role of biofertilizers in onion production. Int J Bio-</w:t>
      </w:r>
      <w:proofErr w:type="spellStart"/>
      <w:r w:rsidRPr="009C4193">
        <w:t>resour</w:t>
      </w:r>
      <w:proofErr w:type="spellEnd"/>
      <w:r w:rsidRPr="009C4193">
        <w:t xml:space="preserve"> Stress </w:t>
      </w:r>
      <w:proofErr w:type="spellStart"/>
      <w:r w:rsidRPr="009C4193">
        <w:t>Manag</w:t>
      </w:r>
      <w:proofErr w:type="spellEnd"/>
      <w:r w:rsidRPr="009C4193">
        <w:t>. 2018;9(2):120-5.</w:t>
      </w:r>
    </w:p>
    <w:p w14:paraId="443763B8" w14:textId="77777777" w:rsidR="00977058" w:rsidRPr="009C4193" w:rsidRDefault="0056669F">
      <w:pPr>
        <w:pStyle w:val="NormalWeb"/>
        <w:numPr>
          <w:ilvl w:val="0"/>
          <w:numId w:val="1"/>
        </w:numPr>
        <w:spacing w:line="480" w:lineRule="auto"/>
      </w:pPr>
      <w:r w:rsidRPr="009C4193">
        <w:t xml:space="preserve">Patel D, et al. Azotobacter inoculation effect on onion growth and yield. Int J </w:t>
      </w:r>
      <w:proofErr w:type="spellStart"/>
      <w:r w:rsidRPr="009C4193">
        <w:t>Curr</w:t>
      </w:r>
      <w:proofErr w:type="spellEnd"/>
      <w:r w:rsidRPr="009C4193">
        <w:t xml:space="preserve"> Microbiol Appl Sci. 2019;8(4):800-7.</w:t>
      </w:r>
    </w:p>
    <w:p w14:paraId="326B5EEF" w14:textId="77777777" w:rsidR="00977058" w:rsidRPr="009C4193" w:rsidRDefault="0056669F">
      <w:pPr>
        <w:pStyle w:val="NormalWeb"/>
        <w:numPr>
          <w:ilvl w:val="0"/>
          <w:numId w:val="1"/>
        </w:numPr>
        <w:spacing w:line="480" w:lineRule="auto"/>
      </w:pPr>
      <w:r w:rsidRPr="009C4193">
        <w:t>Singh A, et al. Effect of FYM on soil fertility and onion yield. Indian J Agric Sci. 2016;86(8):1005-10.</w:t>
      </w:r>
    </w:p>
    <w:p w14:paraId="465FAB83" w14:textId="77777777" w:rsidR="00977058" w:rsidRPr="009C4193" w:rsidRDefault="0056669F">
      <w:pPr>
        <w:pStyle w:val="NormalWeb"/>
        <w:numPr>
          <w:ilvl w:val="0"/>
          <w:numId w:val="1"/>
        </w:numPr>
        <w:spacing w:line="480" w:lineRule="auto"/>
      </w:pPr>
      <w:r w:rsidRPr="009C4193">
        <w:t>Chauhan JS, et al. Effect of integrated nutrient management on onion yield. Indian J Agron. 2015;60(2):188-92.</w:t>
      </w:r>
    </w:p>
    <w:p w14:paraId="0FBA52E3" w14:textId="77777777" w:rsidR="00977058" w:rsidRPr="009C4193" w:rsidRDefault="0056669F">
      <w:pPr>
        <w:pStyle w:val="NormalWeb"/>
        <w:numPr>
          <w:ilvl w:val="0"/>
          <w:numId w:val="1"/>
        </w:numPr>
        <w:spacing w:line="480" w:lineRule="auto"/>
      </w:pPr>
      <w:r w:rsidRPr="009C4193">
        <w:lastRenderedPageBreak/>
        <w:t xml:space="preserve">Rani R, et al. Impact of organic and inorganic fertilization on onion yield and quality. J Plant </w:t>
      </w:r>
      <w:proofErr w:type="spellStart"/>
      <w:r w:rsidRPr="009C4193">
        <w:t>Nutr</w:t>
      </w:r>
      <w:proofErr w:type="spellEnd"/>
      <w:r w:rsidRPr="009C4193">
        <w:t xml:space="preserve"> Soil Sci. 2021;184(1):130-7.</w:t>
      </w:r>
    </w:p>
    <w:p w14:paraId="28722868" w14:textId="77777777" w:rsidR="00977058" w:rsidRPr="009C4193" w:rsidRDefault="0056669F">
      <w:pPr>
        <w:pStyle w:val="NormalWeb"/>
        <w:numPr>
          <w:ilvl w:val="0"/>
          <w:numId w:val="1"/>
        </w:numPr>
        <w:spacing w:line="480" w:lineRule="auto"/>
      </w:pPr>
      <w:r w:rsidRPr="009C4193">
        <w:t xml:space="preserve">Natarajan S, et al. PSB inoculation and phosphorus uptake in onion. J Plant </w:t>
      </w:r>
      <w:proofErr w:type="spellStart"/>
      <w:r w:rsidRPr="009C4193">
        <w:t>Nutr</w:t>
      </w:r>
      <w:proofErr w:type="spellEnd"/>
      <w:r w:rsidRPr="009C4193">
        <w:t>. 2017;40(10):1386-95.</w:t>
      </w:r>
    </w:p>
    <w:p w14:paraId="3853E774" w14:textId="77777777" w:rsidR="00977058" w:rsidRPr="009C4193" w:rsidRDefault="0056669F">
      <w:pPr>
        <w:pStyle w:val="NormalWeb"/>
        <w:numPr>
          <w:ilvl w:val="0"/>
          <w:numId w:val="1"/>
        </w:numPr>
        <w:spacing w:line="480" w:lineRule="auto"/>
      </w:pPr>
      <w:r w:rsidRPr="009C4193">
        <w:t xml:space="preserve">Roy D, et al. Phosphate solubilizing bacteria in improving crop phosphorus nutrition. Front Microbiol. </w:t>
      </w:r>
      <w:proofErr w:type="gramStart"/>
      <w:r w:rsidRPr="009C4193">
        <w:t>2019;10:1956</w:t>
      </w:r>
      <w:proofErr w:type="gramEnd"/>
      <w:r w:rsidRPr="009C4193">
        <w:t>.</w:t>
      </w:r>
    </w:p>
    <w:p w14:paraId="293A5C2C" w14:textId="77777777" w:rsidR="00977058" w:rsidRPr="009C4193" w:rsidRDefault="0056669F">
      <w:pPr>
        <w:pStyle w:val="NormalWeb"/>
        <w:numPr>
          <w:ilvl w:val="0"/>
          <w:numId w:val="1"/>
        </w:numPr>
        <w:spacing w:line="480" w:lineRule="auto"/>
      </w:pPr>
      <w:r w:rsidRPr="009C4193">
        <w:t>Das S, et al. Influence of organic manures and biofertilizers on onion productivity. Agric Res. 2019;8(3):398-405.</w:t>
      </w:r>
    </w:p>
    <w:p w14:paraId="4521D553" w14:textId="77777777" w:rsidR="00977058" w:rsidRPr="009C4193" w:rsidRDefault="0056669F">
      <w:pPr>
        <w:pStyle w:val="NormalWeb"/>
        <w:numPr>
          <w:ilvl w:val="0"/>
          <w:numId w:val="1"/>
        </w:numPr>
        <w:spacing w:line="480" w:lineRule="auto"/>
      </w:pPr>
      <w:r w:rsidRPr="009C4193">
        <w:t>Yadav RK, Kumar P. Organic and biofertilizer-based nutrient management in onion. J Eco-Friendly Agric. 2021;15(1):44-8.</w:t>
      </w:r>
    </w:p>
    <w:p w14:paraId="5A44206E" w14:textId="77777777" w:rsidR="00977058" w:rsidRPr="009C4193" w:rsidRDefault="0056669F">
      <w:pPr>
        <w:pStyle w:val="NormalWeb"/>
        <w:numPr>
          <w:ilvl w:val="0"/>
          <w:numId w:val="1"/>
        </w:numPr>
        <w:spacing w:line="480" w:lineRule="auto"/>
      </w:pPr>
      <w:r w:rsidRPr="009C4193">
        <w:t xml:space="preserve">Gupta R, Sharma S. Microbial biomass and enzyme activities in onion rhizosphere under different fertilizers. Soil Biol </w:t>
      </w:r>
      <w:proofErr w:type="spellStart"/>
      <w:r w:rsidRPr="009C4193">
        <w:t>Biochem</w:t>
      </w:r>
      <w:proofErr w:type="spellEnd"/>
      <w:r w:rsidRPr="009C4193">
        <w:t xml:space="preserve">. </w:t>
      </w:r>
      <w:proofErr w:type="gramStart"/>
      <w:r w:rsidRPr="009C4193">
        <w:t>2016;97:123</w:t>
      </w:r>
      <w:proofErr w:type="gramEnd"/>
      <w:r w:rsidRPr="009C4193">
        <w:t>-30.</w:t>
      </w:r>
    </w:p>
    <w:p w14:paraId="4C96834E" w14:textId="41DEA79E" w:rsidR="00BA21E6" w:rsidRPr="009C4193" w:rsidRDefault="0056669F" w:rsidP="00BA21E6">
      <w:pPr>
        <w:pStyle w:val="NormalWeb"/>
        <w:numPr>
          <w:ilvl w:val="0"/>
          <w:numId w:val="1"/>
        </w:numPr>
        <w:spacing w:line="480" w:lineRule="auto"/>
      </w:pPr>
      <w:r w:rsidRPr="009C4193">
        <w:t>Chauhan R, et al. Nutrient management in onion for improved yield. Vegetable Sci. 2020;47(1):30-6.</w:t>
      </w:r>
    </w:p>
    <w:p w14:paraId="5A803704" w14:textId="4FF0EC1C" w:rsidR="00BA21E6" w:rsidRPr="009C4193" w:rsidRDefault="00BA21E6" w:rsidP="00BA21E6">
      <w:pPr>
        <w:pStyle w:val="NormalWeb"/>
        <w:numPr>
          <w:ilvl w:val="0"/>
          <w:numId w:val="1"/>
        </w:numPr>
        <w:spacing w:line="480" w:lineRule="auto"/>
      </w:pPr>
      <w:proofErr w:type="spellStart"/>
      <w:r w:rsidRPr="009C4193">
        <w:t>Dhakad</w:t>
      </w:r>
      <w:proofErr w:type="spellEnd"/>
      <w:r w:rsidRPr="009C4193">
        <w:t>, A., Yadav, A., Singh, V., Sinha, G. and Prajapati, J. Effects of Climate Change on Vegetable Production. Vigyan Varta 2024;5(1): 260-264.</w:t>
      </w:r>
    </w:p>
    <w:p w14:paraId="2D839215" w14:textId="24F27701" w:rsidR="00BA21E6" w:rsidRPr="009C4193" w:rsidRDefault="00BA21E6" w:rsidP="00BA21E6">
      <w:pPr>
        <w:pStyle w:val="NormalWeb"/>
        <w:numPr>
          <w:ilvl w:val="0"/>
          <w:numId w:val="1"/>
        </w:numPr>
        <w:spacing w:line="480" w:lineRule="auto"/>
      </w:pPr>
      <w:r w:rsidRPr="00BA21E6">
        <w:t>Prajapati, J., Ram, C. N., Kumar, P., Kumar, S., Singh, A. K., &amp; Chaudhary, A. K. Correlation and path coefficient analysis in fennel (</w:t>
      </w:r>
      <w:proofErr w:type="spellStart"/>
      <w:r w:rsidRPr="00BA21E6">
        <w:rPr>
          <w:i/>
        </w:rPr>
        <w:t>Foeniculum</w:t>
      </w:r>
      <w:proofErr w:type="spellEnd"/>
      <w:r w:rsidRPr="00BA21E6">
        <w:rPr>
          <w:i/>
        </w:rPr>
        <w:t xml:space="preserve"> </w:t>
      </w:r>
      <w:proofErr w:type="spellStart"/>
      <w:r w:rsidRPr="00BA21E6">
        <w:rPr>
          <w:i/>
        </w:rPr>
        <w:t>valgare</w:t>
      </w:r>
      <w:proofErr w:type="spellEnd"/>
      <w:r w:rsidRPr="00BA21E6">
        <w:t xml:space="preserve"> Mill.). In </w:t>
      </w:r>
      <w:r w:rsidRPr="00BA21E6">
        <w:rPr>
          <w:i/>
          <w:iCs/>
        </w:rPr>
        <w:t>Biological Forum–An International Journal</w:t>
      </w:r>
      <w:r w:rsidRPr="00BA21E6">
        <w:t> </w:t>
      </w:r>
      <w:r w:rsidR="00BB4D40" w:rsidRPr="00BA21E6">
        <w:t>2022</w:t>
      </w:r>
      <w:r w:rsidR="00BB4D40" w:rsidRPr="009C4193">
        <w:t>;</w:t>
      </w:r>
      <w:r w:rsidRPr="00BA21E6">
        <w:t>14 (4): 1093-1096.</w:t>
      </w:r>
    </w:p>
    <w:p w14:paraId="48ED5058" w14:textId="6DA49E92" w:rsidR="00BB4D40" w:rsidRPr="00BA21E6" w:rsidRDefault="00BB4D40" w:rsidP="00BA21E6">
      <w:pPr>
        <w:pStyle w:val="NormalWeb"/>
        <w:numPr>
          <w:ilvl w:val="0"/>
          <w:numId w:val="1"/>
        </w:numPr>
        <w:spacing w:line="480" w:lineRule="auto"/>
      </w:pPr>
      <w:r w:rsidRPr="009C4193">
        <w:t>Yadav, A., Upadhyay, A., Kumar, R., Prajapati, J., &amp; Pal, S. Nanotechnology Based Nano Urea to Increase Agricultural Sustainability. Just Agriculture 2023; 3 (12), 266-274.</w:t>
      </w:r>
    </w:p>
    <w:p w14:paraId="71B8F0DD" w14:textId="77777777" w:rsidR="00BA21E6" w:rsidRPr="009C4193" w:rsidRDefault="00BA21E6" w:rsidP="00BA21E6">
      <w:pPr>
        <w:pStyle w:val="NormalWeb"/>
        <w:spacing w:line="480" w:lineRule="auto"/>
      </w:pPr>
    </w:p>
    <w:p w14:paraId="4A07ABDD" w14:textId="77777777" w:rsidR="00977058" w:rsidRPr="009C4193" w:rsidRDefault="00977058">
      <w:pPr>
        <w:spacing w:line="480" w:lineRule="auto"/>
        <w:rPr>
          <w:rFonts w:ascii="Times New Roman" w:hAnsi="Times New Roman" w:cs="Times New Roman"/>
          <w:sz w:val="24"/>
          <w:szCs w:val="24"/>
        </w:rPr>
      </w:pPr>
    </w:p>
    <w:p w14:paraId="1F52EB06" w14:textId="77777777" w:rsidR="00977058" w:rsidRDefault="00977058">
      <w:pPr>
        <w:pStyle w:val="NormalWeb"/>
        <w:spacing w:before="0" w:beforeAutospacing="0" w:after="0" w:afterAutospacing="0" w:line="480" w:lineRule="auto"/>
        <w:ind w:left="720" w:hanging="630"/>
        <w:jc w:val="both"/>
      </w:pPr>
    </w:p>
    <w:bookmarkEnd w:id="0"/>
    <w:p w14:paraId="4F1987CE" w14:textId="77777777" w:rsidR="00977058" w:rsidRDefault="00977058">
      <w:pPr>
        <w:spacing w:after="0" w:line="480" w:lineRule="auto"/>
        <w:jc w:val="both"/>
        <w:rPr>
          <w:rFonts w:ascii="Times New Roman" w:hAnsi="Times New Roman" w:cs="Times New Roman"/>
          <w:b/>
          <w:bCs/>
          <w:sz w:val="24"/>
          <w:szCs w:val="24"/>
        </w:rPr>
      </w:pPr>
    </w:p>
    <w:sectPr w:rsidR="009770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332870" w14:textId="77777777" w:rsidR="006042C8" w:rsidRDefault="006042C8">
      <w:pPr>
        <w:spacing w:line="240" w:lineRule="auto"/>
      </w:pPr>
      <w:r>
        <w:separator/>
      </w:r>
    </w:p>
  </w:endnote>
  <w:endnote w:type="continuationSeparator" w:id="0">
    <w:p w14:paraId="5DF9B658" w14:textId="77777777" w:rsidR="006042C8" w:rsidRDefault="006042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D1C5A" w14:textId="77777777" w:rsidR="00977058" w:rsidRDefault="009770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46D0C" w14:textId="77777777" w:rsidR="00977058" w:rsidRDefault="009770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8AA5C" w14:textId="77777777" w:rsidR="00977058" w:rsidRDefault="009770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034B28" w14:textId="77777777" w:rsidR="006042C8" w:rsidRDefault="006042C8">
      <w:pPr>
        <w:spacing w:after="0"/>
      </w:pPr>
      <w:r>
        <w:separator/>
      </w:r>
    </w:p>
  </w:footnote>
  <w:footnote w:type="continuationSeparator" w:id="0">
    <w:p w14:paraId="2F155367" w14:textId="77777777" w:rsidR="006042C8" w:rsidRDefault="006042C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52BCF" w14:textId="77777777" w:rsidR="00977058" w:rsidRDefault="006042C8">
    <w:pPr>
      <w:pStyle w:val="Header"/>
    </w:pPr>
    <w:r>
      <w:pict w14:anchorId="6FB0DC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2348016" o:spid="_x0000_s2050" type="#_x0000_t136" style="position:absolute;margin-left:0;margin-top:0;width:572.65pt;height:63.6pt;rotation:315;z-index:-251656192;mso-position-horizontal:center;mso-position-horizontal-relative:margin;mso-position-vertical:center;mso-position-vertical-relative:margin;mso-width-relative:page;mso-height-relative:page" o:allowincell="f" fillcolor="silver" stroked="f">
          <v:fill opacity=".5"/>
          <v:textpath style="font-family:&quot;Aptos&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F858" w14:textId="77777777" w:rsidR="00977058" w:rsidRDefault="006042C8">
    <w:pPr>
      <w:pStyle w:val="Header"/>
    </w:pPr>
    <w:r>
      <w:pict w14:anchorId="6BE131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2348017" o:spid="_x0000_s2051" type="#_x0000_t136" style="position:absolute;margin-left:0;margin-top:0;width:572.65pt;height:63.6pt;rotation:315;z-index:-251655168;mso-position-horizontal:center;mso-position-horizontal-relative:margin;mso-position-vertical:center;mso-position-vertical-relative:margin;mso-width-relative:page;mso-height-relative:page" o:allowincell="f" fillcolor="silver" stroked="f">
          <v:fill opacity=".5"/>
          <v:textpath style="font-family:&quot;Aptos&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8C821" w14:textId="77777777" w:rsidR="00977058" w:rsidRDefault="006042C8">
    <w:pPr>
      <w:pStyle w:val="Header"/>
    </w:pPr>
    <w:r>
      <w:pict w14:anchorId="573B03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2348015" o:spid="_x0000_s2049" type="#_x0000_t136" style="position:absolute;margin-left:0;margin-top:0;width:572.65pt;height:63.6pt;rotation:315;z-index:-251657216;mso-position-horizontal:center;mso-position-horizontal-relative:margin;mso-position-vertical:center;mso-position-vertical-relative:margin;mso-width-relative:page;mso-height-relative:page" o:allowincell="f" fillcolor="silver" stroked="f">
          <v:fill opacity=".5"/>
          <v:textpath style="font-family:&quot;Aptos&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05B7F6"/>
    <w:multiLevelType w:val="singleLevel"/>
    <w:tmpl w:val="5E05B7F6"/>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B30"/>
    <w:rsid w:val="00077D7E"/>
    <w:rsid w:val="00096381"/>
    <w:rsid w:val="000973CC"/>
    <w:rsid w:val="000F4F3F"/>
    <w:rsid w:val="00101CFF"/>
    <w:rsid w:val="00107622"/>
    <w:rsid w:val="00127BBB"/>
    <w:rsid w:val="00144E21"/>
    <w:rsid w:val="00150783"/>
    <w:rsid w:val="001548D4"/>
    <w:rsid w:val="0015557C"/>
    <w:rsid w:val="001C3896"/>
    <w:rsid w:val="00207692"/>
    <w:rsid w:val="00287C93"/>
    <w:rsid w:val="002C3C4B"/>
    <w:rsid w:val="002D385F"/>
    <w:rsid w:val="003149AE"/>
    <w:rsid w:val="00394D1F"/>
    <w:rsid w:val="003A3D6E"/>
    <w:rsid w:val="003B6ADE"/>
    <w:rsid w:val="003E183F"/>
    <w:rsid w:val="004171B1"/>
    <w:rsid w:val="004674DA"/>
    <w:rsid w:val="00484895"/>
    <w:rsid w:val="004C189F"/>
    <w:rsid w:val="004D3A1D"/>
    <w:rsid w:val="004E32A3"/>
    <w:rsid w:val="004F3462"/>
    <w:rsid w:val="00513E3F"/>
    <w:rsid w:val="0056669F"/>
    <w:rsid w:val="00570FC3"/>
    <w:rsid w:val="00576ED5"/>
    <w:rsid w:val="005B769F"/>
    <w:rsid w:val="005E0640"/>
    <w:rsid w:val="006042C8"/>
    <w:rsid w:val="00607C84"/>
    <w:rsid w:val="006160BD"/>
    <w:rsid w:val="00621419"/>
    <w:rsid w:val="006B3DCF"/>
    <w:rsid w:val="006B66FD"/>
    <w:rsid w:val="006D65B1"/>
    <w:rsid w:val="006F3651"/>
    <w:rsid w:val="006F4CC4"/>
    <w:rsid w:val="0070168A"/>
    <w:rsid w:val="00703C5B"/>
    <w:rsid w:val="00731FAE"/>
    <w:rsid w:val="007349ED"/>
    <w:rsid w:val="007568AF"/>
    <w:rsid w:val="007B0305"/>
    <w:rsid w:val="007B0399"/>
    <w:rsid w:val="007B4532"/>
    <w:rsid w:val="007C2CDD"/>
    <w:rsid w:val="00805123"/>
    <w:rsid w:val="00810A96"/>
    <w:rsid w:val="0086325C"/>
    <w:rsid w:val="00877E38"/>
    <w:rsid w:val="008A2E9B"/>
    <w:rsid w:val="008E1BBF"/>
    <w:rsid w:val="008E6296"/>
    <w:rsid w:val="00924F0A"/>
    <w:rsid w:val="0093374E"/>
    <w:rsid w:val="009423AC"/>
    <w:rsid w:val="00976218"/>
    <w:rsid w:val="00977058"/>
    <w:rsid w:val="009C4193"/>
    <w:rsid w:val="00A11FC6"/>
    <w:rsid w:val="00A32F17"/>
    <w:rsid w:val="00A508D2"/>
    <w:rsid w:val="00A641F0"/>
    <w:rsid w:val="00A86F7A"/>
    <w:rsid w:val="00AC0338"/>
    <w:rsid w:val="00AC7A79"/>
    <w:rsid w:val="00AF1912"/>
    <w:rsid w:val="00B544C5"/>
    <w:rsid w:val="00B70AAE"/>
    <w:rsid w:val="00B727D5"/>
    <w:rsid w:val="00B73259"/>
    <w:rsid w:val="00B92F54"/>
    <w:rsid w:val="00BA21E6"/>
    <w:rsid w:val="00BB4D40"/>
    <w:rsid w:val="00BB548E"/>
    <w:rsid w:val="00BC3758"/>
    <w:rsid w:val="00BE6ADE"/>
    <w:rsid w:val="00C145A5"/>
    <w:rsid w:val="00C73C11"/>
    <w:rsid w:val="00CB7881"/>
    <w:rsid w:val="00CC6663"/>
    <w:rsid w:val="00D25DB0"/>
    <w:rsid w:val="00D41FDB"/>
    <w:rsid w:val="00D528A8"/>
    <w:rsid w:val="00D5700F"/>
    <w:rsid w:val="00D86DA6"/>
    <w:rsid w:val="00DC0C34"/>
    <w:rsid w:val="00E0064F"/>
    <w:rsid w:val="00E51554"/>
    <w:rsid w:val="00E57013"/>
    <w:rsid w:val="00E66657"/>
    <w:rsid w:val="00E96B30"/>
    <w:rsid w:val="00EA0CF6"/>
    <w:rsid w:val="00ED2137"/>
    <w:rsid w:val="00EE5EA8"/>
    <w:rsid w:val="00F2086A"/>
    <w:rsid w:val="00F4074A"/>
    <w:rsid w:val="00F44E05"/>
    <w:rsid w:val="00FC17DB"/>
    <w:rsid w:val="10DF61EE"/>
    <w:rsid w:val="296648CD"/>
    <w:rsid w:val="78811122"/>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DAF8B3"/>
  <w15:docId w15:val="{3A470729-8C45-4EB9-8299-DF828F350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kern w:val="2"/>
      <w:sz w:val="22"/>
      <w:szCs w:val="22"/>
      <w:lang w:val="en-IN" w:bidi="ar-SA"/>
      <w14:ligatures w14:val="standardContextual"/>
    </w:rPr>
  </w:style>
  <w:style w:type="paragraph" w:styleId="Heading1">
    <w:name w:val="heading 1"/>
    <w:basedOn w:val="Normal"/>
    <w:next w:val="Normal"/>
    <w:link w:val="Heading1Char"/>
    <w:uiPriority w:val="9"/>
    <w:qFormat/>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pPr>
      <w:keepNext/>
      <w:keepLines/>
      <w:spacing w:before="80" w:after="40" w:line="278"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pPr>
      <w:keepNext/>
      <w:keepLines/>
      <w:spacing w:after="0" w:line="278" w:lineRule="auto"/>
      <w:outlineLvl w:val="7"/>
    </w:pPr>
    <w:rPr>
      <w:rFonts w:eastAsiaTheme="majorEastAsia" w:cstheme="majorBidi"/>
      <w:i/>
      <w:iCs/>
      <w:color w:val="262626" w:themeColor="text1" w:themeTint="D9"/>
      <w:sz w:val="24"/>
      <w:szCs w:val="24"/>
    </w:rPr>
  </w:style>
  <w:style w:type="paragraph" w:styleId="Heading9">
    <w:name w:val="heading 9"/>
    <w:basedOn w:val="Normal"/>
    <w:next w:val="Normal"/>
    <w:link w:val="Heading9Char"/>
    <w:uiPriority w:val="9"/>
    <w:semiHidden/>
    <w:unhideWhenUsed/>
    <w:qFormat/>
    <w:pPr>
      <w:keepNext/>
      <w:keepLines/>
      <w:spacing w:after="0" w:line="278" w:lineRule="auto"/>
      <w:outlineLvl w:val="8"/>
    </w:pPr>
    <w:rPr>
      <w:rFonts w:eastAsiaTheme="majorEastAsia" w:cstheme="majorBidi"/>
      <w:color w:val="262626" w:themeColor="text1" w:themeTint="D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467886"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line="278" w:lineRule="auto"/>
    </w:pPr>
    <w:rPr>
      <w:rFonts w:eastAsiaTheme="majorEastAsia" w:cstheme="majorBidi"/>
      <w:color w:val="595959" w:themeColor="text1" w:themeTint="A6"/>
      <w:spacing w:val="15"/>
      <w:sz w:val="28"/>
      <w:szCs w:val="28"/>
    </w:rPr>
  </w:style>
  <w:style w:type="table" w:styleId="TableGrid">
    <w:name w:val="Table Grid"/>
    <w:basedOn w:val="TableNormal"/>
    <w:uiPriority w:val="39"/>
    <w:qFormat/>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spacing w:line="278" w:lineRule="auto"/>
      <w:ind w:left="720"/>
      <w:contextualSpacing/>
    </w:pPr>
    <w:rPr>
      <w:sz w:val="24"/>
      <w:szCs w:val="24"/>
    </w:rPr>
  </w:style>
  <w:style w:type="character" w:customStyle="1" w:styleId="IntenseEmphasis1">
    <w:name w:val="Intense Emphasis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qFormat/>
    <w:rPr>
      <w:i/>
      <w:iCs/>
      <w:color w:val="0F4761" w:themeColor="accent1" w:themeShade="BF"/>
    </w:rPr>
  </w:style>
  <w:style w:type="character" w:customStyle="1" w:styleId="IntenseReference1">
    <w:name w:val="Intense Reference1"/>
    <w:basedOn w:val="DefaultParagraphFont"/>
    <w:uiPriority w:val="32"/>
    <w:qFormat/>
    <w:rPr>
      <w:b/>
      <w:bCs/>
      <w:smallCaps/>
      <w:color w:val="0F4761" w:themeColor="accent1" w:themeShade="BF"/>
      <w:spacing w:val="5"/>
    </w:rPr>
  </w:style>
  <w:style w:type="character" w:customStyle="1" w:styleId="relative">
    <w:name w:val="relative"/>
    <w:basedOn w:val="DefaultParagraphFont"/>
    <w:qFormat/>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HeaderChar">
    <w:name w:val="Header Char"/>
    <w:basedOn w:val="DefaultParagraphFont"/>
    <w:link w:val="Header"/>
    <w:uiPriority w:val="99"/>
    <w:rPr>
      <w:sz w:val="22"/>
      <w:szCs w:val="22"/>
    </w:rPr>
  </w:style>
  <w:style w:type="character" w:customStyle="1" w:styleId="FooterChar">
    <w:name w:val="Footer Char"/>
    <w:basedOn w:val="DefaultParagraphFont"/>
    <w:link w:val="Footer"/>
    <w:uiPriority w:val="99"/>
    <w:qFormat/>
    <w:rPr>
      <w:sz w:val="22"/>
      <w:szCs w:val="22"/>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BalloonText">
    <w:name w:val="Balloon Text"/>
    <w:basedOn w:val="Normal"/>
    <w:link w:val="BalloonTextChar"/>
    <w:uiPriority w:val="99"/>
    <w:semiHidden/>
    <w:unhideWhenUsed/>
    <w:rsid w:val="00DC0C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C34"/>
    <w:rPr>
      <w:rFonts w:ascii="Segoe UI" w:hAnsi="Segoe UI" w:cs="Segoe UI"/>
      <w:kern w:val="2"/>
      <w:sz w:val="18"/>
      <w:szCs w:val="18"/>
      <w:lang w:val="en-IN" w:bidi="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hyperlink" Target="https://doi.org/10.1007/s10333-023-00961-7" TargetMode="External"/><Relationship Id="rId21" Type="http://schemas.openxmlformats.org/officeDocument/2006/relationships/chart" Target="charts/chart7.xml"/><Relationship Id="rId34" Type="http://schemas.openxmlformats.org/officeDocument/2006/relationships/hyperlink" Target="https://doi.org/10.1080/00103624.2021.1966437" TargetMode="External"/><Relationship Id="rId42" Type="http://schemas.openxmlformats.org/officeDocument/2006/relationships/hyperlink" Target="https://doi.org/10.9734/ijaar/2024/v14i13015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0.xml"/><Relationship Id="rId32" Type="http://schemas.openxmlformats.org/officeDocument/2006/relationships/hyperlink" Target="https://doi.org/10.20546/ijcmas.2018.708.395" TargetMode="External"/><Relationship Id="rId37" Type="http://schemas.openxmlformats.org/officeDocument/2006/relationships/hyperlink" Target="https://doi.org/10.1021/acsagscitech.1c00239" TargetMode="External"/><Relationship Id="rId40" Type="http://schemas.openxmlformats.org/officeDocument/2006/relationships/hyperlink" Target="https://doi.org/10.5958/0974-0112.2019.00048.3"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hyperlink" Target="https://doi.org/10.1002/ird.2536" TargetMode="External"/><Relationship Id="rId10" Type="http://schemas.openxmlformats.org/officeDocument/2006/relationships/chart" Target="charts/chart2.xml"/><Relationship Id="rId19" Type="http://schemas.openxmlformats.org/officeDocument/2006/relationships/chart" Target="charts/chart5.xml"/><Relationship Id="rId31" Type="http://schemas.openxmlformats.org/officeDocument/2006/relationships/hyperlink" Target="http://www.idr.iitkgp.ac.in/jspui/bitstream/123456789/12050/1/NB17320_Abstract.pdf"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hyperlink" Target="http://www.fao.org/faostat/en/" TargetMode="External"/><Relationship Id="rId35" Type="http://schemas.openxmlformats.org/officeDocument/2006/relationships/hyperlink" Target="https://doi.org/10.1007/s10333-021-00850-x" TargetMode="External"/><Relationship Id="rId43" Type="http://schemas.openxmlformats.org/officeDocument/2006/relationships/hyperlink" Target="https://doi.org/10.17221/154/2013-hortsci"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hart" Target="charts/chart11.xml"/><Relationship Id="rId33" Type="http://schemas.openxmlformats.org/officeDocument/2006/relationships/hyperlink" Target="https://doi.org/10.1007/s10333-019-00765-8" TargetMode="External"/><Relationship Id="rId38" Type="http://schemas.openxmlformats.org/officeDocument/2006/relationships/hyperlink" Target="https://doi.org/10.1080/00103624.2023.2260424" TargetMode="External"/><Relationship Id="rId20" Type="http://schemas.openxmlformats.org/officeDocument/2006/relationships/chart" Target="charts/chart6.xml"/><Relationship Id="rId41" Type="http://schemas.openxmlformats.org/officeDocument/2006/relationships/hyperlink" Target="https://doi.org/10.9734/ijpss/2023/v35i18338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Thesis%20for%20money\Dr.%20Yati\Amit%20Onion%20Ph.D.Thesis\Final\paper%201st\data(AutoRecovered).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1" i="0" u="none" strike="noStrike" kern="1200" spc="0" baseline="0">
                <a:solidFill>
                  <a:schemeClr val="bg1"/>
                </a:solidFill>
                <a:latin typeface="Times New Roman" panose="02020603050405020304" charset="0"/>
                <a:ea typeface="+mn-ea"/>
                <a:cs typeface="Times New Roman" panose="02020603050405020304" charset="0"/>
              </a:defRPr>
            </a:pPr>
            <a:r>
              <a:rPr lang="en-IN">
                <a:solidFill>
                  <a:schemeClr val="bg1"/>
                </a:solidFill>
              </a:rPr>
              <a:t>a</a:t>
            </a:r>
          </a:p>
        </c:rich>
      </c:tx>
      <c:layout>
        <c:manualLayout>
          <c:xMode val="edge"/>
          <c:yMode val="edge"/>
          <c:x val="0.94354269583627404"/>
          <c:y val="0"/>
        </c:manualLayout>
      </c:layout>
      <c:overlay val="0"/>
      <c:spPr>
        <a:solidFill>
          <a:schemeClr val="tx1"/>
        </a:solidFill>
        <a:ln>
          <a:solidFill>
            <a:schemeClr val="tx1"/>
          </a:solidFill>
        </a:ln>
        <a:effectLst/>
      </c:spPr>
      <c:txPr>
        <a:bodyPr rot="0" spcFirstLastPara="1" vertOverflow="ellipsis" vert="horz" wrap="square" anchor="ctr" anchorCtr="1"/>
        <a:lstStyle/>
        <a:p>
          <a:pPr>
            <a:defRPr lang="en-US" sz="1200" b="1" i="0" u="none" strike="noStrike" kern="1200" spc="0" baseline="0">
              <a:solidFill>
                <a:schemeClr val="bg1"/>
              </a:solidFill>
              <a:latin typeface="Times New Roman" panose="02020603050405020304" charset="0"/>
              <a:ea typeface="+mn-ea"/>
              <a:cs typeface="Times New Roman" panose="02020603050405020304" charset="0"/>
            </a:defRPr>
          </a:pPr>
          <a:endParaRPr lang="en-US"/>
        </a:p>
      </c:txPr>
    </c:title>
    <c:autoTitleDeleted val="0"/>
    <c:plotArea>
      <c:layout>
        <c:manualLayout>
          <c:layoutTarget val="inner"/>
          <c:xMode val="edge"/>
          <c:yMode val="edge"/>
          <c:x val="0.179835555555556"/>
          <c:y val="5.1763247863247902E-2"/>
          <c:w val="0.78960888888888903"/>
          <c:h val="0.75857905982906004"/>
        </c:manualLayout>
      </c:layout>
      <c:barChart>
        <c:barDir val="col"/>
        <c:grouping val="clustered"/>
        <c:varyColors val="0"/>
        <c:ser>
          <c:idx val="0"/>
          <c:order val="0"/>
          <c:tx>
            <c:strRef>
              <c:f>'Plant hieght'!$C$5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'Plant hieght'!$B$6:$B$17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'Plant hieght'!$C$6:$C$17</c:f>
              <c:numCache>
                <c:formatCode>General</c:formatCode>
                <c:ptCount val="12"/>
                <c:pt idx="0">
                  <c:v>72.222999999999999</c:v>
                </c:pt>
                <c:pt idx="1">
                  <c:v>61.987000000000002</c:v>
                </c:pt>
                <c:pt idx="2">
                  <c:v>61.762999999999998</c:v>
                </c:pt>
                <c:pt idx="3">
                  <c:v>61.04</c:v>
                </c:pt>
                <c:pt idx="4">
                  <c:v>66.753</c:v>
                </c:pt>
                <c:pt idx="5">
                  <c:v>65.363</c:v>
                </c:pt>
                <c:pt idx="6">
                  <c:v>68.5</c:v>
                </c:pt>
                <c:pt idx="7">
                  <c:v>74.382999999999996</c:v>
                </c:pt>
                <c:pt idx="8">
                  <c:v>70.36</c:v>
                </c:pt>
                <c:pt idx="9">
                  <c:v>59.872999999999998</c:v>
                </c:pt>
                <c:pt idx="10">
                  <c:v>59.453000000000003</c:v>
                </c:pt>
                <c:pt idx="11">
                  <c:v>58.743000000000002</c:v>
                </c:pt>
              </c:numCache>
            </c:numRef>
          </c:val>
          <c:extLst>
            <c:ext xmlns:c16="http://schemas.microsoft.com/office/drawing/2014/chart" uri="{C3380CC4-5D6E-409C-BE32-E72D297353CC}">
              <c16:uniqueId val="{00000000-A903-4FF1-9752-A954B90F84CD}"/>
            </c:ext>
          </c:extLst>
        </c:ser>
        <c:ser>
          <c:idx val="1"/>
          <c:order val="1"/>
          <c:tx>
            <c:strRef>
              <c:f>'Plant hieght'!$D$5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'Plant hieght'!$B$6:$B$17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'Plant hieght'!$D$6:$D$17</c:f>
              <c:numCache>
                <c:formatCode>General</c:formatCode>
                <c:ptCount val="12"/>
                <c:pt idx="0">
                  <c:v>72.222999999999999</c:v>
                </c:pt>
                <c:pt idx="1">
                  <c:v>63.667000000000002</c:v>
                </c:pt>
                <c:pt idx="2">
                  <c:v>62.762999999999998</c:v>
                </c:pt>
                <c:pt idx="3">
                  <c:v>62.04</c:v>
                </c:pt>
                <c:pt idx="4">
                  <c:v>67.552999999999997</c:v>
                </c:pt>
                <c:pt idx="5">
                  <c:v>66.563000000000002</c:v>
                </c:pt>
                <c:pt idx="6">
                  <c:v>69.5</c:v>
                </c:pt>
                <c:pt idx="7">
                  <c:v>75.382999999999996</c:v>
                </c:pt>
                <c:pt idx="8">
                  <c:v>71.459999999999994</c:v>
                </c:pt>
                <c:pt idx="9">
                  <c:v>60.872999999999998</c:v>
                </c:pt>
                <c:pt idx="10">
                  <c:v>60.453000000000003</c:v>
                </c:pt>
                <c:pt idx="11">
                  <c:v>59.743000000000002</c:v>
                </c:pt>
              </c:numCache>
            </c:numRef>
          </c:val>
          <c:extLst>
            <c:ext xmlns:c16="http://schemas.microsoft.com/office/drawing/2014/chart" uri="{C3380CC4-5D6E-409C-BE32-E72D297353CC}">
              <c16:uniqueId val="{00000001-A903-4FF1-9752-A954B90F84CD}"/>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IN" sz="1200"/>
                  <a:t>Treatment </a:t>
                </a:r>
              </a:p>
            </c:rich>
          </c:tx>
          <c:overlay val="0"/>
          <c:spPr>
            <a:noFill/>
            <a:ln>
              <a:noFill/>
            </a:ln>
            <a:effectLst/>
          </c:spPr>
          <c:txPr>
            <a:bodyPr rot="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367790527"/>
        <c:crosses val="autoZero"/>
        <c:auto val="1"/>
        <c:lblAlgn val="ctr"/>
        <c:lblOffset val="100"/>
        <c:noMultiLvlLbl val="0"/>
      </c:catAx>
      <c:valAx>
        <c:axId val="367790527"/>
        <c:scaling>
          <c:orientation val="minMax"/>
        </c:scaling>
        <c:delete val="0"/>
        <c:axPos val="l"/>
        <c:title>
          <c:tx>
            <c:rich>
              <a:bodyPr rot="-540000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IN" sz="1200"/>
                  <a:t>Plant Height (cm)</a:t>
                </a:r>
              </a:p>
            </c:rich>
          </c:tx>
          <c:overlay val="0"/>
          <c:spPr>
            <a:noFill/>
            <a:ln>
              <a:noFill/>
            </a:ln>
            <a:effectLst/>
          </c:spPr>
          <c:txPr>
            <a:bodyPr rot="-540000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367797727"/>
        <c:crosses val="autoZero"/>
        <c:crossBetween val="between"/>
      </c:valAx>
      <c:spPr>
        <a:noFill/>
        <a:ln>
          <a:noFill/>
        </a:ln>
        <a:effectLst/>
      </c:spPr>
    </c:plotArea>
    <c:legend>
      <c:legendPos val="b"/>
      <c:layout>
        <c:manualLayout>
          <c:xMode val="edge"/>
          <c:yMode val="edge"/>
          <c:x val="0.29456386701662302"/>
          <c:y val="1.4054753572470101E-2"/>
          <c:w val="0.60166925925925896"/>
          <c:h val="9.2070512820512804E-2"/>
        </c:manualLayout>
      </c:layout>
      <c:overlay val="0"/>
      <c:spPr>
        <a:noFill/>
        <a:ln>
          <a:noFill/>
        </a:ln>
        <a:effectLst/>
      </c:spPr>
      <c:txPr>
        <a:bodyPr rot="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legend>
    <c:plotVisOnly val="1"/>
    <c:dispBlanksAs val="gap"/>
    <c:showDLblsOverMax val="0"/>
    <c:extLst>
      <c:ext uri="{0b15fc19-7d7d-44ad-8c2d-2c3a37ce22c3}">
        <chartProps xmlns="https://web.wps.cn/et/2018/main" chartId="{cf6d3e41-93ee-4ff5-83d1-7b2b523852cd}"/>
      </c:ext>
    </c:extLst>
  </c:chart>
  <c:spPr>
    <a:solidFill>
      <a:schemeClr val="bg1"/>
    </a:solidFill>
    <a:ln w="9525" cap="flat" cmpd="sng" algn="ctr">
      <a:solidFill>
        <a:schemeClr val="bg1"/>
      </a:solidFill>
      <a:round/>
    </a:ln>
    <a:effectLst/>
  </c:spPr>
  <c:txPr>
    <a:bodyPr/>
    <a:lstStyle/>
    <a:p>
      <a:pPr>
        <a:defRPr lang="en-US" sz="1000" b="1">
          <a:solidFill>
            <a:sysClr val="windowText" lastClr="000000"/>
          </a:solidFill>
          <a:latin typeface="Times New Roman" panose="02020603050405020304" charset="0"/>
          <a:cs typeface="Times New Roman" panose="0202060305040502030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1" i="0" u="none" strike="noStrike" kern="1200" spc="0" baseline="0">
                <a:solidFill>
                  <a:schemeClr val="bg1"/>
                </a:solidFill>
                <a:latin typeface="Times New Roman" panose="02020603050405020304" charset="0"/>
                <a:ea typeface="+mn-ea"/>
                <a:cs typeface="Times New Roman" panose="02020603050405020304" charset="0"/>
              </a:defRPr>
            </a:pPr>
            <a:r>
              <a:rPr lang="en-IN">
                <a:solidFill>
                  <a:schemeClr val="bg1"/>
                </a:solidFill>
              </a:rPr>
              <a:t>b</a:t>
            </a:r>
          </a:p>
        </c:rich>
      </c:tx>
      <c:layout>
        <c:manualLayout>
          <c:xMode val="edge"/>
          <c:yMode val="edge"/>
          <c:x val="0.94383683690914799"/>
          <c:y val="0"/>
        </c:manualLayout>
      </c:layout>
      <c:overlay val="0"/>
      <c:spPr>
        <a:solidFill>
          <a:schemeClr val="tx1"/>
        </a:solidFill>
        <a:ln>
          <a:solidFill>
            <a:schemeClr val="tx1"/>
          </a:solidFill>
        </a:ln>
        <a:effectLst/>
      </c:spPr>
      <c:txPr>
        <a:bodyPr rot="0" spcFirstLastPara="1" vertOverflow="ellipsis" vert="horz" wrap="square" anchor="ctr" anchorCtr="1"/>
        <a:lstStyle/>
        <a:p>
          <a:pPr>
            <a:defRPr lang="en-US" sz="1200" b="1" i="0" u="none" strike="noStrike" kern="1200" spc="0" baseline="0">
              <a:solidFill>
                <a:schemeClr val="bg1"/>
              </a:solidFill>
              <a:latin typeface="Times New Roman" panose="02020603050405020304" charset="0"/>
              <a:ea typeface="+mn-ea"/>
              <a:cs typeface="Times New Roman" panose="02020603050405020304" charset="0"/>
            </a:defRPr>
          </a:pPr>
          <a:endParaRPr lang="en-US"/>
        </a:p>
      </c:txPr>
    </c:title>
    <c:autoTitleDeleted val="0"/>
    <c:plotArea>
      <c:layout>
        <c:manualLayout>
          <c:layoutTarget val="inner"/>
          <c:xMode val="edge"/>
          <c:yMode val="edge"/>
          <c:x val="0.179835555555556"/>
          <c:y val="5.1763247863247902E-2"/>
          <c:w val="0.78960888888888903"/>
          <c:h val="0.75857905982906004"/>
        </c:manualLayout>
      </c:layout>
      <c:barChart>
        <c:barDir val="col"/>
        <c:grouping val="clustered"/>
        <c:varyColors val="0"/>
        <c:ser>
          <c:idx val="0"/>
          <c:order val="0"/>
          <c:tx>
            <c:strRef>
              <c:f>'Dry weight of bulb (g.)'!$C$5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'Dry weight of bulb (g.)'!$B$6:$B$17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'Dry weight of bulb (g.)'!$C$6:$C$17</c:f>
              <c:numCache>
                <c:formatCode>General</c:formatCode>
                <c:ptCount val="12"/>
                <c:pt idx="0">
                  <c:v>0</c:v>
                </c:pt>
                <c:pt idx="1">
                  <c:v>21.312999999999999</c:v>
                </c:pt>
                <c:pt idx="2">
                  <c:v>23.623000000000001</c:v>
                </c:pt>
                <c:pt idx="3">
                  <c:v>23.43</c:v>
                </c:pt>
                <c:pt idx="4">
                  <c:v>23.657</c:v>
                </c:pt>
                <c:pt idx="5">
                  <c:v>21.913</c:v>
                </c:pt>
                <c:pt idx="6">
                  <c:v>23.533000000000001</c:v>
                </c:pt>
                <c:pt idx="7">
                  <c:v>22.722999999999999</c:v>
                </c:pt>
                <c:pt idx="8">
                  <c:v>22.75</c:v>
                </c:pt>
                <c:pt idx="9">
                  <c:v>23.613</c:v>
                </c:pt>
                <c:pt idx="10">
                  <c:v>22.882999999999999</c:v>
                </c:pt>
                <c:pt idx="11">
                  <c:v>23.027000000000001</c:v>
                </c:pt>
              </c:numCache>
            </c:numRef>
          </c:val>
          <c:extLst>
            <c:ext xmlns:c16="http://schemas.microsoft.com/office/drawing/2014/chart" uri="{C3380CC4-5D6E-409C-BE32-E72D297353CC}">
              <c16:uniqueId val="{00000000-7AE2-4502-8A78-8EBD2B872F7D}"/>
            </c:ext>
          </c:extLst>
        </c:ser>
        <c:ser>
          <c:idx val="1"/>
          <c:order val="1"/>
          <c:tx>
            <c:strRef>
              <c:f>'Dry weight of bulb (g.)'!$D$5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'Dry weight of bulb (g.)'!$B$6:$B$17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'Dry weight of bulb (g.)'!$D$6:$D$17</c:f>
              <c:numCache>
                <c:formatCode>General</c:formatCode>
                <c:ptCount val="12"/>
                <c:pt idx="0">
                  <c:v>17.093</c:v>
                </c:pt>
                <c:pt idx="1">
                  <c:v>15.353</c:v>
                </c:pt>
                <c:pt idx="2">
                  <c:v>14.957000000000001</c:v>
                </c:pt>
                <c:pt idx="3">
                  <c:v>14.413</c:v>
                </c:pt>
                <c:pt idx="4">
                  <c:v>16.443000000000001</c:v>
                </c:pt>
                <c:pt idx="5">
                  <c:v>16.3</c:v>
                </c:pt>
                <c:pt idx="6">
                  <c:v>16.632999999999999</c:v>
                </c:pt>
                <c:pt idx="7">
                  <c:v>18.433</c:v>
                </c:pt>
                <c:pt idx="8">
                  <c:v>17.652999999999999</c:v>
                </c:pt>
                <c:pt idx="9">
                  <c:v>14.872999999999999</c:v>
                </c:pt>
                <c:pt idx="10">
                  <c:v>14.643000000000001</c:v>
                </c:pt>
                <c:pt idx="11">
                  <c:v>14.51</c:v>
                </c:pt>
              </c:numCache>
            </c:numRef>
          </c:val>
          <c:extLst>
            <c:ext xmlns:c16="http://schemas.microsoft.com/office/drawing/2014/chart" uri="{C3380CC4-5D6E-409C-BE32-E72D297353CC}">
              <c16:uniqueId val="{00000001-7AE2-4502-8A78-8EBD2B872F7D}"/>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IN" sz="1200"/>
                  <a:t>Treatment </a:t>
                </a:r>
              </a:p>
            </c:rich>
          </c:tx>
          <c:overlay val="0"/>
          <c:spPr>
            <a:noFill/>
            <a:ln>
              <a:noFill/>
            </a:ln>
            <a:effectLst/>
          </c:spPr>
          <c:txPr>
            <a:bodyPr rot="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367790527"/>
        <c:crosses val="autoZero"/>
        <c:auto val="1"/>
        <c:lblAlgn val="ctr"/>
        <c:lblOffset val="100"/>
        <c:noMultiLvlLbl val="0"/>
      </c:catAx>
      <c:valAx>
        <c:axId val="367790527"/>
        <c:scaling>
          <c:orientation val="minMax"/>
          <c:min val="0"/>
        </c:scaling>
        <c:delete val="0"/>
        <c:axPos val="l"/>
        <c:title>
          <c:tx>
            <c:rich>
              <a:bodyPr rot="-540000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IN" sz="1200" b="1" i="0" u="none" strike="noStrike" baseline="0">
                    <a:effectLst/>
                  </a:rPr>
                  <a:t>Dry weight of bulb (g)</a:t>
                </a:r>
                <a:endParaRPr lang="en-IN" sz="1200"/>
              </a:p>
            </c:rich>
          </c:tx>
          <c:overlay val="0"/>
          <c:spPr>
            <a:noFill/>
            <a:ln>
              <a:noFill/>
            </a:ln>
            <a:effectLst/>
          </c:spPr>
          <c:txPr>
            <a:bodyPr rot="-540000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367797727"/>
        <c:crosses val="autoZero"/>
        <c:crossBetween val="between"/>
      </c:valAx>
      <c:spPr>
        <a:noFill/>
        <a:ln>
          <a:noFill/>
        </a:ln>
        <a:effectLst/>
      </c:spPr>
    </c:plotArea>
    <c:legend>
      <c:legendPos val="b"/>
      <c:layout>
        <c:manualLayout>
          <c:xMode val="edge"/>
          <c:yMode val="edge"/>
          <c:x val="0.29456386701662302"/>
          <c:y val="1.4054753572470101E-2"/>
          <c:w val="0.60166925925925896"/>
          <c:h val="9.2070512820512804E-2"/>
        </c:manualLayout>
      </c:layout>
      <c:overlay val="0"/>
      <c:spPr>
        <a:noFill/>
        <a:ln>
          <a:noFill/>
        </a:ln>
        <a:effectLst/>
      </c:spPr>
      <c:txPr>
        <a:bodyPr rot="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legend>
    <c:plotVisOnly val="1"/>
    <c:dispBlanksAs val="gap"/>
    <c:showDLblsOverMax val="0"/>
    <c:extLst>
      <c:ext uri="{0b15fc19-7d7d-44ad-8c2d-2c3a37ce22c3}">
        <chartProps xmlns="https://web.wps.cn/et/2018/main" chartId="{a359941d-19f5-4c97-becd-59e293e90407}"/>
      </c:ext>
    </c:extLst>
  </c:chart>
  <c:spPr>
    <a:solidFill>
      <a:schemeClr val="bg1"/>
    </a:solidFill>
    <a:ln w="9525" cap="flat" cmpd="sng" algn="ctr">
      <a:solidFill>
        <a:schemeClr val="bg1"/>
      </a:solidFill>
      <a:round/>
    </a:ln>
    <a:effectLst/>
  </c:spPr>
  <c:txPr>
    <a:bodyPr/>
    <a:lstStyle/>
    <a:p>
      <a:pPr>
        <a:defRPr lang="en-US" sz="1000" b="1">
          <a:solidFill>
            <a:sysClr val="windowText" lastClr="000000"/>
          </a:solidFill>
          <a:latin typeface="Times New Roman" panose="02020603050405020304" charset="0"/>
          <a:cs typeface="Times New Roman" panose="0202060305040502030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1" i="0" u="none" strike="noStrike" kern="1200" spc="0" baseline="0">
                <a:solidFill>
                  <a:schemeClr val="bg1"/>
                </a:solidFill>
                <a:latin typeface="Times New Roman" panose="02020603050405020304" charset="0"/>
                <a:ea typeface="+mn-ea"/>
                <a:cs typeface="Times New Roman" panose="02020603050405020304" charset="0"/>
              </a:defRPr>
            </a:pPr>
            <a:r>
              <a:rPr lang="en-IN">
                <a:solidFill>
                  <a:schemeClr val="bg1"/>
                </a:solidFill>
              </a:rPr>
              <a:t>c</a:t>
            </a:r>
          </a:p>
        </c:rich>
      </c:tx>
      <c:layout>
        <c:manualLayout>
          <c:xMode val="edge"/>
          <c:yMode val="edge"/>
          <c:x val="0.94407207567649698"/>
          <c:y val="0"/>
        </c:manualLayout>
      </c:layout>
      <c:overlay val="0"/>
      <c:spPr>
        <a:solidFill>
          <a:schemeClr val="tx1"/>
        </a:solidFill>
        <a:ln>
          <a:solidFill>
            <a:schemeClr val="tx1"/>
          </a:solidFill>
        </a:ln>
        <a:effectLst/>
      </c:spPr>
      <c:txPr>
        <a:bodyPr rot="0" spcFirstLastPara="1" vertOverflow="ellipsis" vert="horz" wrap="square" anchor="ctr" anchorCtr="1"/>
        <a:lstStyle/>
        <a:p>
          <a:pPr>
            <a:defRPr lang="en-US" sz="1200" b="1" i="0" u="none" strike="noStrike" kern="1200" spc="0" baseline="0">
              <a:solidFill>
                <a:schemeClr val="bg1"/>
              </a:solidFill>
              <a:latin typeface="Times New Roman" panose="02020603050405020304" charset="0"/>
              <a:ea typeface="+mn-ea"/>
              <a:cs typeface="Times New Roman" panose="02020603050405020304" charset="0"/>
            </a:defRPr>
          </a:pPr>
          <a:endParaRPr lang="en-US"/>
        </a:p>
      </c:txPr>
    </c:title>
    <c:autoTitleDeleted val="0"/>
    <c:plotArea>
      <c:layout>
        <c:manualLayout>
          <c:layoutTarget val="inner"/>
          <c:xMode val="edge"/>
          <c:yMode val="edge"/>
          <c:x val="0.179835555555556"/>
          <c:y val="5.1763247863247902E-2"/>
          <c:w val="0.78960888888888903"/>
          <c:h val="0.75857905982906004"/>
        </c:manualLayout>
      </c:layout>
      <c:barChart>
        <c:barDir val="col"/>
        <c:grouping val="clustered"/>
        <c:varyColors val="0"/>
        <c:ser>
          <c:idx val="0"/>
          <c:order val="0"/>
          <c:tx>
            <c:strRef>
              <c:f>'Dry matter content'!$C$5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'Dry matter content'!$B$6:$B$17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'Dry matter content'!$C$6:$C$17</c:f>
              <c:numCache>
                <c:formatCode>General</c:formatCode>
                <c:ptCount val="12"/>
                <c:pt idx="0">
                  <c:v>16.937000000000001</c:v>
                </c:pt>
                <c:pt idx="1">
                  <c:v>21.837</c:v>
                </c:pt>
                <c:pt idx="2">
                  <c:v>22.913</c:v>
                </c:pt>
                <c:pt idx="3">
                  <c:v>23.292999999999999</c:v>
                </c:pt>
                <c:pt idx="4">
                  <c:v>20.873000000000001</c:v>
                </c:pt>
                <c:pt idx="5">
                  <c:v>20.123000000000001</c:v>
                </c:pt>
                <c:pt idx="6">
                  <c:v>20.11</c:v>
                </c:pt>
                <c:pt idx="7">
                  <c:v>17.812999999999999</c:v>
                </c:pt>
                <c:pt idx="8">
                  <c:v>19.073</c:v>
                </c:pt>
                <c:pt idx="9">
                  <c:v>23.896999999999998</c:v>
                </c:pt>
                <c:pt idx="10">
                  <c:v>23.946999999999999</c:v>
                </c:pt>
                <c:pt idx="11">
                  <c:v>24.72</c:v>
                </c:pt>
              </c:numCache>
            </c:numRef>
          </c:val>
          <c:extLst>
            <c:ext xmlns:c16="http://schemas.microsoft.com/office/drawing/2014/chart" uri="{C3380CC4-5D6E-409C-BE32-E72D297353CC}">
              <c16:uniqueId val="{00000000-3952-4B15-BBF2-2E706193EDC8}"/>
            </c:ext>
          </c:extLst>
        </c:ser>
        <c:ser>
          <c:idx val="1"/>
          <c:order val="1"/>
          <c:tx>
            <c:strRef>
              <c:f>'Dry matter content'!$D$5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'Dry matter content'!$B$6:$B$17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'Dry matter content'!$D$6:$D$17</c:f>
              <c:numCache>
                <c:formatCode>General</c:formatCode>
                <c:ptCount val="12"/>
                <c:pt idx="0">
                  <c:v>13.66</c:v>
                </c:pt>
                <c:pt idx="1">
                  <c:v>14.113</c:v>
                </c:pt>
                <c:pt idx="2">
                  <c:v>14.16</c:v>
                </c:pt>
                <c:pt idx="3">
                  <c:v>13.962999999999999</c:v>
                </c:pt>
                <c:pt idx="4">
                  <c:v>14.263</c:v>
                </c:pt>
                <c:pt idx="5">
                  <c:v>14.727</c:v>
                </c:pt>
                <c:pt idx="6">
                  <c:v>13.962999999999999</c:v>
                </c:pt>
                <c:pt idx="7">
                  <c:v>14.263</c:v>
                </c:pt>
                <c:pt idx="8">
                  <c:v>14.563000000000001</c:v>
                </c:pt>
                <c:pt idx="9">
                  <c:v>14.663</c:v>
                </c:pt>
                <c:pt idx="10">
                  <c:v>14.913</c:v>
                </c:pt>
                <c:pt idx="11">
                  <c:v>15.13</c:v>
                </c:pt>
              </c:numCache>
            </c:numRef>
          </c:val>
          <c:extLst>
            <c:ext xmlns:c16="http://schemas.microsoft.com/office/drawing/2014/chart" uri="{C3380CC4-5D6E-409C-BE32-E72D297353CC}">
              <c16:uniqueId val="{00000001-3952-4B15-BBF2-2E706193EDC8}"/>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IN" sz="1200"/>
                  <a:t>Treatment </a:t>
                </a:r>
              </a:p>
            </c:rich>
          </c:tx>
          <c:overlay val="0"/>
          <c:spPr>
            <a:noFill/>
            <a:ln>
              <a:noFill/>
            </a:ln>
            <a:effectLst/>
          </c:spPr>
          <c:txPr>
            <a:bodyPr rot="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367790527"/>
        <c:crosses val="autoZero"/>
        <c:auto val="1"/>
        <c:lblAlgn val="ctr"/>
        <c:lblOffset val="100"/>
        <c:noMultiLvlLbl val="0"/>
      </c:catAx>
      <c:valAx>
        <c:axId val="367790527"/>
        <c:scaling>
          <c:orientation val="minMax"/>
          <c:min val="0"/>
        </c:scaling>
        <c:delete val="0"/>
        <c:axPos val="l"/>
        <c:title>
          <c:tx>
            <c:rich>
              <a:bodyPr rot="-540000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IN" sz="1150" b="1" i="0" u="none" strike="noStrike" baseline="0">
                    <a:effectLst/>
                  </a:rPr>
                  <a:t>Dry matter content of bulb (g)</a:t>
                </a:r>
                <a:endParaRPr lang="en-IN" sz="1150"/>
              </a:p>
            </c:rich>
          </c:tx>
          <c:overlay val="0"/>
          <c:spPr>
            <a:noFill/>
            <a:ln>
              <a:noFill/>
            </a:ln>
            <a:effectLst/>
          </c:spPr>
          <c:txPr>
            <a:bodyPr rot="-540000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367797727"/>
        <c:crosses val="autoZero"/>
        <c:crossBetween val="between"/>
      </c:valAx>
      <c:spPr>
        <a:noFill/>
        <a:ln>
          <a:noFill/>
        </a:ln>
        <a:effectLst/>
      </c:spPr>
    </c:plotArea>
    <c:legend>
      <c:legendPos val="b"/>
      <c:layout>
        <c:manualLayout>
          <c:xMode val="edge"/>
          <c:yMode val="edge"/>
          <c:x val="0.25222078362293598"/>
          <c:y val="8.5174970349940704E-2"/>
          <c:w val="0.60166925925925896"/>
          <c:h val="9.2070512820512804E-2"/>
        </c:manualLayout>
      </c:layout>
      <c:overlay val="0"/>
      <c:spPr>
        <a:noFill/>
        <a:ln>
          <a:noFill/>
        </a:ln>
        <a:effectLst/>
      </c:spPr>
      <c:txPr>
        <a:bodyPr rot="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legend>
    <c:plotVisOnly val="1"/>
    <c:dispBlanksAs val="gap"/>
    <c:showDLblsOverMax val="0"/>
    <c:extLst>
      <c:ext uri="{0b15fc19-7d7d-44ad-8c2d-2c3a37ce22c3}">
        <chartProps xmlns="https://web.wps.cn/et/2018/main" chartId="{93d52970-2451-4f4e-9360-17031dd11531}"/>
      </c:ext>
    </c:extLst>
  </c:chart>
  <c:spPr>
    <a:solidFill>
      <a:schemeClr val="bg1"/>
    </a:solidFill>
    <a:ln w="9525" cap="flat" cmpd="sng" algn="ctr">
      <a:solidFill>
        <a:schemeClr val="bg1"/>
      </a:solidFill>
      <a:round/>
    </a:ln>
    <a:effectLst/>
  </c:spPr>
  <c:txPr>
    <a:bodyPr/>
    <a:lstStyle/>
    <a:p>
      <a:pPr>
        <a:defRPr lang="en-US" sz="1000" b="1">
          <a:solidFill>
            <a:sysClr val="windowText" lastClr="000000"/>
          </a:solidFill>
          <a:latin typeface="Times New Roman" panose="02020603050405020304" charset="0"/>
          <a:cs typeface="Times New Roman" panose="0202060305040502030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1" i="0" u="none" strike="noStrike" kern="1200" spc="0" baseline="0">
                <a:solidFill>
                  <a:sysClr val="windowText" lastClr="000000"/>
                </a:solidFill>
                <a:latin typeface="Times New Roman" panose="02020603050405020304" charset="0"/>
                <a:ea typeface="+mn-ea"/>
                <a:cs typeface="Times New Roman" panose="02020603050405020304" charset="0"/>
              </a:defRPr>
            </a:pPr>
            <a:r>
              <a:rPr lang="en-IN">
                <a:solidFill>
                  <a:schemeClr val="bg1"/>
                </a:solidFill>
              </a:rPr>
              <a:t>a</a:t>
            </a:r>
          </a:p>
        </c:rich>
      </c:tx>
      <c:layout>
        <c:manualLayout>
          <c:xMode val="edge"/>
          <c:yMode val="edge"/>
          <c:x val="0.93936730032951998"/>
          <c:y val="0"/>
        </c:manualLayout>
      </c:layout>
      <c:overlay val="0"/>
      <c:spPr>
        <a:solidFill>
          <a:schemeClr val="tx1"/>
        </a:solidFill>
        <a:ln>
          <a:solidFill>
            <a:schemeClr val="tx1"/>
          </a:solidFill>
        </a:ln>
        <a:effectLst/>
      </c:spPr>
      <c:txPr>
        <a:bodyPr rot="0" spcFirstLastPara="1" vertOverflow="ellipsis" vert="horz" wrap="square" anchor="ctr" anchorCtr="1"/>
        <a:lstStyle/>
        <a:p>
          <a:pPr>
            <a:defRPr lang="en-US" sz="1200" b="1" i="0" u="none" strike="noStrike" kern="1200" spc="0" baseline="0">
              <a:solidFill>
                <a:sysClr val="windowText" lastClr="000000"/>
              </a:solidFill>
              <a:latin typeface="Times New Roman" panose="02020603050405020304" charset="0"/>
              <a:ea typeface="+mn-ea"/>
              <a:cs typeface="Times New Roman" panose="02020603050405020304" charset="0"/>
            </a:defRPr>
          </a:pPr>
          <a:endParaRPr lang="en-US"/>
        </a:p>
      </c:txPr>
    </c:title>
    <c:autoTitleDeleted val="0"/>
    <c:plotArea>
      <c:layout>
        <c:manualLayout>
          <c:layoutTarget val="inner"/>
          <c:xMode val="edge"/>
          <c:yMode val="edge"/>
          <c:x val="0.179835555555556"/>
          <c:y val="5.1763247863247902E-2"/>
          <c:w val="0.78960888888888903"/>
          <c:h val="0.75857905982906004"/>
        </c:manualLayout>
      </c:layout>
      <c:barChart>
        <c:barDir val="col"/>
        <c:grouping val="clustered"/>
        <c:varyColors val="0"/>
        <c:ser>
          <c:idx val="0"/>
          <c:order val="0"/>
          <c:tx>
            <c:strRef>
              <c:f>'Vertical diameter of bulb'!$C$5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'Vertical diameter of bulb'!$B$6:$B$17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'Vertical diameter of bulb'!$C$6:$C$17</c:f>
              <c:numCache>
                <c:formatCode>General</c:formatCode>
                <c:ptCount val="12"/>
                <c:pt idx="0">
                  <c:v>44.8</c:v>
                </c:pt>
                <c:pt idx="1">
                  <c:v>44.366999999999997</c:v>
                </c:pt>
                <c:pt idx="2">
                  <c:v>39.75</c:v>
                </c:pt>
                <c:pt idx="3">
                  <c:v>38.667000000000002</c:v>
                </c:pt>
                <c:pt idx="4">
                  <c:v>41.767000000000003</c:v>
                </c:pt>
                <c:pt idx="5">
                  <c:v>40.667000000000002</c:v>
                </c:pt>
                <c:pt idx="6">
                  <c:v>40.966999999999999</c:v>
                </c:pt>
                <c:pt idx="7">
                  <c:v>50.832999999999998</c:v>
                </c:pt>
                <c:pt idx="8">
                  <c:v>43.3</c:v>
                </c:pt>
                <c:pt idx="9">
                  <c:v>39.332999999999998</c:v>
                </c:pt>
                <c:pt idx="10">
                  <c:v>38.366999999999997</c:v>
                </c:pt>
                <c:pt idx="11">
                  <c:v>37.466999999999999</c:v>
                </c:pt>
              </c:numCache>
            </c:numRef>
          </c:val>
          <c:extLst>
            <c:ext xmlns:c16="http://schemas.microsoft.com/office/drawing/2014/chart" uri="{C3380CC4-5D6E-409C-BE32-E72D297353CC}">
              <c16:uniqueId val="{00000000-8B4E-4CAF-860E-ED01F79AEF4A}"/>
            </c:ext>
          </c:extLst>
        </c:ser>
        <c:ser>
          <c:idx val="1"/>
          <c:order val="1"/>
          <c:tx>
            <c:strRef>
              <c:f>'Vertical diameter of bulb'!$D$5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'Vertical diameter of bulb'!$B$6:$B$17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'Vertical diameter of bulb'!$D$6:$D$17</c:f>
              <c:numCache>
                <c:formatCode>General</c:formatCode>
                <c:ptCount val="12"/>
                <c:pt idx="0">
                  <c:v>45.3</c:v>
                </c:pt>
                <c:pt idx="1">
                  <c:v>44.667000000000002</c:v>
                </c:pt>
                <c:pt idx="2">
                  <c:v>41.582999999999998</c:v>
                </c:pt>
                <c:pt idx="3">
                  <c:v>39.167000000000002</c:v>
                </c:pt>
                <c:pt idx="4">
                  <c:v>42.267000000000003</c:v>
                </c:pt>
                <c:pt idx="5">
                  <c:v>41.167000000000002</c:v>
                </c:pt>
                <c:pt idx="6">
                  <c:v>41.466999999999999</c:v>
                </c:pt>
                <c:pt idx="7">
                  <c:v>51.332999999999998</c:v>
                </c:pt>
                <c:pt idx="8">
                  <c:v>43.8</c:v>
                </c:pt>
                <c:pt idx="9">
                  <c:v>39.832999999999998</c:v>
                </c:pt>
                <c:pt idx="10">
                  <c:v>38.866999999999997</c:v>
                </c:pt>
                <c:pt idx="11">
                  <c:v>37.966999999999999</c:v>
                </c:pt>
              </c:numCache>
            </c:numRef>
          </c:val>
          <c:extLst>
            <c:ext xmlns:c16="http://schemas.microsoft.com/office/drawing/2014/chart" uri="{C3380CC4-5D6E-409C-BE32-E72D297353CC}">
              <c16:uniqueId val="{00000001-8B4E-4CAF-860E-ED01F79AEF4A}"/>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IN" sz="1200"/>
                  <a:t>Treatment </a:t>
                </a:r>
              </a:p>
            </c:rich>
          </c:tx>
          <c:overlay val="0"/>
          <c:spPr>
            <a:noFill/>
            <a:ln>
              <a:noFill/>
            </a:ln>
            <a:effectLst/>
          </c:spPr>
          <c:txPr>
            <a:bodyPr rot="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367790527"/>
        <c:crosses val="autoZero"/>
        <c:auto val="1"/>
        <c:lblAlgn val="ctr"/>
        <c:lblOffset val="100"/>
        <c:noMultiLvlLbl val="0"/>
      </c:catAx>
      <c:valAx>
        <c:axId val="367790527"/>
        <c:scaling>
          <c:orientation val="minMax"/>
          <c:min val="0"/>
        </c:scaling>
        <c:delete val="0"/>
        <c:axPos val="l"/>
        <c:title>
          <c:tx>
            <c:rich>
              <a:bodyPr rot="-540000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IN" sz="1100"/>
                  <a:t>Vertical diameter of bulb(cm)</a:t>
                </a:r>
              </a:p>
            </c:rich>
          </c:tx>
          <c:overlay val="0"/>
          <c:spPr>
            <a:noFill/>
            <a:ln>
              <a:noFill/>
            </a:ln>
            <a:effectLst/>
          </c:spPr>
          <c:txPr>
            <a:bodyPr rot="-540000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367797727"/>
        <c:crosses val="autoZero"/>
        <c:crossBetween val="between"/>
      </c:valAx>
      <c:spPr>
        <a:noFill/>
        <a:ln>
          <a:noFill/>
        </a:ln>
        <a:effectLst/>
      </c:spPr>
    </c:plotArea>
    <c:legend>
      <c:legendPos val="b"/>
      <c:layout>
        <c:manualLayout>
          <c:xMode val="edge"/>
          <c:yMode val="edge"/>
          <c:x val="0.29456386701662302"/>
          <c:y val="1.4054753572470101E-2"/>
          <c:w val="0.60166925925925896"/>
          <c:h val="9.2070512820512804E-2"/>
        </c:manualLayout>
      </c:layout>
      <c:overlay val="0"/>
      <c:spPr>
        <a:noFill/>
        <a:ln>
          <a:noFill/>
        </a:ln>
        <a:effectLst/>
      </c:spPr>
      <c:txPr>
        <a:bodyPr rot="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legend>
    <c:plotVisOnly val="1"/>
    <c:dispBlanksAs val="gap"/>
    <c:showDLblsOverMax val="0"/>
    <c:extLst>
      <c:ext uri="{0b15fc19-7d7d-44ad-8c2d-2c3a37ce22c3}">
        <chartProps xmlns="https://web.wps.cn/et/2018/main" chartId="{950f237e-65dd-404d-999f-41918942b371}"/>
      </c:ext>
    </c:extLst>
  </c:chart>
  <c:spPr>
    <a:solidFill>
      <a:schemeClr val="bg1"/>
    </a:solidFill>
    <a:ln w="9525" cap="flat" cmpd="sng" algn="ctr">
      <a:solidFill>
        <a:schemeClr val="bg1"/>
      </a:solidFill>
      <a:round/>
    </a:ln>
    <a:effectLst/>
  </c:spPr>
  <c:txPr>
    <a:bodyPr/>
    <a:lstStyle/>
    <a:p>
      <a:pPr>
        <a:defRPr lang="en-US" sz="1000" b="1">
          <a:solidFill>
            <a:sysClr val="windowText" lastClr="000000"/>
          </a:solidFill>
          <a:latin typeface="Times New Roman" panose="02020603050405020304" charset="0"/>
          <a:cs typeface="Times New Roman" panose="0202060305040502030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1" i="0" u="none" strike="noStrike" kern="1200" spc="0" baseline="0">
                <a:solidFill>
                  <a:schemeClr val="bg1"/>
                </a:solidFill>
                <a:latin typeface="Times New Roman" panose="02020603050405020304" charset="0"/>
                <a:ea typeface="+mn-ea"/>
                <a:cs typeface="Times New Roman" panose="02020603050405020304" charset="0"/>
              </a:defRPr>
            </a:pPr>
            <a:r>
              <a:rPr lang="en-IN">
                <a:solidFill>
                  <a:schemeClr val="bg1"/>
                </a:solidFill>
              </a:rPr>
              <a:t>b</a:t>
            </a:r>
          </a:p>
        </c:rich>
      </c:tx>
      <c:layout>
        <c:manualLayout>
          <c:xMode val="edge"/>
          <c:yMode val="edge"/>
          <c:x val="0.93936730032951998"/>
          <c:y val="5.0800101600203202E-3"/>
        </c:manualLayout>
      </c:layout>
      <c:overlay val="0"/>
      <c:spPr>
        <a:solidFill>
          <a:schemeClr val="tx1"/>
        </a:solidFill>
        <a:ln>
          <a:solidFill>
            <a:schemeClr val="tx1"/>
          </a:solidFill>
        </a:ln>
        <a:effectLst/>
      </c:spPr>
      <c:txPr>
        <a:bodyPr rot="0" spcFirstLastPara="1" vertOverflow="ellipsis" vert="horz" wrap="square" anchor="ctr" anchorCtr="1"/>
        <a:lstStyle/>
        <a:p>
          <a:pPr>
            <a:defRPr lang="en-US" sz="1200" b="1" i="0" u="none" strike="noStrike" kern="1200" spc="0" baseline="0">
              <a:solidFill>
                <a:schemeClr val="bg1"/>
              </a:solidFill>
              <a:latin typeface="Times New Roman" panose="02020603050405020304" charset="0"/>
              <a:ea typeface="+mn-ea"/>
              <a:cs typeface="Times New Roman" panose="02020603050405020304" charset="0"/>
            </a:defRPr>
          </a:pPr>
          <a:endParaRPr lang="en-US"/>
        </a:p>
      </c:txPr>
    </c:title>
    <c:autoTitleDeleted val="0"/>
    <c:plotArea>
      <c:layout>
        <c:manualLayout>
          <c:layoutTarget val="inner"/>
          <c:xMode val="edge"/>
          <c:yMode val="edge"/>
          <c:x val="0.179835555555556"/>
          <c:y val="5.1763247863247902E-2"/>
          <c:w val="0.78960888888888903"/>
          <c:h val="0.75857905982906004"/>
        </c:manualLayout>
      </c:layout>
      <c:barChart>
        <c:barDir val="col"/>
        <c:grouping val="clustered"/>
        <c:varyColors val="0"/>
        <c:ser>
          <c:idx val="0"/>
          <c:order val="0"/>
          <c:tx>
            <c:strRef>
              <c:f>'Horizontal diameter of bulb '!$C$5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'Horizontal diameter of bulb '!$B$6:$B$17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'Horizontal diameter of bulb '!$C$6:$C$17</c:f>
              <c:numCache>
                <c:formatCode>General</c:formatCode>
                <c:ptCount val="12"/>
                <c:pt idx="0">
                  <c:v>53.7</c:v>
                </c:pt>
                <c:pt idx="1">
                  <c:v>45.933</c:v>
                </c:pt>
                <c:pt idx="2">
                  <c:v>43.966999999999999</c:v>
                </c:pt>
                <c:pt idx="3">
                  <c:v>42.8</c:v>
                </c:pt>
                <c:pt idx="4">
                  <c:v>46.7</c:v>
                </c:pt>
                <c:pt idx="5">
                  <c:v>46.567</c:v>
                </c:pt>
                <c:pt idx="6">
                  <c:v>48.133000000000003</c:v>
                </c:pt>
                <c:pt idx="7">
                  <c:v>54.676000000000002</c:v>
                </c:pt>
                <c:pt idx="8">
                  <c:v>52.966999999999999</c:v>
                </c:pt>
                <c:pt idx="9">
                  <c:v>40.966999999999999</c:v>
                </c:pt>
                <c:pt idx="10">
                  <c:v>39.133000000000003</c:v>
                </c:pt>
                <c:pt idx="11">
                  <c:v>39.567</c:v>
                </c:pt>
              </c:numCache>
            </c:numRef>
          </c:val>
          <c:extLst>
            <c:ext xmlns:c16="http://schemas.microsoft.com/office/drawing/2014/chart" uri="{C3380CC4-5D6E-409C-BE32-E72D297353CC}">
              <c16:uniqueId val="{00000000-ECE5-4421-86BD-B53D58487C22}"/>
            </c:ext>
          </c:extLst>
        </c:ser>
        <c:ser>
          <c:idx val="1"/>
          <c:order val="1"/>
          <c:tx>
            <c:strRef>
              <c:f>'Horizontal diameter of bulb '!$D$5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'Horizontal diameter of bulb '!$B$6:$B$17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'Horizontal diameter of bulb '!$D$6:$D$17</c:f>
              <c:numCache>
                <c:formatCode>General</c:formatCode>
                <c:ptCount val="12"/>
                <c:pt idx="0">
                  <c:v>54</c:v>
                </c:pt>
                <c:pt idx="1">
                  <c:v>44.567</c:v>
                </c:pt>
                <c:pt idx="2">
                  <c:v>44.267000000000003</c:v>
                </c:pt>
                <c:pt idx="3">
                  <c:v>43.1</c:v>
                </c:pt>
                <c:pt idx="4">
                  <c:v>47</c:v>
                </c:pt>
                <c:pt idx="5">
                  <c:v>46.866999999999997</c:v>
                </c:pt>
                <c:pt idx="6">
                  <c:v>48.433</c:v>
                </c:pt>
                <c:pt idx="7">
                  <c:v>55.067</c:v>
                </c:pt>
                <c:pt idx="8">
                  <c:v>53.267000000000003</c:v>
                </c:pt>
                <c:pt idx="9">
                  <c:v>41.267000000000003</c:v>
                </c:pt>
                <c:pt idx="10">
                  <c:v>39.332999999999998</c:v>
                </c:pt>
                <c:pt idx="11">
                  <c:v>39.866999999999997</c:v>
                </c:pt>
              </c:numCache>
            </c:numRef>
          </c:val>
          <c:extLst>
            <c:ext xmlns:c16="http://schemas.microsoft.com/office/drawing/2014/chart" uri="{C3380CC4-5D6E-409C-BE32-E72D297353CC}">
              <c16:uniqueId val="{00000001-ECE5-4421-86BD-B53D58487C22}"/>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IN" sz="1200"/>
                  <a:t>Treatment </a:t>
                </a:r>
              </a:p>
            </c:rich>
          </c:tx>
          <c:overlay val="0"/>
          <c:spPr>
            <a:noFill/>
            <a:ln>
              <a:noFill/>
            </a:ln>
            <a:effectLst/>
          </c:spPr>
          <c:txPr>
            <a:bodyPr rot="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367790527"/>
        <c:crosses val="autoZero"/>
        <c:auto val="1"/>
        <c:lblAlgn val="ctr"/>
        <c:lblOffset val="100"/>
        <c:noMultiLvlLbl val="0"/>
      </c:catAx>
      <c:valAx>
        <c:axId val="367790527"/>
        <c:scaling>
          <c:orientation val="minMax"/>
          <c:min val="0"/>
        </c:scaling>
        <c:delete val="0"/>
        <c:axPos val="l"/>
        <c:title>
          <c:tx>
            <c:rich>
              <a:bodyPr rot="-540000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IN" sz="1050" b="1" i="0" u="none" strike="noStrike" baseline="0">
                    <a:effectLst/>
                  </a:rPr>
                  <a:t>Horizontal diameter of bulb </a:t>
                </a:r>
                <a:r>
                  <a:rPr lang="en-IN" sz="1050"/>
                  <a:t>(cm)</a:t>
                </a:r>
              </a:p>
            </c:rich>
          </c:tx>
          <c:overlay val="0"/>
          <c:spPr>
            <a:noFill/>
            <a:ln>
              <a:noFill/>
            </a:ln>
            <a:effectLst/>
          </c:spPr>
          <c:txPr>
            <a:bodyPr rot="-540000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367797727"/>
        <c:crosses val="autoZero"/>
        <c:crossBetween val="between"/>
      </c:valAx>
      <c:spPr>
        <a:noFill/>
        <a:ln>
          <a:noFill/>
        </a:ln>
        <a:effectLst/>
      </c:spPr>
    </c:plotArea>
    <c:legend>
      <c:legendPos val="b"/>
      <c:layout>
        <c:manualLayout>
          <c:xMode val="edge"/>
          <c:yMode val="edge"/>
          <c:x val="0.233401682235028"/>
          <c:y val="1.9134838269676501E-2"/>
          <c:w val="0.60166925925925896"/>
          <c:h val="9.2070512820512804E-2"/>
        </c:manualLayout>
      </c:layout>
      <c:overlay val="0"/>
      <c:spPr>
        <a:noFill/>
        <a:ln>
          <a:noFill/>
        </a:ln>
        <a:effectLst/>
      </c:spPr>
      <c:txPr>
        <a:bodyPr rot="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legend>
    <c:plotVisOnly val="1"/>
    <c:dispBlanksAs val="gap"/>
    <c:showDLblsOverMax val="0"/>
    <c:extLst>
      <c:ext uri="{0b15fc19-7d7d-44ad-8c2d-2c3a37ce22c3}">
        <chartProps xmlns="https://web.wps.cn/et/2018/main" chartId="{fcf4cb34-d07f-40a1-9ec5-c73bce8abcce}"/>
      </c:ext>
    </c:extLst>
  </c:chart>
  <c:spPr>
    <a:solidFill>
      <a:schemeClr val="bg1"/>
    </a:solidFill>
    <a:ln w="9525" cap="flat" cmpd="sng" algn="ctr">
      <a:solidFill>
        <a:schemeClr val="bg1"/>
      </a:solidFill>
      <a:round/>
    </a:ln>
    <a:effectLst/>
  </c:spPr>
  <c:txPr>
    <a:bodyPr/>
    <a:lstStyle/>
    <a:p>
      <a:pPr>
        <a:defRPr lang="en-US" sz="1000" b="1">
          <a:solidFill>
            <a:sysClr val="windowText" lastClr="000000"/>
          </a:solidFill>
          <a:latin typeface="Times New Roman" panose="02020603050405020304" charset="0"/>
          <a:cs typeface="Times New Roman" panose="0202060305040502030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835555555556"/>
          <c:y val="5.1763247863247902E-2"/>
          <c:w val="0.78960888888888903"/>
          <c:h val="0.75857905982906004"/>
        </c:manualLayout>
      </c:layout>
      <c:barChart>
        <c:barDir val="col"/>
        <c:grouping val="clustered"/>
        <c:varyColors val="0"/>
        <c:ser>
          <c:idx val="0"/>
          <c:order val="0"/>
          <c:tx>
            <c:strRef>
              <c:f>'Yield per bed (q.)'!$C$5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'Yield per bed (q.)'!$B$6:$B$17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'Yield per bed (q.)'!$C$6:$C$17</c:f>
              <c:numCache>
                <c:formatCode>General</c:formatCode>
                <c:ptCount val="12"/>
                <c:pt idx="0">
                  <c:v>0</c:v>
                </c:pt>
                <c:pt idx="1">
                  <c:v>17.5</c:v>
                </c:pt>
                <c:pt idx="2">
                  <c:v>17.100000000000001</c:v>
                </c:pt>
                <c:pt idx="3">
                  <c:v>16.556999999999999</c:v>
                </c:pt>
                <c:pt idx="4">
                  <c:v>18.876999999999999</c:v>
                </c:pt>
                <c:pt idx="5">
                  <c:v>18.100000000000001</c:v>
                </c:pt>
                <c:pt idx="6">
                  <c:v>19.350000000000001</c:v>
                </c:pt>
                <c:pt idx="7">
                  <c:v>21.78</c:v>
                </c:pt>
                <c:pt idx="8">
                  <c:v>20.027000000000001</c:v>
                </c:pt>
                <c:pt idx="9">
                  <c:v>16.417000000000002</c:v>
                </c:pt>
                <c:pt idx="10">
                  <c:v>16.266999999999999</c:v>
                </c:pt>
                <c:pt idx="11">
                  <c:v>15.933</c:v>
                </c:pt>
              </c:numCache>
            </c:numRef>
          </c:val>
          <c:extLst>
            <c:ext xmlns:c16="http://schemas.microsoft.com/office/drawing/2014/chart" uri="{C3380CC4-5D6E-409C-BE32-E72D297353CC}">
              <c16:uniqueId val="{00000000-0A94-499B-9362-CE9A4E2902FC}"/>
            </c:ext>
          </c:extLst>
        </c:ser>
        <c:ser>
          <c:idx val="1"/>
          <c:order val="1"/>
          <c:tx>
            <c:strRef>
              <c:f>'Yield per bed (q.)'!$D$5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'Yield per bed (q.)'!$B$6:$B$17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'Yield per bed (q.)'!$D$6:$D$17</c:f>
              <c:numCache>
                <c:formatCode>General</c:formatCode>
                <c:ptCount val="12"/>
                <c:pt idx="0">
                  <c:v>22.04</c:v>
                </c:pt>
                <c:pt idx="1">
                  <c:v>18.5</c:v>
                </c:pt>
                <c:pt idx="2">
                  <c:v>18.100000000000001</c:v>
                </c:pt>
                <c:pt idx="3">
                  <c:v>17.556999999999999</c:v>
                </c:pt>
                <c:pt idx="4">
                  <c:v>19.876999999999999</c:v>
                </c:pt>
                <c:pt idx="5">
                  <c:v>19.100000000000001</c:v>
                </c:pt>
                <c:pt idx="6">
                  <c:v>19.899999999999999</c:v>
                </c:pt>
                <c:pt idx="7">
                  <c:v>22.78</c:v>
                </c:pt>
                <c:pt idx="8">
                  <c:v>21.027000000000001</c:v>
                </c:pt>
                <c:pt idx="9">
                  <c:v>17.417000000000002</c:v>
                </c:pt>
                <c:pt idx="10">
                  <c:v>17.266999999999999</c:v>
                </c:pt>
                <c:pt idx="11">
                  <c:v>16.933</c:v>
                </c:pt>
              </c:numCache>
            </c:numRef>
          </c:val>
          <c:extLst>
            <c:ext xmlns:c16="http://schemas.microsoft.com/office/drawing/2014/chart" uri="{C3380CC4-5D6E-409C-BE32-E72D297353CC}">
              <c16:uniqueId val="{00000001-0A94-499B-9362-CE9A4E2902FC}"/>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IN" sz="1200"/>
                  <a:t>Treatment </a:t>
                </a:r>
              </a:p>
            </c:rich>
          </c:tx>
          <c:overlay val="0"/>
          <c:spPr>
            <a:noFill/>
            <a:ln>
              <a:noFill/>
            </a:ln>
            <a:effectLst/>
          </c:spPr>
          <c:txPr>
            <a:bodyPr rot="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367790527"/>
        <c:crosses val="autoZero"/>
        <c:auto val="1"/>
        <c:lblAlgn val="ctr"/>
        <c:lblOffset val="100"/>
        <c:noMultiLvlLbl val="0"/>
      </c:catAx>
      <c:valAx>
        <c:axId val="367790527"/>
        <c:scaling>
          <c:orientation val="minMax"/>
          <c:min val="0"/>
        </c:scaling>
        <c:delete val="0"/>
        <c:axPos val="l"/>
        <c:title>
          <c:tx>
            <c:rich>
              <a:bodyPr rot="-540000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IN" sz="1200" b="1" i="0" u="none" strike="noStrike" baseline="0">
                    <a:effectLst/>
                  </a:rPr>
                  <a:t>Yield per bed (q)</a:t>
                </a:r>
                <a:endParaRPr lang="en-IN" sz="1200"/>
              </a:p>
            </c:rich>
          </c:tx>
          <c:overlay val="0"/>
          <c:spPr>
            <a:noFill/>
            <a:ln>
              <a:noFill/>
            </a:ln>
            <a:effectLst/>
          </c:spPr>
          <c:txPr>
            <a:bodyPr rot="-540000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367797727"/>
        <c:crosses val="autoZero"/>
        <c:crossBetween val="between"/>
      </c:valAx>
      <c:spPr>
        <a:noFill/>
        <a:ln>
          <a:noFill/>
        </a:ln>
        <a:effectLst/>
      </c:spPr>
    </c:plotArea>
    <c:legend>
      <c:legendPos val="b"/>
      <c:layout>
        <c:manualLayout>
          <c:xMode val="edge"/>
          <c:yMode val="edge"/>
          <c:x val="0.29456386701662302"/>
          <c:y val="1.4054753572470101E-2"/>
          <c:w val="0.60166925925925896"/>
          <c:h val="9.2070512820512804E-2"/>
        </c:manualLayout>
      </c:layout>
      <c:overlay val="0"/>
      <c:spPr>
        <a:noFill/>
        <a:ln>
          <a:noFill/>
        </a:ln>
        <a:effectLst/>
      </c:spPr>
      <c:txPr>
        <a:bodyPr rot="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legend>
    <c:plotVisOnly val="1"/>
    <c:dispBlanksAs val="gap"/>
    <c:showDLblsOverMax val="0"/>
    <c:extLst>
      <c:ext uri="{0b15fc19-7d7d-44ad-8c2d-2c3a37ce22c3}">
        <chartProps xmlns="https://web.wps.cn/et/2018/main" chartId="{54cc2323-585e-4b34-a704-8dbe280239c7}"/>
      </c:ext>
    </c:extLst>
  </c:chart>
  <c:spPr>
    <a:solidFill>
      <a:schemeClr val="bg1"/>
    </a:solidFill>
    <a:ln w="9525" cap="flat" cmpd="sng" algn="ctr">
      <a:solidFill>
        <a:schemeClr val="bg1"/>
      </a:solidFill>
      <a:round/>
    </a:ln>
    <a:effectLst/>
  </c:spPr>
  <c:txPr>
    <a:bodyPr/>
    <a:lstStyle/>
    <a:p>
      <a:pPr>
        <a:defRPr lang="en-US" sz="1000" b="1">
          <a:solidFill>
            <a:sysClr val="windowText" lastClr="000000"/>
          </a:solidFill>
          <a:latin typeface="Times New Roman" panose="02020603050405020304" charset="0"/>
          <a:cs typeface="Times New Roman" panose="0202060305040502030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835555555556"/>
          <c:y val="5.1763247863247902E-2"/>
          <c:w val="0.78960888888888903"/>
          <c:h val="0.75857905982906004"/>
        </c:manualLayout>
      </c:layout>
      <c:barChart>
        <c:barDir val="col"/>
        <c:grouping val="clustered"/>
        <c:varyColors val="0"/>
        <c:ser>
          <c:idx val="0"/>
          <c:order val="0"/>
          <c:tx>
            <c:strRef>
              <c:f>'Yield per hectare (q.)'!$C$5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'Yield per hectare (q.)'!$B$6:$B$17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'Yield per hectare (q.)'!$C$6:$C$17</c:f>
              <c:numCache>
                <c:formatCode>General</c:formatCode>
                <c:ptCount val="12"/>
                <c:pt idx="0">
                  <c:v>0</c:v>
                </c:pt>
                <c:pt idx="1">
                  <c:v>216.12700000000001</c:v>
                </c:pt>
                <c:pt idx="2">
                  <c:v>211.19</c:v>
                </c:pt>
                <c:pt idx="3">
                  <c:v>204.483</c:v>
                </c:pt>
                <c:pt idx="4">
                  <c:v>233.13</c:v>
                </c:pt>
                <c:pt idx="5">
                  <c:v>223.523</c:v>
                </c:pt>
                <c:pt idx="6">
                  <c:v>238.977</c:v>
                </c:pt>
                <c:pt idx="7">
                  <c:v>268.99299999999999</c:v>
                </c:pt>
                <c:pt idx="8">
                  <c:v>246.51</c:v>
                </c:pt>
                <c:pt idx="9">
                  <c:v>202.75</c:v>
                </c:pt>
                <c:pt idx="10">
                  <c:v>200.89699999999999</c:v>
                </c:pt>
                <c:pt idx="11">
                  <c:v>196.78299999999999</c:v>
                </c:pt>
              </c:numCache>
            </c:numRef>
          </c:val>
          <c:extLst>
            <c:ext xmlns:c16="http://schemas.microsoft.com/office/drawing/2014/chart" uri="{C3380CC4-5D6E-409C-BE32-E72D297353CC}">
              <c16:uniqueId val="{00000000-7538-4852-9C52-F481D3C57639}"/>
            </c:ext>
          </c:extLst>
        </c:ser>
        <c:ser>
          <c:idx val="1"/>
          <c:order val="1"/>
          <c:tx>
            <c:strRef>
              <c:f>'Yield per hectare (q.)'!$D$5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'Yield per hectare (q.)'!$B$6:$B$17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'Yield per hectare (q.)'!$D$6:$D$17</c:f>
              <c:numCache>
                <c:formatCode>General</c:formatCode>
                <c:ptCount val="12"/>
                <c:pt idx="0">
                  <c:v>272.18700000000001</c:v>
                </c:pt>
                <c:pt idx="1">
                  <c:v>228.47</c:v>
                </c:pt>
                <c:pt idx="2">
                  <c:v>223.53</c:v>
                </c:pt>
                <c:pt idx="3">
                  <c:v>216.82300000000001</c:v>
                </c:pt>
                <c:pt idx="4">
                  <c:v>245.47300000000001</c:v>
                </c:pt>
                <c:pt idx="5">
                  <c:v>235.88</c:v>
                </c:pt>
                <c:pt idx="6">
                  <c:v>251.32</c:v>
                </c:pt>
                <c:pt idx="7">
                  <c:v>281.33</c:v>
                </c:pt>
                <c:pt idx="8">
                  <c:v>259.673</c:v>
                </c:pt>
                <c:pt idx="9">
                  <c:v>215.09</c:v>
                </c:pt>
                <c:pt idx="10">
                  <c:v>213.23699999999999</c:v>
                </c:pt>
                <c:pt idx="11">
                  <c:v>209.12299999999999</c:v>
                </c:pt>
              </c:numCache>
            </c:numRef>
          </c:val>
          <c:extLst>
            <c:ext xmlns:c16="http://schemas.microsoft.com/office/drawing/2014/chart" uri="{C3380CC4-5D6E-409C-BE32-E72D297353CC}">
              <c16:uniqueId val="{00000001-7538-4852-9C52-F481D3C57639}"/>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IN" sz="1200"/>
                  <a:t>Treatment </a:t>
                </a:r>
              </a:p>
            </c:rich>
          </c:tx>
          <c:overlay val="0"/>
          <c:spPr>
            <a:noFill/>
            <a:ln>
              <a:noFill/>
            </a:ln>
            <a:effectLst/>
          </c:spPr>
          <c:txPr>
            <a:bodyPr rot="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367790527"/>
        <c:crosses val="autoZero"/>
        <c:auto val="1"/>
        <c:lblAlgn val="ctr"/>
        <c:lblOffset val="100"/>
        <c:noMultiLvlLbl val="0"/>
      </c:catAx>
      <c:valAx>
        <c:axId val="367790527"/>
        <c:scaling>
          <c:orientation val="minMax"/>
          <c:min val="0"/>
        </c:scaling>
        <c:delete val="0"/>
        <c:axPos val="l"/>
        <c:title>
          <c:tx>
            <c:rich>
              <a:bodyPr rot="-540000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IN" sz="1200" b="1" i="0" u="none" strike="noStrike" baseline="0">
                    <a:effectLst/>
                  </a:rPr>
                  <a:t>Yield per hectare (q)</a:t>
                </a:r>
                <a:endParaRPr lang="en-IN" sz="1200"/>
              </a:p>
            </c:rich>
          </c:tx>
          <c:overlay val="0"/>
          <c:spPr>
            <a:noFill/>
            <a:ln>
              <a:noFill/>
            </a:ln>
            <a:effectLst/>
          </c:spPr>
          <c:txPr>
            <a:bodyPr rot="-540000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367797727"/>
        <c:crosses val="autoZero"/>
        <c:crossBetween val="between"/>
      </c:valAx>
      <c:spPr>
        <a:noFill/>
        <a:ln>
          <a:noFill/>
        </a:ln>
        <a:effectLst/>
      </c:spPr>
    </c:plotArea>
    <c:legend>
      <c:legendPos val="b"/>
      <c:layout>
        <c:manualLayout>
          <c:xMode val="edge"/>
          <c:yMode val="edge"/>
          <c:x val="0.29456386701662302"/>
          <c:y val="1.4054753572470101E-2"/>
          <c:w val="0.60166925925925896"/>
          <c:h val="9.2070512820512804E-2"/>
        </c:manualLayout>
      </c:layout>
      <c:overlay val="0"/>
      <c:spPr>
        <a:noFill/>
        <a:ln>
          <a:noFill/>
        </a:ln>
        <a:effectLst/>
      </c:spPr>
      <c:txPr>
        <a:bodyPr rot="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legend>
    <c:plotVisOnly val="1"/>
    <c:dispBlanksAs val="gap"/>
    <c:showDLblsOverMax val="0"/>
    <c:extLst>
      <c:ext uri="{0b15fc19-7d7d-44ad-8c2d-2c3a37ce22c3}">
        <chartProps xmlns="https://web.wps.cn/et/2018/main" chartId="{ce2f24bc-7a32-4d89-82e7-0231b585dded}"/>
      </c:ext>
    </c:extLst>
  </c:chart>
  <c:spPr>
    <a:solidFill>
      <a:schemeClr val="bg1"/>
    </a:solidFill>
    <a:ln w="9525" cap="flat" cmpd="sng" algn="ctr">
      <a:solidFill>
        <a:schemeClr val="bg1"/>
      </a:solidFill>
      <a:round/>
    </a:ln>
    <a:effectLst/>
  </c:spPr>
  <c:txPr>
    <a:bodyPr/>
    <a:lstStyle/>
    <a:p>
      <a:pPr>
        <a:defRPr lang="en-US" sz="1000" b="1">
          <a:solidFill>
            <a:sysClr val="windowText" lastClr="000000"/>
          </a:solidFill>
          <a:latin typeface="Times New Roman" panose="02020603050405020304" charset="0"/>
          <a:cs typeface="Times New Roman" panose="0202060305040502030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1" i="0" u="none" strike="noStrike" kern="1200" spc="0" baseline="0">
                <a:solidFill>
                  <a:schemeClr val="bg1"/>
                </a:solidFill>
                <a:latin typeface="Times New Roman" panose="02020603050405020304" charset="0"/>
                <a:ea typeface="+mn-ea"/>
                <a:cs typeface="Times New Roman" panose="02020603050405020304" charset="0"/>
              </a:defRPr>
            </a:pPr>
            <a:r>
              <a:rPr lang="en-IN">
                <a:solidFill>
                  <a:schemeClr val="bg1"/>
                </a:solidFill>
              </a:rPr>
              <a:t>b</a:t>
            </a:r>
          </a:p>
        </c:rich>
      </c:tx>
      <c:layout>
        <c:manualLayout>
          <c:xMode val="edge"/>
          <c:yMode val="edge"/>
          <c:x val="0.93595615297558499"/>
          <c:y val="0"/>
        </c:manualLayout>
      </c:layout>
      <c:overlay val="0"/>
      <c:spPr>
        <a:solidFill>
          <a:schemeClr val="tx1"/>
        </a:solidFill>
        <a:ln>
          <a:solidFill>
            <a:schemeClr val="tx1"/>
          </a:solidFill>
        </a:ln>
        <a:effectLst/>
      </c:spPr>
      <c:txPr>
        <a:bodyPr rot="0" spcFirstLastPara="1" vertOverflow="ellipsis" vert="horz" wrap="square" anchor="ctr" anchorCtr="1"/>
        <a:lstStyle/>
        <a:p>
          <a:pPr>
            <a:defRPr lang="en-US" sz="1200" b="1" i="0" u="none" strike="noStrike" kern="1200" spc="0" baseline="0">
              <a:solidFill>
                <a:schemeClr val="bg1"/>
              </a:solidFill>
              <a:latin typeface="Times New Roman" panose="02020603050405020304" charset="0"/>
              <a:ea typeface="+mn-ea"/>
              <a:cs typeface="Times New Roman" panose="02020603050405020304" charset="0"/>
            </a:defRPr>
          </a:pPr>
          <a:endParaRPr lang="en-US"/>
        </a:p>
      </c:txPr>
    </c:title>
    <c:autoTitleDeleted val="0"/>
    <c:plotArea>
      <c:layout>
        <c:manualLayout>
          <c:layoutTarget val="inner"/>
          <c:xMode val="edge"/>
          <c:yMode val="edge"/>
          <c:x val="0.179835555555556"/>
          <c:y val="5.1763247863247902E-2"/>
          <c:w val="0.78960888888888903"/>
          <c:h val="0.75857905982906004"/>
        </c:manualLayout>
      </c:layout>
      <c:barChart>
        <c:barDir val="col"/>
        <c:grouping val="clustered"/>
        <c:varyColors val="0"/>
        <c:ser>
          <c:idx val="0"/>
          <c:order val="0"/>
          <c:tx>
            <c:strRef>
              <c:f>'No. of leaves'!$C$5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'No. of leaves'!$B$6:$B$17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'No. of leaves'!$C$6:$C$17</c:f>
              <c:numCache>
                <c:formatCode>General</c:formatCode>
                <c:ptCount val="12"/>
                <c:pt idx="0">
                  <c:v>11.266999999999999</c:v>
                </c:pt>
                <c:pt idx="1">
                  <c:v>9.94</c:v>
                </c:pt>
                <c:pt idx="2">
                  <c:v>9.8829999999999991</c:v>
                </c:pt>
                <c:pt idx="3">
                  <c:v>9.8070000000000004</c:v>
                </c:pt>
                <c:pt idx="4">
                  <c:v>10.173</c:v>
                </c:pt>
                <c:pt idx="5">
                  <c:v>10.083</c:v>
                </c:pt>
                <c:pt idx="6">
                  <c:v>10.403</c:v>
                </c:pt>
                <c:pt idx="7">
                  <c:v>11.487</c:v>
                </c:pt>
                <c:pt idx="8">
                  <c:v>10.952999999999999</c:v>
                </c:pt>
                <c:pt idx="9">
                  <c:v>9.7899999999999991</c:v>
                </c:pt>
                <c:pt idx="10">
                  <c:v>9.6929999999999996</c:v>
                </c:pt>
                <c:pt idx="11">
                  <c:v>9.4600000000000009</c:v>
                </c:pt>
              </c:numCache>
            </c:numRef>
          </c:val>
          <c:extLst>
            <c:ext xmlns:c16="http://schemas.microsoft.com/office/drawing/2014/chart" uri="{C3380CC4-5D6E-409C-BE32-E72D297353CC}">
              <c16:uniqueId val="{00000000-513F-4665-A61C-E2FD9ECE01BB}"/>
            </c:ext>
          </c:extLst>
        </c:ser>
        <c:ser>
          <c:idx val="1"/>
          <c:order val="1"/>
          <c:tx>
            <c:strRef>
              <c:f>'No. of leaves'!$D$5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'No. of leaves'!$B$6:$B$17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'No. of leaves'!$D$6:$D$17</c:f>
              <c:numCache>
                <c:formatCode>General</c:formatCode>
                <c:ptCount val="12"/>
                <c:pt idx="0">
                  <c:v>11.667</c:v>
                </c:pt>
                <c:pt idx="1">
                  <c:v>10.34</c:v>
                </c:pt>
                <c:pt idx="2">
                  <c:v>10.282999999999999</c:v>
                </c:pt>
                <c:pt idx="3">
                  <c:v>10.207000000000001</c:v>
                </c:pt>
                <c:pt idx="4">
                  <c:v>10.573</c:v>
                </c:pt>
                <c:pt idx="5">
                  <c:v>10.483000000000001</c:v>
                </c:pt>
                <c:pt idx="6">
                  <c:v>10.77</c:v>
                </c:pt>
                <c:pt idx="7">
                  <c:v>11.887</c:v>
                </c:pt>
                <c:pt idx="8">
                  <c:v>11.353</c:v>
                </c:pt>
                <c:pt idx="9">
                  <c:v>10.19</c:v>
                </c:pt>
                <c:pt idx="10">
                  <c:v>10.093</c:v>
                </c:pt>
                <c:pt idx="11">
                  <c:v>9.86</c:v>
                </c:pt>
              </c:numCache>
            </c:numRef>
          </c:val>
          <c:extLst>
            <c:ext xmlns:c16="http://schemas.microsoft.com/office/drawing/2014/chart" uri="{C3380CC4-5D6E-409C-BE32-E72D297353CC}">
              <c16:uniqueId val="{00000001-513F-4665-A61C-E2FD9ECE01BB}"/>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IN" sz="1200"/>
                  <a:t>Treatment </a:t>
                </a:r>
              </a:p>
            </c:rich>
          </c:tx>
          <c:overlay val="0"/>
          <c:spPr>
            <a:noFill/>
            <a:ln>
              <a:noFill/>
            </a:ln>
            <a:effectLst/>
          </c:spPr>
          <c:txPr>
            <a:bodyPr rot="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367790527"/>
        <c:crosses val="autoZero"/>
        <c:auto val="1"/>
        <c:lblAlgn val="ctr"/>
        <c:lblOffset val="100"/>
        <c:noMultiLvlLbl val="0"/>
      </c:catAx>
      <c:valAx>
        <c:axId val="367790527"/>
        <c:scaling>
          <c:orientation val="minMax"/>
        </c:scaling>
        <c:delete val="0"/>
        <c:axPos val="l"/>
        <c:title>
          <c:tx>
            <c:rich>
              <a:bodyPr rot="-540000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IN" sz="1200"/>
                  <a:t>Number of leaves</a:t>
                </a:r>
              </a:p>
            </c:rich>
          </c:tx>
          <c:overlay val="0"/>
          <c:spPr>
            <a:noFill/>
            <a:ln>
              <a:noFill/>
            </a:ln>
            <a:effectLst/>
          </c:spPr>
          <c:txPr>
            <a:bodyPr rot="-540000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367797727"/>
        <c:crosses val="autoZero"/>
        <c:crossBetween val="between"/>
      </c:valAx>
      <c:spPr>
        <a:noFill/>
        <a:ln>
          <a:noFill/>
        </a:ln>
        <a:effectLst/>
      </c:spPr>
    </c:plotArea>
    <c:legend>
      <c:legendPos val="b"/>
      <c:layout>
        <c:manualLayout>
          <c:xMode val="edge"/>
          <c:yMode val="edge"/>
          <c:x val="0.29456386701662302"/>
          <c:y val="1.4054753572470101E-2"/>
          <c:w val="0.60166925925925896"/>
          <c:h val="9.2070512820512804E-2"/>
        </c:manualLayout>
      </c:layout>
      <c:overlay val="0"/>
      <c:spPr>
        <a:noFill/>
        <a:ln>
          <a:noFill/>
        </a:ln>
        <a:effectLst/>
      </c:spPr>
      <c:txPr>
        <a:bodyPr rot="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legend>
    <c:plotVisOnly val="1"/>
    <c:dispBlanksAs val="gap"/>
    <c:showDLblsOverMax val="0"/>
    <c:extLst>
      <c:ext uri="{0b15fc19-7d7d-44ad-8c2d-2c3a37ce22c3}">
        <chartProps xmlns="https://web.wps.cn/et/2018/main" chartId="{2caad28a-7b6b-47fb-918a-58ef6aec7650}"/>
      </c:ext>
    </c:extLst>
  </c:chart>
  <c:spPr>
    <a:solidFill>
      <a:schemeClr val="bg1"/>
    </a:solidFill>
    <a:ln w="9525" cap="flat" cmpd="sng" algn="ctr">
      <a:solidFill>
        <a:schemeClr val="bg1"/>
      </a:solidFill>
      <a:round/>
    </a:ln>
    <a:effectLst/>
  </c:spPr>
  <c:txPr>
    <a:bodyPr/>
    <a:lstStyle/>
    <a:p>
      <a:pPr>
        <a:defRPr lang="en-US" sz="1000" b="1">
          <a:solidFill>
            <a:sysClr val="windowText" lastClr="000000"/>
          </a:solidFill>
          <a:latin typeface="Times New Roman" panose="02020603050405020304" charset="0"/>
          <a:cs typeface="Times New Roman" panose="0202060305040502030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1" i="0" u="none" strike="noStrike" kern="1200" spc="0" baseline="0">
                <a:solidFill>
                  <a:schemeClr val="bg1"/>
                </a:solidFill>
                <a:latin typeface="Times New Roman" panose="02020603050405020304" charset="0"/>
                <a:ea typeface="+mn-ea"/>
                <a:cs typeface="Times New Roman" panose="02020603050405020304" charset="0"/>
              </a:defRPr>
            </a:pPr>
            <a:r>
              <a:rPr lang="en-IN" sz="1200">
                <a:solidFill>
                  <a:schemeClr val="bg1"/>
                </a:solidFill>
              </a:rPr>
              <a:t>c</a:t>
            </a:r>
          </a:p>
        </c:rich>
      </c:tx>
      <c:layout>
        <c:manualLayout>
          <c:xMode val="edge"/>
          <c:yMode val="edge"/>
          <c:x val="0.94383683690914799"/>
          <c:y val="0"/>
        </c:manualLayout>
      </c:layout>
      <c:overlay val="0"/>
      <c:spPr>
        <a:solidFill>
          <a:schemeClr val="tx1"/>
        </a:solidFill>
        <a:ln>
          <a:solidFill>
            <a:schemeClr val="tx1"/>
          </a:solidFill>
        </a:ln>
        <a:effectLst/>
      </c:spPr>
      <c:txPr>
        <a:bodyPr rot="0" spcFirstLastPara="1" vertOverflow="ellipsis" vert="horz" wrap="square" anchor="ctr" anchorCtr="1"/>
        <a:lstStyle/>
        <a:p>
          <a:pPr>
            <a:defRPr lang="en-US" sz="1200" b="1" i="0" u="none" strike="noStrike" kern="1200" spc="0" baseline="0">
              <a:solidFill>
                <a:schemeClr val="bg1"/>
              </a:solidFill>
              <a:latin typeface="Times New Roman" panose="02020603050405020304" charset="0"/>
              <a:ea typeface="+mn-ea"/>
              <a:cs typeface="Times New Roman" panose="02020603050405020304" charset="0"/>
            </a:defRPr>
          </a:pPr>
          <a:endParaRPr lang="en-US"/>
        </a:p>
      </c:txPr>
    </c:title>
    <c:autoTitleDeleted val="0"/>
    <c:plotArea>
      <c:layout>
        <c:manualLayout>
          <c:layoutTarget val="inner"/>
          <c:xMode val="edge"/>
          <c:yMode val="edge"/>
          <c:x val="0.179835555555556"/>
          <c:y val="5.1763247863247902E-2"/>
          <c:w val="0.78960888888888903"/>
          <c:h val="0.75857905982906004"/>
        </c:manualLayout>
      </c:layout>
      <c:barChart>
        <c:barDir val="col"/>
        <c:grouping val="clustered"/>
        <c:varyColors val="0"/>
        <c:ser>
          <c:idx val="0"/>
          <c:order val="0"/>
          <c:tx>
            <c:strRef>
              <c:f>'Maximum length of leaves'!$C$5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'Maximum length of leaves'!$B$6:$B$17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'Maximum length of leaves'!$C$6:$C$17</c:f>
              <c:numCache>
                <c:formatCode>General</c:formatCode>
                <c:ptCount val="12"/>
                <c:pt idx="0">
                  <c:v>49.15</c:v>
                </c:pt>
                <c:pt idx="1">
                  <c:v>51.482999999999997</c:v>
                </c:pt>
                <c:pt idx="2">
                  <c:v>57.482999999999997</c:v>
                </c:pt>
                <c:pt idx="3">
                  <c:v>50.582999999999998</c:v>
                </c:pt>
                <c:pt idx="4">
                  <c:v>52.506999999999998</c:v>
                </c:pt>
                <c:pt idx="5">
                  <c:v>55.317</c:v>
                </c:pt>
                <c:pt idx="6">
                  <c:v>53.216999999999999</c:v>
                </c:pt>
                <c:pt idx="7">
                  <c:v>51.14</c:v>
                </c:pt>
                <c:pt idx="8">
                  <c:v>52.85</c:v>
                </c:pt>
                <c:pt idx="9">
                  <c:v>51.26</c:v>
                </c:pt>
                <c:pt idx="10">
                  <c:v>52.95</c:v>
                </c:pt>
                <c:pt idx="11">
                  <c:v>59.447000000000003</c:v>
                </c:pt>
              </c:numCache>
            </c:numRef>
          </c:val>
          <c:extLst>
            <c:ext xmlns:c16="http://schemas.microsoft.com/office/drawing/2014/chart" uri="{C3380CC4-5D6E-409C-BE32-E72D297353CC}">
              <c16:uniqueId val="{00000000-002C-4EC5-A2E4-1BDE846ADB76}"/>
            </c:ext>
          </c:extLst>
        </c:ser>
        <c:ser>
          <c:idx val="1"/>
          <c:order val="1"/>
          <c:tx>
            <c:strRef>
              <c:f>'Maximum length of leaves'!$D$5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'Maximum length of leaves'!$B$6:$B$17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'Maximum length of leaves'!$D$6:$D$17</c:f>
              <c:numCache>
                <c:formatCode>General</c:formatCode>
                <c:ptCount val="12"/>
                <c:pt idx="0">
                  <c:v>50.65</c:v>
                </c:pt>
                <c:pt idx="1">
                  <c:v>52.982999999999997</c:v>
                </c:pt>
                <c:pt idx="2">
                  <c:v>58.982999999999997</c:v>
                </c:pt>
                <c:pt idx="3">
                  <c:v>52.082999999999998</c:v>
                </c:pt>
                <c:pt idx="4">
                  <c:v>54.017000000000003</c:v>
                </c:pt>
                <c:pt idx="5">
                  <c:v>56.817</c:v>
                </c:pt>
                <c:pt idx="6">
                  <c:v>54.55</c:v>
                </c:pt>
                <c:pt idx="7">
                  <c:v>52.64</c:v>
                </c:pt>
                <c:pt idx="8">
                  <c:v>54.35</c:v>
                </c:pt>
                <c:pt idx="9">
                  <c:v>52.76</c:v>
                </c:pt>
                <c:pt idx="10">
                  <c:v>54.45</c:v>
                </c:pt>
                <c:pt idx="11">
                  <c:v>60.947000000000003</c:v>
                </c:pt>
              </c:numCache>
            </c:numRef>
          </c:val>
          <c:extLst>
            <c:ext xmlns:c16="http://schemas.microsoft.com/office/drawing/2014/chart" uri="{C3380CC4-5D6E-409C-BE32-E72D297353CC}">
              <c16:uniqueId val="{00000001-002C-4EC5-A2E4-1BDE846ADB76}"/>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IN" sz="1200"/>
                  <a:t>Treatment </a:t>
                </a:r>
              </a:p>
            </c:rich>
          </c:tx>
          <c:overlay val="0"/>
          <c:spPr>
            <a:noFill/>
            <a:ln>
              <a:noFill/>
            </a:ln>
            <a:effectLst/>
          </c:spPr>
          <c:txPr>
            <a:bodyPr rot="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367790527"/>
        <c:crosses val="autoZero"/>
        <c:auto val="1"/>
        <c:lblAlgn val="ctr"/>
        <c:lblOffset val="100"/>
        <c:noMultiLvlLbl val="0"/>
      </c:catAx>
      <c:valAx>
        <c:axId val="367790527"/>
        <c:scaling>
          <c:orientation val="minMax"/>
        </c:scaling>
        <c:delete val="0"/>
        <c:axPos val="l"/>
        <c:title>
          <c:tx>
            <c:rich>
              <a:bodyPr rot="-540000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IN" sz="1050"/>
                  <a:t>Maximum length of leaves (cm)</a:t>
                </a:r>
              </a:p>
            </c:rich>
          </c:tx>
          <c:overlay val="0"/>
          <c:spPr>
            <a:noFill/>
            <a:ln>
              <a:noFill/>
            </a:ln>
            <a:effectLst/>
          </c:spPr>
          <c:txPr>
            <a:bodyPr rot="-540000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367797727"/>
        <c:crosses val="autoZero"/>
        <c:crossBetween val="between"/>
      </c:valAx>
      <c:spPr>
        <a:noFill/>
        <a:ln>
          <a:noFill/>
        </a:ln>
        <a:effectLst/>
      </c:spPr>
    </c:plotArea>
    <c:legend>
      <c:legendPos val="b"/>
      <c:layout>
        <c:manualLayout>
          <c:xMode val="edge"/>
          <c:yMode val="edge"/>
          <c:x val="0.29456386701662302"/>
          <c:y val="1.4054753572470101E-2"/>
          <c:w val="0.60166925925925896"/>
          <c:h val="9.2070512820512804E-2"/>
        </c:manualLayout>
      </c:layout>
      <c:overlay val="0"/>
      <c:spPr>
        <a:noFill/>
        <a:ln>
          <a:noFill/>
        </a:ln>
        <a:effectLst/>
      </c:spPr>
      <c:txPr>
        <a:bodyPr rot="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legend>
    <c:plotVisOnly val="1"/>
    <c:dispBlanksAs val="gap"/>
    <c:showDLblsOverMax val="0"/>
    <c:extLst>
      <c:ext uri="{0b15fc19-7d7d-44ad-8c2d-2c3a37ce22c3}">
        <chartProps xmlns="https://web.wps.cn/et/2018/main" chartId="{e054b21c-c0e6-4a16-a639-b76c2c0b5682}"/>
      </c:ext>
    </c:extLst>
  </c:chart>
  <c:spPr>
    <a:solidFill>
      <a:schemeClr val="bg1"/>
    </a:solidFill>
    <a:ln w="9525" cap="flat" cmpd="sng" algn="ctr">
      <a:solidFill>
        <a:schemeClr val="bg1"/>
      </a:solidFill>
      <a:round/>
    </a:ln>
    <a:effectLst/>
  </c:spPr>
  <c:txPr>
    <a:bodyPr/>
    <a:lstStyle/>
    <a:p>
      <a:pPr>
        <a:defRPr lang="en-US" sz="1000" b="1">
          <a:solidFill>
            <a:sysClr val="windowText" lastClr="000000"/>
          </a:solidFill>
          <a:latin typeface="Times New Roman" panose="02020603050405020304" charset="0"/>
          <a:cs typeface="Times New Roman" panose="0202060305040502030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1" i="0" u="none" strike="noStrike" kern="1200" spc="0" baseline="0">
                <a:solidFill>
                  <a:schemeClr val="bg1"/>
                </a:solidFill>
                <a:latin typeface="Times New Roman" panose="02020603050405020304" charset="0"/>
                <a:ea typeface="+mn-ea"/>
                <a:cs typeface="Times New Roman" panose="02020603050405020304" charset="0"/>
              </a:defRPr>
            </a:pPr>
            <a:r>
              <a:rPr lang="en-IN">
                <a:solidFill>
                  <a:schemeClr val="bg1"/>
                </a:solidFill>
              </a:rPr>
              <a:t>a</a:t>
            </a:r>
          </a:p>
        </c:rich>
      </c:tx>
      <c:layout>
        <c:manualLayout>
          <c:xMode val="edge"/>
          <c:yMode val="edge"/>
          <c:x val="0.93283914669452495"/>
          <c:y val="1.08548168249661E-2"/>
        </c:manualLayout>
      </c:layout>
      <c:overlay val="0"/>
      <c:spPr>
        <a:solidFill>
          <a:schemeClr val="tx1"/>
        </a:solidFill>
        <a:ln>
          <a:solidFill>
            <a:schemeClr val="tx1"/>
          </a:solidFill>
        </a:ln>
        <a:effectLst/>
      </c:spPr>
      <c:txPr>
        <a:bodyPr rot="0" spcFirstLastPara="1" vertOverflow="ellipsis" vert="horz" wrap="square" anchor="ctr" anchorCtr="1"/>
        <a:lstStyle/>
        <a:p>
          <a:pPr>
            <a:defRPr lang="en-US" sz="1200" b="1" i="0" u="none" strike="noStrike" kern="1200" spc="0" baseline="0">
              <a:solidFill>
                <a:schemeClr val="bg1"/>
              </a:solidFill>
              <a:latin typeface="Times New Roman" panose="02020603050405020304" charset="0"/>
              <a:ea typeface="+mn-ea"/>
              <a:cs typeface="Times New Roman" panose="02020603050405020304" charset="0"/>
            </a:defRPr>
          </a:pPr>
          <a:endParaRPr lang="en-US"/>
        </a:p>
      </c:txPr>
    </c:title>
    <c:autoTitleDeleted val="0"/>
    <c:plotArea>
      <c:layout>
        <c:manualLayout>
          <c:layoutTarget val="inner"/>
          <c:xMode val="edge"/>
          <c:yMode val="edge"/>
          <c:x val="0.179835555555556"/>
          <c:y val="5.1763247863247902E-2"/>
          <c:w val="0.78960888888888903"/>
          <c:h val="0.75857905982906004"/>
        </c:manualLayout>
      </c:layout>
      <c:barChart>
        <c:barDir val="col"/>
        <c:grouping val="clustered"/>
        <c:varyColors val="0"/>
        <c:ser>
          <c:idx val="0"/>
          <c:order val="0"/>
          <c:tx>
            <c:strRef>
              <c:f>'Diameter of shoot'!$C$5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'Diameter of shoot'!$B$6:$B$17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'Diameter of shoot'!$C$6:$C$17</c:f>
              <c:numCache>
                <c:formatCode>General</c:formatCode>
                <c:ptCount val="12"/>
                <c:pt idx="0">
                  <c:v>1.417</c:v>
                </c:pt>
                <c:pt idx="1">
                  <c:v>1.5129999999999999</c:v>
                </c:pt>
                <c:pt idx="2">
                  <c:v>1.607</c:v>
                </c:pt>
                <c:pt idx="3">
                  <c:v>1.66</c:v>
                </c:pt>
                <c:pt idx="4">
                  <c:v>1.6830000000000001</c:v>
                </c:pt>
                <c:pt idx="5">
                  <c:v>1.71</c:v>
                </c:pt>
                <c:pt idx="6">
                  <c:v>1.7569999999999999</c:v>
                </c:pt>
                <c:pt idx="7">
                  <c:v>1.7929999999999999</c:v>
                </c:pt>
                <c:pt idx="8">
                  <c:v>1.84</c:v>
                </c:pt>
                <c:pt idx="9">
                  <c:v>1.89</c:v>
                </c:pt>
                <c:pt idx="10">
                  <c:v>1.863</c:v>
                </c:pt>
                <c:pt idx="11">
                  <c:v>1.853</c:v>
                </c:pt>
              </c:numCache>
            </c:numRef>
          </c:val>
          <c:extLst>
            <c:ext xmlns:c16="http://schemas.microsoft.com/office/drawing/2014/chart" uri="{C3380CC4-5D6E-409C-BE32-E72D297353CC}">
              <c16:uniqueId val="{00000000-52EC-4584-825A-78C8858D6959}"/>
            </c:ext>
          </c:extLst>
        </c:ser>
        <c:ser>
          <c:idx val="1"/>
          <c:order val="1"/>
          <c:tx>
            <c:strRef>
              <c:f>'Diameter of shoot'!$D$5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'Diameter of shoot'!$B$6:$B$17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'Diameter of shoot'!$D$6:$D$17</c:f>
              <c:numCache>
                <c:formatCode>General</c:formatCode>
                <c:ptCount val="12"/>
                <c:pt idx="0">
                  <c:v>1.5369999999999999</c:v>
                </c:pt>
                <c:pt idx="1">
                  <c:v>1.633</c:v>
                </c:pt>
                <c:pt idx="2">
                  <c:v>1.7270000000000001</c:v>
                </c:pt>
                <c:pt idx="3">
                  <c:v>1.78</c:v>
                </c:pt>
                <c:pt idx="4">
                  <c:v>1.8029999999999999</c:v>
                </c:pt>
                <c:pt idx="5">
                  <c:v>1.83</c:v>
                </c:pt>
                <c:pt idx="6">
                  <c:v>1.877</c:v>
                </c:pt>
                <c:pt idx="7">
                  <c:v>1.913</c:v>
                </c:pt>
                <c:pt idx="8">
                  <c:v>1.96</c:v>
                </c:pt>
                <c:pt idx="9">
                  <c:v>2.0099999999999998</c:v>
                </c:pt>
                <c:pt idx="10">
                  <c:v>1.9830000000000001</c:v>
                </c:pt>
                <c:pt idx="11">
                  <c:v>1.9730000000000001</c:v>
                </c:pt>
              </c:numCache>
            </c:numRef>
          </c:val>
          <c:extLst>
            <c:ext xmlns:c16="http://schemas.microsoft.com/office/drawing/2014/chart" uri="{C3380CC4-5D6E-409C-BE32-E72D297353CC}">
              <c16:uniqueId val="{00000001-52EC-4584-825A-78C8858D6959}"/>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IN" sz="1200"/>
                  <a:t>Treatment </a:t>
                </a:r>
              </a:p>
            </c:rich>
          </c:tx>
          <c:overlay val="0"/>
          <c:spPr>
            <a:noFill/>
            <a:ln>
              <a:noFill/>
            </a:ln>
            <a:effectLst/>
          </c:spPr>
          <c:txPr>
            <a:bodyPr rot="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367790527"/>
        <c:crosses val="autoZero"/>
        <c:auto val="1"/>
        <c:lblAlgn val="ctr"/>
        <c:lblOffset val="100"/>
        <c:noMultiLvlLbl val="0"/>
      </c:catAx>
      <c:valAx>
        <c:axId val="367790527"/>
        <c:scaling>
          <c:orientation val="minMax"/>
        </c:scaling>
        <c:delete val="0"/>
        <c:axPos val="l"/>
        <c:title>
          <c:tx>
            <c:rich>
              <a:bodyPr rot="-540000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IN" sz="1200"/>
                  <a:t>Diameter of shoot (cm)</a:t>
                </a:r>
              </a:p>
            </c:rich>
          </c:tx>
          <c:overlay val="0"/>
          <c:spPr>
            <a:noFill/>
            <a:ln>
              <a:noFill/>
            </a:ln>
            <a:effectLst/>
          </c:spPr>
          <c:txPr>
            <a:bodyPr rot="-540000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367797727"/>
        <c:crosses val="autoZero"/>
        <c:crossBetween val="between"/>
      </c:valAx>
      <c:spPr>
        <a:noFill/>
        <a:ln>
          <a:noFill/>
        </a:ln>
        <a:effectLst/>
      </c:spPr>
    </c:plotArea>
    <c:legend>
      <c:legendPos val="b"/>
      <c:layout>
        <c:manualLayout>
          <c:xMode val="edge"/>
          <c:yMode val="edge"/>
          <c:x val="0.29456386701662302"/>
          <c:y val="1.4054753572470101E-2"/>
          <c:w val="0.60166925925925896"/>
          <c:h val="9.2070512820512804E-2"/>
        </c:manualLayout>
      </c:layout>
      <c:overlay val="0"/>
      <c:spPr>
        <a:noFill/>
        <a:ln>
          <a:noFill/>
        </a:ln>
        <a:effectLst/>
      </c:spPr>
      <c:txPr>
        <a:bodyPr rot="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legend>
    <c:plotVisOnly val="1"/>
    <c:dispBlanksAs val="gap"/>
    <c:showDLblsOverMax val="0"/>
    <c:extLst>
      <c:ext uri="{0b15fc19-7d7d-44ad-8c2d-2c3a37ce22c3}">
        <chartProps xmlns="https://web.wps.cn/et/2018/main" chartId="{e15e4819-bb68-4116-bcd7-d3daf2c8cd65}"/>
      </c:ext>
    </c:extLst>
  </c:chart>
  <c:spPr>
    <a:solidFill>
      <a:schemeClr val="bg1"/>
    </a:solidFill>
    <a:ln w="9525" cap="flat" cmpd="sng" algn="ctr">
      <a:solidFill>
        <a:schemeClr val="bg1"/>
      </a:solidFill>
      <a:round/>
    </a:ln>
    <a:effectLst/>
  </c:spPr>
  <c:txPr>
    <a:bodyPr/>
    <a:lstStyle/>
    <a:p>
      <a:pPr>
        <a:defRPr lang="en-US" sz="1000" b="1">
          <a:solidFill>
            <a:sysClr val="windowText" lastClr="000000"/>
          </a:solidFill>
          <a:latin typeface="Times New Roman" panose="02020603050405020304" charset="0"/>
          <a:cs typeface="Times New Roman" panose="0202060305040502030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1" i="0" u="none" strike="noStrike" kern="1200" spc="0" baseline="0">
                <a:solidFill>
                  <a:schemeClr val="bg1"/>
                </a:solidFill>
                <a:latin typeface="Times New Roman" panose="02020603050405020304" charset="0"/>
                <a:ea typeface="+mn-ea"/>
                <a:cs typeface="Times New Roman" panose="02020603050405020304" charset="0"/>
              </a:defRPr>
            </a:pPr>
            <a:r>
              <a:rPr lang="en-IN">
                <a:solidFill>
                  <a:schemeClr val="bg1"/>
                </a:solidFill>
              </a:rPr>
              <a:t>b</a:t>
            </a:r>
          </a:p>
        </c:rich>
      </c:tx>
      <c:layout>
        <c:manualLayout>
          <c:xMode val="edge"/>
          <c:yMode val="edge"/>
          <c:x val="0.93595615297558499"/>
          <c:y val="5.4274084124830398E-3"/>
        </c:manualLayout>
      </c:layout>
      <c:overlay val="0"/>
      <c:spPr>
        <a:solidFill>
          <a:schemeClr val="tx1"/>
        </a:solidFill>
        <a:ln>
          <a:solidFill>
            <a:schemeClr val="tx1"/>
          </a:solidFill>
        </a:ln>
        <a:effectLst/>
      </c:spPr>
      <c:txPr>
        <a:bodyPr rot="0" spcFirstLastPara="1" vertOverflow="ellipsis" vert="horz" wrap="square" anchor="ctr" anchorCtr="1"/>
        <a:lstStyle/>
        <a:p>
          <a:pPr>
            <a:defRPr lang="en-US" sz="1200" b="1" i="0" u="none" strike="noStrike" kern="1200" spc="0" baseline="0">
              <a:solidFill>
                <a:schemeClr val="bg1"/>
              </a:solidFill>
              <a:latin typeface="Times New Roman" panose="02020603050405020304" charset="0"/>
              <a:ea typeface="+mn-ea"/>
              <a:cs typeface="Times New Roman" panose="02020603050405020304" charset="0"/>
            </a:defRPr>
          </a:pPr>
          <a:endParaRPr lang="en-US"/>
        </a:p>
      </c:txPr>
    </c:title>
    <c:autoTitleDeleted val="0"/>
    <c:plotArea>
      <c:layout>
        <c:manualLayout>
          <c:layoutTarget val="inner"/>
          <c:xMode val="edge"/>
          <c:yMode val="edge"/>
          <c:x val="0.179835555555556"/>
          <c:y val="5.1763247863247902E-2"/>
          <c:w val="0.78960888888888903"/>
          <c:h val="0.75857905982906004"/>
        </c:manualLayout>
      </c:layout>
      <c:barChart>
        <c:barDir val="col"/>
        <c:grouping val="clustered"/>
        <c:varyColors val="0"/>
        <c:ser>
          <c:idx val="0"/>
          <c:order val="0"/>
          <c:tx>
            <c:strRef>
              <c:f>'Diameter of neck'!$C$5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'Diameter of neck'!$B$6:$B$17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'Diameter of neck'!$C$6:$C$17</c:f>
              <c:numCache>
                <c:formatCode>General</c:formatCode>
                <c:ptCount val="12"/>
                <c:pt idx="0">
                  <c:v>1.21</c:v>
                </c:pt>
                <c:pt idx="1">
                  <c:v>1.387</c:v>
                </c:pt>
                <c:pt idx="2">
                  <c:v>1.423</c:v>
                </c:pt>
                <c:pt idx="3">
                  <c:v>1.5269999999999999</c:v>
                </c:pt>
                <c:pt idx="4">
                  <c:v>1.54</c:v>
                </c:pt>
                <c:pt idx="5">
                  <c:v>1.5629999999999999</c:v>
                </c:pt>
                <c:pt idx="6">
                  <c:v>1.59</c:v>
                </c:pt>
                <c:pt idx="7">
                  <c:v>1.603</c:v>
                </c:pt>
                <c:pt idx="8">
                  <c:v>1.73</c:v>
                </c:pt>
                <c:pt idx="9">
                  <c:v>1.76</c:v>
                </c:pt>
                <c:pt idx="10">
                  <c:v>1.7430000000000001</c:v>
                </c:pt>
                <c:pt idx="11">
                  <c:v>1.7330000000000001</c:v>
                </c:pt>
              </c:numCache>
            </c:numRef>
          </c:val>
          <c:extLst>
            <c:ext xmlns:c16="http://schemas.microsoft.com/office/drawing/2014/chart" uri="{C3380CC4-5D6E-409C-BE32-E72D297353CC}">
              <c16:uniqueId val="{00000000-26CD-45D0-8C32-ECEE8FC04A51}"/>
            </c:ext>
          </c:extLst>
        </c:ser>
        <c:ser>
          <c:idx val="1"/>
          <c:order val="1"/>
          <c:tx>
            <c:strRef>
              <c:f>'Diameter of neck'!$D$5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'Diameter of neck'!$B$6:$B$17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'Diameter of neck'!$D$6:$D$17</c:f>
              <c:numCache>
                <c:formatCode>General</c:formatCode>
                <c:ptCount val="12"/>
                <c:pt idx="0">
                  <c:v>1.26</c:v>
                </c:pt>
                <c:pt idx="1">
                  <c:v>1.4370000000000001</c:v>
                </c:pt>
                <c:pt idx="2">
                  <c:v>1.4730000000000001</c:v>
                </c:pt>
                <c:pt idx="3">
                  <c:v>1.577</c:v>
                </c:pt>
                <c:pt idx="4">
                  <c:v>1.59</c:v>
                </c:pt>
                <c:pt idx="5">
                  <c:v>1.613</c:v>
                </c:pt>
                <c:pt idx="6">
                  <c:v>1.64</c:v>
                </c:pt>
                <c:pt idx="7">
                  <c:v>1.653</c:v>
                </c:pt>
                <c:pt idx="8">
                  <c:v>1.78</c:v>
                </c:pt>
                <c:pt idx="9">
                  <c:v>1.4770000000000001</c:v>
                </c:pt>
                <c:pt idx="10">
                  <c:v>1.7929999999999999</c:v>
                </c:pt>
                <c:pt idx="11">
                  <c:v>1.7829999999999999</c:v>
                </c:pt>
              </c:numCache>
            </c:numRef>
          </c:val>
          <c:extLst>
            <c:ext xmlns:c16="http://schemas.microsoft.com/office/drawing/2014/chart" uri="{C3380CC4-5D6E-409C-BE32-E72D297353CC}">
              <c16:uniqueId val="{00000001-26CD-45D0-8C32-ECEE8FC04A51}"/>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IN" sz="1200"/>
                  <a:t>Treatment </a:t>
                </a:r>
              </a:p>
            </c:rich>
          </c:tx>
          <c:overlay val="0"/>
          <c:spPr>
            <a:noFill/>
            <a:ln>
              <a:noFill/>
            </a:ln>
            <a:effectLst/>
          </c:spPr>
          <c:txPr>
            <a:bodyPr rot="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367790527"/>
        <c:crosses val="autoZero"/>
        <c:auto val="1"/>
        <c:lblAlgn val="ctr"/>
        <c:lblOffset val="100"/>
        <c:noMultiLvlLbl val="0"/>
      </c:catAx>
      <c:valAx>
        <c:axId val="367790527"/>
        <c:scaling>
          <c:orientation val="minMax"/>
        </c:scaling>
        <c:delete val="0"/>
        <c:axPos val="l"/>
        <c:title>
          <c:tx>
            <c:rich>
              <a:bodyPr rot="-540000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IN" sz="1200"/>
                  <a:t>Diameter of neck (cm)</a:t>
                </a:r>
              </a:p>
            </c:rich>
          </c:tx>
          <c:overlay val="0"/>
          <c:spPr>
            <a:noFill/>
            <a:ln>
              <a:noFill/>
            </a:ln>
            <a:effectLst/>
          </c:spPr>
          <c:txPr>
            <a:bodyPr rot="-540000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367797727"/>
        <c:crosses val="autoZero"/>
        <c:crossBetween val="between"/>
      </c:valAx>
      <c:spPr>
        <a:noFill/>
        <a:ln>
          <a:noFill/>
        </a:ln>
        <a:effectLst/>
      </c:spPr>
    </c:plotArea>
    <c:legend>
      <c:legendPos val="b"/>
      <c:layout>
        <c:manualLayout>
          <c:xMode val="edge"/>
          <c:yMode val="edge"/>
          <c:x val="0.29456386701662302"/>
          <c:y val="1.4054753572470101E-2"/>
          <c:w val="0.60166925925925896"/>
          <c:h val="9.2070512820512804E-2"/>
        </c:manualLayout>
      </c:layout>
      <c:overlay val="0"/>
      <c:spPr>
        <a:noFill/>
        <a:ln>
          <a:noFill/>
        </a:ln>
        <a:effectLst/>
      </c:spPr>
      <c:txPr>
        <a:bodyPr rot="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legend>
    <c:plotVisOnly val="1"/>
    <c:dispBlanksAs val="gap"/>
    <c:showDLblsOverMax val="0"/>
    <c:extLst>
      <c:ext uri="{0b15fc19-7d7d-44ad-8c2d-2c3a37ce22c3}">
        <chartProps xmlns="https://web.wps.cn/et/2018/main" chartId="{b0408c4a-fe18-48cc-a5f6-116fbf732028}"/>
      </c:ext>
    </c:extLst>
  </c:chart>
  <c:spPr>
    <a:solidFill>
      <a:schemeClr val="bg1"/>
    </a:solidFill>
    <a:ln w="9525" cap="flat" cmpd="sng" algn="ctr">
      <a:solidFill>
        <a:schemeClr val="bg1"/>
      </a:solidFill>
      <a:round/>
    </a:ln>
    <a:effectLst/>
  </c:spPr>
  <c:txPr>
    <a:bodyPr/>
    <a:lstStyle/>
    <a:p>
      <a:pPr>
        <a:defRPr lang="en-US" sz="1000" b="1">
          <a:solidFill>
            <a:sysClr val="windowText" lastClr="000000"/>
          </a:solidFill>
          <a:latin typeface="Times New Roman" panose="02020603050405020304" charset="0"/>
          <a:cs typeface="Times New Roman" panose="0202060305040502030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1" i="0" u="none" strike="noStrike" kern="1200" spc="0" baseline="0">
                <a:solidFill>
                  <a:schemeClr val="bg1"/>
                </a:solidFill>
                <a:latin typeface="Times New Roman" panose="02020603050405020304" charset="0"/>
                <a:ea typeface="+mn-ea"/>
                <a:cs typeface="Times New Roman" panose="02020603050405020304" charset="0"/>
              </a:defRPr>
            </a:pPr>
            <a:r>
              <a:rPr lang="en-IN">
                <a:solidFill>
                  <a:schemeClr val="bg1"/>
                </a:solidFill>
              </a:rPr>
              <a:t>a</a:t>
            </a:r>
          </a:p>
        </c:rich>
      </c:tx>
      <c:layout>
        <c:manualLayout>
          <c:xMode val="edge"/>
          <c:yMode val="edge"/>
          <c:x val="0.93936730032951998"/>
          <c:y val="5.4274084124830398E-3"/>
        </c:manualLayout>
      </c:layout>
      <c:overlay val="0"/>
      <c:spPr>
        <a:solidFill>
          <a:schemeClr val="tx1"/>
        </a:solidFill>
        <a:ln>
          <a:solidFill>
            <a:schemeClr val="tx1"/>
          </a:solidFill>
        </a:ln>
        <a:effectLst/>
      </c:spPr>
      <c:txPr>
        <a:bodyPr rot="0" spcFirstLastPara="1" vertOverflow="ellipsis" vert="horz" wrap="square" anchor="ctr" anchorCtr="1"/>
        <a:lstStyle/>
        <a:p>
          <a:pPr>
            <a:defRPr lang="en-US" sz="1200" b="1" i="0" u="none" strike="noStrike" kern="1200" spc="0" baseline="0">
              <a:solidFill>
                <a:schemeClr val="bg1"/>
              </a:solidFill>
              <a:latin typeface="Times New Roman" panose="02020603050405020304" charset="0"/>
              <a:ea typeface="+mn-ea"/>
              <a:cs typeface="Times New Roman" panose="02020603050405020304" charset="0"/>
            </a:defRPr>
          </a:pPr>
          <a:endParaRPr lang="en-US"/>
        </a:p>
      </c:txPr>
    </c:title>
    <c:autoTitleDeleted val="0"/>
    <c:plotArea>
      <c:layout>
        <c:manualLayout>
          <c:layoutTarget val="inner"/>
          <c:xMode val="edge"/>
          <c:yMode val="edge"/>
          <c:x val="0.179835555555556"/>
          <c:y val="5.1763247863247902E-2"/>
          <c:w val="0.78960888888888903"/>
          <c:h val="0.75857905982906004"/>
        </c:manualLayout>
      </c:layout>
      <c:barChart>
        <c:barDir val="col"/>
        <c:grouping val="clustered"/>
        <c:varyColors val="0"/>
        <c:ser>
          <c:idx val="0"/>
          <c:order val="0"/>
          <c:tx>
            <c:strRef>
              <c:f>'Fresh weight of shoot'!$C$5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'Fresh weight of shoot'!$B$6:$B$17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'Fresh weight of shoot'!$C$6:$C$17</c:f>
              <c:numCache>
                <c:formatCode>General</c:formatCode>
                <c:ptCount val="12"/>
                <c:pt idx="0">
                  <c:v>64.766999999999996</c:v>
                </c:pt>
                <c:pt idx="1">
                  <c:v>67.832999999999998</c:v>
                </c:pt>
                <c:pt idx="2">
                  <c:v>68.733000000000004</c:v>
                </c:pt>
                <c:pt idx="3">
                  <c:v>66.132999999999996</c:v>
                </c:pt>
                <c:pt idx="4">
                  <c:v>66</c:v>
                </c:pt>
                <c:pt idx="5">
                  <c:v>69.733000000000004</c:v>
                </c:pt>
                <c:pt idx="6">
                  <c:v>65.832999999999998</c:v>
                </c:pt>
                <c:pt idx="7">
                  <c:v>68.033000000000001</c:v>
                </c:pt>
                <c:pt idx="8">
                  <c:v>68.966999999999999</c:v>
                </c:pt>
                <c:pt idx="9">
                  <c:v>67.033000000000001</c:v>
                </c:pt>
                <c:pt idx="10">
                  <c:v>66.566999999999993</c:v>
                </c:pt>
                <c:pt idx="11">
                  <c:v>70.167000000000002</c:v>
                </c:pt>
              </c:numCache>
            </c:numRef>
          </c:val>
          <c:extLst>
            <c:ext xmlns:c16="http://schemas.microsoft.com/office/drawing/2014/chart" uri="{C3380CC4-5D6E-409C-BE32-E72D297353CC}">
              <c16:uniqueId val="{00000000-BB5A-4F53-9F86-FAF877882DC2}"/>
            </c:ext>
          </c:extLst>
        </c:ser>
        <c:ser>
          <c:idx val="1"/>
          <c:order val="1"/>
          <c:tx>
            <c:strRef>
              <c:f>'Fresh weight of shoot'!$D$5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'Fresh weight of shoot'!$B$6:$B$17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'Fresh weight of shoot'!$D$6:$D$17</c:f>
              <c:numCache>
                <c:formatCode>General</c:formatCode>
                <c:ptCount val="12"/>
                <c:pt idx="0">
                  <c:v>66.599999999999994</c:v>
                </c:pt>
                <c:pt idx="1">
                  <c:v>69.667000000000002</c:v>
                </c:pt>
                <c:pt idx="2">
                  <c:v>70.566999999999993</c:v>
                </c:pt>
                <c:pt idx="3">
                  <c:v>67.966999999999999</c:v>
                </c:pt>
                <c:pt idx="4">
                  <c:v>67.832999999999998</c:v>
                </c:pt>
                <c:pt idx="5">
                  <c:v>71.566999999999993</c:v>
                </c:pt>
                <c:pt idx="6">
                  <c:v>69.332999999999998</c:v>
                </c:pt>
                <c:pt idx="7">
                  <c:v>69.867000000000004</c:v>
                </c:pt>
                <c:pt idx="8">
                  <c:v>70.8</c:v>
                </c:pt>
                <c:pt idx="9">
                  <c:v>68.867000000000004</c:v>
                </c:pt>
                <c:pt idx="10">
                  <c:v>68.400000000000006</c:v>
                </c:pt>
                <c:pt idx="11">
                  <c:v>72</c:v>
                </c:pt>
              </c:numCache>
            </c:numRef>
          </c:val>
          <c:extLst>
            <c:ext xmlns:c16="http://schemas.microsoft.com/office/drawing/2014/chart" uri="{C3380CC4-5D6E-409C-BE32-E72D297353CC}">
              <c16:uniqueId val="{00000001-BB5A-4F53-9F86-FAF877882DC2}"/>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IN" sz="1200"/>
                  <a:t>Treatment </a:t>
                </a:r>
              </a:p>
            </c:rich>
          </c:tx>
          <c:overlay val="0"/>
          <c:spPr>
            <a:noFill/>
            <a:ln>
              <a:noFill/>
            </a:ln>
            <a:effectLst/>
          </c:spPr>
          <c:txPr>
            <a:bodyPr rot="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367790527"/>
        <c:crosses val="autoZero"/>
        <c:auto val="1"/>
        <c:lblAlgn val="ctr"/>
        <c:lblOffset val="100"/>
        <c:noMultiLvlLbl val="0"/>
      </c:catAx>
      <c:valAx>
        <c:axId val="367790527"/>
        <c:scaling>
          <c:orientation val="minMax"/>
          <c:min val="0"/>
        </c:scaling>
        <c:delete val="0"/>
        <c:axPos val="l"/>
        <c:title>
          <c:tx>
            <c:rich>
              <a:bodyPr rot="-540000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IN" sz="1200"/>
                  <a:t>Fresh weight of shoot (g)</a:t>
                </a:r>
              </a:p>
            </c:rich>
          </c:tx>
          <c:overlay val="0"/>
          <c:spPr>
            <a:noFill/>
            <a:ln>
              <a:noFill/>
            </a:ln>
            <a:effectLst/>
          </c:spPr>
          <c:txPr>
            <a:bodyPr rot="-540000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367797727"/>
        <c:crosses val="autoZero"/>
        <c:crossBetween val="between"/>
      </c:valAx>
      <c:spPr>
        <a:noFill/>
        <a:ln>
          <a:noFill/>
        </a:ln>
        <a:effectLst/>
      </c:spPr>
    </c:plotArea>
    <c:legend>
      <c:legendPos val="b"/>
      <c:layout>
        <c:manualLayout>
          <c:xMode val="edge"/>
          <c:yMode val="edge"/>
          <c:x val="0.29456386701662302"/>
          <c:y val="1.4054753572470101E-2"/>
          <c:w val="0.60166925925925896"/>
          <c:h val="9.2070512820512804E-2"/>
        </c:manualLayout>
      </c:layout>
      <c:overlay val="0"/>
      <c:spPr>
        <a:noFill/>
        <a:ln>
          <a:noFill/>
        </a:ln>
        <a:effectLst/>
      </c:spPr>
      <c:txPr>
        <a:bodyPr rot="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legend>
    <c:plotVisOnly val="1"/>
    <c:dispBlanksAs val="gap"/>
    <c:showDLblsOverMax val="0"/>
    <c:extLst>
      <c:ext uri="{0b15fc19-7d7d-44ad-8c2d-2c3a37ce22c3}">
        <chartProps xmlns="https://web.wps.cn/et/2018/main" chartId="{7e01605a-8271-42ce-9c79-431ae2bda65f}"/>
      </c:ext>
    </c:extLst>
  </c:chart>
  <c:spPr>
    <a:solidFill>
      <a:schemeClr val="bg1"/>
    </a:solidFill>
    <a:ln w="9525" cap="flat" cmpd="sng" algn="ctr">
      <a:solidFill>
        <a:schemeClr val="bg1"/>
      </a:solidFill>
      <a:round/>
    </a:ln>
    <a:effectLst/>
  </c:spPr>
  <c:txPr>
    <a:bodyPr/>
    <a:lstStyle/>
    <a:p>
      <a:pPr>
        <a:defRPr lang="en-US" sz="1000" b="1">
          <a:solidFill>
            <a:sysClr val="windowText" lastClr="000000"/>
          </a:solidFill>
          <a:latin typeface="Times New Roman" panose="02020603050405020304" charset="0"/>
          <a:cs typeface="Times New Roman" panose="0202060305040502030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1" i="0" u="none" strike="noStrike" kern="1200" spc="0" baseline="0">
                <a:solidFill>
                  <a:schemeClr val="bg1"/>
                </a:solidFill>
                <a:latin typeface="Times New Roman" panose="02020603050405020304" charset="0"/>
                <a:ea typeface="+mn-ea"/>
                <a:cs typeface="Times New Roman" panose="02020603050405020304" charset="0"/>
              </a:defRPr>
            </a:pPr>
            <a:r>
              <a:rPr lang="en-IN">
                <a:solidFill>
                  <a:schemeClr val="bg1"/>
                </a:solidFill>
              </a:rPr>
              <a:t>b</a:t>
            </a:r>
          </a:p>
        </c:rich>
      </c:tx>
      <c:layout>
        <c:manualLayout>
          <c:xMode val="edge"/>
          <c:yMode val="edge"/>
          <c:x val="0.93936730032951998"/>
          <c:y val="0"/>
        </c:manualLayout>
      </c:layout>
      <c:overlay val="0"/>
      <c:spPr>
        <a:solidFill>
          <a:schemeClr val="tx1"/>
        </a:solidFill>
        <a:ln>
          <a:solidFill>
            <a:schemeClr val="tx1"/>
          </a:solidFill>
        </a:ln>
        <a:effectLst/>
      </c:spPr>
      <c:txPr>
        <a:bodyPr rot="0" spcFirstLastPara="1" vertOverflow="ellipsis" vert="horz" wrap="square" anchor="ctr" anchorCtr="1"/>
        <a:lstStyle/>
        <a:p>
          <a:pPr>
            <a:defRPr lang="en-US" sz="1200" b="1" i="0" u="none" strike="noStrike" kern="1200" spc="0" baseline="0">
              <a:solidFill>
                <a:schemeClr val="bg1"/>
              </a:solidFill>
              <a:latin typeface="Times New Roman" panose="02020603050405020304" charset="0"/>
              <a:ea typeface="+mn-ea"/>
              <a:cs typeface="Times New Roman" panose="02020603050405020304" charset="0"/>
            </a:defRPr>
          </a:pPr>
          <a:endParaRPr lang="en-US"/>
        </a:p>
      </c:txPr>
    </c:title>
    <c:autoTitleDeleted val="0"/>
    <c:plotArea>
      <c:layout>
        <c:manualLayout>
          <c:layoutTarget val="inner"/>
          <c:xMode val="edge"/>
          <c:yMode val="edge"/>
          <c:x val="0.179835555555556"/>
          <c:y val="5.1763247863247902E-2"/>
          <c:w val="0.78960888888888903"/>
          <c:h val="0.75857905982906004"/>
        </c:manualLayout>
      </c:layout>
      <c:barChart>
        <c:barDir val="col"/>
        <c:grouping val="clustered"/>
        <c:varyColors val="0"/>
        <c:ser>
          <c:idx val="0"/>
          <c:order val="0"/>
          <c:tx>
            <c:strRef>
              <c:f>'Dry weight of shoot'!$C$5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'Dry weight of shoot'!$B$6:$B$17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'Dry weight of shoot'!$C$6:$C$17</c:f>
              <c:numCache>
                <c:formatCode>General</c:formatCode>
                <c:ptCount val="12"/>
                <c:pt idx="0">
                  <c:v>26.8</c:v>
                </c:pt>
                <c:pt idx="1">
                  <c:v>27.332999999999998</c:v>
                </c:pt>
                <c:pt idx="2">
                  <c:v>27.832999999999998</c:v>
                </c:pt>
                <c:pt idx="3">
                  <c:v>27.667000000000002</c:v>
                </c:pt>
                <c:pt idx="4">
                  <c:v>22.367000000000001</c:v>
                </c:pt>
                <c:pt idx="5">
                  <c:v>21.533000000000001</c:v>
                </c:pt>
                <c:pt idx="6">
                  <c:v>23.5</c:v>
                </c:pt>
                <c:pt idx="7">
                  <c:v>28.332999999999998</c:v>
                </c:pt>
                <c:pt idx="8">
                  <c:v>25.367000000000001</c:v>
                </c:pt>
                <c:pt idx="9">
                  <c:v>29.466999999999999</c:v>
                </c:pt>
                <c:pt idx="10">
                  <c:v>28.332999999999998</c:v>
                </c:pt>
                <c:pt idx="11">
                  <c:v>28.167000000000002</c:v>
                </c:pt>
              </c:numCache>
            </c:numRef>
          </c:val>
          <c:extLst>
            <c:ext xmlns:c16="http://schemas.microsoft.com/office/drawing/2014/chart" uri="{C3380CC4-5D6E-409C-BE32-E72D297353CC}">
              <c16:uniqueId val="{00000000-BC38-469C-8067-E07C6998423A}"/>
            </c:ext>
          </c:extLst>
        </c:ser>
        <c:ser>
          <c:idx val="1"/>
          <c:order val="1"/>
          <c:tx>
            <c:strRef>
              <c:f>'Dry weight of shoot'!$D$5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'Dry weight of shoot'!$B$6:$B$17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'Dry weight of shoot'!$D$6:$D$17</c:f>
              <c:numCache>
                <c:formatCode>General</c:formatCode>
                <c:ptCount val="12"/>
                <c:pt idx="0">
                  <c:v>7.0570000000000004</c:v>
                </c:pt>
                <c:pt idx="1">
                  <c:v>9.0269999999999992</c:v>
                </c:pt>
                <c:pt idx="2">
                  <c:v>9.2870000000000008</c:v>
                </c:pt>
                <c:pt idx="3">
                  <c:v>7.8769999999999998</c:v>
                </c:pt>
                <c:pt idx="4">
                  <c:v>8.3930000000000007</c:v>
                </c:pt>
                <c:pt idx="5">
                  <c:v>9.2100000000000009</c:v>
                </c:pt>
                <c:pt idx="6">
                  <c:v>7.4470000000000001</c:v>
                </c:pt>
                <c:pt idx="7">
                  <c:v>9.06</c:v>
                </c:pt>
                <c:pt idx="8">
                  <c:v>9.3170000000000002</c:v>
                </c:pt>
                <c:pt idx="9">
                  <c:v>8.1869999999999994</c:v>
                </c:pt>
                <c:pt idx="10">
                  <c:v>8.6</c:v>
                </c:pt>
                <c:pt idx="11">
                  <c:v>9.34</c:v>
                </c:pt>
              </c:numCache>
            </c:numRef>
          </c:val>
          <c:extLst>
            <c:ext xmlns:c16="http://schemas.microsoft.com/office/drawing/2014/chart" uri="{C3380CC4-5D6E-409C-BE32-E72D297353CC}">
              <c16:uniqueId val="{00000001-BC38-469C-8067-E07C6998423A}"/>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IN" sz="1200"/>
                  <a:t>Treatment </a:t>
                </a:r>
              </a:p>
            </c:rich>
          </c:tx>
          <c:overlay val="0"/>
          <c:spPr>
            <a:noFill/>
            <a:ln>
              <a:noFill/>
            </a:ln>
            <a:effectLst/>
          </c:spPr>
          <c:txPr>
            <a:bodyPr rot="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367790527"/>
        <c:crosses val="autoZero"/>
        <c:auto val="1"/>
        <c:lblAlgn val="ctr"/>
        <c:lblOffset val="100"/>
        <c:noMultiLvlLbl val="0"/>
      </c:catAx>
      <c:valAx>
        <c:axId val="367790527"/>
        <c:scaling>
          <c:orientation val="minMax"/>
          <c:min val="0"/>
        </c:scaling>
        <c:delete val="0"/>
        <c:axPos val="l"/>
        <c:title>
          <c:tx>
            <c:rich>
              <a:bodyPr rot="-540000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IN" sz="1200"/>
                  <a:t>Dry weight of shoot (g)</a:t>
                </a:r>
              </a:p>
            </c:rich>
          </c:tx>
          <c:overlay val="0"/>
          <c:spPr>
            <a:noFill/>
            <a:ln>
              <a:noFill/>
            </a:ln>
            <a:effectLst/>
          </c:spPr>
          <c:txPr>
            <a:bodyPr rot="-540000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367797727"/>
        <c:crosses val="autoZero"/>
        <c:crossBetween val="between"/>
      </c:valAx>
      <c:spPr>
        <a:noFill/>
        <a:ln>
          <a:noFill/>
        </a:ln>
        <a:effectLst/>
      </c:spPr>
    </c:plotArea>
    <c:legend>
      <c:legendPos val="b"/>
      <c:layout>
        <c:manualLayout>
          <c:xMode val="edge"/>
          <c:yMode val="edge"/>
          <c:x val="0.29456386701662302"/>
          <c:y val="1.4054753572470101E-2"/>
          <c:w val="0.60166925925925896"/>
          <c:h val="9.2070512820512804E-2"/>
        </c:manualLayout>
      </c:layout>
      <c:overlay val="0"/>
      <c:spPr>
        <a:noFill/>
        <a:ln>
          <a:noFill/>
        </a:ln>
        <a:effectLst/>
      </c:spPr>
      <c:txPr>
        <a:bodyPr rot="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legend>
    <c:plotVisOnly val="1"/>
    <c:dispBlanksAs val="gap"/>
    <c:showDLblsOverMax val="0"/>
    <c:extLst>
      <c:ext uri="{0b15fc19-7d7d-44ad-8c2d-2c3a37ce22c3}">
        <chartProps xmlns="https://web.wps.cn/et/2018/main" chartId="{bde7f453-8f6a-460e-ac36-de3c6d8c880c}"/>
      </c:ext>
    </c:extLst>
  </c:chart>
  <c:spPr>
    <a:solidFill>
      <a:schemeClr val="bg1"/>
    </a:solidFill>
    <a:ln w="9525" cap="flat" cmpd="sng" algn="ctr">
      <a:solidFill>
        <a:schemeClr val="bg1"/>
      </a:solidFill>
      <a:round/>
    </a:ln>
    <a:effectLst/>
  </c:spPr>
  <c:txPr>
    <a:bodyPr/>
    <a:lstStyle/>
    <a:p>
      <a:pPr>
        <a:defRPr lang="en-US" sz="1000" b="1">
          <a:solidFill>
            <a:sysClr val="windowText" lastClr="000000"/>
          </a:solidFill>
          <a:latin typeface="Times New Roman" panose="02020603050405020304" charset="0"/>
          <a:cs typeface="Times New Roman" panose="0202060305040502030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1" i="0" u="none" strike="noStrike" kern="1200" spc="0" baseline="0">
                <a:solidFill>
                  <a:schemeClr val="bg1"/>
                </a:solidFill>
                <a:latin typeface="Times New Roman" panose="02020603050405020304" charset="0"/>
                <a:ea typeface="+mn-ea"/>
                <a:cs typeface="Times New Roman" panose="02020603050405020304" charset="0"/>
              </a:defRPr>
            </a:pPr>
            <a:r>
              <a:rPr lang="en-IN">
                <a:solidFill>
                  <a:schemeClr val="bg1"/>
                </a:solidFill>
              </a:rPr>
              <a:t>c</a:t>
            </a:r>
          </a:p>
        </c:rich>
      </c:tx>
      <c:layout>
        <c:manualLayout>
          <c:xMode val="edge"/>
          <c:yMode val="edge"/>
          <c:x val="0.94407207567649698"/>
          <c:y val="0"/>
        </c:manualLayout>
      </c:layout>
      <c:overlay val="0"/>
      <c:spPr>
        <a:solidFill>
          <a:schemeClr val="tx1"/>
        </a:solidFill>
        <a:ln>
          <a:solidFill>
            <a:schemeClr val="tx1"/>
          </a:solidFill>
        </a:ln>
        <a:effectLst/>
      </c:spPr>
      <c:txPr>
        <a:bodyPr rot="0" spcFirstLastPara="1" vertOverflow="ellipsis" vert="horz" wrap="square" anchor="ctr" anchorCtr="1"/>
        <a:lstStyle/>
        <a:p>
          <a:pPr>
            <a:defRPr lang="en-US" sz="1200" b="1" i="0" u="none" strike="noStrike" kern="1200" spc="0" baseline="0">
              <a:solidFill>
                <a:schemeClr val="bg1"/>
              </a:solidFill>
              <a:latin typeface="Times New Roman" panose="02020603050405020304" charset="0"/>
              <a:ea typeface="+mn-ea"/>
              <a:cs typeface="Times New Roman" panose="02020603050405020304" charset="0"/>
            </a:defRPr>
          </a:pPr>
          <a:endParaRPr lang="en-US"/>
        </a:p>
      </c:txPr>
    </c:title>
    <c:autoTitleDeleted val="0"/>
    <c:plotArea>
      <c:layout>
        <c:manualLayout>
          <c:layoutTarget val="inner"/>
          <c:xMode val="edge"/>
          <c:yMode val="edge"/>
          <c:x val="0.179835555555556"/>
          <c:y val="5.1763247863247902E-2"/>
          <c:w val="0.78960888888888903"/>
          <c:h val="0.75857905982906004"/>
        </c:manualLayout>
      </c:layout>
      <c:barChart>
        <c:barDir val="col"/>
        <c:grouping val="clustered"/>
        <c:varyColors val="0"/>
        <c:ser>
          <c:idx val="0"/>
          <c:order val="0"/>
          <c:tx>
            <c:strRef>
              <c:f>'Dry matter content of shoot'!$C$5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'Dry matter content of shoot'!$B$6:$B$17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'Dry matter content of shoot'!$C$6:$C$17</c:f>
              <c:numCache>
                <c:formatCode>General</c:formatCode>
                <c:ptCount val="12"/>
                <c:pt idx="0">
                  <c:v>10.766999999999999</c:v>
                </c:pt>
                <c:pt idx="1">
                  <c:v>13.186999999999999</c:v>
                </c:pt>
                <c:pt idx="2">
                  <c:v>13.393000000000001</c:v>
                </c:pt>
                <c:pt idx="3">
                  <c:v>11.782999999999999</c:v>
                </c:pt>
                <c:pt idx="4">
                  <c:v>12.593</c:v>
                </c:pt>
                <c:pt idx="5">
                  <c:v>13.356999999999999</c:v>
                </c:pt>
                <c:pt idx="6">
                  <c:v>11.186999999999999</c:v>
                </c:pt>
                <c:pt idx="7">
                  <c:v>13.186999999999999</c:v>
                </c:pt>
                <c:pt idx="8">
                  <c:v>13.39</c:v>
                </c:pt>
                <c:pt idx="9">
                  <c:v>12.09</c:v>
                </c:pt>
                <c:pt idx="10">
                  <c:v>12.797000000000001</c:v>
                </c:pt>
                <c:pt idx="11">
                  <c:v>13.196999999999999</c:v>
                </c:pt>
              </c:numCache>
            </c:numRef>
          </c:val>
          <c:extLst>
            <c:ext xmlns:c16="http://schemas.microsoft.com/office/drawing/2014/chart" uri="{C3380CC4-5D6E-409C-BE32-E72D297353CC}">
              <c16:uniqueId val="{00000000-A025-4094-A1BC-C23EB15E27DB}"/>
            </c:ext>
          </c:extLst>
        </c:ser>
        <c:ser>
          <c:idx val="1"/>
          <c:order val="1"/>
          <c:tx>
            <c:strRef>
              <c:f>'Dry matter content of shoot'!$D$5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'Dry matter content of shoot'!$B$6:$B$17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'Dry matter content of shoot'!$D$6:$D$17</c:f>
              <c:numCache>
                <c:formatCode>General</c:formatCode>
                <c:ptCount val="12"/>
                <c:pt idx="0">
                  <c:v>10.597</c:v>
                </c:pt>
                <c:pt idx="1">
                  <c:v>12.957000000000001</c:v>
                </c:pt>
                <c:pt idx="2">
                  <c:v>13.16</c:v>
                </c:pt>
                <c:pt idx="3">
                  <c:v>11.583</c:v>
                </c:pt>
                <c:pt idx="4">
                  <c:v>12.377000000000001</c:v>
                </c:pt>
                <c:pt idx="5">
                  <c:v>12.87</c:v>
                </c:pt>
                <c:pt idx="6">
                  <c:v>10.743</c:v>
                </c:pt>
                <c:pt idx="7">
                  <c:v>12.97</c:v>
                </c:pt>
                <c:pt idx="8">
                  <c:v>13.16</c:v>
                </c:pt>
                <c:pt idx="9">
                  <c:v>11.89</c:v>
                </c:pt>
                <c:pt idx="10">
                  <c:v>12.573</c:v>
                </c:pt>
                <c:pt idx="11">
                  <c:v>12.973000000000001</c:v>
                </c:pt>
              </c:numCache>
            </c:numRef>
          </c:val>
          <c:extLst>
            <c:ext xmlns:c16="http://schemas.microsoft.com/office/drawing/2014/chart" uri="{C3380CC4-5D6E-409C-BE32-E72D297353CC}">
              <c16:uniqueId val="{00000001-A025-4094-A1BC-C23EB15E27DB}"/>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IN" sz="1200"/>
                  <a:t>Treatment </a:t>
                </a:r>
              </a:p>
            </c:rich>
          </c:tx>
          <c:overlay val="0"/>
          <c:spPr>
            <a:noFill/>
            <a:ln>
              <a:noFill/>
            </a:ln>
            <a:effectLst/>
          </c:spPr>
          <c:txPr>
            <a:bodyPr rot="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367790527"/>
        <c:crosses val="autoZero"/>
        <c:auto val="1"/>
        <c:lblAlgn val="ctr"/>
        <c:lblOffset val="100"/>
        <c:noMultiLvlLbl val="0"/>
      </c:catAx>
      <c:valAx>
        <c:axId val="367790527"/>
        <c:scaling>
          <c:orientation val="minMax"/>
          <c:min val="0"/>
        </c:scaling>
        <c:delete val="0"/>
        <c:axPos val="l"/>
        <c:title>
          <c:tx>
            <c:rich>
              <a:bodyPr rot="-540000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IN" sz="1050"/>
                  <a:t>Dry matter content of shoot (g)</a:t>
                </a:r>
              </a:p>
            </c:rich>
          </c:tx>
          <c:overlay val="0"/>
          <c:spPr>
            <a:noFill/>
            <a:ln>
              <a:noFill/>
            </a:ln>
            <a:effectLst/>
          </c:spPr>
          <c:txPr>
            <a:bodyPr rot="-540000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367797727"/>
        <c:crosses val="autoZero"/>
        <c:crossBetween val="between"/>
      </c:valAx>
      <c:spPr>
        <a:noFill/>
        <a:ln>
          <a:noFill/>
        </a:ln>
        <a:effectLst/>
      </c:spPr>
    </c:plotArea>
    <c:legend>
      <c:legendPos val="b"/>
      <c:layout>
        <c:manualLayout>
          <c:xMode val="edge"/>
          <c:yMode val="edge"/>
          <c:x val="0.29456386701662302"/>
          <c:y val="1.4054753572470101E-2"/>
          <c:w val="0.60166925925925896"/>
          <c:h val="9.2070512820512804E-2"/>
        </c:manualLayout>
      </c:layout>
      <c:overlay val="0"/>
      <c:spPr>
        <a:noFill/>
        <a:ln>
          <a:noFill/>
        </a:ln>
        <a:effectLst/>
      </c:spPr>
      <c:txPr>
        <a:bodyPr rot="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legend>
    <c:plotVisOnly val="1"/>
    <c:dispBlanksAs val="gap"/>
    <c:showDLblsOverMax val="0"/>
    <c:extLst>
      <c:ext uri="{0b15fc19-7d7d-44ad-8c2d-2c3a37ce22c3}">
        <chartProps xmlns="https://web.wps.cn/et/2018/main" chartId="{ce04c86b-f3ba-4051-8a34-d4aa376442ae}"/>
      </c:ext>
    </c:extLst>
  </c:chart>
  <c:spPr>
    <a:solidFill>
      <a:schemeClr val="bg1"/>
    </a:solidFill>
    <a:ln w="9525" cap="flat" cmpd="sng" algn="ctr">
      <a:solidFill>
        <a:schemeClr val="bg1"/>
      </a:solidFill>
      <a:round/>
    </a:ln>
    <a:effectLst/>
  </c:spPr>
  <c:txPr>
    <a:bodyPr/>
    <a:lstStyle/>
    <a:p>
      <a:pPr>
        <a:defRPr lang="en-US" sz="1000" b="1">
          <a:solidFill>
            <a:sysClr val="windowText" lastClr="000000"/>
          </a:solidFill>
          <a:latin typeface="Times New Roman" panose="02020603050405020304" charset="0"/>
          <a:cs typeface="Times New Roman" panose="0202060305040502030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1" i="0" u="none" strike="noStrike" kern="1200" spc="0" baseline="0">
                <a:solidFill>
                  <a:schemeClr val="bg1"/>
                </a:solidFill>
                <a:latin typeface="Times New Roman" panose="02020603050405020304" charset="0"/>
                <a:ea typeface="+mn-ea"/>
                <a:cs typeface="Times New Roman" panose="02020603050405020304" charset="0"/>
              </a:defRPr>
            </a:pPr>
            <a:r>
              <a:rPr lang="en-IN">
                <a:solidFill>
                  <a:schemeClr val="bg1"/>
                </a:solidFill>
              </a:rPr>
              <a:t>a</a:t>
            </a:r>
          </a:p>
        </c:rich>
      </c:tx>
      <c:layout>
        <c:manualLayout>
          <c:xMode val="edge"/>
          <c:yMode val="edge"/>
          <c:x val="0.94407207567649698"/>
          <c:y val="5.0800101600203202E-3"/>
        </c:manualLayout>
      </c:layout>
      <c:overlay val="0"/>
      <c:spPr>
        <a:solidFill>
          <a:schemeClr val="tx1"/>
        </a:solidFill>
        <a:ln>
          <a:solidFill>
            <a:schemeClr val="tx1"/>
          </a:solidFill>
        </a:ln>
        <a:effectLst/>
      </c:spPr>
      <c:txPr>
        <a:bodyPr rot="0" spcFirstLastPara="1" vertOverflow="ellipsis" vert="horz" wrap="square" anchor="ctr" anchorCtr="1"/>
        <a:lstStyle/>
        <a:p>
          <a:pPr>
            <a:defRPr lang="en-US" sz="1200" b="1" i="0" u="none" strike="noStrike" kern="1200" spc="0" baseline="0">
              <a:solidFill>
                <a:schemeClr val="bg1"/>
              </a:solidFill>
              <a:latin typeface="Times New Roman" panose="02020603050405020304" charset="0"/>
              <a:ea typeface="+mn-ea"/>
              <a:cs typeface="Times New Roman" panose="02020603050405020304" charset="0"/>
            </a:defRPr>
          </a:pPr>
          <a:endParaRPr lang="en-US"/>
        </a:p>
      </c:txPr>
    </c:title>
    <c:autoTitleDeleted val="0"/>
    <c:plotArea>
      <c:layout>
        <c:manualLayout>
          <c:layoutTarget val="inner"/>
          <c:xMode val="edge"/>
          <c:yMode val="edge"/>
          <c:x val="0.179835555555556"/>
          <c:y val="5.1763247863247902E-2"/>
          <c:w val="0.78960888888888903"/>
          <c:h val="0.75857905982906004"/>
        </c:manualLayout>
      </c:layout>
      <c:barChart>
        <c:barDir val="col"/>
        <c:grouping val="clustered"/>
        <c:varyColors val="0"/>
        <c:ser>
          <c:idx val="0"/>
          <c:order val="0"/>
          <c:tx>
            <c:strRef>
              <c:f>'Fresh weight of bulb (g)'!$C$5</c:f>
              <c:strCache>
                <c:ptCount val="1"/>
                <c:pt idx="0">
                  <c:v>2020-2021</c:v>
                </c:pt>
              </c:strCache>
            </c:strRef>
          </c:tx>
          <c:spPr>
            <a:solidFill>
              <a:srgbClr val="00B05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'Fresh weight of bulb (g)'!$B$6:$B$17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'Fresh weight of bulb (g)'!$C$6:$C$17</c:f>
              <c:numCache>
                <c:formatCode>General</c:formatCode>
                <c:ptCount val="12"/>
                <c:pt idx="0">
                  <c:v>123.217</c:v>
                </c:pt>
                <c:pt idx="1">
                  <c:v>106.783</c:v>
                </c:pt>
                <c:pt idx="2">
                  <c:v>103.117</c:v>
                </c:pt>
                <c:pt idx="3">
                  <c:v>100.617</c:v>
                </c:pt>
                <c:pt idx="4">
                  <c:v>113.107</c:v>
                </c:pt>
                <c:pt idx="5">
                  <c:v>108.94</c:v>
                </c:pt>
                <c:pt idx="6">
                  <c:v>117.05</c:v>
                </c:pt>
                <c:pt idx="7">
                  <c:v>127.55</c:v>
                </c:pt>
                <c:pt idx="8">
                  <c:v>119.283</c:v>
                </c:pt>
                <c:pt idx="9">
                  <c:v>98.882999999999996</c:v>
                </c:pt>
                <c:pt idx="10">
                  <c:v>95.582999999999998</c:v>
                </c:pt>
                <c:pt idx="11">
                  <c:v>93.167000000000002</c:v>
                </c:pt>
              </c:numCache>
            </c:numRef>
          </c:val>
          <c:extLst>
            <c:ext xmlns:c16="http://schemas.microsoft.com/office/drawing/2014/chart" uri="{C3380CC4-5D6E-409C-BE32-E72D297353CC}">
              <c16:uniqueId val="{00000000-CAEE-4571-8465-5E851B808354}"/>
            </c:ext>
          </c:extLst>
        </c:ser>
        <c:ser>
          <c:idx val="1"/>
          <c:order val="1"/>
          <c:tx>
            <c:strRef>
              <c:f>'Fresh weight of bulb (g)'!$D$5</c:f>
              <c:strCache>
                <c:ptCount val="1"/>
                <c:pt idx="0">
                  <c:v>2021-2022</c:v>
                </c:pt>
              </c:strCache>
            </c:strRef>
          </c:tx>
          <c:spPr>
            <a:solidFill>
              <a:srgbClr val="C00000"/>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'Fresh weight of bulb (g)'!$B$6:$B$17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'Fresh weight of bulb (g)'!$D$6:$D$17</c:f>
              <c:numCache>
                <c:formatCode>General</c:formatCode>
                <c:ptCount val="12"/>
                <c:pt idx="0">
                  <c:v>128.21700000000001</c:v>
                </c:pt>
                <c:pt idx="1">
                  <c:v>111.783</c:v>
                </c:pt>
                <c:pt idx="2">
                  <c:v>108.117</c:v>
                </c:pt>
                <c:pt idx="3">
                  <c:v>105.617</c:v>
                </c:pt>
                <c:pt idx="4">
                  <c:v>118.14</c:v>
                </c:pt>
                <c:pt idx="5">
                  <c:v>113.94</c:v>
                </c:pt>
                <c:pt idx="6">
                  <c:v>142.05000000000001</c:v>
                </c:pt>
                <c:pt idx="7">
                  <c:v>132.55000000000001</c:v>
                </c:pt>
                <c:pt idx="8">
                  <c:v>124.283</c:v>
                </c:pt>
                <c:pt idx="9">
                  <c:v>103.883</c:v>
                </c:pt>
                <c:pt idx="10">
                  <c:v>100.583</c:v>
                </c:pt>
                <c:pt idx="11">
                  <c:v>98.167000000000002</c:v>
                </c:pt>
              </c:numCache>
            </c:numRef>
          </c:val>
          <c:extLst>
            <c:ext xmlns:c16="http://schemas.microsoft.com/office/drawing/2014/chart" uri="{C3380CC4-5D6E-409C-BE32-E72D297353CC}">
              <c16:uniqueId val="{00000001-CAEE-4571-8465-5E851B808354}"/>
            </c:ext>
          </c:extLst>
        </c:ser>
        <c:dLbls>
          <c:showLegendKey val="0"/>
          <c:showVal val="0"/>
          <c:showCatName val="0"/>
          <c:showSerName val="0"/>
          <c:showPercent val="0"/>
          <c:showBubbleSize val="0"/>
        </c:dLbls>
        <c:gapWidth val="219"/>
        <c:overlap val="-27"/>
        <c:axId val="367797727"/>
        <c:axId val="367790527"/>
      </c:barChart>
      <c:catAx>
        <c:axId val="367797727"/>
        <c:scaling>
          <c:orientation val="minMax"/>
        </c:scaling>
        <c:delete val="0"/>
        <c:axPos val="b"/>
        <c:title>
          <c:tx>
            <c:rich>
              <a:bodyPr rot="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IN" sz="1200"/>
                  <a:t>Treatment </a:t>
                </a:r>
              </a:p>
            </c:rich>
          </c:tx>
          <c:overlay val="0"/>
          <c:spPr>
            <a:noFill/>
            <a:ln>
              <a:noFill/>
            </a:ln>
            <a:effectLst/>
          </c:spPr>
          <c:txPr>
            <a:bodyPr rot="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367790527"/>
        <c:crosses val="autoZero"/>
        <c:auto val="1"/>
        <c:lblAlgn val="ctr"/>
        <c:lblOffset val="100"/>
        <c:noMultiLvlLbl val="0"/>
      </c:catAx>
      <c:valAx>
        <c:axId val="367790527"/>
        <c:scaling>
          <c:orientation val="minMax"/>
          <c:min val="0"/>
        </c:scaling>
        <c:delete val="0"/>
        <c:axPos val="l"/>
        <c:title>
          <c:tx>
            <c:rich>
              <a:bodyPr rot="-540000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IN" sz="1200" b="1" i="0" u="none" strike="noStrike" baseline="0">
                    <a:effectLst/>
                  </a:rPr>
                  <a:t>Fresh weight of bulb (g)</a:t>
                </a:r>
                <a:endParaRPr lang="en-IN" sz="1200"/>
              </a:p>
            </c:rich>
          </c:tx>
          <c:overlay val="0"/>
          <c:spPr>
            <a:noFill/>
            <a:ln>
              <a:noFill/>
            </a:ln>
            <a:effectLst/>
          </c:spPr>
          <c:txPr>
            <a:bodyPr rot="-540000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367797727"/>
        <c:crosses val="autoZero"/>
        <c:crossBetween val="between"/>
      </c:valAx>
      <c:spPr>
        <a:noFill/>
        <a:ln>
          <a:noFill/>
        </a:ln>
        <a:effectLst/>
      </c:spPr>
    </c:plotArea>
    <c:legend>
      <c:legendPos val="b"/>
      <c:layout>
        <c:manualLayout>
          <c:xMode val="edge"/>
          <c:yMode val="edge"/>
          <c:x val="0.29456386701662302"/>
          <c:y val="1.4054753572470101E-2"/>
          <c:w val="0.60166925925925896"/>
          <c:h val="9.2070512820512804E-2"/>
        </c:manualLayout>
      </c:layout>
      <c:overlay val="0"/>
      <c:spPr>
        <a:noFill/>
        <a:ln>
          <a:noFill/>
        </a:ln>
        <a:effectLst/>
      </c:spPr>
      <c:txPr>
        <a:bodyPr rot="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legend>
    <c:plotVisOnly val="1"/>
    <c:dispBlanksAs val="gap"/>
    <c:showDLblsOverMax val="0"/>
    <c:extLst>
      <c:ext uri="{0b15fc19-7d7d-44ad-8c2d-2c3a37ce22c3}">
        <chartProps xmlns="https://web.wps.cn/et/2018/main" chartId="{7fe04a5b-9283-4543-ad02-e0ba5293d685}"/>
      </c:ext>
    </c:extLst>
  </c:chart>
  <c:spPr>
    <a:solidFill>
      <a:schemeClr val="bg1"/>
    </a:solidFill>
    <a:ln w="9525" cap="flat" cmpd="sng" algn="ctr">
      <a:solidFill>
        <a:schemeClr val="bg1"/>
      </a:solidFill>
      <a:round/>
    </a:ln>
    <a:effectLst/>
  </c:spPr>
  <c:txPr>
    <a:bodyPr/>
    <a:lstStyle/>
    <a:p>
      <a:pPr>
        <a:defRPr lang="en-US" sz="1000" b="1">
          <a:solidFill>
            <a:sysClr val="windowText" lastClr="000000"/>
          </a:solidFill>
          <a:latin typeface="Times New Roman" panose="02020603050405020304" charset="0"/>
          <a:cs typeface="Times New Roman" panose="0202060305040502030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7"/>
    <customShpInfo spid="_x0000_s1026"/>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34</Pages>
  <Words>8519</Words>
  <Characters>48560</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shashank shekhar</dc:creator>
  <cp:lastModifiedBy>SDI 1089</cp:lastModifiedBy>
  <cp:revision>6</cp:revision>
  <dcterms:created xsi:type="dcterms:W3CDTF">2025-09-28T16:17:00Z</dcterms:created>
  <dcterms:modified xsi:type="dcterms:W3CDTF">2025-10-07T07:53:00Z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05D7960B31D14D7294C86A230C6146EC_12</vt:lpwstr>
  </property>
</Properties>
</file>