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72A" w:rsidRPr="00633160" w:rsidRDefault="0032672A" w:rsidP="0032672A">
      <w:pPr>
        <w:pStyle w:val="NormalWeb"/>
        <w:spacing w:before="0" w:beforeAutospacing="0" w:after="120" w:afterAutospacing="0"/>
        <w:jc w:val="center"/>
        <w:rPr>
          <w:b/>
          <w:color w:val="FF0000"/>
          <w:sz w:val="22"/>
          <w:szCs w:val="22"/>
        </w:rPr>
      </w:pPr>
      <w:r w:rsidRPr="00633160">
        <w:rPr>
          <w:b/>
          <w:color w:val="FF0000"/>
          <w:sz w:val="22"/>
          <w:szCs w:val="22"/>
        </w:rPr>
        <w:t>Assessment of Physical Water Quality Parameters of Borehole Water in Enugu State: A Comparative Analysis of Wet and Dry Seasons</w:t>
      </w:r>
    </w:p>
    <w:p w:rsidR="0032672A" w:rsidRPr="003568DF" w:rsidRDefault="0032672A" w:rsidP="0032672A">
      <w:pPr>
        <w:pStyle w:val="NormalWeb"/>
        <w:spacing w:before="0" w:beforeAutospacing="0" w:after="120" w:afterAutospacing="0"/>
        <w:jc w:val="both"/>
        <w:rPr>
          <w:sz w:val="22"/>
          <w:szCs w:val="22"/>
        </w:rPr>
      </w:pPr>
    </w:p>
    <w:p w:rsidR="0032672A" w:rsidRPr="003532B0" w:rsidRDefault="0032672A" w:rsidP="0032672A">
      <w:pPr>
        <w:pStyle w:val="NormalWeb"/>
        <w:spacing w:before="0" w:beforeAutospacing="0" w:after="120" w:afterAutospacing="0"/>
        <w:jc w:val="both"/>
        <w:rPr>
          <w:b/>
          <w:sz w:val="22"/>
          <w:szCs w:val="22"/>
        </w:rPr>
      </w:pPr>
      <w:r w:rsidRPr="003532B0">
        <w:rPr>
          <w:b/>
          <w:sz w:val="22"/>
          <w:szCs w:val="22"/>
        </w:rPr>
        <w:t>Abstract</w:t>
      </w:r>
    </w:p>
    <w:p w:rsidR="0032672A" w:rsidRDefault="0032672A" w:rsidP="0032672A">
      <w:pPr>
        <w:spacing w:after="120" w:line="240" w:lineRule="auto"/>
        <w:jc w:val="both"/>
        <w:rPr>
          <w:rFonts w:ascii="Times New Roman" w:eastAsia="Times New Roman" w:hAnsi="Times New Roman" w:cs="Times New Roman"/>
          <w:szCs w:val="24"/>
        </w:rPr>
      </w:pPr>
      <w:r w:rsidRPr="00147ACB">
        <w:rPr>
          <w:rFonts w:ascii="Times New Roman" w:eastAsia="Times New Roman" w:hAnsi="Times New Roman" w:cs="Times New Roman"/>
          <w:szCs w:val="24"/>
        </w:rPr>
        <w:t xml:space="preserve">This study assessed the physical water quality parameters of borehole water in Enugu State and examined the influence of seasonal variation on these parameters. </w:t>
      </w:r>
      <w:r>
        <w:rPr>
          <w:rFonts w:ascii="Times New Roman" w:eastAsia="Times New Roman" w:hAnsi="Times New Roman" w:cs="Times New Roman"/>
          <w:szCs w:val="24"/>
        </w:rPr>
        <w:t>Enugu State is characterized by two seasons: the wet season, which covers April to October, and the dry season, covering November to March. For this study, t</w:t>
      </w:r>
      <w:r w:rsidRPr="00147ACB">
        <w:rPr>
          <w:rFonts w:ascii="Times New Roman" w:eastAsia="Times New Roman" w:hAnsi="Times New Roman" w:cs="Times New Roman"/>
          <w:szCs w:val="24"/>
        </w:rPr>
        <w:t xml:space="preserve">welve borehole locations in Enugu North Local Government Area were selected, and water samples were collected monthly over a six-month period spanning </w:t>
      </w:r>
      <w:r>
        <w:rPr>
          <w:rFonts w:ascii="Times New Roman" w:eastAsia="Times New Roman" w:hAnsi="Times New Roman" w:cs="Times New Roman"/>
          <w:szCs w:val="24"/>
        </w:rPr>
        <w:t xml:space="preserve">from Jun to August 2023 (wet season) and from November 2023 to January 2024 (dry season). </w:t>
      </w:r>
      <w:r w:rsidRPr="00147ACB">
        <w:rPr>
          <w:rFonts w:ascii="Times New Roman" w:eastAsia="Times New Roman" w:hAnsi="Times New Roman" w:cs="Times New Roman"/>
          <w:szCs w:val="24"/>
        </w:rPr>
        <w:t xml:space="preserve">Standard analytical procedures prescribed by the American Public Health Association (APHA, 2017) were employed to measure pH, temperature, turbidity, electrical conductivity (EC), total dissolved solids (TDS), and total suspended solids (TSS). Descriptive statistics and paired sample t-tests were used to compare seasonal variations, while results were evaluated against the World Health Organization (WHO, 2017) drinking water quality standards. Findings revealed varying degrees of seasonal influence across the parameters. pH values showed minimal variation and generally conformed to WHO guidelines, except in a few samples that recorded slightly elevated values. Temperature was significantly higher during the dry season, although all values were within WHO limits. Turbidity was consistently higher in the wet season but remained far below the 1 NTU standard. EC and TDS exhibited marked increases in the dry season, reflecting reduced dilution and increased ion concentration. Conversely, TSS displayed no significant seasonal differences. The t-test results confirmed significant seasonal variation in temperature, turbidity, EC, and TDS, while pH and TSS showed no statistically significant differences. </w:t>
      </w:r>
      <w:r w:rsidRPr="002D5CFD">
        <w:rPr>
          <w:rFonts w:ascii="Times New Roman" w:eastAsia="Times New Roman" w:hAnsi="Times New Roman" w:cs="Times New Roman"/>
          <w:szCs w:val="24"/>
        </w:rPr>
        <w:t>T</w:t>
      </w:r>
      <w:r w:rsidRPr="00147ACB">
        <w:rPr>
          <w:rFonts w:ascii="Times New Roman" w:eastAsia="Times New Roman" w:hAnsi="Times New Roman" w:cs="Times New Roman"/>
          <w:szCs w:val="24"/>
        </w:rPr>
        <w:t>he findings indicate that although the borehole water in Enugu North generally meets WHO physical water quality s</w:t>
      </w:r>
      <w:r w:rsidRPr="002D5CFD">
        <w:rPr>
          <w:rFonts w:ascii="Times New Roman" w:eastAsia="Times New Roman" w:hAnsi="Times New Roman" w:cs="Times New Roman"/>
          <w:szCs w:val="24"/>
        </w:rPr>
        <w:t xml:space="preserve">tandards, seasonal fluctuations, </w:t>
      </w:r>
      <w:r w:rsidRPr="00147ACB">
        <w:rPr>
          <w:rFonts w:ascii="Times New Roman" w:eastAsia="Times New Roman" w:hAnsi="Times New Roman" w:cs="Times New Roman"/>
          <w:szCs w:val="24"/>
        </w:rPr>
        <w:t>par</w:t>
      </w:r>
      <w:r w:rsidRPr="002D5CFD">
        <w:rPr>
          <w:rFonts w:ascii="Times New Roman" w:eastAsia="Times New Roman" w:hAnsi="Times New Roman" w:cs="Times New Roman"/>
          <w:szCs w:val="24"/>
        </w:rPr>
        <w:t xml:space="preserve">ticularly during the dry season, </w:t>
      </w:r>
      <w:r w:rsidRPr="00147ACB">
        <w:rPr>
          <w:rFonts w:ascii="Times New Roman" w:eastAsia="Times New Roman" w:hAnsi="Times New Roman" w:cs="Times New Roman"/>
          <w:szCs w:val="24"/>
        </w:rPr>
        <w:t xml:space="preserve">pose potential risks to long-term groundwater quality and public health monitoring. </w:t>
      </w:r>
    </w:p>
    <w:p w:rsidR="0032672A" w:rsidRPr="00CA5C0F" w:rsidRDefault="0032672A" w:rsidP="0032672A">
      <w:pPr>
        <w:pStyle w:val="NormalWeb"/>
        <w:spacing w:before="0" w:beforeAutospacing="0" w:after="120" w:afterAutospacing="0"/>
        <w:jc w:val="both"/>
        <w:rPr>
          <w:sz w:val="22"/>
        </w:rPr>
      </w:pPr>
      <w:r w:rsidRPr="00CA5C0F">
        <w:rPr>
          <w:b/>
          <w:sz w:val="22"/>
        </w:rPr>
        <w:t>Keywords:</w:t>
      </w:r>
      <w:r>
        <w:rPr>
          <w:b/>
          <w:sz w:val="22"/>
        </w:rPr>
        <w:t xml:space="preserve"> </w:t>
      </w:r>
      <w:r w:rsidRPr="00CA5C0F">
        <w:rPr>
          <w:sz w:val="22"/>
        </w:rPr>
        <w:t xml:space="preserve">Borehole water quality; Physical parameters; Seasonal variation; Groundwater assessment; Enugu State. </w:t>
      </w:r>
    </w:p>
    <w:p w:rsidR="0032672A" w:rsidRPr="009F0405" w:rsidRDefault="0032672A" w:rsidP="0032672A">
      <w:pPr>
        <w:pStyle w:val="NormalWeb"/>
        <w:spacing w:before="0" w:beforeAutospacing="0" w:after="120" w:afterAutospacing="0"/>
        <w:jc w:val="both"/>
        <w:rPr>
          <w:b/>
          <w:sz w:val="22"/>
          <w:szCs w:val="22"/>
        </w:rPr>
      </w:pPr>
      <w:r w:rsidRPr="009F0405">
        <w:rPr>
          <w:b/>
          <w:sz w:val="22"/>
          <w:szCs w:val="22"/>
        </w:rPr>
        <w:t>Introduction</w:t>
      </w:r>
    </w:p>
    <w:p w:rsidR="0032672A" w:rsidRPr="003568DF" w:rsidRDefault="0032672A" w:rsidP="0032672A">
      <w:pPr>
        <w:pStyle w:val="NormalWeb"/>
        <w:spacing w:before="0" w:beforeAutospacing="0" w:after="120" w:afterAutospacing="0"/>
        <w:jc w:val="both"/>
        <w:rPr>
          <w:sz w:val="22"/>
          <w:szCs w:val="22"/>
        </w:rPr>
      </w:pPr>
      <w:r w:rsidRPr="003568DF">
        <w:rPr>
          <w:sz w:val="22"/>
          <w:szCs w:val="22"/>
        </w:rPr>
        <w:t>Water is one of the most essential natural resources for sustaining human life, supporting ecological systems, and facilitating socio-economic development</w:t>
      </w:r>
      <w:r>
        <w:rPr>
          <w:sz w:val="22"/>
          <w:szCs w:val="22"/>
        </w:rPr>
        <w:t xml:space="preserve"> [1,2]</w:t>
      </w:r>
      <w:r w:rsidRPr="003568DF">
        <w:rPr>
          <w:sz w:val="22"/>
          <w:szCs w:val="22"/>
        </w:rPr>
        <w:t>. Its availability in adequate quantity and quality remains fundamental to public health, industrial growth, and agricultural productivity. In many developing countries, including Nigeria, access to safe drinking water continues to pose significant challenges due to population growth, urban expansion, and increasing environmental degradation</w:t>
      </w:r>
      <w:r>
        <w:rPr>
          <w:sz w:val="22"/>
          <w:szCs w:val="22"/>
        </w:rPr>
        <w:t xml:space="preserve"> [3-6]</w:t>
      </w:r>
      <w:r w:rsidRPr="003568DF">
        <w:rPr>
          <w:sz w:val="22"/>
          <w:szCs w:val="22"/>
        </w:rPr>
        <w:t>. As a result, a large proportion of households, commercial establishments, and institutions rely heavily on groundwater sources, particularly boreholes, as their primary source of potable water</w:t>
      </w:r>
      <w:r>
        <w:rPr>
          <w:sz w:val="22"/>
          <w:szCs w:val="22"/>
        </w:rPr>
        <w:t xml:space="preserve"> [7]</w:t>
      </w:r>
      <w:r w:rsidRPr="003568DF">
        <w:rPr>
          <w:sz w:val="22"/>
          <w:szCs w:val="22"/>
        </w:rPr>
        <w:t>. Borehole water is generally regarded as safer than surface water because it is shielded from the direct effects of runoff, sewage infiltration, and surface pollutants</w:t>
      </w:r>
      <w:r>
        <w:rPr>
          <w:sz w:val="22"/>
          <w:szCs w:val="22"/>
        </w:rPr>
        <w:t xml:space="preserve"> [8]</w:t>
      </w:r>
      <w:r w:rsidRPr="003568DF">
        <w:rPr>
          <w:sz w:val="22"/>
          <w:szCs w:val="22"/>
        </w:rPr>
        <w:t>. However, its quality is increasingly threatened by human activities and natural processes that modify the physical and chemical characteristics of groundwater.</w:t>
      </w:r>
    </w:p>
    <w:p w:rsidR="0032672A" w:rsidRPr="003568DF" w:rsidRDefault="0032672A" w:rsidP="0032672A">
      <w:pPr>
        <w:pStyle w:val="NormalWeb"/>
        <w:spacing w:before="0" w:beforeAutospacing="0" w:after="120" w:afterAutospacing="0"/>
        <w:jc w:val="both"/>
        <w:rPr>
          <w:sz w:val="22"/>
          <w:szCs w:val="22"/>
        </w:rPr>
      </w:pPr>
      <w:r w:rsidRPr="003568DF">
        <w:rPr>
          <w:sz w:val="22"/>
          <w:szCs w:val="22"/>
        </w:rPr>
        <w:t>Enugu State, located in southeastern Nige</w:t>
      </w:r>
      <w:r>
        <w:rPr>
          <w:sz w:val="22"/>
          <w:szCs w:val="22"/>
        </w:rPr>
        <w:t>ria, has witnessed rapid urbaniz</w:t>
      </w:r>
      <w:r w:rsidRPr="003568DF">
        <w:rPr>
          <w:sz w:val="22"/>
          <w:szCs w:val="22"/>
        </w:rPr>
        <w:t>ation, population growth, inadequate municipal water supply, and increased dependence on privately owned and community boreholes. These boreholes are often constructed close to residential areas, waste dumps, poorly maintained drainage systems, abandoned industrial sites, and agricultural fields</w:t>
      </w:r>
      <w:r>
        <w:rPr>
          <w:sz w:val="22"/>
          <w:szCs w:val="22"/>
        </w:rPr>
        <w:t xml:space="preserve"> [9, 10]</w:t>
      </w:r>
      <w:r w:rsidRPr="003568DF">
        <w:rPr>
          <w:sz w:val="22"/>
          <w:szCs w:val="22"/>
        </w:rPr>
        <w:t>. Consequently, the physical quality of groundwater is susceptible to alterations induced by surface contamination, soil characteristics, hydrological variations, and climatic conditions</w:t>
      </w:r>
      <w:r>
        <w:rPr>
          <w:sz w:val="22"/>
          <w:szCs w:val="22"/>
        </w:rPr>
        <w:t xml:space="preserve"> [11-14]</w:t>
      </w:r>
      <w:r w:rsidRPr="003568DF">
        <w:rPr>
          <w:sz w:val="22"/>
          <w:szCs w:val="22"/>
        </w:rPr>
        <w:t>. Physical parameters such as pH, temperature, turbidity, electrical conductivity (EC), total dissolved solids (TDS), and total suspended solids (TSS) are vital indicators of water quality because they influence water aesthetics, suitability for consumption, and its interaction with chemical and biological components</w:t>
      </w:r>
      <w:r>
        <w:rPr>
          <w:sz w:val="22"/>
          <w:szCs w:val="22"/>
        </w:rPr>
        <w:t xml:space="preserve"> [15-17]</w:t>
      </w:r>
      <w:r w:rsidRPr="003568DF">
        <w:rPr>
          <w:sz w:val="22"/>
          <w:szCs w:val="22"/>
        </w:rPr>
        <w:t xml:space="preserve">. Deviations in these parameters can affect </w:t>
      </w:r>
      <w:r w:rsidRPr="003568DF">
        <w:rPr>
          <w:sz w:val="22"/>
          <w:szCs w:val="22"/>
        </w:rPr>
        <w:lastRenderedPageBreak/>
        <w:t>the efficiency of water treatment, increase corrosiveness, promote microbial growth, and reduce overall water safety.</w:t>
      </w:r>
    </w:p>
    <w:p w:rsidR="0032672A" w:rsidRPr="003568DF" w:rsidRDefault="0032672A" w:rsidP="0032672A">
      <w:pPr>
        <w:pStyle w:val="NormalWeb"/>
        <w:spacing w:before="0" w:beforeAutospacing="0" w:after="120" w:afterAutospacing="0"/>
        <w:jc w:val="both"/>
        <w:rPr>
          <w:sz w:val="22"/>
          <w:szCs w:val="22"/>
        </w:rPr>
      </w:pPr>
      <w:r w:rsidRPr="003568DF">
        <w:rPr>
          <w:sz w:val="22"/>
          <w:szCs w:val="22"/>
        </w:rPr>
        <w:t>Seasonal variation is another critical factor influencing the physical properties of groundwater. In tropical regions such as Enugu State, the hydrological cycle is characterized by distinct wet and dry seasons, each exerting unique effects on groundwater recharge, surface infiltration, dilution capacity, and contaminant transport. During the wet season, increased rainfall enhances groundwater recharge but may also introduce suspended particles, organic debris, and surface contaminants into aquifers</w:t>
      </w:r>
      <w:r>
        <w:rPr>
          <w:sz w:val="22"/>
          <w:szCs w:val="22"/>
        </w:rPr>
        <w:t xml:space="preserve"> [18]</w:t>
      </w:r>
      <w:r w:rsidRPr="003568DF">
        <w:rPr>
          <w:sz w:val="22"/>
          <w:szCs w:val="22"/>
        </w:rPr>
        <w:t>. Conversely, the dry season is associated with reduced recharge, higher evaporation rates, and concentration of dissolved solids, potentially altering parameters such as EC, TDS, and turbidity</w:t>
      </w:r>
      <w:r>
        <w:rPr>
          <w:sz w:val="22"/>
          <w:szCs w:val="22"/>
        </w:rPr>
        <w:t xml:space="preserve"> [16, 19, 20]</w:t>
      </w:r>
      <w:r w:rsidRPr="003568DF">
        <w:rPr>
          <w:sz w:val="22"/>
          <w:szCs w:val="22"/>
        </w:rPr>
        <w:t>. Understanding these seasonal dynamics is essential for effective groundwater monitoring, sustainable management, and risk mitigation.</w:t>
      </w:r>
    </w:p>
    <w:p w:rsidR="0032672A" w:rsidRPr="003568DF" w:rsidRDefault="0032672A" w:rsidP="0032672A">
      <w:pPr>
        <w:pStyle w:val="NormalWeb"/>
        <w:spacing w:before="0" w:beforeAutospacing="0" w:after="120" w:afterAutospacing="0"/>
        <w:jc w:val="both"/>
        <w:rPr>
          <w:sz w:val="22"/>
          <w:szCs w:val="22"/>
        </w:rPr>
      </w:pPr>
      <w:r w:rsidRPr="003568DF">
        <w:rPr>
          <w:sz w:val="22"/>
          <w:szCs w:val="22"/>
        </w:rPr>
        <w:t>Despite the widespread reliance on borehole water in Enugu State, empirical data on the seasonal variations in its physical quality remain limited. This study, therefore, assesses the physical water quality parameters of selected boreholes in Enugu State and investigates the influence of seasonal variation on these parameters. By comparing data collected during the wet and dry seasons, the research provides insight into the stability, safety, and environmental vulnerability of borehole water sources. The findings will support evidence-based decision-making for water quality monitoring, groundwater protection, and the development of appropriate regulatory and management strategies within the state.</w:t>
      </w:r>
    </w:p>
    <w:p w:rsidR="0032672A" w:rsidRPr="00E75244" w:rsidRDefault="0032672A" w:rsidP="0032672A">
      <w:pPr>
        <w:pStyle w:val="NormalWeb"/>
        <w:spacing w:before="0" w:beforeAutospacing="0" w:after="120" w:afterAutospacing="0"/>
        <w:jc w:val="both"/>
        <w:rPr>
          <w:b/>
          <w:sz w:val="22"/>
          <w:szCs w:val="22"/>
        </w:rPr>
      </w:pPr>
      <w:r w:rsidRPr="00E75244">
        <w:rPr>
          <w:b/>
          <w:sz w:val="22"/>
          <w:szCs w:val="22"/>
        </w:rPr>
        <w:t>2. Materials and Methods</w:t>
      </w:r>
    </w:p>
    <w:p w:rsidR="0032672A" w:rsidRPr="00E75244" w:rsidRDefault="0032672A" w:rsidP="0032672A">
      <w:pPr>
        <w:pStyle w:val="NormalWeb"/>
        <w:spacing w:before="0" w:beforeAutospacing="0" w:after="120" w:afterAutospacing="0"/>
        <w:jc w:val="both"/>
        <w:rPr>
          <w:b/>
          <w:sz w:val="22"/>
          <w:szCs w:val="22"/>
        </w:rPr>
      </w:pPr>
      <w:r w:rsidRPr="00E75244">
        <w:rPr>
          <w:b/>
          <w:sz w:val="22"/>
          <w:szCs w:val="22"/>
        </w:rPr>
        <w:t>2.1 Study Area</w:t>
      </w:r>
    </w:p>
    <w:p w:rsidR="0032672A" w:rsidRDefault="0032672A" w:rsidP="0032672A">
      <w:pPr>
        <w:pStyle w:val="NormalWeb"/>
        <w:spacing w:before="0" w:beforeAutospacing="0" w:after="120" w:afterAutospacing="0"/>
        <w:jc w:val="both"/>
        <w:rPr>
          <w:sz w:val="22"/>
          <w:szCs w:val="22"/>
        </w:rPr>
      </w:pPr>
      <w:r w:rsidRPr="003568DF">
        <w:rPr>
          <w:sz w:val="22"/>
          <w:szCs w:val="22"/>
        </w:rPr>
        <w:t>The study was conducted in Enugu State, located in southeastern Nigeria. Enugu lies between latitudes 6°18′N and 6°30′N and longitudes 7°26′E and 7°30′E, and experiences a tropica</w:t>
      </w:r>
      <w:r>
        <w:rPr>
          <w:sz w:val="22"/>
          <w:szCs w:val="22"/>
        </w:rPr>
        <w:t>l climate characteriz</w:t>
      </w:r>
      <w:r w:rsidRPr="003568DF">
        <w:rPr>
          <w:sz w:val="22"/>
          <w:szCs w:val="22"/>
        </w:rPr>
        <w:t>ed by two distinct seasons: the wet season (April–October) and the dry season (November–Mar</w:t>
      </w:r>
      <w:r>
        <w:rPr>
          <w:sz w:val="22"/>
          <w:szCs w:val="22"/>
        </w:rPr>
        <w:t>ch). The State is highly urbaniz</w:t>
      </w:r>
      <w:r w:rsidRPr="003568DF">
        <w:rPr>
          <w:sz w:val="22"/>
          <w:szCs w:val="22"/>
        </w:rPr>
        <w:t xml:space="preserve">ed and relies heavily on groundwater due to </w:t>
      </w:r>
      <w:r>
        <w:rPr>
          <w:sz w:val="22"/>
          <w:szCs w:val="22"/>
        </w:rPr>
        <w:t xml:space="preserve">an </w:t>
      </w:r>
      <w:r w:rsidRPr="003568DF">
        <w:rPr>
          <w:sz w:val="22"/>
          <w:szCs w:val="22"/>
        </w:rPr>
        <w:t>inadequate municipal water supply. Boreholes are widely distributed across residential, commercial, and institutional areas, making groundwater quality assessment crucial for public health.</w:t>
      </w:r>
      <w:r w:rsidR="00945C2C">
        <w:rPr>
          <w:sz w:val="22"/>
          <w:szCs w:val="22"/>
        </w:rPr>
        <w:t xml:space="preserve"> Figure 1 shows the visualization of the study area and the borehole locations, while Figure 2 shows a typical borehole drilling and water flow.</w:t>
      </w:r>
    </w:p>
    <w:p w:rsidR="0032672A" w:rsidRDefault="0032672A" w:rsidP="0032672A">
      <w:pPr>
        <w:spacing w:after="0"/>
      </w:pPr>
      <w:r>
        <w:rPr>
          <w:b/>
          <w:noProof/>
        </w:rPr>
        <w:drawing>
          <wp:anchor distT="0" distB="0" distL="114300" distR="114300" simplePos="0" relativeHeight="251659264" behindDoc="0" locked="0" layoutInCell="1" allowOverlap="1" wp14:anchorId="0A364007" wp14:editId="5E42F7B3">
            <wp:simplePos x="0" y="0"/>
            <wp:positionH relativeFrom="column">
              <wp:posOffset>205105</wp:posOffset>
            </wp:positionH>
            <wp:positionV relativeFrom="paragraph">
              <wp:posOffset>125095</wp:posOffset>
            </wp:positionV>
            <wp:extent cx="4122420" cy="2493645"/>
            <wp:effectExtent l="0" t="0" r="0" b="1905"/>
            <wp:wrapSquare wrapText="bothSides"/>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2493645"/>
                    </a:xfrm>
                    <a:prstGeom prst="rect">
                      <a:avLst/>
                    </a:prstGeom>
                    <a:noFill/>
                  </pic:spPr>
                </pic:pic>
              </a:graphicData>
            </a:graphic>
          </wp:anchor>
        </w:drawing>
      </w:r>
    </w:p>
    <w:p w:rsidR="0032672A" w:rsidRDefault="0032672A" w:rsidP="0032672A">
      <w:pPr>
        <w:spacing w:after="0"/>
      </w:pPr>
    </w:p>
    <w:p w:rsidR="0032672A" w:rsidRDefault="0032672A" w:rsidP="0032672A">
      <w:pPr>
        <w:spacing w:after="0"/>
      </w:pPr>
    </w:p>
    <w:p w:rsidR="0032672A" w:rsidRDefault="0032672A" w:rsidP="0032672A">
      <w:pPr>
        <w:spacing w:after="0"/>
      </w:pPr>
    </w:p>
    <w:p w:rsidR="0032672A" w:rsidRDefault="0032672A" w:rsidP="0032672A">
      <w:pPr>
        <w:spacing w:after="0"/>
      </w:pPr>
    </w:p>
    <w:p w:rsidR="0032672A" w:rsidRDefault="0032672A" w:rsidP="0032672A">
      <w:pPr>
        <w:spacing w:after="0"/>
      </w:pPr>
    </w:p>
    <w:p w:rsidR="0032672A" w:rsidRPr="00027105" w:rsidRDefault="0032672A" w:rsidP="0032672A">
      <w:pPr>
        <w:spacing w:after="0"/>
      </w:pPr>
      <w:r>
        <w:br w:type="textWrapping" w:clear="all"/>
      </w:r>
    </w:p>
    <w:p w:rsidR="0032672A" w:rsidRPr="00945C2C" w:rsidRDefault="0032672A" w:rsidP="0032672A">
      <w:pPr>
        <w:spacing w:after="0"/>
        <w:rPr>
          <w:rFonts w:ascii="Times New Roman" w:hAnsi="Times New Roman" w:cs="Times New Roman"/>
          <w:b/>
        </w:rPr>
      </w:pPr>
      <w:r w:rsidRPr="00945C2C">
        <w:rPr>
          <w:rFonts w:ascii="Times New Roman" w:hAnsi="Times New Roman" w:cs="Times New Roman"/>
          <w:b/>
        </w:rPr>
        <w:t>Figure 1. Map of the study area showing the borehole locations</w:t>
      </w:r>
    </w:p>
    <w:p w:rsidR="00945C2C" w:rsidRDefault="00945C2C" w:rsidP="0032672A">
      <w:pPr>
        <w:spacing w:after="0"/>
        <w:rPr>
          <w:rFonts w:ascii="Times New Roman" w:hAnsi="Times New Roman" w:cs="Times New Roman"/>
        </w:rPr>
      </w:pPr>
    </w:p>
    <w:p w:rsidR="00945C2C" w:rsidRPr="00945C2C" w:rsidRDefault="00945C2C" w:rsidP="0032672A">
      <w:pPr>
        <w:spacing w:after="0"/>
        <w:rPr>
          <w:rFonts w:ascii="Times New Roman" w:hAnsi="Times New Roman" w:cs="Times New Roman"/>
        </w:rPr>
      </w:pPr>
      <w:r w:rsidRPr="00740BD2">
        <w:rPr>
          <w:rFonts w:ascii="Times New Roman" w:hAnsi="Times New Roman" w:cs="Times New Roman"/>
          <w:b/>
          <w:noProof/>
          <w:sz w:val="24"/>
          <w:szCs w:val="24"/>
        </w:rPr>
        <w:lastRenderedPageBreak/>
        <w:drawing>
          <wp:inline distT="0" distB="0" distL="0" distR="0" wp14:anchorId="126AD6D1" wp14:editId="27BFD84F">
            <wp:extent cx="2835692" cy="2057400"/>
            <wp:effectExtent l="0" t="0" r="3175" b="0"/>
            <wp:docPr id="26" name="Picture 26" descr="Typical borehole drilling showing water flow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ical borehole drilling showing water flow | Downloa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024" cy="2065622"/>
                    </a:xfrm>
                    <a:prstGeom prst="rect">
                      <a:avLst/>
                    </a:prstGeom>
                    <a:noFill/>
                    <a:ln>
                      <a:noFill/>
                    </a:ln>
                  </pic:spPr>
                </pic:pic>
              </a:graphicData>
            </a:graphic>
          </wp:inline>
        </w:drawing>
      </w:r>
      <w:r w:rsidRPr="00740BD2">
        <w:rPr>
          <w:rFonts w:ascii="Times New Roman" w:hAnsi="Times New Roman" w:cs="Times New Roman"/>
          <w:b/>
          <w:noProof/>
          <w:sz w:val="24"/>
          <w:szCs w:val="24"/>
        </w:rPr>
        <w:drawing>
          <wp:inline distT="0" distB="0" distL="0" distR="0" wp14:anchorId="67A4ED2E" wp14:editId="3D2BFEBD">
            <wp:extent cx="3009900" cy="2085975"/>
            <wp:effectExtent l="0" t="0" r="0" b="9525"/>
            <wp:docPr id="27" name="Picture 27" descr="Borehole drilling: To regulate or not to regulate? - Th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ehole drilling: To regulate or not to regulate? - The Stand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085975"/>
                    </a:xfrm>
                    <a:prstGeom prst="rect">
                      <a:avLst/>
                    </a:prstGeom>
                    <a:noFill/>
                    <a:ln>
                      <a:noFill/>
                    </a:ln>
                  </pic:spPr>
                </pic:pic>
              </a:graphicData>
            </a:graphic>
          </wp:inline>
        </w:drawing>
      </w:r>
    </w:p>
    <w:p w:rsidR="0032672A" w:rsidRPr="00945C2C" w:rsidRDefault="00945C2C" w:rsidP="0032672A">
      <w:pPr>
        <w:pStyle w:val="NormalWeb"/>
        <w:spacing w:before="0" w:beforeAutospacing="0" w:after="120" w:afterAutospacing="0"/>
        <w:jc w:val="both"/>
        <w:rPr>
          <w:b/>
          <w:sz w:val="22"/>
          <w:szCs w:val="22"/>
        </w:rPr>
      </w:pPr>
      <w:r w:rsidRPr="00945C2C">
        <w:rPr>
          <w:b/>
          <w:sz w:val="22"/>
          <w:szCs w:val="22"/>
        </w:rPr>
        <w:t>Figure 2. Typical Borehole Drilling Showing Water Flow</w:t>
      </w:r>
    </w:p>
    <w:p w:rsidR="0032672A" w:rsidRPr="00E75244" w:rsidRDefault="0032672A" w:rsidP="0032672A">
      <w:pPr>
        <w:pStyle w:val="NormalWeb"/>
        <w:spacing w:before="0" w:beforeAutospacing="0" w:after="120" w:afterAutospacing="0"/>
        <w:jc w:val="both"/>
        <w:rPr>
          <w:b/>
          <w:sz w:val="22"/>
        </w:rPr>
      </w:pPr>
      <w:r w:rsidRPr="00E75244">
        <w:rPr>
          <w:b/>
          <w:sz w:val="22"/>
        </w:rPr>
        <w:t xml:space="preserve">2.2 Sample Collection </w:t>
      </w:r>
    </w:p>
    <w:p w:rsidR="0032672A" w:rsidRPr="005A2AA3" w:rsidRDefault="0032672A" w:rsidP="0032672A">
      <w:pPr>
        <w:pStyle w:val="NormalWeb"/>
        <w:spacing w:before="0" w:beforeAutospacing="0" w:after="120" w:afterAutospacing="0"/>
        <w:jc w:val="both"/>
        <w:rPr>
          <w:sz w:val="22"/>
        </w:rPr>
      </w:pPr>
      <w:r w:rsidRPr="005A2AA3">
        <w:rPr>
          <w:sz w:val="22"/>
        </w:rPr>
        <w:t>Twelve samples of water from boreholes in Enugu North were collected from various locations as indicated in the map. Water sampling was carried out monthly for a period of six (6) months, June 2023 to Jan 2024</w:t>
      </w:r>
      <w:r>
        <w:rPr>
          <w:sz w:val="22"/>
        </w:rPr>
        <w:t>, during the wet (June – August</w:t>
      </w:r>
      <w:r w:rsidRPr="005A2AA3">
        <w:rPr>
          <w:sz w:val="22"/>
        </w:rPr>
        <w:t xml:space="preserve"> 2023) and dry season (November - January 2024). This was done between 07:00 and 11:00 a.m. During the entire study</w:t>
      </w:r>
      <w:r>
        <w:rPr>
          <w:sz w:val="22"/>
        </w:rPr>
        <w:t>,</w:t>
      </w:r>
      <w:r w:rsidRPr="005A2AA3">
        <w:rPr>
          <w:sz w:val="22"/>
        </w:rPr>
        <w:t xml:space="preserve"> several field trips were undertaken</w:t>
      </w:r>
      <w:r>
        <w:rPr>
          <w:sz w:val="22"/>
        </w:rPr>
        <w:t>,</w:t>
      </w:r>
      <w:r w:rsidRPr="005A2AA3">
        <w:rPr>
          <w:sz w:val="22"/>
        </w:rPr>
        <w:t xml:space="preserve"> and six (6) set</w:t>
      </w:r>
      <w:r>
        <w:rPr>
          <w:sz w:val="22"/>
        </w:rPr>
        <w:t>s</w:t>
      </w:r>
      <w:r w:rsidRPr="005A2AA3">
        <w:rPr>
          <w:sz w:val="22"/>
        </w:rPr>
        <w:t xml:space="preserve"> of sample</w:t>
      </w:r>
      <w:r>
        <w:rPr>
          <w:sz w:val="22"/>
        </w:rPr>
        <w:t>s were taken from each location and</w:t>
      </w:r>
      <w:r w:rsidRPr="005A2AA3">
        <w:rPr>
          <w:sz w:val="22"/>
        </w:rPr>
        <w:t xml:space="preserve"> pooled together to form representative samples for each borehole location. </w:t>
      </w:r>
    </w:p>
    <w:p w:rsidR="0032672A" w:rsidRPr="005A2AA3" w:rsidRDefault="0032672A" w:rsidP="0032672A">
      <w:pPr>
        <w:pStyle w:val="NormalWeb"/>
        <w:spacing w:before="0" w:beforeAutospacing="0" w:after="120" w:afterAutospacing="0"/>
        <w:jc w:val="both"/>
        <w:rPr>
          <w:sz w:val="22"/>
        </w:rPr>
      </w:pPr>
      <w:r>
        <w:rPr>
          <w:sz w:val="22"/>
        </w:rPr>
        <w:t>Water samples for physico</w:t>
      </w:r>
      <w:r w:rsidRPr="005A2AA3">
        <w:rPr>
          <w:sz w:val="22"/>
        </w:rPr>
        <w:t>chemical analysis were collected in pre-washed</w:t>
      </w:r>
      <w:r>
        <w:rPr>
          <w:sz w:val="22"/>
        </w:rPr>
        <w:t xml:space="preserve"> 1-</w:t>
      </w:r>
      <w:r w:rsidRPr="005A2AA3">
        <w:rPr>
          <w:sz w:val="22"/>
        </w:rPr>
        <w:t>litre capacity plastic containers, while those for microbiological ana</w:t>
      </w:r>
      <w:r>
        <w:rPr>
          <w:sz w:val="22"/>
        </w:rPr>
        <w:t>lysis were collected in steriliz</w:t>
      </w:r>
      <w:r w:rsidRPr="005A2AA3">
        <w:rPr>
          <w:sz w:val="22"/>
        </w:rPr>
        <w:t>ed bottles. Sample containers were rinsed at least three times with samples from each locati</w:t>
      </w:r>
      <w:r>
        <w:rPr>
          <w:sz w:val="22"/>
        </w:rPr>
        <w:t>on before collection to harmonis</w:t>
      </w:r>
      <w:r w:rsidRPr="0032672A">
        <w:rPr>
          <w:sz w:val="22"/>
        </w:rPr>
        <w:t xml:space="preserve">e the </w:t>
      </w:r>
      <w:r w:rsidRPr="005A2AA3">
        <w:rPr>
          <w:sz w:val="22"/>
        </w:rPr>
        <w:t xml:space="preserve">containers with the sample. All collected samples were transported within 24 hours of collection in an </w:t>
      </w:r>
      <w:r>
        <w:rPr>
          <w:sz w:val="22"/>
        </w:rPr>
        <w:t>ice-cooled</w:t>
      </w:r>
      <w:r w:rsidRPr="005A2AA3">
        <w:rPr>
          <w:sz w:val="22"/>
        </w:rPr>
        <w:t xml:space="preserve"> box to the laboratory for analysis of </w:t>
      </w:r>
      <w:r>
        <w:rPr>
          <w:sz w:val="22"/>
        </w:rPr>
        <w:t xml:space="preserve">their </w:t>
      </w:r>
      <w:r w:rsidRPr="005A2AA3">
        <w:rPr>
          <w:sz w:val="22"/>
        </w:rPr>
        <w:t xml:space="preserve">respective characteristics. </w:t>
      </w:r>
    </w:p>
    <w:p w:rsidR="0032672A" w:rsidRDefault="0032672A" w:rsidP="0032672A">
      <w:pPr>
        <w:pStyle w:val="NormalWeb"/>
        <w:spacing w:before="0" w:beforeAutospacing="0" w:after="120" w:afterAutospacing="0"/>
        <w:jc w:val="both"/>
        <w:rPr>
          <w:sz w:val="22"/>
        </w:rPr>
      </w:pPr>
      <w:r w:rsidRPr="005A2AA3">
        <w:rPr>
          <w:sz w:val="22"/>
        </w:rPr>
        <w:t>Water samples for dissolved oxygen (DO) analysis were collected directly from the boreholes using a 250 ml glass stopper bottle and filled to the brim. In the field, 2.5 ml of Winkler’s solution A (</w:t>
      </w:r>
      <w:r w:rsidRPr="0032672A">
        <w:rPr>
          <w:sz w:val="22"/>
        </w:rPr>
        <w:t>MnSO</w:t>
      </w:r>
      <w:r w:rsidRPr="0032672A">
        <w:rPr>
          <w:sz w:val="22"/>
          <w:vertAlign w:val="subscript"/>
        </w:rPr>
        <w:t>4</w:t>
      </w:r>
      <w:r w:rsidRPr="005A2AA3">
        <w:rPr>
          <w:sz w:val="22"/>
        </w:rPr>
        <w:t>)</w:t>
      </w:r>
      <w:r w:rsidRPr="007635F0">
        <w:rPr>
          <w:color w:val="FF0000"/>
          <w:sz w:val="22"/>
        </w:rPr>
        <w:t xml:space="preserve"> </w:t>
      </w:r>
      <w:r w:rsidRPr="005A2AA3">
        <w:rPr>
          <w:sz w:val="22"/>
        </w:rPr>
        <w:t>and B (KOH + KI) was added to the samples, and the bottles were carefully covered tightly to avoid the inclusion of air bubbles, and thoroughly mixed for about 10 seconds</w:t>
      </w:r>
      <w:r>
        <w:rPr>
          <w:sz w:val="22"/>
        </w:rPr>
        <w:t>,</w:t>
      </w:r>
      <w:r w:rsidRPr="005A2AA3">
        <w:rPr>
          <w:sz w:val="22"/>
        </w:rPr>
        <w:t xml:space="preserve"> which leads to the formation of a precipitate. Also</w:t>
      </w:r>
      <w:r>
        <w:rPr>
          <w:sz w:val="22"/>
        </w:rPr>
        <w:t>,</w:t>
      </w:r>
      <w:r w:rsidRPr="005A2AA3">
        <w:rPr>
          <w:sz w:val="22"/>
        </w:rPr>
        <w:t xml:space="preserve"> water samples for biological oxygen demand (BOD) analysis were collected directly from the boreho</w:t>
      </w:r>
      <w:r>
        <w:rPr>
          <w:sz w:val="22"/>
        </w:rPr>
        <w:t>le heads using a 250 ml steriliz</w:t>
      </w:r>
      <w:r w:rsidRPr="005A2AA3">
        <w:rPr>
          <w:sz w:val="22"/>
        </w:rPr>
        <w:t>ed amber bottle, corked immediately to avoid trapping air, wrapped with black polythene bags</w:t>
      </w:r>
      <w:r>
        <w:rPr>
          <w:sz w:val="22"/>
        </w:rPr>
        <w:t>,</w:t>
      </w:r>
      <w:r w:rsidRPr="005A2AA3">
        <w:rPr>
          <w:sz w:val="22"/>
        </w:rPr>
        <w:t xml:space="preserve"> an</w:t>
      </w:r>
      <w:r>
        <w:rPr>
          <w:sz w:val="22"/>
        </w:rPr>
        <w:t>d transported to the laboratory.</w:t>
      </w:r>
    </w:p>
    <w:p w:rsidR="0032672A" w:rsidRPr="001063DE" w:rsidRDefault="0032672A" w:rsidP="0032672A">
      <w:pPr>
        <w:pStyle w:val="NormalWeb"/>
        <w:spacing w:before="0" w:beforeAutospacing="0" w:after="120" w:afterAutospacing="0"/>
        <w:jc w:val="both"/>
        <w:rPr>
          <w:b/>
          <w:sz w:val="22"/>
        </w:rPr>
      </w:pPr>
      <w:r w:rsidRPr="001063DE">
        <w:rPr>
          <w:b/>
          <w:sz w:val="22"/>
        </w:rPr>
        <w:t>2.3 Determination of Physical Water Quality Parameters</w:t>
      </w:r>
    </w:p>
    <w:p w:rsidR="0032672A" w:rsidRDefault="0032672A" w:rsidP="0032672A">
      <w:pPr>
        <w:pStyle w:val="NormalWeb"/>
        <w:spacing w:before="0" w:beforeAutospacing="0" w:after="120" w:afterAutospacing="0"/>
        <w:jc w:val="both"/>
        <w:rPr>
          <w:sz w:val="22"/>
        </w:rPr>
      </w:pPr>
      <w:r w:rsidRPr="001063DE">
        <w:rPr>
          <w:sz w:val="22"/>
        </w:rPr>
        <w:t>The study focused strictly on physical water quality indicators, which include: pH, Temperature, Turbidity, Electrical Conductivity (EC), Total Dissolved Solids (TDS), and Total Suspended Solids (TSS)</w:t>
      </w:r>
      <w:r>
        <w:rPr>
          <w:sz w:val="22"/>
        </w:rPr>
        <w:t xml:space="preserve">. </w:t>
      </w:r>
      <w:r w:rsidRPr="001063DE">
        <w:rPr>
          <w:sz w:val="22"/>
        </w:rPr>
        <w:t>These parameters were determined using Standard Methods for the Examination of Water and Wastewater by the American Public Health Association (APHA, 2017).</w:t>
      </w:r>
    </w:p>
    <w:p w:rsidR="0032672A" w:rsidRPr="00E923B5" w:rsidRDefault="0032672A" w:rsidP="0032672A">
      <w:pPr>
        <w:pStyle w:val="NormalWeb"/>
        <w:spacing w:before="0" w:beforeAutospacing="0" w:after="120" w:afterAutospacing="0"/>
        <w:jc w:val="both"/>
        <w:rPr>
          <w:b/>
          <w:sz w:val="22"/>
        </w:rPr>
      </w:pPr>
      <w:r w:rsidRPr="00E923B5">
        <w:rPr>
          <w:b/>
          <w:sz w:val="22"/>
        </w:rPr>
        <w:t>2.3.1 Temperature and pH</w:t>
      </w:r>
    </w:p>
    <w:p w:rsidR="0032672A" w:rsidRDefault="0032672A" w:rsidP="0032672A">
      <w:pPr>
        <w:pStyle w:val="NormalWeb"/>
        <w:spacing w:before="0" w:beforeAutospacing="0" w:after="120" w:afterAutospacing="0"/>
        <w:jc w:val="both"/>
        <w:rPr>
          <w:sz w:val="22"/>
        </w:rPr>
      </w:pPr>
      <w:r w:rsidRPr="00E923B5">
        <w:rPr>
          <w:sz w:val="22"/>
        </w:rPr>
        <w:t xml:space="preserve">The temperature of the water was measured according to the methods described by APHA (2017). The mercury-in-glass thermometer was immersed in the water and allowed to assume the water temperature before reading. The value of the temperature was taken by switching the </w:t>
      </w:r>
      <w:r>
        <w:rPr>
          <w:sz w:val="22"/>
        </w:rPr>
        <w:t>mode and was allowed to stabiliz</w:t>
      </w:r>
      <w:r w:rsidRPr="00E923B5">
        <w:rPr>
          <w:sz w:val="22"/>
        </w:rPr>
        <w:t xml:space="preserve">e for three minutes before the value was recorded. </w:t>
      </w:r>
    </w:p>
    <w:p w:rsidR="0032672A" w:rsidRDefault="0032672A" w:rsidP="0032672A">
      <w:pPr>
        <w:pStyle w:val="NormalWeb"/>
        <w:spacing w:before="0" w:beforeAutospacing="0" w:after="120" w:afterAutospacing="0"/>
        <w:jc w:val="both"/>
        <w:rPr>
          <w:sz w:val="22"/>
        </w:rPr>
      </w:pPr>
      <w:r w:rsidRPr="00155726">
        <w:rPr>
          <w:sz w:val="22"/>
        </w:rPr>
        <w:t xml:space="preserve">The pH of the water samples was determined in situ using a digital electronic pH meter (Hanna instrument: HI–1991300 model). The meter was first calibrated using a buffer of pH 7.0 and rinsed with distilled water and blotted dry. Thereafter, it was further rinsed in a small beaker with a portion of the samples. After </w:t>
      </w:r>
      <w:r w:rsidRPr="00155726">
        <w:rPr>
          <w:sz w:val="22"/>
        </w:rPr>
        <w:lastRenderedPageBreak/>
        <w:t xml:space="preserve">calibration, a sufficient amount of the sample was poured into a small beaker to allow the tips of the electrodes to be immersed to a depth of about 2 cm. The electrode was at least 1 cm away from the sides and bottom of the beaker, the temperature adjustment dial was adjusted accordingly, thereafter readings were taken after 5 minutes of immersion and at steady readings. </w:t>
      </w:r>
    </w:p>
    <w:p w:rsidR="0032672A" w:rsidRPr="002B6C4D" w:rsidRDefault="0032672A" w:rsidP="0032672A">
      <w:pPr>
        <w:pStyle w:val="NormalWeb"/>
        <w:spacing w:before="0" w:beforeAutospacing="0" w:after="120" w:afterAutospacing="0"/>
        <w:jc w:val="both"/>
        <w:rPr>
          <w:b/>
          <w:sz w:val="22"/>
        </w:rPr>
      </w:pPr>
      <w:r w:rsidRPr="002B6C4D">
        <w:rPr>
          <w:b/>
          <w:sz w:val="22"/>
        </w:rPr>
        <w:t>2.3.2 Turbidity</w:t>
      </w:r>
    </w:p>
    <w:p w:rsidR="0032672A" w:rsidRDefault="0032672A" w:rsidP="0032672A">
      <w:pPr>
        <w:pStyle w:val="NormalWeb"/>
        <w:spacing w:before="0" w:beforeAutospacing="0" w:after="120" w:afterAutospacing="0"/>
        <w:jc w:val="both"/>
        <w:rPr>
          <w:sz w:val="22"/>
        </w:rPr>
      </w:pPr>
      <w:r w:rsidRPr="002B6C4D">
        <w:rPr>
          <w:sz w:val="22"/>
        </w:rPr>
        <w:t xml:space="preserve">The turbidity of the surface water was measured in nephelometric turbidity units (NTU) according to the methods described by the American Public Health Association (APHA, 2017). The nephelometer was calibrated according to the manufacturer’s instructions. This was done to ensure accurate and consistent measurements. The water samples for analysis were poured into clean and transparent cuvettes that are free from impurities that may affect the measurements hereafter. The filled cuvettes were properly placed into the nephelometer’s sample holder, and measurement on the nephelometer was initiated. The instrument emits a light beam into the water samples, and the scattered light is detected by a sensor. The intensity of the scattered light is proportional to the turbidity of the water samples. The nephelometer displays the turbidity measurements in appropriate units before readings are taken. </w:t>
      </w:r>
    </w:p>
    <w:p w:rsidR="0032672A" w:rsidRPr="00223A24" w:rsidRDefault="0032672A" w:rsidP="0032672A">
      <w:pPr>
        <w:pStyle w:val="NormalWeb"/>
        <w:spacing w:before="0" w:beforeAutospacing="0" w:after="120" w:afterAutospacing="0"/>
        <w:jc w:val="both"/>
        <w:rPr>
          <w:b/>
          <w:sz w:val="22"/>
        </w:rPr>
      </w:pPr>
      <w:r w:rsidRPr="00223A24">
        <w:rPr>
          <w:b/>
          <w:sz w:val="22"/>
        </w:rPr>
        <w:t>2.3.3 Electrical Conductivity (EC) and Total Dissolved Solids (TDS)</w:t>
      </w:r>
    </w:p>
    <w:p w:rsidR="0032672A" w:rsidRDefault="0032672A" w:rsidP="0032672A">
      <w:pPr>
        <w:pStyle w:val="NormalWeb"/>
        <w:spacing w:before="0" w:beforeAutospacing="0" w:after="120" w:afterAutospacing="0"/>
        <w:jc w:val="both"/>
        <w:rPr>
          <w:sz w:val="22"/>
        </w:rPr>
      </w:pPr>
      <w:r w:rsidRPr="00223A24">
        <w:rPr>
          <w:sz w:val="22"/>
        </w:rPr>
        <w:t xml:space="preserve">The EC analysis was also carried out according to the APHA (2017) guidelines. The electrical conductivity meter (model DDS-307) was used for the analysis. The conductivity electrode was rinsed with 50 cm3 portions of each of the water samples. The electrode cap of the E.C. meter was removed before switching on. After which, the electrode was immersed in a </w:t>
      </w:r>
      <w:r w:rsidRPr="0032672A">
        <w:rPr>
          <w:sz w:val="22"/>
        </w:rPr>
        <w:t>250 cm</w:t>
      </w:r>
      <w:r w:rsidRPr="0032672A">
        <w:rPr>
          <w:sz w:val="22"/>
          <w:vertAlign w:val="superscript"/>
        </w:rPr>
        <w:t>3</w:t>
      </w:r>
      <w:r w:rsidRPr="0032672A">
        <w:rPr>
          <w:sz w:val="22"/>
        </w:rPr>
        <w:t xml:space="preserve"> </w:t>
      </w:r>
      <w:r w:rsidRPr="00223A24">
        <w:rPr>
          <w:sz w:val="22"/>
        </w:rPr>
        <w:t xml:space="preserve">volume of the water sample. The display on the electrical conductivity meter was allowed to stabilize before readings were taken. </w:t>
      </w:r>
    </w:p>
    <w:p w:rsidR="0032672A" w:rsidRDefault="0032672A" w:rsidP="0032672A">
      <w:pPr>
        <w:pStyle w:val="NormalWeb"/>
        <w:spacing w:before="0" w:beforeAutospacing="0" w:after="120" w:afterAutospacing="0"/>
        <w:jc w:val="both"/>
        <w:rPr>
          <w:sz w:val="22"/>
        </w:rPr>
      </w:pPr>
      <w:r>
        <w:rPr>
          <w:sz w:val="22"/>
        </w:rPr>
        <w:t>500ml of each sample was</w:t>
      </w:r>
      <w:r w:rsidRPr="0052260E">
        <w:rPr>
          <w:sz w:val="22"/>
        </w:rPr>
        <w:t xml:space="preserve"> filtered in a gooch crucible to free it from suspended matter. The filtrate is collected in a beaker and evaporated to about 50ml volume. The 50ml was carefully transferred to a weighed platinum dish with distilled water. The solution was then evaporated to dryness on a steam bath</w:t>
      </w:r>
      <w:r>
        <w:rPr>
          <w:sz w:val="22"/>
        </w:rPr>
        <w:t>,</w:t>
      </w:r>
      <w:r w:rsidRPr="0052260E">
        <w:rPr>
          <w:sz w:val="22"/>
        </w:rPr>
        <w:t xml:space="preserve"> and the dish was drie</w:t>
      </w:r>
      <w:r>
        <w:rPr>
          <w:sz w:val="22"/>
        </w:rPr>
        <w:t xml:space="preserve">d in an oven at about 100-110 °C </w:t>
      </w:r>
      <w:r w:rsidRPr="0052260E">
        <w:rPr>
          <w:sz w:val="22"/>
        </w:rPr>
        <w:t xml:space="preserve">for about an hour. It was </w:t>
      </w:r>
      <w:r>
        <w:rPr>
          <w:sz w:val="22"/>
        </w:rPr>
        <w:t>allowed to cool in a desiccator</w:t>
      </w:r>
      <w:r w:rsidRPr="0052260E">
        <w:rPr>
          <w:sz w:val="22"/>
        </w:rPr>
        <w:t xml:space="preserve"> and weighed (APHA, 2017). The total dissolved solids </w:t>
      </w:r>
      <w:r>
        <w:rPr>
          <w:sz w:val="22"/>
        </w:rPr>
        <w:t xml:space="preserve">(TDS) is computed as follows: </w:t>
      </w:r>
    </w:p>
    <w:p w:rsidR="0032672A" w:rsidRPr="00B741C6" w:rsidRDefault="0032672A" w:rsidP="0032672A">
      <w:pPr>
        <w:pStyle w:val="NormalWeb"/>
        <w:spacing w:before="0" w:beforeAutospacing="0" w:after="120" w:afterAutospacing="0"/>
        <w:jc w:val="both"/>
        <w:rPr>
          <w:sz w:val="22"/>
        </w:rPr>
      </w:pPr>
      <m:oMathPara>
        <m:oMath>
          <m:r>
            <w:rPr>
              <w:rFonts w:ascii="Cambria Math" w:hAnsi="Cambria Math"/>
              <w:sz w:val="22"/>
            </w:rPr>
            <m:t>TDS=</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num>
            <m:den>
              <m:r>
                <w:rPr>
                  <w:rFonts w:ascii="Cambria Math" w:hAnsi="Cambria Math"/>
                  <w:sz w:val="22"/>
                </w:rPr>
                <m:t>V</m:t>
              </m:r>
            </m:den>
          </m:f>
          <m:r>
            <w:rPr>
              <w:rFonts w:ascii="Cambria Math" w:hAnsi="Cambria Math"/>
              <w:sz w:val="22"/>
            </w:rPr>
            <m:t>×100</m:t>
          </m:r>
        </m:oMath>
      </m:oMathPara>
    </w:p>
    <w:p w:rsidR="0032672A" w:rsidRDefault="0032672A" w:rsidP="0032672A">
      <w:pPr>
        <w:pStyle w:val="NormalWeb"/>
        <w:spacing w:before="0" w:beforeAutospacing="0" w:after="120" w:afterAutospacing="0"/>
        <w:jc w:val="both"/>
        <w:rPr>
          <w:sz w:val="22"/>
        </w:rPr>
      </w:pPr>
      <w:r>
        <w:rPr>
          <w:sz w:val="22"/>
        </w:rPr>
        <w:t xml:space="preserve">where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oMath>
      <w:r>
        <w:rPr>
          <w:sz w:val="22"/>
        </w:rPr>
        <w:t xml:space="preserve"> is the weight of the empty evaporating dish (mg),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oMath>
      <w:r>
        <w:rPr>
          <w:sz w:val="22"/>
        </w:rPr>
        <w:t xml:space="preserve"> is the weight of the dish </w:t>
      </w:r>
      <m:oMath>
        <m:r>
          <w:rPr>
            <w:rFonts w:ascii="Cambria Math" w:hAnsi="Cambria Math"/>
            <w:sz w:val="22"/>
          </w:rPr>
          <m:t>+</m:t>
        </m:r>
      </m:oMath>
      <w:r>
        <w:rPr>
          <w:sz w:val="22"/>
        </w:rPr>
        <w:t xml:space="preserve"> residue after drying (mg), and </w:t>
      </w:r>
      <m:oMath>
        <m:r>
          <w:rPr>
            <w:rFonts w:ascii="Cambria Math" w:hAnsi="Cambria Math"/>
            <w:sz w:val="22"/>
          </w:rPr>
          <m:t>V</m:t>
        </m:r>
      </m:oMath>
      <w:r>
        <w:rPr>
          <w:sz w:val="22"/>
        </w:rPr>
        <w:t xml:space="preserve"> is the volume of the water sample (500mL). </w:t>
      </w:r>
    </w:p>
    <w:p w:rsidR="0032672A" w:rsidRPr="005D6292" w:rsidRDefault="0032672A" w:rsidP="0032672A">
      <w:pPr>
        <w:pStyle w:val="NormalWeb"/>
        <w:spacing w:before="0" w:beforeAutospacing="0" w:after="120" w:afterAutospacing="0"/>
        <w:jc w:val="both"/>
        <w:rPr>
          <w:b/>
          <w:sz w:val="22"/>
        </w:rPr>
      </w:pPr>
      <w:r w:rsidRPr="005D6292">
        <w:rPr>
          <w:b/>
          <w:sz w:val="22"/>
        </w:rPr>
        <w:t>2.3.4 Total Suspended Solids (TSS)</w:t>
      </w:r>
    </w:p>
    <w:p w:rsidR="0032672A" w:rsidRPr="003260AE" w:rsidRDefault="0032672A" w:rsidP="0032672A">
      <w:pPr>
        <w:pStyle w:val="NormalWeb"/>
        <w:spacing w:before="0" w:beforeAutospacing="0" w:after="120" w:afterAutospacing="0"/>
        <w:jc w:val="both"/>
        <w:rPr>
          <w:sz w:val="22"/>
          <w:szCs w:val="22"/>
        </w:rPr>
      </w:pPr>
      <w:r w:rsidRPr="005D6292">
        <w:rPr>
          <w:sz w:val="22"/>
        </w:rPr>
        <w:t>500ml of each s</w:t>
      </w:r>
      <w:r>
        <w:rPr>
          <w:sz w:val="22"/>
        </w:rPr>
        <w:t>ample was</w:t>
      </w:r>
      <w:r w:rsidRPr="005D6292">
        <w:rPr>
          <w:sz w:val="22"/>
        </w:rPr>
        <w:t xml:space="preserve"> measured out exactly using a graduated cylinder into a volumetric flask and allowed to filter through a dried and weighed gooch crucible containing an asbestos mat. The suspended solids retained in the crucible are washed with distilled water to remove chloride. The crucible is finally dried, cooled in a desiccator</w:t>
      </w:r>
      <w:r>
        <w:rPr>
          <w:sz w:val="22"/>
        </w:rPr>
        <w:t>,</w:t>
      </w:r>
      <w:r w:rsidRPr="005D6292">
        <w:rPr>
          <w:sz w:val="22"/>
        </w:rPr>
        <w:t xml:space="preserve"> and weighed. The increase in the weight of the crucible is equivalent to the </w:t>
      </w:r>
      <w:r w:rsidRPr="003260AE">
        <w:rPr>
          <w:sz w:val="22"/>
          <w:szCs w:val="22"/>
        </w:rPr>
        <w:t xml:space="preserve">suspended solids present. </w:t>
      </w:r>
    </w:p>
    <w:p w:rsidR="0032672A" w:rsidRPr="003260AE" w:rsidRDefault="0032672A" w:rsidP="0032672A">
      <w:pPr>
        <w:pStyle w:val="NormalWeb"/>
        <w:spacing w:before="0" w:beforeAutospacing="0" w:after="120" w:afterAutospacing="0"/>
        <w:rPr>
          <w:b/>
          <w:sz w:val="22"/>
          <w:szCs w:val="22"/>
        </w:rPr>
      </w:pPr>
      <w:r w:rsidRPr="003260AE">
        <w:rPr>
          <w:b/>
          <w:sz w:val="22"/>
          <w:szCs w:val="22"/>
        </w:rPr>
        <w:t>2.4 Statistical Analysis</w:t>
      </w:r>
    </w:p>
    <w:p w:rsidR="0032672A" w:rsidRPr="003260AE" w:rsidRDefault="0032672A" w:rsidP="0032672A">
      <w:pPr>
        <w:pStyle w:val="NormalWeb"/>
        <w:spacing w:before="0" w:beforeAutospacing="0" w:after="120" w:afterAutospacing="0"/>
        <w:jc w:val="both"/>
        <w:rPr>
          <w:sz w:val="22"/>
          <w:szCs w:val="22"/>
        </w:rPr>
      </w:pPr>
      <w:r w:rsidRPr="003260AE">
        <w:rPr>
          <w:sz w:val="22"/>
          <w:szCs w:val="22"/>
        </w:rPr>
        <w:t>Data were analysed using descriptive statistics (mean,</w:t>
      </w:r>
      <w:r>
        <w:rPr>
          <w:sz w:val="22"/>
          <w:szCs w:val="22"/>
        </w:rPr>
        <w:t xml:space="preserve"> standard deviation) to summaris</w:t>
      </w:r>
      <w:r w:rsidRPr="003260AE">
        <w:rPr>
          <w:sz w:val="22"/>
          <w:szCs w:val="22"/>
        </w:rPr>
        <w:t xml:space="preserve">e physical parameters, and the seasonal variations between wet and dry seasons were evaluated using: sample t-test for comparing seasonal means, while seasonal means were compared against </w:t>
      </w:r>
      <w:r>
        <w:rPr>
          <w:sz w:val="22"/>
          <w:szCs w:val="22"/>
        </w:rPr>
        <w:t xml:space="preserve">the </w:t>
      </w:r>
      <w:r w:rsidRPr="003260AE">
        <w:rPr>
          <w:sz w:val="22"/>
          <w:szCs w:val="22"/>
        </w:rPr>
        <w:t>WHO (2017) drinking water quality guidelines to determine compliance.</w:t>
      </w:r>
    </w:p>
    <w:p w:rsidR="0032672A" w:rsidRPr="00C40C87" w:rsidRDefault="0032672A" w:rsidP="0032672A">
      <w:pPr>
        <w:pStyle w:val="NormalWeb"/>
        <w:spacing w:before="0" w:beforeAutospacing="0" w:after="120" w:afterAutospacing="0"/>
        <w:jc w:val="both"/>
        <w:rPr>
          <w:b/>
          <w:sz w:val="22"/>
        </w:rPr>
      </w:pPr>
      <w:r w:rsidRPr="00C40C87">
        <w:rPr>
          <w:b/>
          <w:sz w:val="22"/>
        </w:rPr>
        <w:t>3. Results and Discussion</w:t>
      </w:r>
    </w:p>
    <w:p w:rsidR="0032672A" w:rsidRDefault="0032672A" w:rsidP="0032672A">
      <w:pPr>
        <w:pStyle w:val="NormalWeb"/>
        <w:spacing w:before="0" w:beforeAutospacing="0" w:after="120" w:afterAutospacing="0"/>
        <w:jc w:val="both"/>
        <w:rPr>
          <w:sz w:val="22"/>
        </w:rPr>
      </w:pPr>
      <w:r>
        <w:rPr>
          <w:sz w:val="22"/>
        </w:rPr>
        <w:t xml:space="preserve">Table 1 presents the results of the pH levels of borehole water samples from 12 different locations in both the wet and dry seasons. The results revealed that the dry season recorded higher pH values compared to the wet season, except for samples 1 and 10, whose pH values were higher in the wet season compared to </w:t>
      </w:r>
      <w:r>
        <w:rPr>
          <w:sz w:val="22"/>
        </w:rPr>
        <w:lastRenderedPageBreak/>
        <w:t>the dry season, while samples 7, 9, and 11 showed variations in pH values across seasons. The pH v</w:t>
      </w:r>
      <w:r w:rsidR="006678CA">
        <w:rPr>
          <w:sz w:val="22"/>
        </w:rPr>
        <w:t>alues are visualised in Figure 3</w:t>
      </w:r>
      <w:r>
        <w:rPr>
          <w:sz w:val="22"/>
        </w:rPr>
        <w:t>.</w:t>
      </w:r>
    </w:p>
    <w:p w:rsidR="0032672A" w:rsidRDefault="0032672A" w:rsidP="0032672A">
      <w:pPr>
        <w:pStyle w:val="NormalWeb"/>
        <w:spacing w:before="0" w:beforeAutospacing="0" w:after="120" w:afterAutospacing="0"/>
        <w:jc w:val="both"/>
        <w:rPr>
          <w:sz w:val="22"/>
        </w:rPr>
      </w:pPr>
      <w:r>
        <w:rPr>
          <w:sz w:val="22"/>
        </w:rPr>
        <w:t xml:space="preserve">The results of the wet season showed that sample 10 had the highest pH of 9.14, while sample 11 recorded the lowest pH </w:t>
      </w:r>
      <w:r w:rsidRPr="0032672A">
        <w:rPr>
          <w:sz w:val="22"/>
        </w:rPr>
        <w:t xml:space="preserve">of 4.08 </w:t>
      </w:r>
      <w:r>
        <w:rPr>
          <w:sz w:val="22"/>
        </w:rPr>
        <w:t xml:space="preserve">with the highest variation of </w:t>
      </w:r>
      <m:oMath>
        <m:r>
          <w:rPr>
            <w:rFonts w:ascii="Cambria Math" w:hAnsi="Cambria Math"/>
            <w:sz w:val="22"/>
          </w:rPr>
          <m:t>±1.542</m:t>
        </m:r>
      </m:oMath>
      <w:r>
        <w:rPr>
          <w:sz w:val="22"/>
        </w:rPr>
        <w:t xml:space="preserve">. In addition, sample 1 had the highest pH in July (7.97) and August (7.57), while sample 9 had the lowest pH in July (3.96) and August (3.72), and the highest variability was observed in sample 11 for July and August, with both having a standard deviation of </w:t>
      </w:r>
      <m:oMath>
        <m:r>
          <w:rPr>
            <w:rFonts w:ascii="Cambria Math" w:hAnsi="Cambria Math"/>
            <w:sz w:val="22"/>
          </w:rPr>
          <m:t>±1.542</m:t>
        </m:r>
      </m:oMath>
      <w:r>
        <w:rPr>
          <w:sz w:val="22"/>
        </w:rPr>
        <w:t>.</w:t>
      </w:r>
    </w:p>
    <w:p w:rsidR="0032672A" w:rsidRDefault="0032672A" w:rsidP="0032672A">
      <w:pPr>
        <w:pStyle w:val="NormalWeb"/>
        <w:spacing w:before="0" w:beforeAutospacing="0" w:after="120" w:afterAutospacing="0"/>
        <w:jc w:val="both"/>
        <w:rPr>
          <w:sz w:val="22"/>
        </w:rPr>
      </w:pPr>
      <w:r>
        <w:rPr>
          <w:sz w:val="22"/>
        </w:rPr>
        <w:t xml:space="preserve">For the dry season, the results showed that sample 1 had the highest pH in November (8.04) and December (7.67), while sample 6 recorded the highest pH in January (7.50). Furthermore, the highest standard deviation of </w:t>
      </w:r>
      <m:oMath>
        <m:r>
          <w:rPr>
            <w:rFonts w:ascii="Cambria Math" w:hAnsi="Cambria Math"/>
            <w:sz w:val="22"/>
          </w:rPr>
          <m:t>±0.820</m:t>
        </m:r>
      </m:oMath>
      <w:r>
        <w:rPr>
          <w:sz w:val="22"/>
        </w:rPr>
        <w:t xml:space="preserve"> was observed in sample 11 for November, December, and January.  </w:t>
      </w:r>
    </w:p>
    <w:p w:rsidR="0032672A" w:rsidRDefault="0032672A" w:rsidP="0032672A">
      <w:pPr>
        <w:pStyle w:val="NormalWeb"/>
        <w:spacing w:before="0" w:beforeAutospacing="0" w:after="120" w:afterAutospacing="0"/>
        <w:jc w:val="both"/>
        <w:rPr>
          <w:sz w:val="22"/>
        </w:rPr>
      </w:pPr>
      <w:r>
        <w:rPr>
          <w:sz w:val="22"/>
        </w:rPr>
        <w:t>Based on the comparative results of the pH values across the se</w:t>
      </w:r>
      <w:r w:rsidR="00DC2C48">
        <w:rPr>
          <w:sz w:val="22"/>
        </w:rPr>
        <w:t>asons in the different samples with</w:t>
      </w:r>
      <w:r>
        <w:rPr>
          <w:sz w:val="22"/>
        </w:rPr>
        <w:t xml:space="preserve"> </w:t>
      </w:r>
      <w:r w:rsidR="00DC2C48">
        <w:rPr>
          <w:sz w:val="22"/>
        </w:rPr>
        <w:t xml:space="preserve">the </w:t>
      </w:r>
      <w:r>
        <w:rPr>
          <w:sz w:val="22"/>
        </w:rPr>
        <w:t xml:space="preserve">WHO acceptance range (6.5-8.5), </w:t>
      </w:r>
      <w:r w:rsidR="00DC2C48">
        <w:rPr>
          <w:sz w:val="22"/>
        </w:rPr>
        <w:t xml:space="preserve">the results revealed that samples 2, 3, 4, 5, 9, 10, 11, and 12 had average pH values (5.84, 4.97, 6.03, 5.68, 5.55, 6.00, 5.43, and 6.06, respectively) lower than WHO specification, indicating that the borehole water drilled </w:t>
      </w:r>
      <w:r w:rsidR="00777986">
        <w:rPr>
          <w:sz w:val="22"/>
        </w:rPr>
        <w:t xml:space="preserve">in these sample boreholes </w:t>
      </w:r>
      <w:r w:rsidR="00DC2C48">
        <w:rPr>
          <w:sz w:val="22"/>
        </w:rPr>
        <w:t xml:space="preserve">is acidic and may pose </w:t>
      </w:r>
      <w:r w:rsidR="00777986">
        <w:rPr>
          <w:sz w:val="22"/>
        </w:rPr>
        <w:t>health risks if not monitored appropriately. On the other hand samples boreholes 1, 6, 7, and 8 produced average pH values (7.87, 6.92, 6.86, and 6.78) within the WHO specification.</w:t>
      </w:r>
    </w:p>
    <w:p w:rsidR="0032672A" w:rsidRPr="009E3A11" w:rsidRDefault="0032672A" w:rsidP="0032672A">
      <w:pPr>
        <w:pStyle w:val="NormalWeb"/>
        <w:spacing w:before="0" w:beforeAutospacing="0" w:after="120" w:afterAutospacing="0"/>
        <w:jc w:val="both"/>
        <w:rPr>
          <w:b/>
          <w:sz w:val="22"/>
        </w:rPr>
      </w:pPr>
      <w:r w:rsidRPr="009E3A11">
        <w:rPr>
          <w:b/>
          <w:sz w:val="22"/>
        </w:rPr>
        <w:t>Table 1. Seasonal Variations in pH in Borehole Water and Comparison with the WHO Standard</w:t>
      </w:r>
    </w:p>
    <w:tbl>
      <w:tblPr>
        <w:tblW w:w="9360" w:type="dxa"/>
        <w:jc w:val="center"/>
        <w:tblCellMar>
          <w:top w:w="14" w:type="dxa"/>
          <w:right w:w="48" w:type="dxa"/>
        </w:tblCellMar>
        <w:tblLook w:val="04A0" w:firstRow="1" w:lastRow="0" w:firstColumn="1" w:lastColumn="0" w:noHBand="0" w:noVBand="1"/>
      </w:tblPr>
      <w:tblGrid>
        <w:gridCol w:w="850"/>
        <w:gridCol w:w="975"/>
        <w:gridCol w:w="975"/>
        <w:gridCol w:w="980"/>
        <w:gridCol w:w="990"/>
        <w:gridCol w:w="990"/>
        <w:gridCol w:w="990"/>
        <w:gridCol w:w="990"/>
        <w:gridCol w:w="1620"/>
      </w:tblGrid>
      <w:tr w:rsidR="00945C2C" w:rsidRPr="000634EC" w:rsidTr="00AE16BD">
        <w:trPr>
          <w:trHeight w:val="67"/>
          <w:jc w:val="center"/>
        </w:trPr>
        <w:tc>
          <w:tcPr>
            <w:tcW w:w="850" w:type="dxa"/>
            <w:tcBorders>
              <w:top w:val="single" w:sz="4" w:space="0" w:color="000000"/>
              <w:left w:val="nil"/>
              <w:bottom w:val="single" w:sz="4" w:space="0" w:color="000000"/>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b/>
                <w:sz w:val="18"/>
                <w:szCs w:val="18"/>
              </w:rPr>
              <w:t>pH</w:t>
            </w:r>
          </w:p>
        </w:tc>
        <w:tc>
          <w:tcPr>
            <w:tcW w:w="2930" w:type="dxa"/>
            <w:gridSpan w:val="3"/>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Wet Season</w:t>
            </w:r>
          </w:p>
        </w:tc>
        <w:tc>
          <w:tcPr>
            <w:tcW w:w="2970" w:type="dxa"/>
            <w:gridSpan w:val="3"/>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Dry Season</w:t>
            </w:r>
          </w:p>
        </w:tc>
        <w:tc>
          <w:tcPr>
            <w:tcW w:w="99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p>
        </w:tc>
        <w:tc>
          <w:tcPr>
            <w:tcW w:w="162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p>
        </w:tc>
      </w:tr>
      <w:tr w:rsidR="00945C2C" w:rsidRPr="000634EC" w:rsidTr="00AE16BD">
        <w:trPr>
          <w:trHeight w:val="79"/>
          <w:jc w:val="center"/>
        </w:trPr>
        <w:tc>
          <w:tcPr>
            <w:tcW w:w="850" w:type="dxa"/>
            <w:tcBorders>
              <w:top w:val="single" w:sz="4" w:space="0" w:color="000000"/>
              <w:left w:val="nil"/>
              <w:bottom w:val="single" w:sz="4" w:space="0" w:color="000000"/>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b/>
                <w:sz w:val="18"/>
                <w:szCs w:val="18"/>
              </w:rPr>
              <w:t>Sample</w:t>
            </w:r>
          </w:p>
        </w:tc>
        <w:tc>
          <w:tcPr>
            <w:tcW w:w="975"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June</w:t>
            </w:r>
          </w:p>
        </w:tc>
        <w:tc>
          <w:tcPr>
            <w:tcW w:w="975"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July</w:t>
            </w:r>
          </w:p>
        </w:tc>
        <w:tc>
          <w:tcPr>
            <w:tcW w:w="98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August</w:t>
            </w:r>
          </w:p>
        </w:tc>
        <w:tc>
          <w:tcPr>
            <w:tcW w:w="99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November</w:t>
            </w:r>
          </w:p>
        </w:tc>
        <w:tc>
          <w:tcPr>
            <w:tcW w:w="99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December</w:t>
            </w:r>
          </w:p>
        </w:tc>
        <w:tc>
          <w:tcPr>
            <w:tcW w:w="990" w:type="dxa"/>
            <w:tcBorders>
              <w:top w:val="single" w:sz="4" w:space="0" w:color="000000"/>
              <w:left w:val="nil"/>
              <w:bottom w:val="single" w:sz="4" w:space="0" w:color="000000"/>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b/>
                <w:sz w:val="18"/>
                <w:szCs w:val="18"/>
              </w:rPr>
              <w:t>January</w:t>
            </w:r>
          </w:p>
        </w:tc>
        <w:tc>
          <w:tcPr>
            <w:tcW w:w="990" w:type="dxa"/>
            <w:tcBorders>
              <w:top w:val="single" w:sz="4" w:space="0" w:color="000000"/>
              <w:left w:val="nil"/>
              <w:bottom w:val="single" w:sz="4" w:space="0" w:color="000000"/>
              <w:right w:val="nil"/>
            </w:tcBorders>
          </w:tcPr>
          <w:p w:rsidR="00945C2C" w:rsidRDefault="00945C2C" w:rsidP="00945C2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Average pH</w:t>
            </w:r>
          </w:p>
        </w:tc>
        <w:tc>
          <w:tcPr>
            <w:tcW w:w="1620" w:type="dxa"/>
            <w:tcBorders>
              <w:top w:val="single" w:sz="4" w:space="0" w:color="000000"/>
              <w:left w:val="nil"/>
              <w:bottom w:val="single" w:sz="4" w:space="0" w:color="000000"/>
              <w:right w:val="nil"/>
            </w:tcBorders>
          </w:tcPr>
          <w:p w:rsidR="00945C2C" w:rsidRDefault="00945C2C" w:rsidP="00945C2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WHO Standard</w:t>
            </w:r>
          </w:p>
          <w:p w:rsidR="00945C2C" w:rsidRPr="000634EC" w:rsidRDefault="00945C2C" w:rsidP="00945C2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(6.5 – 8.5)</w:t>
            </w:r>
          </w:p>
        </w:tc>
      </w:tr>
      <w:tr w:rsidR="00945C2C" w:rsidRPr="000634EC" w:rsidTr="00AE16BD">
        <w:trPr>
          <w:trHeight w:val="67"/>
          <w:jc w:val="center"/>
        </w:trPr>
        <w:tc>
          <w:tcPr>
            <w:tcW w:w="850" w:type="dxa"/>
            <w:tcBorders>
              <w:top w:val="single" w:sz="4" w:space="0" w:color="000000"/>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1</w:t>
            </w:r>
          </w:p>
        </w:tc>
        <w:tc>
          <w:tcPr>
            <w:tcW w:w="975"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8.59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975"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980"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7.57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990"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8.04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990"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7.67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990" w:type="dxa"/>
            <w:tcBorders>
              <w:top w:val="single" w:sz="4" w:space="0" w:color="000000"/>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7.37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990" w:type="dxa"/>
            <w:tcBorders>
              <w:top w:val="single" w:sz="4" w:space="0" w:color="000000"/>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7.87</w:t>
            </w:r>
          </w:p>
        </w:tc>
        <w:tc>
          <w:tcPr>
            <w:tcW w:w="1620" w:type="dxa"/>
            <w:tcBorders>
              <w:top w:val="single" w:sz="4" w:space="0" w:color="000000"/>
              <w:left w:val="nil"/>
              <w:bottom w:val="nil"/>
              <w:right w:val="nil"/>
            </w:tcBorders>
          </w:tcPr>
          <w:p w:rsidR="00945C2C" w:rsidRPr="000634EC" w:rsidRDefault="00AE16BD"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2</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4.78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5.07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4.80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7.21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6.13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990" w:type="dxa"/>
            <w:tcBorders>
              <w:top w:val="nil"/>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5.84</w:t>
            </w:r>
          </w:p>
        </w:tc>
        <w:tc>
          <w:tcPr>
            <w:tcW w:w="1620" w:type="dxa"/>
            <w:tcBorders>
              <w:top w:val="nil"/>
              <w:left w:val="nil"/>
              <w:bottom w:val="nil"/>
              <w:right w:val="nil"/>
            </w:tcBorders>
          </w:tcPr>
          <w:p w:rsidR="00945C2C" w:rsidRPr="000634EC" w:rsidRDefault="00AE16BD"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3</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4.45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4.68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4.53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990" w:type="dxa"/>
            <w:tcBorders>
              <w:top w:val="nil"/>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4.97</w:t>
            </w:r>
          </w:p>
        </w:tc>
        <w:tc>
          <w:tcPr>
            <w:tcW w:w="1620" w:type="dxa"/>
            <w:tcBorders>
              <w:top w:val="nil"/>
              <w:left w:val="nil"/>
              <w:bottom w:val="nil"/>
              <w:right w:val="nil"/>
            </w:tcBorders>
          </w:tcPr>
          <w:p w:rsidR="00945C2C" w:rsidRPr="000634EC" w:rsidRDefault="00AE16BD"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4</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5.10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5.72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6.94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990" w:type="dxa"/>
            <w:tcBorders>
              <w:top w:val="nil"/>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6.03</w:t>
            </w:r>
          </w:p>
        </w:tc>
        <w:tc>
          <w:tcPr>
            <w:tcW w:w="1620" w:type="dxa"/>
            <w:tcBorders>
              <w:top w:val="nil"/>
              <w:left w:val="nil"/>
              <w:bottom w:val="nil"/>
              <w:right w:val="nil"/>
            </w:tcBorders>
          </w:tcPr>
          <w:p w:rsidR="00945C2C" w:rsidRPr="000634EC" w:rsidRDefault="00AE16BD"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66"/>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5</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4.89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5.33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5.70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990" w:type="dxa"/>
            <w:tcBorders>
              <w:top w:val="nil"/>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5.68</w:t>
            </w:r>
          </w:p>
        </w:tc>
        <w:tc>
          <w:tcPr>
            <w:tcW w:w="1620" w:type="dxa"/>
            <w:tcBorders>
              <w:top w:val="nil"/>
              <w:left w:val="nil"/>
              <w:bottom w:val="nil"/>
              <w:right w:val="nil"/>
            </w:tcBorders>
          </w:tcPr>
          <w:p w:rsidR="00945C2C" w:rsidRPr="000634EC" w:rsidRDefault="00AE16BD"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w:t>
            </w:r>
            <w:r w:rsidR="00945C2C">
              <w:rPr>
                <w:rFonts w:ascii="Times New Roman" w:hAnsi="Times New Roman" w:cs="Times New Roman"/>
                <w:sz w:val="18"/>
                <w:szCs w:val="18"/>
              </w:rPr>
              <w:t xml:space="preserve">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6</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6.75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6.79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7.41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7.50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990" w:type="dxa"/>
            <w:tcBorders>
              <w:top w:val="nil"/>
              <w:left w:val="nil"/>
              <w:bottom w:val="nil"/>
              <w:right w:val="nil"/>
            </w:tcBorders>
          </w:tcPr>
          <w:p w:rsidR="00945C2C" w:rsidRDefault="00EB4482"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6.92</w:t>
            </w:r>
          </w:p>
        </w:tc>
        <w:tc>
          <w:tcPr>
            <w:tcW w:w="162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7</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7.63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7.40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4.91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7.15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990" w:type="dxa"/>
            <w:tcBorders>
              <w:top w:val="nil"/>
              <w:left w:val="nil"/>
              <w:bottom w:val="nil"/>
              <w:right w:val="nil"/>
            </w:tcBorders>
          </w:tcPr>
          <w:p w:rsidR="00945C2C" w:rsidRDefault="00166F25"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6.86</w:t>
            </w:r>
          </w:p>
        </w:tc>
        <w:tc>
          <w:tcPr>
            <w:tcW w:w="162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8</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6.49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7.29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6.66</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6.20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6.98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990" w:type="dxa"/>
            <w:tcBorders>
              <w:top w:val="nil"/>
              <w:left w:val="nil"/>
              <w:bottom w:val="nil"/>
              <w:right w:val="nil"/>
            </w:tcBorders>
          </w:tcPr>
          <w:p w:rsidR="00945C2C" w:rsidRDefault="00166F25"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6.78</w:t>
            </w:r>
          </w:p>
        </w:tc>
        <w:tc>
          <w:tcPr>
            <w:tcW w:w="162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9</w:t>
            </w:r>
          </w:p>
        </w:tc>
        <w:tc>
          <w:tcPr>
            <w:tcW w:w="975"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5.96</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1.230</w:t>
            </w:r>
          </w:p>
        </w:tc>
        <w:tc>
          <w:tcPr>
            <w:tcW w:w="975"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3.96</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1.230</w:t>
            </w:r>
          </w:p>
        </w:tc>
        <w:tc>
          <w:tcPr>
            <w:tcW w:w="98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3.72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1.230</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5.82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0.650</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6.80</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0.650</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7.05</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0.650</w:t>
            </w:r>
          </w:p>
        </w:tc>
        <w:tc>
          <w:tcPr>
            <w:tcW w:w="990" w:type="dxa"/>
            <w:tcBorders>
              <w:top w:val="nil"/>
              <w:left w:val="nil"/>
              <w:bottom w:val="nil"/>
              <w:right w:val="nil"/>
            </w:tcBorders>
          </w:tcPr>
          <w:p w:rsidR="00945C2C" w:rsidRDefault="00166F25"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5.55</w:t>
            </w:r>
          </w:p>
        </w:tc>
        <w:tc>
          <w:tcPr>
            <w:tcW w:w="1620" w:type="dxa"/>
            <w:tcBorders>
              <w:top w:val="nil"/>
              <w:left w:val="nil"/>
              <w:bottom w:val="nil"/>
              <w:right w:val="nil"/>
            </w:tcBorders>
          </w:tcPr>
          <w:p w:rsidR="00945C2C" w:rsidRPr="000634EC" w:rsidRDefault="00166F25"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10</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9.14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975"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98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7.09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4.95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990" w:type="dxa"/>
            <w:tcBorders>
              <w:top w:val="nil"/>
              <w:left w:val="nil"/>
              <w:bottom w:val="nil"/>
              <w:right w:val="nil"/>
            </w:tcBorders>
          </w:tcPr>
          <w:p w:rsidR="00945C2C" w:rsidRPr="000634EC" w:rsidRDefault="00945C2C" w:rsidP="00945C2C">
            <w:pPr>
              <w:spacing w:after="0" w:line="240" w:lineRule="auto"/>
              <w:jc w:val="center"/>
              <w:rPr>
                <w:rFonts w:ascii="Times New Roman" w:hAnsi="Times New Roman" w:cs="Times New Roman"/>
                <w:sz w:val="18"/>
                <w:szCs w:val="18"/>
              </w:rPr>
            </w:pPr>
            <w:r w:rsidRPr="000634EC">
              <w:rPr>
                <w:rFonts w:ascii="Times New Roman" w:hAnsi="Times New Roman" w:cs="Times New Roman"/>
                <w:sz w:val="18"/>
                <w:szCs w:val="18"/>
              </w:rPr>
              <w:t>3.69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990" w:type="dxa"/>
            <w:tcBorders>
              <w:top w:val="nil"/>
              <w:left w:val="nil"/>
              <w:bottom w:val="nil"/>
              <w:right w:val="nil"/>
            </w:tcBorders>
          </w:tcPr>
          <w:p w:rsidR="00945C2C" w:rsidRDefault="00614747"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1620" w:type="dxa"/>
            <w:tcBorders>
              <w:top w:val="nil"/>
              <w:left w:val="nil"/>
              <w:bottom w:val="nil"/>
              <w:right w:val="nil"/>
            </w:tcBorders>
          </w:tcPr>
          <w:p w:rsidR="00945C2C" w:rsidRPr="000634EC" w:rsidRDefault="00614747"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79"/>
          <w:jc w:val="center"/>
        </w:trPr>
        <w:tc>
          <w:tcPr>
            <w:tcW w:w="850" w:type="dxa"/>
            <w:tcBorders>
              <w:top w:val="nil"/>
              <w:left w:val="nil"/>
              <w:bottom w:val="nil"/>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11</w:t>
            </w:r>
          </w:p>
        </w:tc>
        <w:tc>
          <w:tcPr>
            <w:tcW w:w="975"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4.08</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1.542</w:t>
            </w:r>
          </w:p>
        </w:tc>
        <w:tc>
          <w:tcPr>
            <w:tcW w:w="975"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6.78</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1.542</w:t>
            </w:r>
          </w:p>
        </w:tc>
        <w:tc>
          <w:tcPr>
            <w:tcW w:w="98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6.72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1.542</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5.81</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0.820</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5.01</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0.820</w:t>
            </w:r>
          </w:p>
        </w:tc>
        <w:tc>
          <w:tcPr>
            <w:tcW w:w="990" w:type="dxa"/>
            <w:tcBorders>
              <w:top w:val="nil"/>
              <w:left w:val="nil"/>
              <w:bottom w:val="nil"/>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4.17</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0.820</w:t>
            </w:r>
          </w:p>
        </w:tc>
        <w:tc>
          <w:tcPr>
            <w:tcW w:w="990" w:type="dxa"/>
            <w:tcBorders>
              <w:top w:val="nil"/>
              <w:left w:val="nil"/>
              <w:bottom w:val="nil"/>
              <w:right w:val="nil"/>
            </w:tcBorders>
          </w:tcPr>
          <w:p w:rsidR="00945C2C" w:rsidRDefault="00614747"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5.43</w:t>
            </w:r>
          </w:p>
        </w:tc>
        <w:tc>
          <w:tcPr>
            <w:tcW w:w="1620" w:type="dxa"/>
            <w:tcBorders>
              <w:top w:val="nil"/>
              <w:left w:val="nil"/>
              <w:bottom w:val="nil"/>
              <w:right w:val="nil"/>
            </w:tcBorders>
          </w:tcPr>
          <w:p w:rsidR="00945C2C" w:rsidRPr="000634EC" w:rsidRDefault="00614747"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r w:rsidR="00945C2C" w:rsidRPr="000634EC" w:rsidTr="00AE16BD">
        <w:trPr>
          <w:trHeight w:val="79"/>
          <w:jc w:val="center"/>
        </w:trPr>
        <w:tc>
          <w:tcPr>
            <w:tcW w:w="850" w:type="dxa"/>
            <w:tcBorders>
              <w:top w:val="nil"/>
              <w:left w:val="nil"/>
              <w:bottom w:val="single" w:sz="4" w:space="0" w:color="000000"/>
              <w:right w:val="nil"/>
            </w:tcBorders>
          </w:tcPr>
          <w:p w:rsidR="00945C2C" w:rsidRPr="000634EC" w:rsidRDefault="00945C2C" w:rsidP="00945C2C">
            <w:pPr>
              <w:spacing w:after="0" w:line="240" w:lineRule="auto"/>
              <w:ind w:left="123"/>
              <w:jc w:val="center"/>
              <w:rPr>
                <w:rFonts w:ascii="Times New Roman" w:hAnsi="Times New Roman" w:cs="Times New Roman"/>
                <w:sz w:val="18"/>
                <w:szCs w:val="18"/>
              </w:rPr>
            </w:pPr>
            <w:r w:rsidRPr="000634EC">
              <w:rPr>
                <w:rFonts w:ascii="Times New Roman" w:hAnsi="Times New Roman" w:cs="Times New Roman"/>
                <w:sz w:val="18"/>
                <w:szCs w:val="18"/>
              </w:rPr>
              <w:t>12</w:t>
            </w:r>
          </w:p>
        </w:tc>
        <w:tc>
          <w:tcPr>
            <w:tcW w:w="975"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4.90</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0.272</w:t>
            </w:r>
          </w:p>
        </w:tc>
        <w:tc>
          <w:tcPr>
            <w:tcW w:w="975"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5.02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0.272</w:t>
            </w:r>
          </w:p>
        </w:tc>
        <w:tc>
          <w:tcPr>
            <w:tcW w:w="980"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5.42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0.272</w:t>
            </w:r>
          </w:p>
        </w:tc>
        <w:tc>
          <w:tcPr>
            <w:tcW w:w="990"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6.82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0.180</w:t>
            </w:r>
          </w:p>
        </w:tc>
        <w:tc>
          <w:tcPr>
            <w:tcW w:w="990"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7.02</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0.180</w:t>
            </w:r>
          </w:p>
        </w:tc>
        <w:tc>
          <w:tcPr>
            <w:tcW w:w="990" w:type="dxa"/>
            <w:tcBorders>
              <w:top w:val="nil"/>
              <w:left w:val="nil"/>
              <w:bottom w:val="single" w:sz="4" w:space="0" w:color="000000"/>
              <w:right w:val="nil"/>
            </w:tcBorders>
          </w:tcPr>
          <w:p w:rsidR="00945C2C" w:rsidRPr="008F56CE" w:rsidRDefault="00945C2C" w:rsidP="00945C2C">
            <w:pPr>
              <w:spacing w:after="0" w:line="240" w:lineRule="auto"/>
              <w:jc w:val="center"/>
              <w:rPr>
                <w:rFonts w:ascii="Times New Roman" w:hAnsi="Times New Roman" w:cs="Times New Roman"/>
                <w:sz w:val="18"/>
                <w:szCs w:val="18"/>
              </w:rPr>
            </w:pPr>
            <w:r w:rsidRPr="008F56CE">
              <w:rPr>
                <w:rFonts w:ascii="Times New Roman" w:hAnsi="Times New Roman" w:cs="Times New Roman"/>
                <w:sz w:val="18"/>
                <w:szCs w:val="18"/>
              </w:rPr>
              <w:t>7.18</w:t>
            </w:r>
            <w:r w:rsidRPr="008F56CE">
              <w:rPr>
                <w:rFonts w:ascii="Times New Roman" w:eastAsia="Cambria Math" w:hAnsi="Times New Roman" w:cs="Times New Roman"/>
                <w:sz w:val="18"/>
                <w:szCs w:val="18"/>
              </w:rPr>
              <w:t>±</w:t>
            </w:r>
            <w:r w:rsidRPr="008F56CE">
              <w:rPr>
                <w:rFonts w:ascii="Times New Roman" w:hAnsi="Times New Roman" w:cs="Times New Roman"/>
                <w:sz w:val="18"/>
                <w:szCs w:val="18"/>
              </w:rPr>
              <w:t>0.180</w:t>
            </w:r>
          </w:p>
        </w:tc>
        <w:tc>
          <w:tcPr>
            <w:tcW w:w="990" w:type="dxa"/>
            <w:tcBorders>
              <w:top w:val="nil"/>
              <w:left w:val="nil"/>
              <w:bottom w:val="single" w:sz="4" w:space="0" w:color="000000"/>
              <w:right w:val="nil"/>
            </w:tcBorders>
          </w:tcPr>
          <w:p w:rsidR="00945C2C" w:rsidRDefault="00335EE9"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6.06</w:t>
            </w:r>
          </w:p>
        </w:tc>
        <w:tc>
          <w:tcPr>
            <w:tcW w:w="1620" w:type="dxa"/>
            <w:tcBorders>
              <w:top w:val="nil"/>
              <w:left w:val="nil"/>
              <w:bottom w:val="single" w:sz="4" w:space="0" w:color="000000"/>
              <w:right w:val="nil"/>
            </w:tcBorders>
          </w:tcPr>
          <w:p w:rsidR="00945C2C" w:rsidRPr="000634EC" w:rsidRDefault="00335EE9" w:rsidP="00945C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Below standard</w:t>
            </w:r>
          </w:p>
        </w:tc>
      </w:tr>
    </w:tbl>
    <w:p w:rsidR="005E0EF2" w:rsidRDefault="005E0EF2" w:rsidP="0032672A">
      <w:pPr>
        <w:pStyle w:val="NormalWeb"/>
        <w:spacing w:before="0" w:beforeAutospacing="0" w:after="120" w:afterAutospacing="0"/>
        <w:jc w:val="both"/>
        <w:rPr>
          <w:sz w:val="22"/>
        </w:rPr>
      </w:pPr>
    </w:p>
    <w:p w:rsidR="0032672A" w:rsidRDefault="0032672A" w:rsidP="0032672A">
      <w:pPr>
        <w:pStyle w:val="NormalWeb"/>
        <w:spacing w:before="0" w:beforeAutospacing="0" w:after="120" w:afterAutospacing="0"/>
        <w:jc w:val="both"/>
        <w:rPr>
          <w:sz w:val="22"/>
        </w:rPr>
      </w:pPr>
      <w:r>
        <w:rPr>
          <w:sz w:val="22"/>
        </w:rPr>
        <w:t>Table 2 presents the results of the temperatures of the borehole water samples for both wet and dry seasons, and the World Health Organisation (WHO) standards.The results revealed that the borehole water samples 1 to 7 exhibited fluctuations in temperature for both wet and dry seasons, and that the borehole samples 8 to 12 had higher temperatures during the dry season compared to the wet season. The average temperatures of the borehole samples for both wet and d</w:t>
      </w:r>
      <w:r w:rsidR="006678CA">
        <w:rPr>
          <w:sz w:val="22"/>
        </w:rPr>
        <w:t>ry seasons are shown in Figure 4</w:t>
      </w:r>
      <w:r>
        <w:rPr>
          <w:sz w:val="22"/>
        </w:rPr>
        <w:t>.</w:t>
      </w:r>
    </w:p>
    <w:p w:rsidR="0032672A" w:rsidRDefault="0032672A" w:rsidP="0032672A">
      <w:pPr>
        <w:pStyle w:val="NormalWeb"/>
        <w:spacing w:before="0" w:beforeAutospacing="0" w:after="120" w:afterAutospacing="0"/>
        <w:jc w:val="both"/>
        <w:rPr>
          <w:sz w:val="22"/>
        </w:rPr>
      </w:pPr>
      <w:r>
        <w:rPr>
          <w:sz w:val="22"/>
        </w:rPr>
        <w:t xml:space="preserve">The results further revealed that for the wet season, the highest average temperature was observed in borehole water sample 8 with a value </w:t>
      </w:r>
      <w:r w:rsidRPr="00D7673D">
        <w:rPr>
          <w:sz w:val="22"/>
        </w:rPr>
        <w:t xml:space="preserve">of 29.50°C </w:t>
      </w:r>
      <w:r>
        <w:rPr>
          <w:sz w:val="22"/>
        </w:rPr>
        <w:t xml:space="preserve">during July, while the lowest temperature was observed in sample 3 (24.50°C) in July. In addition, the highest variation of temperature was seen in the borehole water sample 11 during June, July, and August, with all having a standard deviation of </w:t>
      </w:r>
      <m:oMath>
        <m:r>
          <w:rPr>
            <w:rFonts w:ascii="Cambria Math" w:hAnsi="Cambria Math"/>
            <w:sz w:val="22"/>
          </w:rPr>
          <m:t>±1.535</m:t>
        </m:r>
      </m:oMath>
      <w:r>
        <w:rPr>
          <w:sz w:val="22"/>
        </w:rPr>
        <w:t xml:space="preserve"> each. </w:t>
      </w:r>
    </w:p>
    <w:p w:rsidR="0032672A" w:rsidRDefault="0032672A" w:rsidP="0032672A">
      <w:pPr>
        <w:pStyle w:val="NormalWeb"/>
        <w:spacing w:before="0" w:beforeAutospacing="0" w:after="120" w:afterAutospacing="0"/>
        <w:jc w:val="both"/>
        <w:rPr>
          <w:sz w:val="22"/>
        </w:rPr>
      </w:pPr>
      <w:r>
        <w:rPr>
          <w:sz w:val="22"/>
        </w:rPr>
        <w:t xml:space="preserve">For the dry season, the borehole samples 8 in November, 1 and 5 in November and January, respectively, had an average temperature of 30.00°C each, while the lowest average temperature was observed in the borehole sample 6 (26.50°C) in November. Furthermore, the largest variability was exhibited in the borehole sample 11 across the dry season, with each having a standard deviation of </w:t>
      </w:r>
      <m:oMath>
        <m:r>
          <w:rPr>
            <w:rFonts w:ascii="Cambria Math" w:hAnsi="Cambria Math"/>
            <w:sz w:val="22"/>
          </w:rPr>
          <m:t>±1.294</m:t>
        </m:r>
      </m:oMath>
      <w:r>
        <w:rPr>
          <w:sz w:val="22"/>
        </w:rPr>
        <w:t>, while sample 5 had the smallest variation in temperature (</w:t>
      </w:r>
      <m:oMath>
        <m:r>
          <w:rPr>
            <w:rFonts w:ascii="Cambria Math" w:hAnsi="Cambria Math"/>
            <w:sz w:val="22"/>
          </w:rPr>
          <m:t>±0308</m:t>
        </m:r>
      </m:oMath>
      <w:r>
        <w:rPr>
          <w:sz w:val="22"/>
        </w:rPr>
        <w:t>) across the dry season.</w:t>
      </w:r>
    </w:p>
    <w:p w:rsidR="0032672A" w:rsidRDefault="0032672A" w:rsidP="0032672A">
      <w:pPr>
        <w:pStyle w:val="NormalWeb"/>
        <w:spacing w:before="0" w:beforeAutospacing="0" w:after="0" w:afterAutospacing="0"/>
        <w:jc w:val="both"/>
        <w:rPr>
          <w:sz w:val="22"/>
        </w:rPr>
      </w:pPr>
      <w:r>
        <w:rPr>
          <w:sz w:val="22"/>
        </w:rPr>
        <w:lastRenderedPageBreak/>
        <w:t>For the WHO standard (10.00 -30.00°C), although all the borehole water samples had average temperatures that fall within this specification, the temperatures are still higher in almost all the samples. However, this high temperature in the borehole water can promote microbial proliferation, which might have an impact on the hygiene status.</w:t>
      </w:r>
    </w:p>
    <w:p w:rsidR="0032672A" w:rsidRPr="00874C1A" w:rsidRDefault="0032672A" w:rsidP="0032672A">
      <w:pPr>
        <w:pStyle w:val="NormalWeb"/>
        <w:spacing w:before="0" w:beforeAutospacing="0" w:after="0" w:afterAutospacing="0"/>
        <w:jc w:val="both"/>
        <w:rPr>
          <w:sz w:val="22"/>
        </w:rPr>
      </w:pPr>
      <w:r w:rsidRPr="00E34F77">
        <w:rPr>
          <w:b/>
          <w:sz w:val="22"/>
        </w:rPr>
        <w:t>Table 2. Seasonal Variations in Temperature in Borehole Water and Comparison with the WHO Standard</w:t>
      </w:r>
    </w:p>
    <w:tbl>
      <w:tblPr>
        <w:tblW w:w="9360" w:type="dxa"/>
        <w:tblCellMar>
          <w:top w:w="14" w:type="dxa"/>
          <w:right w:w="115" w:type="dxa"/>
        </w:tblCellMar>
        <w:tblLook w:val="04A0" w:firstRow="1" w:lastRow="0" w:firstColumn="1" w:lastColumn="0" w:noHBand="0" w:noVBand="1"/>
      </w:tblPr>
      <w:tblGrid>
        <w:gridCol w:w="1057"/>
        <w:gridCol w:w="1132"/>
        <w:gridCol w:w="1132"/>
        <w:gridCol w:w="1132"/>
        <w:gridCol w:w="1132"/>
        <w:gridCol w:w="1132"/>
        <w:gridCol w:w="1132"/>
        <w:gridCol w:w="1511"/>
      </w:tblGrid>
      <w:tr w:rsidR="0032672A" w:rsidRPr="001C5D3B" w:rsidTr="0032672A">
        <w:trPr>
          <w:trHeight w:val="81"/>
        </w:trPr>
        <w:tc>
          <w:tcPr>
            <w:tcW w:w="1080" w:type="dxa"/>
            <w:tcBorders>
              <w:top w:val="single" w:sz="4" w:space="0" w:color="000000"/>
              <w:left w:val="nil"/>
              <w:bottom w:val="single" w:sz="4" w:space="0" w:color="000000"/>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b/>
                <w:sz w:val="18"/>
                <w:szCs w:val="18"/>
              </w:rPr>
              <w:t>Temp (</w:t>
            </w:r>
            <w:r w:rsidRPr="001C5D3B">
              <w:rPr>
                <w:rFonts w:ascii="Times New Roman" w:hAnsi="Times New Roman" w:cs="Times New Roman"/>
                <w:b/>
                <w:sz w:val="18"/>
                <w:szCs w:val="18"/>
                <w:vertAlign w:val="superscript"/>
              </w:rPr>
              <w:t>o</w:t>
            </w:r>
            <w:r w:rsidRPr="001C5D3B">
              <w:rPr>
                <w:rFonts w:ascii="Times New Roman" w:hAnsi="Times New Roman" w:cs="Times New Roman"/>
                <w:b/>
                <w:sz w:val="18"/>
                <w:szCs w:val="18"/>
              </w:rPr>
              <w:t>C)</w:t>
            </w:r>
          </w:p>
        </w:tc>
        <w:tc>
          <w:tcPr>
            <w:tcW w:w="3311" w:type="dxa"/>
            <w:gridSpan w:val="3"/>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Wet Season</w:t>
            </w:r>
          </w:p>
        </w:tc>
        <w:tc>
          <w:tcPr>
            <w:tcW w:w="3368" w:type="dxa"/>
            <w:gridSpan w:val="3"/>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Dry Season</w:t>
            </w:r>
          </w:p>
        </w:tc>
        <w:tc>
          <w:tcPr>
            <w:tcW w:w="1601"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p>
        </w:tc>
      </w:tr>
      <w:tr w:rsidR="0032672A" w:rsidRPr="001C5D3B" w:rsidTr="0032672A">
        <w:trPr>
          <w:trHeight w:val="81"/>
        </w:trPr>
        <w:tc>
          <w:tcPr>
            <w:tcW w:w="1080" w:type="dxa"/>
            <w:tcBorders>
              <w:top w:val="single" w:sz="4" w:space="0" w:color="000000"/>
              <w:left w:val="nil"/>
              <w:bottom w:val="single" w:sz="4" w:space="0" w:color="000000"/>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b/>
                <w:sz w:val="18"/>
                <w:szCs w:val="18"/>
              </w:rPr>
              <w:t>Sample</w:t>
            </w:r>
          </w:p>
        </w:tc>
        <w:tc>
          <w:tcPr>
            <w:tcW w:w="1062"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June</w:t>
            </w:r>
          </w:p>
        </w:tc>
        <w:tc>
          <w:tcPr>
            <w:tcW w:w="1125"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July</w:t>
            </w:r>
          </w:p>
        </w:tc>
        <w:tc>
          <w:tcPr>
            <w:tcW w:w="1124"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August</w:t>
            </w:r>
          </w:p>
        </w:tc>
        <w:tc>
          <w:tcPr>
            <w:tcW w:w="1124"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November</w:t>
            </w:r>
          </w:p>
        </w:tc>
        <w:tc>
          <w:tcPr>
            <w:tcW w:w="1125"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December</w:t>
            </w:r>
          </w:p>
        </w:tc>
        <w:tc>
          <w:tcPr>
            <w:tcW w:w="1119" w:type="dxa"/>
            <w:tcBorders>
              <w:top w:val="single" w:sz="4" w:space="0" w:color="000000"/>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b/>
                <w:sz w:val="18"/>
                <w:szCs w:val="18"/>
              </w:rPr>
              <w:t>January</w:t>
            </w:r>
          </w:p>
        </w:tc>
        <w:tc>
          <w:tcPr>
            <w:tcW w:w="1601" w:type="dxa"/>
            <w:tcBorders>
              <w:top w:val="single" w:sz="4" w:space="0" w:color="000000"/>
              <w:left w:val="nil"/>
              <w:bottom w:val="single" w:sz="4" w:space="0" w:color="000000"/>
              <w:right w:val="nil"/>
            </w:tcBorders>
          </w:tcPr>
          <w:p w:rsidR="0032672A" w:rsidRDefault="0032672A" w:rsidP="0067630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WHO Standard</w:t>
            </w:r>
          </w:p>
          <w:p w:rsidR="0032672A" w:rsidRPr="001C5D3B" w:rsidRDefault="0032672A" w:rsidP="0067630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 – 30</w:t>
            </w:r>
            <w:r w:rsidRPr="00353ED2">
              <w:rPr>
                <w:rFonts w:ascii="Times New Roman" w:hAnsi="Times New Roman" w:cs="Times New Roman"/>
                <w:b/>
                <w:sz w:val="18"/>
                <w:szCs w:val="18"/>
                <w:vertAlign w:val="superscript"/>
              </w:rPr>
              <w:t>o</w:t>
            </w:r>
            <w:r>
              <w:rPr>
                <w:rFonts w:ascii="Times New Roman" w:hAnsi="Times New Roman" w:cs="Times New Roman"/>
                <w:b/>
                <w:sz w:val="18"/>
                <w:szCs w:val="18"/>
              </w:rPr>
              <w:t>C)</w:t>
            </w:r>
          </w:p>
        </w:tc>
      </w:tr>
      <w:tr w:rsidR="0032672A" w:rsidRPr="001C5D3B" w:rsidTr="0032672A">
        <w:trPr>
          <w:trHeight w:val="81"/>
        </w:trPr>
        <w:tc>
          <w:tcPr>
            <w:tcW w:w="1080" w:type="dxa"/>
            <w:tcBorders>
              <w:top w:val="single" w:sz="4" w:space="0" w:color="000000"/>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1</w:t>
            </w:r>
          </w:p>
        </w:tc>
        <w:tc>
          <w:tcPr>
            <w:tcW w:w="1062"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28.00±0.549</w:t>
            </w:r>
          </w:p>
        </w:tc>
        <w:tc>
          <w:tcPr>
            <w:tcW w:w="1125"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28.50±0.451</w:t>
            </w:r>
          </w:p>
        </w:tc>
        <w:tc>
          <w:tcPr>
            <w:tcW w:w="1125"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29.00±0.451</w:t>
            </w:r>
          </w:p>
        </w:tc>
        <w:tc>
          <w:tcPr>
            <w:tcW w:w="1119"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30.00±0.451</w:t>
            </w:r>
          </w:p>
        </w:tc>
        <w:tc>
          <w:tcPr>
            <w:tcW w:w="1601" w:type="dxa"/>
            <w:tcBorders>
              <w:top w:val="single" w:sz="4" w:space="0" w:color="000000"/>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2</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29.00±0.169</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25.00±0.169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28.50±0.169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28.50±0.548</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3</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28.00±0.177</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24.50±0.177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27.00±0.177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27.00±0.326</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27.50±0.326</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29.00±0.326</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4</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28.00±0.559</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26.50±0.559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26.00±0.559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27.50±0.551</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27.00±0.551</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29.50±0.551</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5</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27.50±0.228</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26.00±0.228</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27.00±0.228</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27.00±0.308</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29.00±0.308</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30.00±0.308</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6</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27.50±0.363</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26.50±0.348</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27.50±0.348</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29.50±0.348</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150"/>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7</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29.00±1.335</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27.00±1.335</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28.50±1.335</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27.50±0.571</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28.50±0.571</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29.00±0.571</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8</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28.00±0.427</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29.50±0.427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27.50±0.427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28.00±0.482</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30.00±0.482</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28.50±0.482</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9</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27.00±1.189</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26.00±1.189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26.50±1.189</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27.00±0.672</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28.00±0.672</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28.50±0.672</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10</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26.50±1.197</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26.00±1.197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27.00±1.197</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28.00±0.696</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29.50±0.696</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28.50±0.696</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176"/>
        </w:trPr>
        <w:tc>
          <w:tcPr>
            <w:tcW w:w="1080" w:type="dxa"/>
            <w:tcBorders>
              <w:top w:val="nil"/>
              <w:left w:val="nil"/>
              <w:bottom w:val="nil"/>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11</w:t>
            </w:r>
          </w:p>
        </w:tc>
        <w:tc>
          <w:tcPr>
            <w:tcW w:w="1062"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26.50±1.535</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4"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125"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28.50±1.294</w:t>
            </w:r>
          </w:p>
        </w:tc>
        <w:tc>
          <w:tcPr>
            <w:tcW w:w="1119"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601" w:type="dxa"/>
            <w:tcBorders>
              <w:top w:val="nil"/>
              <w:left w:val="nil"/>
              <w:bottom w:val="nil"/>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1C5D3B" w:rsidTr="0032672A">
        <w:trPr>
          <w:trHeight w:val="95"/>
        </w:trPr>
        <w:tc>
          <w:tcPr>
            <w:tcW w:w="1080" w:type="dxa"/>
            <w:tcBorders>
              <w:top w:val="nil"/>
              <w:left w:val="nil"/>
              <w:bottom w:val="single" w:sz="4" w:space="0" w:color="000000"/>
              <w:right w:val="nil"/>
            </w:tcBorders>
          </w:tcPr>
          <w:p w:rsidR="0032672A" w:rsidRPr="001C5D3B" w:rsidRDefault="0032672A" w:rsidP="00676305">
            <w:pPr>
              <w:spacing w:after="0" w:line="240" w:lineRule="auto"/>
              <w:ind w:left="122"/>
              <w:jc w:val="center"/>
              <w:rPr>
                <w:rFonts w:ascii="Times New Roman" w:hAnsi="Times New Roman" w:cs="Times New Roman"/>
                <w:sz w:val="18"/>
                <w:szCs w:val="18"/>
              </w:rPr>
            </w:pPr>
            <w:r w:rsidRPr="001C5D3B">
              <w:rPr>
                <w:rFonts w:ascii="Times New Roman" w:hAnsi="Times New Roman" w:cs="Times New Roman"/>
                <w:sz w:val="18"/>
                <w:szCs w:val="18"/>
              </w:rPr>
              <w:t>12</w:t>
            </w:r>
          </w:p>
        </w:tc>
        <w:tc>
          <w:tcPr>
            <w:tcW w:w="1062"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28.00±0.277</w:t>
            </w:r>
          </w:p>
        </w:tc>
        <w:tc>
          <w:tcPr>
            <w:tcW w:w="1125"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28.50±0.263</w:t>
            </w:r>
          </w:p>
        </w:tc>
        <w:tc>
          <w:tcPr>
            <w:tcW w:w="1125"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29.50±0.263</w:t>
            </w:r>
          </w:p>
        </w:tc>
        <w:tc>
          <w:tcPr>
            <w:tcW w:w="1119"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sidRPr="001C5D3B">
              <w:rPr>
                <w:rFonts w:ascii="Times New Roman" w:hAnsi="Times New Roman" w:cs="Times New Roman"/>
                <w:sz w:val="18"/>
                <w:szCs w:val="18"/>
              </w:rPr>
              <w:t>29.00±0.263</w:t>
            </w:r>
          </w:p>
        </w:tc>
        <w:tc>
          <w:tcPr>
            <w:tcW w:w="1601" w:type="dxa"/>
            <w:tcBorders>
              <w:top w:val="nil"/>
              <w:left w:val="nil"/>
              <w:bottom w:val="single" w:sz="4" w:space="0" w:color="000000"/>
              <w:right w:val="nil"/>
            </w:tcBorders>
          </w:tcPr>
          <w:p w:rsidR="0032672A" w:rsidRPr="001C5D3B" w:rsidRDefault="0032672A" w:rsidP="00676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32672A" w:rsidRDefault="0032672A" w:rsidP="0032672A">
      <w:pPr>
        <w:pStyle w:val="NormalWeb"/>
        <w:spacing w:before="0" w:beforeAutospacing="0" w:after="120" w:afterAutospacing="0"/>
        <w:jc w:val="both"/>
        <w:rPr>
          <w:sz w:val="22"/>
        </w:rPr>
      </w:pPr>
    </w:p>
    <w:p w:rsidR="0032672A" w:rsidRDefault="0032672A" w:rsidP="0032672A">
      <w:pPr>
        <w:pStyle w:val="NormalWeb"/>
        <w:spacing w:before="0" w:beforeAutospacing="0" w:after="120" w:afterAutospacing="0"/>
        <w:jc w:val="both"/>
        <w:rPr>
          <w:sz w:val="22"/>
        </w:rPr>
      </w:pPr>
      <w:r>
        <w:rPr>
          <w:sz w:val="22"/>
        </w:rPr>
        <w:t xml:space="preserve">Table 3 presents the results of turbidity in twelve borehole water samples during the wet and dry seasons, and the WHO specification standards. The results revealed that the turbidity values of the borehole water samples in the wet season are higher than in the dry season, as </w:t>
      </w:r>
      <w:r w:rsidR="00D00F2A">
        <w:rPr>
          <w:sz w:val="22"/>
        </w:rPr>
        <w:t>visualized in Figure 5</w:t>
      </w:r>
      <w:r>
        <w:rPr>
          <w:sz w:val="22"/>
        </w:rPr>
        <w:t>.</w:t>
      </w:r>
    </w:p>
    <w:p w:rsidR="0032672A" w:rsidRDefault="0032672A" w:rsidP="0032672A">
      <w:pPr>
        <w:pStyle w:val="NormalWeb"/>
        <w:spacing w:before="0" w:beforeAutospacing="0" w:after="120" w:afterAutospacing="0"/>
        <w:jc w:val="both"/>
        <w:rPr>
          <w:sz w:val="22"/>
        </w:rPr>
      </w:pPr>
      <w:r>
        <w:rPr>
          <w:sz w:val="22"/>
        </w:rPr>
        <w:t>The results for the wet season showed that the highest average turbidity value was experienced in borehole water samples 3 and 10,</w:t>
      </w:r>
      <w:r w:rsidR="009E0ECB">
        <w:rPr>
          <w:sz w:val="22"/>
        </w:rPr>
        <w:t xml:space="preserve"> </w:t>
      </w:r>
      <w:r>
        <w:rPr>
          <w:sz w:val="22"/>
        </w:rPr>
        <w:t>both in June, with each having 0.25 NTU, while the borehole samples 3 and 11 in July, and 10 in August, recorded the smallest average turbidity value, 0.03 NTU each. In addition,</w:t>
      </w:r>
      <w:r w:rsidR="00D00F2A">
        <w:rPr>
          <w:sz w:val="22"/>
        </w:rPr>
        <w:t xml:space="preserve"> </w:t>
      </w:r>
      <w:r>
        <w:rPr>
          <w:sz w:val="22"/>
        </w:rPr>
        <w:t xml:space="preserve">sample 10 exhibited the largest variation in the turbidity value across the wet season, with a standard deviation of </w:t>
      </w:r>
      <m:oMath>
        <m:r>
          <w:rPr>
            <w:rFonts w:ascii="Cambria Math" w:hAnsi="Cambria Math"/>
            <w:sz w:val="22"/>
          </w:rPr>
          <m:t>±0.114</m:t>
        </m:r>
      </m:oMath>
      <w:r>
        <w:rPr>
          <w:sz w:val="22"/>
        </w:rPr>
        <w:t>, while sample 9 had the lowest variation,</w:t>
      </w:r>
      <m:oMath>
        <m:r>
          <w:rPr>
            <w:rFonts w:ascii="Cambria Math" w:hAnsi="Cambria Math"/>
            <w:sz w:val="22"/>
          </w:rPr>
          <m:t>±0.011</m:t>
        </m:r>
      </m:oMath>
      <w:r>
        <w:rPr>
          <w:sz w:val="22"/>
        </w:rPr>
        <w:t>.</w:t>
      </w:r>
      <w:r w:rsidR="009E0ECB">
        <w:rPr>
          <w:sz w:val="22"/>
        </w:rPr>
        <w:t xml:space="preserve"> </w:t>
      </w:r>
      <w:r>
        <w:rPr>
          <w:sz w:val="22"/>
        </w:rPr>
        <w:t>For the dry season, the highest average turbidity value was produced by sample 9 in January (0.27 NTU), while samples 2 and 6 had the lowest average turbidity value of 0.01 NTU each in January. Furthermore, the largest variation was observed in sample 9 (</w:t>
      </w:r>
      <m:oMath>
        <m:r>
          <w:rPr>
            <w:rFonts w:ascii="Cambria Math" w:hAnsi="Cambria Math"/>
            <w:sz w:val="22"/>
          </w:rPr>
          <m:t>±0.104</m:t>
        </m:r>
      </m:oMath>
      <w:r>
        <w:rPr>
          <w:sz w:val="22"/>
        </w:rPr>
        <w:t>) across the season, while sample 10 had the lowest variability (</w:t>
      </w:r>
      <m:oMath>
        <m:r>
          <w:rPr>
            <w:rFonts w:ascii="Cambria Math" w:hAnsi="Cambria Math"/>
            <w:sz w:val="22"/>
          </w:rPr>
          <m:t>±0.020</m:t>
        </m:r>
      </m:oMath>
      <w:r>
        <w:rPr>
          <w:sz w:val="22"/>
        </w:rPr>
        <w:t>) across the season.</w:t>
      </w:r>
    </w:p>
    <w:p w:rsidR="0032672A" w:rsidRDefault="0032672A" w:rsidP="0032672A">
      <w:pPr>
        <w:pStyle w:val="NormalWeb"/>
        <w:spacing w:before="0" w:beforeAutospacing="0" w:after="120" w:afterAutospacing="0"/>
        <w:jc w:val="both"/>
        <w:rPr>
          <w:sz w:val="22"/>
        </w:rPr>
      </w:pPr>
      <w:r>
        <w:rPr>
          <w:sz w:val="22"/>
        </w:rPr>
        <w:t>Comparing the average turbidity values across wet and dry seasons, with the WHO standard, which is specified at 1 NTU, the results demonstrate that all the average turbidity values of the sample across the seasons are lower than the WHO standard, implying that they met the standard.</w:t>
      </w:r>
    </w:p>
    <w:p w:rsidR="0032672A" w:rsidRPr="00C876D1" w:rsidRDefault="0032672A" w:rsidP="0032672A">
      <w:pPr>
        <w:pStyle w:val="NormalWeb"/>
        <w:spacing w:before="0" w:beforeAutospacing="0" w:after="120" w:afterAutospacing="0"/>
        <w:jc w:val="both"/>
        <w:rPr>
          <w:b/>
          <w:sz w:val="22"/>
        </w:rPr>
      </w:pPr>
      <w:r w:rsidRPr="00C876D1">
        <w:rPr>
          <w:b/>
          <w:sz w:val="22"/>
        </w:rPr>
        <w:t>Table 3. Seasonal Variations in Turbidity in Borehole Water and Comparison with the WHO Standard</w:t>
      </w:r>
    </w:p>
    <w:tbl>
      <w:tblPr>
        <w:tblW w:w="9483" w:type="dxa"/>
        <w:tblInd w:w="-123" w:type="dxa"/>
        <w:tblCellMar>
          <w:top w:w="14" w:type="dxa"/>
          <w:right w:w="115" w:type="dxa"/>
        </w:tblCellMar>
        <w:tblLook w:val="04A0" w:firstRow="1" w:lastRow="0" w:firstColumn="1" w:lastColumn="0" w:noHBand="0" w:noVBand="1"/>
      </w:tblPr>
      <w:tblGrid>
        <w:gridCol w:w="1165"/>
        <w:gridCol w:w="1052"/>
        <w:gridCol w:w="1042"/>
        <w:gridCol w:w="1062"/>
        <w:gridCol w:w="1199"/>
        <w:gridCol w:w="1188"/>
        <w:gridCol w:w="1042"/>
        <w:gridCol w:w="1733"/>
      </w:tblGrid>
      <w:tr w:rsidR="0032672A" w:rsidRPr="00754F74" w:rsidTr="0032672A">
        <w:trPr>
          <w:trHeight w:val="106"/>
        </w:trPr>
        <w:tc>
          <w:tcPr>
            <w:tcW w:w="1170"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b/>
                <w:sz w:val="18"/>
                <w:szCs w:val="18"/>
              </w:rPr>
              <w:t>T(NTU)</w:t>
            </w:r>
          </w:p>
        </w:tc>
        <w:tc>
          <w:tcPr>
            <w:tcW w:w="2065" w:type="dxa"/>
            <w:gridSpan w:val="2"/>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1062" w:type="dxa"/>
            <w:tcBorders>
              <w:top w:val="single" w:sz="4" w:space="0" w:color="000000"/>
              <w:left w:val="nil"/>
              <w:bottom w:val="single" w:sz="4" w:space="0" w:color="000000"/>
              <w:right w:val="nil"/>
            </w:tcBorders>
          </w:tcPr>
          <w:p w:rsidR="0032672A" w:rsidRPr="00754F74" w:rsidRDefault="0032672A" w:rsidP="009E0ECB">
            <w:pPr>
              <w:spacing w:after="0" w:line="240" w:lineRule="auto"/>
              <w:jc w:val="center"/>
              <w:rPr>
                <w:rFonts w:ascii="Times New Roman" w:hAnsi="Times New Roman" w:cs="Times New Roman"/>
                <w:sz w:val="18"/>
                <w:szCs w:val="18"/>
              </w:rPr>
            </w:pPr>
          </w:p>
        </w:tc>
        <w:tc>
          <w:tcPr>
            <w:tcW w:w="3434" w:type="dxa"/>
            <w:gridSpan w:val="3"/>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752" w:type="dxa"/>
            <w:tcBorders>
              <w:top w:val="single" w:sz="4" w:space="0" w:color="000000"/>
              <w:left w:val="nil"/>
              <w:bottom w:val="single" w:sz="4" w:space="0" w:color="000000"/>
              <w:right w:val="nil"/>
            </w:tcBorders>
          </w:tcPr>
          <w:p w:rsidR="0032672A" w:rsidRPr="00754F74" w:rsidRDefault="0032672A" w:rsidP="009E0ECB">
            <w:pPr>
              <w:spacing w:after="0" w:line="240" w:lineRule="auto"/>
              <w:jc w:val="center"/>
              <w:rPr>
                <w:rFonts w:ascii="Times New Roman" w:hAnsi="Times New Roman" w:cs="Times New Roman"/>
                <w:sz w:val="18"/>
                <w:szCs w:val="18"/>
              </w:rPr>
            </w:pPr>
          </w:p>
        </w:tc>
      </w:tr>
      <w:tr w:rsidR="0032672A" w:rsidRPr="00754F74" w:rsidTr="0032672A">
        <w:trPr>
          <w:trHeight w:val="71"/>
        </w:trPr>
        <w:tc>
          <w:tcPr>
            <w:tcW w:w="1170"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052"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013"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062"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03"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192"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039" w:type="dxa"/>
            <w:tcBorders>
              <w:top w:val="single" w:sz="4" w:space="0" w:color="000000"/>
              <w:left w:val="nil"/>
              <w:bottom w:val="single" w:sz="4" w:space="0" w:color="000000"/>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752" w:type="dxa"/>
            <w:tcBorders>
              <w:top w:val="single" w:sz="4" w:space="0" w:color="000000"/>
              <w:left w:val="nil"/>
              <w:bottom w:val="single" w:sz="4" w:space="0" w:color="000000"/>
              <w:right w:val="nil"/>
            </w:tcBorders>
          </w:tcPr>
          <w:p w:rsidR="0032672A" w:rsidRDefault="0032672A" w:rsidP="009E0E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WHO Standard</w:t>
            </w:r>
          </w:p>
          <w:p w:rsidR="0032672A" w:rsidRPr="00754F74" w:rsidRDefault="0032672A" w:rsidP="009E0E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m:t>
              </m:r>
              <m:r>
                <w:rPr>
                  <w:rFonts w:ascii="Cambria Math" w:hAnsi="Cambria Math" w:cs="Times New Roman"/>
                  <w:sz w:val="18"/>
                  <w:szCs w:val="18"/>
                </w:rPr>
                <m:t>1</m:t>
              </m:r>
              <m:r>
                <m:rPr>
                  <m:sty m:val="bi"/>
                </m:rPr>
                <w:rPr>
                  <w:rFonts w:ascii="Cambria Math" w:hAnsi="Cambria Math" w:cs="Times New Roman"/>
                  <w:sz w:val="18"/>
                  <w:szCs w:val="18"/>
                </w:rPr>
                <m:t>NTU</m:t>
              </m:r>
            </m:oMath>
            <w:r>
              <w:rPr>
                <w:rFonts w:ascii="Times New Roman" w:hAnsi="Times New Roman" w:cs="Times New Roman"/>
                <w:b/>
                <w:sz w:val="18"/>
                <w:szCs w:val="18"/>
              </w:rPr>
              <w:t>)</w:t>
            </w:r>
          </w:p>
        </w:tc>
      </w:tr>
      <w:tr w:rsidR="0032672A" w:rsidRPr="00754F74" w:rsidTr="0032672A">
        <w:trPr>
          <w:trHeight w:val="42"/>
        </w:trPr>
        <w:tc>
          <w:tcPr>
            <w:tcW w:w="1170" w:type="dxa"/>
            <w:tcBorders>
              <w:top w:val="single" w:sz="4" w:space="0" w:color="000000"/>
              <w:left w:val="nil"/>
              <w:bottom w:val="nil"/>
              <w:right w:val="nil"/>
            </w:tcBorders>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052"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0.18±0.037</w:t>
            </w:r>
          </w:p>
        </w:tc>
        <w:tc>
          <w:tcPr>
            <w:tcW w:w="1013"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0.11±0.037</w:t>
            </w:r>
          </w:p>
        </w:tc>
        <w:tc>
          <w:tcPr>
            <w:tcW w:w="1062"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0.09±0.037</w:t>
            </w:r>
          </w:p>
        </w:tc>
        <w:tc>
          <w:tcPr>
            <w:tcW w:w="1203"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0.10±0.030</w:t>
            </w:r>
          </w:p>
        </w:tc>
        <w:tc>
          <w:tcPr>
            <w:tcW w:w="1192"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0.07±0.030</w:t>
            </w:r>
          </w:p>
        </w:tc>
        <w:tc>
          <w:tcPr>
            <w:tcW w:w="1039" w:type="dxa"/>
            <w:tcBorders>
              <w:top w:val="single" w:sz="4" w:space="0" w:color="000000"/>
              <w:left w:val="nil"/>
              <w:bottom w:val="nil"/>
              <w:right w:val="nil"/>
            </w:tcBorders>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0.04±0.030</w:t>
            </w:r>
          </w:p>
        </w:tc>
        <w:tc>
          <w:tcPr>
            <w:tcW w:w="1752" w:type="dxa"/>
            <w:tcBorders>
              <w:top w:val="single" w:sz="4" w:space="0" w:color="000000"/>
              <w:left w:val="nil"/>
              <w:bottom w:val="nil"/>
              <w:right w:val="nil"/>
            </w:tcBorders>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113"/>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0.17±0.065</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0.09±0.065</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0.04±0.065</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0.09±0.041</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0.07±0.041</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0.01±0.041</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0.25±0.062</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0.03±0.062</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0.15±0.062</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0.09±0.035</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0.05±0.035</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0.02±0.035</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0.20±0.032</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0.16±0.032</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0.10±0.032</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0.11±0.043</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0.02±0.043</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0.22±0.094</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0.06±0.094</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0.04±0.094</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0.08±0.033</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0.09±0.033</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0.03±0.033</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0.07±0.062</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0.14±0.062</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0.19±0.062</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0.08±0.050</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0.01±0.050</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0.05±0.067</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0.12±0.067</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0.18±0.067</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0.17±0.050</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0.06±0.050</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0.07±0.016</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0.05±0.016</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0.08±0.016</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0.08±0.025</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0.05±0.025</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0.03±0.025</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0.11±0.011</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0.04±0.104</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0.10±0.104</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0.27±0.104</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0.25±0.114</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0.08±0.114</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0.03±0.114</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0.07±0.045</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0.02±0.045</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0.10±0.045</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lastRenderedPageBreak/>
              <w:t>11</w:t>
            </w:r>
          </w:p>
        </w:tc>
        <w:tc>
          <w:tcPr>
            <w:tcW w:w="105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0.13±0.041</w:t>
            </w:r>
          </w:p>
        </w:tc>
        <w:tc>
          <w:tcPr>
            <w:tcW w:w="101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0.03±0.041</w:t>
            </w:r>
          </w:p>
        </w:tc>
        <w:tc>
          <w:tcPr>
            <w:tcW w:w="106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0.06±0.041</w:t>
            </w:r>
          </w:p>
        </w:tc>
        <w:tc>
          <w:tcPr>
            <w:tcW w:w="1203"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0.10±0.020</w:t>
            </w:r>
          </w:p>
        </w:tc>
        <w:tc>
          <w:tcPr>
            <w:tcW w:w="1192"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0.07±0.020</w:t>
            </w:r>
          </w:p>
        </w:tc>
        <w:tc>
          <w:tcPr>
            <w:tcW w:w="1039" w:type="dxa"/>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0.06±0.020</w:t>
            </w:r>
          </w:p>
        </w:tc>
        <w:tc>
          <w:tcPr>
            <w:tcW w:w="1752" w:type="dxa"/>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754F74" w:rsidTr="0032672A">
        <w:trPr>
          <w:trHeight w:val="79"/>
        </w:trPr>
        <w:tc>
          <w:tcPr>
            <w:tcW w:w="1170" w:type="dxa"/>
            <w:tcBorders>
              <w:top w:val="nil"/>
              <w:left w:val="nil"/>
              <w:bottom w:val="single" w:sz="4" w:space="0" w:color="000000"/>
              <w:right w:val="nil"/>
            </w:tcBorders>
            <w:vAlign w:val="center"/>
            <w:hideMark/>
          </w:tcPr>
          <w:p w:rsidR="0032672A" w:rsidRPr="00754F74" w:rsidRDefault="0032672A" w:rsidP="009E0ECB">
            <w:pPr>
              <w:spacing w:after="0" w:line="240" w:lineRule="auto"/>
              <w:ind w:left="123"/>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052"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0.14±0.058</w:t>
            </w:r>
          </w:p>
        </w:tc>
        <w:tc>
          <w:tcPr>
            <w:tcW w:w="1013"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0.01±0.058</w:t>
            </w:r>
          </w:p>
        </w:tc>
        <w:tc>
          <w:tcPr>
            <w:tcW w:w="1062"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0.08±0.058</w:t>
            </w:r>
          </w:p>
        </w:tc>
        <w:tc>
          <w:tcPr>
            <w:tcW w:w="1203"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0.18±0.043</w:t>
            </w:r>
          </w:p>
        </w:tc>
        <w:tc>
          <w:tcPr>
            <w:tcW w:w="1192"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0.10±0.043</w:t>
            </w:r>
          </w:p>
        </w:tc>
        <w:tc>
          <w:tcPr>
            <w:tcW w:w="1039" w:type="dxa"/>
            <w:tcBorders>
              <w:top w:val="nil"/>
              <w:left w:val="nil"/>
              <w:bottom w:val="single" w:sz="4" w:space="0" w:color="000000"/>
              <w:right w:val="nil"/>
            </w:tcBorders>
            <w:vAlign w:val="center"/>
            <w:hideMark/>
          </w:tcPr>
          <w:p w:rsidR="0032672A" w:rsidRPr="00754F74" w:rsidRDefault="0032672A" w:rsidP="009E0ECB">
            <w:pPr>
              <w:spacing w:after="0" w:line="240" w:lineRule="auto"/>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Borders>
              <w:top w:val="nil"/>
              <w:left w:val="nil"/>
              <w:bottom w:val="single" w:sz="4" w:space="0" w:color="000000"/>
              <w:right w:val="nil"/>
            </w:tcBorders>
          </w:tcPr>
          <w:p w:rsidR="0032672A" w:rsidRPr="00754F74" w:rsidRDefault="0032672A" w:rsidP="009E0E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32672A" w:rsidRDefault="0032672A" w:rsidP="0032672A">
      <w:pPr>
        <w:pStyle w:val="NormalWeb"/>
        <w:spacing w:before="0" w:beforeAutospacing="0" w:after="120" w:afterAutospacing="0"/>
        <w:jc w:val="both"/>
        <w:rPr>
          <w:sz w:val="22"/>
        </w:rPr>
      </w:pPr>
    </w:p>
    <w:p w:rsidR="0032672A" w:rsidRDefault="0032672A" w:rsidP="0032672A">
      <w:pPr>
        <w:pStyle w:val="NormalWeb"/>
        <w:spacing w:before="0" w:beforeAutospacing="0" w:after="120" w:afterAutospacing="0"/>
        <w:jc w:val="both"/>
        <w:rPr>
          <w:sz w:val="22"/>
        </w:rPr>
      </w:pPr>
      <w:r w:rsidRPr="00B00E3C">
        <w:rPr>
          <w:sz w:val="22"/>
        </w:rPr>
        <w:t>The seasonal variations in EC values of borehole water samples across wet and dry seasons are shown in Table 4</w:t>
      </w:r>
      <w:r w:rsidR="006D183D">
        <w:rPr>
          <w:sz w:val="22"/>
        </w:rPr>
        <w:t xml:space="preserve"> and Figure 6</w:t>
      </w:r>
      <w:r w:rsidRPr="00B00E3C">
        <w:rPr>
          <w:sz w:val="22"/>
        </w:rPr>
        <w:t xml:space="preserve">. During the wet season, EC values varied widely across the samples, ranging from 3.00 </w:t>
      </w:r>
      <w:r>
        <w:rPr>
          <w:sz w:val="22"/>
        </w:rPr>
        <w:t>± 0.816 S/m in Sample 5 to 69.00</w:t>
      </w:r>
      <w:r w:rsidRPr="00B00E3C">
        <w:rPr>
          <w:sz w:val="22"/>
        </w:rPr>
        <w:t xml:space="preserve"> ± 3.568 S/m in Sample 9. The relatively lower conductivity observed in some samples during the wet season may be due to the dilution effect of increased rainfall, which reduces the concentration of dissolved solids in the water. For instance, Sample 4 recorded 6.00 ± 0.824 S/m in June, indicative of the influence of rainfall on ion concentration. However, EC values were unexpecte</w:t>
      </w:r>
      <w:r>
        <w:rPr>
          <w:sz w:val="22"/>
        </w:rPr>
        <w:t xml:space="preserve">dly high during the wet season </w:t>
      </w:r>
      <w:r w:rsidRPr="00B00E3C">
        <w:rPr>
          <w:sz w:val="22"/>
        </w:rPr>
        <w:t>in Sample</w:t>
      </w:r>
      <w:r>
        <w:rPr>
          <w:sz w:val="22"/>
        </w:rPr>
        <w:t>s</w:t>
      </w:r>
      <w:r w:rsidRPr="00B00E3C">
        <w:rPr>
          <w:sz w:val="22"/>
        </w:rPr>
        <w:t xml:space="preserve"> 9</w:t>
      </w:r>
      <w:r>
        <w:rPr>
          <w:sz w:val="22"/>
        </w:rPr>
        <w:t xml:space="preserve"> and 11.</w:t>
      </w:r>
    </w:p>
    <w:p w:rsidR="0032672A" w:rsidRDefault="0032672A" w:rsidP="0032672A">
      <w:pPr>
        <w:pStyle w:val="NormalWeb"/>
        <w:spacing w:before="0" w:beforeAutospacing="0" w:after="120" w:afterAutospacing="0"/>
        <w:jc w:val="both"/>
        <w:rPr>
          <w:sz w:val="22"/>
        </w:rPr>
      </w:pPr>
      <w:r w:rsidRPr="00A37DAF">
        <w:rPr>
          <w:sz w:val="22"/>
        </w:rPr>
        <w:t>In contrast, EC values during the dry season were generally higher, with some samples showing a pronounced increase. This trend is attributed to the reduced rainfall and surface runoff, which limit dilution and allow for the concentration of dissolved ions in the water. For example, Sample 12 displayed a significant increase in EC from 6.40 ± 0.471 S/m in June to 110.00 ± 48.201 S/m in November, reflecting the accumulation of ionic substances during the dry months. Similarly, Sample 6 exhibited a marked rise from 9.00 ± 6.826 S/m in June to 90.00 ± 12.247 S/m in November. These findings indicate that borehole water during the dry season is more likely to exhibit elevated conductivity levels due to the cumulative effects of reduced precipitation and increased evaporation</w:t>
      </w:r>
      <w:r>
        <w:rPr>
          <w:sz w:val="22"/>
        </w:rPr>
        <w:t>.</w:t>
      </w:r>
    </w:p>
    <w:p w:rsidR="0032672A" w:rsidRPr="00A37DAF" w:rsidRDefault="0032672A" w:rsidP="0032672A">
      <w:pPr>
        <w:pStyle w:val="NormalWeb"/>
        <w:spacing w:before="0" w:beforeAutospacing="0" w:after="120" w:afterAutospacing="0"/>
        <w:jc w:val="both"/>
        <w:rPr>
          <w:sz w:val="18"/>
        </w:rPr>
      </w:pPr>
      <w:r>
        <w:rPr>
          <w:sz w:val="22"/>
        </w:rPr>
        <w:t xml:space="preserve">The results further showed that all the electrical conductivity (EC) in the borehole water samples </w:t>
      </w:r>
      <w:r w:rsidR="003706F6">
        <w:rPr>
          <w:sz w:val="22"/>
        </w:rPr>
        <w:t>are all above</w:t>
      </w:r>
      <w:r>
        <w:rPr>
          <w:sz w:val="22"/>
        </w:rPr>
        <w:t xml:space="preserve"> the recomm</w:t>
      </w:r>
      <w:r w:rsidR="006D183D">
        <w:rPr>
          <w:sz w:val="22"/>
        </w:rPr>
        <w:t>ended specification by WHO (</w:t>
      </w:r>
      <m:oMath>
        <m:r>
          <w:rPr>
            <w:rFonts w:ascii="Cambria Math" w:hAnsi="Cambria Math"/>
            <w:sz w:val="22"/>
          </w:rPr>
          <m:t>&lt;1000μs/cm≈1S/m</m:t>
        </m:r>
      </m:oMath>
      <w:r>
        <w:rPr>
          <w:sz w:val="22"/>
        </w:rPr>
        <w:t xml:space="preserve">), implying that all the borehole water samples in </w:t>
      </w:r>
      <w:r w:rsidR="003F041E">
        <w:rPr>
          <w:sz w:val="22"/>
        </w:rPr>
        <w:t>Enugu North LGA do not meet the WHO standard specification, implying that these boreholes water m</w:t>
      </w:r>
      <w:r w:rsidR="003706F6">
        <w:rPr>
          <w:sz w:val="22"/>
        </w:rPr>
        <w:t>ight have h</w:t>
      </w:r>
      <w:r w:rsidR="00237F33">
        <w:rPr>
          <w:sz w:val="22"/>
        </w:rPr>
        <w:t>igh levels of dissolved salts and</w:t>
      </w:r>
      <w:r w:rsidR="003706F6">
        <w:rPr>
          <w:sz w:val="22"/>
        </w:rPr>
        <w:t xml:space="preserve"> even minerals that can potentially affect the water taste, making it less suitable for drinking without treatment.</w:t>
      </w:r>
      <w:r w:rsidR="00D33567">
        <w:rPr>
          <w:sz w:val="22"/>
        </w:rPr>
        <w:t xml:space="preserve"> In addition, this high level of EC in the borehole water can pose a lot of health hazards.</w:t>
      </w:r>
    </w:p>
    <w:p w:rsidR="0032672A" w:rsidRPr="001F3B92" w:rsidRDefault="0032672A" w:rsidP="0032672A">
      <w:pPr>
        <w:pStyle w:val="NormalWeb"/>
        <w:spacing w:before="0" w:beforeAutospacing="0" w:after="120" w:afterAutospacing="0"/>
        <w:jc w:val="both"/>
        <w:rPr>
          <w:b/>
          <w:sz w:val="22"/>
        </w:rPr>
      </w:pPr>
      <w:r w:rsidRPr="001F3B92">
        <w:rPr>
          <w:b/>
          <w:sz w:val="22"/>
        </w:rPr>
        <w:t>Table 4. Seasonal Variations in Electrical Conductivity (EC) in Borehole Water and Comparison with the WHO Standard</w:t>
      </w:r>
    </w:p>
    <w:tbl>
      <w:tblPr>
        <w:tblW w:w="9704" w:type="dxa"/>
        <w:tblLayout w:type="fixed"/>
        <w:tblCellMar>
          <w:top w:w="14" w:type="dxa"/>
          <w:right w:w="48" w:type="dxa"/>
        </w:tblCellMar>
        <w:tblLook w:val="04A0" w:firstRow="1" w:lastRow="0" w:firstColumn="1" w:lastColumn="0" w:noHBand="0" w:noVBand="1"/>
      </w:tblPr>
      <w:tblGrid>
        <w:gridCol w:w="951"/>
        <w:gridCol w:w="1104"/>
        <w:gridCol w:w="1266"/>
        <w:gridCol w:w="1198"/>
        <w:gridCol w:w="1266"/>
        <w:gridCol w:w="1222"/>
        <w:gridCol w:w="1198"/>
        <w:gridCol w:w="1499"/>
      </w:tblGrid>
      <w:tr w:rsidR="0032672A" w:rsidRPr="00754F74" w:rsidTr="00D33567">
        <w:trPr>
          <w:trHeight w:val="155"/>
        </w:trPr>
        <w:tc>
          <w:tcPr>
            <w:tcW w:w="951"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ind w:left="122"/>
              <w:jc w:val="center"/>
              <w:rPr>
                <w:rFonts w:ascii="Times New Roman" w:hAnsi="Times New Roman" w:cs="Times New Roman"/>
                <w:sz w:val="18"/>
                <w:szCs w:val="18"/>
              </w:rPr>
            </w:pPr>
            <w:r>
              <w:rPr>
                <w:rFonts w:ascii="Times New Roman" w:hAnsi="Times New Roman" w:cs="Times New Roman"/>
                <w:b/>
                <w:sz w:val="18"/>
                <w:szCs w:val="18"/>
              </w:rPr>
              <w:t>EC</w:t>
            </w:r>
            <w:r w:rsidR="00D33567">
              <w:rPr>
                <w:rFonts w:ascii="Times New Roman" w:hAnsi="Times New Roman" w:cs="Times New Roman"/>
                <w:b/>
                <w:sz w:val="18"/>
                <w:szCs w:val="18"/>
              </w:rPr>
              <w:t>(S</w:t>
            </w:r>
            <w:r w:rsidRPr="00754F74">
              <w:rPr>
                <w:rFonts w:ascii="Times New Roman" w:hAnsi="Times New Roman" w:cs="Times New Roman"/>
                <w:b/>
                <w:sz w:val="18"/>
                <w:szCs w:val="18"/>
              </w:rPr>
              <w:t>/m)</w:t>
            </w:r>
          </w:p>
        </w:tc>
        <w:tc>
          <w:tcPr>
            <w:tcW w:w="3568" w:type="dxa"/>
            <w:gridSpan w:val="3"/>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3686" w:type="dxa"/>
            <w:gridSpan w:val="3"/>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499" w:type="dxa"/>
            <w:tcBorders>
              <w:top w:val="single" w:sz="4" w:space="0" w:color="000000"/>
              <w:left w:val="nil"/>
              <w:bottom w:val="single" w:sz="4" w:space="0" w:color="000000"/>
              <w:right w:val="nil"/>
            </w:tcBorders>
          </w:tcPr>
          <w:p w:rsidR="0032672A" w:rsidRPr="00754F74" w:rsidRDefault="0032672A" w:rsidP="006D183D">
            <w:pPr>
              <w:spacing w:after="0" w:line="240" w:lineRule="auto"/>
              <w:jc w:val="center"/>
              <w:rPr>
                <w:rFonts w:ascii="Times New Roman" w:hAnsi="Times New Roman" w:cs="Times New Roman"/>
                <w:sz w:val="18"/>
                <w:szCs w:val="18"/>
              </w:rPr>
            </w:pPr>
          </w:p>
        </w:tc>
      </w:tr>
      <w:tr w:rsidR="0032672A" w:rsidRPr="00754F74" w:rsidTr="00D33567">
        <w:trPr>
          <w:trHeight w:val="67"/>
        </w:trPr>
        <w:tc>
          <w:tcPr>
            <w:tcW w:w="951"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104"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266"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197"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66"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222"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197" w:type="dxa"/>
            <w:tcBorders>
              <w:top w:val="single" w:sz="4" w:space="0" w:color="000000"/>
              <w:left w:val="nil"/>
              <w:bottom w:val="single" w:sz="4" w:space="0" w:color="000000"/>
              <w:right w:val="nil"/>
            </w:tcBorders>
            <w:hideMark/>
          </w:tcPr>
          <w:p w:rsidR="0032672A" w:rsidRPr="00754F74" w:rsidRDefault="0032672A" w:rsidP="006D183D">
            <w:pPr>
              <w:spacing w:after="0" w:line="240" w:lineRule="auto"/>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499" w:type="dxa"/>
            <w:tcBorders>
              <w:top w:val="single" w:sz="4" w:space="0" w:color="000000"/>
              <w:left w:val="nil"/>
              <w:bottom w:val="single" w:sz="4" w:space="0" w:color="000000"/>
              <w:right w:val="nil"/>
            </w:tcBorders>
          </w:tcPr>
          <w:p w:rsidR="0032672A" w:rsidRDefault="0032672A" w:rsidP="006D183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WHO Standard</w:t>
            </w:r>
          </w:p>
          <w:p w:rsidR="0032672A" w:rsidRPr="00754F74" w:rsidRDefault="0032672A" w:rsidP="006D183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m:t>
              </m:r>
              <m:r>
                <w:rPr>
                  <w:rFonts w:ascii="Cambria Math" w:hAnsi="Cambria Math" w:cs="Times New Roman"/>
                  <w:sz w:val="18"/>
                  <w:szCs w:val="18"/>
                </w:rPr>
                <m:t>1000μ</m:t>
              </m:r>
              <m:r>
                <m:rPr>
                  <m:sty m:val="bi"/>
                </m:rPr>
                <w:rPr>
                  <w:rFonts w:ascii="Cambria Math" w:hAnsi="Cambria Math" w:cs="Times New Roman"/>
                  <w:sz w:val="18"/>
                  <w:szCs w:val="18"/>
                </w:rPr>
                <m:t>S/</m:t>
              </m:r>
              <m:r>
                <w:rPr>
                  <w:rFonts w:ascii="Cambria Math" w:hAnsi="Cambria Math" w:cs="Times New Roman"/>
                  <w:sz w:val="18"/>
                  <w:szCs w:val="18"/>
                </w:rPr>
                <m:t>cm≈1S/m</m:t>
              </m:r>
            </m:oMath>
            <w:r>
              <w:rPr>
                <w:rFonts w:ascii="Times New Roman" w:hAnsi="Times New Roman" w:cs="Times New Roman"/>
                <w:b/>
                <w:sz w:val="18"/>
                <w:szCs w:val="18"/>
              </w:rPr>
              <w:t>)</w:t>
            </w:r>
          </w:p>
        </w:tc>
      </w:tr>
      <w:tr w:rsidR="0032672A" w:rsidRPr="00754F74" w:rsidTr="00D33567">
        <w:trPr>
          <w:trHeight w:val="67"/>
        </w:trPr>
        <w:tc>
          <w:tcPr>
            <w:tcW w:w="951" w:type="dxa"/>
            <w:tcBorders>
              <w:top w:val="single" w:sz="4" w:space="0" w:color="000000"/>
              <w:left w:val="nil"/>
              <w:bottom w:val="nil"/>
              <w:right w:val="nil"/>
            </w:tcBorders>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104"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18.14±38.62</w:t>
            </w:r>
          </w:p>
        </w:tc>
        <w:tc>
          <w:tcPr>
            <w:tcW w:w="1266"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8.70±38.62</w:t>
            </w:r>
          </w:p>
        </w:tc>
        <w:tc>
          <w:tcPr>
            <w:tcW w:w="1197"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80.00±38.62</w:t>
            </w:r>
          </w:p>
        </w:tc>
        <w:tc>
          <w:tcPr>
            <w:tcW w:w="1266"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76.00±1.528</w:t>
            </w:r>
          </w:p>
        </w:tc>
        <w:tc>
          <w:tcPr>
            <w:tcW w:w="1222"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78.00±1.528</w:t>
            </w:r>
          </w:p>
        </w:tc>
        <w:tc>
          <w:tcPr>
            <w:tcW w:w="1197" w:type="dxa"/>
            <w:tcBorders>
              <w:top w:val="single" w:sz="4" w:space="0" w:color="000000"/>
              <w:left w:val="nil"/>
              <w:bottom w:val="nil"/>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79.00±1.528</w:t>
            </w:r>
          </w:p>
        </w:tc>
        <w:tc>
          <w:tcPr>
            <w:tcW w:w="1499" w:type="dxa"/>
            <w:tcBorders>
              <w:top w:val="single" w:sz="4" w:space="0" w:color="000000"/>
              <w:left w:val="nil"/>
              <w:bottom w:val="nil"/>
              <w:right w:val="nil"/>
            </w:tcBorders>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28.00±0.978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27.00±0.978</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26.10±0.978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30.00±1.000</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31.00±1.000</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33.00±1.000</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39.01±3.463</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33.00±3.463</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39.02±3.463</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27.00±1.000</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28.00±1.000</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29.00±1.000</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6.00±0.824</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5.80±0.824</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5.00±0.824</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70.00±5.774</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60.00±5.774</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60.00±5.774</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3.00±0.816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4.70±0.816</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3.00±0.816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80.00±5.774</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70.00±5.774</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80.00±5.774</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9.00±6.826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11.00±6.826</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22.00±6.826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90.00±12.247</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80.00±12.247</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60.00±12.247</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20.50±5.033</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22.00±5.033</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12.00±5.033</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24.00±1.528</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25.00±1.528</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27.00±1.528</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66"/>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9.00±0.577</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10.00±0.577</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10.00±0.577</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60.00±12.247</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70.00±12.247</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90.00±12.247</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67.07±3.568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62.00±3.568</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69.00±3.568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50.00±2.081</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53.00±2.081</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54.00±2.081</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37.00±4.618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29.00±4.618</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29.00±4.618</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27.00±2.000</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29.00±2.000</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31.00±2.000</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11</w:t>
            </w:r>
          </w:p>
        </w:tc>
        <w:tc>
          <w:tcPr>
            <w:tcW w:w="1104"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5.20±27.006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52.00±27.006</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52.00±27.006</w:t>
            </w:r>
          </w:p>
        </w:tc>
        <w:tc>
          <w:tcPr>
            <w:tcW w:w="1266"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72.00±4.000</w:t>
            </w:r>
          </w:p>
        </w:tc>
        <w:tc>
          <w:tcPr>
            <w:tcW w:w="1222"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78.00±4.000</w:t>
            </w:r>
          </w:p>
        </w:tc>
        <w:tc>
          <w:tcPr>
            <w:tcW w:w="1197" w:type="dxa"/>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80.00±4.000</w:t>
            </w:r>
          </w:p>
        </w:tc>
        <w:tc>
          <w:tcPr>
            <w:tcW w:w="1499" w:type="dxa"/>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r w:rsidR="0032672A" w:rsidRPr="00754F74" w:rsidTr="00D33567">
        <w:trPr>
          <w:trHeight w:val="79"/>
        </w:trPr>
        <w:tc>
          <w:tcPr>
            <w:tcW w:w="951" w:type="dxa"/>
            <w:tcBorders>
              <w:top w:val="nil"/>
              <w:left w:val="nil"/>
              <w:bottom w:val="single" w:sz="4" w:space="0" w:color="000000"/>
              <w:right w:val="nil"/>
            </w:tcBorders>
            <w:hideMark/>
          </w:tcPr>
          <w:p w:rsidR="0032672A" w:rsidRPr="00754F74" w:rsidRDefault="0032672A" w:rsidP="006D183D">
            <w:pPr>
              <w:spacing w:after="0" w:line="240" w:lineRule="auto"/>
              <w:ind w:left="122"/>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104" w:type="dxa"/>
            <w:tcBorders>
              <w:top w:val="nil"/>
              <w:left w:val="nil"/>
              <w:bottom w:val="single" w:sz="4" w:space="0" w:color="000000"/>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6.40±0.471</w:t>
            </w:r>
          </w:p>
        </w:tc>
        <w:tc>
          <w:tcPr>
            <w:tcW w:w="1266" w:type="dxa"/>
            <w:tcBorders>
              <w:top w:val="nil"/>
              <w:left w:val="nil"/>
              <w:bottom w:val="single" w:sz="4" w:space="0" w:color="000000"/>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6.11±0.471</w:t>
            </w:r>
          </w:p>
        </w:tc>
        <w:tc>
          <w:tcPr>
            <w:tcW w:w="1197" w:type="dxa"/>
            <w:tcBorders>
              <w:top w:val="nil"/>
              <w:left w:val="nil"/>
              <w:bottom w:val="single" w:sz="4" w:space="0" w:color="000000"/>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7.00±0.471</w:t>
            </w:r>
          </w:p>
        </w:tc>
        <w:tc>
          <w:tcPr>
            <w:tcW w:w="1266" w:type="dxa"/>
            <w:tcBorders>
              <w:top w:val="nil"/>
              <w:left w:val="nil"/>
              <w:bottom w:val="single" w:sz="4" w:space="0" w:color="000000"/>
              <w:right w:val="nil"/>
            </w:tcBorders>
            <w:hideMark/>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110.00±48.20</w:t>
            </w:r>
          </w:p>
        </w:tc>
        <w:tc>
          <w:tcPr>
            <w:tcW w:w="1222" w:type="dxa"/>
            <w:tcBorders>
              <w:top w:val="nil"/>
              <w:left w:val="nil"/>
              <w:bottom w:val="single" w:sz="4" w:space="0" w:color="000000"/>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18.00±48.201</w:t>
            </w:r>
          </w:p>
        </w:tc>
        <w:tc>
          <w:tcPr>
            <w:tcW w:w="1197" w:type="dxa"/>
            <w:tcBorders>
              <w:top w:val="nil"/>
              <w:left w:val="nil"/>
              <w:bottom w:val="single" w:sz="4" w:space="0" w:color="000000"/>
              <w:right w:val="nil"/>
            </w:tcBorders>
            <w:hideMark/>
          </w:tcPr>
          <w:p w:rsidR="0032672A" w:rsidRPr="006D183D" w:rsidRDefault="0032672A" w:rsidP="006D183D">
            <w:pPr>
              <w:spacing w:after="0" w:line="240" w:lineRule="auto"/>
              <w:jc w:val="center"/>
              <w:rPr>
                <w:rFonts w:ascii="Times New Roman" w:hAnsi="Times New Roman" w:cs="Times New Roman"/>
                <w:sz w:val="18"/>
                <w:szCs w:val="18"/>
              </w:rPr>
            </w:pPr>
            <w:r w:rsidRPr="006D183D">
              <w:rPr>
                <w:rFonts w:ascii="Times New Roman" w:hAnsi="Times New Roman" w:cs="Times New Roman"/>
                <w:sz w:val="18"/>
                <w:szCs w:val="18"/>
              </w:rPr>
              <w:t>21.00±48.201</w:t>
            </w:r>
          </w:p>
        </w:tc>
        <w:tc>
          <w:tcPr>
            <w:tcW w:w="1499" w:type="dxa"/>
            <w:tcBorders>
              <w:top w:val="nil"/>
              <w:left w:val="nil"/>
              <w:bottom w:val="single" w:sz="4" w:space="0" w:color="000000"/>
              <w:right w:val="nil"/>
            </w:tcBorders>
          </w:tcPr>
          <w:p w:rsidR="0032672A" w:rsidRPr="006D183D" w:rsidRDefault="003B3A88" w:rsidP="006D183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NMS</w:t>
            </w:r>
          </w:p>
        </w:tc>
      </w:tr>
    </w:tbl>
    <w:p w:rsidR="00FA216F" w:rsidRPr="00573415" w:rsidRDefault="003F041E" w:rsidP="0032672A">
      <w:pPr>
        <w:pStyle w:val="NormalWeb"/>
        <w:spacing w:before="0" w:beforeAutospacing="0" w:after="120" w:afterAutospacing="0"/>
        <w:jc w:val="both"/>
        <w:rPr>
          <w:sz w:val="20"/>
        </w:rPr>
      </w:pPr>
      <w:r w:rsidRPr="00573415">
        <w:rPr>
          <w:b/>
          <w:sz w:val="20"/>
        </w:rPr>
        <w:t>Note:</w:t>
      </w:r>
      <w:r w:rsidRPr="00573415">
        <w:rPr>
          <w:sz w:val="20"/>
        </w:rPr>
        <w:t xml:space="preserve"> NMS means the sample borehole water does not meet WHO standard specification</w:t>
      </w:r>
    </w:p>
    <w:p w:rsidR="0032672A" w:rsidRPr="00B04453" w:rsidRDefault="0032672A" w:rsidP="0032672A">
      <w:pPr>
        <w:pStyle w:val="NormalWeb"/>
        <w:spacing w:before="0" w:beforeAutospacing="0" w:after="120" w:afterAutospacing="0"/>
        <w:jc w:val="both"/>
        <w:rPr>
          <w:sz w:val="22"/>
          <w:szCs w:val="22"/>
        </w:rPr>
      </w:pPr>
      <w:r w:rsidRPr="00B04453">
        <w:rPr>
          <w:sz w:val="22"/>
          <w:szCs w:val="22"/>
        </w:rPr>
        <w:t>Table 5</w:t>
      </w:r>
      <w:r w:rsidR="00FD7BBC">
        <w:rPr>
          <w:sz w:val="22"/>
          <w:szCs w:val="22"/>
        </w:rPr>
        <w:t xml:space="preserve"> </w:t>
      </w:r>
      <w:r>
        <w:rPr>
          <w:sz w:val="22"/>
          <w:szCs w:val="22"/>
        </w:rPr>
        <w:t>presents</w:t>
      </w:r>
      <w:r w:rsidRPr="00B04453">
        <w:rPr>
          <w:sz w:val="22"/>
          <w:szCs w:val="22"/>
        </w:rPr>
        <w:t xml:space="preserve"> seasonal variations in Total Suspended Solids (TSS) across different borehole samples in Enugu North LGA</w:t>
      </w:r>
      <w:r w:rsidR="00F20A73">
        <w:rPr>
          <w:sz w:val="22"/>
          <w:szCs w:val="22"/>
        </w:rPr>
        <w:t>, while Figure 7</w:t>
      </w:r>
      <w:r>
        <w:rPr>
          <w:sz w:val="22"/>
          <w:szCs w:val="22"/>
        </w:rPr>
        <w:t xml:space="preserve"> shows the </w:t>
      </w:r>
      <w:r w:rsidR="00F20A73">
        <w:rPr>
          <w:sz w:val="22"/>
          <w:szCs w:val="22"/>
        </w:rPr>
        <w:t>visualization across the sample boreholes</w:t>
      </w:r>
      <w:r w:rsidRPr="00B04453">
        <w:rPr>
          <w:sz w:val="22"/>
          <w:szCs w:val="22"/>
        </w:rPr>
        <w:t>. During the wet season, TSS levels are notably variable among the samples, with some boreholes showing higher concentrations in specific months. Sample 5 recorded the highest TSS values of 80.02 ± 17.264 mg/L in June and 77.17 ± 17.264 mg/L in August, while Sample 1 exhibited a slightly lower concentration of 60.02 ± 17.966 mg/L in June. The results further revealed</w:t>
      </w:r>
      <w:r w:rsidR="003453B9">
        <w:rPr>
          <w:sz w:val="22"/>
          <w:szCs w:val="22"/>
        </w:rPr>
        <w:t xml:space="preserve"> that sample 3 had the lowest T</w:t>
      </w:r>
      <w:r w:rsidRPr="00B04453">
        <w:rPr>
          <w:sz w:val="22"/>
          <w:szCs w:val="22"/>
        </w:rPr>
        <w:t xml:space="preserve">SS levels in August </w:t>
      </w:r>
      <w:r w:rsidRPr="00B04453">
        <w:rPr>
          <w:sz w:val="22"/>
          <w:szCs w:val="22"/>
        </w:rPr>
        <w:lastRenderedPageBreak/>
        <w:t>(25.66 ± 3.785 mg/L). The elevated TSS values observed in some boreholes during the wet season can be attributed to increased runoff from surrounding areas.</w:t>
      </w:r>
    </w:p>
    <w:p w:rsidR="0032672A" w:rsidRPr="00B04453" w:rsidRDefault="0032672A" w:rsidP="0032672A">
      <w:pPr>
        <w:pStyle w:val="NormalWeb"/>
        <w:spacing w:before="0" w:beforeAutospacing="0" w:after="120" w:afterAutospacing="0"/>
        <w:jc w:val="both"/>
        <w:rPr>
          <w:sz w:val="22"/>
          <w:szCs w:val="22"/>
        </w:rPr>
      </w:pPr>
      <w:r w:rsidRPr="00B04453">
        <w:rPr>
          <w:sz w:val="22"/>
          <w:szCs w:val="22"/>
        </w:rPr>
        <w:t>In contrast, the dry season data indicate a general decrease in TSS levels in some boreholes, such as Sample 1, which showed TSS values of 21.24 ± 8.293 mg/L in December and 36.15 ± 8.293 mg/L in January. The results revealed that Sample 8 recorded the highest TSS values of 84.20 ± 17.374 mg/L in November and 66.34 ± 17.374 mg/L in December, with the highest variability in TSS across the dry season in Sample 6.</w:t>
      </w:r>
    </w:p>
    <w:p w:rsidR="0032672A" w:rsidRPr="00B04453" w:rsidRDefault="0032672A" w:rsidP="0032672A">
      <w:pPr>
        <w:pStyle w:val="NormalWeb"/>
        <w:spacing w:before="0" w:beforeAutospacing="0" w:after="120" w:afterAutospacing="0"/>
        <w:jc w:val="both"/>
        <w:rPr>
          <w:b/>
          <w:sz w:val="22"/>
        </w:rPr>
      </w:pPr>
      <w:r w:rsidRPr="00B04453">
        <w:rPr>
          <w:b/>
          <w:sz w:val="22"/>
        </w:rPr>
        <w:t>Table 5. Seasonal Variations in Total Suspended Solids (TSS) in Borehole Water</w:t>
      </w:r>
    </w:p>
    <w:tbl>
      <w:tblPr>
        <w:tblW w:w="9325" w:type="dxa"/>
        <w:tblCellMar>
          <w:top w:w="14" w:type="dxa"/>
          <w:right w:w="48" w:type="dxa"/>
        </w:tblCellMar>
        <w:tblLook w:val="04A0" w:firstRow="1" w:lastRow="0" w:firstColumn="1" w:lastColumn="0" w:noHBand="0" w:noVBand="1"/>
      </w:tblPr>
      <w:tblGrid>
        <w:gridCol w:w="999"/>
        <w:gridCol w:w="1404"/>
        <w:gridCol w:w="1404"/>
        <w:gridCol w:w="1404"/>
        <w:gridCol w:w="1404"/>
        <w:gridCol w:w="1404"/>
        <w:gridCol w:w="1306"/>
      </w:tblGrid>
      <w:tr w:rsidR="0032672A" w:rsidRPr="00211F19" w:rsidTr="0032672A">
        <w:trPr>
          <w:trHeight w:val="84"/>
        </w:trPr>
        <w:tc>
          <w:tcPr>
            <w:tcW w:w="999"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b/>
                <w:sz w:val="18"/>
                <w:szCs w:val="18"/>
              </w:rPr>
              <w:t>TSS (mg/l)</w:t>
            </w:r>
          </w:p>
        </w:tc>
        <w:tc>
          <w:tcPr>
            <w:tcW w:w="4212" w:type="dxa"/>
            <w:gridSpan w:val="3"/>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Wet Season</w:t>
            </w:r>
          </w:p>
        </w:tc>
        <w:tc>
          <w:tcPr>
            <w:tcW w:w="4114" w:type="dxa"/>
            <w:gridSpan w:val="3"/>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Dry Season</w:t>
            </w:r>
          </w:p>
        </w:tc>
      </w:tr>
      <w:tr w:rsidR="0032672A" w:rsidRPr="00211F19" w:rsidTr="0032672A">
        <w:trPr>
          <w:trHeight w:val="56"/>
        </w:trPr>
        <w:tc>
          <w:tcPr>
            <w:tcW w:w="999"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b/>
                <w:sz w:val="18"/>
                <w:szCs w:val="18"/>
              </w:rPr>
              <w:t>Sample</w:t>
            </w:r>
          </w:p>
        </w:tc>
        <w:tc>
          <w:tcPr>
            <w:tcW w:w="1404"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June</w:t>
            </w:r>
          </w:p>
        </w:tc>
        <w:tc>
          <w:tcPr>
            <w:tcW w:w="1404"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July</w:t>
            </w:r>
          </w:p>
        </w:tc>
        <w:tc>
          <w:tcPr>
            <w:tcW w:w="1404"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August</w:t>
            </w:r>
          </w:p>
        </w:tc>
        <w:tc>
          <w:tcPr>
            <w:tcW w:w="1404"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November</w:t>
            </w:r>
          </w:p>
        </w:tc>
        <w:tc>
          <w:tcPr>
            <w:tcW w:w="1404"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December</w:t>
            </w:r>
          </w:p>
        </w:tc>
        <w:tc>
          <w:tcPr>
            <w:tcW w:w="1306" w:type="dxa"/>
            <w:tcBorders>
              <w:top w:val="single" w:sz="4" w:space="0" w:color="000000"/>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b/>
                <w:sz w:val="18"/>
                <w:szCs w:val="18"/>
              </w:rPr>
              <w:t>January</w:t>
            </w:r>
          </w:p>
        </w:tc>
      </w:tr>
      <w:tr w:rsidR="0032672A" w:rsidRPr="00211F19" w:rsidTr="0032672A">
        <w:trPr>
          <w:trHeight w:val="56"/>
        </w:trPr>
        <w:tc>
          <w:tcPr>
            <w:tcW w:w="999" w:type="dxa"/>
            <w:tcBorders>
              <w:top w:val="single" w:sz="4" w:space="0" w:color="000000"/>
              <w:left w:val="nil"/>
              <w:bottom w:val="nil"/>
              <w:right w:val="nil"/>
            </w:tcBorders>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1</w:t>
            </w:r>
          </w:p>
        </w:tc>
        <w:tc>
          <w:tcPr>
            <w:tcW w:w="1404"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60.02±17.966</w:t>
            </w:r>
          </w:p>
        </w:tc>
        <w:tc>
          <w:tcPr>
            <w:tcW w:w="1404"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19.02±17.966</w:t>
            </w:r>
          </w:p>
        </w:tc>
        <w:tc>
          <w:tcPr>
            <w:tcW w:w="1404"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54.02±17.966</w:t>
            </w:r>
          </w:p>
        </w:tc>
        <w:tc>
          <w:tcPr>
            <w:tcW w:w="1404"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38.50±8.293</w:t>
            </w:r>
          </w:p>
        </w:tc>
        <w:tc>
          <w:tcPr>
            <w:tcW w:w="1404"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21.24±8.293</w:t>
            </w:r>
          </w:p>
        </w:tc>
        <w:tc>
          <w:tcPr>
            <w:tcW w:w="1306" w:type="dxa"/>
            <w:tcBorders>
              <w:top w:val="single" w:sz="4" w:space="0" w:color="000000"/>
              <w:left w:val="nil"/>
              <w:bottom w:val="nil"/>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36.15±8.293</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2</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50.09±11.167</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28.01±11.167</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36.70±5.024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46.48±5.024</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41.25±5.024</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3</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41.03±3.785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33.03±3.785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25.66±3.785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49.25±12.581</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21.21±12.581</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28.90±12.581</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40.01±6.872</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30.66±6.872</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72.10±18.640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30.17±18.640</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38.06±18.640</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80.02±17.264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46.59±17.264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77.17±17.264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50.00±2.091</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52.07±2.091</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48.70±2.091</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6</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20.04±21.169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50.14±21.169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10.25±36.350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80.41±36.350</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44.30±36.350</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7</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24.08±14.519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52.06±14.519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47.01±14.519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52.00±4.615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44.58±4.615</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44.00±4.615</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8</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30.05±10.259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50.08±10.259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39.20±10.259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84.20±17.374</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66.34±17.374</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43.21±17.374</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9</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40.09±7.516</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55.15±7.516</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64.28±14.811</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39.10±14.811</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36.00±14.811</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10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20.07±12.220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49.10±12.220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30.03±12.220</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44.55±15.785</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76.00±15.785</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50.10±15.785</w:t>
            </w:r>
          </w:p>
        </w:tc>
      </w:tr>
      <w:tr w:rsidR="0032672A" w:rsidRPr="00211F19" w:rsidTr="0032672A">
        <w:trPr>
          <w:trHeight w:val="66"/>
        </w:trPr>
        <w:tc>
          <w:tcPr>
            <w:tcW w:w="999" w:type="dxa"/>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11</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25.06±8.288</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42.13±8.288</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61.21±8.288</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39.58±6.717</w:t>
            </w:r>
          </w:p>
        </w:tc>
        <w:tc>
          <w:tcPr>
            <w:tcW w:w="1404"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36.00±6.717</w:t>
            </w:r>
          </w:p>
        </w:tc>
        <w:tc>
          <w:tcPr>
            <w:tcW w:w="1306" w:type="dxa"/>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48.00±6.717</w:t>
            </w:r>
          </w:p>
        </w:tc>
      </w:tr>
      <w:tr w:rsidR="0032672A" w:rsidRPr="00211F19" w:rsidTr="0032672A">
        <w:trPr>
          <w:trHeight w:val="66"/>
        </w:trPr>
        <w:tc>
          <w:tcPr>
            <w:tcW w:w="999" w:type="dxa"/>
            <w:tcBorders>
              <w:top w:val="nil"/>
              <w:left w:val="nil"/>
              <w:bottom w:val="single" w:sz="4" w:space="0" w:color="000000"/>
              <w:right w:val="nil"/>
            </w:tcBorders>
            <w:hideMark/>
          </w:tcPr>
          <w:p w:rsidR="0032672A" w:rsidRPr="00211F19" w:rsidRDefault="0032672A" w:rsidP="007910F0">
            <w:pPr>
              <w:spacing w:after="0" w:line="240" w:lineRule="auto"/>
              <w:ind w:left="122"/>
              <w:jc w:val="center"/>
              <w:rPr>
                <w:rFonts w:ascii="Times New Roman" w:hAnsi="Times New Roman" w:cs="Times New Roman"/>
                <w:sz w:val="18"/>
                <w:szCs w:val="18"/>
              </w:rPr>
            </w:pPr>
            <w:r w:rsidRPr="00211F19">
              <w:rPr>
                <w:rFonts w:ascii="Times New Roman" w:hAnsi="Times New Roman" w:cs="Times New Roman"/>
                <w:sz w:val="18"/>
                <w:szCs w:val="18"/>
              </w:rPr>
              <w:t>12</w:t>
            </w:r>
          </w:p>
        </w:tc>
        <w:tc>
          <w:tcPr>
            <w:tcW w:w="1404"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34.08±14.504</w:t>
            </w:r>
          </w:p>
        </w:tc>
        <w:tc>
          <w:tcPr>
            <w:tcW w:w="1404"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60.06±14.504</w:t>
            </w:r>
          </w:p>
        </w:tc>
        <w:tc>
          <w:tcPr>
            <w:tcW w:w="1404"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60.02±14.504</w:t>
            </w:r>
          </w:p>
        </w:tc>
        <w:tc>
          <w:tcPr>
            <w:tcW w:w="1404"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58.79±12.609</w:t>
            </w:r>
          </w:p>
        </w:tc>
        <w:tc>
          <w:tcPr>
            <w:tcW w:w="1404"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28.14±12.609</w:t>
            </w:r>
          </w:p>
        </w:tc>
        <w:tc>
          <w:tcPr>
            <w:tcW w:w="1306" w:type="dxa"/>
            <w:tcBorders>
              <w:top w:val="nil"/>
              <w:left w:val="nil"/>
              <w:bottom w:val="single" w:sz="4" w:space="0" w:color="000000"/>
              <w:right w:val="nil"/>
            </w:tcBorders>
            <w:hideMark/>
          </w:tcPr>
          <w:p w:rsidR="0032672A" w:rsidRPr="00211F19" w:rsidRDefault="0032672A" w:rsidP="007910F0">
            <w:pPr>
              <w:spacing w:after="0" w:line="240" w:lineRule="auto"/>
              <w:jc w:val="center"/>
              <w:rPr>
                <w:rFonts w:ascii="Times New Roman" w:hAnsi="Times New Roman" w:cs="Times New Roman"/>
                <w:sz w:val="18"/>
                <w:szCs w:val="18"/>
              </w:rPr>
            </w:pPr>
            <w:r w:rsidRPr="00211F19">
              <w:rPr>
                <w:rFonts w:ascii="Times New Roman" w:hAnsi="Times New Roman" w:cs="Times New Roman"/>
                <w:sz w:val="18"/>
                <w:szCs w:val="18"/>
              </w:rPr>
              <w:t>52.24±12.609</w:t>
            </w:r>
          </w:p>
        </w:tc>
      </w:tr>
    </w:tbl>
    <w:p w:rsidR="0032672A" w:rsidRDefault="0032672A" w:rsidP="0032672A">
      <w:pPr>
        <w:pStyle w:val="NormalWeb"/>
        <w:spacing w:before="0" w:beforeAutospacing="0" w:after="120" w:afterAutospacing="0"/>
        <w:jc w:val="both"/>
        <w:rPr>
          <w:sz w:val="22"/>
        </w:rPr>
      </w:pPr>
    </w:p>
    <w:p w:rsidR="0032672A" w:rsidRDefault="0032672A" w:rsidP="0032672A">
      <w:pPr>
        <w:pStyle w:val="NormalWeb"/>
        <w:spacing w:before="0" w:beforeAutospacing="0" w:after="120" w:afterAutospacing="0"/>
        <w:jc w:val="both"/>
        <w:rPr>
          <w:sz w:val="22"/>
        </w:rPr>
      </w:pPr>
      <w:r>
        <w:rPr>
          <w:sz w:val="22"/>
        </w:rPr>
        <w:t>Table 6</w:t>
      </w:r>
      <w:r w:rsidRPr="007A681E">
        <w:rPr>
          <w:sz w:val="22"/>
        </w:rPr>
        <w:t xml:space="preserve"> presents the seasonal variations in Total Dissolved Solids (TDS) across different boreholes, which are visualized </w:t>
      </w:r>
      <w:r w:rsidR="007910F0">
        <w:rPr>
          <w:sz w:val="22"/>
        </w:rPr>
        <w:t>in Figure 8</w:t>
      </w:r>
      <w:r w:rsidRPr="007A681E">
        <w:rPr>
          <w:sz w:val="22"/>
        </w:rPr>
        <w:t>. In the wet season, TDS values are generally lower in many borehole samples, indicating a dilution effect due to increased rainfall and groundwater recharge. For instance, Sample 1 recorded TDS values of 11.50 ± 10.227 mg/L in June and 15.87 ± 10.227 mg/L in August, which are significantly lower than the corresponding values in the dry season. Similarly, Sample 3 showed a TDS concentration of 9.25 ± 11.227 mg/L in June, rising slightly to 30.54 ± 11.227 mg/L in August, suggesting some localized factors influencing TDS levels even during the wet season.</w:t>
      </w:r>
    </w:p>
    <w:p w:rsidR="0032672A" w:rsidRDefault="0032672A" w:rsidP="0032672A">
      <w:pPr>
        <w:pStyle w:val="NormalWeb"/>
        <w:spacing w:before="0" w:beforeAutospacing="0" w:after="120" w:afterAutospacing="0"/>
        <w:jc w:val="both"/>
        <w:rPr>
          <w:sz w:val="22"/>
        </w:rPr>
      </w:pPr>
      <w:r w:rsidRPr="007A681E">
        <w:rPr>
          <w:sz w:val="22"/>
        </w:rPr>
        <w:t>Conversely, the dry season exhibits consistently higher TDS concentrations across most borehole samples. For example, Sample 4 recorded TDS levels of 72.10 ± 17.638 mg/L in November and 38.06 ± 17.638 mg/L in January. The elevated TDS levels during this period are likely due to the reduced dilution effect from rainfall, coupled with increased evaporation rates and potential concentration of dissolved ions in the aquifers.</w:t>
      </w:r>
      <w:r>
        <w:rPr>
          <w:sz w:val="22"/>
        </w:rPr>
        <w:t xml:space="preserve"> The highest variation was seen in sample 6 across the dry season.</w:t>
      </w:r>
    </w:p>
    <w:p w:rsidR="0032672A" w:rsidRPr="001122A4" w:rsidRDefault="0032672A" w:rsidP="0032672A">
      <w:pPr>
        <w:pStyle w:val="NormalWeb"/>
        <w:spacing w:before="0" w:beforeAutospacing="0" w:after="120" w:afterAutospacing="0"/>
        <w:jc w:val="both"/>
        <w:rPr>
          <w:sz w:val="20"/>
        </w:rPr>
      </w:pPr>
      <w:r>
        <w:rPr>
          <w:sz w:val="22"/>
        </w:rPr>
        <w:t xml:space="preserve">The results also showed that all the Total Dissolved Solids (TDS) in Borehole Water samples fell below the WHO standard (&lt; 1000mg/L), indicating they are good for drinking.  </w:t>
      </w:r>
      <w:r w:rsidR="008F24EF">
        <w:rPr>
          <w:sz w:val="22"/>
        </w:rPr>
        <w:t>Although the EC values in Table 4 exceed WHO guideline, with the values of TDS values within the WHO specification of 1000 mg/L, there is possibility of discrepancy in ion composition, which warrants further investigation into specific ion concentrations and calibration checks</w:t>
      </w:r>
    </w:p>
    <w:p w:rsidR="0032672A" w:rsidRPr="006743BF" w:rsidRDefault="0032672A" w:rsidP="0032672A">
      <w:pPr>
        <w:pStyle w:val="NormalWeb"/>
        <w:spacing w:before="0" w:beforeAutospacing="0" w:after="120" w:afterAutospacing="0"/>
        <w:jc w:val="both"/>
        <w:rPr>
          <w:b/>
          <w:sz w:val="22"/>
        </w:rPr>
      </w:pPr>
      <w:r w:rsidRPr="006743BF">
        <w:rPr>
          <w:b/>
          <w:sz w:val="22"/>
        </w:rPr>
        <w:t>Table 6. Seasonal Variations in Total Dissolved Solids (TDS) in Borehole Water and Comparison with WHO Standard</w:t>
      </w:r>
    </w:p>
    <w:tbl>
      <w:tblPr>
        <w:tblW w:w="9360" w:type="dxa"/>
        <w:tblCellMar>
          <w:top w:w="14" w:type="dxa"/>
          <w:right w:w="60" w:type="dxa"/>
        </w:tblCellMar>
        <w:tblLook w:val="04A0" w:firstRow="1" w:lastRow="0" w:firstColumn="1" w:lastColumn="0" w:noHBand="0" w:noVBand="1"/>
      </w:tblPr>
      <w:tblGrid>
        <w:gridCol w:w="1171"/>
        <w:gridCol w:w="1167"/>
        <w:gridCol w:w="1167"/>
        <w:gridCol w:w="1167"/>
        <w:gridCol w:w="1167"/>
        <w:gridCol w:w="1167"/>
        <w:gridCol w:w="1167"/>
        <w:gridCol w:w="1187"/>
      </w:tblGrid>
      <w:tr w:rsidR="0032672A" w:rsidRPr="00531F4F" w:rsidTr="0032672A">
        <w:trPr>
          <w:trHeight w:val="67"/>
        </w:trPr>
        <w:tc>
          <w:tcPr>
            <w:tcW w:w="1063"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ind w:left="122"/>
              <w:jc w:val="center"/>
              <w:rPr>
                <w:rFonts w:ascii="Times New Roman" w:hAnsi="Times New Roman" w:cs="Times New Roman"/>
                <w:sz w:val="18"/>
                <w:szCs w:val="18"/>
              </w:rPr>
            </w:pPr>
            <w:r>
              <w:rPr>
                <w:rFonts w:ascii="Times New Roman" w:hAnsi="Times New Roman" w:cs="Times New Roman"/>
                <w:b/>
                <w:sz w:val="18"/>
                <w:szCs w:val="18"/>
              </w:rPr>
              <w:t>TDS</w:t>
            </w:r>
            <w:r w:rsidRPr="00531F4F">
              <w:rPr>
                <w:rFonts w:ascii="Times New Roman" w:hAnsi="Times New Roman" w:cs="Times New Roman"/>
                <w:b/>
                <w:sz w:val="18"/>
                <w:szCs w:val="18"/>
              </w:rPr>
              <w:t>(mg/L)</w:t>
            </w:r>
          </w:p>
        </w:tc>
        <w:tc>
          <w:tcPr>
            <w:tcW w:w="3298" w:type="dxa"/>
            <w:gridSpan w:val="3"/>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Wet Season</w:t>
            </w:r>
          </w:p>
        </w:tc>
        <w:tc>
          <w:tcPr>
            <w:tcW w:w="3262" w:type="dxa"/>
            <w:gridSpan w:val="3"/>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Dry Season</w:t>
            </w:r>
          </w:p>
        </w:tc>
        <w:tc>
          <w:tcPr>
            <w:tcW w:w="1737" w:type="dxa"/>
            <w:tcBorders>
              <w:top w:val="single" w:sz="4" w:space="0" w:color="000000"/>
              <w:left w:val="nil"/>
              <w:bottom w:val="single" w:sz="4" w:space="0" w:color="000000"/>
              <w:right w:val="nil"/>
            </w:tcBorders>
          </w:tcPr>
          <w:p w:rsidR="0032672A" w:rsidRPr="00531F4F" w:rsidRDefault="0032672A" w:rsidP="003F041E">
            <w:pPr>
              <w:spacing w:after="0" w:line="240" w:lineRule="auto"/>
              <w:jc w:val="center"/>
              <w:rPr>
                <w:rFonts w:ascii="Times New Roman" w:hAnsi="Times New Roman" w:cs="Times New Roman"/>
                <w:sz w:val="18"/>
                <w:szCs w:val="18"/>
              </w:rPr>
            </w:pPr>
          </w:p>
        </w:tc>
      </w:tr>
      <w:tr w:rsidR="0032672A" w:rsidRPr="00531F4F" w:rsidTr="0032672A">
        <w:trPr>
          <w:trHeight w:val="67"/>
        </w:trPr>
        <w:tc>
          <w:tcPr>
            <w:tcW w:w="1063"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b/>
                <w:sz w:val="18"/>
                <w:szCs w:val="18"/>
              </w:rPr>
              <w:t>Sample</w:t>
            </w:r>
          </w:p>
        </w:tc>
        <w:tc>
          <w:tcPr>
            <w:tcW w:w="1098"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June</w:t>
            </w:r>
          </w:p>
        </w:tc>
        <w:tc>
          <w:tcPr>
            <w:tcW w:w="1095"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July</w:t>
            </w:r>
          </w:p>
        </w:tc>
        <w:tc>
          <w:tcPr>
            <w:tcW w:w="1105"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August</w:t>
            </w:r>
          </w:p>
        </w:tc>
        <w:tc>
          <w:tcPr>
            <w:tcW w:w="1098"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November</w:t>
            </w:r>
          </w:p>
        </w:tc>
        <w:tc>
          <w:tcPr>
            <w:tcW w:w="1098"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December</w:t>
            </w:r>
          </w:p>
        </w:tc>
        <w:tc>
          <w:tcPr>
            <w:tcW w:w="1066" w:type="dxa"/>
            <w:tcBorders>
              <w:top w:val="single" w:sz="4" w:space="0" w:color="000000"/>
              <w:left w:val="nil"/>
              <w:bottom w:val="single" w:sz="4" w:space="0" w:color="000000"/>
              <w:right w:val="nil"/>
            </w:tcBorders>
            <w:hideMark/>
          </w:tcPr>
          <w:p w:rsidR="0032672A" w:rsidRPr="00531F4F" w:rsidRDefault="0032672A" w:rsidP="003F041E">
            <w:pPr>
              <w:spacing w:after="0" w:line="240" w:lineRule="auto"/>
              <w:jc w:val="center"/>
              <w:rPr>
                <w:rFonts w:ascii="Times New Roman" w:hAnsi="Times New Roman" w:cs="Times New Roman"/>
                <w:sz w:val="18"/>
                <w:szCs w:val="18"/>
              </w:rPr>
            </w:pPr>
            <w:r w:rsidRPr="00531F4F">
              <w:rPr>
                <w:rFonts w:ascii="Times New Roman" w:hAnsi="Times New Roman" w:cs="Times New Roman"/>
                <w:b/>
                <w:sz w:val="18"/>
                <w:szCs w:val="18"/>
              </w:rPr>
              <w:t>January</w:t>
            </w:r>
          </w:p>
        </w:tc>
        <w:tc>
          <w:tcPr>
            <w:tcW w:w="1737" w:type="dxa"/>
            <w:tcBorders>
              <w:top w:val="single" w:sz="4" w:space="0" w:color="000000"/>
              <w:left w:val="nil"/>
              <w:bottom w:val="single" w:sz="4" w:space="0" w:color="000000"/>
              <w:right w:val="nil"/>
            </w:tcBorders>
          </w:tcPr>
          <w:p w:rsidR="0032672A" w:rsidRDefault="0032672A" w:rsidP="003F041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WHO Standard</w:t>
            </w:r>
          </w:p>
          <w:p w:rsidR="0032672A" w:rsidRPr="00531F4F" w:rsidRDefault="0032672A" w:rsidP="003F041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(&lt; 1000mg/L)</w:t>
            </w:r>
          </w:p>
        </w:tc>
      </w:tr>
      <w:tr w:rsidR="0032672A" w:rsidRPr="00531F4F" w:rsidTr="0032672A">
        <w:trPr>
          <w:trHeight w:val="95"/>
        </w:trPr>
        <w:tc>
          <w:tcPr>
            <w:tcW w:w="1063" w:type="dxa"/>
            <w:tcBorders>
              <w:top w:val="single" w:sz="4" w:space="0" w:color="000000"/>
              <w:left w:val="nil"/>
              <w:bottom w:val="nil"/>
              <w:right w:val="nil"/>
            </w:tcBorders>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1</w:t>
            </w:r>
          </w:p>
        </w:tc>
        <w:tc>
          <w:tcPr>
            <w:tcW w:w="1098"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11.50±10.227</w:t>
            </w:r>
          </w:p>
        </w:tc>
        <w:tc>
          <w:tcPr>
            <w:tcW w:w="1095"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31.24±10.227</w:t>
            </w:r>
          </w:p>
        </w:tc>
        <w:tc>
          <w:tcPr>
            <w:tcW w:w="1105"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15.87±10.227</w:t>
            </w:r>
          </w:p>
        </w:tc>
        <w:tc>
          <w:tcPr>
            <w:tcW w:w="1098"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38.50±8.471</w:t>
            </w:r>
          </w:p>
        </w:tc>
        <w:tc>
          <w:tcPr>
            <w:tcW w:w="1098"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21.24±8.471</w:t>
            </w:r>
          </w:p>
        </w:tc>
        <w:tc>
          <w:tcPr>
            <w:tcW w:w="1066" w:type="dxa"/>
            <w:tcBorders>
              <w:top w:val="single" w:sz="4" w:space="0" w:color="000000"/>
              <w:left w:val="nil"/>
              <w:bottom w:val="nil"/>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36.15±8.471</w:t>
            </w:r>
          </w:p>
        </w:tc>
        <w:tc>
          <w:tcPr>
            <w:tcW w:w="1737" w:type="dxa"/>
            <w:tcBorders>
              <w:top w:val="single" w:sz="4" w:space="0" w:color="000000"/>
              <w:left w:val="nil"/>
              <w:bottom w:val="nil"/>
              <w:right w:val="nil"/>
            </w:tcBorders>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2</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16.70±13.654</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36.48±13.654</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10.08±13.654</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36.70±4.903</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46.48±4.903</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41.25±4.903</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3</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9.25±11.227</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10.21±11.227</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30.54±11.227</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49.25±11.723</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21.21±11.723</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28.90±11.723</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lastRenderedPageBreak/>
              <w:t>4</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42.10±13.721</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10.12±13.721</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22.12±13.721</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72.10±17.638</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30.17±17.638</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38.06±17.638</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5</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40.00±10.062</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30.10±10.062</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20.11±10.062</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50.00±2.072</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52.07±2.072</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48.70±2.072</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6</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16.25±19.337</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49.23±19.337</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12.78±19.337</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10.25±36.189</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80.41±36.189</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44.30±36.189</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7</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15.00±1.888</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14.66±1.888</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11.14±1.888</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52.00±4.307</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44.58±4.307</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44.00±4.307</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8</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15.20±2.544</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10.85±2.544</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9.78±2.544</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84.20±17.524</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66.34±17.524</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43.21±17.524</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9</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10.28±21.600</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52.31±21.600</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11.74±21.600</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64.28±14.094</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39.10±14.094</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36.00±14.094</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10</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10.55±15.688</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40.21±15.688</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14.00±15.688</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44.55±16.040</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76.00±16.040</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50.10±16.040</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11</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9.58±11.377</w:t>
            </w:r>
          </w:p>
        </w:tc>
        <w:tc>
          <w:tcPr>
            <w:tcW w:w="109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30.17±11.377</w:t>
            </w:r>
          </w:p>
        </w:tc>
        <w:tc>
          <w:tcPr>
            <w:tcW w:w="1105"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30.21±11.377</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39.58±6.503</w:t>
            </w:r>
          </w:p>
        </w:tc>
        <w:tc>
          <w:tcPr>
            <w:tcW w:w="1098"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36.00±6.503</w:t>
            </w:r>
          </w:p>
        </w:tc>
        <w:tc>
          <w:tcPr>
            <w:tcW w:w="1066" w:type="dxa"/>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48.00±6.503</w:t>
            </w:r>
          </w:p>
        </w:tc>
        <w:tc>
          <w:tcPr>
            <w:tcW w:w="1737" w:type="dxa"/>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r w:rsidR="0032672A" w:rsidRPr="00531F4F" w:rsidTr="0032672A">
        <w:trPr>
          <w:trHeight w:val="112"/>
        </w:trPr>
        <w:tc>
          <w:tcPr>
            <w:tcW w:w="1063" w:type="dxa"/>
            <w:tcBorders>
              <w:top w:val="nil"/>
              <w:left w:val="nil"/>
              <w:bottom w:val="single" w:sz="4" w:space="0" w:color="000000"/>
              <w:right w:val="nil"/>
            </w:tcBorders>
            <w:hideMark/>
          </w:tcPr>
          <w:p w:rsidR="0032672A" w:rsidRPr="00531F4F" w:rsidRDefault="0032672A" w:rsidP="003F041E">
            <w:pPr>
              <w:spacing w:after="0" w:line="240" w:lineRule="auto"/>
              <w:ind w:left="122"/>
              <w:jc w:val="center"/>
              <w:rPr>
                <w:rFonts w:ascii="Times New Roman" w:hAnsi="Times New Roman" w:cs="Times New Roman"/>
                <w:sz w:val="18"/>
                <w:szCs w:val="18"/>
              </w:rPr>
            </w:pPr>
            <w:r w:rsidRPr="00531F4F">
              <w:rPr>
                <w:rFonts w:ascii="Times New Roman" w:hAnsi="Times New Roman" w:cs="Times New Roman"/>
                <w:sz w:val="18"/>
                <w:szCs w:val="18"/>
              </w:rPr>
              <w:t>12</w:t>
            </w:r>
          </w:p>
        </w:tc>
        <w:tc>
          <w:tcPr>
            <w:tcW w:w="1098"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8.79±11.029</w:t>
            </w:r>
          </w:p>
        </w:tc>
        <w:tc>
          <w:tcPr>
            <w:tcW w:w="1095"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9.99±11.029</w:t>
            </w:r>
          </w:p>
        </w:tc>
        <w:tc>
          <w:tcPr>
            <w:tcW w:w="1105"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29.10±11.029</w:t>
            </w:r>
          </w:p>
        </w:tc>
        <w:tc>
          <w:tcPr>
            <w:tcW w:w="1098"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58.79±12.608</w:t>
            </w:r>
          </w:p>
        </w:tc>
        <w:tc>
          <w:tcPr>
            <w:tcW w:w="1098"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28.14±12.608</w:t>
            </w:r>
          </w:p>
        </w:tc>
        <w:tc>
          <w:tcPr>
            <w:tcW w:w="1066" w:type="dxa"/>
            <w:tcBorders>
              <w:top w:val="nil"/>
              <w:left w:val="nil"/>
              <w:bottom w:val="single" w:sz="4" w:space="0" w:color="000000"/>
              <w:right w:val="nil"/>
            </w:tcBorders>
            <w:hideMark/>
          </w:tcPr>
          <w:p w:rsidR="0032672A" w:rsidRPr="00645971" w:rsidRDefault="0032672A" w:rsidP="003F041E">
            <w:pPr>
              <w:spacing w:after="0" w:line="240" w:lineRule="auto"/>
              <w:jc w:val="center"/>
              <w:rPr>
                <w:rFonts w:ascii="Times New Roman" w:hAnsi="Times New Roman" w:cs="Times New Roman"/>
                <w:sz w:val="18"/>
                <w:szCs w:val="18"/>
              </w:rPr>
            </w:pPr>
            <w:r w:rsidRPr="00645971">
              <w:rPr>
                <w:rFonts w:ascii="Times New Roman" w:hAnsi="Times New Roman" w:cs="Times New Roman"/>
                <w:sz w:val="18"/>
                <w:szCs w:val="18"/>
              </w:rPr>
              <w:t>52.24±12.608</w:t>
            </w:r>
          </w:p>
        </w:tc>
        <w:tc>
          <w:tcPr>
            <w:tcW w:w="1737" w:type="dxa"/>
            <w:tcBorders>
              <w:top w:val="nil"/>
              <w:left w:val="nil"/>
              <w:bottom w:val="single" w:sz="4" w:space="0" w:color="000000"/>
              <w:right w:val="nil"/>
            </w:tcBorders>
          </w:tcPr>
          <w:p w:rsidR="0032672A" w:rsidRPr="00531F4F" w:rsidRDefault="0032672A" w:rsidP="003F041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32672A" w:rsidRDefault="0032672A" w:rsidP="0032672A">
      <w:pPr>
        <w:pStyle w:val="NormalWeb"/>
        <w:spacing w:before="0" w:beforeAutospacing="0" w:after="120" w:afterAutospacing="0"/>
        <w:jc w:val="both"/>
        <w:rPr>
          <w:sz w:val="22"/>
        </w:rPr>
      </w:pPr>
    </w:p>
    <w:p w:rsidR="0032672A" w:rsidRPr="007A681E" w:rsidRDefault="0032672A" w:rsidP="0032672A">
      <w:pPr>
        <w:pStyle w:val="NormalWeb"/>
        <w:spacing w:before="0" w:beforeAutospacing="0" w:after="120" w:afterAutospacing="0"/>
        <w:jc w:val="both"/>
        <w:rPr>
          <w:b/>
          <w:sz w:val="22"/>
        </w:rPr>
      </w:pPr>
      <w:r w:rsidRPr="007A681E">
        <w:rPr>
          <w:b/>
          <w:sz w:val="22"/>
        </w:rPr>
        <w:t>Statistical Test Results for Comparison of Physical Water Quality during Wet and Dry Seasons</w:t>
      </w:r>
    </w:p>
    <w:p w:rsidR="0032672A" w:rsidRDefault="0032672A" w:rsidP="0032672A">
      <w:pPr>
        <w:pStyle w:val="NormalWeb"/>
        <w:spacing w:before="0" w:beforeAutospacing="0" w:after="120" w:afterAutospacing="0"/>
        <w:jc w:val="both"/>
        <w:rPr>
          <w:sz w:val="22"/>
        </w:rPr>
      </w:pPr>
      <w:r w:rsidRPr="007A681E">
        <w:rPr>
          <w:b/>
          <w:sz w:val="22"/>
        </w:rPr>
        <w:t>Table 7. Paired Sample t-test Results Comparing the Physical Water Quality during Wet and Dry Seasons</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32672A" w:rsidRPr="00F30BB3" w:rsidTr="0032672A">
        <w:tc>
          <w:tcPr>
            <w:tcW w:w="2337" w:type="dxa"/>
            <w:tcBorders>
              <w:top w:val="single" w:sz="4" w:space="0" w:color="auto"/>
              <w:bottom w:val="single" w:sz="4" w:space="0" w:color="auto"/>
            </w:tcBorders>
          </w:tcPr>
          <w:p w:rsidR="0032672A" w:rsidRPr="00F30BB3" w:rsidRDefault="0032672A" w:rsidP="0032672A">
            <w:pPr>
              <w:pStyle w:val="NormalWeb"/>
              <w:spacing w:before="0" w:beforeAutospacing="0" w:after="0" w:afterAutospacing="0"/>
              <w:jc w:val="both"/>
              <w:rPr>
                <w:sz w:val="20"/>
              </w:rPr>
            </w:pPr>
            <w:r>
              <w:rPr>
                <w:sz w:val="20"/>
              </w:rPr>
              <w:t xml:space="preserve">Parameter </w:t>
            </w:r>
          </w:p>
        </w:tc>
        <w:tc>
          <w:tcPr>
            <w:tcW w:w="2337" w:type="dxa"/>
            <w:tcBorders>
              <w:top w:val="single" w:sz="4" w:space="0" w:color="auto"/>
              <w:bottom w:val="single" w:sz="4" w:space="0" w:color="auto"/>
            </w:tcBorders>
          </w:tcPr>
          <w:p w:rsidR="0032672A" w:rsidRPr="00F30BB3" w:rsidRDefault="0032672A" w:rsidP="0032672A">
            <w:pPr>
              <w:pStyle w:val="NormalWeb"/>
              <w:spacing w:before="0" w:beforeAutospacing="0" w:after="0" w:afterAutospacing="0"/>
              <w:jc w:val="both"/>
              <w:rPr>
                <w:sz w:val="20"/>
              </w:rPr>
            </w:pPr>
            <w:r>
              <w:rPr>
                <w:sz w:val="20"/>
              </w:rPr>
              <w:t>T value</w:t>
            </w:r>
          </w:p>
        </w:tc>
        <w:tc>
          <w:tcPr>
            <w:tcW w:w="2338" w:type="dxa"/>
            <w:tcBorders>
              <w:top w:val="single" w:sz="4" w:space="0" w:color="auto"/>
              <w:bottom w:val="single" w:sz="4" w:space="0" w:color="auto"/>
            </w:tcBorders>
          </w:tcPr>
          <w:p w:rsidR="0032672A" w:rsidRPr="00F30BB3" w:rsidRDefault="0032672A" w:rsidP="0032672A">
            <w:pPr>
              <w:pStyle w:val="NormalWeb"/>
              <w:spacing w:before="0" w:beforeAutospacing="0" w:after="0" w:afterAutospacing="0"/>
              <w:jc w:val="both"/>
              <w:rPr>
                <w:sz w:val="20"/>
              </w:rPr>
            </w:pPr>
            <w:r>
              <w:rPr>
                <w:sz w:val="20"/>
              </w:rPr>
              <w:t>Mean difference</w:t>
            </w:r>
          </w:p>
        </w:tc>
        <w:tc>
          <w:tcPr>
            <w:tcW w:w="2338" w:type="dxa"/>
            <w:tcBorders>
              <w:top w:val="single" w:sz="4" w:space="0" w:color="auto"/>
              <w:bottom w:val="single" w:sz="4" w:space="0" w:color="auto"/>
            </w:tcBorders>
          </w:tcPr>
          <w:p w:rsidR="0032672A" w:rsidRPr="00F30BB3" w:rsidRDefault="0032672A" w:rsidP="0032672A">
            <w:pPr>
              <w:pStyle w:val="NormalWeb"/>
              <w:spacing w:before="0" w:beforeAutospacing="0" w:after="0" w:afterAutospacing="0"/>
              <w:jc w:val="both"/>
              <w:rPr>
                <w:sz w:val="20"/>
              </w:rPr>
            </w:pPr>
            <w:r>
              <w:rPr>
                <w:sz w:val="20"/>
              </w:rPr>
              <w:t>p-value</w:t>
            </w:r>
          </w:p>
        </w:tc>
      </w:tr>
      <w:tr w:rsidR="0032672A" w:rsidRPr="00F30BB3" w:rsidTr="0032672A">
        <w:tc>
          <w:tcPr>
            <w:tcW w:w="2337" w:type="dxa"/>
            <w:tcBorders>
              <w:top w:val="single" w:sz="4" w:space="0" w:color="auto"/>
              <w:bottom w:val="nil"/>
            </w:tcBorders>
          </w:tcPr>
          <w:p w:rsidR="0032672A" w:rsidRPr="00F30BB3" w:rsidRDefault="0032672A" w:rsidP="0032672A">
            <w:pPr>
              <w:pStyle w:val="NormalWeb"/>
              <w:spacing w:before="0" w:beforeAutospacing="0" w:after="0" w:afterAutospacing="0"/>
              <w:jc w:val="both"/>
              <w:rPr>
                <w:sz w:val="20"/>
              </w:rPr>
            </w:pPr>
            <w:r>
              <w:rPr>
                <w:sz w:val="20"/>
              </w:rPr>
              <w:t>pH</w:t>
            </w:r>
          </w:p>
        </w:tc>
        <w:tc>
          <w:tcPr>
            <w:tcW w:w="2337" w:type="dxa"/>
            <w:tcBorders>
              <w:top w:val="single" w:sz="4" w:space="0" w:color="auto"/>
              <w:bottom w:val="nil"/>
            </w:tcBorders>
          </w:tcPr>
          <w:p w:rsidR="0032672A" w:rsidRPr="00F30BB3" w:rsidRDefault="0032672A" w:rsidP="0032672A">
            <w:pPr>
              <w:pStyle w:val="NormalWeb"/>
              <w:spacing w:before="0" w:beforeAutospacing="0" w:after="0" w:afterAutospacing="0"/>
              <w:jc w:val="both"/>
              <w:rPr>
                <w:sz w:val="20"/>
              </w:rPr>
            </w:pPr>
            <w:r>
              <w:rPr>
                <w:sz w:val="20"/>
              </w:rPr>
              <w:t>-1.363</w:t>
            </w:r>
          </w:p>
        </w:tc>
        <w:tc>
          <w:tcPr>
            <w:tcW w:w="2338" w:type="dxa"/>
            <w:tcBorders>
              <w:top w:val="single" w:sz="4" w:space="0" w:color="auto"/>
              <w:bottom w:val="nil"/>
            </w:tcBorders>
          </w:tcPr>
          <w:p w:rsidR="0032672A" w:rsidRPr="00F30BB3" w:rsidRDefault="0032672A" w:rsidP="0032672A">
            <w:pPr>
              <w:pStyle w:val="NormalWeb"/>
              <w:spacing w:before="0" w:beforeAutospacing="0" w:after="0" w:afterAutospacing="0"/>
              <w:jc w:val="both"/>
              <w:rPr>
                <w:sz w:val="20"/>
              </w:rPr>
            </w:pPr>
            <w:r>
              <w:rPr>
                <w:sz w:val="20"/>
              </w:rPr>
              <w:t>-0.396</w:t>
            </w:r>
          </w:p>
        </w:tc>
        <w:tc>
          <w:tcPr>
            <w:tcW w:w="2338" w:type="dxa"/>
            <w:tcBorders>
              <w:top w:val="single" w:sz="4" w:space="0" w:color="auto"/>
              <w:bottom w:val="nil"/>
            </w:tcBorders>
          </w:tcPr>
          <w:p w:rsidR="0032672A" w:rsidRPr="00F30BB3" w:rsidRDefault="0032672A" w:rsidP="0032672A">
            <w:pPr>
              <w:pStyle w:val="NormalWeb"/>
              <w:spacing w:before="0" w:beforeAutospacing="0" w:after="0" w:afterAutospacing="0"/>
              <w:jc w:val="both"/>
              <w:rPr>
                <w:sz w:val="20"/>
              </w:rPr>
            </w:pPr>
            <w:r>
              <w:rPr>
                <w:sz w:val="20"/>
              </w:rPr>
              <w:t>0.182</w:t>
            </w:r>
          </w:p>
        </w:tc>
      </w:tr>
      <w:tr w:rsidR="0032672A" w:rsidRPr="00F30BB3" w:rsidTr="0032672A">
        <w:tc>
          <w:tcPr>
            <w:tcW w:w="2337" w:type="dxa"/>
            <w:tcBorders>
              <w:top w:val="nil"/>
            </w:tcBorders>
          </w:tcPr>
          <w:p w:rsidR="0032672A" w:rsidRPr="00F30BB3" w:rsidRDefault="0032672A" w:rsidP="0032672A">
            <w:pPr>
              <w:pStyle w:val="NormalWeb"/>
              <w:spacing w:before="0" w:beforeAutospacing="0" w:after="0" w:afterAutospacing="0"/>
              <w:jc w:val="both"/>
              <w:rPr>
                <w:sz w:val="20"/>
              </w:rPr>
            </w:pPr>
            <w:r>
              <w:rPr>
                <w:sz w:val="20"/>
              </w:rPr>
              <w:t xml:space="preserve">Temperature </w:t>
            </w:r>
          </w:p>
        </w:tc>
        <w:tc>
          <w:tcPr>
            <w:tcW w:w="2337" w:type="dxa"/>
            <w:tcBorders>
              <w:top w:val="nil"/>
            </w:tcBorders>
          </w:tcPr>
          <w:p w:rsidR="0032672A" w:rsidRPr="00F30BB3" w:rsidRDefault="0032672A" w:rsidP="0032672A">
            <w:pPr>
              <w:pStyle w:val="NormalWeb"/>
              <w:spacing w:before="0" w:beforeAutospacing="0" w:after="0" w:afterAutospacing="0"/>
              <w:jc w:val="both"/>
              <w:rPr>
                <w:sz w:val="20"/>
              </w:rPr>
            </w:pPr>
            <w:r>
              <w:rPr>
                <w:sz w:val="20"/>
              </w:rPr>
              <w:t>-6.276</w:t>
            </w:r>
          </w:p>
        </w:tc>
        <w:tc>
          <w:tcPr>
            <w:tcW w:w="2338" w:type="dxa"/>
            <w:tcBorders>
              <w:top w:val="nil"/>
            </w:tcBorders>
          </w:tcPr>
          <w:p w:rsidR="0032672A" w:rsidRPr="00F30BB3" w:rsidRDefault="0032672A" w:rsidP="0032672A">
            <w:pPr>
              <w:pStyle w:val="NormalWeb"/>
              <w:spacing w:before="0" w:beforeAutospacing="0" w:after="0" w:afterAutospacing="0"/>
              <w:jc w:val="both"/>
              <w:rPr>
                <w:sz w:val="20"/>
              </w:rPr>
            </w:pPr>
            <w:r>
              <w:rPr>
                <w:sz w:val="20"/>
              </w:rPr>
              <w:t>-1.306</w:t>
            </w:r>
          </w:p>
        </w:tc>
        <w:tc>
          <w:tcPr>
            <w:tcW w:w="2338" w:type="dxa"/>
            <w:tcBorders>
              <w:top w:val="nil"/>
            </w:tcBorders>
          </w:tcPr>
          <w:p w:rsidR="0032672A" w:rsidRPr="00F30BB3" w:rsidRDefault="0032672A" w:rsidP="0032672A">
            <w:pPr>
              <w:pStyle w:val="NormalWeb"/>
              <w:spacing w:before="0" w:beforeAutospacing="0" w:after="0" w:afterAutospacing="0"/>
              <w:jc w:val="both"/>
              <w:rPr>
                <w:sz w:val="20"/>
              </w:rPr>
            </w:pPr>
            <w:r>
              <w:rPr>
                <w:sz w:val="20"/>
              </w:rPr>
              <w:t>6.04e-05</w:t>
            </w:r>
          </w:p>
        </w:tc>
      </w:tr>
      <w:tr w:rsidR="0032672A" w:rsidRPr="00F30BB3" w:rsidTr="0032672A">
        <w:tc>
          <w:tcPr>
            <w:tcW w:w="2337" w:type="dxa"/>
          </w:tcPr>
          <w:p w:rsidR="0032672A" w:rsidRPr="00F30BB3" w:rsidRDefault="0032672A" w:rsidP="0032672A">
            <w:pPr>
              <w:pStyle w:val="NormalWeb"/>
              <w:spacing w:before="0" w:beforeAutospacing="0" w:after="0" w:afterAutospacing="0"/>
              <w:jc w:val="both"/>
              <w:rPr>
                <w:sz w:val="20"/>
              </w:rPr>
            </w:pPr>
            <w:r>
              <w:rPr>
                <w:sz w:val="20"/>
              </w:rPr>
              <w:t xml:space="preserve">Turbidity </w:t>
            </w:r>
          </w:p>
        </w:tc>
        <w:tc>
          <w:tcPr>
            <w:tcW w:w="2337" w:type="dxa"/>
          </w:tcPr>
          <w:p w:rsidR="0032672A" w:rsidRPr="00F30BB3" w:rsidRDefault="0032672A" w:rsidP="0032672A">
            <w:pPr>
              <w:pStyle w:val="NormalWeb"/>
              <w:spacing w:before="0" w:beforeAutospacing="0" w:after="0" w:afterAutospacing="0"/>
              <w:jc w:val="both"/>
              <w:rPr>
                <w:sz w:val="20"/>
              </w:rPr>
            </w:pPr>
            <w:r>
              <w:rPr>
                <w:sz w:val="20"/>
              </w:rPr>
              <w:t>2.333</w:t>
            </w:r>
          </w:p>
        </w:tc>
        <w:tc>
          <w:tcPr>
            <w:tcW w:w="2338" w:type="dxa"/>
          </w:tcPr>
          <w:p w:rsidR="0032672A" w:rsidRPr="00F30BB3" w:rsidRDefault="0032672A" w:rsidP="0032672A">
            <w:pPr>
              <w:pStyle w:val="NormalWeb"/>
              <w:spacing w:before="0" w:beforeAutospacing="0" w:after="0" w:afterAutospacing="0"/>
              <w:jc w:val="both"/>
              <w:rPr>
                <w:sz w:val="20"/>
              </w:rPr>
            </w:pPr>
            <w:r>
              <w:rPr>
                <w:sz w:val="20"/>
              </w:rPr>
              <w:t>0.030</w:t>
            </w:r>
          </w:p>
        </w:tc>
        <w:tc>
          <w:tcPr>
            <w:tcW w:w="2338" w:type="dxa"/>
          </w:tcPr>
          <w:p w:rsidR="0032672A" w:rsidRPr="00F30BB3" w:rsidRDefault="0032672A" w:rsidP="0032672A">
            <w:pPr>
              <w:pStyle w:val="NormalWeb"/>
              <w:spacing w:before="0" w:beforeAutospacing="0" w:after="0" w:afterAutospacing="0"/>
              <w:jc w:val="both"/>
              <w:rPr>
                <w:sz w:val="20"/>
              </w:rPr>
            </w:pPr>
            <w:r>
              <w:rPr>
                <w:sz w:val="20"/>
              </w:rPr>
              <w:t>0.039</w:t>
            </w:r>
          </w:p>
        </w:tc>
      </w:tr>
      <w:tr w:rsidR="0032672A" w:rsidRPr="00F30BB3" w:rsidTr="0032672A">
        <w:tc>
          <w:tcPr>
            <w:tcW w:w="2337" w:type="dxa"/>
          </w:tcPr>
          <w:p w:rsidR="0032672A" w:rsidRPr="00F30BB3" w:rsidRDefault="0032672A" w:rsidP="0032672A">
            <w:pPr>
              <w:pStyle w:val="NormalWeb"/>
              <w:spacing w:before="0" w:beforeAutospacing="0" w:after="0" w:afterAutospacing="0"/>
              <w:jc w:val="both"/>
              <w:rPr>
                <w:sz w:val="20"/>
              </w:rPr>
            </w:pPr>
            <w:r>
              <w:rPr>
                <w:sz w:val="20"/>
              </w:rPr>
              <w:t>EC</w:t>
            </w:r>
          </w:p>
        </w:tc>
        <w:tc>
          <w:tcPr>
            <w:tcW w:w="2337" w:type="dxa"/>
          </w:tcPr>
          <w:p w:rsidR="0032672A" w:rsidRPr="00F30BB3" w:rsidRDefault="0032672A" w:rsidP="0032672A">
            <w:pPr>
              <w:pStyle w:val="NormalWeb"/>
              <w:spacing w:before="0" w:beforeAutospacing="0" w:after="0" w:afterAutospacing="0"/>
              <w:jc w:val="both"/>
              <w:rPr>
                <w:sz w:val="20"/>
              </w:rPr>
            </w:pPr>
            <w:r>
              <w:rPr>
                <w:sz w:val="20"/>
              </w:rPr>
              <w:t>-3.378</w:t>
            </w:r>
          </w:p>
        </w:tc>
        <w:tc>
          <w:tcPr>
            <w:tcW w:w="2338" w:type="dxa"/>
          </w:tcPr>
          <w:p w:rsidR="0032672A" w:rsidRPr="00F30BB3" w:rsidRDefault="0032672A" w:rsidP="0032672A">
            <w:pPr>
              <w:pStyle w:val="NormalWeb"/>
              <w:spacing w:before="0" w:beforeAutospacing="0" w:after="0" w:afterAutospacing="0"/>
              <w:jc w:val="both"/>
              <w:rPr>
                <w:sz w:val="20"/>
              </w:rPr>
            </w:pPr>
            <w:r>
              <w:rPr>
                <w:sz w:val="20"/>
              </w:rPr>
              <w:t>-30.729</w:t>
            </w:r>
          </w:p>
        </w:tc>
        <w:tc>
          <w:tcPr>
            <w:tcW w:w="2338" w:type="dxa"/>
          </w:tcPr>
          <w:p w:rsidR="0032672A" w:rsidRPr="00F30BB3" w:rsidRDefault="0032672A" w:rsidP="0032672A">
            <w:pPr>
              <w:pStyle w:val="NormalWeb"/>
              <w:spacing w:before="0" w:beforeAutospacing="0" w:after="0" w:afterAutospacing="0"/>
              <w:jc w:val="both"/>
              <w:rPr>
                <w:sz w:val="20"/>
              </w:rPr>
            </w:pPr>
            <w:r>
              <w:rPr>
                <w:sz w:val="20"/>
              </w:rPr>
              <w:t>0.006</w:t>
            </w:r>
          </w:p>
        </w:tc>
      </w:tr>
      <w:tr w:rsidR="0032672A" w:rsidRPr="00F30BB3" w:rsidTr="0032672A">
        <w:tc>
          <w:tcPr>
            <w:tcW w:w="2337" w:type="dxa"/>
          </w:tcPr>
          <w:p w:rsidR="0032672A" w:rsidRPr="00F30BB3" w:rsidRDefault="0032672A" w:rsidP="0032672A">
            <w:pPr>
              <w:pStyle w:val="NormalWeb"/>
              <w:spacing w:before="0" w:beforeAutospacing="0" w:after="0" w:afterAutospacing="0"/>
              <w:jc w:val="both"/>
              <w:rPr>
                <w:sz w:val="20"/>
              </w:rPr>
            </w:pPr>
            <w:r>
              <w:rPr>
                <w:sz w:val="20"/>
              </w:rPr>
              <w:t>TSS</w:t>
            </w:r>
          </w:p>
        </w:tc>
        <w:tc>
          <w:tcPr>
            <w:tcW w:w="2337" w:type="dxa"/>
          </w:tcPr>
          <w:p w:rsidR="0032672A" w:rsidRPr="00F30BB3" w:rsidRDefault="0032672A" w:rsidP="0032672A">
            <w:pPr>
              <w:pStyle w:val="NormalWeb"/>
              <w:spacing w:before="0" w:beforeAutospacing="0" w:after="0" w:afterAutospacing="0"/>
              <w:jc w:val="both"/>
              <w:rPr>
                <w:sz w:val="20"/>
              </w:rPr>
            </w:pPr>
            <w:r>
              <w:rPr>
                <w:sz w:val="20"/>
              </w:rPr>
              <w:t>-0.906</w:t>
            </w:r>
          </w:p>
        </w:tc>
        <w:tc>
          <w:tcPr>
            <w:tcW w:w="2338" w:type="dxa"/>
          </w:tcPr>
          <w:p w:rsidR="0032672A" w:rsidRPr="00F30BB3" w:rsidRDefault="0032672A" w:rsidP="0032672A">
            <w:pPr>
              <w:pStyle w:val="NormalWeb"/>
              <w:spacing w:before="0" w:beforeAutospacing="0" w:after="0" w:afterAutospacing="0"/>
              <w:jc w:val="both"/>
              <w:rPr>
                <w:sz w:val="20"/>
              </w:rPr>
            </w:pPr>
            <w:r>
              <w:rPr>
                <w:sz w:val="20"/>
              </w:rPr>
              <w:t>-3.354</w:t>
            </w:r>
          </w:p>
        </w:tc>
        <w:tc>
          <w:tcPr>
            <w:tcW w:w="2338" w:type="dxa"/>
          </w:tcPr>
          <w:p w:rsidR="0032672A" w:rsidRPr="00F30BB3" w:rsidRDefault="0032672A" w:rsidP="0032672A">
            <w:pPr>
              <w:pStyle w:val="NormalWeb"/>
              <w:spacing w:before="0" w:beforeAutospacing="0" w:after="0" w:afterAutospacing="0"/>
              <w:jc w:val="both"/>
              <w:rPr>
                <w:sz w:val="20"/>
              </w:rPr>
            </w:pPr>
            <w:r>
              <w:rPr>
                <w:sz w:val="20"/>
              </w:rPr>
              <w:t>0.385</w:t>
            </w:r>
          </w:p>
        </w:tc>
      </w:tr>
      <w:tr w:rsidR="0032672A" w:rsidRPr="00F30BB3" w:rsidTr="0032672A">
        <w:tc>
          <w:tcPr>
            <w:tcW w:w="2337" w:type="dxa"/>
          </w:tcPr>
          <w:p w:rsidR="0032672A" w:rsidRPr="00F30BB3" w:rsidRDefault="0032672A" w:rsidP="0032672A">
            <w:pPr>
              <w:pStyle w:val="NormalWeb"/>
              <w:spacing w:before="0" w:beforeAutospacing="0" w:after="0" w:afterAutospacing="0"/>
              <w:jc w:val="both"/>
              <w:rPr>
                <w:sz w:val="20"/>
              </w:rPr>
            </w:pPr>
            <w:r>
              <w:rPr>
                <w:sz w:val="20"/>
              </w:rPr>
              <w:t>TDS</w:t>
            </w:r>
          </w:p>
        </w:tc>
        <w:tc>
          <w:tcPr>
            <w:tcW w:w="2337" w:type="dxa"/>
          </w:tcPr>
          <w:p w:rsidR="0032672A" w:rsidRPr="00F30BB3" w:rsidRDefault="0032672A" w:rsidP="0032672A">
            <w:pPr>
              <w:pStyle w:val="NormalWeb"/>
              <w:spacing w:before="0" w:beforeAutospacing="0" w:after="0" w:afterAutospacing="0"/>
              <w:jc w:val="both"/>
              <w:rPr>
                <w:sz w:val="20"/>
              </w:rPr>
            </w:pPr>
            <w:r>
              <w:rPr>
                <w:sz w:val="20"/>
              </w:rPr>
              <w:t>-7.854</w:t>
            </w:r>
          </w:p>
        </w:tc>
        <w:tc>
          <w:tcPr>
            <w:tcW w:w="2338" w:type="dxa"/>
          </w:tcPr>
          <w:p w:rsidR="0032672A" w:rsidRPr="00F30BB3" w:rsidRDefault="0032672A" w:rsidP="0032672A">
            <w:pPr>
              <w:pStyle w:val="NormalWeb"/>
              <w:spacing w:before="0" w:beforeAutospacing="0" w:after="0" w:afterAutospacing="0"/>
              <w:jc w:val="both"/>
              <w:rPr>
                <w:sz w:val="20"/>
              </w:rPr>
            </w:pPr>
            <w:r>
              <w:rPr>
                <w:sz w:val="20"/>
              </w:rPr>
              <w:t>-25.128</w:t>
            </w:r>
          </w:p>
        </w:tc>
        <w:tc>
          <w:tcPr>
            <w:tcW w:w="2338" w:type="dxa"/>
          </w:tcPr>
          <w:p w:rsidR="0032672A" w:rsidRPr="00F30BB3" w:rsidRDefault="0032672A" w:rsidP="0032672A">
            <w:pPr>
              <w:pStyle w:val="NormalWeb"/>
              <w:spacing w:before="0" w:beforeAutospacing="0" w:after="0" w:afterAutospacing="0"/>
              <w:jc w:val="both"/>
              <w:rPr>
                <w:sz w:val="20"/>
              </w:rPr>
            </w:pPr>
            <w:r>
              <w:rPr>
                <w:sz w:val="20"/>
              </w:rPr>
              <w:t>7.777e-06</w:t>
            </w:r>
          </w:p>
        </w:tc>
      </w:tr>
    </w:tbl>
    <w:p w:rsidR="0032672A" w:rsidRDefault="0032672A" w:rsidP="0032672A">
      <w:pPr>
        <w:pStyle w:val="NormalWeb"/>
        <w:spacing w:before="0" w:beforeAutospacing="0" w:after="120" w:afterAutospacing="0"/>
        <w:jc w:val="both"/>
        <w:rPr>
          <w:sz w:val="22"/>
        </w:rPr>
      </w:pPr>
    </w:p>
    <w:p w:rsidR="0032672A" w:rsidRDefault="0032672A" w:rsidP="0032672A">
      <w:pPr>
        <w:pStyle w:val="NormalWeb"/>
        <w:spacing w:before="0" w:beforeAutospacing="0" w:after="120" w:afterAutospacing="0"/>
        <w:jc w:val="both"/>
        <w:rPr>
          <w:sz w:val="22"/>
        </w:rPr>
      </w:pPr>
      <w:r>
        <w:rPr>
          <w:sz w:val="22"/>
        </w:rPr>
        <w:t xml:space="preserve">Table 7 presents the paired sample t-test for the comparison of physical water quality during wet and dry seasons. The results revealed that Temperature (t value = -6.276, p-value = </w:t>
      </w:r>
      <w:r w:rsidRPr="006472D8">
        <w:rPr>
          <w:sz w:val="22"/>
        </w:rPr>
        <w:t>6.04e-05</w:t>
      </w:r>
      <w:r>
        <w:rPr>
          <w:sz w:val="22"/>
        </w:rPr>
        <w:t xml:space="preserve">), Turbidity (t value = 2.333, p-value = 0.039), Electrical Conductivity (t value = -3.378, p-value = 0.006), and Total Dissolved Solids (t value = -7.854, p-value = 7.777e-06) are statistically significant, implying that these physical water qualities in the wet season are different from that of the dry seasons, while pH (t value = -1.363, p-value = 0.182), and Total Suspended Solids (t value = -0.906, p-value = 0.385) are non-significant, implying that they are the same during wet and dry seasons. </w:t>
      </w:r>
    </w:p>
    <w:p w:rsidR="0032672A" w:rsidRPr="00681B5C" w:rsidRDefault="0032672A" w:rsidP="0032672A">
      <w:pPr>
        <w:pStyle w:val="NormalWeb"/>
        <w:spacing w:before="0" w:beforeAutospacing="0" w:after="120" w:afterAutospacing="0"/>
        <w:jc w:val="both"/>
        <w:rPr>
          <w:b/>
          <w:sz w:val="22"/>
          <w:szCs w:val="22"/>
        </w:rPr>
      </w:pPr>
      <w:r w:rsidRPr="00681B5C">
        <w:rPr>
          <w:b/>
          <w:sz w:val="22"/>
          <w:szCs w:val="22"/>
        </w:rPr>
        <w:t xml:space="preserve">Discussion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This study assessed the seasonal variations in physical water quality parameters of borehole water in Enugu North LGA, Enugu State, Nigeria, with emphasis on differences between the wet and dry seasons. The findings reveal distinct seasonal patterns across the parameters measured, highlighting the influence of rainfall, groundwater recharge, anthropogenic activities, and local hydrogeological conditions on borehole water quality.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The results showed an inconsistent pattern in pH values across the wet and dry seasons, with some borehole samples recording higher pH in the dry season and others in the wet season. Although several samples such as </w:t>
      </w:r>
      <w:r w:rsidR="00645971" w:rsidRPr="00645971">
        <w:rPr>
          <w:rFonts w:ascii="Times New Roman" w:hAnsi="Times New Roman" w:cs="Times New Roman"/>
        </w:rPr>
        <w:t>2, 3, 4, 5, 9, 10, 11, and 12 were below</w:t>
      </w:r>
      <w:r w:rsidR="00645971">
        <w:t xml:space="preserve"> </w:t>
      </w:r>
      <w:r w:rsidRPr="001462A2">
        <w:rPr>
          <w:rFonts w:ascii="Times New Roman" w:eastAsia="Times New Roman" w:hAnsi="Times New Roman" w:cs="Times New Roman"/>
        </w:rPr>
        <w:t xml:space="preserve">the WHO permissible limit of 6.5–8.5, </w:t>
      </w:r>
      <w:r w:rsidR="00645971">
        <w:rPr>
          <w:rFonts w:ascii="Times New Roman" w:eastAsia="Times New Roman" w:hAnsi="Times New Roman" w:cs="Times New Roman"/>
        </w:rPr>
        <w:t>some samples like 1, 6, and 8 had</w:t>
      </w:r>
      <w:r w:rsidRPr="001462A2">
        <w:rPr>
          <w:rFonts w:ascii="Times New Roman" w:eastAsia="Times New Roman" w:hAnsi="Times New Roman" w:cs="Times New Roman"/>
        </w:rPr>
        <w:t xml:space="preserve"> pH values within </w:t>
      </w:r>
      <w:r>
        <w:rPr>
          <w:rFonts w:ascii="Times New Roman" w:eastAsia="Times New Roman" w:hAnsi="Times New Roman" w:cs="Times New Roman"/>
        </w:rPr>
        <w:t xml:space="preserve">an </w:t>
      </w:r>
      <w:r w:rsidRPr="001462A2">
        <w:rPr>
          <w:rFonts w:ascii="Times New Roman" w:eastAsia="Times New Roman" w:hAnsi="Times New Roman" w:cs="Times New Roman"/>
        </w:rPr>
        <w:t xml:space="preserve">acceptable range. Seasonal differences in pH were not statistically significant (p = 0.182), indicating that pH remained relatively stable despite changes in precipitation and groundwater recharge. This stability is consistent with findings from </w:t>
      </w:r>
      <w:r>
        <w:rPr>
          <w:rFonts w:ascii="Times New Roman" w:eastAsia="Times New Roman" w:hAnsi="Times New Roman" w:cs="Times New Roman"/>
        </w:rPr>
        <w:t>[21, 22]</w:t>
      </w:r>
      <w:r w:rsidRPr="001462A2">
        <w:rPr>
          <w:rFonts w:ascii="Times New Roman" w:eastAsia="Times New Roman" w:hAnsi="Times New Roman" w:cs="Times New Roman"/>
        </w:rPr>
        <w:t xml:space="preserve"> in tropical environments, where groundwater pH is largely influenced by subsurface geology and buffering capacity rather than rainfall alone. Slight increases in pH during the dry season may be attributed to reduced dilution and concentration of bicarbonates and carbonates in the aquifer. Conversely, lower pH values observed in some wet season samples could be linked to </w:t>
      </w:r>
      <w:r>
        <w:rPr>
          <w:rFonts w:ascii="Times New Roman" w:eastAsia="Times New Roman" w:hAnsi="Times New Roman" w:cs="Times New Roman"/>
        </w:rPr>
        <w:t xml:space="preserve">the </w:t>
      </w:r>
      <w:r w:rsidRPr="001462A2">
        <w:rPr>
          <w:rFonts w:ascii="Times New Roman" w:eastAsia="Times New Roman" w:hAnsi="Times New Roman" w:cs="Times New Roman"/>
        </w:rPr>
        <w:t>leaching of organic acids from surrounding soils during rainfall</w:t>
      </w:r>
      <w:r>
        <w:rPr>
          <w:rFonts w:ascii="Times New Roman" w:eastAsia="Times New Roman" w:hAnsi="Times New Roman" w:cs="Times New Roman"/>
        </w:rPr>
        <w:t xml:space="preserve"> [23]</w:t>
      </w:r>
      <w:r w:rsidRPr="001462A2">
        <w:rPr>
          <w:rFonts w:ascii="Times New Roman" w:eastAsia="Times New Roman" w:hAnsi="Times New Roman" w:cs="Times New Roman"/>
        </w:rPr>
        <w:t xml:space="preserve">.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Borehole water temperature exhibited significant seasonal differences (p &lt; 0.001), with higher mean temperatures recorded during the dry season. This finding aligns with expectations, as reduced rainfall and higher air temperatures during the dry season naturally elevate groundwater temperature, especially in shallow or moderately deep aquifers</w:t>
      </w:r>
      <w:r>
        <w:rPr>
          <w:rFonts w:ascii="Times New Roman" w:eastAsia="Times New Roman" w:hAnsi="Times New Roman" w:cs="Times New Roman"/>
        </w:rPr>
        <w:t xml:space="preserve"> [24, 25]</w:t>
      </w:r>
      <w:r w:rsidRPr="001462A2">
        <w:rPr>
          <w:rFonts w:ascii="Times New Roman" w:eastAsia="Times New Roman" w:hAnsi="Times New Roman" w:cs="Times New Roman"/>
        </w:rPr>
        <w:t xml:space="preserve">. Although all temperature values fell within WHO’s broader acceptable range (10–30°C), consistently elevated temperatures above 27°C across many samples raise </w:t>
      </w:r>
      <w:r w:rsidRPr="001462A2">
        <w:rPr>
          <w:rFonts w:ascii="Times New Roman" w:eastAsia="Times New Roman" w:hAnsi="Times New Roman" w:cs="Times New Roman"/>
        </w:rPr>
        <w:lastRenderedPageBreak/>
        <w:t xml:space="preserve">public health concerns. Warmer groundwater promotes microbial growth, potentially increasing the risk of microbial contamination even when physical parameters appear satisfactory. The persistent variability observed in Sample 11 across both seasons suggests site-specific hydrogeological or structural factors affecting thermal stability.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Turbidity values were significantly higher during the wet season (p = 0.039), which is typical for groundwater systems influenced by surface infiltration. Increased rainfall enhances the mobilization of fine particles, organic matter, and colloids, which can percolate through soils and enter aquifers, particularly where borehole casings or sanitary seals are compromised. Despite these increases, all turbidity measurements remained well below the WHO limit of 1 NTU, indicating generally low particulate matter and minimal surface contamination. This suggests adequate borehole construction practices in most sampled locations. However, the high variability in turbidity observed in some samples, such as Sample 10 during the wet season, may reflect localized land-use practices or compromised borehole integrity.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EC and TDS showed similar temporal patterns, with significantly higher values during the dry season (p = 0.006 for EC; p &lt; 0.0001 for TDS). This pattern reflects the concentration effect that occurs when reduced rainfall limits groundwater recharge, allowing dissolved ions to accumulate. The increased evaporation during the dry season also contributes to higher ionic concentrations in aquifers</w:t>
      </w:r>
      <w:r>
        <w:rPr>
          <w:rFonts w:ascii="Times New Roman" w:eastAsia="Times New Roman" w:hAnsi="Times New Roman" w:cs="Times New Roman"/>
        </w:rPr>
        <w:t xml:space="preserve"> [26]</w:t>
      </w:r>
      <w:r w:rsidRPr="001462A2">
        <w:rPr>
          <w:rFonts w:ascii="Times New Roman" w:eastAsia="Times New Roman" w:hAnsi="Times New Roman" w:cs="Times New Roman"/>
        </w:rPr>
        <w:t xml:space="preserve">. In the wet season, dilution from rainfall reduced EC and TDS in most boreholes; however, anomalously high EC values in Samples 9 and 11 suggest site-specific influences such as mineral-rich geologic formations or anthropogenic contamination. Nonetheless, all EC and TDS values remained within WHO permissible limits, indicating no immediate threat to drinking water safety from ionic constituents during the study period. </w:t>
      </w:r>
    </w:p>
    <w:p w:rsidR="0032672A" w:rsidRPr="001462A2"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TSS exhibited considerable variability across borehole samples, yet the seasonal differences were statistically non-significant (p = 0.385). Higher TSS levels during the wet season, particularly in Samples 1, 3, and 5, can be attributed to increased infiltration of particulate matter following rainfall events. Conversely, the dry season generally showed reduced TSS values, except for samples such as Sample 8, where elevated dry-season TSS suggests local disturbances, possibly from soil erosion, construction activities, or borehole structural defects. The non-significant seasonal variation in TSS indicates that while rainfall contributes to increased suspended particles, the overall effect is not uniform across locations. This further underscores the influence of local environmental and geological factors on groundwater quality. </w:t>
      </w:r>
    </w:p>
    <w:p w:rsidR="0032672A" w:rsidRDefault="0032672A" w:rsidP="0032672A">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The paired sample </w:t>
      </w:r>
      <w:r w:rsidRPr="00681B5C">
        <w:rPr>
          <w:rFonts w:ascii="Times New Roman" w:eastAsia="Times New Roman" w:hAnsi="Times New Roman" w:cs="Times New Roman"/>
        </w:rPr>
        <w:t xml:space="preserve">t-test results highlight that </w:t>
      </w:r>
      <w:r w:rsidRPr="001462A2">
        <w:rPr>
          <w:rFonts w:ascii="Times New Roman" w:eastAsia="Times New Roman" w:hAnsi="Times New Roman" w:cs="Times New Roman"/>
        </w:rPr>
        <w:t>Tempe</w:t>
      </w:r>
      <w:r w:rsidRPr="00681B5C">
        <w:rPr>
          <w:rFonts w:ascii="Times New Roman" w:eastAsia="Times New Roman" w:hAnsi="Times New Roman" w:cs="Times New Roman"/>
        </w:rPr>
        <w:t>rature, Turbidity, EC, and TDS</w:t>
      </w:r>
      <w:r w:rsidRPr="001462A2">
        <w:rPr>
          <w:rFonts w:ascii="Times New Roman" w:eastAsia="Times New Roman" w:hAnsi="Times New Roman" w:cs="Times New Roman"/>
        </w:rPr>
        <w:t xml:space="preserve"> are significantly influenced</w:t>
      </w:r>
      <w:r w:rsidRPr="00681B5C">
        <w:rPr>
          <w:rFonts w:ascii="Times New Roman" w:eastAsia="Times New Roman" w:hAnsi="Times New Roman" w:cs="Times New Roman"/>
        </w:rPr>
        <w:t xml:space="preserve"> by seasonal changes, whereas pH and TSS</w:t>
      </w:r>
      <w:r w:rsidRPr="001462A2">
        <w:rPr>
          <w:rFonts w:ascii="Times New Roman" w:eastAsia="Times New Roman" w:hAnsi="Times New Roman" w:cs="Times New Roman"/>
        </w:rPr>
        <w:t xml:space="preserve"> remain relatively stable. These findings indicate that borehole water quality in Enugu North is sensitive to hydrological fluctuations, especially during peak dry season months when dilution decreases</w:t>
      </w:r>
      <w:r>
        <w:rPr>
          <w:rFonts w:ascii="Times New Roman" w:eastAsia="Times New Roman" w:hAnsi="Times New Roman" w:cs="Times New Roman"/>
        </w:rPr>
        <w:t>,</w:t>
      </w:r>
      <w:r w:rsidRPr="001462A2">
        <w:rPr>
          <w:rFonts w:ascii="Times New Roman" w:eastAsia="Times New Roman" w:hAnsi="Times New Roman" w:cs="Times New Roman"/>
        </w:rPr>
        <w:t xml:space="preserve"> and concentration of dissolved ions increases. </w:t>
      </w:r>
    </w:p>
    <w:p w:rsidR="0032672A" w:rsidRPr="007868D1" w:rsidRDefault="0032672A" w:rsidP="0032672A">
      <w:pPr>
        <w:spacing w:after="120" w:line="240" w:lineRule="auto"/>
        <w:jc w:val="both"/>
        <w:rPr>
          <w:rFonts w:ascii="Times New Roman" w:eastAsia="Times New Roman" w:hAnsi="Times New Roman" w:cs="Times New Roman"/>
          <w:b/>
        </w:rPr>
      </w:pPr>
      <w:r w:rsidRPr="007868D1">
        <w:rPr>
          <w:rFonts w:ascii="Times New Roman" w:eastAsia="Times New Roman" w:hAnsi="Times New Roman" w:cs="Times New Roman"/>
          <w:b/>
        </w:rPr>
        <w:t xml:space="preserve">Conclusion </w:t>
      </w:r>
    </w:p>
    <w:p w:rsidR="00534538" w:rsidRPr="005F44E3" w:rsidRDefault="0032672A" w:rsidP="0032672A">
      <w:pPr>
        <w:pStyle w:val="NormalWeb"/>
        <w:spacing w:before="0" w:beforeAutospacing="0" w:after="120" w:afterAutospacing="0"/>
        <w:jc w:val="both"/>
        <w:rPr>
          <w:sz w:val="22"/>
        </w:rPr>
      </w:pPr>
      <w:r w:rsidRPr="007868D1">
        <w:rPr>
          <w:sz w:val="22"/>
        </w:rPr>
        <w:t xml:space="preserve">This study evaluated the physical water quality parameters of borehole water in Enugu North LGA and </w:t>
      </w:r>
      <w:r w:rsidRPr="005F44E3">
        <w:rPr>
          <w:sz w:val="22"/>
        </w:rPr>
        <w:t xml:space="preserve">examined how these parameters vary between the wet and dry seasons. The findings revealed that while most of the physical parameters measured, </w:t>
      </w:r>
      <w:r w:rsidR="00534538" w:rsidRPr="005F44E3">
        <w:rPr>
          <w:sz w:val="22"/>
        </w:rPr>
        <w:t xml:space="preserve">temperature, turbidity, TDS, and TSS fall within the within the permissible limits set by the World Health Organization (WHO, 2017), other parameters like pH had varying readings across samples, while the EC values across all borehole water were all highly above the WHO specification, suggesting risk of health hazards. </w:t>
      </w:r>
    </w:p>
    <w:p w:rsidR="0011171C" w:rsidRPr="005F44E3" w:rsidRDefault="0011171C" w:rsidP="0032672A">
      <w:pPr>
        <w:pStyle w:val="NormalWeb"/>
        <w:spacing w:before="0" w:beforeAutospacing="0" w:after="120" w:afterAutospacing="0"/>
        <w:jc w:val="both"/>
        <w:rPr>
          <w:sz w:val="22"/>
        </w:rPr>
      </w:pPr>
      <w:r w:rsidRPr="005F44E3">
        <w:rPr>
          <w:sz w:val="22"/>
        </w:rPr>
        <w:t>The results also showed that physical parameters like temperature, turbidity, EC, and TDS were statistically significant, implying that these parameters in the sample borehole water in Enugu North LGA in the wet season are s</w:t>
      </w:r>
      <w:r w:rsidR="004F1EA5">
        <w:rPr>
          <w:sz w:val="22"/>
        </w:rPr>
        <w:t>ignificantly different from those</w:t>
      </w:r>
      <w:r w:rsidRPr="005F44E3">
        <w:rPr>
          <w:sz w:val="22"/>
        </w:rPr>
        <w:t xml:space="preserve"> of the dry season, while the pH values and TSS showed no significant difference across the seasons (wet and dry).</w:t>
      </w:r>
    </w:p>
    <w:p w:rsidR="0032672A" w:rsidRDefault="000304E8" w:rsidP="000304E8">
      <w:pPr>
        <w:pStyle w:val="NormalWeb"/>
        <w:spacing w:before="0" w:beforeAutospacing="0" w:after="120" w:afterAutospacing="0"/>
        <w:jc w:val="both"/>
        <w:rPr>
          <w:sz w:val="22"/>
        </w:rPr>
      </w:pPr>
      <w:r w:rsidRPr="005F44E3">
        <w:rPr>
          <w:sz w:val="22"/>
        </w:rPr>
        <w:t xml:space="preserve">Since the pH values for the majority of sampled borehole waters in Enugu North LGA are all below the WHO standard specification, indicating the water is acidic, and can potentially cause corrosion of pipes, leaching metals, and even affect the water taste, the study recommend the water should be neutralized with </w:t>
      </w:r>
      <w:r w:rsidRPr="005F44E3">
        <w:rPr>
          <w:sz w:val="22"/>
        </w:rPr>
        <w:lastRenderedPageBreak/>
        <w:t xml:space="preserve">limestone, there should be regular monitoring and further testing for metals and other parameters. Furthermore, </w:t>
      </w:r>
      <w:r w:rsidR="0032672A" w:rsidRPr="005F44E3">
        <w:rPr>
          <w:sz w:val="22"/>
        </w:rPr>
        <w:t xml:space="preserve">the observed seasonal fluctuations highlight the need for continuous groundwater monitoring, especially during the dry season when critical parameters tend to rise. These variations may have implications for long-term water safety, aquifer sustainability, and public health. Strengthening borehole management practices, improving sanitary conditions around water points, and implementing periodic water quality assessments are recommended to ensure sustained access to safe drinking water for residents of Enugu State. </w:t>
      </w:r>
    </w:p>
    <w:p w:rsidR="00FF4F42" w:rsidRDefault="00FF4F42" w:rsidP="000304E8">
      <w:pPr>
        <w:pStyle w:val="NormalWeb"/>
        <w:spacing w:before="0" w:beforeAutospacing="0" w:after="120" w:afterAutospacing="0"/>
        <w:jc w:val="both"/>
        <w:rPr>
          <w:sz w:val="22"/>
        </w:rPr>
      </w:pPr>
    </w:p>
    <w:p w:rsidR="00FF4F42" w:rsidRDefault="00FF4F42" w:rsidP="00FF4F42">
      <w:pPr>
        <w:rPr>
          <w:highlight w:val="yellow"/>
        </w:rPr>
      </w:pPr>
      <w:bookmarkStart w:id="0" w:name="_Hlk213934265"/>
      <w:r>
        <w:rPr>
          <w:highlight w:val="yellow"/>
        </w:rPr>
        <w:t>Disclaimer (Artificial intelligence)</w:t>
      </w:r>
    </w:p>
    <w:p w:rsidR="00FF4F42" w:rsidRDefault="00FF4F42" w:rsidP="00FF4F42">
      <w:pPr>
        <w:rPr>
          <w:highlight w:val="yellow"/>
        </w:rPr>
      </w:pPr>
      <w:r>
        <w:rPr>
          <w:highlight w:val="yellow"/>
        </w:rPr>
        <w:t xml:space="preserve">Option 1: </w:t>
      </w:r>
    </w:p>
    <w:p w:rsidR="00FF4F42" w:rsidRDefault="00FF4F42" w:rsidP="00FF4F42">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FF4F42" w:rsidRDefault="00FF4F42" w:rsidP="00FF4F42">
      <w:pPr>
        <w:rPr>
          <w:highlight w:val="yellow"/>
        </w:rPr>
      </w:pPr>
      <w:r>
        <w:rPr>
          <w:highlight w:val="yellow"/>
        </w:rPr>
        <w:t xml:space="preserve">Option 2: </w:t>
      </w:r>
    </w:p>
    <w:p w:rsidR="00FF4F42" w:rsidRDefault="00FF4F42" w:rsidP="00FF4F42">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F4F42" w:rsidRDefault="00FF4F42" w:rsidP="00FF4F42">
      <w:pPr>
        <w:rPr>
          <w:highlight w:val="yellow"/>
        </w:rPr>
      </w:pPr>
      <w:r>
        <w:rPr>
          <w:highlight w:val="yellow"/>
        </w:rPr>
        <w:t>Details of the AI usage are given below:</w:t>
      </w:r>
    </w:p>
    <w:p w:rsidR="00FF4F42" w:rsidRDefault="00FF4F42" w:rsidP="00FF4F42">
      <w:pPr>
        <w:rPr>
          <w:highlight w:val="yellow"/>
        </w:rPr>
      </w:pPr>
      <w:r>
        <w:rPr>
          <w:highlight w:val="yellow"/>
        </w:rPr>
        <w:t>1.</w:t>
      </w:r>
    </w:p>
    <w:p w:rsidR="00FF4F42" w:rsidRDefault="00FF4F42" w:rsidP="00FF4F42">
      <w:pPr>
        <w:rPr>
          <w:highlight w:val="yellow"/>
        </w:rPr>
      </w:pPr>
      <w:r>
        <w:rPr>
          <w:highlight w:val="yellow"/>
        </w:rPr>
        <w:t>2.</w:t>
      </w:r>
    </w:p>
    <w:p w:rsidR="00FF4F42" w:rsidRDefault="00FF4F42" w:rsidP="00FF4F42">
      <w:r>
        <w:rPr>
          <w:highlight w:val="yellow"/>
        </w:rPr>
        <w:t>3.</w:t>
      </w:r>
      <w:bookmarkEnd w:id="0"/>
    </w:p>
    <w:p w:rsidR="00FF4F42" w:rsidRPr="005F44E3" w:rsidRDefault="00FF4F42" w:rsidP="000304E8">
      <w:pPr>
        <w:pStyle w:val="NormalWeb"/>
        <w:spacing w:before="0" w:beforeAutospacing="0" w:after="120" w:afterAutospacing="0"/>
        <w:jc w:val="both"/>
        <w:rPr>
          <w:sz w:val="22"/>
        </w:rPr>
      </w:pPr>
      <w:bookmarkStart w:id="1" w:name="_GoBack"/>
      <w:bookmarkEnd w:id="1"/>
    </w:p>
    <w:p w:rsidR="0032672A" w:rsidRPr="006171D3" w:rsidRDefault="0032672A" w:rsidP="0032672A">
      <w:pPr>
        <w:pStyle w:val="NormalWeb"/>
        <w:spacing w:before="0" w:beforeAutospacing="0" w:after="120" w:afterAutospacing="0"/>
        <w:ind w:left="360" w:hanging="360"/>
        <w:jc w:val="both"/>
        <w:rPr>
          <w:b/>
          <w:sz w:val="22"/>
          <w:szCs w:val="22"/>
        </w:rPr>
      </w:pPr>
      <w:r w:rsidRPr="006171D3">
        <w:rPr>
          <w:b/>
          <w:sz w:val="22"/>
          <w:szCs w:val="22"/>
        </w:rPr>
        <w:t>References</w:t>
      </w:r>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 </w:t>
      </w:r>
      <w:r w:rsidRPr="00DE7FA8">
        <w:rPr>
          <w:color w:val="222222"/>
          <w:sz w:val="22"/>
          <w:szCs w:val="22"/>
          <w:shd w:val="clear" w:color="auto" w:fill="FFFFFF"/>
        </w:rPr>
        <w:t xml:space="preserve">O’Connell, E. (2017). Towards adaptation of water resource systems to climatic and socio-economic change. Water Resources Management, 31(10), 2965-2984. </w:t>
      </w:r>
      <w:hyperlink r:id="rId9" w:history="1">
        <w:r w:rsidRPr="003028AF">
          <w:rPr>
            <w:rStyle w:val="Hyperlink"/>
            <w:sz w:val="22"/>
            <w:szCs w:val="22"/>
            <w:shd w:val="clear" w:color="auto" w:fill="FFFFFF"/>
          </w:rPr>
          <w:t>https://doi.org/10.1007/s11269-017-1734-2</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 </w:t>
      </w:r>
      <w:r w:rsidRPr="00DE7FA8">
        <w:rPr>
          <w:color w:val="222222"/>
          <w:sz w:val="22"/>
          <w:szCs w:val="22"/>
          <w:shd w:val="clear" w:color="auto" w:fill="FFFFFF"/>
        </w:rPr>
        <w:t xml:space="preserve">Goswami, K. B., &amp; Bisht, P. S. (2017). The role of water resources in socio-economic development. *International Journal for Research in Applied Science &amp; Engineering Technology*, *5*(XII), 1669-1674. </w:t>
      </w:r>
      <w:hyperlink r:id="rId10" w:history="1">
        <w:r w:rsidRPr="003028AF">
          <w:rPr>
            <w:rStyle w:val="Hyperlink"/>
            <w:sz w:val="22"/>
            <w:szCs w:val="22"/>
            <w:shd w:val="clear" w:color="auto" w:fill="FFFFFF"/>
          </w:rPr>
          <w:t>http://www.ijraset.com/fileserve.php?FID=12295</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[3] </w:t>
      </w:r>
      <w:r w:rsidRPr="00DE7FA8">
        <w:rPr>
          <w:color w:val="222222"/>
          <w:sz w:val="22"/>
          <w:szCs w:val="22"/>
          <w:shd w:val="clear" w:color="auto" w:fill="FFFFFF"/>
        </w:rPr>
        <w:t xml:space="preserve">Mishra, B. K., Kumar, P., Saraswat, C., Chakraborty, S., &amp; Gautam, A. (2021). Water security in a changing environment: Concept, challenges and solutions. Water, 13(4), 490. </w:t>
      </w:r>
      <w:hyperlink r:id="rId11" w:history="1">
        <w:r w:rsidRPr="003028AF">
          <w:rPr>
            <w:rStyle w:val="Hyperlink"/>
            <w:sz w:val="22"/>
            <w:szCs w:val="22"/>
            <w:shd w:val="clear" w:color="auto" w:fill="FFFFFF"/>
          </w:rPr>
          <w:t>https://doi.org/10.3390/w13040490</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[4] </w:t>
      </w:r>
      <w:r w:rsidRPr="00DE7FA8">
        <w:rPr>
          <w:color w:val="222222"/>
          <w:sz w:val="22"/>
          <w:szCs w:val="22"/>
          <w:shd w:val="clear" w:color="auto" w:fill="FFFFFF"/>
        </w:rPr>
        <w:t xml:space="preserve">Anees, M., &amp; Yan, W. (2019). An Overview about the Challenges of Urban Expansion on Environmental Health in Pakistan. Journal of Energy and Environmental Policy Options, 2(3), 64-71. </w:t>
      </w:r>
      <w:hyperlink r:id="rId12" w:history="1">
        <w:r w:rsidRPr="003028AF">
          <w:rPr>
            <w:rStyle w:val="Hyperlink"/>
            <w:sz w:val="22"/>
            <w:szCs w:val="22"/>
            <w:shd w:val="clear" w:color="auto" w:fill="FFFFFF"/>
          </w:rPr>
          <w:t>https://resdojournals.com/index.php/JEEPO/article/view/93</w:t>
        </w:r>
      </w:hyperlink>
    </w:p>
    <w:p w:rsidR="0032672A" w:rsidRDefault="0032672A" w:rsidP="0032672A">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[5] </w:t>
      </w:r>
      <w:r w:rsidRPr="00DE7FA8">
        <w:rPr>
          <w:color w:val="222222"/>
          <w:sz w:val="22"/>
          <w:szCs w:val="22"/>
          <w:shd w:val="clear" w:color="auto" w:fill="FFFFFF"/>
        </w:rPr>
        <w:t xml:space="preserve">Dos Santos, S., Adams, E. A., Neville, G., Wada, Y., de Sherbinin, A., Mullin Bernhardt, E., &amp; Adamo, S. B. (2017). Urban growth and water access in sub-Saharan Africa: Progress, challenges, and emerging </w:t>
      </w:r>
      <w:r w:rsidRPr="00DE7FA8">
        <w:rPr>
          <w:color w:val="222222"/>
          <w:sz w:val="22"/>
          <w:szCs w:val="22"/>
          <w:shd w:val="clear" w:color="auto" w:fill="FFFFFF"/>
        </w:rPr>
        <w:lastRenderedPageBreak/>
        <w:t xml:space="preserve">research directions. Science of the Total Environment, 607, 497-508. </w:t>
      </w:r>
      <w:hyperlink r:id="rId13" w:history="1">
        <w:r w:rsidRPr="003028AF">
          <w:rPr>
            <w:rStyle w:val="Hyperlink"/>
            <w:sz w:val="22"/>
            <w:szCs w:val="22"/>
            <w:shd w:val="clear" w:color="auto" w:fill="FFFFFF"/>
          </w:rPr>
          <w:t>https://doi.org/10.1016/j.scitotenv.2017.06.157</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[6] </w:t>
      </w:r>
      <w:r w:rsidRPr="00DE7FA8">
        <w:rPr>
          <w:color w:val="222222"/>
          <w:sz w:val="22"/>
          <w:szCs w:val="22"/>
          <w:shd w:val="clear" w:color="auto" w:fill="FFFFFF"/>
        </w:rPr>
        <w:t xml:space="preserve">McDonald, R. I., Douglas, I., Revenga, C., Hale, R., Grimm, N., Grönwall, J., &amp; Fekete, B. (2011). Global urban growth and the geography of water availability, quality, and delivery. Ambio, 40(5), 437-446. </w:t>
      </w:r>
      <w:hyperlink r:id="rId14" w:history="1">
        <w:r w:rsidRPr="003028AF">
          <w:rPr>
            <w:rStyle w:val="Hyperlink"/>
            <w:sz w:val="22"/>
            <w:szCs w:val="22"/>
            <w:shd w:val="clear" w:color="auto" w:fill="FFFFFF"/>
          </w:rPr>
          <w:t>https://doi.org/10.1007/s13280-011-0152-6</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[7] </w:t>
      </w:r>
      <w:r w:rsidRPr="00DE7FA8">
        <w:rPr>
          <w:color w:val="222222"/>
          <w:sz w:val="22"/>
          <w:szCs w:val="22"/>
          <w:shd w:val="clear" w:color="auto" w:fill="FFFFFF"/>
        </w:rPr>
        <w:t xml:space="preserve">Danert, K., &amp; Healy, A. (2021). Monitoring groundwater use as a domestic water source by urban households: Analysis of data from Lagos State, Nigeria and Sub-Saharan Africa with implications for policy and practice. Water, 13(4), 568. </w:t>
      </w:r>
      <w:hyperlink r:id="rId15" w:history="1">
        <w:r w:rsidRPr="003028AF">
          <w:rPr>
            <w:rStyle w:val="Hyperlink"/>
            <w:sz w:val="22"/>
            <w:szCs w:val="22"/>
            <w:shd w:val="clear" w:color="auto" w:fill="FFFFFF"/>
          </w:rPr>
          <w:t>https://doi.org/10.3390/w13040568</w:t>
        </w:r>
      </w:hyperlink>
      <w:r w:rsidRPr="00930BEC">
        <w:rPr>
          <w:color w:val="222222"/>
          <w:sz w:val="22"/>
          <w:szCs w:val="22"/>
          <w:shd w:val="clear" w:color="auto" w:fill="FFFFFF"/>
        </w:rPr>
        <w:t>.</w:t>
      </w:r>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[8] </w:t>
      </w:r>
      <w:r w:rsidRPr="00DE7FA8">
        <w:rPr>
          <w:color w:val="222222"/>
          <w:sz w:val="22"/>
          <w:szCs w:val="22"/>
          <w:shd w:val="clear" w:color="auto" w:fill="FFFFFF"/>
        </w:rPr>
        <w:t xml:space="preserve">Schmoll, O., Howard, G., Chilton, J., &amp; Chorus, I. (2006). Protecting groundwater for health: managing the quality of drinking-water sources. World Health Organization; IWA Publishing. </w:t>
      </w:r>
      <w:hyperlink r:id="rId16" w:history="1">
        <w:r w:rsidRPr="003028AF">
          <w:rPr>
            <w:rStyle w:val="Hyperlink"/>
            <w:sz w:val="22"/>
            <w:szCs w:val="22"/>
            <w:shd w:val="clear" w:color="auto" w:fill="FFFFFF"/>
          </w:rPr>
          <w:t>https://www.iwapublishing.com/books/9781843390795/protecting-groundwater-health-managing-quality-drinking-water-sources</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[9] </w:t>
      </w:r>
      <w:r w:rsidRPr="00DE7FA8">
        <w:rPr>
          <w:color w:val="222222"/>
          <w:sz w:val="22"/>
          <w:szCs w:val="22"/>
          <w:shd w:val="clear" w:color="auto" w:fill="FFFFFF"/>
        </w:rPr>
        <w:t xml:space="preserve">Okhuebor, S. O., &amp;Izevbuwa, O. E. (2020). The quality and effect of borehole water proliferation in Benin City, Nigeria and its public health significance. Adv. Microb. Res. </w:t>
      </w:r>
      <w:hyperlink r:id="rId17" w:history="1">
        <w:r w:rsidRPr="003028AF">
          <w:rPr>
            <w:rStyle w:val="Hyperlink"/>
            <w:sz w:val="22"/>
            <w:szCs w:val="22"/>
            <w:shd w:val="clear" w:color="auto" w:fill="FFFFFF"/>
          </w:rPr>
          <w:t>https://doi.org/10.24966/AMR-694X/100013</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[10] </w:t>
      </w:r>
      <w:r w:rsidRPr="00DE7FA8">
        <w:rPr>
          <w:color w:val="222222"/>
          <w:sz w:val="22"/>
          <w:szCs w:val="22"/>
          <w:shd w:val="clear" w:color="auto" w:fill="FFFFFF"/>
        </w:rPr>
        <w:t xml:space="preserve">Aralu, C. C., Okoye, P. A., Abugu, H. O., &amp;Eze, V. C. (2022). Pollution and water quality index of boreholes within unlined waste dumpsite in Nnewi, Nigeria. Discover Water, 2(1), 14. </w:t>
      </w:r>
      <w:hyperlink r:id="rId18" w:history="1">
        <w:r w:rsidRPr="003028AF">
          <w:rPr>
            <w:rStyle w:val="Hyperlink"/>
            <w:sz w:val="22"/>
            <w:szCs w:val="22"/>
            <w:shd w:val="clear" w:color="auto" w:fill="FFFFFF"/>
          </w:rPr>
          <w:t>https://doi.org/10.1007/s43832-022-00023-9</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[11] </w:t>
      </w:r>
      <w:r w:rsidRPr="00987D73">
        <w:rPr>
          <w:color w:val="222222"/>
          <w:sz w:val="22"/>
          <w:szCs w:val="22"/>
          <w:shd w:val="clear" w:color="auto" w:fill="FFFFFF"/>
        </w:rPr>
        <w:t xml:space="preserve">Barbieri, M., Barberio, M. D., Banzato, F., Billi, A., Boschetti, T., Franchini, S., Gori, F., &amp;Petitta, M. (2023). Climate change and its effect on groundwater quality. Environmental Geochemistry and Health, 45(4), 1133-1144. </w:t>
      </w:r>
      <w:hyperlink r:id="rId19" w:history="1">
        <w:r w:rsidRPr="003028AF">
          <w:rPr>
            <w:rStyle w:val="Hyperlink"/>
            <w:sz w:val="22"/>
            <w:szCs w:val="22"/>
            <w:shd w:val="clear" w:color="auto" w:fill="FFFFFF"/>
          </w:rPr>
          <w:t>https://doi.org/10.1007/s10653-021-01140-5</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[12] </w:t>
      </w:r>
      <w:r w:rsidRPr="00987D73">
        <w:rPr>
          <w:color w:val="222222"/>
          <w:sz w:val="22"/>
          <w:szCs w:val="22"/>
          <w:shd w:val="clear" w:color="auto" w:fill="FFFFFF"/>
        </w:rPr>
        <w:t xml:space="preserve">Khatri, N., &amp; Tyagi, S. (2015). Influences of natural and anthropogenic factors on surface and groundwater quality in rural and urban areas. Frontiers in Life Science, 8(1), 23-39. </w:t>
      </w:r>
      <w:hyperlink r:id="rId20" w:history="1">
        <w:r w:rsidRPr="003028AF">
          <w:rPr>
            <w:rStyle w:val="Hyperlink"/>
            <w:sz w:val="22"/>
            <w:szCs w:val="22"/>
            <w:shd w:val="clear" w:color="auto" w:fill="FFFFFF"/>
          </w:rPr>
          <w:t>https://doi.org/10.1080/21553769.2014.933716</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[13] </w:t>
      </w:r>
      <w:r w:rsidRPr="00987D73">
        <w:rPr>
          <w:color w:val="222222"/>
          <w:sz w:val="22"/>
          <w:szCs w:val="22"/>
          <w:shd w:val="clear" w:color="auto" w:fill="FFFFFF"/>
        </w:rPr>
        <w:t xml:space="preserve">Otieno, F. A., Olumuyiwa, I. O., &amp; Ochieng, G. M. (2012). Groundwater: Characteristics, qualities, pollutions and treatments: An overview. International Journal of Water Resources and Environmental Engineering. </w:t>
      </w:r>
      <w:hyperlink r:id="rId21" w:history="1">
        <w:r w:rsidRPr="003028AF">
          <w:rPr>
            <w:rStyle w:val="Hyperlink"/>
            <w:sz w:val="22"/>
            <w:szCs w:val="22"/>
            <w:shd w:val="clear" w:color="auto" w:fill="FFFFFF"/>
          </w:rPr>
          <w:t>https://doi.org/10.5897/IJWREE12.038</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[14</w:t>
      </w:r>
      <w:r w:rsidRPr="00987D73">
        <w:rPr>
          <w:sz w:val="22"/>
          <w:szCs w:val="22"/>
        </w:rPr>
        <w:t xml:space="preserve">Biswas, B., Qi, F., Biswas, J. K., Wijayawardena, A., Khan, M. A. I., &amp; Naidu, R. (2018). The Fate of Chemical Pollutants with Soil Properties and Processes in the Climate Change Paradigm—A Review. Soil Systems, 2(3), 51. </w:t>
      </w:r>
      <w:hyperlink r:id="rId22" w:history="1">
        <w:r w:rsidRPr="003028AF">
          <w:rPr>
            <w:rStyle w:val="Hyperlink"/>
            <w:sz w:val="22"/>
            <w:szCs w:val="22"/>
          </w:rPr>
          <w:t>https://doi.org/10.3390/soilsystems2030051</w:t>
        </w:r>
      </w:hyperlink>
    </w:p>
    <w:p w:rsidR="0032672A" w:rsidRPr="00987D73" w:rsidRDefault="0032672A" w:rsidP="0032672A">
      <w:pPr>
        <w:pStyle w:val="NormalWeb"/>
        <w:spacing w:before="0" w:beforeAutospacing="0" w:after="120" w:afterAutospacing="0"/>
        <w:ind w:left="360" w:hanging="360"/>
        <w:jc w:val="both"/>
        <w:rPr>
          <w:b/>
          <w:bCs/>
          <w:sz w:val="22"/>
          <w:szCs w:val="22"/>
        </w:rPr>
      </w:pPr>
      <w:r w:rsidRPr="00930BEC">
        <w:rPr>
          <w:sz w:val="22"/>
          <w:szCs w:val="22"/>
        </w:rPr>
        <w:t xml:space="preserve">[15] </w:t>
      </w:r>
      <w:r w:rsidRPr="00987D73">
        <w:rPr>
          <w:color w:val="222222"/>
          <w:sz w:val="22"/>
          <w:szCs w:val="22"/>
          <w:shd w:val="clear" w:color="auto" w:fill="FFFFFF"/>
        </w:rPr>
        <w:t xml:space="preserve">Adjovu, G. E., Stephen, H., James, D., &amp; Ahmad, S. (2023). Measurement of Total Dissolved Solids and Total Suspended Solids in Water Systems: A Review of the Issues, Conventional, and Remote Sensing Techniques. Remote Sensing, 15(14), 3534. </w:t>
      </w:r>
      <w:hyperlink r:id="rId23" w:history="1">
        <w:r w:rsidRPr="003028AF">
          <w:rPr>
            <w:rStyle w:val="Hyperlink"/>
            <w:sz w:val="22"/>
            <w:szCs w:val="22"/>
            <w:shd w:val="clear" w:color="auto" w:fill="FFFFFF"/>
          </w:rPr>
          <w:t>https://doi.org/10.3390/rs15143534</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[16] </w:t>
      </w:r>
      <w:r w:rsidRPr="00987D73">
        <w:rPr>
          <w:color w:val="222222"/>
          <w:sz w:val="22"/>
          <w:szCs w:val="22"/>
          <w:shd w:val="clear" w:color="auto" w:fill="FFFFFF"/>
        </w:rPr>
        <w:t xml:space="preserve">Zhang, C., Zhang, W., Huang, Y., &amp; Gao, X. (2017). Analysing the correlations of long-term seasonal water quality parameters, suspended solids and total dissolved solids in a shallow reservoir with meteorological factors. Environmental Science and Pollution Research. </w:t>
      </w:r>
      <w:hyperlink r:id="rId24" w:history="1">
        <w:r w:rsidRPr="003028AF">
          <w:rPr>
            <w:rStyle w:val="Hyperlink"/>
            <w:sz w:val="22"/>
            <w:szCs w:val="22"/>
            <w:shd w:val="clear" w:color="auto" w:fill="FFFFFF"/>
          </w:rPr>
          <w:t>https://doi.org/10.1007/s11356-017-8402-1</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[17] </w:t>
      </w:r>
      <w:r w:rsidRPr="00987D73">
        <w:rPr>
          <w:color w:val="222222"/>
          <w:sz w:val="22"/>
          <w:szCs w:val="22"/>
          <w:shd w:val="clear" w:color="auto" w:fill="FFFFFF"/>
        </w:rPr>
        <w:t xml:space="preserve">Kalevandi, Y., Gholami, Z., Hakim, E., Aghaei, A., Varnaseri, S., &amp;Adiban, M. (2024). Investigating the concentration of sulfate, phosphate, iron, TDS (Total Dissolved Solids), and EC (Electrical Conductivity) parameters in drinking water sources of Ilam city from 2019 to 2023. Journal of Health Sciences Perspective, 1(1), 15-26. </w:t>
      </w:r>
      <w:hyperlink r:id="rId25" w:history="1">
        <w:r w:rsidRPr="003028AF">
          <w:rPr>
            <w:rStyle w:val="Hyperlink"/>
            <w:sz w:val="22"/>
            <w:szCs w:val="22"/>
            <w:shd w:val="clear" w:color="auto" w:fill="FFFFFF"/>
          </w:rPr>
          <w:t>http://jhsp.medilam.ac.ir/article-1-23-en.html</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[18] </w:t>
      </w:r>
      <w:r w:rsidRPr="00987D73">
        <w:rPr>
          <w:color w:val="222222"/>
          <w:sz w:val="22"/>
          <w:szCs w:val="22"/>
          <w:shd w:val="clear" w:color="auto" w:fill="FFFFFF"/>
        </w:rPr>
        <w:t xml:space="preserve">Han, D., Currell, M. J., Cao, G., &amp; Hall, B. (2017). Alterations to groundwater recharge due to anthropogenic landscape change. Journal of Hydrology, 554, 545-557. </w:t>
      </w:r>
      <w:hyperlink r:id="rId26" w:history="1">
        <w:r w:rsidRPr="003028AF">
          <w:rPr>
            <w:rStyle w:val="Hyperlink"/>
            <w:sz w:val="22"/>
            <w:szCs w:val="22"/>
            <w:shd w:val="clear" w:color="auto" w:fill="FFFFFF"/>
          </w:rPr>
          <w:t>https://doi.org/10.1016/j.jhydrol.2017.09.018</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lastRenderedPageBreak/>
        <w:t xml:space="preserve">[19] </w:t>
      </w:r>
      <w:r w:rsidRPr="00987D73">
        <w:rPr>
          <w:color w:val="222222"/>
          <w:sz w:val="22"/>
          <w:szCs w:val="22"/>
          <w:shd w:val="clear" w:color="auto" w:fill="FFFFFF"/>
        </w:rPr>
        <w:t xml:space="preserve">Adjovu, G. E., Stephen, H., &amp; Ahmad, S. (2023). Spatiotemporal variability in total dissolved solids and total suspended solids along the Colorado River. Hydrology, 10(6), 1–27. </w:t>
      </w:r>
      <w:hyperlink r:id="rId27" w:history="1">
        <w:r w:rsidRPr="003028AF">
          <w:rPr>
            <w:rStyle w:val="Hyperlink"/>
            <w:sz w:val="22"/>
            <w:szCs w:val="22"/>
            <w:shd w:val="clear" w:color="auto" w:fill="FFFFFF"/>
          </w:rPr>
          <w:t>https://doi.org/10.3390/hydrology10060125</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[20] </w:t>
      </w:r>
      <w:r w:rsidRPr="00987D73">
        <w:rPr>
          <w:color w:val="222222"/>
          <w:sz w:val="22"/>
          <w:szCs w:val="22"/>
          <w:shd w:val="clear" w:color="auto" w:fill="FFFFFF"/>
        </w:rPr>
        <w:t xml:space="preserve">Mosley, L. M. (2015). Drought impacts on the water quality of freshwater systems; review and integration. Earth-Science Reviews, 140, 203-214. </w:t>
      </w:r>
      <w:hyperlink r:id="rId28" w:history="1">
        <w:r w:rsidRPr="003028AF">
          <w:rPr>
            <w:rStyle w:val="Hyperlink"/>
            <w:sz w:val="22"/>
            <w:szCs w:val="22"/>
            <w:shd w:val="clear" w:color="auto" w:fill="FFFFFF"/>
          </w:rPr>
          <w:t>https://doi.org/10.1016/j.earscirev.2014.11.010</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[21] </w:t>
      </w:r>
      <w:r w:rsidRPr="00987D73">
        <w:rPr>
          <w:color w:val="222222"/>
          <w:sz w:val="22"/>
          <w:szCs w:val="22"/>
          <w:shd w:val="clear" w:color="auto" w:fill="FFFFFF"/>
        </w:rPr>
        <w:t xml:space="preserve">Xu, B., Wang, G., Yang, Q., &amp; Zheng, Y. (2018). Hydrological buffering during groundwater acidification in rapidly industrializing alluvial plains. Journal of Contaminant Hydrology. </w:t>
      </w:r>
      <w:hyperlink r:id="rId29" w:history="1">
        <w:r w:rsidRPr="003028AF">
          <w:rPr>
            <w:rStyle w:val="Hyperlink"/>
            <w:sz w:val="22"/>
            <w:szCs w:val="22"/>
            <w:shd w:val="clear" w:color="auto" w:fill="FFFFFF"/>
          </w:rPr>
          <w:t>https://doi.org/10.1016/j.jconhyd.2018.08.006</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[22] </w:t>
      </w:r>
      <w:r w:rsidRPr="00987D73">
        <w:rPr>
          <w:color w:val="222222"/>
          <w:sz w:val="22"/>
          <w:szCs w:val="22"/>
          <w:shd w:val="clear" w:color="auto" w:fill="FFFFFF"/>
        </w:rPr>
        <w:t xml:space="preserve">Emvoutou, H. C., Ketchemen Tandia, B., Ngo BoumNkot, S., Ebonji, R. C. S., Nlend, Y. B., Ekodeck, G. E., Stumpp, C., Maloszewski, P., &amp; Faye, S. (2018). Geologic factors controlling groundwater chemistry in the coastal aquifer system of Douala/Cameroon: implication for groundwater system functioning. *Environmental Earth Sciences*, *77*(5), 219. </w:t>
      </w:r>
      <w:hyperlink r:id="rId30" w:history="1">
        <w:r w:rsidRPr="003028AF">
          <w:rPr>
            <w:rStyle w:val="Hyperlink"/>
            <w:sz w:val="22"/>
            <w:szCs w:val="22"/>
            <w:shd w:val="clear" w:color="auto" w:fill="FFFFFF"/>
          </w:rPr>
          <w:t>https://doi.org/10.1007/s12665-018-7400-z</w:t>
        </w:r>
      </w:hyperlink>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[23] </w:t>
      </w:r>
      <w:r w:rsidRPr="00987D73">
        <w:rPr>
          <w:color w:val="222222"/>
          <w:sz w:val="22"/>
          <w:szCs w:val="22"/>
          <w:shd w:val="clear" w:color="auto" w:fill="FFFFFF"/>
        </w:rPr>
        <w:t xml:space="preserve">Tsai, Y. I., Hsieh, L. Y., Kuo, S. C., Chen, C. L., &amp; Wu, P. L. (2011). Seasonal and rainfall-type variations in inorganic ions and dicarboxylic acids and acidity of wet deposition samples collected from subtropical East Asia. Atmospheric Environment, 45(21), 3535-3547. </w:t>
      </w:r>
      <w:hyperlink r:id="rId31" w:history="1">
        <w:r w:rsidRPr="003028AF">
          <w:rPr>
            <w:rStyle w:val="Hyperlink"/>
            <w:sz w:val="22"/>
            <w:szCs w:val="22"/>
            <w:shd w:val="clear" w:color="auto" w:fill="FFFFFF"/>
          </w:rPr>
          <w:t>https://doi.org/10.1016/j.atmosenv.2011.04.001</w:t>
        </w:r>
      </w:hyperlink>
    </w:p>
    <w:p w:rsidR="0032672A" w:rsidRDefault="0032672A" w:rsidP="0032672A">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[24] </w:t>
      </w:r>
      <w:r w:rsidRPr="00987D73">
        <w:rPr>
          <w:color w:val="222222"/>
          <w:sz w:val="22"/>
          <w:szCs w:val="22"/>
          <w:shd w:val="clear" w:color="auto" w:fill="FFFFFF"/>
        </w:rPr>
        <w:t xml:space="preserve">Benz, S. A., Bayer, P., &amp; Blum, P. (2017). Global patterns of shallow groundwater temperatures. Environmental Research Letters, 12(3), 034005. https://doi.org/10.1088/1748-9326/aa5fb0 </w:t>
      </w:r>
    </w:p>
    <w:p w:rsidR="0032672A" w:rsidRPr="00930BEC" w:rsidRDefault="0032672A" w:rsidP="0032672A">
      <w:pPr>
        <w:pStyle w:val="NormalWeb"/>
        <w:spacing w:before="0" w:beforeAutospacing="0" w:after="120" w:afterAutospacing="0"/>
        <w:ind w:left="360" w:hanging="360"/>
        <w:jc w:val="both"/>
        <w:rPr>
          <w:sz w:val="22"/>
          <w:szCs w:val="22"/>
        </w:rPr>
      </w:pPr>
      <w:r w:rsidRPr="00930BEC">
        <w:rPr>
          <w:sz w:val="22"/>
          <w:szCs w:val="22"/>
        </w:rPr>
        <w:t xml:space="preserve">[25] </w:t>
      </w:r>
      <w:r w:rsidRPr="00987D73">
        <w:rPr>
          <w:color w:val="222222"/>
          <w:sz w:val="22"/>
          <w:szCs w:val="22"/>
          <w:shd w:val="clear" w:color="auto" w:fill="FFFFFF"/>
        </w:rPr>
        <w:t xml:space="preserve">Kurylyk, B. L., MacQuarrie, K. T. B., &amp; Voss, C. I. (2014). Climate change impacts on the temperature and magnitude of groundwater discharge from shallow, unconfined aquifers. Water Resources Research, 50(4), 3253-3274. </w:t>
      </w:r>
      <w:hyperlink r:id="rId32" w:history="1">
        <w:r w:rsidRPr="003028AF">
          <w:rPr>
            <w:rStyle w:val="Hyperlink"/>
            <w:sz w:val="22"/>
            <w:szCs w:val="22"/>
            <w:shd w:val="clear" w:color="auto" w:fill="FFFFFF"/>
          </w:rPr>
          <w:t>https://doi.org/10.1002/2013WR014588</w:t>
        </w:r>
      </w:hyperlink>
    </w:p>
    <w:p w:rsidR="0032672A" w:rsidRDefault="0032672A" w:rsidP="0032672A">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[26] </w:t>
      </w:r>
      <w:r w:rsidRPr="00987D73">
        <w:rPr>
          <w:color w:val="222222"/>
          <w:sz w:val="22"/>
          <w:szCs w:val="22"/>
          <w:shd w:val="clear" w:color="auto" w:fill="FFFFFF"/>
        </w:rPr>
        <w:t xml:space="preserve">Xiao, J., Jin, Z. D., Wang, J., &amp; Zhang, F. (2015). Hydrochemical characteristics, controlling factors and solute sources of groundwater within the Tarim River Basin in the extreme arid region, NW Tibetan Plateau. *Quaternary International*, *380*, 237-246. </w:t>
      </w:r>
      <w:hyperlink r:id="rId33" w:history="1">
        <w:r w:rsidRPr="003028AF">
          <w:rPr>
            <w:rStyle w:val="Hyperlink"/>
            <w:sz w:val="22"/>
            <w:szCs w:val="22"/>
            <w:shd w:val="clear" w:color="auto" w:fill="FFFFFF"/>
          </w:rPr>
          <w:t>https://doi.org/10.1016/j.quaint.2015.01.021</w:t>
        </w:r>
      </w:hyperlink>
    </w:p>
    <w:p w:rsidR="0032672A" w:rsidRPr="001462A2" w:rsidRDefault="0032672A" w:rsidP="0032672A">
      <w:pPr>
        <w:pStyle w:val="NormalWeb"/>
        <w:spacing w:before="0" w:beforeAutospacing="0" w:after="120" w:afterAutospacing="0"/>
        <w:ind w:left="360" w:hanging="360"/>
        <w:jc w:val="both"/>
        <w:rPr>
          <w:sz w:val="22"/>
          <w:szCs w:val="22"/>
        </w:rPr>
      </w:pPr>
    </w:p>
    <w:p w:rsidR="0032672A" w:rsidRDefault="0032672A" w:rsidP="0032672A">
      <w:pPr>
        <w:spacing w:after="0" w:line="240" w:lineRule="auto"/>
        <w:jc w:val="center"/>
      </w:pPr>
      <w:r w:rsidRPr="00740BD2">
        <w:rPr>
          <w:rFonts w:ascii="Times New Roman" w:hAnsi="Times New Roman" w:cs="Times New Roman"/>
          <w:noProof/>
          <w:sz w:val="24"/>
          <w:szCs w:val="24"/>
        </w:rPr>
        <w:drawing>
          <wp:inline distT="0" distB="0" distL="0" distR="0" wp14:anchorId="4A257FD8" wp14:editId="1BA657F0">
            <wp:extent cx="4709160" cy="31729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09160" cy="3172968"/>
                    </a:xfrm>
                    <a:prstGeom prst="rect">
                      <a:avLst/>
                    </a:prstGeom>
                    <a:noFill/>
                    <a:ln>
                      <a:noFill/>
                    </a:ln>
                  </pic:spPr>
                </pic:pic>
              </a:graphicData>
            </a:graphic>
          </wp:inline>
        </w:drawing>
      </w:r>
    </w:p>
    <w:p w:rsidR="0032672A" w:rsidRPr="001F3B92" w:rsidRDefault="004F1EA5" w:rsidP="0032672A">
      <w:pPr>
        <w:spacing w:after="0" w:line="240" w:lineRule="auto"/>
        <w:jc w:val="center"/>
        <w:rPr>
          <w:rFonts w:ascii="Times New Roman" w:hAnsi="Times New Roman" w:cs="Times New Roman"/>
          <w:b/>
        </w:rPr>
      </w:pPr>
      <w:r>
        <w:rPr>
          <w:rFonts w:ascii="Times New Roman" w:hAnsi="Times New Roman" w:cs="Times New Roman"/>
          <w:b/>
        </w:rPr>
        <w:t>Figure 3</w:t>
      </w:r>
      <w:r w:rsidR="0032672A" w:rsidRPr="001F3B92">
        <w:rPr>
          <w:rFonts w:ascii="Times New Roman" w:hAnsi="Times New Roman" w:cs="Times New Roman"/>
          <w:b/>
        </w:rPr>
        <w:t>. pH Values of Borehole Water Samples</w:t>
      </w:r>
    </w:p>
    <w:p w:rsidR="0032672A" w:rsidRDefault="0032672A" w:rsidP="0032672A">
      <w:pPr>
        <w:spacing w:after="39" w:line="256" w:lineRule="auto"/>
        <w:ind w:left="91"/>
        <w:jc w:val="center"/>
      </w:pPr>
    </w:p>
    <w:p w:rsidR="0032672A" w:rsidRDefault="0032672A" w:rsidP="0032672A">
      <w:pPr>
        <w:spacing w:after="0" w:line="240" w:lineRule="auto"/>
        <w:jc w:val="center"/>
        <w:rPr>
          <w:rFonts w:ascii="Times New Roman" w:hAnsi="Times New Roman" w:cs="Times New Roman"/>
        </w:rPr>
      </w:pPr>
      <w:r w:rsidRPr="00740BD2">
        <w:rPr>
          <w:rFonts w:ascii="Times New Roman" w:hAnsi="Times New Roman" w:cs="Times New Roman"/>
          <w:noProof/>
          <w:sz w:val="24"/>
          <w:szCs w:val="24"/>
        </w:rPr>
        <w:drawing>
          <wp:inline distT="0" distB="0" distL="0" distR="0" wp14:anchorId="57885D31" wp14:editId="256BF3D3">
            <wp:extent cx="4663440" cy="3145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63440" cy="3145536"/>
                    </a:xfrm>
                    <a:prstGeom prst="rect">
                      <a:avLst/>
                    </a:prstGeom>
                    <a:noFill/>
                    <a:ln>
                      <a:noFill/>
                    </a:ln>
                  </pic:spPr>
                </pic:pic>
              </a:graphicData>
            </a:graphic>
          </wp:inline>
        </w:drawing>
      </w:r>
    </w:p>
    <w:p w:rsidR="0032672A" w:rsidRPr="000B2A63" w:rsidRDefault="004F1EA5" w:rsidP="0032672A">
      <w:pPr>
        <w:spacing w:after="0" w:line="240" w:lineRule="auto"/>
        <w:jc w:val="center"/>
        <w:rPr>
          <w:rFonts w:ascii="Times New Roman" w:hAnsi="Times New Roman" w:cs="Times New Roman"/>
          <w:b/>
        </w:rPr>
      </w:pPr>
      <w:r>
        <w:rPr>
          <w:rFonts w:ascii="Times New Roman" w:hAnsi="Times New Roman" w:cs="Times New Roman"/>
          <w:b/>
        </w:rPr>
        <w:t>Figure 4</w:t>
      </w:r>
      <w:r w:rsidR="0032672A" w:rsidRPr="001F3B92">
        <w:rPr>
          <w:rFonts w:ascii="Times New Roman" w:hAnsi="Times New Roman" w:cs="Times New Roman"/>
          <w:b/>
        </w:rPr>
        <w:t>. Temperature in Borehole Water Samples</w:t>
      </w:r>
    </w:p>
    <w:p w:rsidR="0032672A" w:rsidRPr="00740BD2" w:rsidRDefault="0032672A" w:rsidP="0032672A">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14:anchorId="3975A305" wp14:editId="70FBC796">
            <wp:extent cx="4709160" cy="31729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09160" cy="3172968"/>
                    </a:xfrm>
                    <a:prstGeom prst="rect">
                      <a:avLst/>
                    </a:prstGeom>
                    <a:noFill/>
                    <a:ln>
                      <a:noFill/>
                    </a:ln>
                  </pic:spPr>
                </pic:pic>
              </a:graphicData>
            </a:graphic>
          </wp:inline>
        </w:drawing>
      </w:r>
    </w:p>
    <w:p w:rsidR="0032672A" w:rsidRPr="00AB1AF3" w:rsidRDefault="004F1EA5" w:rsidP="0032672A">
      <w:pPr>
        <w:spacing w:after="0" w:line="240" w:lineRule="auto"/>
        <w:jc w:val="center"/>
        <w:rPr>
          <w:rFonts w:ascii="Times New Roman" w:hAnsi="Times New Roman" w:cs="Times New Roman"/>
          <w:sz w:val="20"/>
        </w:rPr>
      </w:pPr>
      <w:r>
        <w:rPr>
          <w:rFonts w:ascii="Times New Roman" w:hAnsi="Times New Roman" w:cs="Times New Roman"/>
          <w:b/>
          <w:szCs w:val="24"/>
        </w:rPr>
        <w:t>Figure 5</w:t>
      </w:r>
      <w:r w:rsidR="0032672A" w:rsidRPr="00AB1AF3">
        <w:rPr>
          <w:rFonts w:ascii="Times New Roman" w:hAnsi="Times New Roman" w:cs="Times New Roman"/>
          <w:b/>
          <w:szCs w:val="24"/>
        </w:rPr>
        <w:t>. Turbidity in Borehole Water Samples</w:t>
      </w:r>
    </w:p>
    <w:p w:rsidR="0032672A" w:rsidRDefault="0032672A" w:rsidP="0032672A">
      <w:pPr>
        <w:spacing w:after="0" w:line="240" w:lineRule="auto"/>
        <w:jc w:val="center"/>
        <w:rPr>
          <w:rFonts w:ascii="Times New Roman" w:hAnsi="Times New Roman" w:cs="Times New Roman"/>
        </w:rPr>
      </w:pPr>
    </w:p>
    <w:p w:rsidR="0032672A" w:rsidRPr="00740BD2" w:rsidRDefault="0032672A" w:rsidP="0032672A">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14:anchorId="0624BE5B" wp14:editId="4AA75C16">
            <wp:extent cx="466344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440" cy="3017520"/>
                    </a:xfrm>
                    <a:prstGeom prst="rect">
                      <a:avLst/>
                    </a:prstGeom>
                    <a:noFill/>
                    <a:ln>
                      <a:noFill/>
                    </a:ln>
                  </pic:spPr>
                </pic:pic>
              </a:graphicData>
            </a:graphic>
          </wp:inline>
        </w:drawing>
      </w:r>
    </w:p>
    <w:p w:rsidR="0032672A" w:rsidRPr="0038285C" w:rsidRDefault="004F1EA5" w:rsidP="0032672A">
      <w:pPr>
        <w:spacing w:after="0" w:line="240" w:lineRule="auto"/>
        <w:jc w:val="center"/>
        <w:rPr>
          <w:rFonts w:ascii="Times New Roman" w:hAnsi="Times New Roman" w:cs="Times New Roman"/>
          <w:b/>
          <w:szCs w:val="24"/>
        </w:rPr>
      </w:pPr>
      <w:r>
        <w:rPr>
          <w:rFonts w:ascii="Times New Roman" w:hAnsi="Times New Roman" w:cs="Times New Roman"/>
          <w:b/>
          <w:szCs w:val="24"/>
        </w:rPr>
        <w:t>Figure 6</w:t>
      </w:r>
      <w:r w:rsidR="0032672A" w:rsidRPr="0038285C">
        <w:rPr>
          <w:rFonts w:ascii="Times New Roman" w:hAnsi="Times New Roman" w:cs="Times New Roman"/>
          <w:b/>
          <w:szCs w:val="24"/>
        </w:rPr>
        <w:t>. Electrical Conductivity of Borehole Water Samples</w:t>
      </w:r>
    </w:p>
    <w:p w:rsidR="0032672A" w:rsidRDefault="0032672A" w:rsidP="0032672A">
      <w:pPr>
        <w:spacing w:after="0" w:line="240" w:lineRule="auto"/>
        <w:jc w:val="center"/>
        <w:rPr>
          <w:rFonts w:ascii="Times New Roman" w:hAnsi="Times New Roman" w:cs="Times New Roman"/>
          <w:szCs w:val="24"/>
        </w:rPr>
      </w:pPr>
    </w:p>
    <w:p w:rsidR="0032672A" w:rsidRPr="00740BD2" w:rsidRDefault="0032672A" w:rsidP="0032672A">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14:anchorId="11848638" wp14:editId="241DDE19">
            <wp:extent cx="4700016" cy="31729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00016" cy="3172968"/>
                    </a:xfrm>
                    <a:prstGeom prst="rect">
                      <a:avLst/>
                    </a:prstGeom>
                    <a:noFill/>
                    <a:ln>
                      <a:noFill/>
                    </a:ln>
                  </pic:spPr>
                </pic:pic>
              </a:graphicData>
            </a:graphic>
          </wp:inline>
        </w:drawing>
      </w:r>
    </w:p>
    <w:p w:rsidR="0032672A" w:rsidRPr="002121C5" w:rsidRDefault="00D679C8" w:rsidP="0032672A">
      <w:pPr>
        <w:spacing w:after="0" w:line="240" w:lineRule="auto"/>
        <w:jc w:val="center"/>
        <w:rPr>
          <w:rFonts w:ascii="Times New Roman" w:hAnsi="Times New Roman" w:cs="Times New Roman"/>
          <w:b/>
          <w:szCs w:val="24"/>
        </w:rPr>
      </w:pPr>
      <w:r>
        <w:rPr>
          <w:rFonts w:ascii="Times New Roman" w:hAnsi="Times New Roman" w:cs="Times New Roman"/>
          <w:b/>
          <w:szCs w:val="24"/>
        </w:rPr>
        <w:t>Figure 7</w:t>
      </w:r>
      <w:r w:rsidR="0032672A" w:rsidRPr="002121C5">
        <w:rPr>
          <w:rFonts w:ascii="Times New Roman" w:hAnsi="Times New Roman" w:cs="Times New Roman"/>
          <w:b/>
          <w:szCs w:val="24"/>
        </w:rPr>
        <w:t>. Total Suspended Solids in Borehole Water Samples</w:t>
      </w:r>
    </w:p>
    <w:p w:rsidR="0032672A" w:rsidRDefault="0032672A" w:rsidP="0032672A">
      <w:pPr>
        <w:spacing w:after="0" w:line="240" w:lineRule="auto"/>
        <w:jc w:val="center"/>
        <w:rPr>
          <w:rFonts w:ascii="Times New Roman" w:hAnsi="Times New Roman" w:cs="Times New Roman"/>
          <w:szCs w:val="24"/>
        </w:rPr>
      </w:pPr>
    </w:p>
    <w:p w:rsidR="0032672A" w:rsidRPr="00740BD2" w:rsidRDefault="0032672A" w:rsidP="0032672A">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14:anchorId="28DE3110" wp14:editId="6F0CED54">
            <wp:extent cx="4663440" cy="3145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63440" cy="3145536"/>
                    </a:xfrm>
                    <a:prstGeom prst="rect">
                      <a:avLst/>
                    </a:prstGeom>
                    <a:noFill/>
                    <a:ln>
                      <a:noFill/>
                    </a:ln>
                  </pic:spPr>
                </pic:pic>
              </a:graphicData>
            </a:graphic>
          </wp:inline>
        </w:drawing>
      </w:r>
    </w:p>
    <w:p w:rsidR="0032672A" w:rsidRPr="000B2A63" w:rsidRDefault="00D679C8" w:rsidP="0032672A">
      <w:pPr>
        <w:spacing w:after="0" w:line="240" w:lineRule="auto"/>
        <w:jc w:val="center"/>
        <w:rPr>
          <w:rFonts w:ascii="Times New Roman" w:hAnsi="Times New Roman" w:cs="Times New Roman"/>
          <w:b/>
          <w:sz w:val="18"/>
          <w:szCs w:val="24"/>
        </w:rPr>
      </w:pPr>
      <w:r>
        <w:rPr>
          <w:rFonts w:ascii="Times New Roman" w:hAnsi="Times New Roman" w:cs="Times New Roman"/>
          <w:b/>
          <w:szCs w:val="24"/>
        </w:rPr>
        <w:t>Figure 8</w:t>
      </w:r>
      <w:r w:rsidR="0032672A" w:rsidRPr="000B2A63">
        <w:rPr>
          <w:rFonts w:ascii="Times New Roman" w:hAnsi="Times New Roman" w:cs="Times New Roman"/>
          <w:b/>
          <w:szCs w:val="24"/>
        </w:rPr>
        <w:t>. Total Dissolved Solids in Borehole Water Samples</w:t>
      </w:r>
    </w:p>
    <w:p w:rsidR="0032672A" w:rsidRDefault="0032672A" w:rsidP="0032672A">
      <w:pPr>
        <w:spacing w:after="0" w:line="240" w:lineRule="auto"/>
        <w:jc w:val="both"/>
        <w:rPr>
          <w:rFonts w:ascii="Times New Roman" w:hAnsi="Times New Roman" w:cs="Times New Roman"/>
        </w:rPr>
      </w:pPr>
    </w:p>
    <w:p w:rsidR="0032672A" w:rsidRDefault="0032672A" w:rsidP="0032672A">
      <w:pPr>
        <w:spacing w:after="0" w:line="240" w:lineRule="auto"/>
        <w:jc w:val="both"/>
        <w:rPr>
          <w:rFonts w:ascii="Times New Roman" w:hAnsi="Times New Roman" w:cs="Times New Roman"/>
        </w:rPr>
      </w:pPr>
    </w:p>
    <w:p w:rsidR="0032672A" w:rsidRDefault="0032672A" w:rsidP="0032672A">
      <w:pPr>
        <w:tabs>
          <w:tab w:val="center" w:pos="4006"/>
          <w:tab w:val="center" w:pos="9105"/>
        </w:tabs>
        <w:spacing w:after="0" w:line="256" w:lineRule="auto"/>
      </w:pPr>
    </w:p>
    <w:p w:rsidR="0032672A" w:rsidRPr="00CD0AEF" w:rsidRDefault="0032672A" w:rsidP="0032672A">
      <w:pPr>
        <w:spacing w:after="0" w:line="240" w:lineRule="auto"/>
        <w:jc w:val="both"/>
        <w:rPr>
          <w:rFonts w:ascii="Times New Roman" w:hAnsi="Times New Roman" w:cs="Times New Roman"/>
        </w:rPr>
      </w:pPr>
    </w:p>
    <w:p w:rsidR="0032672A" w:rsidRDefault="0032672A" w:rsidP="0032672A">
      <w:pPr>
        <w:pStyle w:val="NormalWeb"/>
        <w:spacing w:before="0" w:beforeAutospacing="0" w:after="120" w:afterAutospacing="0"/>
        <w:jc w:val="both"/>
        <w:rPr>
          <w:sz w:val="22"/>
        </w:rPr>
      </w:pPr>
    </w:p>
    <w:p w:rsidR="0032672A" w:rsidRPr="0052260E" w:rsidRDefault="0032672A" w:rsidP="0032672A">
      <w:pPr>
        <w:pStyle w:val="NormalWeb"/>
        <w:spacing w:before="0" w:beforeAutospacing="0" w:after="120" w:afterAutospacing="0"/>
        <w:jc w:val="both"/>
        <w:rPr>
          <w:sz w:val="22"/>
        </w:rPr>
      </w:pPr>
    </w:p>
    <w:p w:rsidR="0032672A" w:rsidRPr="0032672A" w:rsidRDefault="0032672A" w:rsidP="0032672A">
      <w:pPr>
        <w:spacing w:after="120"/>
        <w:jc w:val="both"/>
        <w:rPr>
          <w:rFonts w:ascii="Times New Roman" w:hAnsi="Times New Roman" w:cs="Times New Roman"/>
        </w:rPr>
      </w:pPr>
    </w:p>
    <w:sectPr w:rsidR="0032672A" w:rsidRPr="0032672A" w:rsidSect="0032672A">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698" w:rsidRDefault="00164698">
      <w:pPr>
        <w:spacing w:after="0" w:line="240" w:lineRule="auto"/>
      </w:pPr>
      <w:r>
        <w:separator/>
      </w:r>
    </w:p>
  </w:endnote>
  <w:endnote w:type="continuationSeparator" w:id="0">
    <w:p w:rsidR="00164698" w:rsidRDefault="0016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32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326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32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698" w:rsidRDefault="00164698">
      <w:pPr>
        <w:spacing w:after="0" w:line="240" w:lineRule="auto"/>
      </w:pPr>
      <w:r>
        <w:separator/>
      </w:r>
    </w:p>
  </w:footnote>
  <w:footnote w:type="continuationSeparator" w:id="0">
    <w:p w:rsidR="00164698" w:rsidRDefault="0016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164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6" o:spid="_x0000_s205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164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7" o:spid="_x0000_s2051"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72A" w:rsidRDefault="00164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5"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2A"/>
    <w:rsid w:val="000304E8"/>
    <w:rsid w:val="00087C07"/>
    <w:rsid w:val="000E2E6F"/>
    <w:rsid w:val="0011171C"/>
    <w:rsid w:val="00164698"/>
    <w:rsid w:val="00166F25"/>
    <w:rsid w:val="00237F33"/>
    <w:rsid w:val="0032672A"/>
    <w:rsid w:val="00335EE9"/>
    <w:rsid w:val="003453B9"/>
    <w:rsid w:val="003706F6"/>
    <w:rsid w:val="003B3A88"/>
    <w:rsid w:val="003F041E"/>
    <w:rsid w:val="004F1EA5"/>
    <w:rsid w:val="00534538"/>
    <w:rsid w:val="00573415"/>
    <w:rsid w:val="005E0EF2"/>
    <w:rsid w:val="005F44E3"/>
    <w:rsid w:val="00614747"/>
    <w:rsid w:val="00645971"/>
    <w:rsid w:val="006678CA"/>
    <w:rsid w:val="00676305"/>
    <w:rsid w:val="006D183D"/>
    <w:rsid w:val="006E3DD3"/>
    <w:rsid w:val="00777986"/>
    <w:rsid w:val="007910F0"/>
    <w:rsid w:val="008B6A93"/>
    <w:rsid w:val="008F24EF"/>
    <w:rsid w:val="008F56CE"/>
    <w:rsid w:val="00945C2C"/>
    <w:rsid w:val="009E0ECB"/>
    <w:rsid w:val="00AE16BD"/>
    <w:rsid w:val="00D00F2A"/>
    <w:rsid w:val="00D33567"/>
    <w:rsid w:val="00D679C8"/>
    <w:rsid w:val="00D7673D"/>
    <w:rsid w:val="00DC2C48"/>
    <w:rsid w:val="00EB4482"/>
    <w:rsid w:val="00F20A73"/>
    <w:rsid w:val="00F411A9"/>
    <w:rsid w:val="00F83564"/>
    <w:rsid w:val="00FA216F"/>
    <w:rsid w:val="00FD7BBC"/>
    <w:rsid w:val="00FF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B3DE92"/>
  <w15:chartTrackingRefBased/>
  <w15:docId w15:val="{CD7D9CF2-0608-4D76-9164-90D2C019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72A"/>
  </w:style>
  <w:style w:type="paragraph" w:styleId="Heading1">
    <w:name w:val="heading 1"/>
    <w:next w:val="Normal"/>
    <w:link w:val="Heading1Char"/>
    <w:uiPriority w:val="9"/>
    <w:unhideWhenUsed/>
    <w:qFormat/>
    <w:rsid w:val="0032672A"/>
    <w:pPr>
      <w:keepNext/>
      <w:keepLines/>
      <w:spacing w:after="251" w:line="262" w:lineRule="auto"/>
      <w:ind w:left="10" w:right="4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2A"/>
    <w:rPr>
      <w:rFonts w:ascii="Times New Roman" w:eastAsia="Times New Roman" w:hAnsi="Times New Roman" w:cs="Times New Roman"/>
      <w:b/>
      <w:color w:val="000000"/>
      <w:sz w:val="24"/>
    </w:rPr>
  </w:style>
  <w:style w:type="character" w:customStyle="1" w:styleId="HeaderChar">
    <w:name w:val="Header Char"/>
    <w:basedOn w:val="DefaultParagraphFont"/>
    <w:link w:val="Header"/>
    <w:uiPriority w:val="99"/>
    <w:rsid w:val="0032672A"/>
  </w:style>
  <w:style w:type="paragraph" w:styleId="Header">
    <w:name w:val="header"/>
    <w:basedOn w:val="Normal"/>
    <w:link w:val="HeaderChar"/>
    <w:uiPriority w:val="99"/>
    <w:unhideWhenUsed/>
    <w:rsid w:val="0032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A"/>
  </w:style>
  <w:style w:type="paragraph" w:styleId="Footer">
    <w:name w:val="footer"/>
    <w:basedOn w:val="Normal"/>
    <w:link w:val="FooterChar"/>
    <w:uiPriority w:val="99"/>
    <w:unhideWhenUsed/>
    <w:rsid w:val="0032672A"/>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32672A"/>
    <w:rPr>
      <w:rFonts w:ascii="Tahoma" w:hAnsi="Tahoma" w:cs="Tahoma"/>
      <w:sz w:val="16"/>
      <w:szCs w:val="16"/>
    </w:rPr>
  </w:style>
  <w:style w:type="paragraph" w:styleId="BalloonText">
    <w:name w:val="Balloon Text"/>
    <w:basedOn w:val="Normal"/>
    <w:link w:val="BalloonTextChar"/>
    <w:uiPriority w:val="99"/>
    <w:semiHidden/>
    <w:unhideWhenUsed/>
    <w:rsid w:val="0032672A"/>
    <w:pPr>
      <w:spacing w:after="0" w:line="240" w:lineRule="auto"/>
    </w:pPr>
    <w:rPr>
      <w:rFonts w:ascii="Tahoma" w:hAnsi="Tahoma" w:cs="Tahoma"/>
      <w:sz w:val="16"/>
      <w:szCs w:val="16"/>
    </w:rPr>
  </w:style>
  <w:style w:type="paragraph" w:styleId="NormalWeb">
    <w:name w:val="Normal (Web)"/>
    <w:basedOn w:val="Normal"/>
    <w:uiPriority w:val="99"/>
    <w:unhideWhenUsed/>
    <w:rsid w:val="003267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672A"/>
    <w:rPr>
      <w:color w:val="0563C1" w:themeColor="hyperlink"/>
      <w:u w:val="single"/>
    </w:rPr>
  </w:style>
  <w:style w:type="character" w:styleId="PlaceholderText">
    <w:name w:val="Placeholder Text"/>
    <w:basedOn w:val="DefaultParagraphFont"/>
    <w:uiPriority w:val="99"/>
    <w:semiHidden/>
    <w:rsid w:val="006D1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17.06.157" TargetMode="External"/><Relationship Id="rId18" Type="http://schemas.openxmlformats.org/officeDocument/2006/relationships/hyperlink" Target="https://doi.org/10.1007/s43832-022-00023-9" TargetMode="External"/><Relationship Id="rId26" Type="http://schemas.openxmlformats.org/officeDocument/2006/relationships/hyperlink" Target="https://doi.org/10.1016/j.jhydrol.2017.09.018" TargetMode="External"/><Relationship Id="rId39" Type="http://schemas.openxmlformats.org/officeDocument/2006/relationships/image" Target="media/image9.emf"/><Relationship Id="rId21" Type="http://schemas.openxmlformats.org/officeDocument/2006/relationships/hyperlink" Target="https://doi.org/10.5897/IJWREE12.038" TargetMode="External"/><Relationship Id="rId34" Type="http://schemas.openxmlformats.org/officeDocument/2006/relationships/image" Target="media/image4.e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iwapublishing.com/books/9781843390795/protecting-groundwater-health-managing-quality-drinking-water-sources" TargetMode="External"/><Relationship Id="rId29" Type="http://schemas.openxmlformats.org/officeDocument/2006/relationships/hyperlink" Target="https://doi.org/10.1016/j.jconhyd.2018.08.00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90/w13040490" TargetMode="External"/><Relationship Id="rId24" Type="http://schemas.openxmlformats.org/officeDocument/2006/relationships/hyperlink" Target="https://doi.org/10.1007/s11356-017-8402-1" TargetMode="External"/><Relationship Id="rId32" Type="http://schemas.openxmlformats.org/officeDocument/2006/relationships/hyperlink" Target="https://doi.org/10.1002/2013WR014588" TargetMode="External"/><Relationship Id="rId37" Type="http://schemas.openxmlformats.org/officeDocument/2006/relationships/image" Target="media/image7.em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3390/w13040568" TargetMode="External"/><Relationship Id="rId23" Type="http://schemas.openxmlformats.org/officeDocument/2006/relationships/hyperlink" Target="https://doi.org/10.3390/rs15143534" TargetMode="External"/><Relationship Id="rId28" Type="http://schemas.openxmlformats.org/officeDocument/2006/relationships/hyperlink" Target="https://doi.org/10.1016/j.earscirev.2014.11.010" TargetMode="External"/><Relationship Id="rId36" Type="http://schemas.openxmlformats.org/officeDocument/2006/relationships/image" Target="media/image6.emf"/><Relationship Id="rId10" Type="http://schemas.openxmlformats.org/officeDocument/2006/relationships/hyperlink" Target="http://www.ijraset.com/fileserve.php?FID=12295" TargetMode="External"/><Relationship Id="rId19" Type="http://schemas.openxmlformats.org/officeDocument/2006/relationships/hyperlink" Target="https://doi.org/10.1007/s10653-021-01140-5" TargetMode="External"/><Relationship Id="rId31" Type="http://schemas.openxmlformats.org/officeDocument/2006/relationships/hyperlink" Target="https://doi.org/10.1016/j.atmosenv.2011.04.001"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07/s11269-017-1734-2" TargetMode="External"/><Relationship Id="rId14" Type="http://schemas.openxmlformats.org/officeDocument/2006/relationships/hyperlink" Target="https://doi.org/10.1007/s13280-011-0152-6" TargetMode="External"/><Relationship Id="rId22" Type="http://schemas.openxmlformats.org/officeDocument/2006/relationships/hyperlink" Target="https://doi.org/10.3390/soilsystems2030051" TargetMode="External"/><Relationship Id="rId27" Type="http://schemas.openxmlformats.org/officeDocument/2006/relationships/hyperlink" Target="https://doi.org/10.3390/hydrology10060125" TargetMode="External"/><Relationship Id="rId30" Type="http://schemas.openxmlformats.org/officeDocument/2006/relationships/hyperlink" Target="https://doi.org/10.1007/s12665-018-7400-z" TargetMode="External"/><Relationship Id="rId35" Type="http://schemas.openxmlformats.org/officeDocument/2006/relationships/image" Target="media/image5.emf"/><Relationship Id="rId43" Type="http://schemas.openxmlformats.org/officeDocument/2006/relationships/footer" Target="footer2.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hyperlink" Target="https://resdojournals.com/index.php/JEEPO/article/view/93" TargetMode="External"/><Relationship Id="rId17" Type="http://schemas.openxmlformats.org/officeDocument/2006/relationships/hyperlink" Target="https://doi.org/10.24966/AMR-694X/100013" TargetMode="External"/><Relationship Id="rId25" Type="http://schemas.openxmlformats.org/officeDocument/2006/relationships/hyperlink" Target="http://jhsp.medilam.ac.ir/article-1-23-en.html" TargetMode="External"/><Relationship Id="rId33" Type="http://schemas.openxmlformats.org/officeDocument/2006/relationships/hyperlink" Target="https://doi.org/10.1016/j.quaint.2015.01.021" TargetMode="External"/><Relationship Id="rId38" Type="http://schemas.openxmlformats.org/officeDocument/2006/relationships/image" Target="media/image8.emf"/><Relationship Id="rId46" Type="http://schemas.openxmlformats.org/officeDocument/2006/relationships/fontTable" Target="fontTable.xml"/><Relationship Id="rId20" Type="http://schemas.openxmlformats.org/officeDocument/2006/relationships/hyperlink" Target="https://doi.org/10.1080/21553769.2014.93371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1137</cp:lastModifiedBy>
  <cp:revision>3</cp:revision>
  <dcterms:created xsi:type="dcterms:W3CDTF">2025-12-14T18:36:00Z</dcterms:created>
  <dcterms:modified xsi:type="dcterms:W3CDTF">2025-12-15T06:46:00Z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540969e0-013c-4a2d-a4e4-17a556070029</vt:lpwstr>
  </property>
</Properties>
</file>