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98A" w:rsidRPr="0024598A" w:rsidRDefault="0024598A" w:rsidP="00B54EBD">
      <w:pPr>
        <w:pStyle w:val="Author"/>
        <w:spacing w:line="240" w:lineRule="auto"/>
        <w:jc w:val="left"/>
        <w:rPr>
          <w:rFonts w:ascii="Arial" w:hAnsi="Arial" w:cs="Arial"/>
          <w:bCs/>
          <w:iCs/>
          <w:kern w:val="28"/>
          <w:sz w:val="36"/>
        </w:rPr>
      </w:pPr>
      <w:r w:rsidRPr="0024598A">
        <w:rPr>
          <w:rFonts w:ascii="Arial" w:hAnsi="Arial" w:cs="Arial"/>
          <w:bCs/>
          <w:iCs/>
          <w:kern w:val="28"/>
          <w:sz w:val="36"/>
        </w:rPr>
        <w:t>Evaluation of Panbio</w:t>
      </w:r>
      <w:r w:rsidRPr="0024598A">
        <w:rPr>
          <w:rFonts w:ascii="Arial" w:hAnsi="Arial" w:cs="Arial"/>
          <w:bCs/>
          <w:iCs/>
          <w:kern w:val="28"/>
          <w:sz w:val="36"/>
          <w:vertAlign w:val="superscript"/>
        </w:rPr>
        <w:t>TM</w:t>
      </w:r>
      <w:r w:rsidRPr="0024598A">
        <w:rPr>
          <w:rFonts w:ascii="Arial" w:hAnsi="Arial" w:cs="Arial"/>
          <w:bCs/>
          <w:iCs/>
          <w:kern w:val="28"/>
          <w:sz w:val="36"/>
        </w:rPr>
        <w:t xml:space="preserve"> COVID-19 Ag Rapid Test as a Point of </w:t>
      </w:r>
      <w:r w:rsidR="00B54EBD">
        <w:rPr>
          <w:rFonts w:ascii="Arial" w:hAnsi="Arial" w:cs="Arial"/>
          <w:bCs/>
          <w:iCs/>
          <w:kern w:val="28"/>
          <w:sz w:val="36"/>
        </w:rPr>
        <w:t>Care f</w:t>
      </w:r>
      <w:r w:rsidR="00B54EBD" w:rsidRPr="0024598A">
        <w:rPr>
          <w:rFonts w:ascii="Arial" w:hAnsi="Arial" w:cs="Arial"/>
          <w:bCs/>
          <w:iCs/>
          <w:kern w:val="28"/>
          <w:sz w:val="36"/>
        </w:rPr>
        <w:t xml:space="preserve">or Triage </w:t>
      </w:r>
      <w:r w:rsidR="00B54EBD">
        <w:rPr>
          <w:rFonts w:ascii="Arial" w:hAnsi="Arial" w:cs="Arial"/>
          <w:bCs/>
          <w:iCs/>
          <w:kern w:val="28"/>
          <w:sz w:val="36"/>
        </w:rPr>
        <w:t>of Symptomatic Patients at the Entry Points of a</w:t>
      </w:r>
      <w:r w:rsidR="00B54EBD" w:rsidRPr="0024598A">
        <w:rPr>
          <w:rFonts w:ascii="Arial" w:hAnsi="Arial" w:cs="Arial"/>
          <w:bCs/>
          <w:iCs/>
          <w:kern w:val="28"/>
          <w:sz w:val="36"/>
        </w:rPr>
        <w:t xml:space="preserve"> Public Hospital </w:t>
      </w:r>
      <w:r w:rsidRPr="0024598A">
        <w:rPr>
          <w:rFonts w:ascii="Arial" w:hAnsi="Arial" w:cs="Arial"/>
          <w:bCs/>
          <w:iCs/>
          <w:kern w:val="28"/>
          <w:sz w:val="36"/>
        </w:rPr>
        <w:t>in Gabon</w:t>
      </w:r>
    </w:p>
    <w:p w:rsidR="00A258C3" w:rsidRPr="00790ADA" w:rsidRDefault="00A258C3" w:rsidP="00441B6F">
      <w:pPr>
        <w:pStyle w:val="Author"/>
        <w:spacing w:line="240" w:lineRule="auto"/>
        <w:jc w:val="both"/>
        <w:rPr>
          <w:rFonts w:ascii="Arial" w:hAnsi="Arial" w:cs="Arial"/>
          <w:sz w:val="36"/>
        </w:rPr>
      </w:pPr>
    </w:p>
    <w:p w:rsidR="00B01FCD" w:rsidRPr="006D6946" w:rsidRDefault="001D0AB8" w:rsidP="00441B6F">
      <w:pPr>
        <w:pStyle w:val="Copyright"/>
        <w:spacing w:after="0" w:line="240" w:lineRule="auto"/>
        <w:jc w:val="both"/>
        <w:rPr>
          <w:rFonts w:ascii="Arial" w:hAnsi="Arial" w:cs="Arial"/>
          <w:b/>
          <w:sz w:val="20"/>
        </w:rPr>
      </w:pPr>
      <w:r w:rsidRPr="006D6946">
        <w:rPr>
          <w:rFonts w:ascii="Arial" w:hAnsi="Arial" w:cs="Arial"/>
          <w:b/>
          <w:sz w:val="20"/>
        </w:rPr>
        <w:t>Abstract</w:t>
      </w:r>
    </w:p>
    <w:p w:rsidR="006D6946" w:rsidRDefault="006D6946" w:rsidP="00441B6F">
      <w:pPr>
        <w:pStyle w:val="Copyright"/>
        <w:spacing w:after="0" w:line="240" w:lineRule="auto"/>
        <w:jc w:val="both"/>
        <w:rPr>
          <w:rFonts w:ascii="Arial" w:hAnsi="Arial" w:cs="Arial"/>
          <w:sz w:val="20"/>
        </w:rPr>
      </w:pPr>
    </w:p>
    <w:p w:rsidR="006D6946" w:rsidRPr="006D6946" w:rsidRDefault="006D6946" w:rsidP="00441B6F">
      <w:pPr>
        <w:pStyle w:val="Copyright"/>
        <w:spacing w:after="0" w:line="240" w:lineRule="auto"/>
        <w:jc w:val="both"/>
        <w:rPr>
          <w:rFonts w:ascii="Arial" w:hAnsi="Arial" w:cs="Arial"/>
          <w:sz w:val="20"/>
        </w:rPr>
        <w:sectPr w:rsidR="006D6946" w:rsidRPr="006D6946" w:rsidSect="006D69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1E44FE" w:rsidTr="00C37C2E">
        <w:tc>
          <w:tcPr>
            <w:tcW w:w="8424"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lastRenderedPageBreak/>
              <w:t xml:space="preserve">Aims: </w:t>
            </w:r>
            <w:r w:rsidR="001333F6" w:rsidRPr="002E2079">
              <w:rPr>
                <w:rFonts w:ascii="Arial" w:eastAsia="Calibri" w:hAnsi="Arial" w:cs="Arial"/>
                <w:szCs w:val="22"/>
              </w:rPr>
              <w:t>Rapid antigen testing plays a crucial role in COVID-19 triage, particularly in settings where access to molecular diagnostics is limited.</w:t>
            </w:r>
            <w:r w:rsidR="00D6304D" w:rsidRPr="00D6304D">
              <w:rPr>
                <w:rFonts w:ascii="Arial" w:eastAsia="Calibri" w:hAnsi="Arial" w:cs="Arial"/>
                <w:szCs w:val="22"/>
              </w:rPr>
              <w:t>The aim of this study was to evaluate the performance of the Panbio</w:t>
            </w:r>
            <w:r w:rsidR="00D6304D" w:rsidRPr="002E2079">
              <w:rPr>
                <w:rFonts w:ascii="Arial" w:eastAsia="Calibri" w:hAnsi="Arial" w:cs="Arial"/>
                <w:szCs w:val="22"/>
                <w:vertAlign w:val="superscript"/>
              </w:rPr>
              <w:t>TM</w:t>
            </w:r>
            <w:r w:rsidR="00D6304D" w:rsidRPr="00D6304D">
              <w:rPr>
                <w:rFonts w:ascii="Arial" w:eastAsia="Calibri" w:hAnsi="Arial" w:cs="Arial"/>
                <w:szCs w:val="22"/>
              </w:rPr>
              <w:t xml:space="preserve"> COVID-19 Ag Rapid Diagnostic Test in symptomatic patients for the diagnosis of SARS-CoV-2 infection using RT-PCR as a reference technique in Gabon.</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D6304D" w:rsidRPr="00D6304D">
              <w:rPr>
                <w:rFonts w:ascii="Arial" w:eastAsia="Calibri" w:hAnsi="Arial" w:cs="Arial"/>
                <w:szCs w:val="22"/>
              </w:rPr>
              <w:t xml:space="preserve">A cross-sectional </w:t>
            </w:r>
            <w:r w:rsidR="00663961" w:rsidRPr="00663961">
              <w:rPr>
                <w:rFonts w:ascii="Arial" w:eastAsia="Calibri" w:hAnsi="Arial" w:cs="Arial"/>
                <w:szCs w:val="22"/>
              </w:rPr>
              <w:t>incongruence</w:t>
            </w:r>
            <w:r w:rsidR="00663961">
              <w:rPr>
                <w:rFonts w:ascii="Arial" w:eastAsia="Calibri" w:hAnsi="Arial" w:cs="Arial"/>
                <w:szCs w:val="22"/>
              </w:rPr>
              <w:t xml:space="preserve"> </w:t>
            </w:r>
            <w:r w:rsidR="00D6304D" w:rsidRPr="00D6304D">
              <w:rPr>
                <w:rFonts w:ascii="Arial" w:eastAsia="Calibri" w:hAnsi="Arial" w:cs="Arial"/>
                <w:szCs w:val="22"/>
              </w:rPr>
              <w:t>study</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4E3F96">
              <w:rPr>
                <w:rFonts w:ascii="Arial" w:eastAsia="Calibri" w:hAnsi="Arial" w:cs="Arial"/>
                <w:szCs w:val="22"/>
              </w:rPr>
              <w:t>Patients</w:t>
            </w:r>
            <w:r w:rsidR="00315186">
              <w:rPr>
                <w:rFonts w:ascii="Arial" w:eastAsia="Calibri" w:hAnsi="Arial" w:cs="Arial"/>
                <w:szCs w:val="22"/>
              </w:rPr>
              <w:t xml:space="preserve">: </w:t>
            </w:r>
            <w:r w:rsidR="004E3F96">
              <w:rPr>
                <w:rFonts w:ascii="Arial" w:eastAsia="Calibri" w:hAnsi="Arial" w:cs="Arial"/>
                <w:szCs w:val="22"/>
              </w:rPr>
              <w:t>Centre HospitalierUniversitaired’Owendo</w:t>
            </w:r>
            <w:r w:rsidR="00BF504E">
              <w:rPr>
                <w:rFonts w:ascii="Arial" w:eastAsia="Calibri" w:hAnsi="Arial" w:cs="Arial"/>
                <w:szCs w:val="22"/>
              </w:rPr>
              <w:t xml:space="preserve">from February to June </w:t>
            </w:r>
            <w:r w:rsidR="004E3F96">
              <w:rPr>
                <w:rFonts w:ascii="Arial" w:eastAsia="Calibri" w:hAnsi="Arial" w:cs="Arial"/>
                <w:szCs w:val="22"/>
              </w:rPr>
              <w:t>2021</w:t>
            </w:r>
            <w:r w:rsidRPr="00BA1B01">
              <w:rPr>
                <w:rFonts w:ascii="Arial" w:eastAsia="Calibri" w:hAnsi="Arial" w:cs="Arial"/>
                <w:szCs w:val="22"/>
              </w:rPr>
              <w:t>.</w:t>
            </w:r>
          </w:p>
          <w:p w:rsidR="004047C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4047CA">
              <w:rPr>
                <w:rFonts w:ascii="Arial" w:eastAsia="Calibri" w:hAnsi="Arial" w:cs="Arial"/>
                <w:szCs w:val="22"/>
              </w:rPr>
              <w:t>Symptomat</w:t>
            </w:r>
            <w:r w:rsidR="00F57241">
              <w:rPr>
                <w:rFonts w:ascii="Arial" w:eastAsia="Calibri" w:hAnsi="Arial" w:cs="Arial"/>
                <w:szCs w:val="22"/>
              </w:rPr>
              <w:t>ic</w:t>
            </w:r>
            <w:r w:rsidR="004047CA">
              <w:rPr>
                <w:rFonts w:ascii="Arial" w:eastAsia="Calibri" w:hAnsi="Arial" w:cs="Arial"/>
                <w:szCs w:val="22"/>
              </w:rPr>
              <w:t xml:space="preserve"> patients </w:t>
            </w:r>
            <w:r w:rsidR="0049348F">
              <w:rPr>
                <w:rFonts w:ascii="Arial" w:eastAsia="Calibri" w:hAnsi="Arial" w:cs="Arial"/>
                <w:szCs w:val="22"/>
              </w:rPr>
              <w:t>aged</w:t>
            </w:r>
            <w:r w:rsidR="00D00568">
              <w:rPr>
                <w:rFonts w:ascii="Arial" w:eastAsia="Calibri" w:hAnsi="Arial" w:cs="Arial"/>
                <w:szCs w:val="22"/>
              </w:rPr>
              <w:t xml:space="preserve"> 6 to 75 years old, </w:t>
            </w:r>
            <w:r w:rsidR="004047CA">
              <w:rPr>
                <w:rFonts w:ascii="Arial" w:eastAsia="Calibri" w:hAnsi="Arial" w:cs="Arial"/>
                <w:szCs w:val="22"/>
              </w:rPr>
              <w:t xml:space="preserve">presenting within six days </w:t>
            </w:r>
            <w:r w:rsidR="009B20A7">
              <w:rPr>
                <w:rFonts w:ascii="Arial" w:eastAsia="Calibri" w:hAnsi="Arial" w:cs="Arial"/>
                <w:szCs w:val="22"/>
              </w:rPr>
              <w:t>of</w:t>
            </w:r>
            <w:r w:rsidR="004047CA">
              <w:rPr>
                <w:rFonts w:ascii="Arial" w:eastAsia="Calibri" w:hAnsi="Arial" w:cs="Arial"/>
                <w:szCs w:val="22"/>
              </w:rPr>
              <w:t xml:space="preserve"> symptom onset were consecutively enrolled. Two nasopharyngeal swabs were collected from each participant: one was tested using the Panbio</w:t>
            </w:r>
            <w:r w:rsidR="004047CA" w:rsidRPr="002E2079">
              <w:rPr>
                <w:rFonts w:ascii="Arial" w:eastAsia="Calibri" w:hAnsi="Arial" w:cs="Arial"/>
                <w:szCs w:val="22"/>
                <w:vertAlign w:val="superscript"/>
              </w:rPr>
              <w:t>TM</w:t>
            </w:r>
            <w:r w:rsidR="00F57241">
              <w:rPr>
                <w:rFonts w:ascii="Arial" w:eastAsia="Calibri" w:hAnsi="Arial" w:cs="Arial"/>
                <w:szCs w:val="22"/>
              </w:rPr>
              <w:t>COVID</w:t>
            </w:r>
            <w:r w:rsidR="004047CA">
              <w:rPr>
                <w:rFonts w:ascii="Arial" w:eastAsia="Calibri" w:hAnsi="Arial" w:cs="Arial"/>
                <w:szCs w:val="22"/>
              </w:rPr>
              <w:t>-19 Rapid Diagnostic Test, and the second was analyzed by RT-PCR (Sansure Biotech) as the reference method. Sensitivity, specificity, positive and negative predictive values, as well as like</w:t>
            </w:r>
            <w:r w:rsidR="009B20A7">
              <w:rPr>
                <w:rFonts w:ascii="Arial" w:eastAsia="Calibri" w:hAnsi="Arial" w:cs="Arial"/>
                <w:szCs w:val="22"/>
              </w:rPr>
              <w:t>li</w:t>
            </w:r>
            <w:r w:rsidR="004047CA">
              <w:rPr>
                <w:rFonts w:ascii="Arial" w:eastAsia="Calibri" w:hAnsi="Arial" w:cs="Arial"/>
                <w:szCs w:val="22"/>
              </w:rPr>
              <w:t xml:space="preserve">hood ratios, were calculated to assess the diagnostic </w:t>
            </w:r>
            <w:r w:rsidR="009B20A7">
              <w:rPr>
                <w:rFonts w:ascii="Arial" w:eastAsia="Calibri" w:hAnsi="Arial" w:cs="Arial"/>
                <w:szCs w:val="22"/>
              </w:rPr>
              <w:t>performance</w:t>
            </w:r>
            <w:r w:rsidR="004047CA">
              <w:rPr>
                <w:rFonts w:ascii="Arial" w:eastAsia="Calibri" w:hAnsi="Arial" w:cs="Arial"/>
                <w:szCs w:val="22"/>
              </w:rPr>
              <w:t xml:space="preserve"> of t</w:t>
            </w:r>
            <w:r w:rsidR="00F57241">
              <w:rPr>
                <w:rFonts w:ascii="Arial" w:eastAsia="Calibri" w:hAnsi="Arial" w:cs="Arial"/>
                <w:szCs w:val="22"/>
              </w:rPr>
              <w:t>he Panbio</w:t>
            </w:r>
            <w:r w:rsidR="00F57241" w:rsidRPr="002E2079">
              <w:rPr>
                <w:rFonts w:ascii="Arial" w:eastAsia="Calibri" w:hAnsi="Arial" w:cs="Arial"/>
                <w:szCs w:val="22"/>
                <w:vertAlign w:val="superscript"/>
              </w:rPr>
              <w:t>T</w:t>
            </w:r>
            <w:r w:rsidR="004047CA" w:rsidRPr="002E2079">
              <w:rPr>
                <w:rFonts w:ascii="Arial" w:eastAsia="Calibri" w:hAnsi="Arial" w:cs="Arial"/>
                <w:szCs w:val="22"/>
                <w:vertAlign w:val="superscript"/>
              </w:rPr>
              <w:t>M</w:t>
            </w:r>
            <w:r w:rsidR="004047CA">
              <w:rPr>
                <w:rFonts w:ascii="Arial" w:eastAsia="Calibri" w:hAnsi="Arial" w:cs="Arial"/>
                <w:szCs w:val="22"/>
              </w:rPr>
              <w:t xml:space="preserve"> RDT compared with RT-PCR</w:t>
            </w:r>
            <w:r w:rsidR="00F57241">
              <w:rPr>
                <w:rFonts w:ascii="Arial" w:eastAsia="Calibri" w:hAnsi="Arial" w:cs="Arial"/>
                <w:szCs w:val="22"/>
              </w:rPr>
              <w:t>.</w:t>
            </w:r>
          </w:p>
          <w:p w:rsidR="004E3F96"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004E3F96" w:rsidRPr="004E3F96">
              <w:rPr>
                <w:rFonts w:ascii="Arial" w:eastAsia="Calibri" w:hAnsi="Arial" w:cs="Arial"/>
                <w:szCs w:val="22"/>
              </w:rPr>
              <w:t xml:space="preserve">Overall, 431 patients were included: 33.6% (n=145) tested positive by RT-PCR and by </w:t>
            </w:r>
            <w:r w:rsidR="00E92836" w:rsidRPr="004E3F96">
              <w:rPr>
                <w:rFonts w:ascii="Arial" w:eastAsia="Calibri" w:hAnsi="Arial" w:cs="Arial"/>
                <w:szCs w:val="22"/>
              </w:rPr>
              <w:t>Pan</w:t>
            </w:r>
            <w:r w:rsidR="00E92836">
              <w:rPr>
                <w:rFonts w:ascii="Arial" w:eastAsia="Calibri" w:hAnsi="Arial" w:cs="Arial"/>
                <w:szCs w:val="22"/>
              </w:rPr>
              <w:t>bi</w:t>
            </w:r>
            <w:r w:rsidR="00E92836" w:rsidRPr="004E3F96">
              <w:rPr>
                <w:rFonts w:ascii="Arial" w:eastAsia="Calibri" w:hAnsi="Arial" w:cs="Arial"/>
                <w:szCs w:val="22"/>
              </w:rPr>
              <w:t>o</w:t>
            </w:r>
            <w:r w:rsidR="00E92836" w:rsidRPr="00437386">
              <w:rPr>
                <w:rFonts w:ascii="Arial" w:eastAsia="Calibri" w:hAnsi="Arial" w:cs="Arial"/>
                <w:szCs w:val="22"/>
                <w:vertAlign w:val="superscript"/>
              </w:rPr>
              <w:t>TM</w:t>
            </w:r>
            <w:r w:rsidR="00E92836" w:rsidRPr="00D6304D">
              <w:rPr>
                <w:rFonts w:ascii="Arial" w:eastAsia="Calibri" w:hAnsi="Arial" w:cs="Arial"/>
                <w:szCs w:val="22"/>
              </w:rPr>
              <w:t>COVID-19 Ag</w:t>
            </w:r>
            <w:r w:rsidR="004E3F96" w:rsidRPr="004E3F96">
              <w:rPr>
                <w:rFonts w:ascii="Arial" w:eastAsia="Calibri" w:hAnsi="Arial" w:cs="Arial"/>
                <w:szCs w:val="22"/>
              </w:rPr>
              <w:t>RDT (</w:t>
            </w:r>
            <w:r w:rsidR="00C4269C" w:rsidRPr="00C4269C">
              <w:rPr>
                <w:rFonts w:ascii="Arial" w:eastAsia="Calibri" w:hAnsi="Arial" w:cs="Arial"/>
                <w:i/>
                <w:szCs w:val="22"/>
              </w:rPr>
              <w:t>P=</w:t>
            </w:r>
            <w:r w:rsidR="00C4269C">
              <w:rPr>
                <w:rFonts w:ascii="Arial" w:eastAsia="Calibri" w:hAnsi="Arial" w:cs="Arial"/>
                <w:szCs w:val="22"/>
              </w:rPr>
              <w:t>.</w:t>
            </w:r>
            <w:r w:rsidR="004E3F96" w:rsidRPr="004E3F96">
              <w:rPr>
                <w:rFonts w:ascii="Arial" w:eastAsia="Calibri" w:hAnsi="Arial" w:cs="Arial"/>
                <w:szCs w:val="22"/>
              </w:rPr>
              <w:t>9). The sensitivity of the test was 95.2% [90-98] and the specificity was 97.5% [95-99]. Panbio</w:t>
            </w:r>
            <w:r w:rsidR="00E92836" w:rsidRPr="00437386">
              <w:rPr>
                <w:rFonts w:ascii="Arial" w:eastAsia="Calibri" w:hAnsi="Arial" w:cs="Arial"/>
                <w:szCs w:val="22"/>
                <w:vertAlign w:val="superscript"/>
              </w:rPr>
              <w:t>TM</w:t>
            </w:r>
            <w:r w:rsidR="00E92836" w:rsidRPr="00D6304D">
              <w:rPr>
                <w:rFonts w:ascii="Arial" w:eastAsia="Calibri" w:hAnsi="Arial" w:cs="Arial"/>
                <w:szCs w:val="22"/>
              </w:rPr>
              <w:t>COVID-19 Ag</w:t>
            </w:r>
            <w:r w:rsidR="004E3F96" w:rsidRPr="004E3F96">
              <w:rPr>
                <w:rFonts w:ascii="Arial" w:eastAsia="Calibri" w:hAnsi="Arial" w:cs="Arial"/>
                <w:szCs w:val="22"/>
              </w:rPr>
              <w:t xml:space="preserve">RDT showed a Sensitivity of 95.5% [90-98] among the participants with simple </w:t>
            </w:r>
            <w:r w:rsidR="00D00568" w:rsidRPr="00D6304D">
              <w:rPr>
                <w:rFonts w:ascii="Arial" w:eastAsia="Calibri" w:hAnsi="Arial" w:cs="Arial"/>
                <w:szCs w:val="22"/>
              </w:rPr>
              <w:t xml:space="preserve">COVID-19 </w:t>
            </w:r>
            <w:r w:rsidR="004E3F96" w:rsidRPr="004E3F96">
              <w:rPr>
                <w:rFonts w:ascii="Arial" w:eastAsia="Calibri" w:hAnsi="Arial" w:cs="Arial"/>
                <w:szCs w:val="22"/>
              </w:rPr>
              <w:t>form while it was 90.9% [62.7-98.5] in those with moderate to severe form (</w:t>
            </w:r>
            <w:r w:rsidR="00C4269C" w:rsidRPr="00C4269C">
              <w:rPr>
                <w:rFonts w:ascii="Arial" w:eastAsia="Calibri" w:hAnsi="Arial" w:cs="Arial"/>
                <w:i/>
                <w:szCs w:val="22"/>
              </w:rPr>
              <w:t>P</w:t>
            </w:r>
            <w:r w:rsidR="004E3F96" w:rsidRPr="004E3F96">
              <w:rPr>
                <w:rFonts w:ascii="Arial" w:eastAsia="Calibri" w:hAnsi="Arial" w:cs="Arial"/>
                <w:szCs w:val="22"/>
              </w:rPr>
              <w:t>=</w:t>
            </w:r>
            <w:r w:rsidR="00C4269C">
              <w:rPr>
                <w:rFonts w:ascii="Arial" w:eastAsia="Calibri" w:hAnsi="Arial" w:cs="Arial"/>
                <w:szCs w:val="22"/>
              </w:rPr>
              <w:t>.</w:t>
            </w:r>
            <w:r w:rsidR="004E3F96" w:rsidRPr="004E3F96">
              <w:rPr>
                <w:rFonts w:ascii="Arial" w:eastAsia="Calibri" w:hAnsi="Arial" w:cs="Arial"/>
                <w:szCs w:val="22"/>
              </w:rPr>
              <w:t>03).</w:t>
            </w:r>
          </w:p>
          <w:p w:rsidR="00505F06" w:rsidRPr="00BA1B01" w:rsidRDefault="00BA1B01">
            <w:pPr>
              <w:pStyle w:val="Body"/>
              <w:spacing w:after="0"/>
              <w:rPr>
                <w:rFonts w:ascii="Arial" w:eastAsia="Calibri" w:hAnsi="Arial" w:cs="Arial"/>
                <w:szCs w:val="22"/>
              </w:rPr>
            </w:pPr>
            <w:r w:rsidRPr="00BA1B01">
              <w:rPr>
                <w:rFonts w:ascii="Arial" w:eastAsia="Calibri" w:hAnsi="Arial" w:cs="Arial"/>
                <w:b/>
                <w:bCs/>
                <w:szCs w:val="22"/>
              </w:rPr>
              <w:t>Conclusion:</w:t>
            </w:r>
            <w:r w:rsidR="00E92836" w:rsidRPr="004E3F96">
              <w:rPr>
                <w:rFonts w:ascii="Arial" w:eastAsia="Calibri" w:hAnsi="Arial" w:cs="Arial"/>
                <w:szCs w:val="22"/>
              </w:rPr>
              <w:t>Pan</w:t>
            </w:r>
            <w:r w:rsidR="00E92836">
              <w:rPr>
                <w:rFonts w:ascii="Arial" w:eastAsia="Calibri" w:hAnsi="Arial" w:cs="Arial"/>
                <w:szCs w:val="22"/>
              </w:rPr>
              <w:t>b</w:t>
            </w:r>
            <w:r w:rsidR="00E92836" w:rsidRPr="004E3F96">
              <w:rPr>
                <w:rFonts w:ascii="Arial" w:eastAsia="Calibri" w:hAnsi="Arial" w:cs="Arial"/>
                <w:szCs w:val="22"/>
              </w:rPr>
              <w:t>io</w:t>
            </w:r>
            <w:r w:rsidR="00E92836" w:rsidRPr="00437386">
              <w:rPr>
                <w:rFonts w:ascii="Arial" w:eastAsia="Calibri" w:hAnsi="Arial" w:cs="Arial"/>
                <w:szCs w:val="22"/>
                <w:vertAlign w:val="superscript"/>
              </w:rPr>
              <w:t>TM</w:t>
            </w:r>
            <w:r w:rsidR="00E92836" w:rsidRPr="00D6304D">
              <w:rPr>
                <w:rFonts w:ascii="Arial" w:eastAsia="Calibri" w:hAnsi="Arial" w:cs="Arial"/>
                <w:szCs w:val="22"/>
              </w:rPr>
              <w:t xml:space="preserve"> COVID-19 Ag</w:t>
            </w:r>
            <w:r w:rsidR="004E3F96" w:rsidRPr="004E3F96">
              <w:rPr>
                <w:rFonts w:ascii="Arial" w:eastAsia="Calibri" w:hAnsi="Arial" w:cs="Arial"/>
                <w:szCs w:val="22"/>
              </w:rPr>
              <w:t>RDT kit met the WHO cut-off standards for patients screening for COVID-19 when compared to the RT-PCR reference methods. This test is a good alternative for the screening, rapid clinical management of suspected COVID-19 patients.</w:t>
            </w:r>
            <w:r w:rsidR="00E972EA">
              <w:t>Future studies are needed to assess its diagnostic performance in asymptomatic individuals, who constitute an important reservoir for SARS-CoV-2 transmission.</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4E3F96" w:rsidRPr="004E3F96">
        <w:rPr>
          <w:rFonts w:ascii="Arial" w:hAnsi="Arial" w:cs="Arial"/>
          <w:i/>
        </w:rPr>
        <w:t>Panbio</w:t>
      </w:r>
      <w:r w:rsidR="004E3F96" w:rsidRPr="004E3F96">
        <w:rPr>
          <w:rFonts w:ascii="Arial" w:hAnsi="Arial" w:cs="Arial"/>
          <w:i/>
          <w:vertAlign w:val="superscript"/>
        </w:rPr>
        <w:t>TM</w:t>
      </w:r>
      <w:r w:rsidR="004E3F96" w:rsidRPr="004E3F96">
        <w:rPr>
          <w:rFonts w:ascii="Arial" w:hAnsi="Arial" w:cs="Arial"/>
          <w:i/>
        </w:rPr>
        <w:t xml:space="preserve"> COVID-19 Ag Rapid Test, </w:t>
      </w:r>
      <w:r w:rsidR="00E92836">
        <w:rPr>
          <w:rFonts w:ascii="Arial" w:hAnsi="Arial" w:cs="Arial"/>
          <w:i/>
        </w:rPr>
        <w:t xml:space="preserve">RT-PCR, </w:t>
      </w:r>
      <w:r w:rsidR="004E3F96" w:rsidRPr="004E3F96">
        <w:rPr>
          <w:rFonts w:ascii="Arial" w:hAnsi="Arial" w:cs="Arial"/>
          <w:i/>
        </w:rPr>
        <w:t>symptomatic patients, Gabon</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915733" w:rsidRPr="00915733" w:rsidRDefault="004E3F96" w:rsidP="00915733">
      <w:pPr>
        <w:pStyle w:val="Body"/>
        <w:spacing w:after="0"/>
        <w:rPr>
          <w:rFonts w:ascii="Arial" w:hAnsi="Arial" w:cs="Arial"/>
          <w:lang w:val="en-GB"/>
        </w:rPr>
      </w:pPr>
      <w:r w:rsidRPr="00915733">
        <w:rPr>
          <w:rFonts w:ascii="Arial" w:hAnsi="Arial" w:cs="Arial"/>
        </w:rPr>
        <w:t>In December 2019, series of acute respiratory symptoms sometimes leading to death were reported in Wuhan, Hubei province in China</w:t>
      </w:r>
      <w:r w:rsidR="003652D8" w:rsidRPr="00915733">
        <w:t>(Ksiazek et al., 2003)</w:t>
      </w:r>
      <w:r w:rsidRPr="00915733">
        <w:rPr>
          <w:rFonts w:ascii="Arial" w:hAnsi="Arial" w:cs="Arial"/>
        </w:rPr>
        <w:t>. In a short time, this infection due to the Severe Acute Respiratory Syndrome Coronavirus 2 (SARS-CoV-2) quickly spread from Wuhan to Taiwan and then around the world, creating a pandemic</w:t>
      </w:r>
      <w:r w:rsidR="003652D8" w:rsidRPr="00915733">
        <w:t>(Lescure et al., 2020)</w:t>
      </w:r>
      <w:r w:rsidR="003652D8" w:rsidRPr="00915733">
        <w:rPr>
          <w:rFonts w:ascii="Arial" w:hAnsi="Arial" w:cs="Arial"/>
        </w:rPr>
        <w:t xml:space="preserve">. </w:t>
      </w:r>
      <w:r w:rsidR="00915733" w:rsidRPr="00915733">
        <w:rPr>
          <w:rFonts w:ascii="Arial" w:hAnsi="Arial" w:cs="Arial"/>
          <w:lang w:val="en-GB"/>
        </w:rPr>
        <w:t xml:space="preserve">Over two hundred countries have reported cases of </w:t>
      </w:r>
      <w:r w:rsidR="00D42EBC">
        <w:rPr>
          <w:rFonts w:ascii="Arial" w:hAnsi="Arial" w:cs="Arial"/>
          <w:lang w:val="en-GB"/>
        </w:rPr>
        <w:t>Coronavirus Disease 19 (</w:t>
      </w:r>
      <w:r w:rsidR="00915733" w:rsidRPr="00915733">
        <w:rPr>
          <w:rFonts w:ascii="Arial" w:hAnsi="Arial" w:cs="Arial"/>
          <w:lang w:val="en-GB"/>
        </w:rPr>
        <w:t>COVID-19</w:t>
      </w:r>
      <w:r w:rsidR="00D42EBC">
        <w:rPr>
          <w:rFonts w:ascii="Arial" w:hAnsi="Arial" w:cs="Arial"/>
          <w:lang w:val="en-GB"/>
        </w:rPr>
        <w:t>)</w:t>
      </w:r>
      <w:r w:rsidR="00915733" w:rsidRPr="00915733">
        <w:rPr>
          <w:rFonts w:ascii="Arial" w:hAnsi="Arial" w:cs="Arial"/>
          <w:lang w:val="en-GB"/>
        </w:rPr>
        <w:t xml:space="preserve">, more than 5 billion (516,757,582) confirmed cases of which about 6 </w:t>
      </w:r>
      <w:r w:rsidR="00D42EBC" w:rsidRPr="00915733">
        <w:rPr>
          <w:rFonts w:ascii="Arial" w:hAnsi="Arial" w:cs="Arial"/>
          <w:lang w:val="en-GB"/>
        </w:rPr>
        <w:t>million</w:t>
      </w:r>
      <w:r w:rsidR="00915733" w:rsidRPr="00915733">
        <w:rPr>
          <w:rFonts w:ascii="Arial" w:hAnsi="Arial" w:cs="Arial"/>
          <w:lang w:val="en-GB"/>
        </w:rPr>
        <w:t xml:space="preserve"> (6,249,626) deaths occurred </w:t>
      </w:r>
      <w:r w:rsidR="00915733" w:rsidRPr="00915733">
        <w:rPr>
          <w:rFonts w:ascii="Arial" w:hAnsi="Arial" w:cs="Arial"/>
          <w:iCs/>
          <w:lang w:val="en-GB"/>
        </w:rPr>
        <w:t>(WHO, 2020)</w:t>
      </w:r>
      <w:r w:rsidR="00915733" w:rsidRPr="00915733">
        <w:rPr>
          <w:rFonts w:ascii="Arial" w:hAnsi="Arial" w:cs="Arial"/>
          <w:lang w:val="en-GB"/>
        </w:rPr>
        <w:t>. COVID-19 had a greater impact in Europe, Asia and America rather than in Africa.</w:t>
      </w:r>
    </w:p>
    <w:p w:rsidR="00915733" w:rsidRPr="00915733" w:rsidRDefault="00915733" w:rsidP="00915733">
      <w:pPr>
        <w:pStyle w:val="Body"/>
        <w:spacing w:after="0"/>
        <w:rPr>
          <w:rFonts w:ascii="Arial" w:hAnsi="Arial" w:cs="Arial"/>
          <w:lang w:val="en-GB"/>
        </w:rPr>
      </w:pPr>
      <w:r w:rsidRPr="00915733">
        <w:rPr>
          <w:rFonts w:ascii="Arial" w:hAnsi="Arial" w:cs="Arial"/>
          <w:lang w:val="en-GB"/>
        </w:rPr>
        <w:t xml:space="preserve">Although the first cases of COVID-19 in many low- and middle-income countries (LMICs) were described as imported by travellers from China and Europe, community transmission has now become the major cause of new COVID-19 infections </w:t>
      </w:r>
      <w:r w:rsidRPr="00915733">
        <w:rPr>
          <w:rFonts w:ascii="Arial" w:hAnsi="Arial" w:cs="Arial"/>
          <w:iCs/>
          <w:lang w:val="en-GB"/>
        </w:rPr>
        <w:t>(Han et al., 2020; Helmy et al., 2020; Kaboré et al., 2022)</w:t>
      </w:r>
      <w:r w:rsidRPr="00915733">
        <w:rPr>
          <w:rFonts w:ascii="Arial" w:hAnsi="Arial" w:cs="Arial"/>
          <w:lang w:val="en-GB"/>
        </w:rPr>
        <w:t>.</w:t>
      </w:r>
    </w:p>
    <w:p w:rsidR="00915733" w:rsidRPr="00915733" w:rsidRDefault="00915733" w:rsidP="00915733">
      <w:pPr>
        <w:pStyle w:val="Body"/>
        <w:spacing w:after="0"/>
        <w:rPr>
          <w:rFonts w:ascii="Arial" w:hAnsi="Arial" w:cs="Arial"/>
          <w:lang w:val="en-GB"/>
        </w:rPr>
      </w:pPr>
      <w:r w:rsidRPr="00915733">
        <w:rPr>
          <w:rFonts w:ascii="Arial" w:hAnsi="Arial" w:cs="Arial"/>
          <w:lang w:val="en-GB"/>
        </w:rPr>
        <w:lastRenderedPageBreak/>
        <w:t xml:space="preserve">Timely and accurate testing for SARS-CoV-2 is an essential part of COVID-19 response strategy. Indeed, diagnosis is crucial in the algorithm of care providing in the case of this disease, to reduce contamination and to discriminate from other febrile illnesses. The detection of SARS-CoV-2 RNA by RT-PCR is the reference method for the diagnosis of COVID-19 </w:t>
      </w:r>
      <w:r w:rsidRPr="00915733">
        <w:rPr>
          <w:rFonts w:ascii="Arial" w:hAnsi="Arial" w:cs="Arial"/>
          <w:iCs/>
          <w:lang w:val="en-GB"/>
        </w:rPr>
        <w:t>(WHO, 2021a)</w:t>
      </w:r>
      <w:r w:rsidRPr="00915733">
        <w:rPr>
          <w:rFonts w:ascii="Arial" w:hAnsi="Arial" w:cs="Arial"/>
          <w:lang w:val="en-GB"/>
        </w:rPr>
        <w:t>. However, this molecular technique may not be available everywhere, especially in remote areas. Indeed, this laboratory test requires specific equipment and often takes hours to produce a result.</w:t>
      </w:r>
    </w:p>
    <w:p w:rsidR="00915733" w:rsidRPr="00915733" w:rsidRDefault="00915733" w:rsidP="00915733">
      <w:pPr>
        <w:pStyle w:val="Body"/>
        <w:spacing w:after="0"/>
        <w:rPr>
          <w:rFonts w:ascii="Arial" w:hAnsi="Arial" w:cs="Arial"/>
          <w:lang w:val="en-GB"/>
        </w:rPr>
      </w:pPr>
      <w:r w:rsidRPr="00915733">
        <w:rPr>
          <w:rFonts w:ascii="Arial" w:hAnsi="Arial" w:cs="Arial"/>
          <w:lang w:val="en-GB"/>
        </w:rPr>
        <w:t xml:space="preserve">In order to limit SARS-CoV-2 infection propagation, rapid screening and isolation of positive patients are recommended. For this purpose, the World Health Organization (WHO) recommends the use of rapid antigen test kits with at least 80% of sensitivity and 97% of specificity </w:t>
      </w:r>
      <w:r w:rsidRPr="00915733">
        <w:rPr>
          <w:rFonts w:ascii="Arial" w:hAnsi="Arial" w:cs="Arial"/>
          <w:iCs/>
          <w:lang w:val="en-GB"/>
        </w:rPr>
        <w:t>(WHO, 2021b)</w:t>
      </w:r>
      <w:r w:rsidRPr="00915733">
        <w:rPr>
          <w:rFonts w:ascii="Arial" w:hAnsi="Arial" w:cs="Arial"/>
          <w:lang w:val="en-GB"/>
        </w:rPr>
        <w:t xml:space="preserve">. The use of RDTs spreads rapidly in almost all the countries as it helps </w:t>
      </w:r>
      <w:r w:rsidR="00D42EBC">
        <w:rPr>
          <w:rFonts w:ascii="Arial" w:hAnsi="Arial" w:cs="Arial"/>
          <w:lang w:val="en-GB"/>
        </w:rPr>
        <w:t>with</w:t>
      </w:r>
      <w:r w:rsidRPr="00915733">
        <w:rPr>
          <w:rFonts w:ascii="Arial" w:hAnsi="Arial" w:cs="Arial"/>
          <w:lang w:val="en-GB"/>
        </w:rPr>
        <w:t xml:space="preserve"> patient triage and isolation. The Panbio</w:t>
      </w:r>
      <w:r w:rsidR="00D42EBC" w:rsidRPr="002E2079">
        <w:rPr>
          <w:rFonts w:ascii="Arial" w:hAnsi="Arial" w:cs="Arial"/>
          <w:vertAlign w:val="superscript"/>
          <w:lang w:val="en-GB"/>
        </w:rPr>
        <w:t>TM</w:t>
      </w:r>
      <w:r w:rsidRPr="00915733">
        <w:rPr>
          <w:rFonts w:ascii="Arial" w:hAnsi="Arial" w:cs="Arial"/>
          <w:lang w:val="en-GB"/>
        </w:rPr>
        <w:t xml:space="preserve"> COVID-19 Ag RDT, which was among the first recommended RDTs by WHO, generates results in 15 minutes </w:t>
      </w:r>
      <w:r w:rsidRPr="00915733">
        <w:rPr>
          <w:rFonts w:ascii="Arial" w:hAnsi="Arial" w:cs="Arial"/>
          <w:iCs/>
          <w:lang w:val="en-GB"/>
        </w:rPr>
        <w:t>(Abbott, 2021)</w:t>
      </w:r>
      <w:r w:rsidRPr="00915733">
        <w:rPr>
          <w:rFonts w:ascii="Arial" w:hAnsi="Arial" w:cs="Arial"/>
          <w:lang w:val="en-GB"/>
        </w:rPr>
        <w:t>. It was the first COVID-19 RDT used in Gabon. It is less laborious and</w:t>
      </w:r>
      <w:r w:rsidR="00D42EBC">
        <w:rPr>
          <w:rFonts w:ascii="Arial" w:hAnsi="Arial" w:cs="Arial"/>
          <w:lang w:val="en-GB"/>
        </w:rPr>
        <w:t>,like</w:t>
      </w:r>
      <w:r w:rsidRPr="00915733">
        <w:rPr>
          <w:rFonts w:ascii="Arial" w:hAnsi="Arial" w:cs="Arial"/>
          <w:lang w:val="en-GB"/>
        </w:rPr>
        <w:t xml:space="preserve"> other RDTs, does not require specific equipment or complicated training.</w:t>
      </w:r>
    </w:p>
    <w:p w:rsidR="00915733" w:rsidRPr="00915733" w:rsidRDefault="00915733" w:rsidP="00915733">
      <w:pPr>
        <w:pStyle w:val="Body"/>
        <w:spacing w:after="0"/>
        <w:rPr>
          <w:rFonts w:ascii="Arial" w:hAnsi="Arial" w:cs="Arial"/>
          <w:lang w:val="en-GB"/>
        </w:rPr>
      </w:pPr>
      <w:r w:rsidRPr="00915733">
        <w:rPr>
          <w:rFonts w:ascii="Arial" w:hAnsi="Arial" w:cs="Arial"/>
          <w:lang w:val="en-GB"/>
        </w:rPr>
        <w:t xml:space="preserve">In Gabon, where almost 2.4% of the population has been tested positive for SARS-CoV-2 since November 2020, the Abbott RDT was first used for the rapid screening of symptomatic patients in ambulatory wards and in hospital wards </w:t>
      </w:r>
      <w:r w:rsidRPr="00915733">
        <w:rPr>
          <w:rFonts w:ascii="Arial" w:hAnsi="Arial" w:cs="Arial"/>
          <w:iCs/>
          <w:lang w:val="en-GB"/>
        </w:rPr>
        <w:t>(COPIL Gabon, 2023)</w:t>
      </w:r>
      <w:r w:rsidRPr="00915733">
        <w:rPr>
          <w:rFonts w:ascii="Arial" w:hAnsi="Arial" w:cs="Arial"/>
          <w:lang w:val="en-GB"/>
        </w:rPr>
        <w:t>. Since 2021, several RDTs are purchased in Gabon. While PCR diagnostic equipment are available in the main cities of the country, shortage of reagents is frequent. Moreover, due to its time-consuming nature, the molecular diagnosis of SARS-CoV-2 is being replaced by rapid antigen testing for the first screening in health structures in outpatient wards. However, field evaluation of COVID-19 antigen RDTs is scarce in the country, although the derived information is necessary for the local recommendation of symptomatic patients’ screening tests.</w:t>
      </w:r>
    </w:p>
    <w:p w:rsidR="00915733" w:rsidRPr="00915733" w:rsidRDefault="00915733" w:rsidP="00915733">
      <w:pPr>
        <w:pStyle w:val="Body"/>
        <w:spacing w:after="0"/>
        <w:rPr>
          <w:rFonts w:ascii="Arial" w:hAnsi="Arial" w:cs="Arial"/>
          <w:lang w:val="en-GB"/>
        </w:rPr>
      </w:pPr>
      <w:r w:rsidRPr="00915733">
        <w:rPr>
          <w:rFonts w:ascii="Arial" w:hAnsi="Arial" w:cs="Arial"/>
          <w:lang w:val="en-GB"/>
        </w:rPr>
        <w:t>The aim of this study was therefore to evaluate the performance of the Panbio™ COVID-19 Ag Rapid Diagnostic Test in symptomatic patients for the diagnosis of SARS-CoV-2 infection using RT-PCR as a reference technique at the University Hospital, Centre HospitalierUniversitaired’Owendo (CHUO), in Gabon.</w:t>
      </w:r>
    </w:p>
    <w:p w:rsidR="00B01FCD" w:rsidRDefault="00B01FCD" w:rsidP="00915733">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190F3D" w:rsidRDefault="00AA74E0" w:rsidP="00C37C2E">
      <w:pPr>
        <w:pStyle w:val="Body"/>
        <w:spacing w:after="0"/>
        <w:rPr>
          <w:rFonts w:ascii="Arial" w:hAnsi="Arial" w:cs="Arial"/>
        </w:rPr>
      </w:pPr>
      <w:r w:rsidRPr="00C30A0F">
        <w:rPr>
          <w:rFonts w:ascii="Arial" w:hAnsi="Arial" w:cs="Arial"/>
          <w:b/>
          <w:caps/>
          <w:sz w:val="22"/>
        </w:rPr>
        <w:t xml:space="preserve">2.1 </w:t>
      </w:r>
      <w:r w:rsidR="00C37C2E">
        <w:rPr>
          <w:rFonts w:ascii="Arial" w:hAnsi="Arial" w:cs="Arial"/>
          <w:b/>
          <w:sz w:val="22"/>
        </w:rPr>
        <w:t>Study site and population</w:t>
      </w:r>
    </w:p>
    <w:p w:rsidR="00190F3D" w:rsidRPr="00190F3D" w:rsidRDefault="00190F3D" w:rsidP="00C37C2E">
      <w:pPr>
        <w:pStyle w:val="Body"/>
        <w:spacing w:after="0"/>
        <w:rPr>
          <w:rFonts w:ascii="Arial" w:hAnsi="Arial" w:cs="Arial"/>
        </w:rPr>
      </w:pPr>
      <w:r w:rsidRPr="00190F3D">
        <w:rPr>
          <w:rFonts w:ascii="Arial" w:hAnsi="Arial" w:cs="Arial"/>
        </w:rPr>
        <w:t>A cross-sectional prospective study was conducted from February to June 2021 at the Centre HospitalierUniversitaired’Owendo (CHUO), located at 20 km in the sout</w:t>
      </w:r>
      <w:r w:rsidR="00C37C2E">
        <w:rPr>
          <w:rFonts w:ascii="Arial" w:hAnsi="Arial" w:cs="Arial"/>
        </w:rPr>
        <w:t>hwestern suburbs of Libreville.</w:t>
      </w:r>
    </w:p>
    <w:p w:rsidR="00190F3D" w:rsidRPr="00190F3D" w:rsidRDefault="00190F3D" w:rsidP="00190F3D">
      <w:pPr>
        <w:pStyle w:val="Body"/>
        <w:spacing w:after="0"/>
        <w:rPr>
          <w:rFonts w:ascii="Arial" w:hAnsi="Arial" w:cs="Arial"/>
        </w:rPr>
      </w:pPr>
      <w:r w:rsidRPr="00190F3D">
        <w:rPr>
          <w:rFonts w:ascii="Arial" w:hAnsi="Arial" w:cs="Arial"/>
        </w:rPr>
        <w:t xml:space="preserve">At the CHUO, an outpatient wards dedicated to the triage of COVID-19 suspected patients was set up in January 2021. According to the COVID-19 response national committee, suspected patients benefitted first from a rapid screening using a rapid diagnostic test before a confirmation by RTPCR in the hospital Laboratory. Thus, consenting volunteers were invited to participate in the present study after they gave written informed consent, if they were older than six years. Parents and guardians signed for children aged below six years old. Those aged between 6 and 12 years gave their assent and informed consent which was completed by their parents or guardians. Patients benefitted from physical examination by the medical doctors of the hospital before nasopharyngeal sampling. Those who were under treatment or who came for a </w:t>
      </w:r>
      <w:r w:rsidR="00C37C2E">
        <w:rPr>
          <w:rFonts w:ascii="Arial" w:hAnsi="Arial" w:cs="Arial"/>
        </w:rPr>
        <w:t>control test were not included.</w:t>
      </w:r>
    </w:p>
    <w:p w:rsidR="00C37C2E" w:rsidRDefault="00C37C2E" w:rsidP="00C37C2E">
      <w:pPr>
        <w:pStyle w:val="Body"/>
        <w:spacing w:after="0"/>
        <w:rPr>
          <w:rFonts w:ascii="Arial" w:hAnsi="Arial" w:cs="Arial"/>
          <w:b/>
          <w:u w:val="single"/>
        </w:rPr>
      </w:pPr>
    </w:p>
    <w:p w:rsidR="00891C92" w:rsidRDefault="00891C92" w:rsidP="00C37C2E">
      <w:pPr>
        <w:pStyle w:val="Body"/>
        <w:spacing w:after="0"/>
        <w:rPr>
          <w:rFonts w:ascii="Arial" w:hAnsi="Arial" w:cs="Arial"/>
          <w:b/>
          <w:u w:val="single"/>
        </w:rPr>
      </w:pPr>
    </w:p>
    <w:p w:rsidR="00190F3D" w:rsidRPr="00C37C2E" w:rsidRDefault="00C37C2E" w:rsidP="00C37C2E">
      <w:pPr>
        <w:pStyle w:val="Body"/>
        <w:spacing w:after="0"/>
        <w:rPr>
          <w:rFonts w:ascii="Arial" w:hAnsi="Arial" w:cs="Arial"/>
        </w:rPr>
      </w:pPr>
      <w:r w:rsidRPr="00C37C2E">
        <w:rPr>
          <w:rFonts w:ascii="Arial" w:hAnsi="Arial" w:cs="Arial"/>
          <w:b/>
          <w:u w:val="single"/>
        </w:rPr>
        <w:t>2.1.1 Patients’ inclusion criteria</w:t>
      </w:r>
    </w:p>
    <w:p w:rsidR="00190F3D" w:rsidRPr="00190F3D" w:rsidRDefault="00190F3D" w:rsidP="00190F3D">
      <w:pPr>
        <w:pStyle w:val="Body"/>
        <w:spacing w:after="0"/>
        <w:rPr>
          <w:rFonts w:ascii="Arial" w:hAnsi="Arial" w:cs="Arial"/>
        </w:rPr>
      </w:pPr>
      <w:r w:rsidRPr="00190F3D">
        <w:rPr>
          <w:rFonts w:ascii="Arial" w:hAnsi="Arial" w:cs="Arial"/>
        </w:rPr>
        <w:t>Eligible participants should be aged over 6 years old and present symptoms suggestive of COVID-19 disease which lasted less than six days.</w:t>
      </w:r>
    </w:p>
    <w:p w:rsidR="00C37C2E" w:rsidRDefault="00C37C2E" w:rsidP="00190F3D">
      <w:pPr>
        <w:pStyle w:val="Body"/>
        <w:spacing w:after="0"/>
        <w:rPr>
          <w:rFonts w:ascii="Arial" w:hAnsi="Arial" w:cs="Arial"/>
          <w:i/>
        </w:rPr>
      </w:pPr>
    </w:p>
    <w:p w:rsidR="00190F3D" w:rsidRPr="00C37C2E" w:rsidRDefault="00C37C2E" w:rsidP="00C37C2E">
      <w:pPr>
        <w:pStyle w:val="Body"/>
        <w:spacing w:after="0"/>
        <w:rPr>
          <w:rFonts w:ascii="Arial" w:hAnsi="Arial" w:cs="Arial"/>
          <w:b/>
          <w:u w:val="single"/>
        </w:rPr>
      </w:pPr>
      <w:r w:rsidRPr="00C37C2E">
        <w:rPr>
          <w:rFonts w:ascii="Arial" w:hAnsi="Arial" w:cs="Arial"/>
          <w:b/>
          <w:u w:val="single"/>
        </w:rPr>
        <w:t xml:space="preserve">2.1.2 </w:t>
      </w:r>
      <w:r w:rsidR="00190F3D" w:rsidRPr="00C37C2E">
        <w:rPr>
          <w:rFonts w:ascii="Arial" w:hAnsi="Arial" w:cs="Arial"/>
          <w:b/>
          <w:u w:val="single"/>
        </w:rPr>
        <w:t>Patient non-inclusion criteria</w:t>
      </w:r>
    </w:p>
    <w:p w:rsidR="00190F3D" w:rsidRPr="00190F3D" w:rsidRDefault="00190F3D" w:rsidP="00190F3D">
      <w:pPr>
        <w:pStyle w:val="Body"/>
        <w:spacing w:after="0"/>
        <w:rPr>
          <w:rFonts w:ascii="Arial" w:hAnsi="Arial" w:cs="Arial"/>
        </w:rPr>
      </w:pPr>
      <w:r w:rsidRPr="00190F3D">
        <w:rPr>
          <w:rFonts w:ascii="Arial" w:hAnsi="Arial" w:cs="Arial"/>
        </w:rPr>
        <w:lastRenderedPageBreak/>
        <w:t>Non-inclusion criteria were being tested positive in another structure and benefiting from treatment or coming for a control test.</w:t>
      </w:r>
    </w:p>
    <w:p w:rsidR="00C37C2E" w:rsidRDefault="00C37C2E" w:rsidP="00190F3D">
      <w:pPr>
        <w:pStyle w:val="Body"/>
        <w:spacing w:after="0"/>
        <w:rPr>
          <w:rFonts w:ascii="Arial" w:hAnsi="Arial" w:cs="Arial"/>
          <w:b/>
          <w:u w:val="single"/>
        </w:rPr>
      </w:pPr>
    </w:p>
    <w:p w:rsidR="00190F3D" w:rsidRPr="00C37C2E" w:rsidRDefault="00C37C2E" w:rsidP="00190F3D">
      <w:pPr>
        <w:pStyle w:val="Body"/>
        <w:spacing w:after="0"/>
        <w:rPr>
          <w:rFonts w:ascii="Arial" w:hAnsi="Arial" w:cs="Arial"/>
          <w:b/>
          <w:u w:val="single"/>
        </w:rPr>
      </w:pPr>
      <w:r>
        <w:rPr>
          <w:rFonts w:ascii="Arial" w:hAnsi="Arial" w:cs="Arial"/>
          <w:b/>
          <w:u w:val="single"/>
        </w:rPr>
        <w:t xml:space="preserve">2.1.3 </w:t>
      </w:r>
      <w:r w:rsidR="00190F3D" w:rsidRPr="00C37C2E">
        <w:rPr>
          <w:rFonts w:ascii="Arial" w:hAnsi="Arial" w:cs="Arial"/>
          <w:b/>
          <w:u w:val="single"/>
        </w:rPr>
        <w:t>Data collection</w:t>
      </w:r>
    </w:p>
    <w:p w:rsidR="00190F3D" w:rsidRPr="00190F3D" w:rsidRDefault="00190F3D" w:rsidP="00190F3D">
      <w:pPr>
        <w:pStyle w:val="Body"/>
        <w:spacing w:after="0"/>
        <w:rPr>
          <w:rFonts w:ascii="Arial" w:hAnsi="Arial" w:cs="Arial"/>
        </w:rPr>
      </w:pPr>
      <w:r w:rsidRPr="00190F3D">
        <w:rPr>
          <w:rFonts w:ascii="Arial" w:hAnsi="Arial" w:cs="Arial"/>
        </w:rPr>
        <w:t>Patients’ data were collected on a standardized questionnaire. Socio-demographic, symptoms, medical history informat</w:t>
      </w:r>
      <w:r w:rsidR="00C37C2E">
        <w:rPr>
          <w:rFonts w:ascii="Arial" w:hAnsi="Arial" w:cs="Arial"/>
        </w:rPr>
        <w:t>ion were reported on the form.</w:t>
      </w:r>
    </w:p>
    <w:p w:rsidR="00190F3D" w:rsidRPr="00190F3D" w:rsidRDefault="00190F3D" w:rsidP="00190F3D">
      <w:pPr>
        <w:pStyle w:val="Body"/>
        <w:spacing w:after="0"/>
        <w:rPr>
          <w:rFonts w:ascii="Arial" w:hAnsi="Arial" w:cs="Arial"/>
        </w:rPr>
      </w:pPr>
      <w:r w:rsidRPr="00190F3D">
        <w:rPr>
          <w:rFonts w:ascii="Arial" w:hAnsi="Arial" w:cs="Arial"/>
        </w:rPr>
        <w:t xml:space="preserve">Classification of simple </w:t>
      </w:r>
      <w:r w:rsidR="00D42EBC" w:rsidRPr="00190F3D">
        <w:rPr>
          <w:rFonts w:ascii="Arial" w:hAnsi="Arial" w:cs="Arial"/>
        </w:rPr>
        <w:t xml:space="preserve">COVID-19 </w:t>
      </w:r>
      <w:r w:rsidRPr="00190F3D">
        <w:rPr>
          <w:rFonts w:ascii="Arial" w:hAnsi="Arial" w:cs="Arial"/>
        </w:rPr>
        <w:t>form and moderate to severe Covid</w:t>
      </w:r>
      <w:r w:rsidR="00C37C2E">
        <w:rPr>
          <w:rFonts w:ascii="Arial" w:hAnsi="Arial" w:cs="Arial"/>
        </w:rPr>
        <w:t>-19</w:t>
      </w:r>
      <w:r w:rsidRPr="00190F3D">
        <w:rPr>
          <w:rFonts w:ascii="Arial" w:hAnsi="Arial" w:cs="Arial"/>
        </w:rPr>
        <w:t xml:space="preserve"> is described in the national Guidelines of </w:t>
      </w:r>
      <w:r w:rsidR="00C37C2E" w:rsidRPr="00190F3D">
        <w:rPr>
          <w:rFonts w:ascii="Arial" w:hAnsi="Arial" w:cs="Arial"/>
        </w:rPr>
        <w:t>SAR</w:t>
      </w:r>
      <w:r w:rsidR="00C37C2E">
        <w:rPr>
          <w:rFonts w:ascii="Arial" w:hAnsi="Arial" w:cs="Arial"/>
        </w:rPr>
        <w:t>S-</w:t>
      </w:r>
      <w:r w:rsidR="00C37C2E" w:rsidRPr="00190F3D">
        <w:rPr>
          <w:rFonts w:ascii="Arial" w:hAnsi="Arial" w:cs="Arial"/>
        </w:rPr>
        <w:t xml:space="preserve">COV-2 </w:t>
      </w:r>
      <w:r w:rsidRPr="00190F3D">
        <w:rPr>
          <w:rFonts w:ascii="Arial" w:hAnsi="Arial" w:cs="Arial"/>
        </w:rPr>
        <w:t>(COPIL). The distribution according to clinical forms of COVID-19 was done according to the WHO criteria:</w:t>
      </w:r>
    </w:p>
    <w:p w:rsidR="00190F3D" w:rsidRPr="00190F3D" w:rsidRDefault="00190F3D" w:rsidP="00190F3D">
      <w:pPr>
        <w:pStyle w:val="Body"/>
        <w:spacing w:after="0"/>
        <w:rPr>
          <w:rFonts w:ascii="Arial" w:hAnsi="Arial" w:cs="Arial"/>
        </w:rPr>
      </w:pPr>
      <w:r w:rsidRPr="00190F3D">
        <w:rPr>
          <w:rFonts w:ascii="Arial" w:hAnsi="Arial" w:cs="Arial"/>
        </w:rPr>
        <w:t>- mild or pauci-symptomatic form: clinical manifestations such as cough, fever, anosmia, ageusia, pain without moderate and severe signs,</w:t>
      </w:r>
    </w:p>
    <w:p w:rsidR="00190F3D" w:rsidRPr="00190F3D" w:rsidRDefault="00190F3D" w:rsidP="00190F3D">
      <w:pPr>
        <w:pStyle w:val="Body"/>
        <w:spacing w:after="0"/>
        <w:rPr>
          <w:rFonts w:ascii="Arial" w:hAnsi="Arial" w:cs="Arial"/>
        </w:rPr>
      </w:pPr>
      <w:r w:rsidRPr="00190F3D">
        <w:rPr>
          <w:rFonts w:ascii="Arial" w:hAnsi="Arial" w:cs="Arial"/>
        </w:rPr>
        <w:t>- Moderate form: signs of pneumonia and polypnea with an oxygen saturation to ambient air above 90%;</w:t>
      </w:r>
    </w:p>
    <w:p w:rsidR="00AA74E0" w:rsidRDefault="00190F3D" w:rsidP="00441B6F">
      <w:pPr>
        <w:pStyle w:val="Body"/>
        <w:spacing w:after="0"/>
        <w:rPr>
          <w:rFonts w:ascii="Arial" w:hAnsi="Arial" w:cs="Arial"/>
        </w:rPr>
      </w:pPr>
      <w:r w:rsidRPr="00190F3D">
        <w:rPr>
          <w:rFonts w:ascii="Arial" w:hAnsi="Arial" w:cs="Arial"/>
        </w:rPr>
        <w:t>- Severe form: clinical signs of pneumonia plus one of the following symptoms: respiratory rate &gt; 30 breaths/min; severe respiratory distress; or SpO2 &lt; 90 % to ambient air</w:t>
      </w:r>
      <w:r w:rsidRPr="00190F3D">
        <w:rPr>
          <w:rFonts w:ascii="Arial" w:hAnsi="Arial" w:cs="Arial"/>
          <w:vertAlign w:val="superscript"/>
        </w:rPr>
        <w:t>11-12</w:t>
      </w:r>
      <w:r w:rsidRPr="00190F3D">
        <w:rPr>
          <w:rFonts w:ascii="Arial" w:hAnsi="Arial" w:cs="Arial"/>
        </w:rPr>
        <w:t>.</w:t>
      </w:r>
    </w:p>
    <w:p w:rsidR="00505F06" w:rsidRDefault="00505F06" w:rsidP="00441B6F">
      <w:pPr>
        <w:pStyle w:val="Body"/>
        <w:spacing w:after="0"/>
        <w:rPr>
          <w:rFonts w:ascii="Arial" w:hAnsi="Arial" w:cs="Arial"/>
        </w:rPr>
      </w:pPr>
    </w:p>
    <w:p w:rsidR="00190F3D" w:rsidRPr="00C37C2E" w:rsidRDefault="00C37C2E" w:rsidP="00C37C2E">
      <w:pPr>
        <w:pStyle w:val="Body"/>
        <w:spacing w:after="0"/>
        <w:rPr>
          <w:rFonts w:ascii="Arial" w:hAnsi="Arial" w:cs="Arial"/>
          <w:b/>
          <w:caps/>
          <w:sz w:val="22"/>
        </w:rPr>
      </w:pPr>
      <w:r w:rsidRPr="00C37C2E">
        <w:rPr>
          <w:rFonts w:ascii="Arial" w:hAnsi="Arial" w:cs="Arial"/>
          <w:b/>
          <w:caps/>
          <w:sz w:val="22"/>
        </w:rPr>
        <w:t>2.2 Sars</w:t>
      </w:r>
      <w:r>
        <w:rPr>
          <w:rFonts w:ascii="Arial" w:hAnsi="Arial" w:cs="Arial"/>
          <w:b/>
          <w:caps/>
          <w:sz w:val="22"/>
        </w:rPr>
        <w:t>-</w:t>
      </w:r>
      <w:r w:rsidRPr="00C37C2E">
        <w:rPr>
          <w:rFonts w:ascii="Arial" w:hAnsi="Arial" w:cs="Arial"/>
          <w:b/>
          <w:caps/>
          <w:sz w:val="22"/>
        </w:rPr>
        <w:t xml:space="preserve">cov-2 </w:t>
      </w:r>
      <w:r w:rsidRPr="00C37C2E">
        <w:rPr>
          <w:rFonts w:ascii="Arial" w:hAnsi="Arial" w:cs="Arial"/>
          <w:b/>
          <w:sz w:val="22"/>
        </w:rPr>
        <w:t>infection diagnosis</w:t>
      </w:r>
    </w:p>
    <w:p w:rsidR="00190F3D" w:rsidRPr="00190F3D" w:rsidRDefault="00190F3D" w:rsidP="00190F3D">
      <w:pPr>
        <w:pStyle w:val="Body"/>
        <w:rPr>
          <w:rFonts w:ascii="Arial" w:hAnsi="Arial" w:cs="Arial"/>
        </w:rPr>
      </w:pPr>
      <w:r w:rsidRPr="00190F3D">
        <w:rPr>
          <w:rFonts w:ascii="Arial" w:hAnsi="Arial" w:cs="Arial"/>
        </w:rPr>
        <w:t>Two nasopharyngeal swabs samples were co</w:t>
      </w:r>
      <w:r w:rsidR="00C37C2E">
        <w:rPr>
          <w:rFonts w:ascii="Arial" w:hAnsi="Arial" w:cs="Arial"/>
        </w:rPr>
        <w:t xml:space="preserve">llected from each participant. </w:t>
      </w:r>
      <w:r w:rsidRPr="00190F3D">
        <w:rPr>
          <w:rFonts w:ascii="Arial" w:hAnsi="Arial" w:cs="Arial"/>
        </w:rPr>
        <w:t>After introducing the swabs, a delicate scraping was performed. One sample w</w:t>
      </w:r>
      <w:r w:rsidR="00D42EBC">
        <w:rPr>
          <w:rFonts w:ascii="Arial" w:hAnsi="Arial" w:cs="Arial"/>
        </w:rPr>
        <w:t>as</w:t>
      </w:r>
      <w:r w:rsidRPr="00190F3D">
        <w:rPr>
          <w:rFonts w:ascii="Arial" w:hAnsi="Arial" w:cs="Arial"/>
        </w:rPr>
        <w:t xml:space="preserve"> taken from the left and the other from the right nasal cavities by trained nurses or physicians.  One swab was put in viral medium for RT-PCR. The other sample was directly used for RDTs analysis. Both tests were performed less than an hour after collection by independent trained technicians.</w:t>
      </w:r>
    </w:p>
    <w:p w:rsidR="00190F3D" w:rsidRPr="00C37C2E" w:rsidRDefault="00C37C2E" w:rsidP="00C37C2E">
      <w:pPr>
        <w:pStyle w:val="Body"/>
        <w:spacing w:after="0"/>
        <w:rPr>
          <w:rFonts w:ascii="Arial" w:hAnsi="Arial" w:cs="Arial"/>
          <w:b/>
          <w:u w:val="single"/>
        </w:rPr>
      </w:pPr>
      <w:r>
        <w:rPr>
          <w:rFonts w:ascii="Arial" w:hAnsi="Arial" w:cs="Arial"/>
          <w:b/>
          <w:u w:val="single"/>
        </w:rPr>
        <w:t xml:space="preserve">2.2.1 </w:t>
      </w:r>
      <w:r w:rsidRPr="00C37C2E">
        <w:rPr>
          <w:rFonts w:ascii="Arial" w:hAnsi="Arial" w:cs="Arial"/>
          <w:b/>
          <w:u w:val="single"/>
        </w:rPr>
        <w:t>Panbio</w:t>
      </w:r>
      <w:r w:rsidRPr="002E2079">
        <w:rPr>
          <w:rFonts w:ascii="Arial" w:hAnsi="Arial" w:cs="Arial"/>
          <w:b/>
          <w:u w:val="single"/>
          <w:vertAlign w:val="superscript"/>
        </w:rPr>
        <w:t>TM</w:t>
      </w:r>
      <w:r w:rsidRPr="00C37C2E">
        <w:rPr>
          <w:rFonts w:ascii="Arial" w:hAnsi="Arial" w:cs="Arial"/>
          <w:b/>
          <w:u w:val="single"/>
        </w:rPr>
        <w:t xml:space="preserve"> COVID-19 Ag RDTs</w:t>
      </w:r>
    </w:p>
    <w:p w:rsidR="00190F3D" w:rsidRPr="00190F3D" w:rsidRDefault="00190F3D" w:rsidP="00190F3D">
      <w:pPr>
        <w:pStyle w:val="Body"/>
        <w:rPr>
          <w:rFonts w:ascii="Arial" w:hAnsi="Arial" w:cs="Arial"/>
        </w:rPr>
      </w:pPr>
      <w:r w:rsidRPr="00190F3D">
        <w:rPr>
          <w:rFonts w:ascii="Arial" w:hAnsi="Arial" w:cs="Arial"/>
        </w:rPr>
        <w:t>Panbio</w:t>
      </w:r>
      <w:r w:rsidRPr="002E2079">
        <w:rPr>
          <w:rFonts w:ascii="Arial" w:hAnsi="Arial" w:cs="Arial"/>
          <w:vertAlign w:val="superscript"/>
        </w:rPr>
        <w:t>TM</w:t>
      </w:r>
      <w:r w:rsidRPr="00190F3D">
        <w:rPr>
          <w:rFonts w:ascii="Arial" w:hAnsi="Arial" w:cs="Arial"/>
        </w:rPr>
        <w:t xml:space="preserve"> COVID-19 Ag rapid test device by Abbott (Lake country, Il, USA) was performed to detect SARS-CoV-2 Ag. It is a membrane-based immunochromatographic test which detects the nucleocapsid (N) protein of the SARS-CoV-2 virus in a direct nasopharyngeal or nasal swab. The reading and interpretation of the results were performed after 15 to 20 minutes according to the manufacturer’s instructions</w:t>
      </w:r>
      <w:r w:rsidR="00915733">
        <w:t>(Abbott, 2021)</w:t>
      </w:r>
      <w:r w:rsidRPr="00190F3D">
        <w:rPr>
          <w:rFonts w:ascii="Arial" w:hAnsi="Arial" w:cs="Arial"/>
        </w:rPr>
        <w:t xml:space="preserve">. In case of positive result, the patient received a complete treatment according to the national guidelines. </w:t>
      </w:r>
    </w:p>
    <w:p w:rsidR="00190F3D" w:rsidRPr="00C37C2E" w:rsidRDefault="00C37C2E" w:rsidP="00C37C2E">
      <w:pPr>
        <w:pStyle w:val="Body"/>
        <w:spacing w:after="0"/>
        <w:rPr>
          <w:rFonts w:ascii="Arial" w:hAnsi="Arial" w:cs="Arial"/>
          <w:b/>
          <w:u w:val="single"/>
        </w:rPr>
      </w:pPr>
      <w:r>
        <w:rPr>
          <w:rFonts w:ascii="Arial" w:hAnsi="Arial" w:cs="Arial"/>
          <w:b/>
          <w:u w:val="single"/>
        </w:rPr>
        <w:t xml:space="preserve">2.2.2 </w:t>
      </w:r>
      <w:r w:rsidR="00190F3D" w:rsidRPr="00C37C2E">
        <w:rPr>
          <w:rFonts w:ascii="Arial" w:hAnsi="Arial" w:cs="Arial"/>
          <w:b/>
          <w:u w:val="single"/>
        </w:rPr>
        <w:t>Real Time-PCR (RT-PCR)</w:t>
      </w:r>
    </w:p>
    <w:p w:rsidR="00190F3D" w:rsidRDefault="00190F3D" w:rsidP="00C37C2E">
      <w:pPr>
        <w:pStyle w:val="Body"/>
        <w:spacing w:after="0"/>
        <w:rPr>
          <w:rFonts w:ascii="Arial" w:hAnsi="Arial" w:cs="Arial"/>
        </w:rPr>
      </w:pPr>
      <w:r w:rsidRPr="00190F3D">
        <w:rPr>
          <w:rFonts w:ascii="Arial" w:hAnsi="Arial" w:cs="Arial"/>
        </w:rPr>
        <w:t>Samples collected were sent to the laboratory for molecular analysis within one hour. After automated RNA extraction (Thermo Scientific KingFisher), RT-PCR was carried out using the Sansure kit in a MA 6000 thermocycler (Suzhou Molarray Co., Ltd, China)</w:t>
      </w:r>
      <w:r w:rsidR="00915733">
        <w:t>(FIND, 2020)</w:t>
      </w:r>
      <w:r w:rsidRPr="00190F3D">
        <w:rPr>
          <w:rFonts w:ascii="Arial" w:hAnsi="Arial" w:cs="Arial"/>
        </w:rPr>
        <w:t>. The RT-PCR kit detected genes (ORF1ab gene and N gene) and fragments of the RNaseP gene the internal control. Positive and negative controls were processed in parallel to the samples. Samples were considered as positive when amplification was detected for one of the two SARS-COV-2 genes in presence of one or more sigmoidal curves, in addition to the RNAseP gene curve. Considering the threshold Cycle (Ct), a sample with a value less than or equal to 40 with a sigmoidal curve was considered positive. A result was negative if the Ct value was greater than 40 and if there was no sigmoidal curve.</w:t>
      </w:r>
      <w:r w:rsidR="001333F6" w:rsidRPr="001333F6">
        <w:rPr>
          <w:rFonts w:ascii="Arial" w:hAnsi="Arial" w:cs="Arial"/>
        </w:rPr>
        <w:t>A Ct cut-off of 40 cycles was chosen in line with current recommendations for SARS-CoV-2 diagnostic RT-PCR assays, as Ct reflects the number of amplification cycles required for the fluorescent signal to cross the detection threshold; lower Ct values correspond to higher viral loads, while amplification beyond 40 cycles is more likely to reflect non-specific background noise rather than true viral RNA</w:t>
      </w:r>
      <w:r w:rsidR="001333F6">
        <w:rPr>
          <w:rFonts w:ascii="Arial" w:hAnsi="Arial" w:cs="Arial"/>
        </w:rPr>
        <w:t xml:space="preserve"> (</w:t>
      </w:r>
      <w:hyperlink r:id="rId14" w:history="1">
        <w:r w:rsidR="001333F6" w:rsidRPr="00772742">
          <w:rPr>
            <w:rStyle w:val="Hyperlink"/>
            <w:rFonts w:ascii="Arial" w:hAnsi="Arial" w:cs="Arial"/>
          </w:rPr>
          <w:t>https://microbeonline.com/understanding-cycle-threshold-ct-in-sars-cov-2-rt-pcr/</w:t>
        </w:r>
      </w:hyperlink>
      <w:r w:rsidR="001333F6">
        <w:rPr>
          <w:rFonts w:ascii="Arial" w:hAnsi="Arial" w:cs="Arial"/>
        </w:rPr>
        <w:t>)</w:t>
      </w:r>
      <w:r w:rsidR="001333F6" w:rsidRPr="001333F6">
        <w:rPr>
          <w:rFonts w:ascii="Arial" w:hAnsi="Arial" w:cs="Arial"/>
        </w:rPr>
        <w:t>.</w:t>
      </w:r>
    </w:p>
    <w:p w:rsidR="00C37C2E" w:rsidRDefault="009A69CE" w:rsidP="00C37C2E">
      <w:pPr>
        <w:pStyle w:val="Body"/>
        <w:spacing w:after="0"/>
        <w:rPr>
          <w:rFonts w:ascii="Arial" w:hAnsi="Arial" w:cs="Arial"/>
        </w:rPr>
      </w:pPr>
      <w:r>
        <w:t xml:space="preserve">Ct values were categorized into &lt;25, 25–35 and &gt;35, in line with thresholds widely used in SARS-CoV-2 diagnostic performance studies. Ct &lt;25 corresponds to high viral load and high infectivity, as samples in this range are almost always culturable (Bullard et al., 2020). Ct values between 25 and 35 represent intermediate viral loads, where antigen-test sensitivity decreases progressively (Dinnes et al., 2021). Ct &gt;35 reflects low viral loads, typically </w:t>
      </w:r>
      <w:r>
        <w:lastRenderedPageBreak/>
        <w:t>associated with non-infectious or residual RNA, for which antigen detection is expectedly limited (Bullard et al., 2020; Dinnes et al., 2021).</w:t>
      </w:r>
    </w:p>
    <w:p w:rsidR="00C37C2E" w:rsidRDefault="00C37C2E" w:rsidP="00C37C2E">
      <w:pPr>
        <w:pStyle w:val="Body"/>
        <w:spacing w:after="0"/>
        <w:rPr>
          <w:rFonts w:ascii="Arial" w:hAnsi="Arial" w:cs="Arial"/>
        </w:rPr>
      </w:pPr>
    </w:p>
    <w:p w:rsidR="00C37C2E" w:rsidRPr="00C37C2E" w:rsidRDefault="00190F3D" w:rsidP="002E2079">
      <w:pPr>
        <w:pStyle w:val="Body"/>
        <w:spacing w:after="0"/>
        <w:rPr>
          <w:rFonts w:ascii="Arial" w:hAnsi="Arial" w:cs="Arial"/>
          <w:b/>
          <w:caps/>
          <w:sz w:val="22"/>
        </w:rPr>
      </w:pPr>
      <w:r w:rsidRPr="00C30A0F">
        <w:rPr>
          <w:rFonts w:ascii="Arial" w:hAnsi="Arial" w:cs="Arial"/>
          <w:b/>
          <w:caps/>
          <w:sz w:val="22"/>
        </w:rPr>
        <w:t>2.</w:t>
      </w:r>
      <w:r w:rsidR="00C37C2E">
        <w:rPr>
          <w:rFonts w:ascii="Arial" w:hAnsi="Arial" w:cs="Arial"/>
          <w:b/>
          <w:caps/>
          <w:sz w:val="22"/>
        </w:rPr>
        <w:t>3</w:t>
      </w:r>
      <w:r w:rsidR="00C37C2E" w:rsidRPr="00C37C2E">
        <w:rPr>
          <w:rFonts w:ascii="Arial" w:hAnsi="Arial" w:cs="Arial"/>
          <w:b/>
          <w:caps/>
          <w:sz w:val="22"/>
        </w:rPr>
        <w:t>P</w:t>
      </w:r>
      <w:r w:rsidR="00C37C2E" w:rsidRPr="00C37C2E">
        <w:rPr>
          <w:rFonts w:ascii="Arial" w:hAnsi="Arial" w:cs="Arial"/>
          <w:b/>
          <w:sz w:val="22"/>
        </w:rPr>
        <w:t>erformance indicators</w:t>
      </w:r>
    </w:p>
    <w:p w:rsidR="00190F3D" w:rsidRPr="00190F3D" w:rsidRDefault="00190F3D" w:rsidP="00C37C2E">
      <w:pPr>
        <w:pStyle w:val="Body"/>
        <w:spacing w:after="0"/>
        <w:rPr>
          <w:rFonts w:ascii="Arial" w:hAnsi="Arial" w:cs="Arial"/>
        </w:rPr>
      </w:pPr>
      <w:r w:rsidRPr="00190F3D">
        <w:rPr>
          <w:rFonts w:ascii="Arial" w:hAnsi="Arial" w:cs="Arial"/>
        </w:rPr>
        <w:t>To assess the RDTs performance, sensitivity and specificity were calculated with RT-PCR as the reference standard. Likewise, Positive Predictive Value (P</w:t>
      </w:r>
      <w:r w:rsidR="00D42EBC">
        <w:rPr>
          <w:rFonts w:ascii="Arial" w:hAnsi="Arial" w:cs="Arial"/>
        </w:rPr>
        <w:t>P</w:t>
      </w:r>
      <w:r w:rsidRPr="00190F3D">
        <w:rPr>
          <w:rFonts w:ascii="Arial" w:hAnsi="Arial" w:cs="Arial"/>
        </w:rPr>
        <w:t>V) and Negative Predictive Value (NPV) were also estimated. Positive and negative likelihood ratio were assessed as follows:</w:t>
      </w:r>
    </w:p>
    <w:p w:rsidR="00190F3D" w:rsidRPr="00190F3D" w:rsidRDefault="00190F3D" w:rsidP="00C37C2E">
      <w:pPr>
        <w:pStyle w:val="Body"/>
        <w:spacing w:after="0"/>
        <w:rPr>
          <w:rFonts w:ascii="Arial" w:hAnsi="Arial" w:cs="Arial"/>
        </w:rPr>
      </w:pPr>
      <w:r w:rsidRPr="00190F3D">
        <w:rPr>
          <w:rFonts w:ascii="Arial" w:hAnsi="Arial" w:cs="Arial"/>
        </w:rPr>
        <w:t>Positive Likelihood Ratio:  LLR+= (Sensitivity)/(1-specificity). It was considered very strong if LLR+ ˃10</w:t>
      </w:r>
      <w:r w:rsidR="00C37C2E">
        <w:rPr>
          <w:rFonts w:ascii="Arial" w:hAnsi="Arial" w:cs="Arial"/>
        </w:rPr>
        <w:t>.</w:t>
      </w:r>
    </w:p>
    <w:p w:rsidR="00190F3D" w:rsidRDefault="00190F3D" w:rsidP="00C37C2E">
      <w:pPr>
        <w:pStyle w:val="Body"/>
        <w:spacing w:after="0"/>
        <w:rPr>
          <w:rFonts w:ascii="Arial" w:hAnsi="Arial" w:cs="Arial"/>
        </w:rPr>
      </w:pPr>
      <w:r w:rsidRPr="00190F3D">
        <w:rPr>
          <w:rFonts w:ascii="Arial" w:hAnsi="Arial" w:cs="Arial"/>
        </w:rPr>
        <w:t>Negative Likelihood Ratio:  LLR-= (1-Sensitivity)/specificity. It was considered very strong if LLR- ˂</w:t>
      </w:r>
      <w:r w:rsidR="00C4269C">
        <w:rPr>
          <w:rFonts w:ascii="Arial" w:hAnsi="Arial" w:cs="Arial"/>
        </w:rPr>
        <w:t>.</w:t>
      </w:r>
      <w:r w:rsidRPr="00190F3D">
        <w:rPr>
          <w:rFonts w:ascii="Arial" w:hAnsi="Arial" w:cs="Arial"/>
        </w:rPr>
        <w:t>1</w:t>
      </w:r>
      <w:r>
        <w:rPr>
          <w:rFonts w:ascii="Arial" w:hAnsi="Arial" w:cs="Arial"/>
        </w:rPr>
        <w:t>.</w:t>
      </w:r>
    </w:p>
    <w:p w:rsidR="00C37C2E" w:rsidRDefault="00C37C2E" w:rsidP="00C37C2E">
      <w:pPr>
        <w:pStyle w:val="Body"/>
        <w:spacing w:after="0"/>
        <w:rPr>
          <w:rFonts w:ascii="Arial" w:hAnsi="Arial" w:cs="Arial"/>
        </w:rPr>
      </w:pPr>
    </w:p>
    <w:p w:rsidR="00C37C2E" w:rsidRPr="00190F3D" w:rsidRDefault="00C37C2E" w:rsidP="00C37C2E">
      <w:pPr>
        <w:pStyle w:val="Body"/>
        <w:spacing w:after="0"/>
        <w:rPr>
          <w:rFonts w:ascii="Arial" w:hAnsi="Arial" w:cs="Arial"/>
        </w:rPr>
      </w:pPr>
    </w:p>
    <w:p w:rsidR="001547F1" w:rsidRPr="00A626C3" w:rsidRDefault="001547F1" w:rsidP="001547F1">
      <w:pPr>
        <w:jc w:val="both"/>
        <w:rPr>
          <w:b/>
        </w:rPr>
      </w:pPr>
      <w:r w:rsidRPr="00A626C3">
        <w:rPr>
          <w:b/>
        </w:rPr>
        <w:t>2.4 Ethical consideration</w:t>
      </w:r>
    </w:p>
    <w:p w:rsidR="00032C76" w:rsidRDefault="001547F1" w:rsidP="001547F1">
      <w:pPr>
        <w:jc w:val="both"/>
        <w:rPr>
          <w:shd w:val="clear" w:color="auto" w:fill="FFFFFF"/>
        </w:rPr>
      </w:pPr>
      <w:r w:rsidRPr="00A626C3">
        <w:rPr>
          <w:shd w:val="clear" w:color="auto" w:fill="FFFFFF"/>
        </w:rPr>
        <w:t xml:space="preserve">The study was conducted </w:t>
      </w:r>
      <w:r w:rsidR="00032C76">
        <w:rPr>
          <w:shd w:val="clear" w:color="auto" w:fill="FFFFFF"/>
        </w:rPr>
        <w:t xml:space="preserve">in accordance with </w:t>
      </w:r>
      <w:r w:rsidRPr="00A626C3">
        <w:rPr>
          <w:shd w:val="clear" w:color="auto" w:fill="FFFFFF"/>
        </w:rPr>
        <w:t>the Helsinki Declaration</w:t>
      </w:r>
      <w:r w:rsidR="00032C76">
        <w:rPr>
          <w:shd w:val="clear" w:color="auto" w:fill="FFFFFF"/>
        </w:rPr>
        <w:t xml:space="preserve"> and the </w:t>
      </w:r>
      <w:r w:rsidRPr="00A626C3">
        <w:rPr>
          <w:shd w:val="clear" w:color="auto" w:fill="FFFFFF"/>
        </w:rPr>
        <w:t xml:space="preserve"> recommendations of the National Vaccination Committee, under the direction of the COVID-19 Response Steering Committee (COPIL). </w:t>
      </w:r>
      <w:r w:rsidR="00032C76">
        <w:rPr>
          <w:shd w:val="clear" w:color="auto" w:fill="FFFFFF"/>
        </w:rPr>
        <w:t xml:space="preserve">It received ethical approval from the national scientific committee for </w:t>
      </w:r>
      <w:r w:rsidRPr="00A626C3">
        <w:rPr>
          <w:shd w:val="clear" w:color="auto" w:fill="FFFFFF"/>
        </w:rPr>
        <w:t>regulating studies on COVID-19 in Gabon under the reference PROT-019-CSCOVID-19.</w:t>
      </w:r>
    </w:p>
    <w:p w:rsidR="001547F1" w:rsidRPr="00A626C3" w:rsidRDefault="00032C76" w:rsidP="001547F1">
      <w:pPr>
        <w:jc w:val="both"/>
      </w:pPr>
      <w:r>
        <w:rPr>
          <w:shd w:val="clear" w:color="auto" w:fill="FFFFFF"/>
        </w:rPr>
        <w:t>In Gabon, the legal age for independent informed consent is 18 years. Accordingly, all participants under 18 years of age were enrolled through a two-step process requiring both minor assent and parental or legal guardian consent. For children aged 6-12 years, written informed consent was obtained from the parent or guardian, and age-appropriate verbal assent was obtained from the child. For adolescents aged 1</w:t>
      </w:r>
      <w:r w:rsidR="00292FB1">
        <w:rPr>
          <w:shd w:val="clear" w:color="auto" w:fill="FFFFFF"/>
        </w:rPr>
        <w:t>3</w:t>
      </w:r>
      <w:r>
        <w:rPr>
          <w:shd w:val="clear" w:color="auto" w:fill="FFFFFF"/>
        </w:rPr>
        <w:t xml:space="preserve">-17 years, written informed consent </w:t>
      </w:r>
      <w:r w:rsidR="00292FB1">
        <w:rPr>
          <w:shd w:val="clear" w:color="auto" w:fill="FFFFFF"/>
        </w:rPr>
        <w:t>was provided by the parent or guardian, written assent was obtained from the adolescent. No minor was enrolled without parental or guardian authorization. All procedures adhered to national ethical regulations and COPIL guidelines.</w:t>
      </w:r>
    </w:p>
    <w:p w:rsidR="00190F3D" w:rsidRDefault="00190F3D" w:rsidP="00441B6F">
      <w:pPr>
        <w:pStyle w:val="Body"/>
        <w:spacing w:after="0"/>
        <w:rPr>
          <w:rFonts w:ascii="Arial" w:hAnsi="Arial" w:cs="Arial"/>
          <w:b/>
          <w:u w:val="single"/>
        </w:rPr>
      </w:pPr>
    </w:p>
    <w:p w:rsidR="00C37C2E" w:rsidRDefault="00C37C2E" w:rsidP="00441B6F">
      <w:pPr>
        <w:pStyle w:val="Body"/>
        <w:spacing w:after="0"/>
        <w:rPr>
          <w:rFonts w:ascii="Arial" w:hAnsi="Arial" w:cs="Arial"/>
          <w:b/>
          <w:u w:val="single"/>
        </w:rPr>
      </w:pPr>
    </w:p>
    <w:p w:rsidR="001547F1" w:rsidRPr="00A626C3" w:rsidRDefault="001547F1" w:rsidP="001547F1">
      <w:pPr>
        <w:jc w:val="both"/>
        <w:rPr>
          <w:b/>
        </w:rPr>
      </w:pPr>
      <w:r w:rsidRPr="00A626C3">
        <w:rPr>
          <w:b/>
        </w:rPr>
        <w:t>2.5 Data Management and Statistical Analysis</w:t>
      </w:r>
    </w:p>
    <w:p w:rsidR="001547F1" w:rsidRPr="00A626C3" w:rsidRDefault="001547F1" w:rsidP="001547F1">
      <w:pPr>
        <w:jc w:val="both"/>
        <w:rPr>
          <w:b/>
        </w:rPr>
      </w:pPr>
      <w:r w:rsidRPr="00A626C3">
        <w:t xml:space="preserve">Data collected were entered in an Excel file. Variables were expressed as proportions or medians. </w:t>
      </w:r>
      <w:r w:rsidR="00052CBC" w:rsidRPr="00052CBC">
        <w:t>Null hypothesis H0</w:t>
      </w:r>
      <w:r w:rsidR="00052CBC">
        <w:t xml:space="preserve"> was “t</w:t>
      </w:r>
      <w:r w:rsidR="00052CBC" w:rsidRPr="00052CBC">
        <w:t>he Panbio™ COVID-19 Ag RDT test has acceptable or achieved diagnostic performance compared to RT-PCR</w:t>
      </w:r>
      <w:r w:rsidR="00052CBC">
        <w:t>” and the alternative one “t</w:t>
      </w:r>
      <w:r w:rsidR="00052CBC" w:rsidRPr="00052CBC">
        <w:t xml:space="preserve">he Panbio™ COVID-19 Ag RDT test </w:t>
      </w:r>
      <w:r w:rsidR="00052CBC">
        <w:t xml:space="preserve">does not </w:t>
      </w:r>
      <w:r w:rsidR="00052CBC" w:rsidRPr="00052CBC">
        <w:t>ha</w:t>
      </w:r>
      <w:r w:rsidR="00052CBC">
        <w:t>ve</w:t>
      </w:r>
      <w:r w:rsidR="00052CBC" w:rsidRPr="00052CBC">
        <w:t xml:space="preserve"> acceptable or achieved diagnostic performance compared to RT-PCR</w:t>
      </w:r>
      <w:r w:rsidR="00052CBC">
        <w:t>”</w:t>
      </w:r>
      <w:r w:rsidR="00052CBC" w:rsidRPr="00052CBC">
        <w:t xml:space="preserve">.Type I errors </w:t>
      </w:r>
      <w:r w:rsidR="00052CBC">
        <w:t xml:space="preserve">(alpha) </w:t>
      </w:r>
      <w:r w:rsidR="00052CBC" w:rsidRPr="00052CBC">
        <w:t>essentially correspond to false positives in the Panbio™ test</w:t>
      </w:r>
      <w:r w:rsidR="00052CBC">
        <w:t xml:space="preserve"> while </w:t>
      </w:r>
      <w:r w:rsidR="007901DD">
        <w:t>t</w:t>
      </w:r>
      <w:r w:rsidR="007901DD" w:rsidRPr="007901DD">
        <w:t>ype II (Beta) error essentially corresponds to false negatives of the Pan</w:t>
      </w:r>
      <w:r w:rsidR="007901DD">
        <w:t>bio™ test</w:t>
      </w:r>
      <w:r w:rsidR="00052CBC" w:rsidRPr="00052CBC">
        <w:t xml:space="preserve">. </w:t>
      </w:r>
      <w:r w:rsidRPr="00A626C3">
        <w:t>Sensitivity and specificity were determined with 95% confidence intervals (95% CI) using RT-PCR as a reference. Sensitivity was assessed gl</w:t>
      </w:r>
      <w:r w:rsidR="0066740E">
        <w:t xml:space="preserve">obally and based on Ct values </w:t>
      </w:r>
      <w:r w:rsidRPr="00A626C3">
        <w:t xml:space="preserve">for ORF1ab gene and N gene amplification. </w:t>
      </w:r>
      <w:r w:rsidR="00317517" w:rsidRPr="00317517">
        <w:t xml:space="preserve">Chi-square (χ²) tests were performed to compare proportions, particularly the difference in sensitivity across clinical severity groups. </w:t>
      </w:r>
      <w:r w:rsidRPr="00A626C3">
        <w:t xml:space="preserve">Statistical analysis was performed using Statview 5.0 software. For comparisons, a p-value less than or equal to </w:t>
      </w:r>
      <w:r w:rsidR="00C4269C">
        <w:t>.</w:t>
      </w:r>
      <w:r w:rsidRPr="00A626C3">
        <w:t>05 was considered significant.</w:t>
      </w:r>
    </w:p>
    <w:p w:rsidR="001547F1" w:rsidRDefault="001547F1" w:rsidP="00441B6F">
      <w:pPr>
        <w:pStyle w:val="Head1"/>
        <w:spacing w:after="0"/>
        <w:jc w:val="both"/>
        <w:rPr>
          <w:rFonts w:ascii="Arial" w:hAnsi="Arial" w:cs="Arial"/>
        </w:rPr>
      </w:pPr>
    </w:p>
    <w:p w:rsidR="00C37C2E" w:rsidRDefault="00C37C2E" w:rsidP="00441B6F">
      <w:pPr>
        <w:pStyle w:val="Head1"/>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37C2E">
        <w:rPr>
          <w:rFonts w:ascii="Arial" w:hAnsi="Arial" w:cs="Arial"/>
        </w:rPr>
        <w:t>results</w:t>
      </w:r>
    </w:p>
    <w:p w:rsidR="001547F1" w:rsidRDefault="001547F1" w:rsidP="001547F1">
      <w:pPr>
        <w:jc w:val="both"/>
      </w:pPr>
      <w:r w:rsidRPr="00A626C3">
        <w:t>Overall, 431 patients were included. The median age was 37 [27.2-49] years and 32</w:t>
      </w:r>
      <w:r w:rsidR="00C37C2E">
        <w:t>.0</w:t>
      </w:r>
      <w:r w:rsidRPr="00A626C3">
        <w:t xml:space="preserve">% (n=138) were male. Health workers represented 9.5% (n=41) of the volunteers. The median symptom duration since onset was 3[2-4] days. The rate of participants with at least one comorbidity was 13.7% (n=59). Hypertension and diabetes were the most common comorbidities (n=12 HTA + diabetes). Flu-like symptoms were the most common symptom in the study population (n=198; 45.9%) (Table 1). </w:t>
      </w:r>
    </w:p>
    <w:p w:rsidR="00C37C2E" w:rsidRDefault="00C37C2E" w:rsidP="001547F1">
      <w:pPr>
        <w:jc w:val="both"/>
      </w:pPr>
    </w:p>
    <w:p w:rsidR="00C37C2E" w:rsidRPr="00C37C2E" w:rsidRDefault="00C37C2E" w:rsidP="001547F1">
      <w:pPr>
        <w:jc w:val="both"/>
        <w:rPr>
          <w:b/>
        </w:rPr>
      </w:pPr>
      <w:r w:rsidRPr="00C37C2E">
        <w:rPr>
          <w:b/>
        </w:rPr>
        <w:lastRenderedPageBreak/>
        <w:t>Table 1 : Socio-demographic and clinical characteristics of the study participants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95"/>
        <w:gridCol w:w="1429"/>
        <w:gridCol w:w="2145"/>
      </w:tblGrid>
      <w:tr w:rsidR="00C37C2E" w:rsidRPr="00C37C2E" w:rsidTr="00C37C2E">
        <w:trPr>
          <w:trHeight w:val="229"/>
          <w:jc w:val="center"/>
        </w:trPr>
        <w:tc>
          <w:tcPr>
            <w:tcW w:w="2995" w:type="dxa"/>
            <w:tcBorders>
              <w:top w:val="single" w:sz="4" w:space="0" w:color="auto"/>
              <w:bottom w:val="single" w:sz="4" w:space="0" w:color="auto"/>
            </w:tcBorders>
          </w:tcPr>
          <w:p w:rsidR="00C37C2E" w:rsidRPr="00C37C2E" w:rsidRDefault="00C37C2E" w:rsidP="001547F1">
            <w:pPr>
              <w:jc w:val="both"/>
              <w:rPr>
                <w:rFonts w:cs="Helvetica"/>
                <w:sz w:val="20"/>
                <w:szCs w:val="20"/>
              </w:rPr>
            </w:pPr>
          </w:p>
        </w:tc>
        <w:tc>
          <w:tcPr>
            <w:tcW w:w="3574" w:type="dxa"/>
            <w:gridSpan w:val="2"/>
            <w:tcBorders>
              <w:top w:val="single" w:sz="4" w:space="0" w:color="auto"/>
              <w:bottom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Study population (n=431)</w:t>
            </w:r>
          </w:p>
        </w:tc>
      </w:tr>
      <w:tr w:rsidR="00C37C2E" w:rsidRPr="00C37C2E" w:rsidTr="00C37C2E">
        <w:trPr>
          <w:trHeight w:val="229"/>
          <w:jc w:val="center"/>
        </w:trPr>
        <w:tc>
          <w:tcPr>
            <w:tcW w:w="2995" w:type="dxa"/>
            <w:tcBorders>
              <w:top w:val="single" w:sz="4" w:space="0" w:color="auto"/>
              <w:bottom w:val="single" w:sz="4" w:space="0" w:color="auto"/>
            </w:tcBorders>
          </w:tcPr>
          <w:p w:rsidR="00C37C2E" w:rsidRPr="00C37C2E" w:rsidRDefault="00C37C2E" w:rsidP="001547F1">
            <w:pPr>
              <w:jc w:val="both"/>
              <w:rPr>
                <w:rFonts w:cs="Helvetica"/>
                <w:sz w:val="20"/>
                <w:szCs w:val="20"/>
              </w:rPr>
            </w:pPr>
          </w:p>
        </w:tc>
        <w:tc>
          <w:tcPr>
            <w:tcW w:w="1429" w:type="dxa"/>
            <w:tcBorders>
              <w:top w:val="single" w:sz="4" w:space="0" w:color="auto"/>
              <w:bottom w:val="single" w:sz="4" w:space="0" w:color="auto"/>
            </w:tcBorders>
          </w:tcPr>
          <w:p w:rsidR="00C37C2E" w:rsidRPr="00C37C2E" w:rsidRDefault="00663961" w:rsidP="00C37C2E">
            <w:pPr>
              <w:jc w:val="both"/>
              <w:rPr>
                <w:rFonts w:cs="Helvetica"/>
                <w:b/>
                <w:sz w:val="20"/>
                <w:szCs w:val="20"/>
              </w:rPr>
            </w:pPr>
            <w:r>
              <w:rPr>
                <w:rFonts w:cs="Helvetica"/>
                <w:b/>
                <w:sz w:val="20"/>
                <w:szCs w:val="20"/>
              </w:rPr>
              <w:t>n</w:t>
            </w:r>
          </w:p>
        </w:tc>
        <w:tc>
          <w:tcPr>
            <w:tcW w:w="2144" w:type="dxa"/>
            <w:tcBorders>
              <w:top w:val="single" w:sz="4" w:space="0" w:color="auto"/>
              <w:bottom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w:t>
            </w:r>
          </w:p>
        </w:tc>
      </w:tr>
      <w:tr w:rsidR="00C37C2E" w:rsidRPr="00C37C2E" w:rsidTr="00C37C2E">
        <w:trPr>
          <w:trHeight w:val="229"/>
          <w:jc w:val="center"/>
        </w:trPr>
        <w:tc>
          <w:tcPr>
            <w:tcW w:w="2995" w:type="dxa"/>
            <w:tcBorders>
              <w:top w:val="single" w:sz="4" w:space="0" w:color="auto"/>
            </w:tcBorders>
          </w:tcPr>
          <w:p w:rsidR="00C37C2E" w:rsidRPr="00C37C2E" w:rsidRDefault="00C37C2E" w:rsidP="001547F1">
            <w:pPr>
              <w:jc w:val="both"/>
              <w:rPr>
                <w:rFonts w:cs="Helvetica"/>
                <w:b/>
                <w:sz w:val="20"/>
                <w:szCs w:val="20"/>
              </w:rPr>
            </w:pPr>
            <w:r w:rsidRPr="00C37C2E">
              <w:rPr>
                <w:rFonts w:cs="Helvetica"/>
                <w:b/>
                <w:sz w:val="20"/>
                <w:szCs w:val="20"/>
              </w:rPr>
              <w:t>Sex</w:t>
            </w:r>
          </w:p>
        </w:tc>
        <w:tc>
          <w:tcPr>
            <w:tcW w:w="1429" w:type="dxa"/>
            <w:tcBorders>
              <w:top w:val="single" w:sz="4" w:space="0" w:color="auto"/>
            </w:tcBorders>
          </w:tcPr>
          <w:p w:rsidR="00C37C2E" w:rsidRPr="00C37C2E" w:rsidRDefault="00C37C2E" w:rsidP="001547F1">
            <w:pPr>
              <w:jc w:val="both"/>
              <w:rPr>
                <w:rFonts w:cs="Helvetica"/>
                <w:sz w:val="20"/>
                <w:szCs w:val="20"/>
              </w:rPr>
            </w:pPr>
          </w:p>
        </w:tc>
        <w:tc>
          <w:tcPr>
            <w:tcW w:w="2144" w:type="dxa"/>
            <w:tcBorders>
              <w:top w:val="single" w:sz="4" w:space="0" w:color="auto"/>
            </w:tcBorders>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Male</w:t>
            </w:r>
          </w:p>
        </w:tc>
        <w:tc>
          <w:tcPr>
            <w:tcW w:w="1429" w:type="dxa"/>
          </w:tcPr>
          <w:p w:rsidR="00C37C2E" w:rsidRPr="00C37C2E" w:rsidRDefault="00C37C2E" w:rsidP="001547F1">
            <w:pPr>
              <w:jc w:val="both"/>
              <w:rPr>
                <w:rFonts w:cs="Helvetica"/>
                <w:sz w:val="20"/>
                <w:szCs w:val="20"/>
              </w:rPr>
            </w:pPr>
            <w:r w:rsidRPr="00C37C2E">
              <w:rPr>
                <w:rFonts w:cs="Helvetica"/>
                <w:sz w:val="20"/>
                <w:szCs w:val="20"/>
              </w:rPr>
              <w:t>138</w:t>
            </w:r>
          </w:p>
        </w:tc>
        <w:tc>
          <w:tcPr>
            <w:tcW w:w="2144" w:type="dxa"/>
          </w:tcPr>
          <w:p w:rsidR="00C37C2E" w:rsidRPr="00C37C2E" w:rsidRDefault="00C37C2E" w:rsidP="001547F1">
            <w:pPr>
              <w:jc w:val="both"/>
              <w:rPr>
                <w:rFonts w:cs="Helvetica"/>
                <w:sz w:val="20"/>
                <w:szCs w:val="20"/>
              </w:rPr>
            </w:pPr>
            <w:r w:rsidRPr="00C37C2E">
              <w:rPr>
                <w:rFonts w:cs="Helvetica"/>
                <w:sz w:val="20"/>
                <w:szCs w:val="20"/>
              </w:rPr>
              <w:t>32.0</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Female</w:t>
            </w:r>
          </w:p>
        </w:tc>
        <w:tc>
          <w:tcPr>
            <w:tcW w:w="1429" w:type="dxa"/>
          </w:tcPr>
          <w:p w:rsidR="00C37C2E" w:rsidRPr="00C37C2E" w:rsidRDefault="00C37C2E" w:rsidP="001547F1">
            <w:pPr>
              <w:jc w:val="both"/>
              <w:rPr>
                <w:rFonts w:cs="Helvetica"/>
                <w:sz w:val="20"/>
                <w:szCs w:val="20"/>
              </w:rPr>
            </w:pPr>
            <w:r w:rsidRPr="00C37C2E">
              <w:rPr>
                <w:rFonts w:cs="Helvetica"/>
                <w:sz w:val="20"/>
                <w:szCs w:val="20"/>
              </w:rPr>
              <w:t>293</w:t>
            </w:r>
          </w:p>
        </w:tc>
        <w:tc>
          <w:tcPr>
            <w:tcW w:w="2144" w:type="dxa"/>
          </w:tcPr>
          <w:p w:rsidR="00C37C2E" w:rsidRPr="00C37C2E" w:rsidRDefault="00C37C2E" w:rsidP="001547F1">
            <w:pPr>
              <w:jc w:val="both"/>
              <w:rPr>
                <w:rFonts w:cs="Helvetica"/>
                <w:sz w:val="20"/>
                <w:szCs w:val="20"/>
              </w:rPr>
            </w:pPr>
            <w:r w:rsidRPr="00C37C2E">
              <w:rPr>
                <w:rFonts w:cs="Helvetica"/>
                <w:sz w:val="20"/>
                <w:szCs w:val="20"/>
              </w:rPr>
              <w:t>68.0</w:t>
            </w:r>
          </w:p>
        </w:tc>
      </w:tr>
      <w:tr w:rsidR="00C37C2E" w:rsidRPr="00C37C2E" w:rsidTr="00C37C2E">
        <w:trPr>
          <w:trHeight w:val="241"/>
          <w:jc w:val="center"/>
        </w:trPr>
        <w:tc>
          <w:tcPr>
            <w:tcW w:w="2995" w:type="dxa"/>
          </w:tcPr>
          <w:p w:rsidR="00C37C2E" w:rsidRPr="00C37C2E" w:rsidRDefault="00C37C2E" w:rsidP="001547F1">
            <w:pPr>
              <w:jc w:val="both"/>
              <w:rPr>
                <w:rFonts w:cs="Helvetica"/>
                <w:b/>
                <w:sz w:val="20"/>
                <w:szCs w:val="20"/>
              </w:rPr>
            </w:pPr>
            <w:r w:rsidRPr="00C37C2E">
              <w:rPr>
                <w:rFonts w:cs="Helvetica"/>
                <w:b/>
                <w:sz w:val="20"/>
                <w:szCs w:val="20"/>
              </w:rPr>
              <w:t>Age groups in years</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C37C2E">
            <w:pPr>
              <w:jc w:val="both"/>
              <w:rPr>
                <w:rFonts w:cs="Helvetica"/>
                <w:sz w:val="20"/>
                <w:szCs w:val="20"/>
              </w:rPr>
            </w:pPr>
            <w:r w:rsidRPr="00C37C2E">
              <w:rPr>
                <w:rFonts w:cs="Helvetica"/>
                <w:sz w:val="20"/>
                <w:szCs w:val="20"/>
              </w:rPr>
              <w:t>6-14</w:t>
            </w:r>
          </w:p>
        </w:tc>
        <w:tc>
          <w:tcPr>
            <w:tcW w:w="1429" w:type="dxa"/>
          </w:tcPr>
          <w:p w:rsidR="00C37C2E" w:rsidRPr="00C37C2E" w:rsidRDefault="00C37C2E" w:rsidP="00C37C2E">
            <w:pPr>
              <w:jc w:val="both"/>
              <w:rPr>
                <w:rFonts w:cs="Helvetica"/>
                <w:sz w:val="20"/>
                <w:szCs w:val="20"/>
              </w:rPr>
            </w:pPr>
            <w:r w:rsidRPr="00C37C2E">
              <w:rPr>
                <w:rFonts w:cs="Helvetica"/>
                <w:sz w:val="20"/>
                <w:szCs w:val="20"/>
              </w:rPr>
              <w:t>24</w:t>
            </w:r>
          </w:p>
        </w:tc>
        <w:tc>
          <w:tcPr>
            <w:tcW w:w="2144" w:type="dxa"/>
          </w:tcPr>
          <w:p w:rsidR="00C37C2E" w:rsidRPr="00C37C2E" w:rsidRDefault="00C37C2E" w:rsidP="001547F1">
            <w:pPr>
              <w:jc w:val="both"/>
              <w:rPr>
                <w:rFonts w:cs="Helvetica"/>
                <w:sz w:val="20"/>
                <w:szCs w:val="20"/>
              </w:rPr>
            </w:pPr>
            <w:r w:rsidRPr="00C37C2E">
              <w:rPr>
                <w:rFonts w:cs="Helvetica"/>
                <w:sz w:val="20"/>
                <w:szCs w:val="20"/>
              </w:rPr>
              <w:t>5.6</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15-30</w:t>
            </w:r>
          </w:p>
        </w:tc>
        <w:tc>
          <w:tcPr>
            <w:tcW w:w="1429" w:type="dxa"/>
          </w:tcPr>
          <w:p w:rsidR="00C37C2E" w:rsidRPr="00C37C2E" w:rsidRDefault="00C37C2E" w:rsidP="00C37C2E">
            <w:pPr>
              <w:jc w:val="both"/>
              <w:rPr>
                <w:rFonts w:cs="Helvetica"/>
                <w:sz w:val="20"/>
                <w:szCs w:val="20"/>
              </w:rPr>
            </w:pPr>
            <w:r w:rsidRPr="00C37C2E">
              <w:rPr>
                <w:rFonts w:cs="Helvetica"/>
                <w:sz w:val="20"/>
                <w:szCs w:val="20"/>
              </w:rPr>
              <w:t>107</w:t>
            </w:r>
          </w:p>
        </w:tc>
        <w:tc>
          <w:tcPr>
            <w:tcW w:w="2144" w:type="dxa"/>
          </w:tcPr>
          <w:p w:rsidR="00C37C2E" w:rsidRPr="00C37C2E" w:rsidRDefault="00C37C2E" w:rsidP="001547F1">
            <w:pPr>
              <w:jc w:val="both"/>
              <w:rPr>
                <w:rFonts w:cs="Helvetica"/>
                <w:sz w:val="20"/>
                <w:szCs w:val="20"/>
              </w:rPr>
            </w:pPr>
            <w:r w:rsidRPr="00C37C2E">
              <w:rPr>
                <w:rFonts w:cs="Helvetica"/>
                <w:sz w:val="20"/>
                <w:szCs w:val="20"/>
              </w:rPr>
              <w:t>24.8</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31-59</w:t>
            </w:r>
          </w:p>
        </w:tc>
        <w:tc>
          <w:tcPr>
            <w:tcW w:w="1429" w:type="dxa"/>
          </w:tcPr>
          <w:p w:rsidR="00C37C2E" w:rsidRPr="00C37C2E" w:rsidRDefault="00C37C2E" w:rsidP="00C37C2E">
            <w:pPr>
              <w:jc w:val="both"/>
              <w:rPr>
                <w:rFonts w:cs="Helvetica"/>
                <w:sz w:val="20"/>
                <w:szCs w:val="20"/>
              </w:rPr>
            </w:pPr>
            <w:r w:rsidRPr="00C37C2E">
              <w:rPr>
                <w:rFonts w:cs="Helvetica"/>
                <w:sz w:val="20"/>
                <w:szCs w:val="20"/>
              </w:rPr>
              <w:t>257</w:t>
            </w:r>
          </w:p>
        </w:tc>
        <w:tc>
          <w:tcPr>
            <w:tcW w:w="2144" w:type="dxa"/>
          </w:tcPr>
          <w:p w:rsidR="00C37C2E" w:rsidRPr="00C37C2E" w:rsidRDefault="00C37C2E" w:rsidP="001547F1">
            <w:pPr>
              <w:jc w:val="both"/>
              <w:rPr>
                <w:rFonts w:cs="Helvetica"/>
                <w:sz w:val="20"/>
                <w:szCs w:val="20"/>
              </w:rPr>
            </w:pPr>
            <w:r w:rsidRPr="00C37C2E">
              <w:rPr>
                <w:rFonts w:cs="Helvetica"/>
                <w:sz w:val="20"/>
                <w:szCs w:val="20"/>
              </w:rPr>
              <w:t>59.6</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≥60</w:t>
            </w:r>
          </w:p>
        </w:tc>
        <w:tc>
          <w:tcPr>
            <w:tcW w:w="1429" w:type="dxa"/>
          </w:tcPr>
          <w:p w:rsidR="00C37C2E" w:rsidRPr="00C37C2E" w:rsidRDefault="00C37C2E" w:rsidP="00C37C2E">
            <w:pPr>
              <w:jc w:val="both"/>
              <w:rPr>
                <w:rFonts w:cs="Helvetica"/>
                <w:sz w:val="20"/>
                <w:szCs w:val="20"/>
              </w:rPr>
            </w:pPr>
            <w:r w:rsidRPr="00C37C2E">
              <w:rPr>
                <w:rFonts w:cs="Helvetica"/>
                <w:sz w:val="20"/>
                <w:szCs w:val="20"/>
              </w:rPr>
              <w:t>43</w:t>
            </w:r>
          </w:p>
        </w:tc>
        <w:tc>
          <w:tcPr>
            <w:tcW w:w="2144" w:type="dxa"/>
          </w:tcPr>
          <w:p w:rsidR="00C37C2E" w:rsidRPr="00C37C2E" w:rsidRDefault="00C37C2E" w:rsidP="001547F1">
            <w:pPr>
              <w:jc w:val="both"/>
              <w:rPr>
                <w:rFonts w:cs="Helvetica"/>
                <w:sz w:val="20"/>
                <w:szCs w:val="20"/>
              </w:rPr>
            </w:pPr>
            <w:r w:rsidRPr="00C37C2E">
              <w:rPr>
                <w:rFonts w:cs="Helvetica"/>
                <w:sz w:val="20"/>
                <w:szCs w:val="20"/>
              </w:rPr>
              <w:t>10.0</w:t>
            </w:r>
          </w:p>
        </w:tc>
      </w:tr>
      <w:tr w:rsidR="00C37C2E" w:rsidRPr="00C37C2E" w:rsidTr="00C37C2E">
        <w:trPr>
          <w:trHeight w:val="229"/>
          <w:jc w:val="center"/>
        </w:trPr>
        <w:tc>
          <w:tcPr>
            <w:tcW w:w="2995" w:type="dxa"/>
          </w:tcPr>
          <w:p w:rsidR="00C37C2E" w:rsidRPr="00C37C2E" w:rsidRDefault="00C37C2E" w:rsidP="00C37C2E">
            <w:pPr>
              <w:rPr>
                <w:rFonts w:cs="Helvetica"/>
                <w:b/>
                <w:sz w:val="20"/>
                <w:szCs w:val="20"/>
              </w:rPr>
            </w:pPr>
            <w:r w:rsidRPr="00C37C2E">
              <w:rPr>
                <w:rFonts w:cs="Helvetica"/>
                <w:b/>
                <w:sz w:val="20"/>
                <w:szCs w:val="20"/>
              </w:rPr>
              <w:t>Comorbidities</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41"/>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HTA</w:t>
            </w:r>
          </w:p>
        </w:tc>
        <w:tc>
          <w:tcPr>
            <w:tcW w:w="1429" w:type="dxa"/>
          </w:tcPr>
          <w:p w:rsidR="00C37C2E" w:rsidRPr="00C37C2E" w:rsidRDefault="00C37C2E" w:rsidP="001547F1">
            <w:pPr>
              <w:jc w:val="both"/>
              <w:rPr>
                <w:rFonts w:cs="Helvetica"/>
                <w:sz w:val="20"/>
                <w:szCs w:val="20"/>
              </w:rPr>
            </w:pPr>
            <w:r>
              <w:rPr>
                <w:rFonts w:cs="Helvetica"/>
                <w:sz w:val="20"/>
                <w:szCs w:val="20"/>
              </w:rPr>
              <w:t>46</w:t>
            </w:r>
          </w:p>
        </w:tc>
        <w:tc>
          <w:tcPr>
            <w:tcW w:w="2144" w:type="dxa"/>
          </w:tcPr>
          <w:p w:rsidR="00C37C2E" w:rsidRPr="00C37C2E" w:rsidRDefault="00C37C2E" w:rsidP="001547F1">
            <w:pPr>
              <w:jc w:val="both"/>
              <w:rPr>
                <w:rFonts w:cs="Helvetica"/>
                <w:sz w:val="20"/>
                <w:szCs w:val="20"/>
              </w:rPr>
            </w:pPr>
            <w:r w:rsidRPr="00C37C2E">
              <w:rPr>
                <w:rFonts w:cs="Helvetica"/>
                <w:sz w:val="20"/>
                <w:szCs w:val="20"/>
              </w:rPr>
              <w:t>10.6</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Diabetes</w:t>
            </w:r>
          </w:p>
        </w:tc>
        <w:tc>
          <w:tcPr>
            <w:tcW w:w="1429" w:type="dxa"/>
          </w:tcPr>
          <w:p w:rsidR="00C37C2E" w:rsidRPr="00C37C2E" w:rsidRDefault="00C37C2E" w:rsidP="001547F1">
            <w:pPr>
              <w:jc w:val="both"/>
              <w:rPr>
                <w:rFonts w:cs="Helvetica"/>
                <w:sz w:val="20"/>
                <w:szCs w:val="20"/>
              </w:rPr>
            </w:pPr>
            <w:r>
              <w:rPr>
                <w:rFonts w:cs="Helvetica"/>
                <w:sz w:val="20"/>
                <w:szCs w:val="20"/>
              </w:rPr>
              <w:t>21</w:t>
            </w:r>
          </w:p>
        </w:tc>
        <w:tc>
          <w:tcPr>
            <w:tcW w:w="2144" w:type="dxa"/>
          </w:tcPr>
          <w:p w:rsidR="00C37C2E" w:rsidRPr="00C37C2E" w:rsidRDefault="00C37C2E" w:rsidP="001547F1">
            <w:pPr>
              <w:jc w:val="both"/>
              <w:rPr>
                <w:rFonts w:cs="Helvetica"/>
                <w:sz w:val="20"/>
                <w:szCs w:val="20"/>
              </w:rPr>
            </w:pPr>
            <w:r w:rsidRPr="00C37C2E">
              <w:rPr>
                <w:rFonts w:cs="Helvetica"/>
                <w:sz w:val="20"/>
                <w:szCs w:val="20"/>
              </w:rPr>
              <w:t>4.9</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Asthma</w:t>
            </w:r>
          </w:p>
        </w:tc>
        <w:tc>
          <w:tcPr>
            <w:tcW w:w="1429" w:type="dxa"/>
          </w:tcPr>
          <w:p w:rsidR="00C37C2E" w:rsidRPr="00C37C2E" w:rsidRDefault="00C37C2E" w:rsidP="001547F1">
            <w:pPr>
              <w:jc w:val="both"/>
              <w:rPr>
                <w:rFonts w:cs="Helvetica"/>
                <w:sz w:val="20"/>
                <w:szCs w:val="20"/>
              </w:rPr>
            </w:pPr>
            <w:r>
              <w:rPr>
                <w:rFonts w:cs="Helvetica"/>
                <w:sz w:val="20"/>
                <w:szCs w:val="20"/>
              </w:rPr>
              <w:t>2</w:t>
            </w:r>
          </w:p>
        </w:tc>
        <w:tc>
          <w:tcPr>
            <w:tcW w:w="2144" w:type="dxa"/>
          </w:tcPr>
          <w:p w:rsidR="00C37C2E" w:rsidRPr="00C37C2E" w:rsidRDefault="00C4269C" w:rsidP="001547F1">
            <w:pPr>
              <w:jc w:val="both"/>
              <w:rPr>
                <w:rFonts w:cs="Helvetica"/>
                <w:sz w:val="20"/>
                <w:szCs w:val="20"/>
              </w:rPr>
            </w:pPr>
            <w:r>
              <w:rPr>
                <w:rFonts w:cs="Helvetica"/>
                <w:sz w:val="20"/>
                <w:szCs w:val="20"/>
              </w:rPr>
              <w:t>.</w:t>
            </w:r>
            <w:r w:rsidR="00C37C2E" w:rsidRPr="00C37C2E">
              <w:rPr>
                <w:rFonts w:cs="Helvetica"/>
                <w:sz w:val="20"/>
                <w:szCs w:val="20"/>
              </w:rPr>
              <w:t>5</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Obesity</w:t>
            </w:r>
          </w:p>
        </w:tc>
        <w:tc>
          <w:tcPr>
            <w:tcW w:w="1429" w:type="dxa"/>
          </w:tcPr>
          <w:p w:rsidR="00C37C2E" w:rsidRPr="00C37C2E" w:rsidRDefault="00C37C2E" w:rsidP="001547F1">
            <w:pPr>
              <w:jc w:val="both"/>
              <w:rPr>
                <w:rFonts w:cs="Helvetica"/>
                <w:sz w:val="20"/>
                <w:szCs w:val="20"/>
              </w:rPr>
            </w:pPr>
            <w:r>
              <w:rPr>
                <w:rFonts w:cs="Helvetica"/>
                <w:sz w:val="20"/>
                <w:szCs w:val="20"/>
              </w:rPr>
              <w:t>2</w:t>
            </w:r>
          </w:p>
        </w:tc>
        <w:tc>
          <w:tcPr>
            <w:tcW w:w="2144" w:type="dxa"/>
          </w:tcPr>
          <w:p w:rsidR="00C37C2E" w:rsidRPr="00C37C2E" w:rsidRDefault="00C4269C" w:rsidP="001547F1">
            <w:pPr>
              <w:jc w:val="both"/>
              <w:rPr>
                <w:rFonts w:cs="Helvetica"/>
                <w:sz w:val="20"/>
                <w:szCs w:val="20"/>
              </w:rPr>
            </w:pPr>
            <w:r>
              <w:rPr>
                <w:rFonts w:cs="Helvetica"/>
                <w:sz w:val="20"/>
                <w:szCs w:val="20"/>
              </w:rPr>
              <w:t>.</w:t>
            </w:r>
            <w:r w:rsidR="00C37C2E" w:rsidRPr="00C37C2E">
              <w:rPr>
                <w:rFonts w:cs="Helvetica"/>
                <w:sz w:val="20"/>
                <w:szCs w:val="20"/>
              </w:rPr>
              <w:t>5</w:t>
            </w:r>
          </w:p>
        </w:tc>
      </w:tr>
      <w:tr w:rsidR="00C37C2E" w:rsidRPr="00C37C2E" w:rsidTr="00C37C2E">
        <w:trPr>
          <w:trHeight w:val="229"/>
          <w:jc w:val="center"/>
        </w:trPr>
        <w:tc>
          <w:tcPr>
            <w:tcW w:w="2995" w:type="dxa"/>
          </w:tcPr>
          <w:p w:rsidR="00C37C2E" w:rsidRPr="00C37C2E" w:rsidRDefault="00C37C2E" w:rsidP="001547F1">
            <w:pPr>
              <w:jc w:val="both"/>
              <w:rPr>
                <w:rFonts w:cs="Helvetica"/>
                <w:b/>
                <w:sz w:val="20"/>
                <w:szCs w:val="20"/>
              </w:rPr>
            </w:pPr>
            <w:r w:rsidRPr="00C37C2E">
              <w:rPr>
                <w:rFonts w:cs="Helvetica"/>
                <w:b/>
                <w:sz w:val="20"/>
                <w:szCs w:val="20"/>
              </w:rPr>
              <w:t>Symptoms</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Flu like-symptoms</w:t>
            </w:r>
          </w:p>
        </w:tc>
        <w:tc>
          <w:tcPr>
            <w:tcW w:w="1429" w:type="dxa"/>
          </w:tcPr>
          <w:p w:rsidR="00C37C2E" w:rsidRPr="00C37C2E" w:rsidRDefault="00C37C2E" w:rsidP="001547F1">
            <w:pPr>
              <w:jc w:val="both"/>
              <w:rPr>
                <w:rFonts w:cs="Helvetica"/>
                <w:sz w:val="20"/>
                <w:szCs w:val="20"/>
              </w:rPr>
            </w:pPr>
            <w:r>
              <w:rPr>
                <w:rFonts w:cs="Helvetica"/>
                <w:sz w:val="20"/>
                <w:szCs w:val="20"/>
              </w:rPr>
              <w:t>198</w:t>
            </w:r>
          </w:p>
        </w:tc>
        <w:tc>
          <w:tcPr>
            <w:tcW w:w="2144" w:type="dxa"/>
          </w:tcPr>
          <w:p w:rsidR="00C37C2E" w:rsidRPr="00C37C2E" w:rsidRDefault="00C37C2E" w:rsidP="001547F1">
            <w:pPr>
              <w:jc w:val="both"/>
              <w:rPr>
                <w:rFonts w:cs="Helvetica"/>
                <w:sz w:val="20"/>
                <w:szCs w:val="20"/>
              </w:rPr>
            </w:pPr>
            <w:r w:rsidRPr="00C37C2E">
              <w:rPr>
                <w:rFonts w:cs="Helvetica"/>
                <w:sz w:val="20"/>
                <w:szCs w:val="20"/>
              </w:rPr>
              <w:t>46.0</w:t>
            </w:r>
          </w:p>
        </w:tc>
      </w:tr>
      <w:tr w:rsidR="00C37C2E" w:rsidRPr="00C37C2E" w:rsidTr="00C37C2E">
        <w:trPr>
          <w:trHeight w:val="241"/>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Respiratory distress</w:t>
            </w:r>
          </w:p>
        </w:tc>
        <w:tc>
          <w:tcPr>
            <w:tcW w:w="1429" w:type="dxa"/>
          </w:tcPr>
          <w:p w:rsidR="00C37C2E" w:rsidRPr="00C37C2E" w:rsidRDefault="00C37C2E" w:rsidP="001547F1">
            <w:pPr>
              <w:jc w:val="both"/>
              <w:rPr>
                <w:rFonts w:cs="Helvetica"/>
                <w:sz w:val="20"/>
                <w:szCs w:val="20"/>
              </w:rPr>
            </w:pPr>
            <w:r>
              <w:rPr>
                <w:rFonts w:cs="Helvetica"/>
                <w:sz w:val="20"/>
                <w:szCs w:val="20"/>
              </w:rPr>
              <w:t>32</w:t>
            </w:r>
          </w:p>
        </w:tc>
        <w:tc>
          <w:tcPr>
            <w:tcW w:w="2144" w:type="dxa"/>
          </w:tcPr>
          <w:p w:rsidR="00C37C2E" w:rsidRPr="00C37C2E" w:rsidRDefault="00C37C2E" w:rsidP="001547F1">
            <w:pPr>
              <w:jc w:val="both"/>
              <w:rPr>
                <w:rFonts w:cs="Helvetica"/>
                <w:sz w:val="20"/>
                <w:szCs w:val="20"/>
              </w:rPr>
            </w:pPr>
            <w:r w:rsidRPr="00C37C2E">
              <w:rPr>
                <w:rFonts w:cs="Helvetica"/>
                <w:sz w:val="20"/>
                <w:szCs w:val="20"/>
              </w:rPr>
              <w:t>7.5</w:t>
            </w:r>
          </w:p>
        </w:tc>
      </w:tr>
      <w:tr w:rsidR="00C37C2E" w:rsidRPr="00C37C2E" w:rsidTr="00C37C2E">
        <w:trPr>
          <w:trHeight w:val="229"/>
          <w:jc w:val="center"/>
        </w:trPr>
        <w:tc>
          <w:tcPr>
            <w:tcW w:w="2995" w:type="dxa"/>
          </w:tcPr>
          <w:p w:rsidR="00C37C2E" w:rsidRPr="00C37C2E" w:rsidRDefault="00835863" w:rsidP="001547F1">
            <w:pPr>
              <w:jc w:val="both"/>
              <w:rPr>
                <w:rFonts w:cs="Helvetica"/>
                <w:sz w:val="20"/>
                <w:szCs w:val="20"/>
              </w:rPr>
            </w:pPr>
            <w:r>
              <w:rPr>
                <w:rFonts w:cs="Helvetica"/>
                <w:sz w:val="20"/>
                <w:szCs w:val="20"/>
              </w:rPr>
              <w:t xml:space="preserve">Loss of taste </w:t>
            </w:r>
          </w:p>
        </w:tc>
        <w:tc>
          <w:tcPr>
            <w:tcW w:w="1429" w:type="dxa"/>
          </w:tcPr>
          <w:p w:rsidR="00C37C2E" w:rsidRPr="00C37C2E" w:rsidRDefault="00C37C2E" w:rsidP="001547F1">
            <w:pPr>
              <w:jc w:val="both"/>
              <w:rPr>
                <w:rFonts w:cs="Helvetica"/>
                <w:sz w:val="20"/>
                <w:szCs w:val="20"/>
              </w:rPr>
            </w:pPr>
            <w:r>
              <w:rPr>
                <w:rFonts w:cs="Helvetica"/>
                <w:sz w:val="20"/>
                <w:szCs w:val="20"/>
              </w:rPr>
              <w:t>60</w:t>
            </w:r>
          </w:p>
        </w:tc>
        <w:tc>
          <w:tcPr>
            <w:tcW w:w="2144" w:type="dxa"/>
          </w:tcPr>
          <w:p w:rsidR="00C37C2E" w:rsidRPr="00C37C2E" w:rsidRDefault="00C37C2E" w:rsidP="001547F1">
            <w:pPr>
              <w:jc w:val="both"/>
              <w:rPr>
                <w:rFonts w:cs="Helvetica"/>
                <w:sz w:val="20"/>
                <w:szCs w:val="20"/>
              </w:rPr>
            </w:pPr>
            <w:r w:rsidRPr="00C37C2E">
              <w:rPr>
                <w:rFonts w:cs="Helvetica"/>
                <w:sz w:val="20"/>
                <w:szCs w:val="20"/>
              </w:rPr>
              <w:t>13.9</w:t>
            </w:r>
          </w:p>
        </w:tc>
      </w:tr>
      <w:tr w:rsidR="00C37C2E" w:rsidRPr="00C37C2E" w:rsidTr="00C37C2E">
        <w:trPr>
          <w:trHeight w:val="229"/>
          <w:jc w:val="center"/>
        </w:trPr>
        <w:tc>
          <w:tcPr>
            <w:tcW w:w="2995" w:type="dxa"/>
          </w:tcPr>
          <w:p w:rsidR="00C37C2E" w:rsidRPr="00C37C2E" w:rsidRDefault="00835863" w:rsidP="001547F1">
            <w:pPr>
              <w:jc w:val="both"/>
              <w:rPr>
                <w:rFonts w:cs="Helvetica"/>
                <w:sz w:val="20"/>
                <w:szCs w:val="20"/>
              </w:rPr>
            </w:pPr>
            <w:r>
              <w:rPr>
                <w:rFonts w:cs="Helvetica"/>
                <w:sz w:val="20"/>
                <w:szCs w:val="20"/>
              </w:rPr>
              <w:t>Loss of smell</w:t>
            </w:r>
          </w:p>
        </w:tc>
        <w:tc>
          <w:tcPr>
            <w:tcW w:w="1429" w:type="dxa"/>
          </w:tcPr>
          <w:p w:rsidR="00C37C2E" w:rsidRPr="00C37C2E" w:rsidRDefault="00C37C2E" w:rsidP="001547F1">
            <w:pPr>
              <w:jc w:val="both"/>
              <w:rPr>
                <w:rFonts w:cs="Helvetica"/>
                <w:sz w:val="20"/>
                <w:szCs w:val="20"/>
              </w:rPr>
            </w:pPr>
            <w:r>
              <w:rPr>
                <w:rFonts w:cs="Helvetica"/>
                <w:sz w:val="20"/>
                <w:szCs w:val="20"/>
              </w:rPr>
              <w:t>47</w:t>
            </w:r>
          </w:p>
        </w:tc>
        <w:tc>
          <w:tcPr>
            <w:tcW w:w="2144" w:type="dxa"/>
          </w:tcPr>
          <w:p w:rsidR="00C37C2E" w:rsidRPr="00C37C2E" w:rsidRDefault="00C37C2E" w:rsidP="001547F1">
            <w:pPr>
              <w:jc w:val="both"/>
              <w:rPr>
                <w:rFonts w:cs="Helvetica"/>
                <w:sz w:val="20"/>
                <w:szCs w:val="20"/>
              </w:rPr>
            </w:pPr>
            <w:r w:rsidRPr="00C37C2E">
              <w:rPr>
                <w:rFonts w:cs="Helvetica"/>
                <w:sz w:val="20"/>
                <w:szCs w:val="20"/>
              </w:rPr>
              <w:t>10.9</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Odynophagia</w:t>
            </w:r>
          </w:p>
        </w:tc>
        <w:tc>
          <w:tcPr>
            <w:tcW w:w="1429" w:type="dxa"/>
          </w:tcPr>
          <w:p w:rsidR="00C37C2E" w:rsidRPr="00C37C2E" w:rsidRDefault="00C37C2E" w:rsidP="001547F1">
            <w:pPr>
              <w:jc w:val="both"/>
              <w:rPr>
                <w:rFonts w:cs="Helvetica"/>
                <w:sz w:val="20"/>
                <w:szCs w:val="20"/>
              </w:rPr>
            </w:pPr>
            <w:r>
              <w:rPr>
                <w:rFonts w:cs="Helvetica"/>
                <w:sz w:val="20"/>
                <w:szCs w:val="20"/>
              </w:rPr>
              <w:t>6</w:t>
            </w:r>
          </w:p>
        </w:tc>
        <w:tc>
          <w:tcPr>
            <w:tcW w:w="2144" w:type="dxa"/>
          </w:tcPr>
          <w:p w:rsidR="00C37C2E" w:rsidRPr="00C37C2E" w:rsidRDefault="00C37C2E" w:rsidP="001547F1">
            <w:pPr>
              <w:jc w:val="both"/>
              <w:rPr>
                <w:rFonts w:cs="Helvetica"/>
                <w:sz w:val="20"/>
                <w:szCs w:val="20"/>
              </w:rPr>
            </w:pPr>
            <w:r w:rsidRPr="00C37C2E">
              <w:rPr>
                <w:rFonts w:cs="Helvetica"/>
                <w:sz w:val="20"/>
                <w:szCs w:val="20"/>
              </w:rPr>
              <w:t>1.4</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Headache </w:t>
            </w:r>
          </w:p>
        </w:tc>
        <w:tc>
          <w:tcPr>
            <w:tcW w:w="1429" w:type="dxa"/>
          </w:tcPr>
          <w:p w:rsidR="00C37C2E" w:rsidRPr="00C37C2E" w:rsidRDefault="00C37C2E" w:rsidP="001547F1">
            <w:pPr>
              <w:jc w:val="both"/>
              <w:rPr>
                <w:rFonts w:cs="Helvetica"/>
                <w:sz w:val="20"/>
                <w:szCs w:val="20"/>
              </w:rPr>
            </w:pPr>
            <w:r>
              <w:rPr>
                <w:rFonts w:cs="Helvetica"/>
                <w:sz w:val="20"/>
                <w:szCs w:val="20"/>
              </w:rPr>
              <w:t>34</w:t>
            </w:r>
          </w:p>
        </w:tc>
        <w:tc>
          <w:tcPr>
            <w:tcW w:w="2144" w:type="dxa"/>
          </w:tcPr>
          <w:p w:rsidR="00C37C2E" w:rsidRPr="00C37C2E" w:rsidRDefault="00C37C2E" w:rsidP="001547F1">
            <w:pPr>
              <w:jc w:val="both"/>
              <w:rPr>
                <w:rFonts w:cs="Helvetica"/>
                <w:sz w:val="20"/>
                <w:szCs w:val="20"/>
              </w:rPr>
            </w:pPr>
            <w:r w:rsidRPr="00C37C2E">
              <w:rPr>
                <w:rFonts w:cs="Helvetica"/>
                <w:sz w:val="20"/>
                <w:szCs w:val="20"/>
              </w:rPr>
              <w:t>7.8</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Fever </w:t>
            </w:r>
          </w:p>
        </w:tc>
        <w:tc>
          <w:tcPr>
            <w:tcW w:w="1429" w:type="dxa"/>
          </w:tcPr>
          <w:p w:rsidR="00C37C2E" w:rsidRPr="00C37C2E" w:rsidRDefault="00C37C2E" w:rsidP="001547F1">
            <w:pPr>
              <w:jc w:val="both"/>
              <w:rPr>
                <w:rFonts w:cs="Helvetica"/>
                <w:sz w:val="20"/>
                <w:szCs w:val="20"/>
              </w:rPr>
            </w:pPr>
            <w:r>
              <w:rPr>
                <w:rFonts w:cs="Helvetica"/>
                <w:sz w:val="20"/>
                <w:szCs w:val="20"/>
              </w:rPr>
              <w:t>35</w:t>
            </w:r>
          </w:p>
        </w:tc>
        <w:tc>
          <w:tcPr>
            <w:tcW w:w="2144" w:type="dxa"/>
          </w:tcPr>
          <w:p w:rsidR="00C37C2E" w:rsidRPr="00C37C2E" w:rsidRDefault="00C37C2E" w:rsidP="001547F1">
            <w:pPr>
              <w:jc w:val="both"/>
              <w:rPr>
                <w:rFonts w:cs="Helvetica"/>
                <w:sz w:val="20"/>
                <w:szCs w:val="20"/>
              </w:rPr>
            </w:pPr>
            <w:r w:rsidRPr="00C37C2E">
              <w:rPr>
                <w:rFonts w:cs="Helvetica"/>
                <w:sz w:val="20"/>
                <w:szCs w:val="20"/>
              </w:rPr>
              <w:t>8.1</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Chest pain </w:t>
            </w:r>
          </w:p>
        </w:tc>
        <w:tc>
          <w:tcPr>
            <w:tcW w:w="1429" w:type="dxa"/>
          </w:tcPr>
          <w:p w:rsidR="00C37C2E" w:rsidRPr="00C37C2E" w:rsidRDefault="00C37C2E" w:rsidP="001547F1">
            <w:pPr>
              <w:jc w:val="both"/>
              <w:rPr>
                <w:rFonts w:cs="Helvetica"/>
                <w:sz w:val="20"/>
                <w:szCs w:val="20"/>
              </w:rPr>
            </w:pPr>
            <w:r>
              <w:rPr>
                <w:rFonts w:cs="Helvetica"/>
                <w:sz w:val="20"/>
                <w:szCs w:val="20"/>
              </w:rPr>
              <w:t>14</w:t>
            </w:r>
          </w:p>
        </w:tc>
        <w:tc>
          <w:tcPr>
            <w:tcW w:w="2144" w:type="dxa"/>
          </w:tcPr>
          <w:p w:rsidR="00C37C2E" w:rsidRPr="00C37C2E" w:rsidRDefault="00C37C2E" w:rsidP="001547F1">
            <w:pPr>
              <w:jc w:val="both"/>
              <w:rPr>
                <w:rFonts w:cs="Helvetica"/>
                <w:sz w:val="20"/>
                <w:szCs w:val="20"/>
              </w:rPr>
            </w:pPr>
            <w:r w:rsidRPr="00C37C2E">
              <w:rPr>
                <w:rFonts w:cs="Helvetica"/>
                <w:sz w:val="20"/>
                <w:szCs w:val="20"/>
              </w:rPr>
              <w:t>3.2</w:t>
            </w: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Cough </w:t>
            </w:r>
          </w:p>
        </w:tc>
        <w:tc>
          <w:tcPr>
            <w:tcW w:w="1429" w:type="dxa"/>
          </w:tcPr>
          <w:p w:rsidR="00C37C2E" w:rsidRPr="00C37C2E" w:rsidRDefault="00C37C2E" w:rsidP="001547F1">
            <w:pPr>
              <w:jc w:val="both"/>
              <w:rPr>
                <w:rFonts w:cs="Helvetica"/>
                <w:sz w:val="20"/>
                <w:szCs w:val="20"/>
              </w:rPr>
            </w:pPr>
            <w:r>
              <w:rPr>
                <w:rFonts w:cs="Helvetica"/>
                <w:sz w:val="20"/>
                <w:szCs w:val="20"/>
              </w:rPr>
              <w:t>19</w:t>
            </w:r>
          </w:p>
        </w:tc>
        <w:tc>
          <w:tcPr>
            <w:tcW w:w="2144" w:type="dxa"/>
          </w:tcPr>
          <w:p w:rsidR="00C37C2E" w:rsidRPr="00C37C2E" w:rsidRDefault="00C37C2E" w:rsidP="001547F1">
            <w:pPr>
              <w:jc w:val="both"/>
              <w:rPr>
                <w:rFonts w:cs="Helvetica"/>
                <w:sz w:val="20"/>
                <w:szCs w:val="20"/>
              </w:rPr>
            </w:pPr>
            <w:r w:rsidRPr="00C37C2E">
              <w:rPr>
                <w:rFonts w:cs="Helvetica"/>
                <w:sz w:val="20"/>
                <w:szCs w:val="20"/>
              </w:rPr>
              <w:t>4.4</w:t>
            </w:r>
          </w:p>
        </w:tc>
      </w:tr>
      <w:tr w:rsidR="00C37C2E" w:rsidRPr="00C37C2E" w:rsidTr="00C37C2E">
        <w:trPr>
          <w:trHeight w:val="241"/>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 xml:space="preserve">Polyarthralgia </w:t>
            </w:r>
          </w:p>
        </w:tc>
        <w:tc>
          <w:tcPr>
            <w:tcW w:w="1429" w:type="dxa"/>
          </w:tcPr>
          <w:p w:rsidR="00C37C2E" w:rsidRPr="00C37C2E" w:rsidRDefault="00C37C2E" w:rsidP="001547F1">
            <w:pPr>
              <w:jc w:val="both"/>
              <w:rPr>
                <w:rFonts w:cs="Helvetica"/>
                <w:sz w:val="20"/>
                <w:szCs w:val="20"/>
              </w:rPr>
            </w:pPr>
            <w:r>
              <w:rPr>
                <w:rFonts w:cs="Helvetica"/>
                <w:sz w:val="20"/>
                <w:szCs w:val="20"/>
              </w:rPr>
              <w:t>13</w:t>
            </w:r>
          </w:p>
        </w:tc>
        <w:tc>
          <w:tcPr>
            <w:tcW w:w="2144" w:type="dxa"/>
          </w:tcPr>
          <w:p w:rsidR="00C37C2E" w:rsidRPr="00C37C2E" w:rsidRDefault="00C37C2E" w:rsidP="001547F1">
            <w:pPr>
              <w:jc w:val="both"/>
              <w:rPr>
                <w:rFonts w:cs="Helvetica"/>
                <w:sz w:val="20"/>
                <w:szCs w:val="20"/>
              </w:rPr>
            </w:pPr>
            <w:r w:rsidRPr="00C37C2E">
              <w:rPr>
                <w:rFonts w:cs="Helvetica"/>
                <w:sz w:val="20"/>
                <w:szCs w:val="20"/>
              </w:rPr>
              <w:t>3.0</w:t>
            </w:r>
          </w:p>
        </w:tc>
      </w:tr>
      <w:tr w:rsidR="00C37C2E" w:rsidRPr="00C37C2E" w:rsidTr="00C37C2E">
        <w:trPr>
          <w:trHeight w:val="229"/>
          <w:jc w:val="center"/>
        </w:trPr>
        <w:tc>
          <w:tcPr>
            <w:tcW w:w="2995" w:type="dxa"/>
          </w:tcPr>
          <w:p w:rsidR="00C37C2E" w:rsidRPr="00C37C2E" w:rsidRDefault="00C37C2E" w:rsidP="001547F1">
            <w:pPr>
              <w:jc w:val="both"/>
              <w:rPr>
                <w:rFonts w:cs="Helvetica"/>
                <w:b/>
                <w:sz w:val="20"/>
                <w:szCs w:val="20"/>
              </w:rPr>
            </w:pPr>
            <w:r w:rsidRPr="00C37C2E">
              <w:rPr>
                <w:rFonts w:cs="Helvetica"/>
                <w:b/>
                <w:sz w:val="20"/>
                <w:szCs w:val="20"/>
              </w:rPr>
              <w:t>SARS-Cov-2 detection</w:t>
            </w:r>
          </w:p>
        </w:tc>
        <w:tc>
          <w:tcPr>
            <w:tcW w:w="1429" w:type="dxa"/>
          </w:tcPr>
          <w:p w:rsidR="00C37C2E" w:rsidRPr="00C37C2E" w:rsidRDefault="00C37C2E" w:rsidP="001547F1">
            <w:pPr>
              <w:jc w:val="both"/>
              <w:rPr>
                <w:rFonts w:cs="Helvetica"/>
                <w:sz w:val="20"/>
                <w:szCs w:val="20"/>
              </w:rPr>
            </w:pPr>
          </w:p>
        </w:tc>
        <w:tc>
          <w:tcPr>
            <w:tcW w:w="2144" w:type="dxa"/>
          </w:tcPr>
          <w:p w:rsidR="00C37C2E" w:rsidRPr="00C37C2E" w:rsidRDefault="00C37C2E" w:rsidP="001547F1">
            <w:pPr>
              <w:jc w:val="both"/>
              <w:rPr>
                <w:rFonts w:cs="Helvetica"/>
                <w:sz w:val="20"/>
                <w:szCs w:val="20"/>
              </w:rPr>
            </w:pPr>
          </w:p>
        </w:tc>
      </w:tr>
      <w:tr w:rsidR="00C37C2E" w:rsidRPr="00C37C2E" w:rsidTr="00C37C2E">
        <w:trPr>
          <w:trHeight w:val="229"/>
          <w:jc w:val="center"/>
        </w:trPr>
        <w:tc>
          <w:tcPr>
            <w:tcW w:w="2995" w:type="dxa"/>
          </w:tcPr>
          <w:p w:rsidR="00C37C2E" w:rsidRPr="00C37C2E" w:rsidRDefault="00C37C2E" w:rsidP="001547F1">
            <w:pPr>
              <w:jc w:val="both"/>
              <w:rPr>
                <w:rFonts w:cs="Helvetica"/>
                <w:sz w:val="20"/>
                <w:szCs w:val="20"/>
              </w:rPr>
            </w:pPr>
            <w:r w:rsidRPr="00C37C2E">
              <w:rPr>
                <w:rFonts w:cs="Helvetica"/>
                <w:sz w:val="20"/>
                <w:szCs w:val="20"/>
              </w:rPr>
              <w:t>Positive RT-PCR</w:t>
            </w:r>
          </w:p>
        </w:tc>
        <w:tc>
          <w:tcPr>
            <w:tcW w:w="1429" w:type="dxa"/>
          </w:tcPr>
          <w:p w:rsidR="00C37C2E" w:rsidRPr="00C37C2E" w:rsidRDefault="00C37C2E" w:rsidP="001547F1">
            <w:pPr>
              <w:jc w:val="both"/>
              <w:rPr>
                <w:rFonts w:cs="Helvetica"/>
                <w:sz w:val="20"/>
                <w:szCs w:val="20"/>
              </w:rPr>
            </w:pPr>
            <w:r w:rsidRPr="00C37C2E">
              <w:rPr>
                <w:rFonts w:cs="Helvetica"/>
                <w:sz w:val="20"/>
                <w:szCs w:val="20"/>
              </w:rPr>
              <w:t>145</w:t>
            </w:r>
          </w:p>
        </w:tc>
        <w:tc>
          <w:tcPr>
            <w:tcW w:w="2144" w:type="dxa"/>
          </w:tcPr>
          <w:p w:rsidR="00C37C2E" w:rsidRPr="00C37C2E" w:rsidRDefault="00C37C2E" w:rsidP="001547F1">
            <w:pPr>
              <w:jc w:val="both"/>
              <w:rPr>
                <w:rFonts w:cs="Helvetica"/>
                <w:sz w:val="20"/>
                <w:szCs w:val="20"/>
              </w:rPr>
            </w:pPr>
            <w:r w:rsidRPr="00C37C2E">
              <w:rPr>
                <w:rFonts w:cs="Helvetica"/>
                <w:sz w:val="20"/>
                <w:szCs w:val="20"/>
              </w:rPr>
              <w:t>33.6</w:t>
            </w:r>
          </w:p>
        </w:tc>
      </w:tr>
      <w:tr w:rsidR="00C37C2E" w:rsidRPr="00C37C2E" w:rsidTr="00C37C2E">
        <w:trPr>
          <w:trHeight w:val="229"/>
          <w:jc w:val="center"/>
        </w:trPr>
        <w:tc>
          <w:tcPr>
            <w:tcW w:w="2995" w:type="dxa"/>
            <w:tcBorders>
              <w:bottom w:val="single" w:sz="4" w:space="0" w:color="auto"/>
            </w:tcBorders>
          </w:tcPr>
          <w:p w:rsidR="00C37C2E" w:rsidRPr="00C37C2E" w:rsidRDefault="00C37C2E">
            <w:pPr>
              <w:jc w:val="both"/>
              <w:rPr>
                <w:rFonts w:cs="Helvetica"/>
                <w:sz w:val="20"/>
                <w:szCs w:val="20"/>
              </w:rPr>
            </w:pPr>
            <w:r w:rsidRPr="00C37C2E">
              <w:rPr>
                <w:rFonts w:cs="Helvetica"/>
                <w:sz w:val="20"/>
                <w:szCs w:val="20"/>
              </w:rPr>
              <w:t xml:space="preserve">Positive </w:t>
            </w:r>
            <w:r w:rsidR="00485240" w:rsidRPr="00C37C2E">
              <w:rPr>
                <w:rFonts w:cs="Helvetica"/>
                <w:sz w:val="20"/>
                <w:szCs w:val="20"/>
              </w:rPr>
              <w:t>Pan</w:t>
            </w:r>
            <w:r w:rsidR="00485240">
              <w:rPr>
                <w:rFonts w:cs="Helvetica"/>
                <w:sz w:val="20"/>
                <w:szCs w:val="20"/>
              </w:rPr>
              <w:t>b</w:t>
            </w:r>
            <w:r w:rsidR="00485240" w:rsidRPr="00C37C2E">
              <w:rPr>
                <w:rFonts w:cs="Helvetica"/>
                <w:sz w:val="20"/>
                <w:szCs w:val="20"/>
              </w:rPr>
              <w:t>io</w:t>
            </w:r>
            <w:r w:rsidR="00485240" w:rsidRPr="00C37C2E">
              <w:rPr>
                <w:rFonts w:cs="Helvetica"/>
                <w:sz w:val="20"/>
                <w:szCs w:val="20"/>
                <w:vertAlign w:val="superscript"/>
              </w:rPr>
              <w:t>TM</w:t>
            </w:r>
            <w:r w:rsidRPr="00C37C2E">
              <w:rPr>
                <w:rFonts w:cs="Helvetica"/>
                <w:sz w:val="20"/>
                <w:szCs w:val="20"/>
              </w:rPr>
              <w:t>RDT</w:t>
            </w:r>
          </w:p>
        </w:tc>
        <w:tc>
          <w:tcPr>
            <w:tcW w:w="1429" w:type="dxa"/>
            <w:tcBorders>
              <w:bottom w:val="single" w:sz="4" w:space="0" w:color="auto"/>
            </w:tcBorders>
          </w:tcPr>
          <w:p w:rsidR="00C37C2E" w:rsidRPr="00C37C2E" w:rsidRDefault="00C37C2E" w:rsidP="001547F1">
            <w:pPr>
              <w:jc w:val="both"/>
              <w:rPr>
                <w:rFonts w:cs="Helvetica"/>
                <w:sz w:val="20"/>
                <w:szCs w:val="20"/>
              </w:rPr>
            </w:pPr>
            <w:r w:rsidRPr="00C37C2E">
              <w:rPr>
                <w:rFonts w:cs="Helvetica"/>
                <w:sz w:val="20"/>
                <w:szCs w:val="20"/>
              </w:rPr>
              <w:t>145</w:t>
            </w:r>
          </w:p>
        </w:tc>
        <w:tc>
          <w:tcPr>
            <w:tcW w:w="2144" w:type="dxa"/>
            <w:tcBorders>
              <w:bottom w:val="single" w:sz="4" w:space="0" w:color="auto"/>
            </w:tcBorders>
          </w:tcPr>
          <w:p w:rsidR="00C37C2E" w:rsidRPr="00C37C2E" w:rsidRDefault="00C37C2E" w:rsidP="001547F1">
            <w:pPr>
              <w:jc w:val="both"/>
              <w:rPr>
                <w:rFonts w:cs="Helvetica"/>
                <w:sz w:val="20"/>
                <w:szCs w:val="20"/>
              </w:rPr>
            </w:pPr>
            <w:r w:rsidRPr="00C37C2E">
              <w:rPr>
                <w:rFonts w:cs="Helvetica"/>
                <w:sz w:val="20"/>
                <w:szCs w:val="20"/>
              </w:rPr>
              <w:t>33.6</w:t>
            </w:r>
          </w:p>
        </w:tc>
      </w:tr>
    </w:tbl>
    <w:p w:rsidR="00C37C2E" w:rsidRDefault="00C37C2E" w:rsidP="001547F1">
      <w:pPr>
        <w:jc w:val="both"/>
      </w:pPr>
    </w:p>
    <w:p w:rsidR="001547F1" w:rsidRDefault="001547F1" w:rsidP="001547F1">
      <w:pPr>
        <w:jc w:val="both"/>
      </w:pPr>
    </w:p>
    <w:p w:rsidR="001547F1" w:rsidRPr="00A626C3" w:rsidRDefault="001547F1" w:rsidP="001547F1">
      <w:pPr>
        <w:jc w:val="both"/>
      </w:pPr>
      <w:r w:rsidRPr="00A626C3">
        <w:t>Other symptoms such as odynophagia, polyarthralgia, chest pain and cough were rarely found (&lt;10%). None of the patients was vaccinated.</w:t>
      </w:r>
    </w:p>
    <w:p w:rsidR="001547F1" w:rsidRDefault="001547F1" w:rsidP="001547F1">
      <w:pPr>
        <w:spacing w:line="276" w:lineRule="auto"/>
        <w:jc w:val="both"/>
      </w:pPr>
    </w:p>
    <w:p w:rsidR="001547F1" w:rsidRPr="00A626C3" w:rsidRDefault="001547F1" w:rsidP="001547F1">
      <w:pPr>
        <w:spacing w:line="276" w:lineRule="auto"/>
        <w:jc w:val="both"/>
      </w:pPr>
    </w:p>
    <w:p w:rsidR="001547F1" w:rsidRPr="00A626C3" w:rsidRDefault="001547F1" w:rsidP="001547F1">
      <w:pPr>
        <w:spacing w:line="276" w:lineRule="auto"/>
        <w:jc w:val="both"/>
        <w:rPr>
          <w:b/>
        </w:rPr>
      </w:pPr>
      <w:r w:rsidRPr="00A626C3">
        <w:rPr>
          <w:b/>
        </w:rPr>
        <w:t xml:space="preserve">3.1 Frequency of SARS-CoV-2 infection detected by RT-PCR and </w:t>
      </w:r>
      <w:r w:rsidR="00485240" w:rsidRPr="00485240">
        <w:rPr>
          <w:b/>
        </w:rPr>
        <w:t>Panbio</w:t>
      </w:r>
      <w:r w:rsidR="00485240" w:rsidRPr="00485240">
        <w:rPr>
          <w:b/>
          <w:vertAlign w:val="superscript"/>
        </w:rPr>
        <w:t>TM</w:t>
      </w:r>
      <w:r w:rsidR="00485240" w:rsidRPr="00485240">
        <w:rPr>
          <w:b/>
        </w:rPr>
        <w:t xml:space="preserve"> CO</w:t>
      </w:r>
      <w:r w:rsidR="00485240">
        <w:rPr>
          <w:b/>
        </w:rPr>
        <w:t xml:space="preserve">VID-19 Ag </w:t>
      </w:r>
      <w:r w:rsidRPr="00A626C3">
        <w:rPr>
          <w:b/>
        </w:rPr>
        <w:t>RDT</w:t>
      </w:r>
    </w:p>
    <w:p w:rsidR="001547F1" w:rsidRPr="00A626C3" w:rsidRDefault="001547F1" w:rsidP="001547F1">
      <w:pPr>
        <w:spacing w:line="276" w:lineRule="auto"/>
        <w:jc w:val="both"/>
      </w:pPr>
      <w:r w:rsidRPr="00A626C3">
        <w:t xml:space="preserve">Table 2 shows that 33.6% (n=145) of volunteers tested positive by RT-PCR as well as by </w:t>
      </w:r>
      <w:r w:rsidR="00485240" w:rsidRPr="00A626C3">
        <w:t>Pan</w:t>
      </w:r>
      <w:r w:rsidR="00485240">
        <w:t>b</w:t>
      </w:r>
      <w:r w:rsidR="00485240" w:rsidRPr="00A626C3">
        <w:t>io</w:t>
      </w:r>
      <w:r w:rsidR="00485240" w:rsidRPr="00437386">
        <w:rPr>
          <w:vertAlign w:val="superscript"/>
        </w:rPr>
        <w:t>TM</w:t>
      </w:r>
      <w:r w:rsidR="00485240" w:rsidRPr="00A626C3">
        <w:t xml:space="preserve"> CO</w:t>
      </w:r>
      <w:r w:rsidR="00485240">
        <w:t xml:space="preserve">VID-19 Ag </w:t>
      </w:r>
      <w:r w:rsidRPr="00A626C3">
        <w:t>RDT (33.6%) (</w:t>
      </w:r>
      <w:r w:rsidR="00C4269C" w:rsidRPr="00C4269C">
        <w:rPr>
          <w:i/>
        </w:rPr>
        <w:t>P=</w:t>
      </w:r>
      <w:r w:rsidR="00C4269C">
        <w:t>.</w:t>
      </w:r>
      <w:r w:rsidRPr="00A626C3">
        <w:t>9). With the reference method, mild COVID-19 was more prevalent (30.4%; n=134) than moderate to severe form (2.3%; n=11).</w:t>
      </w:r>
    </w:p>
    <w:p w:rsidR="001547F1" w:rsidRDefault="001547F1" w:rsidP="001547F1">
      <w:pPr>
        <w:spacing w:line="276" w:lineRule="auto"/>
        <w:jc w:val="both"/>
      </w:pPr>
      <w:r w:rsidRPr="00A626C3">
        <w:t xml:space="preserve">The frequency of SARS-CoV-2 infection was comparable according to age: </w:t>
      </w:r>
      <w:r w:rsidRPr="00A626C3">
        <w:rPr>
          <w:rFonts w:cstheme="minorHAnsi"/>
        </w:rPr>
        <w:t>˃</w:t>
      </w:r>
      <w:r w:rsidRPr="00A626C3">
        <w:t xml:space="preserve">30% (table 2). Among patients with comorbidities (HTA, diabetes, obesity, asthma), the frequency of SARS-CoV-2 infection detected by RT-PCR and by </w:t>
      </w:r>
      <w:r w:rsidR="00485240" w:rsidRPr="00A626C3">
        <w:t>Pan</w:t>
      </w:r>
      <w:r w:rsidR="00485240">
        <w:t>b</w:t>
      </w:r>
      <w:r w:rsidR="00485240" w:rsidRPr="00A626C3">
        <w:t>io</w:t>
      </w:r>
      <w:r w:rsidR="00485240" w:rsidRPr="002E2079">
        <w:rPr>
          <w:vertAlign w:val="superscript"/>
        </w:rPr>
        <w:t>TM</w:t>
      </w:r>
      <w:r w:rsidRPr="00A626C3">
        <w:t>CO</w:t>
      </w:r>
      <w:r w:rsidR="00C37C2E">
        <w:t>VID-19 Ag Test was comparable (T</w:t>
      </w:r>
      <w:r w:rsidRPr="00A626C3">
        <w:t>able 2).</w:t>
      </w:r>
    </w:p>
    <w:p w:rsidR="00C37C2E" w:rsidRDefault="00C37C2E" w:rsidP="001547F1">
      <w:pPr>
        <w:spacing w:line="276" w:lineRule="auto"/>
        <w:jc w:val="both"/>
      </w:pPr>
    </w:p>
    <w:p w:rsidR="001547F1" w:rsidRPr="00C37C2E" w:rsidRDefault="00C37C2E" w:rsidP="001547F1">
      <w:pPr>
        <w:spacing w:line="276" w:lineRule="auto"/>
        <w:jc w:val="both"/>
        <w:rPr>
          <w:b/>
        </w:rPr>
      </w:pPr>
      <w:r w:rsidRPr="00C37C2E">
        <w:rPr>
          <w:b/>
        </w:rPr>
        <w:t>Table 2: SARS-Cov-2 infection according to sociodemographic and clinical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9"/>
        <w:gridCol w:w="1669"/>
        <w:gridCol w:w="1670"/>
        <w:gridCol w:w="1670"/>
        <w:gridCol w:w="1670"/>
      </w:tblGrid>
      <w:tr w:rsidR="00C37C2E" w:rsidRPr="00C37C2E" w:rsidTr="00C37C2E">
        <w:tc>
          <w:tcPr>
            <w:tcW w:w="1669" w:type="dxa"/>
            <w:tcBorders>
              <w:top w:val="single" w:sz="4" w:space="0" w:color="auto"/>
              <w:bottom w:val="single" w:sz="4" w:space="0" w:color="auto"/>
            </w:tcBorders>
          </w:tcPr>
          <w:p w:rsidR="00C37C2E" w:rsidRPr="00C37C2E" w:rsidRDefault="00C37C2E" w:rsidP="001547F1">
            <w:pPr>
              <w:spacing w:line="276" w:lineRule="auto"/>
              <w:jc w:val="both"/>
              <w:rPr>
                <w:rFonts w:cs="Helvetica"/>
                <w:sz w:val="20"/>
                <w:szCs w:val="20"/>
              </w:rPr>
            </w:pPr>
          </w:p>
        </w:tc>
        <w:tc>
          <w:tcPr>
            <w:tcW w:w="3339" w:type="dxa"/>
            <w:gridSpan w:val="2"/>
            <w:tcBorders>
              <w:top w:val="single" w:sz="4" w:space="0" w:color="auto"/>
              <w:bottom w:val="single" w:sz="4" w:space="0" w:color="auto"/>
            </w:tcBorders>
          </w:tcPr>
          <w:p w:rsidR="00C37C2E" w:rsidRPr="00C37C2E" w:rsidRDefault="00C37C2E" w:rsidP="001547F1">
            <w:pPr>
              <w:spacing w:line="276" w:lineRule="auto"/>
              <w:jc w:val="both"/>
              <w:rPr>
                <w:rFonts w:cs="Helvetica"/>
                <w:b/>
                <w:sz w:val="20"/>
                <w:szCs w:val="20"/>
              </w:rPr>
            </w:pPr>
            <w:r w:rsidRPr="00C37C2E">
              <w:rPr>
                <w:rFonts w:cs="Helvetica"/>
                <w:b/>
                <w:sz w:val="20"/>
                <w:szCs w:val="20"/>
              </w:rPr>
              <w:t>Positive RT PCR (n=145)</w:t>
            </w:r>
          </w:p>
        </w:tc>
        <w:tc>
          <w:tcPr>
            <w:tcW w:w="3340" w:type="dxa"/>
            <w:gridSpan w:val="2"/>
            <w:tcBorders>
              <w:top w:val="single" w:sz="4" w:space="0" w:color="auto"/>
              <w:bottom w:val="single" w:sz="4" w:space="0" w:color="auto"/>
            </w:tcBorders>
          </w:tcPr>
          <w:p w:rsidR="00C37C2E" w:rsidRPr="00C37C2E" w:rsidRDefault="00C37C2E" w:rsidP="001547F1">
            <w:pPr>
              <w:spacing w:line="276" w:lineRule="auto"/>
              <w:jc w:val="both"/>
              <w:rPr>
                <w:rFonts w:cs="Helvetica"/>
                <w:b/>
                <w:sz w:val="20"/>
                <w:szCs w:val="20"/>
              </w:rPr>
            </w:pPr>
            <w:r w:rsidRPr="00C37C2E">
              <w:rPr>
                <w:rFonts w:cs="Helvetica"/>
                <w:b/>
                <w:sz w:val="20"/>
                <w:szCs w:val="20"/>
              </w:rPr>
              <w:t>Positive RDT (n=145)</w:t>
            </w:r>
          </w:p>
        </w:tc>
      </w:tr>
      <w:tr w:rsidR="00C37C2E" w:rsidRPr="00C37C2E" w:rsidTr="00C37C2E">
        <w:tc>
          <w:tcPr>
            <w:tcW w:w="1669" w:type="dxa"/>
            <w:tcBorders>
              <w:top w:val="single" w:sz="4" w:space="0" w:color="auto"/>
              <w:bottom w:val="single" w:sz="4" w:space="0" w:color="auto"/>
            </w:tcBorders>
          </w:tcPr>
          <w:p w:rsidR="00C37C2E" w:rsidRPr="00C37C2E" w:rsidRDefault="00C37C2E" w:rsidP="00C37C2E">
            <w:pPr>
              <w:spacing w:line="276" w:lineRule="auto"/>
              <w:jc w:val="both"/>
              <w:rPr>
                <w:rFonts w:cs="Helvetica"/>
                <w:sz w:val="20"/>
                <w:szCs w:val="20"/>
              </w:rPr>
            </w:pPr>
          </w:p>
        </w:tc>
        <w:tc>
          <w:tcPr>
            <w:tcW w:w="1669" w:type="dxa"/>
            <w:tcBorders>
              <w:top w:val="single" w:sz="4" w:space="0" w:color="auto"/>
              <w:bottom w:val="single" w:sz="4" w:space="0" w:color="auto"/>
            </w:tcBorders>
          </w:tcPr>
          <w:p w:rsidR="00C37C2E" w:rsidRPr="00C37C2E" w:rsidRDefault="00663961" w:rsidP="00C37C2E">
            <w:pPr>
              <w:spacing w:line="276" w:lineRule="auto"/>
              <w:jc w:val="both"/>
              <w:rPr>
                <w:rFonts w:cs="Helvetica"/>
                <w:b/>
                <w:sz w:val="20"/>
                <w:szCs w:val="20"/>
              </w:rPr>
            </w:pPr>
            <w:r>
              <w:rPr>
                <w:rFonts w:cs="Helvetica"/>
                <w:b/>
                <w:sz w:val="20"/>
                <w:szCs w:val="20"/>
              </w:rPr>
              <w:t>n</w:t>
            </w:r>
          </w:p>
        </w:tc>
        <w:tc>
          <w:tcPr>
            <w:tcW w:w="1670" w:type="dxa"/>
            <w:tcBorders>
              <w:top w:val="single" w:sz="4" w:space="0" w:color="auto"/>
              <w:bottom w:val="single" w:sz="4" w:space="0" w:color="auto"/>
            </w:tcBorders>
          </w:tcPr>
          <w:p w:rsidR="00C37C2E" w:rsidRPr="00C37C2E" w:rsidRDefault="00C37C2E" w:rsidP="00C37C2E">
            <w:pPr>
              <w:spacing w:line="276" w:lineRule="auto"/>
              <w:jc w:val="both"/>
              <w:rPr>
                <w:rFonts w:cs="Helvetica"/>
                <w:b/>
                <w:sz w:val="20"/>
                <w:szCs w:val="20"/>
              </w:rPr>
            </w:pPr>
            <w:r w:rsidRPr="00C37C2E">
              <w:rPr>
                <w:rFonts w:cs="Helvetica"/>
                <w:b/>
                <w:sz w:val="20"/>
                <w:szCs w:val="20"/>
              </w:rPr>
              <w:t>%</w:t>
            </w:r>
          </w:p>
        </w:tc>
        <w:tc>
          <w:tcPr>
            <w:tcW w:w="1670" w:type="dxa"/>
            <w:tcBorders>
              <w:top w:val="single" w:sz="4" w:space="0" w:color="auto"/>
              <w:bottom w:val="single" w:sz="4" w:space="0" w:color="auto"/>
            </w:tcBorders>
          </w:tcPr>
          <w:p w:rsidR="00C37C2E" w:rsidRPr="00C37C2E" w:rsidRDefault="00663961" w:rsidP="00C37C2E">
            <w:pPr>
              <w:spacing w:line="276" w:lineRule="auto"/>
              <w:jc w:val="both"/>
              <w:rPr>
                <w:rFonts w:cs="Helvetica"/>
                <w:b/>
                <w:sz w:val="20"/>
                <w:szCs w:val="20"/>
              </w:rPr>
            </w:pPr>
            <w:r>
              <w:rPr>
                <w:rFonts w:cs="Helvetica"/>
                <w:b/>
                <w:sz w:val="20"/>
                <w:szCs w:val="20"/>
              </w:rPr>
              <w:t>n</w:t>
            </w:r>
          </w:p>
        </w:tc>
        <w:tc>
          <w:tcPr>
            <w:tcW w:w="1670" w:type="dxa"/>
            <w:tcBorders>
              <w:top w:val="single" w:sz="4" w:space="0" w:color="auto"/>
              <w:bottom w:val="single" w:sz="4" w:space="0" w:color="auto"/>
            </w:tcBorders>
          </w:tcPr>
          <w:p w:rsidR="00C37C2E" w:rsidRPr="00C37C2E" w:rsidRDefault="00C37C2E" w:rsidP="00C37C2E">
            <w:pPr>
              <w:spacing w:line="276" w:lineRule="auto"/>
              <w:jc w:val="both"/>
              <w:rPr>
                <w:rFonts w:cs="Helvetica"/>
                <w:b/>
                <w:sz w:val="20"/>
                <w:szCs w:val="20"/>
              </w:rPr>
            </w:pPr>
            <w:r w:rsidRPr="00C37C2E">
              <w:rPr>
                <w:rFonts w:cs="Helvetica"/>
                <w:b/>
                <w:sz w:val="20"/>
                <w:szCs w:val="20"/>
              </w:rPr>
              <w:t>%</w:t>
            </w:r>
          </w:p>
        </w:tc>
      </w:tr>
      <w:tr w:rsidR="00C37C2E" w:rsidRPr="00C37C2E" w:rsidTr="00C37C2E">
        <w:tc>
          <w:tcPr>
            <w:tcW w:w="1669"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lastRenderedPageBreak/>
              <w:t>6-14 years</w:t>
            </w:r>
          </w:p>
        </w:tc>
        <w:tc>
          <w:tcPr>
            <w:tcW w:w="1669"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8</w:t>
            </w:r>
          </w:p>
        </w:tc>
        <w:tc>
          <w:tcPr>
            <w:tcW w:w="1670"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33.3</w:t>
            </w:r>
          </w:p>
        </w:tc>
        <w:tc>
          <w:tcPr>
            <w:tcW w:w="1670"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8</w:t>
            </w:r>
          </w:p>
        </w:tc>
        <w:tc>
          <w:tcPr>
            <w:tcW w:w="1670" w:type="dxa"/>
            <w:tcBorders>
              <w:top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33.3</w:t>
            </w:r>
          </w:p>
        </w:tc>
      </w:tr>
      <w:tr w:rsidR="00C37C2E" w:rsidRPr="00C37C2E" w:rsidTr="00C37C2E">
        <w:tc>
          <w:tcPr>
            <w:tcW w:w="1669" w:type="dxa"/>
          </w:tcPr>
          <w:p w:rsidR="00C37C2E" w:rsidRPr="00C37C2E" w:rsidRDefault="00C37C2E">
            <w:pPr>
              <w:spacing w:line="276" w:lineRule="auto"/>
              <w:jc w:val="both"/>
              <w:rPr>
                <w:rFonts w:cs="Helvetica"/>
                <w:sz w:val="20"/>
                <w:szCs w:val="20"/>
              </w:rPr>
            </w:pPr>
            <w:r w:rsidRPr="00C37C2E">
              <w:rPr>
                <w:rFonts w:cs="Helvetica"/>
                <w:sz w:val="20"/>
                <w:szCs w:val="20"/>
              </w:rPr>
              <w:t>15-</w:t>
            </w:r>
            <w:r w:rsidR="00485240">
              <w:rPr>
                <w:rFonts w:cs="Helvetica"/>
                <w:sz w:val="20"/>
                <w:szCs w:val="20"/>
              </w:rPr>
              <w:t>3</w:t>
            </w:r>
            <w:r w:rsidR="00485240" w:rsidRPr="00C37C2E">
              <w:rPr>
                <w:rFonts w:cs="Helvetica"/>
                <w:sz w:val="20"/>
                <w:szCs w:val="20"/>
              </w:rPr>
              <w:t xml:space="preserve">0 </w:t>
            </w:r>
            <w:r w:rsidRPr="00C37C2E">
              <w:rPr>
                <w:rFonts w:cs="Helvetica"/>
                <w:sz w:val="20"/>
                <w:szCs w:val="20"/>
              </w:rPr>
              <w:t>years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34</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31.8</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33</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30.8</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31-59 years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87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33.9</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87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33.9</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≥60 years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16</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37.2</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17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39.5</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p>
        </w:tc>
        <w:tc>
          <w:tcPr>
            <w:tcW w:w="1669" w:type="dxa"/>
          </w:tcPr>
          <w:p w:rsidR="00C37C2E" w:rsidRPr="00C37C2E" w:rsidRDefault="00C37C2E" w:rsidP="00C37C2E">
            <w:pPr>
              <w:spacing w:line="276" w:lineRule="auto"/>
              <w:jc w:val="both"/>
              <w:rPr>
                <w:rFonts w:cs="Helvetica"/>
                <w:sz w:val="20"/>
                <w:szCs w:val="20"/>
              </w:rPr>
            </w:pPr>
          </w:p>
        </w:tc>
        <w:tc>
          <w:tcPr>
            <w:tcW w:w="1670" w:type="dxa"/>
          </w:tcPr>
          <w:p w:rsidR="00C37C2E" w:rsidRPr="00C37C2E" w:rsidRDefault="00C37C2E" w:rsidP="00C37C2E">
            <w:pPr>
              <w:spacing w:line="276" w:lineRule="auto"/>
              <w:jc w:val="both"/>
              <w:rPr>
                <w:rFonts w:cs="Helvetica"/>
                <w:sz w:val="20"/>
                <w:szCs w:val="20"/>
              </w:rPr>
            </w:pPr>
          </w:p>
        </w:tc>
        <w:tc>
          <w:tcPr>
            <w:tcW w:w="1670" w:type="dxa"/>
          </w:tcPr>
          <w:p w:rsidR="00C37C2E" w:rsidRPr="00C37C2E" w:rsidRDefault="00C37C2E" w:rsidP="00C37C2E">
            <w:pPr>
              <w:spacing w:line="276" w:lineRule="auto"/>
              <w:jc w:val="both"/>
              <w:rPr>
                <w:rFonts w:cs="Helvetica"/>
                <w:sz w:val="20"/>
                <w:szCs w:val="20"/>
              </w:rPr>
            </w:pPr>
          </w:p>
        </w:tc>
        <w:tc>
          <w:tcPr>
            <w:tcW w:w="1670" w:type="dxa"/>
          </w:tcPr>
          <w:p w:rsidR="00C37C2E" w:rsidRPr="00C37C2E" w:rsidRDefault="00C37C2E" w:rsidP="00C37C2E">
            <w:pPr>
              <w:spacing w:line="276" w:lineRule="auto"/>
              <w:jc w:val="both"/>
              <w:rPr>
                <w:rFonts w:cs="Helvetica"/>
                <w:sz w:val="20"/>
                <w:szCs w:val="20"/>
              </w:rPr>
            </w:pP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HTA</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17</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37.0</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16</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34.8</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Diabetes</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8</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38.1</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6</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28.6</w:t>
            </w:r>
          </w:p>
        </w:tc>
      </w:tr>
      <w:tr w:rsidR="00C37C2E" w:rsidRPr="00C37C2E" w:rsidTr="00C37C2E">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Asthma</w:t>
            </w:r>
          </w:p>
        </w:tc>
        <w:tc>
          <w:tcPr>
            <w:tcW w:w="1669" w:type="dxa"/>
          </w:tcPr>
          <w:p w:rsidR="00C37C2E" w:rsidRPr="00C37C2E" w:rsidRDefault="00C37C2E" w:rsidP="00C37C2E">
            <w:pPr>
              <w:spacing w:line="276" w:lineRule="auto"/>
              <w:jc w:val="both"/>
              <w:rPr>
                <w:rFonts w:cs="Helvetica"/>
                <w:sz w:val="20"/>
                <w:szCs w:val="20"/>
              </w:rPr>
            </w:pPr>
            <w:r w:rsidRPr="00C37C2E">
              <w:rPr>
                <w:rFonts w:cs="Helvetica"/>
                <w:sz w:val="20"/>
                <w:szCs w:val="20"/>
              </w:rPr>
              <w:t>0</w:t>
            </w:r>
          </w:p>
        </w:tc>
        <w:tc>
          <w:tcPr>
            <w:tcW w:w="1670" w:type="dxa"/>
          </w:tcPr>
          <w:p w:rsidR="00C37C2E" w:rsidRPr="00C37C2E" w:rsidRDefault="00C4269C" w:rsidP="00C37C2E">
            <w:pPr>
              <w:spacing w:line="276" w:lineRule="auto"/>
              <w:jc w:val="both"/>
              <w:rPr>
                <w:rFonts w:cs="Helvetica"/>
                <w:sz w:val="20"/>
                <w:szCs w:val="20"/>
              </w:rPr>
            </w:pPr>
            <w:r>
              <w:rPr>
                <w:rFonts w:cs="Helvetica"/>
                <w:sz w:val="20"/>
                <w:szCs w:val="20"/>
              </w:rPr>
              <w:t>.</w:t>
            </w:r>
            <w:r w:rsidR="00C37C2E" w:rsidRPr="00C37C2E">
              <w:rPr>
                <w:rFonts w:cs="Helvetica"/>
                <w:sz w:val="20"/>
                <w:szCs w:val="20"/>
              </w:rPr>
              <w:t>0</w:t>
            </w:r>
          </w:p>
        </w:tc>
        <w:tc>
          <w:tcPr>
            <w:tcW w:w="1670" w:type="dxa"/>
          </w:tcPr>
          <w:p w:rsidR="00C37C2E" w:rsidRPr="00C37C2E" w:rsidRDefault="00C37C2E" w:rsidP="00C37C2E">
            <w:pPr>
              <w:spacing w:line="276" w:lineRule="auto"/>
              <w:jc w:val="both"/>
              <w:rPr>
                <w:rFonts w:cs="Helvetica"/>
                <w:sz w:val="20"/>
                <w:szCs w:val="20"/>
              </w:rPr>
            </w:pPr>
            <w:r w:rsidRPr="00C37C2E">
              <w:rPr>
                <w:rFonts w:cs="Helvetica"/>
                <w:sz w:val="20"/>
                <w:szCs w:val="20"/>
              </w:rPr>
              <w:t>0</w:t>
            </w:r>
          </w:p>
        </w:tc>
        <w:tc>
          <w:tcPr>
            <w:tcW w:w="1670" w:type="dxa"/>
          </w:tcPr>
          <w:p w:rsidR="00C37C2E" w:rsidRPr="00C37C2E" w:rsidRDefault="00C4269C" w:rsidP="00C37C2E">
            <w:pPr>
              <w:spacing w:line="276" w:lineRule="auto"/>
              <w:jc w:val="both"/>
              <w:rPr>
                <w:rFonts w:cs="Helvetica"/>
                <w:sz w:val="20"/>
                <w:szCs w:val="20"/>
              </w:rPr>
            </w:pPr>
            <w:r>
              <w:rPr>
                <w:rFonts w:cs="Helvetica"/>
                <w:sz w:val="20"/>
                <w:szCs w:val="20"/>
              </w:rPr>
              <w:t>.</w:t>
            </w:r>
            <w:r w:rsidR="00C37C2E" w:rsidRPr="00C37C2E">
              <w:rPr>
                <w:rFonts w:cs="Helvetica"/>
                <w:sz w:val="20"/>
                <w:szCs w:val="20"/>
              </w:rPr>
              <w:t>0</w:t>
            </w:r>
          </w:p>
        </w:tc>
      </w:tr>
      <w:tr w:rsidR="00C37C2E" w:rsidRPr="00C37C2E" w:rsidTr="00C37C2E">
        <w:tc>
          <w:tcPr>
            <w:tcW w:w="1669"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Obesity</w:t>
            </w:r>
          </w:p>
        </w:tc>
        <w:tc>
          <w:tcPr>
            <w:tcW w:w="1669"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1</w:t>
            </w:r>
          </w:p>
        </w:tc>
        <w:tc>
          <w:tcPr>
            <w:tcW w:w="1670"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50.0</w:t>
            </w:r>
          </w:p>
        </w:tc>
        <w:tc>
          <w:tcPr>
            <w:tcW w:w="1670"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1</w:t>
            </w:r>
          </w:p>
        </w:tc>
        <w:tc>
          <w:tcPr>
            <w:tcW w:w="1670" w:type="dxa"/>
            <w:tcBorders>
              <w:bottom w:val="single" w:sz="4" w:space="0" w:color="auto"/>
            </w:tcBorders>
          </w:tcPr>
          <w:p w:rsidR="00C37C2E" w:rsidRPr="00C37C2E" w:rsidRDefault="00C37C2E" w:rsidP="00C37C2E">
            <w:pPr>
              <w:spacing w:line="276" w:lineRule="auto"/>
              <w:jc w:val="both"/>
              <w:rPr>
                <w:rFonts w:cs="Helvetica"/>
                <w:sz w:val="20"/>
                <w:szCs w:val="20"/>
              </w:rPr>
            </w:pPr>
            <w:r w:rsidRPr="00C37C2E">
              <w:rPr>
                <w:rFonts w:cs="Helvetica"/>
                <w:sz w:val="20"/>
                <w:szCs w:val="20"/>
              </w:rPr>
              <w:t>50.0</w:t>
            </w:r>
          </w:p>
        </w:tc>
      </w:tr>
    </w:tbl>
    <w:p w:rsidR="00C37C2E" w:rsidRDefault="00C37C2E" w:rsidP="001547F1">
      <w:pPr>
        <w:spacing w:line="276" w:lineRule="auto"/>
        <w:jc w:val="both"/>
      </w:pPr>
    </w:p>
    <w:p w:rsidR="001547F1" w:rsidRPr="00A626C3" w:rsidRDefault="001547F1" w:rsidP="002E2079">
      <w:pPr>
        <w:jc w:val="both"/>
      </w:pPr>
      <w:r w:rsidRPr="00A626C3">
        <w:t xml:space="preserve">In total, 14 patients (3.2%) had discordant results with both techniques, 7 had negative RT-PCR but positive RDT tests and 7 had positive RT-PCR and negative RDT. Among the first ones, all had simple COVID-19 clinical form; 1 had hypertension. Six out of the 7 cases with positive RT-PCR and negative RDT (85.7%) had a simple COVID-19 clinical form, 1 had hypertension, 1 </w:t>
      </w:r>
      <w:r w:rsidR="00485240" w:rsidRPr="00A626C3">
        <w:t>diabetes</w:t>
      </w:r>
      <w:r w:rsidRPr="00A626C3">
        <w:t xml:space="preserve"> and 1 had both </w:t>
      </w:r>
      <w:r w:rsidR="00485240" w:rsidRPr="00A626C3">
        <w:t>diabetes</w:t>
      </w:r>
      <w:r w:rsidRPr="00A626C3">
        <w:t xml:space="preserve"> and hypertension.</w:t>
      </w:r>
    </w:p>
    <w:p w:rsidR="001547F1" w:rsidRPr="00A626C3" w:rsidRDefault="001547F1" w:rsidP="002E2079">
      <w:pPr>
        <w:jc w:val="both"/>
      </w:pPr>
      <w:r w:rsidRPr="00A626C3">
        <w:t>The Ct median values were comparable according to ORF1ab (34.3[32.1-36.6]) and N (34.1[31.4-36.6]) genes amplification (</w:t>
      </w:r>
      <w:r w:rsidR="00C4269C" w:rsidRPr="00C4269C">
        <w:rPr>
          <w:i/>
        </w:rPr>
        <w:t>P=</w:t>
      </w:r>
      <w:r w:rsidR="00C4269C">
        <w:t>.</w:t>
      </w:r>
      <w:r w:rsidRPr="00A626C3">
        <w:t>93). Rho between both tests results were rho=0.64 for discordant samples and rho=</w:t>
      </w:r>
      <w:r w:rsidR="00C4269C">
        <w:t>.</w:t>
      </w:r>
      <w:r w:rsidRPr="00A626C3">
        <w:t>21 for the concordant ones. Ct values of ORF1 and N gene positively correlated (rho=</w:t>
      </w:r>
      <w:r w:rsidR="00C4269C">
        <w:t>.</w:t>
      </w:r>
      <w:r w:rsidRPr="00A626C3">
        <w:t xml:space="preserve">24, </w:t>
      </w:r>
      <w:r w:rsidR="00C4269C" w:rsidRPr="00C4269C">
        <w:rPr>
          <w:i/>
        </w:rPr>
        <w:t>P=</w:t>
      </w:r>
      <w:r w:rsidR="00C4269C">
        <w:t>.</w:t>
      </w:r>
      <w:r w:rsidRPr="00A626C3">
        <w:t>02). Median Ct value was lower in discordant samples (33.0[30.2-34.4] than in concordant (34.4[32.2-36.9]) for the ORF1ab gene. Opposite results were observed for N gene; Ct median of discordant samples was 36.3[29.9-37.0] and 34.0[31.5-36.6] for the RDT positive and PCR positive samples.</w:t>
      </w:r>
    </w:p>
    <w:p w:rsidR="001547F1" w:rsidRDefault="001547F1" w:rsidP="001547F1">
      <w:pPr>
        <w:jc w:val="both"/>
        <w:rPr>
          <w:b/>
        </w:rPr>
      </w:pPr>
    </w:p>
    <w:p w:rsidR="00485240" w:rsidRDefault="00485240" w:rsidP="001547F1">
      <w:pPr>
        <w:jc w:val="both"/>
        <w:rPr>
          <w:b/>
        </w:rPr>
      </w:pPr>
    </w:p>
    <w:p w:rsidR="001547F1" w:rsidRPr="00A626C3" w:rsidRDefault="001547F1" w:rsidP="001547F1">
      <w:pPr>
        <w:jc w:val="both"/>
        <w:rPr>
          <w:b/>
        </w:rPr>
      </w:pPr>
      <w:r w:rsidRPr="00A626C3">
        <w:rPr>
          <w:b/>
        </w:rPr>
        <w:t>3.2 Diagnostic performance of Panbio</w:t>
      </w:r>
      <w:r w:rsidRPr="002E2079">
        <w:rPr>
          <w:b/>
          <w:vertAlign w:val="superscript"/>
        </w:rPr>
        <w:t>TM</w:t>
      </w:r>
      <w:r w:rsidR="008C20BA" w:rsidRPr="002E2079">
        <w:rPr>
          <w:b/>
        </w:rPr>
        <w:t xml:space="preserve">COVID-19 Ag </w:t>
      </w:r>
      <w:r w:rsidRPr="00A626C3">
        <w:rPr>
          <w:b/>
        </w:rPr>
        <w:t>RDT</w:t>
      </w:r>
    </w:p>
    <w:p w:rsidR="001547F1" w:rsidRDefault="001547F1" w:rsidP="001547F1">
      <w:pPr>
        <w:jc w:val="both"/>
        <w:rPr>
          <w:b/>
        </w:rPr>
      </w:pPr>
      <w:r w:rsidRPr="00A626C3">
        <w:t>Diagnostic performance analysis indicated that the overall sensitivity of the Panbio</w:t>
      </w:r>
      <w:r w:rsidRPr="002E2079">
        <w:rPr>
          <w:vertAlign w:val="superscript"/>
        </w:rPr>
        <w:t>TM</w:t>
      </w:r>
      <w:r w:rsidRPr="00A626C3">
        <w:t xml:space="preserve"> COVID-19 Ag test was 95.2% [90-98] and the specificity was 97.5% [95-99]. The proportion of False Positives was 4.8% (n=7) and that of False Negatives 2.4% (n=7). The positive and negative predictive values were 95.2% [90-98] and 97.6% [95-99], respectively. The positive and negative likelihood ratios were 38 and </w:t>
      </w:r>
      <w:r w:rsidR="00C4269C">
        <w:t>.</w:t>
      </w:r>
      <w:r w:rsidRPr="00A626C3">
        <w:t>04, respectively. According to each gene amplification,the sensitivity of the Panbio</w:t>
      </w:r>
      <w:r w:rsidRPr="00C4269C">
        <w:rPr>
          <w:vertAlign w:val="superscript"/>
        </w:rPr>
        <w:t>TM</w:t>
      </w:r>
      <w:r w:rsidR="008C20BA" w:rsidRPr="00A626C3">
        <w:t xml:space="preserve">COVID-19 Ag </w:t>
      </w:r>
      <w:r w:rsidRPr="00A626C3">
        <w:t>RDT was 100% when Ct values were below 25. RDT sensitivity decreased when Ct values increased more likely with the N gene amplification (table3).</w:t>
      </w:r>
    </w:p>
    <w:p w:rsidR="001547F1" w:rsidRDefault="001547F1" w:rsidP="001547F1">
      <w:pPr>
        <w:jc w:val="both"/>
        <w:rPr>
          <w:b/>
        </w:rPr>
      </w:pPr>
    </w:p>
    <w:p w:rsidR="001547F1" w:rsidRPr="00C37C2E" w:rsidRDefault="001547F1" w:rsidP="001547F1">
      <w:pPr>
        <w:jc w:val="both"/>
        <w:rPr>
          <w:rFonts w:cs="Helvetica"/>
          <w:b/>
        </w:rPr>
      </w:pPr>
      <w:r w:rsidRPr="00C37C2E">
        <w:rPr>
          <w:rFonts w:cs="Helvetica"/>
          <w:b/>
        </w:rPr>
        <w:t>Table 3: Performance indicators of Pa</w:t>
      </w:r>
      <w:r w:rsidR="00C37C2E" w:rsidRPr="00C37C2E">
        <w:rPr>
          <w:rFonts w:cs="Helvetica"/>
          <w:b/>
        </w:rPr>
        <w:t>n</w:t>
      </w:r>
      <w:r w:rsidR="00485240">
        <w:rPr>
          <w:rFonts w:cs="Helvetica"/>
          <w:b/>
        </w:rPr>
        <w:t>b</w:t>
      </w:r>
      <w:r w:rsidR="00C37C2E" w:rsidRPr="00C37C2E">
        <w:rPr>
          <w:rFonts w:cs="Helvetica"/>
          <w:b/>
        </w:rPr>
        <w:t>io</w:t>
      </w:r>
      <w:r w:rsidR="00485240" w:rsidRPr="002E2079">
        <w:rPr>
          <w:rFonts w:cs="Helvetica"/>
          <w:b/>
          <w:vertAlign w:val="superscript"/>
        </w:rPr>
        <w:t>TM</w:t>
      </w:r>
      <w:r w:rsidR="00485240">
        <w:rPr>
          <w:rFonts w:cs="Helvetica"/>
          <w:b/>
        </w:rPr>
        <w:t xml:space="preserve"> COVID-19 Ag</w:t>
      </w:r>
      <w:r w:rsidR="00C37C2E" w:rsidRPr="00C37C2E">
        <w:rPr>
          <w:rFonts w:cs="Helvetica"/>
          <w:b/>
        </w:rPr>
        <w:t xml:space="preserve"> RDT according to Ct values</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3"/>
        <w:gridCol w:w="2293"/>
        <w:gridCol w:w="1989"/>
      </w:tblGrid>
      <w:tr w:rsidR="00C37C2E" w:rsidRPr="00C37C2E" w:rsidTr="002E2079">
        <w:trPr>
          <w:trHeight w:val="220"/>
        </w:trPr>
        <w:tc>
          <w:tcPr>
            <w:tcW w:w="1543" w:type="dxa"/>
            <w:tcBorders>
              <w:top w:val="single" w:sz="4" w:space="0" w:color="auto"/>
              <w:bottom w:val="single" w:sz="4" w:space="0" w:color="auto"/>
            </w:tcBorders>
          </w:tcPr>
          <w:p w:rsidR="00C37C2E" w:rsidRPr="00C37C2E" w:rsidRDefault="00C37C2E">
            <w:pPr>
              <w:jc w:val="both"/>
              <w:rPr>
                <w:rFonts w:cs="Helvetica"/>
                <w:sz w:val="20"/>
                <w:szCs w:val="20"/>
              </w:rPr>
            </w:pPr>
          </w:p>
        </w:tc>
        <w:tc>
          <w:tcPr>
            <w:tcW w:w="4282" w:type="dxa"/>
            <w:gridSpan w:val="2"/>
            <w:tcBorders>
              <w:top w:val="single" w:sz="4" w:space="0" w:color="auto"/>
              <w:bottom w:val="single" w:sz="4" w:space="0" w:color="auto"/>
            </w:tcBorders>
          </w:tcPr>
          <w:p w:rsidR="00C37C2E" w:rsidRPr="00C37C2E" w:rsidRDefault="00C37C2E">
            <w:pPr>
              <w:jc w:val="both"/>
              <w:rPr>
                <w:rFonts w:cs="Helvetica"/>
                <w:b/>
                <w:sz w:val="20"/>
                <w:szCs w:val="20"/>
              </w:rPr>
            </w:pPr>
            <w:r w:rsidRPr="00C37C2E">
              <w:rPr>
                <w:rFonts w:cs="Helvetica"/>
                <w:b/>
                <w:sz w:val="20"/>
                <w:szCs w:val="20"/>
              </w:rPr>
              <w:t>Sensitivity, % [IC95%]</w:t>
            </w:r>
          </w:p>
        </w:tc>
      </w:tr>
      <w:tr w:rsidR="00C37C2E" w:rsidRPr="00C37C2E" w:rsidTr="002E2079">
        <w:trPr>
          <w:trHeight w:val="300"/>
        </w:trPr>
        <w:tc>
          <w:tcPr>
            <w:tcW w:w="1543" w:type="dxa"/>
            <w:tcBorders>
              <w:top w:val="single" w:sz="4" w:space="0" w:color="auto"/>
            </w:tcBorders>
          </w:tcPr>
          <w:p w:rsidR="00C37C2E" w:rsidRPr="00C37C2E" w:rsidRDefault="00C37C2E">
            <w:pPr>
              <w:jc w:val="both"/>
              <w:rPr>
                <w:rFonts w:cs="Helvetica"/>
                <w:sz w:val="20"/>
                <w:szCs w:val="20"/>
              </w:rPr>
            </w:pPr>
            <w:r w:rsidRPr="00C37C2E">
              <w:rPr>
                <w:rFonts w:cs="Helvetica"/>
                <w:b/>
                <w:sz w:val="20"/>
                <w:szCs w:val="20"/>
              </w:rPr>
              <w:t>Ct values</w:t>
            </w:r>
          </w:p>
        </w:tc>
        <w:tc>
          <w:tcPr>
            <w:tcW w:w="2293" w:type="dxa"/>
            <w:tcBorders>
              <w:top w:val="single" w:sz="4" w:space="0" w:color="auto"/>
            </w:tcBorders>
          </w:tcPr>
          <w:p w:rsidR="00C37C2E" w:rsidRPr="00C37C2E" w:rsidRDefault="00663961">
            <w:pPr>
              <w:jc w:val="both"/>
              <w:rPr>
                <w:rFonts w:cs="Helvetica"/>
                <w:b/>
                <w:sz w:val="20"/>
                <w:szCs w:val="20"/>
              </w:rPr>
            </w:pPr>
            <w:r>
              <w:rPr>
                <w:rFonts w:cs="Helvetica"/>
                <w:b/>
                <w:sz w:val="20"/>
                <w:szCs w:val="20"/>
              </w:rPr>
              <w:t>n</w:t>
            </w:r>
            <w:r w:rsidR="00C37C2E" w:rsidRPr="00C37C2E">
              <w:rPr>
                <w:rFonts w:cs="Helvetica"/>
                <w:b/>
                <w:sz w:val="20"/>
                <w:szCs w:val="20"/>
              </w:rPr>
              <w:t xml:space="preserve"> gene</w:t>
            </w:r>
            <w:r w:rsidR="00C37C2E" w:rsidRPr="00C37C2E">
              <w:rPr>
                <w:rFonts w:cs="Helvetica"/>
                <w:b/>
                <w:sz w:val="20"/>
                <w:szCs w:val="20"/>
              </w:rPr>
              <w:tab/>
            </w:r>
          </w:p>
        </w:tc>
        <w:tc>
          <w:tcPr>
            <w:tcW w:w="1988" w:type="dxa"/>
            <w:tcBorders>
              <w:top w:val="single" w:sz="4" w:space="0" w:color="auto"/>
            </w:tcBorders>
          </w:tcPr>
          <w:p w:rsidR="00C37C2E" w:rsidRPr="00C37C2E" w:rsidRDefault="00C37C2E">
            <w:pPr>
              <w:jc w:val="both"/>
              <w:rPr>
                <w:rFonts w:cs="Helvetica"/>
                <w:b/>
                <w:sz w:val="20"/>
                <w:szCs w:val="20"/>
              </w:rPr>
            </w:pPr>
            <w:r w:rsidRPr="00C37C2E">
              <w:rPr>
                <w:rFonts w:cs="Helvetica"/>
                <w:b/>
                <w:sz w:val="20"/>
                <w:szCs w:val="20"/>
              </w:rPr>
              <w:t>ORF1ab gene</w:t>
            </w:r>
          </w:p>
        </w:tc>
      </w:tr>
      <w:tr w:rsidR="00C37C2E" w:rsidRPr="00C37C2E" w:rsidTr="002E2079">
        <w:trPr>
          <w:trHeight w:val="220"/>
        </w:trPr>
        <w:tc>
          <w:tcPr>
            <w:tcW w:w="1543" w:type="dxa"/>
            <w:tcBorders>
              <w:top w:val="single" w:sz="4" w:space="0" w:color="auto"/>
            </w:tcBorders>
          </w:tcPr>
          <w:p w:rsidR="00C37C2E" w:rsidRPr="00C37C2E" w:rsidRDefault="00C37C2E">
            <w:pPr>
              <w:jc w:val="both"/>
              <w:rPr>
                <w:rFonts w:cs="Helvetica"/>
                <w:b/>
                <w:sz w:val="20"/>
                <w:szCs w:val="20"/>
              </w:rPr>
            </w:pPr>
            <w:r w:rsidRPr="00C37C2E">
              <w:rPr>
                <w:rFonts w:cs="Helvetica"/>
                <w:b/>
                <w:sz w:val="20"/>
                <w:szCs w:val="20"/>
              </w:rPr>
              <w:t>˂ 25</w:t>
            </w:r>
          </w:p>
        </w:tc>
        <w:tc>
          <w:tcPr>
            <w:tcW w:w="2293" w:type="dxa"/>
            <w:tcBorders>
              <w:top w:val="single" w:sz="4" w:space="0" w:color="auto"/>
            </w:tcBorders>
          </w:tcPr>
          <w:p w:rsidR="00C37C2E" w:rsidRPr="00C37C2E" w:rsidRDefault="00C37C2E">
            <w:pPr>
              <w:jc w:val="both"/>
              <w:rPr>
                <w:rFonts w:cs="Helvetica"/>
                <w:sz w:val="20"/>
                <w:szCs w:val="20"/>
              </w:rPr>
            </w:pPr>
            <w:r w:rsidRPr="00C37C2E">
              <w:rPr>
                <w:rFonts w:cs="Helvetica"/>
                <w:sz w:val="20"/>
                <w:szCs w:val="20"/>
              </w:rPr>
              <w:t>100.0 [54.6-100.0]</w:t>
            </w:r>
          </w:p>
        </w:tc>
        <w:tc>
          <w:tcPr>
            <w:tcW w:w="1988" w:type="dxa"/>
            <w:tcBorders>
              <w:top w:val="single" w:sz="4" w:space="0" w:color="auto"/>
            </w:tcBorders>
          </w:tcPr>
          <w:p w:rsidR="00C37C2E" w:rsidRPr="00C37C2E" w:rsidRDefault="00C37C2E">
            <w:pPr>
              <w:jc w:val="both"/>
              <w:rPr>
                <w:rFonts w:cs="Helvetica"/>
                <w:sz w:val="20"/>
                <w:szCs w:val="20"/>
              </w:rPr>
            </w:pPr>
            <w:r w:rsidRPr="00C37C2E">
              <w:rPr>
                <w:rFonts w:cs="Helvetica"/>
                <w:sz w:val="20"/>
                <w:szCs w:val="20"/>
              </w:rPr>
              <w:t>100.0 [30.9-100.0]</w:t>
            </w:r>
          </w:p>
        </w:tc>
      </w:tr>
      <w:tr w:rsidR="00C37C2E" w:rsidRPr="00C37C2E" w:rsidTr="002E2079">
        <w:trPr>
          <w:trHeight w:val="245"/>
        </w:trPr>
        <w:tc>
          <w:tcPr>
            <w:tcW w:w="1543" w:type="dxa"/>
          </w:tcPr>
          <w:p w:rsidR="00C37C2E" w:rsidRPr="00C37C2E" w:rsidRDefault="00D74401">
            <w:pPr>
              <w:jc w:val="both"/>
              <w:rPr>
                <w:rFonts w:cs="Helvetica"/>
                <w:b/>
                <w:sz w:val="20"/>
                <w:szCs w:val="20"/>
              </w:rPr>
            </w:pPr>
            <w:r>
              <w:rPr>
                <w:rFonts w:cs="Helvetica"/>
                <w:b/>
                <w:sz w:val="20"/>
                <w:szCs w:val="20"/>
              </w:rPr>
              <w:t>[</w:t>
            </w:r>
            <w:r w:rsidR="00C37C2E" w:rsidRPr="00C37C2E">
              <w:rPr>
                <w:rFonts w:cs="Helvetica"/>
                <w:b/>
                <w:sz w:val="20"/>
                <w:szCs w:val="20"/>
              </w:rPr>
              <w:t>25</w:t>
            </w:r>
            <w:r w:rsidR="00485240">
              <w:rPr>
                <w:rFonts w:cs="Helvetica"/>
                <w:b/>
                <w:sz w:val="20"/>
                <w:szCs w:val="20"/>
              </w:rPr>
              <w:t>-</w:t>
            </w:r>
            <w:r w:rsidR="00C37C2E" w:rsidRPr="00C37C2E">
              <w:rPr>
                <w:rFonts w:cs="Helvetica"/>
                <w:b/>
                <w:sz w:val="20"/>
                <w:szCs w:val="20"/>
              </w:rPr>
              <w:t>35</w:t>
            </w:r>
            <w:r>
              <w:rPr>
                <w:rFonts w:cs="Helvetica"/>
                <w:b/>
                <w:sz w:val="20"/>
                <w:szCs w:val="20"/>
              </w:rPr>
              <w:t>]</w:t>
            </w:r>
          </w:p>
        </w:tc>
        <w:tc>
          <w:tcPr>
            <w:tcW w:w="2293" w:type="dxa"/>
          </w:tcPr>
          <w:p w:rsidR="00C37C2E" w:rsidRPr="00C37C2E" w:rsidRDefault="00C37C2E">
            <w:pPr>
              <w:jc w:val="both"/>
              <w:rPr>
                <w:rFonts w:cs="Helvetica"/>
                <w:sz w:val="20"/>
                <w:szCs w:val="20"/>
              </w:rPr>
            </w:pPr>
            <w:r w:rsidRPr="00C37C2E">
              <w:rPr>
                <w:rFonts w:cs="Helvetica"/>
                <w:sz w:val="20"/>
                <w:szCs w:val="20"/>
              </w:rPr>
              <w:t>95.7 [87.1-98.8]</w:t>
            </w:r>
          </w:p>
        </w:tc>
        <w:tc>
          <w:tcPr>
            <w:tcW w:w="1988" w:type="dxa"/>
          </w:tcPr>
          <w:p w:rsidR="00C37C2E" w:rsidRPr="00C37C2E" w:rsidRDefault="00C37C2E">
            <w:pPr>
              <w:jc w:val="both"/>
              <w:rPr>
                <w:rFonts w:cs="Helvetica"/>
                <w:sz w:val="20"/>
                <w:szCs w:val="20"/>
              </w:rPr>
            </w:pPr>
            <w:r w:rsidRPr="00C37C2E">
              <w:rPr>
                <w:rFonts w:cs="Helvetica"/>
                <w:sz w:val="20"/>
                <w:szCs w:val="20"/>
              </w:rPr>
              <w:t>91.5 [81.8-96.5]</w:t>
            </w:r>
          </w:p>
        </w:tc>
      </w:tr>
      <w:tr w:rsidR="00C37C2E" w:rsidRPr="00C37C2E" w:rsidTr="002E2079">
        <w:trPr>
          <w:trHeight w:val="220"/>
        </w:trPr>
        <w:tc>
          <w:tcPr>
            <w:tcW w:w="1543" w:type="dxa"/>
            <w:tcBorders>
              <w:bottom w:val="single" w:sz="4" w:space="0" w:color="auto"/>
            </w:tcBorders>
          </w:tcPr>
          <w:p w:rsidR="00C37C2E" w:rsidRPr="00C37C2E" w:rsidRDefault="00C37C2E">
            <w:pPr>
              <w:jc w:val="both"/>
              <w:rPr>
                <w:rFonts w:cs="Helvetica"/>
                <w:b/>
                <w:sz w:val="20"/>
                <w:szCs w:val="20"/>
              </w:rPr>
            </w:pPr>
            <w:r w:rsidRPr="00C37C2E">
              <w:rPr>
                <w:rFonts w:cs="Helvetica"/>
                <w:b/>
                <w:sz w:val="20"/>
                <w:szCs w:val="20"/>
              </w:rPr>
              <w:t>˃35</w:t>
            </w:r>
          </w:p>
        </w:tc>
        <w:tc>
          <w:tcPr>
            <w:tcW w:w="2293" w:type="dxa"/>
            <w:tcBorders>
              <w:bottom w:val="single" w:sz="4" w:space="0" w:color="auto"/>
            </w:tcBorders>
          </w:tcPr>
          <w:p w:rsidR="00C37C2E" w:rsidRPr="00C37C2E" w:rsidRDefault="00C37C2E">
            <w:pPr>
              <w:jc w:val="both"/>
              <w:rPr>
                <w:rFonts w:cs="Helvetica"/>
                <w:sz w:val="20"/>
                <w:szCs w:val="20"/>
              </w:rPr>
            </w:pPr>
            <w:r w:rsidRPr="00C37C2E">
              <w:rPr>
                <w:rFonts w:cs="Helvetica"/>
                <w:sz w:val="20"/>
                <w:szCs w:val="20"/>
              </w:rPr>
              <w:t>90.4 [76.4-96.9]</w:t>
            </w:r>
          </w:p>
        </w:tc>
        <w:tc>
          <w:tcPr>
            <w:tcW w:w="1988" w:type="dxa"/>
            <w:tcBorders>
              <w:bottom w:val="single" w:sz="4" w:space="0" w:color="auto"/>
            </w:tcBorders>
          </w:tcPr>
          <w:p w:rsidR="00C37C2E" w:rsidRPr="00C37C2E" w:rsidRDefault="00C37C2E">
            <w:pPr>
              <w:jc w:val="both"/>
              <w:rPr>
                <w:rFonts w:cs="Helvetica"/>
                <w:sz w:val="20"/>
                <w:szCs w:val="20"/>
              </w:rPr>
            </w:pPr>
            <w:r w:rsidRPr="00C37C2E">
              <w:rPr>
                <w:rFonts w:cs="Helvetica"/>
                <w:sz w:val="20"/>
                <w:szCs w:val="20"/>
              </w:rPr>
              <w:t>97.9 [87.7-99.8]</w:t>
            </w:r>
          </w:p>
        </w:tc>
      </w:tr>
    </w:tbl>
    <w:p w:rsidR="00C37C2E" w:rsidRDefault="00C37C2E" w:rsidP="001547F1">
      <w:pPr>
        <w:jc w:val="both"/>
      </w:pPr>
    </w:p>
    <w:p w:rsidR="001547F1" w:rsidRPr="00A626C3" w:rsidRDefault="001547F1" w:rsidP="001547F1">
      <w:pPr>
        <w:jc w:val="both"/>
      </w:pPr>
      <w:r w:rsidRPr="00A626C3">
        <w:t xml:space="preserve">Globally, 152 patients had positive COVID-19 RT-PCR or RDTs results. Among them, 11 (7.2%) patients had moderate to severe COVID-19 disease. According to the severity of the disease, </w:t>
      </w:r>
      <w:r w:rsidRPr="00485240">
        <w:t>Panbio</w:t>
      </w:r>
      <w:r w:rsidR="00485240" w:rsidRPr="002E2079">
        <w:rPr>
          <w:vertAlign w:val="superscript"/>
        </w:rPr>
        <w:t>TM</w:t>
      </w:r>
      <w:r w:rsidR="00485240" w:rsidRPr="002E2079">
        <w:t xml:space="preserve"> COVID-19 Ag</w:t>
      </w:r>
      <w:r w:rsidRPr="00A626C3">
        <w:t xml:space="preserve"> RDT showed a Se of 95.5% [90</w:t>
      </w:r>
      <w:r w:rsidR="00C4269C">
        <w:t>.0</w:t>
      </w:r>
      <w:r w:rsidRPr="00A626C3">
        <w:t>-98</w:t>
      </w:r>
      <w:r w:rsidR="00C4269C">
        <w:t>.0</w:t>
      </w:r>
      <w:r w:rsidRPr="00A626C3">
        <w:t>] among the participants with simple covid19 form while it was 90.9% [62.7-98.5] in those with moderate to severe form (</w:t>
      </w:r>
      <w:r w:rsidR="00C4269C" w:rsidRPr="00C4269C">
        <w:rPr>
          <w:i/>
        </w:rPr>
        <w:t>P=</w:t>
      </w:r>
      <w:r w:rsidR="00C4269C">
        <w:t>.</w:t>
      </w:r>
      <w:r w:rsidRPr="00A626C3">
        <w:t xml:space="preserve">03). </w:t>
      </w:r>
    </w:p>
    <w:p w:rsidR="001547F1" w:rsidRPr="00A626C3" w:rsidRDefault="001547F1" w:rsidP="001547F1">
      <w:pPr>
        <w:jc w:val="both"/>
      </w:pPr>
      <w:r w:rsidRPr="00A626C3">
        <w:t xml:space="preserve">The </w:t>
      </w:r>
      <w:r w:rsidRPr="00485240">
        <w:t>Panbio</w:t>
      </w:r>
      <w:r w:rsidR="00485240" w:rsidRPr="002E2079">
        <w:rPr>
          <w:vertAlign w:val="superscript"/>
        </w:rPr>
        <w:t>TM</w:t>
      </w:r>
      <w:r w:rsidR="00485240" w:rsidRPr="002E2079">
        <w:t xml:space="preserve"> COVID-19 Ag</w:t>
      </w:r>
      <w:r w:rsidRPr="00A626C3">
        <w:t xml:space="preserve"> RDT sensitivity varied depending on the symptoms. It was 90.9% [62</w:t>
      </w:r>
      <w:r w:rsidR="00C4269C">
        <w:t>.0</w:t>
      </w:r>
      <w:r w:rsidRPr="00A626C3">
        <w:t>-98</w:t>
      </w:r>
      <w:r w:rsidR="00C4269C">
        <w:t>.0</w:t>
      </w:r>
      <w:r w:rsidRPr="00A626C3">
        <w:t>] in the group of the 32 patients with a respiratory distress, 94.7% [88</w:t>
      </w:r>
      <w:r w:rsidR="00C4269C">
        <w:t>.0</w:t>
      </w:r>
      <w:r w:rsidRPr="00A626C3">
        <w:t>-98</w:t>
      </w:r>
      <w:r w:rsidR="00C4269C">
        <w:t>.0</w:t>
      </w:r>
      <w:r w:rsidRPr="00A626C3">
        <w:t>] in those (n=198) with flu like symptoms (</w:t>
      </w:r>
      <w:r w:rsidR="00C4269C" w:rsidRPr="00C4269C">
        <w:rPr>
          <w:i/>
        </w:rPr>
        <w:t>P=</w:t>
      </w:r>
      <w:r w:rsidR="00C4269C">
        <w:t>.</w:t>
      </w:r>
      <w:r w:rsidRPr="00A626C3">
        <w:t>03). Among samples from patients with anosmia (n=47), fever (n=35) and headache (n=34), Se was 100</w:t>
      </w:r>
      <w:r w:rsidR="00C37C2E">
        <w:t>.0</w:t>
      </w:r>
      <w:r w:rsidRPr="00A626C3">
        <w:t>% [78</w:t>
      </w:r>
      <w:r w:rsidR="00C37C2E">
        <w:t>.0</w:t>
      </w:r>
      <w:r w:rsidRPr="00A626C3">
        <w:t>-100</w:t>
      </w:r>
      <w:r w:rsidR="00C37C2E">
        <w:t>.0</w:t>
      </w:r>
      <w:r w:rsidRPr="00A626C3">
        <w:t>].</w:t>
      </w:r>
    </w:p>
    <w:p w:rsidR="001547F1" w:rsidRDefault="001547F1" w:rsidP="00441B6F">
      <w:pPr>
        <w:pStyle w:val="Body"/>
        <w:spacing w:after="0"/>
        <w:rPr>
          <w:rFonts w:ascii="Arial" w:hAnsi="Arial" w:cs="Arial"/>
        </w:rPr>
      </w:pPr>
    </w:p>
    <w:p w:rsidR="00C37C2E" w:rsidRDefault="00C37C2E" w:rsidP="00441B6F">
      <w:pPr>
        <w:pStyle w:val="Body"/>
        <w:spacing w:after="0"/>
        <w:rPr>
          <w:rFonts w:ascii="Arial" w:hAnsi="Arial" w:cs="Arial"/>
        </w:rPr>
      </w:pPr>
    </w:p>
    <w:p w:rsidR="001547F1" w:rsidRPr="00C37C2E" w:rsidRDefault="00C37C2E" w:rsidP="001547F1">
      <w:pPr>
        <w:jc w:val="both"/>
        <w:rPr>
          <w:sz w:val="24"/>
        </w:rPr>
      </w:pPr>
      <w:r w:rsidRPr="00C37C2E">
        <w:rPr>
          <w:b/>
          <w:sz w:val="24"/>
        </w:rPr>
        <w:t>DISCUSSION</w:t>
      </w:r>
    </w:p>
    <w:p w:rsidR="0066740E" w:rsidRPr="0066740E" w:rsidRDefault="0066740E" w:rsidP="0066740E">
      <w:pPr>
        <w:pStyle w:val="Body"/>
        <w:spacing w:after="0"/>
        <w:rPr>
          <w:lang w:val="en-GB"/>
        </w:rPr>
      </w:pPr>
      <w:r w:rsidRPr="0066740E">
        <w:rPr>
          <w:lang w:val="en-GB"/>
        </w:rPr>
        <w:t>Rapid detection of SARS-COV2 is critical for the screening of suspected patients, mainly in settings with other diseases overlapping symptoms. Moreover, it will allow the rapid isolation of infectious patients and may reduce the transmission.</w:t>
      </w:r>
    </w:p>
    <w:p w:rsidR="0066740E" w:rsidRPr="0066740E" w:rsidRDefault="0066740E" w:rsidP="0066740E">
      <w:pPr>
        <w:pStyle w:val="Body"/>
        <w:spacing w:after="0"/>
        <w:rPr>
          <w:lang w:val="en-GB"/>
        </w:rPr>
      </w:pPr>
      <w:r w:rsidRPr="0066740E">
        <w:rPr>
          <w:lang w:val="en-GB"/>
        </w:rPr>
        <w:t xml:space="preserve">In the present study, </w:t>
      </w:r>
      <w:r w:rsidR="000D26E5" w:rsidRPr="00437386">
        <w:t>Panbio</w:t>
      </w:r>
      <w:r w:rsidR="000D26E5" w:rsidRPr="00437386">
        <w:rPr>
          <w:vertAlign w:val="superscript"/>
        </w:rPr>
        <w:t>TM</w:t>
      </w:r>
      <w:r w:rsidR="000D26E5" w:rsidRPr="00437386">
        <w:t xml:space="preserve"> COVID-19 Ag</w:t>
      </w:r>
      <w:r w:rsidRPr="0066740E">
        <w:rPr>
          <w:lang w:val="en-GB"/>
        </w:rPr>
        <w:t xml:space="preserve">RDT was able to detect the same proportion of COVID-19 patients (33.6%) as RT-PCR which is the reference method for COVID-19 diagnosis in the country. Thus, 1 symptomatic person out of 3 had SARS-COV-2 infection during this period. This study period corresponded to the highest circulation of the Beta VOC with the first highest peak of the number of cases detected since March 2020 </w:t>
      </w:r>
      <w:r w:rsidRPr="0066740E">
        <w:rPr>
          <w:iCs/>
          <w:lang w:val="en-GB"/>
        </w:rPr>
        <w:t>(WHO, 2021c)</w:t>
      </w:r>
      <w:r w:rsidRPr="0066740E">
        <w:rPr>
          <w:lang w:val="en-GB"/>
        </w:rPr>
        <w:t>.</w:t>
      </w:r>
    </w:p>
    <w:p w:rsidR="0066740E" w:rsidRPr="0066740E" w:rsidRDefault="0066740E" w:rsidP="0066740E">
      <w:pPr>
        <w:pStyle w:val="Body"/>
        <w:spacing w:after="0"/>
        <w:rPr>
          <w:lang w:val="en-GB"/>
        </w:rPr>
      </w:pPr>
      <w:r w:rsidRPr="0066740E">
        <w:rPr>
          <w:lang w:val="en-GB"/>
        </w:rPr>
        <w:t>Our findings are in line with WHO-recommended COVID-19 Ag RDT performances, showing a high sensit</w:t>
      </w:r>
      <w:r>
        <w:rPr>
          <w:lang w:val="en-GB"/>
        </w:rPr>
        <w:t xml:space="preserve">ivity - above 80% (95.2%) - </w:t>
      </w:r>
      <w:r w:rsidRPr="0066740E">
        <w:rPr>
          <w:lang w:val="en-GB"/>
        </w:rPr>
        <w:t>and a specificity of 97.5%.</w:t>
      </w:r>
    </w:p>
    <w:p w:rsidR="0066740E" w:rsidRPr="0066740E" w:rsidRDefault="0066740E" w:rsidP="0066740E">
      <w:pPr>
        <w:pStyle w:val="Body"/>
        <w:spacing w:after="0"/>
        <w:rPr>
          <w:lang w:val="en-GB"/>
        </w:rPr>
      </w:pPr>
      <w:r w:rsidRPr="0066740E">
        <w:rPr>
          <w:lang w:val="en-GB"/>
        </w:rPr>
        <w:t xml:space="preserve">The </w:t>
      </w:r>
      <w:r w:rsidR="000D26E5" w:rsidRPr="00437386">
        <w:t>Panbio</w:t>
      </w:r>
      <w:r w:rsidR="000D26E5" w:rsidRPr="00437386">
        <w:rPr>
          <w:vertAlign w:val="superscript"/>
        </w:rPr>
        <w:t>TM</w:t>
      </w:r>
      <w:r w:rsidR="000D26E5" w:rsidRPr="00437386">
        <w:t xml:space="preserve"> COVID-19 Ag</w:t>
      </w:r>
      <w:r w:rsidRPr="0066740E">
        <w:rPr>
          <w:lang w:val="en-GB"/>
        </w:rPr>
        <w:t xml:space="preserve">RDT sensitivity was higher compared to those reported from other studies carried out in Africa and elsewhere </w:t>
      </w:r>
      <w:r w:rsidRPr="0066740E">
        <w:rPr>
          <w:iCs/>
          <w:lang w:val="en-GB"/>
        </w:rPr>
        <w:t>(Faíco-Filho et al., 2022; Kolwijck et al., 2021; Treggiari et al., 2022; Ngo Nsoga et al., 2021)</w:t>
      </w:r>
      <w:r w:rsidRPr="0066740E">
        <w:rPr>
          <w:lang w:val="en-GB"/>
        </w:rPr>
        <w:t xml:space="preserve">. RDT sensitivity was also shown to vary according to Ct values. Our analysis showed that Ct values of the ORF1 gene and the N gene had a good correlation with similar median Ct values. With both genes, an inverse correlation was found between Ct value and sensitivity. This observation is common with </w:t>
      </w:r>
      <w:r w:rsidR="000D26E5" w:rsidRPr="00437386">
        <w:t>Panbio</w:t>
      </w:r>
      <w:r w:rsidR="000D26E5" w:rsidRPr="00437386">
        <w:rPr>
          <w:vertAlign w:val="superscript"/>
        </w:rPr>
        <w:t>TM</w:t>
      </w:r>
      <w:r w:rsidR="000D26E5" w:rsidRPr="00437386">
        <w:t xml:space="preserve"> COVID-19 Ag</w:t>
      </w:r>
      <w:r w:rsidRPr="0066740E">
        <w:rPr>
          <w:lang w:val="en-GB"/>
        </w:rPr>
        <w:t xml:space="preserve">and other RDTs </w:t>
      </w:r>
      <w:r w:rsidRPr="0066740E">
        <w:rPr>
          <w:iCs/>
          <w:lang w:val="en-GB"/>
        </w:rPr>
        <w:t>(Ashagre et al., 2022; Dinnes et al., 2021; Al Bayat et al., 2021)</w:t>
      </w:r>
      <w:r w:rsidRPr="0066740E">
        <w:rPr>
          <w:lang w:val="en-GB"/>
        </w:rPr>
        <w:t xml:space="preserve">. All samples with Ct values below 25 were tested positive with RDT, and sensitivity decreased with higher Ct values. These results are consistent with reports from Mozambique and China </w:t>
      </w:r>
      <w:r w:rsidRPr="0066740E">
        <w:rPr>
          <w:iCs/>
          <w:lang w:val="en-GB"/>
        </w:rPr>
        <w:t>(Sitoe et al., 2022; Dong et al., 2022)</w:t>
      </w:r>
      <w:r w:rsidRPr="0066740E">
        <w:rPr>
          <w:lang w:val="en-GB"/>
        </w:rPr>
        <w:t xml:space="preserve">. In samples with concordant RDT and PCR results, the median Ct value was below 35. In Ethiopia, all RDT-negative samples had Ct values above 39 </w:t>
      </w:r>
      <w:r w:rsidRPr="0066740E">
        <w:rPr>
          <w:iCs/>
          <w:lang w:val="en-GB"/>
        </w:rPr>
        <w:t>(Ashagre et al., 2022)</w:t>
      </w:r>
      <w:r w:rsidRPr="0066740E">
        <w:rPr>
          <w:lang w:val="en-GB"/>
        </w:rPr>
        <w:t>. Here, the calculated sensitivity was above 90% for Ct values &gt;35.</w:t>
      </w:r>
    </w:p>
    <w:p w:rsidR="0066740E" w:rsidRPr="0066740E" w:rsidRDefault="0066740E" w:rsidP="0066740E">
      <w:pPr>
        <w:pStyle w:val="Body"/>
        <w:spacing w:after="0"/>
        <w:rPr>
          <w:lang w:val="en-GB"/>
        </w:rPr>
      </w:pPr>
      <w:r w:rsidRPr="0066740E">
        <w:rPr>
          <w:lang w:val="en-GB"/>
        </w:rPr>
        <w:t>The low false-positive rate (2.4%) and the high negative predictive value (97%) also confirm the good performance of this test for the screening and triage of patients. Its ability to accurately diagnose SARS-C</w:t>
      </w:r>
      <w:r>
        <w:rPr>
          <w:lang w:val="en-GB"/>
        </w:rPr>
        <w:t>ov</w:t>
      </w:r>
      <w:r w:rsidRPr="0066740E">
        <w:rPr>
          <w:lang w:val="en-GB"/>
        </w:rPr>
        <w:t>-2 infection is also highlighted by good positive (38) and negative (</w:t>
      </w:r>
      <w:r w:rsidR="00C4269C">
        <w:rPr>
          <w:lang w:val="en-GB"/>
        </w:rPr>
        <w:t>.</w:t>
      </w:r>
      <w:r w:rsidRPr="0066740E">
        <w:rPr>
          <w:lang w:val="en-GB"/>
        </w:rPr>
        <w:t xml:space="preserve">04) likelihood ratios. This confirms the low risk of a patient being tested positive in the absence of SARS-COV-2 virus; inversely, the likelihood of a positive result in case of infection is high. Indeed, we included symptomatic patients with recent onset of symptoms. Several studies highlighted the higher sensitivities of COVID-19 antigen RDTs (including </w:t>
      </w:r>
      <w:r w:rsidR="000D26E5" w:rsidRPr="00437386">
        <w:t>Panbio</w:t>
      </w:r>
      <w:r w:rsidR="000D26E5" w:rsidRPr="00437386">
        <w:rPr>
          <w:vertAlign w:val="superscript"/>
        </w:rPr>
        <w:t>TM</w:t>
      </w:r>
      <w:r w:rsidR="000D26E5" w:rsidRPr="00437386">
        <w:t xml:space="preserve"> COVID-19 Ag</w:t>
      </w:r>
      <w:r w:rsidRPr="0066740E">
        <w:rPr>
          <w:lang w:val="en-GB"/>
        </w:rPr>
        <w:t xml:space="preserve">) among symptomatic individuals compared to asymptomatic individuals and controls </w:t>
      </w:r>
      <w:r w:rsidRPr="0066740E">
        <w:rPr>
          <w:iCs/>
          <w:lang w:val="en-GB"/>
        </w:rPr>
        <w:t>(Irungu et al., 2023; Eleftheriou et al., 2021)</w:t>
      </w:r>
      <w:r w:rsidRPr="0066740E">
        <w:rPr>
          <w:lang w:val="en-GB"/>
        </w:rPr>
        <w:t xml:space="preserve">. In Ethiopia, a higher sensitivity (99.6%) of the test was found for the detection of the virus in samples from symptomatic and asymptomatic individuals </w:t>
      </w:r>
      <w:r w:rsidRPr="0066740E">
        <w:rPr>
          <w:iCs/>
          <w:lang w:val="en-GB"/>
        </w:rPr>
        <w:t>(Sisay et al., 2022)</w:t>
      </w:r>
      <w:r w:rsidRPr="0066740E">
        <w:rPr>
          <w:lang w:val="en-GB"/>
        </w:rPr>
        <w:t xml:space="preserve">. Average RDT sensitivity was also shown to be higher during the first week after symptom onset </w:t>
      </w:r>
      <w:r w:rsidRPr="0066740E">
        <w:rPr>
          <w:iCs/>
          <w:lang w:val="en-GB"/>
        </w:rPr>
        <w:t>(Dinnes et al., 2021)</w:t>
      </w:r>
      <w:r w:rsidRPr="0066740E">
        <w:rPr>
          <w:lang w:val="en-GB"/>
        </w:rPr>
        <w:t>.</w:t>
      </w:r>
    </w:p>
    <w:p w:rsidR="0066740E" w:rsidRPr="0066740E" w:rsidRDefault="0066740E" w:rsidP="0066740E">
      <w:pPr>
        <w:pStyle w:val="Body"/>
        <w:spacing w:after="0"/>
        <w:rPr>
          <w:lang w:val="en-GB"/>
        </w:rPr>
      </w:pPr>
      <w:r w:rsidRPr="0066740E">
        <w:rPr>
          <w:lang w:val="en-GB"/>
        </w:rPr>
        <w:t xml:space="preserve">The need for questioning the performance of SARS-COV-2 RDT kits is also important when considering disease severity and the diversity of symptoms. In this study, performances of the </w:t>
      </w:r>
      <w:r w:rsidR="000D26E5" w:rsidRPr="00437386">
        <w:t>Panbio</w:t>
      </w:r>
      <w:r w:rsidR="000D26E5" w:rsidRPr="00437386">
        <w:rPr>
          <w:vertAlign w:val="superscript"/>
        </w:rPr>
        <w:t>TM</w:t>
      </w:r>
      <w:r w:rsidR="000D26E5" w:rsidRPr="00437386">
        <w:t xml:space="preserve"> COVID-19 Ag</w:t>
      </w:r>
      <w:r w:rsidR="005329B8">
        <w:t xml:space="preserve">RDT </w:t>
      </w:r>
      <w:r w:rsidRPr="0066740E">
        <w:rPr>
          <w:lang w:val="en-GB"/>
        </w:rPr>
        <w:t>according to the severity of the disease showed that the sensitivity of the test was 95.4% in patients with simple COVID-19 forms, while it was slightly lower (90</w:t>
      </w:r>
      <w:r w:rsidR="008F0EB0">
        <w:rPr>
          <w:lang w:val="en-GB"/>
        </w:rPr>
        <w:t>.0</w:t>
      </w:r>
      <w:r w:rsidRPr="0066740E">
        <w:rPr>
          <w:lang w:val="en-GB"/>
        </w:rPr>
        <w:t xml:space="preserve">%) in those with </w:t>
      </w:r>
      <w:r w:rsidR="005329B8">
        <w:rPr>
          <w:lang w:val="en-GB"/>
        </w:rPr>
        <w:t>moderate</w:t>
      </w:r>
      <w:r w:rsidRPr="0066740E">
        <w:rPr>
          <w:lang w:val="en-GB"/>
        </w:rPr>
        <w:t xml:space="preserve">to severe forms. Although the number of patients with moderate to severe forms was limited, </w:t>
      </w:r>
      <w:r w:rsidR="000D26E5" w:rsidRPr="00437386">
        <w:t>Panbio</w:t>
      </w:r>
      <w:r w:rsidR="000D26E5" w:rsidRPr="00437386">
        <w:rPr>
          <w:vertAlign w:val="superscript"/>
        </w:rPr>
        <w:t>TM</w:t>
      </w:r>
      <w:r w:rsidR="000D26E5" w:rsidRPr="00437386">
        <w:t xml:space="preserve"> COVID-19 Ag</w:t>
      </w:r>
      <w:r w:rsidRPr="0066740E">
        <w:rPr>
          <w:lang w:val="en-GB"/>
        </w:rPr>
        <w:t xml:space="preserve">RDT detected infection in 10 out of 11 such patients (sensitivity 90.5%). However, </w:t>
      </w:r>
      <w:r w:rsidRPr="0066740E">
        <w:rPr>
          <w:iCs/>
          <w:lang w:val="en-GB"/>
        </w:rPr>
        <w:t>Kolwijck et al.</w:t>
      </w:r>
      <w:r w:rsidRPr="0066740E">
        <w:rPr>
          <w:lang w:val="en-GB"/>
        </w:rPr>
        <w:t xml:space="preserve"> reported a sensitivity of 86.7% in patients with mild symptoms </w:t>
      </w:r>
      <w:r w:rsidRPr="0066740E">
        <w:rPr>
          <w:iCs/>
          <w:lang w:val="en-GB"/>
        </w:rPr>
        <w:t>(Kolwijck et al., 2021)</w:t>
      </w:r>
      <w:r w:rsidRPr="0066740E">
        <w:rPr>
          <w:lang w:val="en-GB"/>
        </w:rPr>
        <w:t>. According to the main symptoms, the test sensitivity was above 90% for all clinical presentations, including flu-like symptoms, ag</w:t>
      </w:r>
      <w:r>
        <w:rPr>
          <w:lang w:val="en-GB"/>
        </w:rPr>
        <w:t>u</w:t>
      </w:r>
      <w:r w:rsidRPr="0066740E">
        <w:rPr>
          <w:lang w:val="en-GB"/>
        </w:rPr>
        <w:t>eusia, anosmia, fever, headache and respiratory distress. Studies comparing sensitivity according to severity and specific symptoms remain scarce. Thus, comparisons are limited; moreover, the low proportion (2.</w:t>
      </w:r>
      <w:r w:rsidR="005329B8">
        <w:rPr>
          <w:lang w:val="en-GB"/>
        </w:rPr>
        <w:t>3</w:t>
      </w:r>
      <w:r w:rsidRPr="0066740E">
        <w:rPr>
          <w:lang w:val="en-GB"/>
        </w:rPr>
        <w:t xml:space="preserve">%) of patients with complicated COVID-19 forms prevents drawing firm conclusions. Nonetheless, attention should be given to RDT performance indicators in asymptomatic individuals, who can present lower Ct values (thus higher viral load) and are known to be major contributors to transmission </w:t>
      </w:r>
      <w:r w:rsidRPr="0066740E">
        <w:rPr>
          <w:iCs/>
          <w:lang w:val="en-GB"/>
        </w:rPr>
        <w:t>(Zuin et al., 2021)</w:t>
      </w:r>
      <w:r w:rsidRPr="0066740E">
        <w:rPr>
          <w:lang w:val="en-GB"/>
        </w:rPr>
        <w:t>.</w:t>
      </w:r>
    </w:p>
    <w:p w:rsidR="0066740E" w:rsidRPr="0066740E" w:rsidRDefault="0066740E" w:rsidP="0066740E">
      <w:pPr>
        <w:pStyle w:val="Body"/>
        <w:spacing w:after="0"/>
        <w:rPr>
          <w:lang w:val="en-GB"/>
        </w:rPr>
      </w:pPr>
      <w:r w:rsidRPr="0066740E">
        <w:rPr>
          <w:lang w:val="en-GB"/>
        </w:rPr>
        <w:lastRenderedPageBreak/>
        <w:t xml:space="preserve">Our data confirm the importance of this tool even in health structures equipped with reliable molecular platforms. </w:t>
      </w:r>
      <w:r w:rsidR="000D26E5" w:rsidRPr="00437386">
        <w:t>Panbio</w:t>
      </w:r>
      <w:r w:rsidR="000D26E5" w:rsidRPr="00437386">
        <w:rPr>
          <w:vertAlign w:val="superscript"/>
        </w:rPr>
        <w:t>TM</w:t>
      </w:r>
      <w:r w:rsidR="000D26E5" w:rsidRPr="00437386">
        <w:t xml:space="preserve"> COVID-19 Ag</w:t>
      </w:r>
      <w:r w:rsidRPr="0066740E">
        <w:rPr>
          <w:lang w:val="en-GB"/>
        </w:rPr>
        <w:t>RDT allows effective triage of symptomatic patients, with a low proportion of false negatives (2.4%). The observed specificity and NPV (97</w:t>
      </w:r>
      <w:r w:rsidR="000D26E5">
        <w:rPr>
          <w:lang w:val="en-GB"/>
        </w:rPr>
        <w:t>.0</w:t>
      </w:r>
      <w:r w:rsidRPr="0066740E">
        <w:rPr>
          <w:lang w:val="en-GB"/>
        </w:rPr>
        <w:t>%) align with WHO criteria for COVID-19 test use. These values suggest that among symptomatic individuals who test negative by this RDT, very few will be misclassified as uninfected. Nevertheless, COVID-19 confirmation based on antigen RDT should always be interpreted considering epidemiological patterns and clinical symptoms.</w:t>
      </w:r>
    </w:p>
    <w:p w:rsidR="0066740E" w:rsidRPr="0066740E" w:rsidRDefault="0066740E" w:rsidP="0066740E">
      <w:pPr>
        <w:pStyle w:val="Body"/>
        <w:spacing w:after="0"/>
        <w:rPr>
          <w:lang w:val="en-GB"/>
        </w:rPr>
      </w:pPr>
      <w:r w:rsidRPr="0066740E">
        <w:rPr>
          <w:lang w:val="en-GB"/>
        </w:rPr>
        <w:t xml:space="preserve">This study has some limitations. The majority of enrolled patients had mild symptoms; therefore, these results may not reflect the real diagnostic performance in the general population, including asymptomatic and severely or critically ill COVID-19 cases. It is important to note that COVID-19 Ag RDT indications focus on individuals with recent onset of symptoms, and our study highlights the importance of respecting these recommendations to ensure accurate diagnosis. At the time of the study, only the Beta and Delta variants were circulating in Gabon. Since then, several variants have emerged worldwide, including in Gabon, and antigen RDT performances might vary depending on the SARS-COV-2 variant </w:t>
      </w:r>
      <w:r w:rsidRPr="0066740E">
        <w:rPr>
          <w:iCs/>
          <w:lang w:val="en-GB"/>
        </w:rPr>
        <w:t>(Bourassa et al., 2021)</w:t>
      </w:r>
      <w:r w:rsidRPr="0066740E">
        <w:rPr>
          <w:lang w:val="en-GB"/>
        </w:rPr>
        <w:t>. The vaccination rate was also low between January and June 2021, with less than 1% of the population vaccinated.</w:t>
      </w:r>
    </w:p>
    <w:p w:rsidR="0066740E" w:rsidRPr="0066740E" w:rsidRDefault="0066740E" w:rsidP="0066740E">
      <w:pPr>
        <w:pStyle w:val="Body"/>
        <w:spacing w:after="0"/>
        <w:rPr>
          <w:lang w:val="en-GB"/>
        </w:rPr>
      </w:pPr>
      <w:r w:rsidRPr="0066740E">
        <w:rPr>
          <w:lang w:val="en-GB"/>
        </w:rPr>
        <w:t xml:space="preserve">To our knowledge, this is the first study to prospectively assess the Abbott </w:t>
      </w:r>
      <w:r w:rsidR="000D26E5" w:rsidRPr="00437386">
        <w:t>Panbio</w:t>
      </w:r>
      <w:r w:rsidR="000D26E5" w:rsidRPr="00437386">
        <w:rPr>
          <w:vertAlign w:val="superscript"/>
        </w:rPr>
        <w:t>TM</w:t>
      </w:r>
      <w:r w:rsidR="000D26E5" w:rsidRPr="00437386">
        <w:t xml:space="preserve"> COVID-19 Ag</w:t>
      </w:r>
      <w:r w:rsidRPr="0066740E">
        <w:rPr>
          <w:lang w:val="en-GB"/>
        </w:rPr>
        <w:t>RDT performance in Gabon, under field conditions with a relatively acceptable number of patients. Such evaluations remain scarce in West and Central Africa, and the data generated here can serve as a baseline for future assessments.</w:t>
      </w:r>
      <w:r w:rsidR="00317517">
        <w:t>Further evaluation of the Panbio™ test in asymptomatic individuals is warranted, as asymptomatic carriers play a key role in silent SARS-CoV-2 transmission. Generating such data would help determine the utility of this RDT for broader community screening strategies.</w:t>
      </w:r>
    </w:p>
    <w:p w:rsidR="00790ADA" w:rsidRDefault="00790ADA" w:rsidP="00441B6F">
      <w:pPr>
        <w:pStyle w:val="Body"/>
        <w:spacing w:after="0"/>
        <w:rPr>
          <w:rFonts w:ascii="Arial" w:hAnsi="Arial" w:cs="Arial"/>
        </w:rPr>
      </w:pPr>
    </w:p>
    <w:p w:rsidR="00C37C2E" w:rsidRPr="00FB3A86" w:rsidRDefault="00C37C2E"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C37C2E" w:rsidRPr="00A626C3" w:rsidRDefault="00C37C2E" w:rsidP="00C37C2E">
      <w:pPr>
        <w:jc w:val="both"/>
      </w:pPr>
      <w:r w:rsidRPr="00A626C3">
        <w:t xml:space="preserve">Under field conditions, the </w:t>
      </w:r>
      <w:r w:rsidR="000D26E5" w:rsidRPr="00437386">
        <w:t>Panbio</w:t>
      </w:r>
      <w:r w:rsidR="000D26E5" w:rsidRPr="00437386">
        <w:rPr>
          <w:vertAlign w:val="superscript"/>
        </w:rPr>
        <w:t>TM</w:t>
      </w:r>
      <w:r w:rsidR="000D26E5" w:rsidRPr="00437386">
        <w:t xml:space="preserve"> COVID-19 Ag</w:t>
      </w:r>
      <w:r w:rsidRPr="00A626C3">
        <w:t>RDT kit met the WHO cut-off standards for patients screening for COVID-19 when compared to the RT-PCR reference methods. This test, due to its lower cost and easy to use</w:t>
      </w:r>
      <w:r w:rsidR="00600838">
        <w:t>,</w:t>
      </w:r>
      <w:r w:rsidRPr="00A626C3">
        <w:t xml:space="preserve"> is a good alternative for the screening, rapid clinical management and decision of isolation of suspected COVID-19 patients in health structure from </w:t>
      </w:r>
      <w:r w:rsidR="00600838" w:rsidRPr="00A626C3">
        <w:t>resource</w:t>
      </w:r>
      <w:r w:rsidR="00600838">
        <w:t>-</w:t>
      </w:r>
      <w:r w:rsidRPr="00A626C3">
        <w:t>limited countries including Gabon.</w:t>
      </w:r>
    </w:p>
    <w:p w:rsidR="002B685A" w:rsidRDefault="002B685A"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5C784C" w:rsidRPr="00AE769B" w:rsidRDefault="00C37C2E" w:rsidP="00441B6F">
      <w:pPr>
        <w:pStyle w:val="ReferHead"/>
        <w:spacing w:after="0"/>
        <w:jc w:val="both"/>
        <w:rPr>
          <w:rFonts w:ascii="Arial" w:hAnsi="Arial" w:cs="Arial"/>
          <w:bCs/>
        </w:rPr>
      </w:pPr>
      <w:r w:rsidRPr="00AE769B">
        <w:rPr>
          <w:rFonts w:ascii="Arial" w:hAnsi="Arial" w:cs="Arial"/>
          <w:bCs/>
        </w:rPr>
        <w:t>Ethical approval</w:t>
      </w:r>
    </w:p>
    <w:p w:rsidR="0041027F" w:rsidRPr="00AE769B" w:rsidRDefault="001A29D8" w:rsidP="00441B6F">
      <w:pPr>
        <w:pStyle w:val="ReferHead"/>
        <w:spacing w:after="0"/>
        <w:jc w:val="both"/>
        <w:rPr>
          <w:rFonts w:ascii="Arial" w:hAnsi="Arial" w:cs="Arial"/>
          <w:b w:val="0"/>
          <w:caps w:val="0"/>
          <w:sz w:val="20"/>
        </w:rPr>
      </w:pPr>
      <w:r w:rsidRPr="00AE769B">
        <w:rPr>
          <w:rFonts w:ascii="Arial" w:hAnsi="Arial" w:cs="Arial"/>
          <w:b w:val="0"/>
          <w:caps w:val="0"/>
          <w:sz w:val="20"/>
        </w:rPr>
        <w:t>All authors hereby declare that a</w:t>
      </w:r>
      <w:r w:rsidR="0041027F" w:rsidRPr="00AE769B">
        <w:rPr>
          <w:rFonts w:ascii="Arial" w:hAnsi="Arial" w:cs="Arial"/>
          <w:b w:val="0"/>
          <w:caps w:val="0"/>
          <w:sz w:val="20"/>
        </w:rPr>
        <w:t xml:space="preserve">ll </w:t>
      </w:r>
      <w:r w:rsidR="00F469F0" w:rsidRPr="00AE769B">
        <w:rPr>
          <w:rFonts w:ascii="Arial" w:hAnsi="Arial" w:cs="Arial"/>
          <w:b w:val="0"/>
          <w:caps w:val="0"/>
          <w:sz w:val="20"/>
        </w:rPr>
        <w:t>experiments</w:t>
      </w:r>
      <w:r w:rsidR="0041027F" w:rsidRPr="00AE769B">
        <w:rPr>
          <w:rFonts w:ascii="Arial" w:hAnsi="Arial" w:cs="Arial"/>
          <w:b w:val="0"/>
          <w:caps w:val="0"/>
          <w:sz w:val="20"/>
        </w:rPr>
        <w:t xml:space="preserve"> have been examined</w:t>
      </w:r>
      <w:r w:rsidRPr="00AE769B">
        <w:rPr>
          <w:rFonts w:ascii="Arial" w:hAnsi="Arial" w:cs="Arial"/>
          <w:b w:val="0"/>
          <w:caps w:val="0"/>
          <w:sz w:val="20"/>
        </w:rPr>
        <w:t xml:space="preserve"> and approved</w:t>
      </w:r>
      <w:r w:rsidR="0041027F" w:rsidRPr="00AE769B">
        <w:rPr>
          <w:rFonts w:ascii="Arial" w:hAnsi="Arial" w:cs="Arial"/>
          <w:b w:val="0"/>
          <w:caps w:val="0"/>
          <w:sz w:val="20"/>
        </w:rPr>
        <w:t xml:space="preserve"> by the appropriate ethics committee and have therefore been performed in accordance with the ethical standards laid down in the 1964 Declaration of Helsinki.</w:t>
      </w:r>
    </w:p>
    <w:p w:rsidR="00860000" w:rsidRPr="00AE769B" w:rsidRDefault="00860000" w:rsidP="00441B6F">
      <w:pPr>
        <w:pStyle w:val="ReferHead"/>
        <w:spacing w:after="0"/>
        <w:jc w:val="both"/>
        <w:rPr>
          <w:rFonts w:ascii="Arial" w:hAnsi="Arial" w:cs="Arial"/>
        </w:rPr>
      </w:pPr>
    </w:p>
    <w:p w:rsidR="002E6A8C" w:rsidRPr="00AE769B" w:rsidRDefault="002E6A8C" w:rsidP="00441B6F">
      <w:pPr>
        <w:pStyle w:val="ReferHead"/>
        <w:spacing w:after="0"/>
        <w:jc w:val="both"/>
        <w:rPr>
          <w:rFonts w:ascii="Arial" w:hAnsi="Arial" w:cs="Arial"/>
        </w:rPr>
      </w:pPr>
    </w:p>
    <w:p w:rsidR="002E6A8C" w:rsidRPr="00AE769B" w:rsidRDefault="002E6A8C" w:rsidP="002E2079">
      <w:pPr>
        <w:pStyle w:val="ReferHead"/>
        <w:spacing w:after="0"/>
        <w:jc w:val="both"/>
        <w:rPr>
          <w:rFonts w:ascii="Arial" w:hAnsi="Arial" w:cs="Arial"/>
          <w:bCs/>
        </w:rPr>
      </w:pPr>
      <w:bookmarkStart w:id="0" w:name="_Hlk213163655"/>
      <w:bookmarkStart w:id="1" w:name="_Hlk204003461"/>
      <w:bookmarkStart w:id="2" w:name="_Hlk213070710"/>
      <w:r w:rsidRPr="00AE769B">
        <w:rPr>
          <w:rFonts w:ascii="Arial" w:hAnsi="Arial" w:cs="Arial"/>
          <w:bCs/>
        </w:rPr>
        <w:t>Disclaimer (Artificial intelligence)</w:t>
      </w:r>
    </w:p>
    <w:p w:rsidR="002E6A8C" w:rsidRPr="00AE769B" w:rsidRDefault="002E6A8C" w:rsidP="002E2079">
      <w:pPr>
        <w:pStyle w:val="ReferHead"/>
        <w:spacing w:after="0"/>
        <w:jc w:val="both"/>
        <w:rPr>
          <w:rFonts w:ascii="Arial" w:hAnsi="Arial" w:cs="Arial"/>
        </w:rPr>
      </w:pPr>
      <w:r w:rsidRPr="00AE769B">
        <w:rPr>
          <w:rFonts w:ascii="Arial" w:hAnsi="Arial" w:cs="Arial"/>
          <w:b w:val="0"/>
          <w:caps w:val="0"/>
          <w:sz w:val="20"/>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rsidR="002E6A8C" w:rsidRPr="00AE769B" w:rsidRDefault="002E6A8C" w:rsidP="00441B6F">
      <w:pPr>
        <w:pStyle w:val="ReferHead"/>
        <w:spacing w:after="0"/>
        <w:jc w:val="both"/>
        <w:rPr>
          <w:rFonts w:ascii="Arial" w:hAnsi="Arial" w:cs="Arial"/>
        </w:rPr>
      </w:pPr>
    </w:p>
    <w:p w:rsidR="00C37C2E" w:rsidRPr="00AE769B" w:rsidRDefault="00C37C2E" w:rsidP="00441B6F">
      <w:pPr>
        <w:pStyle w:val="ReferHead"/>
        <w:spacing w:after="0"/>
        <w:jc w:val="both"/>
        <w:rPr>
          <w:rFonts w:ascii="Arial" w:hAnsi="Arial" w:cs="Arial"/>
        </w:rPr>
      </w:pPr>
    </w:p>
    <w:p w:rsidR="00B01FCD" w:rsidRPr="00AE769B" w:rsidRDefault="00B01FCD" w:rsidP="00CE4103">
      <w:pPr>
        <w:pStyle w:val="ReferHead"/>
        <w:spacing w:after="0"/>
        <w:jc w:val="both"/>
        <w:rPr>
          <w:rFonts w:ascii="Arial" w:hAnsi="Arial" w:cs="Arial"/>
        </w:rPr>
      </w:pPr>
      <w:r w:rsidRPr="00AE769B">
        <w:rPr>
          <w:rFonts w:ascii="Arial" w:hAnsi="Arial" w:cs="Arial"/>
        </w:rPr>
        <w:t>References</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1.</w:t>
      </w:r>
      <w:r w:rsidRPr="00891C92">
        <w:rPr>
          <w:rFonts w:eastAsia="Calibri" w:cs="Helvetica"/>
          <w:szCs w:val="22"/>
          <w:lang w:val="en-GB"/>
        </w:rPr>
        <w:t xml:space="preserve">Ksiazek TG, Erdman D, Goldsmith CS, et al. A novel coronavirus associated with severe acute respiratory syndrome. </w:t>
      </w:r>
      <w:r w:rsidRPr="00891C92">
        <w:rPr>
          <w:rFonts w:eastAsia="Calibri" w:cs="Helvetica"/>
          <w:i/>
          <w:iCs/>
          <w:szCs w:val="22"/>
          <w:lang w:val="fr-FR"/>
        </w:rPr>
        <w:t>N Engl J Med</w:t>
      </w:r>
      <w:r w:rsidRPr="00891C92">
        <w:rPr>
          <w:rFonts w:eastAsia="Calibri" w:cs="Helvetica"/>
          <w:szCs w:val="22"/>
          <w:lang w:val="fr-FR"/>
        </w:rPr>
        <w:t>. 2003;348:1953–66.</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fr-FR"/>
        </w:rPr>
        <w:t>2.</w:t>
      </w:r>
      <w:r w:rsidRPr="00891C92">
        <w:rPr>
          <w:rFonts w:eastAsia="Calibri" w:cs="Helvetica"/>
          <w:szCs w:val="22"/>
          <w:lang w:val="fr-FR"/>
        </w:rPr>
        <w:t xml:space="preserve"> Lescure FX, Bouadma L, Nguyen D, et al. </w:t>
      </w:r>
      <w:r w:rsidRPr="00891C92">
        <w:rPr>
          <w:rFonts w:eastAsia="Calibri" w:cs="Helvetica"/>
          <w:szCs w:val="22"/>
          <w:lang w:val="en-GB"/>
        </w:rPr>
        <w:t xml:space="preserve">Clinical and virological data of the first cases of COVID-19 in Europe: a case series. </w:t>
      </w:r>
      <w:r w:rsidRPr="002E2079">
        <w:rPr>
          <w:rFonts w:eastAsia="Calibri" w:cs="Helvetica"/>
          <w:i/>
          <w:iCs/>
          <w:szCs w:val="22"/>
          <w:lang w:val="en-GB"/>
        </w:rPr>
        <w:t>Lancet Infect Dis</w:t>
      </w:r>
      <w:r w:rsidRPr="002E2079">
        <w:rPr>
          <w:rFonts w:eastAsia="Calibri" w:cs="Helvetica"/>
          <w:szCs w:val="22"/>
          <w:lang w:val="en-GB"/>
        </w:rPr>
        <w:t>. 2020;20(6):697–706.</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lastRenderedPageBreak/>
        <w:t>3.</w:t>
      </w:r>
      <w:r w:rsidRPr="00891C92">
        <w:rPr>
          <w:rFonts w:eastAsia="Calibri" w:cs="Helvetica"/>
          <w:szCs w:val="22"/>
          <w:lang w:val="en-GB"/>
        </w:rPr>
        <w:t xml:space="preserve"> World Health Organization. WHO Coronavirus (COVID-19) Dashboard. </w:t>
      </w:r>
      <w:r w:rsidRPr="00891C92">
        <w:rPr>
          <w:rFonts w:eastAsia="Calibri" w:cs="Helvetica"/>
          <w:szCs w:val="22"/>
          <w:lang w:val="fr-FR"/>
        </w:rPr>
        <w:t>2020. Availablefrom:</w:t>
      </w:r>
      <w:hyperlink r:id="rId15" w:tgtFrame="_new" w:history="1">
        <w:r w:rsidRPr="00891C92">
          <w:rPr>
            <w:rStyle w:val="Hyperlink"/>
            <w:rFonts w:eastAsia="Calibri" w:cs="Helvetica"/>
            <w:szCs w:val="22"/>
            <w:lang w:val="fr-FR"/>
          </w:rPr>
          <w:t>https://covid19.who.int/</w:t>
        </w:r>
      </w:hyperlink>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fr-FR"/>
        </w:rPr>
        <w:t>4.</w:t>
      </w:r>
      <w:r w:rsidRPr="00891C92">
        <w:rPr>
          <w:rFonts w:eastAsia="Calibri" w:cs="Helvetica"/>
          <w:szCs w:val="22"/>
          <w:lang w:val="fr-FR"/>
        </w:rPr>
        <w:t xml:space="preserve"> Han Y, Liu Y, Zhou L, et al. </w:t>
      </w:r>
      <w:r w:rsidRPr="00891C92">
        <w:rPr>
          <w:rFonts w:eastAsia="Calibri" w:cs="Helvetica"/>
          <w:szCs w:val="22"/>
          <w:lang w:val="en-GB"/>
        </w:rPr>
        <w:t xml:space="preserve">Epidemiological assessment of imported coronavirus disease 2019 (COVID-19) cases in the most affected city outside of Hubei Province. </w:t>
      </w:r>
      <w:r w:rsidRPr="002E2079">
        <w:rPr>
          <w:rFonts w:eastAsia="Calibri" w:cs="Helvetica"/>
          <w:i/>
          <w:iCs/>
          <w:szCs w:val="22"/>
          <w:lang w:val="en-GB"/>
        </w:rPr>
        <w:t>JAMA Netw Open</w:t>
      </w:r>
      <w:r w:rsidRPr="002E2079">
        <w:rPr>
          <w:rFonts w:eastAsia="Calibri" w:cs="Helvetica"/>
          <w:szCs w:val="22"/>
          <w:lang w:val="en-GB"/>
        </w:rPr>
        <w:t>. 2020;3(4):e206785.</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5.</w:t>
      </w:r>
      <w:r w:rsidRPr="00891C92">
        <w:rPr>
          <w:rFonts w:eastAsia="Calibri" w:cs="Helvetica"/>
          <w:szCs w:val="22"/>
          <w:lang w:val="en-GB"/>
        </w:rPr>
        <w:t xml:space="preserve"> Helmy YA, Fawzy M, Elaswad A, et al. The COVID-19 pandemic: a comprehensive review of taxonomy, genetics, epidemiology, diagnosis, treatment, and control. </w:t>
      </w:r>
      <w:r w:rsidRPr="00891C92">
        <w:rPr>
          <w:rFonts w:eastAsia="Calibri" w:cs="Helvetica"/>
          <w:i/>
          <w:iCs/>
          <w:szCs w:val="22"/>
          <w:lang w:val="fr-FR"/>
        </w:rPr>
        <w:t>J Clin Med</w:t>
      </w:r>
      <w:r w:rsidRPr="00891C92">
        <w:rPr>
          <w:rFonts w:eastAsia="Calibri" w:cs="Helvetica"/>
          <w:szCs w:val="22"/>
          <w:lang w:val="fr-FR"/>
        </w:rPr>
        <w:t>. 2020;9:1225.</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fr-FR"/>
        </w:rPr>
        <w:t>6.</w:t>
      </w:r>
      <w:r w:rsidRPr="00891C92">
        <w:rPr>
          <w:rFonts w:eastAsia="Calibri" w:cs="Helvetica"/>
          <w:szCs w:val="22"/>
          <w:lang w:val="fr-FR"/>
        </w:rPr>
        <w:t xml:space="preserve"> Kaboré M, Sondo KA, Dahourou DL, et al. </w:t>
      </w:r>
      <w:r w:rsidRPr="00891C92">
        <w:rPr>
          <w:rFonts w:eastAsia="Calibri" w:cs="Helvetica"/>
          <w:szCs w:val="22"/>
          <w:lang w:val="en-GB"/>
        </w:rPr>
        <w:t xml:space="preserve">Incidence and predictors of imported cases of COVID-19 in Burkina Faso. </w:t>
      </w:r>
      <w:r w:rsidRPr="002E2079">
        <w:rPr>
          <w:rFonts w:eastAsia="Calibri" w:cs="Helvetica"/>
          <w:i/>
          <w:iCs/>
          <w:szCs w:val="22"/>
          <w:lang w:val="en-GB"/>
        </w:rPr>
        <w:t>Front Public Health</w:t>
      </w:r>
      <w:r w:rsidRPr="002E2079">
        <w:rPr>
          <w:rFonts w:eastAsia="Calibri" w:cs="Helvetica"/>
          <w:szCs w:val="22"/>
          <w:lang w:val="en-GB"/>
        </w:rPr>
        <w:t>. 2022;10:743248.</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7.</w:t>
      </w:r>
      <w:r w:rsidRPr="00891C92">
        <w:rPr>
          <w:rFonts w:eastAsia="Calibri" w:cs="Helvetica"/>
          <w:szCs w:val="22"/>
          <w:lang w:val="en-GB"/>
        </w:rPr>
        <w:t xml:space="preserve"> World Health Organization. Recommendations for natural SARS-CoV-2 testing strategies and diagnostic capacities. </w:t>
      </w:r>
      <w:r w:rsidRPr="002E2079">
        <w:rPr>
          <w:rFonts w:eastAsia="Calibri" w:cs="Helvetica"/>
          <w:szCs w:val="22"/>
          <w:lang w:val="en-GB"/>
        </w:rPr>
        <w:t>25 June 2021. WHO/2019-nCoV/lab_testing/2021.1.</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8.</w:t>
      </w:r>
      <w:r w:rsidRPr="00891C92">
        <w:rPr>
          <w:rFonts w:eastAsia="Calibri" w:cs="Helvetica"/>
          <w:szCs w:val="22"/>
          <w:lang w:val="en-GB"/>
        </w:rPr>
        <w:t xml:space="preserve"> World Health Organization. Antigen detection in the diagnosis of SARS-CoV-2 infection: interim guidance. </w:t>
      </w:r>
      <w:r w:rsidRPr="002E2079">
        <w:rPr>
          <w:rFonts w:eastAsia="Calibri" w:cs="Helvetica"/>
          <w:szCs w:val="22"/>
          <w:lang w:val="en-GB"/>
        </w:rPr>
        <w:t>WHO/2019-nCoV/Antigen_Detection/2021.1.</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9.</w:t>
      </w:r>
      <w:r w:rsidRPr="00891C92">
        <w:rPr>
          <w:rFonts w:eastAsia="Calibri" w:cs="Helvetica"/>
          <w:szCs w:val="22"/>
          <w:lang w:val="en-GB"/>
        </w:rPr>
        <w:t xml:space="preserve"> Abbott. Panbio™ COVID-19 Ag rapid test device: in vitro diagnostic test for qualitative detection of SARS-CoV-2 antigen. </w:t>
      </w:r>
      <w:r w:rsidRPr="00891C92">
        <w:rPr>
          <w:rFonts w:eastAsia="Calibri" w:cs="Helvetica"/>
          <w:szCs w:val="22"/>
          <w:lang w:val="fr-FR"/>
        </w:rPr>
        <w:t>2021.</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t>10.</w:t>
      </w:r>
      <w:r w:rsidRPr="00891C92">
        <w:rPr>
          <w:rFonts w:eastAsia="Calibri" w:cs="Helvetica"/>
          <w:szCs w:val="22"/>
          <w:lang w:val="fr-FR"/>
        </w:rPr>
        <w:t xml:space="preserve"> COPIL Coronavirus. Situation épidémiologique du 29 mars 2023. Availablefrom:</w:t>
      </w:r>
      <w:hyperlink r:id="rId16" w:tgtFrame="_new" w:history="1">
        <w:r w:rsidRPr="00891C92">
          <w:rPr>
            <w:rStyle w:val="Hyperlink"/>
            <w:rFonts w:eastAsia="Calibri" w:cs="Helvetica"/>
            <w:szCs w:val="22"/>
            <w:lang w:val="fr-FR"/>
          </w:rPr>
          <w:t>https://www.who.int/countries/gab/</w:t>
        </w:r>
      </w:hyperlink>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11.</w:t>
      </w:r>
      <w:r w:rsidRPr="00891C92">
        <w:rPr>
          <w:rFonts w:eastAsia="Calibri" w:cs="Helvetica"/>
          <w:szCs w:val="22"/>
          <w:lang w:val="en-GB"/>
        </w:rPr>
        <w:t xml:space="preserve"> World Health Organization. Weekly epidemiological update on COVID-19. </w:t>
      </w:r>
      <w:r w:rsidRPr="002E2079">
        <w:rPr>
          <w:rFonts w:eastAsia="Calibri" w:cs="Helvetica"/>
          <w:szCs w:val="22"/>
          <w:lang w:val="en-GB"/>
        </w:rPr>
        <w:t>June 2021.</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12.</w:t>
      </w:r>
      <w:r w:rsidRPr="00891C92">
        <w:rPr>
          <w:rFonts w:eastAsia="Calibri" w:cs="Helvetica"/>
          <w:szCs w:val="22"/>
          <w:lang w:val="en-GB"/>
        </w:rPr>
        <w:t xml:space="preserve">Faíco-Filho KS, Finamor Junior FE, Moreira LVL, et al. Evaluation of the Panbio™ COVID-19 Ag rapid test at an emergency room in a hospital in São Paulo, Brazil. </w:t>
      </w:r>
      <w:r w:rsidRPr="002E2079">
        <w:rPr>
          <w:rFonts w:eastAsia="Calibri" w:cs="Helvetica"/>
          <w:i/>
          <w:iCs/>
          <w:szCs w:val="22"/>
          <w:lang w:val="en-GB"/>
        </w:rPr>
        <w:t>Braz J Infect Dis</w:t>
      </w:r>
      <w:r w:rsidRPr="002E2079">
        <w:rPr>
          <w:rFonts w:eastAsia="Calibri" w:cs="Helvetica"/>
          <w:szCs w:val="22"/>
          <w:lang w:val="en-GB"/>
        </w:rPr>
        <w:t>. 2022;26(2):102349.</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13.</w:t>
      </w:r>
      <w:r w:rsidRPr="00891C92">
        <w:rPr>
          <w:rFonts w:eastAsia="Calibri" w:cs="Helvetica"/>
          <w:szCs w:val="22"/>
          <w:lang w:val="en-GB"/>
        </w:rPr>
        <w:t xml:space="preserve">Kolwijck E, Brouwers-Boers M, Broertjes J, et al. Validation and implementation of the Panbio COVID-19 Ag rapid test for the diagnosis of SARS-CoV-2 infection in symptomatic hospital healthcare workers. </w:t>
      </w:r>
      <w:r w:rsidRPr="002E2079">
        <w:rPr>
          <w:rFonts w:eastAsia="Calibri" w:cs="Helvetica"/>
          <w:i/>
          <w:iCs/>
          <w:szCs w:val="22"/>
          <w:lang w:val="en-GB"/>
        </w:rPr>
        <w:t>Infect PrevPract</w:t>
      </w:r>
      <w:r w:rsidRPr="002E2079">
        <w:rPr>
          <w:rFonts w:eastAsia="Calibri" w:cs="Helvetica"/>
          <w:szCs w:val="22"/>
          <w:lang w:val="en-GB"/>
        </w:rPr>
        <w:t>. 2021;3(2):100142.</w:t>
      </w:r>
    </w:p>
    <w:p w:rsidR="00CE4103" w:rsidRPr="002E2079" w:rsidRDefault="00CE4103" w:rsidP="00CE4103">
      <w:pPr>
        <w:pStyle w:val="Reference"/>
        <w:numPr>
          <w:ilvl w:val="0"/>
          <w:numId w:val="0"/>
        </w:numPr>
        <w:rPr>
          <w:rFonts w:eastAsia="Calibri" w:cs="Helvetica"/>
          <w:szCs w:val="22"/>
          <w:lang w:val="en-GB"/>
        </w:rPr>
      </w:pPr>
      <w:r w:rsidRPr="002E2079">
        <w:rPr>
          <w:rFonts w:eastAsia="Calibri" w:cs="Helvetica"/>
          <w:b/>
          <w:bCs/>
          <w:szCs w:val="22"/>
          <w:lang w:val="en-GB"/>
        </w:rPr>
        <w:t>14.</w:t>
      </w:r>
      <w:r w:rsidRPr="002E2079">
        <w:rPr>
          <w:rFonts w:eastAsia="Calibri" w:cs="Helvetica"/>
          <w:szCs w:val="22"/>
          <w:lang w:val="en-GB"/>
        </w:rPr>
        <w:t xml:space="preserve">Treggiari D, Piubelli C, Caldrer S, et al. </w:t>
      </w:r>
      <w:r w:rsidRPr="00891C92">
        <w:rPr>
          <w:rFonts w:eastAsia="Calibri" w:cs="Helvetica"/>
          <w:szCs w:val="22"/>
          <w:lang w:val="en-GB"/>
        </w:rPr>
        <w:t xml:space="preserve">SARS-CoV-2 rapid antigen test in comparison to RT-PCR targeting different genes: A real-life evaluation among unselected patients. </w:t>
      </w:r>
      <w:r w:rsidRPr="002E2079">
        <w:rPr>
          <w:rFonts w:eastAsia="Calibri" w:cs="Helvetica"/>
          <w:i/>
          <w:iCs/>
          <w:szCs w:val="22"/>
          <w:lang w:val="en-GB"/>
        </w:rPr>
        <w:t>J Med Virol</w:t>
      </w:r>
      <w:r w:rsidRPr="002E2079">
        <w:rPr>
          <w:rFonts w:eastAsia="Calibri" w:cs="Helvetica"/>
          <w:szCs w:val="22"/>
          <w:lang w:val="en-GB"/>
        </w:rPr>
        <w:t>. 2022;94:1190–5.</w:t>
      </w:r>
    </w:p>
    <w:p w:rsidR="00CE4103" w:rsidRPr="002E2079" w:rsidRDefault="00CE4103" w:rsidP="00CE4103">
      <w:pPr>
        <w:pStyle w:val="Reference"/>
        <w:numPr>
          <w:ilvl w:val="0"/>
          <w:numId w:val="0"/>
        </w:numPr>
        <w:rPr>
          <w:rFonts w:eastAsia="Calibri" w:cs="Helvetica"/>
          <w:szCs w:val="22"/>
          <w:lang w:val="en-GB"/>
        </w:rPr>
      </w:pPr>
      <w:r w:rsidRPr="002E2079">
        <w:rPr>
          <w:rFonts w:eastAsia="Calibri" w:cs="Helvetica"/>
          <w:b/>
          <w:bCs/>
          <w:szCs w:val="22"/>
          <w:lang w:val="en-GB"/>
        </w:rPr>
        <w:t>15.</w:t>
      </w:r>
      <w:r w:rsidRPr="002E2079">
        <w:rPr>
          <w:rFonts w:eastAsia="Calibri" w:cs="Helvetica"/>
          <w:szCs w:val="22"/>
          <w:lang w:val="en-GB"/>
        </w:rPr>
        <w:t xml:space="preserve"> Ngo Nsoga MT, Kronig I, Perez Rodriguez FJ, et al. </w:t>
      </w:r>
      <w:r w:rsidRPr="00891C92">
        <w:rPr>
          <w:rFonts w:eastAsia="Calibri" w:cs="Helvetica"/>
          <w:szCs w:val="22"/>
          <w:lang w:val="en-GB"/>
        </w:rPr>
        <w:t xml:space="preserve">Diagnostic accuracy of Panbio rapid antigen tests on oropharyngeal swabs for detection of SARS-CoV-2. </w:t>
      </w:r>
      <w:r w:rsidRPr="002E2079">
        <w:rPr>
          <w:rFonts w:eastAsia="Calibri" w:cs="Helvetica"/>
          <w:i/>
          <w:iCs/>
          <w:szCs w:val="22"/>
          <w:lang w:val="en-GB"/>
        </w:rPr>
        <w:t>PLoS One</w:t>
      </w:r>
      <w:r w:rsidRPr="002E2079">
        <w:rPr>
          <w:rFonts w:eastAsia="Calibri" w:cs="Helvetica"/>
          <w:szCs w:val="22"/>
          <w:lang w:val="en-GB"/>
        </w:rPr>
        <w:t>. 2021;16(6):e0253321.</w:t>
      </w:r>
    </w:p>
    <w:p w:rsidR="00CE4103" w:rsidRPr="002E2079" w:rsidRDefault="00CE4103" w:rsidP="00CE4103">
      <w:pPr>
        <w:pStyle w:val="Reference"/>
        <w:numPr>
          <w:ilvl w:val="0"/>
          <w:numId w:val="0"/>
        </w:numPr>
        <w:rPr>
          <w:rFonts w:eastAsia="Calibri" w:cs="Helvetica"/>
          <w:szCs w:val="22"/>
          <w:lang w:val="en-GB"/>
        </w:rPr>
      </w:pPr>
      <w:r w:rsidRPr="002E2079">
        <w:rPr>
          <w:rFonts w:eastAsia="Calibri" w:cs="Helvetica"/>
          <w:b/>
          <w:bCs/>
          <w:szCs w:val="22"/>
          <w:lang w:val="en-GB"/>
        </w:rPr>
        <w:t>16.</w:t>
      </w:r>
      <w:r w:rsidRPr="002E2079">
        <w:rPr>
          <w:rFonts w:eastAsia="Calibri" w:cs="Helvetica"/>
          <w:szCs w:val="22"/>
          <w:lang w:val="en-GB"/>
        </w:rPr>
        <w:t xml:space="preserve">Ashagre W, Atnafu A, Wassie L, et al. </w:t>
      </w:r>
      <w:r w:rsidRPr="00891C92">
        <w:rPr>
          <w:rFonts w:eastAsia="Calibri" w:cs="Helvetica"/>
          <w:szCs w:val="22"/>
          <w:lang w:val="en-GB"/>
        </w:rPr>
        <w:t xml:space="preserve">Evaluation of the diagnostic performance of Panbio™ Abbott SARS-CoV-2 rapid antigen test at ALERT center. </w:t>
      </w:r>
      <w:r w:rsidRPr="002E2079">
        <w:rPr>
          <w:rFonts w:eastAsia="Calibri" w:cs="Helvetica"/>
          <w:i/>
          <w:iCs/>
          <w:szCs w:val="22"/>
          <w:lang w:val="en-GB"/>
        </w:rPr>
        <w:t>PLoS One</w:t>
      </w:r>
      <w:r w:rsidRPr="002E2079">
        <w:rPr>
          <w:rFonts w:eastAsia="Calibri" w:cs="Helvetica"/>
          <w:szCs w:val="22"/>
          <w:lang w:val="en-GB"/>
        </w:rPr>
        <w:t>. 2022;17(11):e0277779.</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17.</w:t>
      </w:r>
      <w:r w:rsidRPr="00891C92">
        <w:rPr>
          <w:rFonts w:eastAsia="Calibri" w:cs="Helvetica"/>
          <w:szCs w:val="22"/>
          <w:lang w:val="en-GB"/>
        </w:rPr>
        <w:t xml:space="preserve">Dinnes J, Deeks JJ, Berhane S, et al. Rapid point-of-care antigen and molecular-based tests for diagnosis of SARS-CoV-2 infection. </w:t>
      </w:r>
      <w:r w:rsidRPr="002E2079">
        <w:rPr>
          <w:rFonts w:eastAsia="Calibri" w:cs="Helvetica"/>
          <w:i/>
          <w:iCs/>
          <w:szCs w:val="22"/>
          <w:lang w:val="en-GB"/>
        </w:rPr>
        <w:t>Cochrane Database Syst Rev</w:t>
      </w:r>
      <w:r w:rsidRPr="002E2079">
        <w:rPr>
          <w:rFonts w:eastAsia="Calibri" w:cs="Helvetica"/>
          <w:szCs w:val="22"/>
          <w:lang w:val="en-GB"/>
        </w:rPr>
        <w:t>. 2021;3:CD013705.</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18.</w:t>
      </w:r>
      <w:r w:rsidRPr="00891C92">
        <w:rPr>
          <w:rFonts w:eastAsia="Calibri" w:cs="Helvetica"/>
          <w:szCs w:val="22"/>
          <w:lang w:val="en-GB"/>
        </w:rPr>
        <w:t xml:space="preserve"> Al Bayat S, Mundodan J, Hasnain S, et al. Can the cycle threshold (Ct) value of RT-PCR predict infectivity among close contacts? </w:t>
      </w:r>
      <w:r w:rsidRPr="002E2079">
        <w:rPr>
          <w:rFonts w:eastAsia="Calibri" w:cs="Helvetica"/>
          <w:i/>
          <w:iCs/>
          <w:szCs w:val="22"/>
          <w:lang w:val="en-GB"/>
        </w:rPr>
        <w:t>J Infect Public Health</w:t>
      </w:r>
      <w:r w:rsidRPr="002E2079">
        <w:rPr>
          <w:rFonts w:eastAsia="Calibri" w:cs="Helvetica"/>
          <w:szCs w:val="22"/>
          <w:lang w:val="en-GB"/>
        </w:rPr>
        <w:t>. 2021;14(9):1201–5.</w:t>
      </w:r>
    </w:p>
    <w:p w:rsidR="00CE4103" w:rsidRPr="002E2079" w:rsidRDefault="00CE4103" w:rsidP="00CE4103">
      <w:pPr>
        <w:pStyle w:val="Reference"/>
        <w:numPr>
          <w:ilvl w:val="0"/>
          <w:numId w:val="0"/>
        </w:numPr>
        <w:rPr>
          <w:rFonts w:eastAsia="Calibri" w:cs="Helvetica"/>
          <w:szCs w:val="22"/>
          <w:lang w:val="en-GB"/>
        </w:rPr>
      </w:pPr>
      <w:r w:rsidRPr="002E2079">
        <w:rPr>
          <w:rFonts w:eastAsia="Calibri" w:cs="Helvetica"/>
          <w:b/>
          <w:bCs/>
          <w:szCs w:val="22"/>
          <w:lang w:val="en-GB"/>
        </w:rPr>
        <w:t>19.</w:t>
      </w:r>
      <w:r w:rsidRPr="002E2079">
        <w:rPr>
          <w:rFonts w:eastAsia="Calibri" w:cs="Helvetica"/>
          <w:szCs w:val="22"/>
          <w:lang w:val="en-GB"/>
        </w:rPr>
        <w:t xml:space="preserve">Sitoe N, Sambo J, Nguenha N, et al. </w:t>
      </w:r>
      <w:r w:rsidRPr="00891C92">
        <w:rPr>
          <w:rFonts w:eastAsia="Calibri" w:cs="Helvetica"/>
          <w:szCs w:val="22"/>
          <w:lang w:val="en-GB"/>
        </w:rPr>
        <w:t xml:space="preserve">Performance evaluation of the STANDARD™ Q COVID-19 and Panbio™ COVID-19 antigen tests in Mozambique. </w:t>
      </w:r>
      <w:r w:rsidRPr="002E2079">
        <w:rPr>
          <w:rFonts w:eastAsia="Calibri" w:cs="Helvetica"/>
          <w:i/>
          <w:iCs/>
          <w:szCs w:val="22"/>
          <w:lang w:val="en-GB"/>
        </w:rPr>
        <w:t>Diagnostics</w:t>
      </w:r>
      <w:r w:rsidRPr="002E2079">
        <w:rPr>
          <w:rFonts w:eastAsia="Calibri" w:cs="Helvetica"/>
          <w:szCs w:val="22"/>
          <w:lang w:val="en-GB"/>
        </w:rPr>
        <w:t>. 2022;12(2):475.</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20.</w:t>
      </w:r>
      <w:r w:rsidRPr="00891C92">
        <w:rPr>
          <w:rFonts w:eastAsia="Calibri" w:cs="Helvetica"/>
          <w:szCs w:val="22"/>
          <w:lang w:val="en-GB"/>
        </w:rPr>
        <w:t xml:space="preserve"> Dong L, Li WF, Jiang Y. Performance evaluation of antigen detection rapid diagnostic test (Ag-RDT) during Shanghai quarantine. </w:t>
      </w:r>
      <w:r w:rsidRPr="00891C92">
        <w:rPr>
          <w:rFonts w:eastAsia="Calibri" w:cs="Helvetica"/>
          <w:i/>
          <w:iCs/>
          <w:szCs w:val="22"/>
          <w:lang w:val="fr-FR"/>
        </w:rPr>
        <w:t>Virol J</w:t>
      </w:r>
      <w:r w:rsidRPr="00891C92">
        <w:rPr>
          <w:rFonts w:eastAsia="Calibri" w:cs="Helvetica"/>
          <w:szCs w:val="22"/>
          <w:lang w:val="fr-FR"/>
        </w:rPr>
        <w:t>. 2022;19:140.</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fr-FR"/>
        </w:rPr>
        <w:t>21.</w:t>
      </w:r>
      <w:r w:rsidRPr="00891C92">
        <w:rPr>
          <w:rFonts w:eastAsia="Calibri" w:cs="Helvetica"/>
          <w:szCs w:val="22"/>
          <w:lang w:val="fr-FR"/>
        </w:rPr>
        <w:t xml:space="preserve">Irungu JK, Munyua P, Ochieng C, et al. </w:t>
      </w:r>
      <w:r w:rsidRPr="00891C92">
        <w:rPr>
          <w:rFonts w:eastAsia="Calibri" w:cs="Helvetica"/>
          <w:szCs w:val="22"/>
          <w:lang w:val="en-GB"/>
        </w:rPr>
        <w:t xml:space="preserve">Diagnostic accuracy of the Panbio COVID-19 antigen rapid test device in Kenya: a field evaluation. </w:t>
      </w:r>
      <w:r w:rsidRPr="002E2079">
        <w:rPr>
          <w:rFonts w:eastAsia="Calibri" w:cs="Helvetica"/>
          <w:i/>
          <w:iCs/>
          <w:szCs w:val="22"/>
          <w:lang w:val="en-GB"/>
        </w:rPr>
        <w:t>PLoS One</w:t>
      </w:r>
      <w:r w:rsidRPr="002E2079">
        <w:rPr>
          <w:rFonts w:eastAsia="Calibri" w:cs="Helvetica"/>
          <w:szCs w:val="22"/>
          <w:lang w:val="en-GB"/>
        </w:rPr>
        <w:t>. 2023;18(1):e0277657.</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en-GB"/>
        </w:rPr>
        <w:t>22.</w:t>
      </w:r>
      <w:r w:rsidRPr="00891C92">
        <w:rPr>
          <w:rFonts w:eastAsia="Calibri" w:cs="Helvetica"/>
          <w:szCs w:val="22"/>
          <w:lang w:val="en-GB"/>
        </w:rPr>
        <w:t xml:space="preserve">Eleftheriou I, Dasoula F, Dimopoulou D, et al. Real-life evaluation of a COVID-19 antigen detection test in hospitalized children. </w:t>
      </w:r>
      <w:r w:rsidRPr="002E2079">
        <w:rPr>
          <w:rFonts w:eastAsia="Calibri" w:cs="Helvetica"/>
          <w:i/>
          <w:iCs/>
          <w:szCs w:val="22"/>
          <w:lang w:val="en-GB"/>
        </w:rPr>
        <w:t>J Med Virol</w:t>
      </w:r>
      <w:r w:rsidRPr="002E2079">
        <w:rPr>
          <w:rFonts w:eastAsia="Calibri" w:cs="Helvetica"/>
          <w:szCs w:val="22"/>
          <w:lang w:val="en-GB"/>
        </w:rPr>
        <w:t>. 2021;93(10):6040–4.</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en-GB"/>
        </w:rPr>
        <w:t>23.</w:t>
      </w:r>
      <w:r w:rsidRPr="00891C92">
        <w:rPr>
          <w:rFonts w:eastAsia="Calibri" w:cs="Helvetica"/>
          <w:szCs w:val="22"/>
          <w:lang w:val="en-GB"/>
        </w:rPr>
        <w:t xml:space="preserve">Sisay A, Hartnack S, Tiruneh A, et al. Diagnostic accuracy of Panbio™ test and RT-PCR for SARS-CoV-2 using Bayesian latent-class models. </w:t>
      </w:r>
      <w:r w:rsidRPr="00891C92">
        <w:rPr>
          <w:rFonts w:eastAsia="Calibri" w:cs="Helvetica"/>
          <w:i/>
          <w:iCs/>
          <w:szCs w:val="22"/>
          <w:lang w:val="fr-FR"/>
        </w:rPr>
        <w:t>PLoS One</w:t>
      </w:r>
      <w:r w:rsidRPr="00891C92">
        <w:rPr>
          <w:rFonts w:eastAsia="Calibri" w:cs="Helvetica"/>
          <w:szCs w:val="22"/>
          <w:lang w:val="fr-FR"/>
        </w:rPr>
        <w:t>. 2022;17(10):e0268160.</w:t>
      </w:r>
    </w:p>
    <w:p w:rsidR="00CE4103" w:rsidRPr="00891C92" w:rsidRDefault="00CE4103" w:rsidP="00CE4103">
      <w:pPr>
        <w:pStyle w:val="Reference"/>
        <w:numPr>
          <w:ilvl w:val="0"/>
          <w:numId w:val="0"/>
        </w:numPr>
        <w:rPr>
          <w:rFonts w:eastAsia="Calibri" w:cs="Helvetica"/>
          <w:szCs w:val="22"/>
          <w:lang w:val="fr-FR"/>
        </w:rPr>
      </w:pPr>
      <w:r w:rsidRPr="00891C92">
        <w:rPr>
          <w:rFonts w:eastAsia="Calibri" w:cs="Helvetica"/>
          <w:b/>
          <w:bCs/>
          <w:szCs w:val="22"/>
          <w:lang w:val="fr-FR"/>
        </w:rPr>
        <w:lastRenderedPageBreak/>
        <w:t>24.</w:t>
      </w:r>
      <w:r w:rsidRPr="00891C92">
        <w:rPr>
          <w:rFonts w:eastAsia="Calibri" w:cs="Helvetica"/>
          <w:szCs w:val="22"/>
          <w:lang w:val="fr-FR"/>
        </w:rPr>
        <w:t xml:space="preserve">Zuin M, Gentili V, Cervellati C, et al. </w:t>
      </w:r>
      <w:r w:rsidRPr="00891C92">
        <w:rPr>
          <w:rFonts w:eastAsia="Calibri" w:cs="Helvetica"/>
          <w:szCs w:val="22"/>
          <w:lang w:val="en-GB"/>
        </w:rPr>
        <w:t xml:space="preserve">Viral load difference between symptomatic and asymptomatic COVID-19 patients: systematic review and meta-analysis. </w:t>
      </w:r>
      <w:r w:rsidRPr="00891C92">
        <w:rPr>
          <w:rFonts w:eastAsia="Calibri" w:cs="Helvetica"/>
          <w:i/>
          <w:iCs/>
          <w:szCs w:val="22"/>
          <w:lang w:val="fr-FR"/>
        </w:rPr>
        <w:t>Infect Dis Rep</w:t>
      </w:r>
      <w:r w:rsidRPr="00891C92">
        <w:rPr>
          <w:rFonts w:eastAsia="Calibri" w:cs="Helvetica"/>
          <w:szCs w:val="22"/>
          <w:lang w:val="fr-FR"/>
        </w:rPr>
        <w:t>. 2021;13(3):645–53.</w:t>
      </w:r>
    </w:p>
    <w:p w:rsidR="00CE4103" w:rsidRPr="002E2079" w:rsidRDefault="00CE4103" w:rsidP="00CE4103">
      <w:pPr>
        <w:pStyle w:val="Reference"/>
        <w:numPr>
          <w:ilvl w:val="0"/>
          <w:numId w:val="0"/>
        </w:numPr>
        <w:rPr>
          <w:rFonts w:eastAsia="Calibri" w:cs="Helvetica"/>
          <w:szCs w:val="22"/>
          <w:lang w:val="en-GB"/>
        </w:rPr>
      </w:pPr>
      <w:r w:rsidRPr="00891C92">
        <w:rPr>
          <w:rFonts w:eastAsia="Calibri" w:cs="Helvetica"/>
          <w:b/>
          <w:bCs/>
          <w:szCs w:val="22"/>
          <w:lang w:val="fr-FR"/>
        </w:rPr>
        <w:t>25.</w:t>
      </w:r>
      <w:r w:rsidRPr="00891C92">
        <w:rPr>
          <w:rFonts w:eastAsia="Calibri" w:cs="Helvetica"/>
          <w:szCs w:val="22"/>
          <w:lang w:val="fr-FR"/>
        </w:rPr>
        <w:t xml:space="preserve"> Bourassa L, Perchetti GA, Phung Q, et al. </w:t>
      </w:r>
      <w:r w:rsidRPr="00891C92">
        <w:rPr>
          <w:rFonts w:eastAsia="Calibri" w:cs="Helvetica"/>
          <w:szCs w:val="22"/>
          <w:lang w:val="en-GB"/>
        </w:rPr>
        <w:t xml:space="preserve">A SARS-CoV-2 nucleocapsid variant affecting antigen test performance. </w:t>
      </w:r>
      <w:r w:rsidRPr="002E2079">
        <w:rPr>
          <w:rFonts w:eastAsia="Calibri" w:cs="Helvetica"/>
          <w:i/>
          <w:iCs/>
          <w:szCs w:val="22"/>
          <w:lang w:val="en-GB"/>
        </w:rPr>
        <w:t>J Clin Virol</w:t>
      </w:r>
      <w:r w:rsidRPr="002E2079">
        <w:rPr>
          <w:rFonts w:eastAsia="Calibri" w:cs="Helvetica"/>
          <w:szCs w:val="22"/>
          <w:lang w:val="en-GB"/>
        </w:rPr>
        <w:t>. 2021;141:104900.</w:t>
      </w:r>
    </w:p>
    <w:p w:rsidR="00B01FCD" w:rsidRDefault="00CE4103" w:rsidP="00780284">
      <w:pPr>
        <w:pStyle w:val="Reference"/>
        <w:numPr>
          <w:ilvl w:val="0"/>
          <w:numId w:val="0"/>
        </w:numPr>
        <w:rPr>
          <w:rStyle w:val="Hyperlink"/>
          <w:rFonts w:eastAsia="Calibri" w:cs="Helvetica"/>
          <w:szCs w:val="22"/>
          <w:lang w:val="en-GB"/>
        </w:rPr>
      </w:pPr>
      <w:r w:rsidRPr="00891C92">
        <w:rPr>
          <w:rFonts w:eastAsia="Calibri" w:cs="Helvetica"/>
          <w:b/>
          <w:bCs/>
          <w:szCs w:val="22"/>
          <w:lang w:val="en-GB"/>
        </w:rPr>
        <w:t>26.</w:t>
      </w:r>
      <w:r w:rsidRPr="00891C92">
        <w:rPr>
          <w:rFonts w:eastAsia="Calibri" w:cs="Helvetica"/>
          <w:szCs w:val="22"/>
          <w:lang w:val="en-GB"/>
        </w:rPr>
        <w:t xml:space="preserve"> FIND. SARS-CoV-2 molecular assay evaluation: Results. 2020. Available from: </w:t>
      </w:r>
      <w:hyperlink r:id="rId17" w:tgtFrame="_new" w:history="1">
        <w:r w:rsidRPr="00891C92">
          <w:rPr>
            <w:rStyle w:val="Hyperlink"/>
            <w:rFonts w:eastAsia="Calibri" w:cs="Helvetica"/>
            <w:szCs w:val="22"/>
            <w:lang w:val="en-GB"/>
          </w:rPr>
          <w:t>https://www.finddx.org/covid19/</w:t>
        </w:r>
      </w:hyperlink>
    </w:p>
    <w:p w:rsidR="009A69CE" w:rsidRPr="002E2079" w:rsidRDefault="009A69CE" w:rsidP="00780284">
      <w:pPr>
        <w:pStyle w:val="Reference"/>
        <w:numPr>
          <w:ilvl w:val="0"/>
          <w:numId w:val="0"/>
        </w:numPr>
      </w:pPr>
      <w:r w:rsidRPr="002E2079">
        <w:rPr>
          <w:rStyle w:val="Hyperlink"/>
          <w:rFonts w:eastAsia="Calibri" w:cs="Helvetica"/>
          <w:b/>
          <w:color w:val="auto"/>
          <w:szCs w:val="22"/>
          <w:u w:val="none"/>
          <w:lang w:val="en-GB"/>
        </w:rPr>
        <w:t>27</w:t>
      </w:r>
      <w:r>
        <w:rPr>
          <w:rStyle w:val="Hyperlink"/>
          <w:rFonts w:eastAsia="Calibri" w:cs="Helvetica"/>
          <w:b/>
          <w:szCs w:val="22"/>
          <w:u w:val="none"/>
          <w:lang w:val="en-GB"/>
        </w:rPr>
        <w:t>.</w:t>
      </w:r>
      <w:r>
        <w:t xml:space="preserve">Bullard J, Dust K, Funk D, et al. </w:t>
      </w:r>
      <w:r>
        <w:rPr>
          <w:rStyle w:val="Emphasis"/>
        </w:rPr>
        <w:t>Predicting infectious SARS-CoV-2 from diagnostic samples.</w:t>
      </w:r>
      <w:r>
        <w:t xml:space="preserve"> Clin Infect Dis. 2020;71(10):2663–2666.</w:t>
      </w:r>
    </w:p>
    <w:sectPr w:rsidR="009A69CE" w:rsidRPr="002E2079" w:rsidSect="006D6946">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C07" w:rsidRDefault="00F64C07" w:rsidP="00C37E61">
      <w:r>
        <w:separator/>
      </w:r>
    </w:p>
  </w:endnote>
  <w:endnote w:type="continuationSeparator" w:id="1">
    <w:p w:rsidR="00F64C07" w:rsidRDefault="00F64C07"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76" w:rsidRDefault="00032C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76" w:rsidRPr="00594692" w:rsidRDefault="00032C76" w:rsidP="005946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76" w:rsidRPr="006D6946" w:rsidRDefault="00032C76" w:rsidP="006D6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C07" w:rsidRDefault="00F64C07" w:rsidP="00C37E61">
      <w:r>
        <w:separator/>
      </w:r>
    </w:p>
  </w:footnote>
  <w:footnote w:type="continuationSeparator" w:id="1">
    <w:p w:rsidR="00F64C07" w:rsidRDefault="00F64C07"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76" w:rsidRDefault="007379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6001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76" w:rsidRDefault="007379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6001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C76" w:rsidRPr="00296529" w:rsidRDefault="00737983" w:rsidP="00296529">
    <w:pPr>
      <w:ind w:left="2160"/>
      <w:jc w:val="center"/>
      <w:rPr>
        <w:rFonts w:ascii="Times New Roman" w:eastAsia="Calibri" w:hAnsi="Times New Roman"/>
        <w:i/>
        <w:sz w:val="18"/>
        <w:szCs w:val="22"/>
      </w:rPr>
    </w:pPr>
    <w:r w:rsidRPr="0073798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96001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032C76" w:rsidRPr="00296529" w:rsidRDefault="00032C76" w:rsidP="00296529">
    <w:pPr>
      <w:ind w:left="4320"/>
      <w:rPr>
        <w:rFonts w:ascii="Times New Roman" w:eastAsia="Calibri" w:hAnsi="Times New Roman"/>
        <w:i/>
        <w:sz w:val="18"/>
        <w:szCs w:val="22"/>
      </w:rPr>
    </w:pPr>
    <w:r>
      <w:rPr>
        <w:rFonts w:ascii="Times New Roman" w:eastAsia="Calibri" w:hAnsi="Times New Roman"/>
        <w:i/>
        <w:sz w:val="18"/>
        <w:szCs w:val="22"/>
      </w:rPr>
      <w:t>.</w:t>
    </w:r>
  </w:p>
  <w:p w:rsidR="00032C76" w:rsidRPr="00296529" w:rsidRDefault="00032C76" w:rsidP="00296529">
    <w:pPr>
      <w:jc w:val="center"/>
      <w:rPr>
        <w:rFonts w:ascii="Times New Roman" w:eastAsia="Calibri" w:hAnsi="Times New Roman"/>
        <w:i/>
        <w:sz w:val="18"/>
        <w:szCs w:val="22"/>
      </w:rPr>
    </w:pPr>
    <w:r>
      <w:rPr>
        <w:rFonts w:ascii="Times New Roman" w:eastAsia="Calibri" w:hAnsi="Times New Roman"/>
        <w:i/>
        <w:sz w:val="18"/>
        <w:szCs w:val="22"/>
      </w:rPr>
      <w:t>.</w:t>
    </w:r>
  </w:p>
  <w:p w:rsidR="00032C76" w:rsidRPr="00296529" w:rsidRDefault="00032C76"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032C76" w:rsidRDefault="00032C76" w:rsidP="00296529">
    <w:pPr>
      <w:jc w:val="center"/>
      <w:rPr>
        <w:rFonts w:ascii="Times New Roman" w:eastAsia="Calibri" w:hAnsi="Times New Roman"/>
        <w:i/>
        <w:sz w:val="18"/>
        <w:szCs w:val="22"/>
      </w:rPr>
    </w:pPr>
  </w:p>
  <w:p w:rsidR="00032C76" w:rsidRDefault="00032C7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32C76" w:rsidRDefault="00032C76">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AA6219"/>
    <w:rsid w:val="00000F8F"/>
    <w:rsid w:val="00030174"/>
    <w:rsid w:val="00032C76"/>
    <w:rsid w:val="0004579C"/>
    <w:rsid w:val="00052CBC"/>
    <w:rsid w:val="000A47FA"/>
    <w:rsid w:val="000A65D3"/>
    <w:rsid w:val="000B1E33"/>
    <w:rsid w:val="000C27A4"/>
    <w:rsid w:val="000D26E5"/>
    <w:rsid w:val="000D689F"/>
    <w:rsid w:val="000E7B7B"/>
    <w:rsid w:val="000E7D62"/>
    <w:rsid w:val="00103357"/>
    <w:rsid w:val="00123C9F"/>
    <w:rsid w:val="00126190"/>
    <w:rsid w:val="00130F17"/>
    <w:rsid w:val="001320BF"/>
    <w:rsid w:val="001333F6"/>
    <w:rsid w:val="001547F1"/>
    <w:rsid w:val="00163BC4"/>
    <w:rsid w:val="00190F3D"/>
    <w:rsid w:val="00191062"/>
    <w:rsid w:val="00192B72"/>
    <w:rsid w:val="001A29D8"/>
    <w:rsid w:val="001A5CAA"/>
    <w:rsid w:val="001B0427"/>
    <w:rsid w:val="001D0AB8"/>
    <w:rsid w:val="001D3A51"/>
    <w:rsid w:val="001E10D2"/>
    <w:rsid w:val="001E25B4"/>
    <w:rsid w:val="001E3ED5"/>
    <w:rsid w:val="001E44FE"/>
    <w:rsid w:val="00200595"/>
    <w:rsid w:val="00204835"/>
    <w:rsid w:val="00231920"/>
    <w:rsid w:val="0023195C"/>
    <w:rsid w:val="0024282C"/>
    <w:rsid w:val="0024598A"/>
    <w:rsid w:val="002460DC"/>
    <w:rsid w:val="00250985"/>
    <w:rsid w:val="002556F6"/>
    <w:rsid w:val="00283105"/>
    <w:rsid w:val="00284C4C"/>
    <w:rsid w:val="00287E68"/>
    <w:rsid w:val="00292FB1"/>
    <w:rsid w:val="00294F12"/>
    <w:rsid w:val="00296529"/>
    <w:rsid w:val="002B27FB"/>
    <w:rsid w:val="002B685A"/>
    <w:rsid w:val="002C57D2"/>
    <w:rsid w:val="002E0D56"/>
    <w:rsid w:val="002E2079"/>
    <w:rsid w:val="002E6A8C"/>
    <w:rsid w:val="00315186"/>
    <w:rsid w:val="00317517"/>
    <w:rsid w:val="0033343E"/>
    <w:rsid w:val="003512C2"/>
    <w:rsid w:val="003652D8"/>
    <w:rsid w:val="00371FB6"/>
    <w:rsid w:val="003763C1"/>
    <w:rsid w:val="00376BBE"/>
    <w:rsid w:val="0039224F"/>
    <w:rsid w:val="003A221A"/>
    <w:rsid w:val="003A43A4"/>
    <w:rsid w:val="003A7E18"/>
    <w:rsid w:val="003C4C86"/>
    <w:rsid w:val="003C6258"/>
    <w:rsid w:val="003E2904"/>
    <w:rsid w:val="00401927"/>
    <w:rsid w:val="004047CA"/>
    <w:rsid w:val="0041027F"/>
    <w:rsid w:val="00412475"/>
    <w:rsid w:val="00423789"/>
    <w:rsid w:val="00440F43"/>
    <w:rsid w:val="00441B6F"/>
    <w:rsid w:val="00446221"/>
    <w:rsid w:val="00450E62"/>
    <w:rsid w:val="004539DB"/>
    <w:rsid w:val="00471004"/>
    <w:rsid w:val="00471A80"/>
    <w:rsid w:val="00485240"/>
    <w:rsid w:val="0049348F"/>
    <w:rsid w:val="004D305E"/>
    <w:rsid w:val="004D4277"/>
    <w:rsid w:val="004E3F96"/>
    <w:rsid w:val="004E730B"/>
    <w:rsid w:val="00502516"/>
    <w:rsid w:val="00505F06"/>
    <w:rsid w:val="00506828"/>
    <w:rsid w:val="0053056E"/>
    <w:rsid w:val="005329B8"/>
    <w:rsid w:val="00554FDA"/>
    <w:rsid w:val="00594593"/>
    <w:rsid w:val="00594692"/>
    <w:rsid w:val="005C784C"/>
    <w:rsid w:val="005D17F6"/>
    <w:rsid w:val="005E5539"/>
    <w:rsid w:val="00600838"/>
    <w:rsid w:val="00602BF5"/>
    <w:rsid w:val="00617FDD"/>
    <w:rsid w:val="00633614"/>
    <w:rsid w:val="00633F68"/>
    <w:rsid w:val="00636EB2"/>
    <w:rsid w:val="006375B8"/>
    <w:rsid w:val="00663961"/>
    <w:rsid w:val="0066510A"/>
    <w:rsid w:val="0066740E"/>
    <w:rsid w:val="00673F9F"/>
    <w:rsid w:val="00686953"/>
    <w:rsid w:val="00687DEA"/>
    <w:rsid w:val="00687E67"/>
    <w:rsid w:val="006967F7"/>
    <w:rsid w:val="006A250C"/>
    <w:rsid w:val="006B21D3"/>
    <w:rsid w:val="006B57D0"/>
    <w:rsid w:val="006D30FF"/>
    <w:rsid w:val="006D6940"/>
    <w:rsid w:val="006D6946"/>
    <w:rsid w:val="006F11EC"/>
    <w:rsid w:val="0070082C"/>
    <w:rsid w:val="007369E6"/>
    <w:rsid w:val="00737983"/>
    <w:rsid w:val="00746E59"/>
    <w:rsid w:val="00754C9A"/>
    <w:rsid w:val="0075599A"/>
    <w:rsid w:val="00761D52"/>
    <w:rsid w:val="0077749E"/>
    <w:rsid w:val="00780284"/>
    <w:rsid w:val="007901DD"/>
    <w:rsid w:val="00790ADA"/>
    <w:rsid w:val="007D2288"/>
    <w:rsid w:val="007D29D0"/>
    <w:rsid w:val="007E088F"/>
    <w:rsid w:val="007F7B32"/>
    <w:rsid w:val="00804BC2"/>
    <w:rsid w:val="0081431A"/>
    <w:rsid w:val="0083216F"/>
    <w:rsid w:val="00835863"/>
    <w:rsid w:val="00836551"/>
    <w:rsid w:val="00860000"/>
    <w:rsid w:val="00863BD3"/>
    <w:rsid w:val="008641ED"/>
    <w:rsid w:val="00866D66"/>
    <w:rsid w:val="008671C6"/>
    <w:rsid w:val="00875803"/>
    <w:rsid w:val="00891C92"/>
    <w:rsid w:val="008A6EC3"/>
    <w:rsid w:val="008B459E"/>
    <w:rsid w:val="008C20BA"/>
    <w:rsid w:val="008D795A"/>
    <w:rsid w:val="008E13AE"/>
    <w:rsid w:val="008E1506"/>
    <w:rsid w:val="008E710C"/>
    <w:rsid w:val="008F0EB0"/>
    <w:rsid w:val="008F69D6"/>
    <w:rsid w:val="00902823"/>
    <w:rsid w:val="00913367"/>
    <w:rsid w:val="00915733"/>
    <w:rsid w:val="00915CA6"/>
    <w:rsid w:val="00927834"/>
    <w:rsid w:val="00944BEB"/>
    <w:rsid w:val="009500A6"/>
    <w:rsid w:val="00957C18"/>
    <w:rsid w:val="009659BA"/>
    <w:rsid w:val="00983040"/>
    <w:rsid w:val="009A69CE"/>
    <w:rsid w:val="009B20A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6069"/>
    <w:rsid w:val="00A94063"/>
    <w:rsid w:val="00AA6219"/>
    <w:rsid w:val="00AA74E0"/>
    <w:rsid w:val="00AB703F"/>
    <w:rsid w:val="00AC6BB8"/>
    <w:rsid w:val="00AE008F"/>
    <w:rsid w:val="00AE769B"/>
    <w:rsid w:val="00B01FCD"/>
    <w:rsid w:val="00B1776C"/>
    <w:rsid w:val="00B52583"/>
    <w:rsid w:val="00B52896"/>
    <w:rsid w:val="00B54EBD"/>
    <w:rsid w:val="00B95236"/>
    <w:rsid w:val="00B96BD9"/>
    <w:rsid w:val="00BA1B01"/>
    <w:rsid w:val="00BA2641"/>
    <w:rsid w:val="00BB37AA"/>
    <w:rsid w:val="00BB62B3"/>
    <w:rsid w:val="00BC53A0"/>
    <w:rsid w:val="00BE62AD"/>
    <w:rsid w:val="00BF121F"/>
    <w:rsid w:val="00BF1F80"/>
    <w:rsid w:val="00BF504E"/>
    <w:rsid w:val="00C166EF"/>
    <w:rsid w:val="00C17EB0"/>
    <w:rsid w:val="00C27F5F"/>
    <w:rsid w:val="00C30A0F"/>
    <w:rsid w:val="00C37C2E"/>
    <w:rsid w:val="00C37E61"/>
    <w:rsid w:val="00C4269C"/>
    <w:rsid w:val="00C70F1B"/>
    <w:rsid w:val="00C71A47"/>
    <w:rsid w:val="00C73332"/>
    <w:rsid w:val="00C7464C"/>
    <w:rsid w:val="00C85588"/>
    <w:rsid w:val="00C93A30"/>
    <w:rsid w:val="00CD6755"/>
    <w:rsid w:val="00CD6856"/>
    <w:rsid w:val="00CE0089"/>
    <w:rsid w:val="00CE4103"/>
    <w:rsid w:val="00CE793C"/>
    <w:rsid w:val="00CF193C"/>
    <w:rsid w:val="00D00568"/>
    <w:rsid w:val="00D173F1"/>
    <w:rsid w:val="00D42EBC"/>
    <w:rsid w:val="00D6304D"/>
    <w:rsid w:val="00D7440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2835"/>
    <w:rsid w:val="00E769F6"/>
    <w:rsid w:val="00E8407C"/>
    <w:rsid w:val="00E84F3C"/>
    <w:rsid w:val="00E92836"/>
    <w:rsid w:val="00E972EA"/>
    <w:rsid w:val="00EA012C"/>
    <w:rsid w:val="00EC6A55"/>
    <w:rsid w:val="00ED0288"/>
    <w:rsid w:val="00EE52CB"/>
    <w:rsid w:val="00EF581D"/>
    <w:rsid w:val="00EF7FD8"/>
    <w:rsid w:val="00F06F59"/>
    <w:rsid w:val="00F17988"/>
    <w:rsid w:val="00F469F0"/>
    <w:rsid w:val="00F53273"/>
    <w:rsid w:val="00F57241"/>
    <w:rsid w:val="00F64C07"/>
    <w:rsid w:val="00F755E4"/>
    <w:rsid w:val="00F77D02"/>
    <w:rsid w:val="00F81A9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C37C2E"/>
    <w:rPr>
      <w:b/>
      <w:bCs/>
    </w:rPr>
  </w:style>
  <w:style w:type="paragraph" w:styleId="NormalWeb">
    <w:name w:val="Normal (Web)"/>
    <w:basedOn w:val="Normal"/>
    <w:semiHidden/>
    <w:unhideWhenUsed/>
    <w:rsid w:val="00915733"/>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59469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052978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409353">
      <w:bodyDiv w:val="1"/>
      <w:marLeft w:val="0"/>
      <w:marRight w:val="0"/>
      <w:marTop w:val="0"/>
      <w:marBottom w:val="0"/>
      <w:divBdr>
        <w:top w:val="none" w:sz="0" w:space="0" w:color="auto"/>
        <w:left w:val="none" w:sz="0" w:space="0" w:color="auto"/>
        <w:bottom w:val="none" w:sz="0" w:space="0" w:color="auto"/>
        <w:right w:val="none" w:sz="0" w:space="0" w:color="auto"/>
      </w:divBdr>
    </w:div>
    <w:div w:id="4778426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inddx.org/covid19/" TargetMode="External"/><Relationship Id="rId2" Type="http://schemas.openxmlformats.org/officeDocument/2006/relationships/numbering" Target="numbering.xml"/><Relationship Id="rId16" Type="http://schemas.openxmlformats.org/officeDocument/2006/relationships/hyperlink" Target="https://www.who.int/countries/ga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vid19.who.in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icrobeonline.com/understanding-cycle-threshold-ct-in-sars-cov-2-rt-pc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9F13-ADF8-450A-B8E9-72D6271E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3286</TotalTime>
  <Pages>10</Pages>
  <Words>4517</Words>
  <Characters>25750</Characters>
  <Application>Microsoft Office Word</Application>
  <DocSecurity>0</DocSecurity>
  <Lines>214</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30207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user</cp:lastModifiedBy>
  <cp:revision>22</cp:revision>
  <cp:lastPrinted>1999-07-06T11:00:00Z</cp:lastPrinted>
  <dcterms:created xsi:type="dcterms:W3CDTF">2014-10-25T14:34:00Z</dcterms:created>
  <dcterms:modified xsi:type="dcterms:W3CDTF">2025-12-15T08:26:00Z</dcterms:modified>
</cp:coreProperties>
</file>