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FCCBA" w14:textId="633C91F0" w:rsidR="00546CBC" w:rsidRDefault="004C6920" w:rsidP="00742DD6">
      <w:pPr>
        <w:pStyle w:val="Author"/>
        <w:spacing w:line="240" w:lineRule="auto"/>
        <w:rPr>
          <w:rFonts w:cs="Arial"/>
          <w:bCs/>
          <w:iCs/>
          <w:kern w:val="28"/>
          <w:sz w:val="32"/>
          <w:szCs w:val="32"/>
        </w:rPr>
      </w:pPr>
      <w:r w:rsidRPr="00562362">
        <w:rPr>
          <w:noProof/>
          <w:sz w:val="32"/>
          <w:szCs w:val="32"/>
          <w:highlight w:val="yellow"/>
          <w:lang w:val="fr-FR" w:eastAsia="fr-FR"/>
        </w:rPr>
        <mc:AlternateContent>
          <mc:Choice Requires="wps">
            <w:drawing>
              <wp:anchor distT="0" distB="0" distL="114300" distR="114300" simplePos="0" relativeHeight="251658752" behindDoc="0" locked="0" layoutInCell="1" allowOverlap="1" wp14:anchorId="56533F54" wp14:editId="7164A05C">
                <wp:simplePos x="0" y="0"/>
                <wp:positionH relativeFrom="column">
                  <wp:posOffset>0</wp:posOffset>
                </wp:positionH>
                <wp:positionV relativeFrom="paragraph">
                  <wp:posOffset>-582930</wp:posOffset>
                </wp:positionV>
                <wp:extent cx="1828800" cy="1828800"/>
                <wp:effectExtent l="0" t="0" r="0" b="0"/>
                <wp:wrapSquare wrapText="bothSides"/>
                <wp:docPr id="1280967142"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15A6B6B" w14:textId="77777777" w:rsidR="00AD4BEE" w:rsidRPr="002E2052" w:rsidRDefault="00AD4BEE" w:rsidP="00E466A0">
                            <w:pPr>
                              <w:pStyle w:val="Affiliation"/>
                              <w:spacing w:after="0" w:line="240" w:lineRule="auto"/>
                              <w:rPr>
                                <w:rFonts w:cs="Arial"/>
                                <w:b/>
                                <w:bCs/>
                                <w:i/>
                                <w:iCs/>
                              </w:rPr>
                            </w:pPr>
                            <w:r w:rsidRPr="002E2052">
                              <w:rPr>
                                <w:rFonts w:cs="Arial"/>
                                <w:b/>
                                <w:bCs/>
                                <w:i/>
                                <w:iCs/>
                              </w:rPr>
                              <w:t>Original Research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533F54" id="_x0000_t202" coordsize="21600,21600" o:spt="202" path="m,l,21600r21600,l21600,xe">
                <v:stroke joinstyle="miter"/>
                <v:path gradientshapeok="t" o:connecttype="rect"/>
              </v:shapetype>
              <v:shape id="Zone de texte 1" o:spid="_x0000_s1026" type="#_x0000_t202" style="position:absolute;left:0;text-align:left;margin-left:0;margin-top:-45.9pt;width:2in;height:2in;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" filled="f" strokeweight=".5pt">
                <v:textbox style="mso-fit-shape-to-text:t">
                  <w:txbxContent>
                    <w:p w14:paraId="115A6B6B" w14:textId="77777777" w:rsidR="00AD4BEE" w:rsidRPr="002E2052" w:rsidRDefault="00AD4BEE" w:rsidP="00E466A0">
                      <w:pPr>
                        <w:pStyle w:val="Affiliation"/>
                        <w:spacing w:after="0" w:line="240" w:lineRule="auto"/>
                        <w:rPr>
                          <w:rFonts w:cs="Arial"/>
                          <w:b/>
                          <w:bCs/>
                          <w:i/>
                          <w:iCs/>
                        </w:rPr>
                      </w:pPr>
                      <w:r w:rsidRPr="002E2052">
                        <w:rPr>
                          <w:rFonts w:cs="Arial"/>
                          <w:b/>
                          <w:bCs/>
                          <w:i/>
                          <w:iCs/>
                        </w:rPr>
                        <w:t>Original Research Article</w:t>
                      </w:r>
                    </w:p>
                  </w:txbxContent>
                </v:textbox>
                <w10:wrap type="square"/>
              </v:shape>
            </w:pict>
          </mc:Fallback>
        </mc:AlternateContent>
      </w:r>
      <w:r w:rsidR="002D35FD" w:rsidRPr="00562362">
        <w:rPr>
          <w:noProof/>
          <w:sz w:val="32"/>
          <w:szCs w:val="32"/>
          <w:highlight w:val="yellow"/>
          <w:lang w:val="fr-FR" w:eastAsia="fr-FR"/>
        </w:rPr>
        <w:t>Examining</w:t>
      </w:r>
      <w:r w:rsidR="00750FF1" w:rsidRPr="00750FF1">
        <w:rPr>
          <w:rFonts w:cs="Arial"/>
          <w:bCs/>
          <w:iCs/>
          <w:kern w:val="28"/>
          <w:sz w:val="32"/>
          <w:szCs w:val="32"/>
        </w:rPr>
        <w:t xml:space="preserve"> </w:t>
      </w:r>
      <w:r w:rsidR="002D35FD">
        <w:rPr>
          <w:rFonts w:cs="Arial"/>
          <w:bCs/>
          <w:iCs/>
          <w:kern w:val="28"/>
          <w:sz w:val="32"/>
          <w:szCs w:val="32"/>
        </w:rPr>
        <w:t>B</w:t>
      </w:r>
      <w:r w:rsidR="002D35FD" w:rsidRPr="00511002">
        <w:rPr>
          <w:rFonts w:cs="Arial"/>
          <w:bCs/>
          <w:iCs/>
          <w:kern w:val="28"/>
          <w:sz w:val="32"/>
          <w:szCs w:val="32"/>
        </w:rPr>
        <w:t xml:space="preserve">arriers </w:t>
      </w:r>
      <w:r w:rsidR="00546CBC" w:rsidRPr="00511002">
        <w:rPr>
          <w:rFonts w:cs="Arial"/>
          <w:bCs/>
          <w:iCs/>
          <w:kern w:val="28"/>
          <w:sz w:val="32"/>
          <w:szCs w:val="32"/>
        </w:rPr>
        <w:t xml:space="preserve">and </w:t>
      </w:r>
      <w:r w:rsidR="002D35FD">
        <w:rPr>
          <w:rFonts w:cs="Arial"/>
          <w:bCs/>
          <w:iCs/>
          <w:kern w:val="28"/>
          <w:sz w:val="32"/>
          <w:szCs w:val="32"/>
        </w:rPr>
        <w:t>F</w:t>
      </w:r>
      <w:r w:rsidR="002D35FD" w:rsidRPr="00511002">
        <w:rPr>
          <w:rFonts w:cs="Arial"/>
          <w:bCs/>
          <w:iCs/>
          <w:kern w:val="28"/>
          <w:sz w:val="32"/>
          <w:szCs w:val="32"/>
        </w:rPr>
        <w:t xml:space="preserve">acilitators </w:t>
      </w:r>
      <w:r w:rsidR="00546CBC" w:rsidRPr="00511002">
        <w:rPr>
          <w:rFonts w:cs="Arial"/>
          <w:bCs/>
          <w:iCs/>
          <w:kern w:val="28"/>
          <w:sz w:val="32"/>
          <w:szCs w:val="32"/>
        </w:rPr>
        <w:t xml:space="preserve">to </w:t>
      </w:r>
      <w:r w:rsidR="00546CBC" w:rsidRPr="00562362">
        <w:rPr>
          <w:rFonts w:cs="Arial"/>
          <w:bCs/>
          <w:iCs/>
          <w:kern w:val="28"/>
          <w:sz w:val="32"/>
          <w:szCs w:val="32"/>
          <w:highlight w:val="yellow"/>
        </w:rPr>
        <w:t>Mass</w:t>
      </w:r>
      <w:r w:rsidR="00546CBC" w:rsidRPr="00511002">
        <w:rPr>
          <w:rFonts w:cs="Arial"/>
          <w:bCs/>
          <w:iCs/>
          <w:kern w:val="28"/>
          <w:sz w:val="32"/>
          <w:szCs w:val="32"/>
        </w:rPr>
        <w:t xml:space="preserve"> Drug Administration </w:t>
      </w:r>
      <w:r w:rsidR="002D35FD" w:rsidRPr="00562362">
        <w:rPr>
          <w:rFonts w:cs="Arial"/>
          <w:bCs/>
          <w:iCs/>
          <w:kern w:val="28"/>
          <w:sz w:val="32"/>
          <w:szCs w:val="32"/>
          <w:highlight w:val="yellow"/>
        </w:rPr>
        <w:t>Compliance</w:t>
      </w:r>
      <w:r w:rsidR="002D35FD">
        <w:rPr>
          <w:rFonts w:cs="Arial"/>
          <w:bCs/>
          <w:iCs/>
          <w:kern w:val="28"/>
          <w:sz w:val="32"/>
          <w:szCs w:val="32"/>
        </w:rPr>
        <w:t xml:space="preserve"> </w:t>
      </w:r>
      <w:r w:rsidR="00546CBC" w:rsidRPr="00511002">
        <w:rPr>
          <w:rFonts w:cs="Arial"/>
          <w:bCs/>
          <w:iCs/>
          <w:kern w:val="28"/>
          <w:sz w:val="32"/>
          <w:szCs w:val="32"/>
        </w:rPr>
        <w:t xml:space="preserve">for Soil-Transmitted Helminthiasis </w:t>
      </w:r>
      <w:r w:rsidR="0073228C">
        <w:rPr>
          <w:rFonts w:cs="Arial"/>
          <w:bCs/>
          <w:iCs/>
          <w:kern w:val="28"/>
          <w:sz w:val="32"/>
          <w:szCs w:val="32"/>
        </w:rPr>
        <w:t>a</w:t>
      </w:r>
      <w:r w:rsidR="00546CBC" w:rsidRPr="00511002">
        <w:rPr>
          <w:rFonts w:cs="Arial"/>
          <w:bCs/>
          <w:iCs/>
          <w:kern w:val="28"/>
          <w:sz w:val="32"/>
          <w:szCs w:val="32"/>
        </w:rPr>
        <w:t xml:space="preserve">mong </w:t>
      </w:r>
      <w:r w:rsidR="002D35FD">
        <w:rPr>
          <w:rFonts w:cs="Arial"/>
          <w:bCs/>
          <w:iCs/>
          <w:kern w:val="28"/>
          <w:sz w:val="32"/>
          <w:szCs w:val="32"/>
        </w:rPr>
        <w:t>A</w:t>
      </w:r>
      <w:r w:rsidR="002D35FD" w:rsidRPr="00511002">
        <w:rPr>
          <w:rFonts w:cs="Arial"/>
          <w:bCs/>
          <w:iCs/>
          <w:kern w:val="28"/>
          <w:sz w:val="32"/>
          <w:szCs w:val="32"/>
        </w:rPr>
        <w:t xml:space="preserve">dolescent </w:t>
      </w:r>
      <w:r w:rsidR="002D35FD">
        <w:rPr>
          <w:rFonts w:cs="Arial"/>
          <w:bCs/>
          <w:iCs/>
          <w:kern w:val="28"/>
          <w:sz w:val="32"/>
          <w:szCs w:val="32"/>
        </w:rPr>
        <w:t>G</w:t>
      </w:r>
      <w:r w:rsidR="002D35FD" w:rsidRPr="00511002">
        <w:rPr>
          <w:rFonts w:cs="Arial"/>
          <w:bCs/>
          <w:iCs/>
          <w:kern w:val="28"/>
          <w:sz w:val="32"/>
          <w:szCs w:val="32"/>
        </w:rPr>
        <w:t xml:space="preserve">irls </w:t>
      </w:r>
      <w:r w:rsidR="00546CBC" w:rsidRPr="00511002">
        <w:rPr>
          <w:rFonts w:cs="Arial"/>
          <w:bCs/>
          <w:iCs/>
          <w:kern w:val="28"/>
          <w:sz w:val="32"/>
          <w:szCs w:val="32"/>
        </w:rPr>
        <w:t xml:space="preserve">and </w:t>
      </w:r>
      <w:r w:rsidR="002D35FD" w:rsidRPr="00562362">
        <w:rPr>
          <w:rFonts w:cs="Arial"/>
          <w:bCs/>
          <w:iCs/>
          <w:kern w:val="28"/>
          <w:sz w:val="32"/>
          <w:szCs w:val="32"/>
          <w:highlight w:val="yellow"/>
        </w:rPr>
        <w:t>W</w:t>
      </w:r>
      <w:r w:rsidR="00546CBC" w:rsidRPr="00562362">
        <w:rPr>
          <w:rFonts w:cs="Arial"/>
          <w:bCs/>
          <w:iCs/>
          <w:kern w:val="28"/>
          <w:sz w:val="32"/>
          <w:szCs w:val="32"/>
          <w:highlight w:val="yellow"/>
        </w:rPr>
        <w:t>omen</w:t>
      </w:r>
      <w:r w:rsidR="00546CBC" w:rsidRPr="00511002">
        <w:rPr>
          <w:rFonts w:cs="Arial"/>
          <w:bCs/>
          <w:iCs/>
          <w:kern w:val="28"/>
          <w:sz w:val="32"/>
          <w:szCs w:val="32"/>
        </w:rPr>
        <w:t xml:space="preserve"> of </w:t>
      </w:r>
      <w:r w:rsidR="002D35FD">
        <w:rPr>
          <w:rFonts w:cs="Arial"/>
          <w:bCs/>
          <w:iCs/>
          <w:kern w:val="28"/>
          <w:sz w:val="32"/>
          <w:szCs w:val="32"/>
        </w:rPr>
        <w:t>R</w:t>
      </w:r>
      <w:r w:rsidR="002D35FD" w:rsidRPr="00511002">
        <w:rPr>
          <w:rFonts w:cs="Arial"/>
          <w:bCs/>
          <w:iCs/>
          <w:kern w:val="28"/>
          <w:sz w:val="32"/>
          <w:szCs w:val="32"/>
        </w:rPr>
        <w:t xml:space="preserve">eproductive </w:t>
      </w:r>
      <w:r w:rsidR="002D35FD">
        <w:rPr>
          <w:rFonts w:cs="Arial"/>
          <w:bCs/>
          <w:iCs/>
          <w:kern w:val="28"/>
          <w:sz w:val="32"/>
          <w:szCs w:val="32"/>
        </w:rPr>
        <w:t>A</w:t>
      </w:r>
      <w:r w:rsidR="002D35FD" w:rsidRPr="00511002">
        <w:rPr>
          <w:rFonts w:cs="Arial"/>
          <w:bCs/>
          <w:iCs/>
          <w:kern w:val="28"/>
          <w:sz w:val="32"/>
          <w:szCs w:val="32"/>
        </w:rPr>
        <w:t>ge</w:t>
      </w:r>
      <w:r w:rsidR="00546CBC" w:rsidRPr="00511002">
        <w:rPr>
          <w:rFonts w:cs="Arial"/>
          <w:bCs/>
          <w:iCs/>
          <w:kern w:val="28"/>
          <w:sz w:val="32"/>
          <w:szCs w:val="32"/>
        </w:rPr>
        <w:t xml:space="preserve"> in </w:t>
      </w:r>
      <w:proofErr w:type="spellStart"/>
      <w:r w:rsidR="00546CBC" w:rsidRPr="00511002">
        <w:rPr>
          <w:rFonts w:cs="Arial"/>
          <w:bCs/>
          <w:iCs/>
          <w:kern w:val="28"/>
          <w:sz w:val="32"/>
          <w:szCs w:val="32"/>
        </w:rPr>
        <w:t>Bukavu</w:t>
      </w:r>
      <w:proofErr w:type="spellEnd"/>
      <w:r w:rsidR="00546CBC" w:rsidRPr="00511002">
        <w:rPr>
          <w:rFonts w:cs="Arial"/>
          <w:bCs/>
          <w:iCs/>
          <w:kern w:val="28"/>
          <w:sz w:val="32"/>
          <w:szCs w:val="32"/>
        </w:rPr>
        <w:t xml:space="preserve">, </w:t>
      </w:r>
      <w:r w:rsidR="00546CBC" w:rsidRPr="00562362">
        <w:rPr>
          <w:rFonts w:cs="Arial"/>
          <w:bCs/>
          <w:iCs/>
          <w:kern w:val="28"/>
          <w:sz w:val="32"/>
          <w:szCs w:val="32"/>
          <w:highlight w:val="yellow"/>
        </w:rPr>
        <w:t>DRC</w:t>
      </w:r>
    </w:p>
    <w:p w14:paraId="7D543F61" w14:textId="14649BE1" w:rsidR="006B08E8" w:rsidRDefault="006B08E8" w:rsidP="00742DD6">
      <w:pPr>
        <w:pStyle w:val="Author"/>
        <w:spacing w:line="240" w:lineRule="auto"/>
        <w:rPr>
          <w:rFonts w:cs="Arial"/>
          <w:bCs/>
          <w:iCs/>
          <w:kern w:val="28"/>
          <w:sz w:val="32"/>
          <w:szCs w:val="32"/>
        </w:rPr>
      </w:pPr>
    </w:p>
    <w:p w14:paraId="558721B5" w14:textId="2604FF3A" w:rsidR="00436E5A" w:rsidRDefault="00F60EF0" w:rsidP="00E466A0">
      <w:pPr>
        <w:pStyle w:val="Affiliation"/>
        <w:rPr>
          <w:rFonts w:cs="Arial"/>
          <w:i/>
        </w:rPr>
      </w:pPr>
      <w:r w:rsidRPr="00937F7E">
        <w:rPr>
          <w:rFonts w:cs="Arial"/>
          <w:i/>
        </w:rPr>
        <w:t>.</w:t>
      </w:r>
    </w:p>
    <w:p w14:paraId="62E41A19" w14:textId="0A4D2423" w:rsidR="00B01FCD" w:rsidRPr="00FB3A86" w:rsidRDefault="000F59F0" w:rsidP="00441B6F">
      <w:pPr>
        <w:pStyle w:val="Copyright"/>
        <w:spacing w:after="0" w:line="240" w:lineRule="auto"/>
        <w:rPr>
          <w:rFonts w:cs="Arial"/>
        </w:rPr>
        <w:sectPr w:rsidR="00B01FCD" w:rsidRPr="00FB3A86" w:rsidSect="002A387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noProof/>
          <w:lang w:val="fr-FR" w:eastAsia="fr-FR"/>
        </w:rPr>
        <mc:AlternateContent>
          <mc:Choice Requires="wps">
            <w:drawing>
              <wp:inline distT="0" distB="0" distL="0" distR="0" wp14:anchorId="63CA0FB7" wp14:editId="62C4E866">
                <wp:extent cx="5303520" cy="635"/>
                <wp:effectExtent l="13335" t="12065" r="17145" b="16510"/>
                <wp:docPr id="12845050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70356A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cs="Arial"/>
        </w:rPr>
        <w:t>.</w:t>
      </w:r>
    </w:p>
    <w:p w14:paraId="1AAFD7CA" w14:textId="77777777" w:rsidR="00E466A0" w:rsidRDefault="00E466A0" w:rsidP="00441B6F">
      <w:pPr>
        <w:pStyle w:val="AbstHead"/>
        <w:spacing w:after="0"/>
        <w:rPr>
          <w:rFonts w:cs="Arial"/>
        </w:rPr>
      </w:pPr>
    </w:p>
    <w:p w14:paraId="053FDF31" w14:textId="24171C30" w:rsidR="00B01FCD" w:rsidRDefault="00B01FCD" w:rsidP="00441B6F">
      <w:pPr>
        <w:pStyle w:val="AbstHead"/>
        <w:spacing w:after="0"/>
        <w:rPr>
          <w:rFonts w:cs="Arial"/>
        </w:rPr>
      </w:pPr>
      <w:r w:rsidRPr="00FB3A86">
        <w:rPr>
          <w:rFonts w:cs="Arial"/>
        </w:rPr>
        <w:t>ABSTRACT</w:t>
      </w:r>
      <w:r w:rsidR="0066510A">
        <w:rPr>
          <w:rFonts w:cs="Arial"/>
        </w:rPr>
        <w:t xml:space="preserve"> </w:t>
      </w:r>
    </w:p>
    <w:p w14:paraId="7E6204FB" w14:textId="77777777" w:rsidR="00790ADA" w:rsidRPr="00FB3A86"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B9C34BB" w14:textId="77777777" w:rsidTr="001E44FE">
        <w:tc>
          <w:tcPr>
            <w:tcW w:w="9576" w:type="dxa"/>
            <w:shd w:val="clear" w:color="auto" w:fill="F2F2F2"/>
          </w:tcPr>
          <w:p w14:paraId="0586B361" w14:textId="54B8FB2D" w:rsidR="00505F06" w:rsidRPr="006C58F9" w:rsidRDefault="00C4229C" w:rsidP="006C58F9">
            <w:pPr>
              <w:pStyle w:val="Body"/>
              <w:spacing w:after="0"/>
              <w:rPr>
                <w:rFonts w:cs="Arial"/>
                <w:lang w:val="it-IT"/>
              </w:rPr>
            </w:pPr>
            <w:r w:rsidRPr="00C4229C">
              <w:rPr>
                <w:rFonts w:eastAsia="Calibri" w:cs="Arial"/>
                <w:szCs w:val="22"/>
              </w:rPr>
              <w:t xml:space="preserve">Soil-transmitted helminthiasis (STH) is a neglected tropical disease requiring mass drug administration (MDA) for effective control. </w:t>
            </w:r>
            <w:r w:rsidR="00EA16AA" w:rsidRPr="00562362">
              <w:rPr>
                <w:rFonts w:eastAsia="Calibri" w:cs="Arial"/>
                <w:szCs w:val="22"/>
                <w:highlight w:val="yellow"/>
              </w:rPr>
              <w:t>Despite</w:t>
            </w:r>
            <w:r w:rsidR="00EA16AA" w:rsidRPr="00562362">
              <w:rPr>
                <w:rFonts w:eastAsia="Calibri" w:cs="Arial"/>
                <w:szCs w:val="22"/>
                <w:highlight w:val="yellow"/>
              </w:rPr>
              <w:t xml:space="preserve"> </w:t>
            </w:r>
            <w:r w:rsidR="0082612C" w:rsidRPr="00562362">
              <w:rPr>
                <w:rFonts w:eastAsia="Calibri" w:cs="Arial"/>
                <w:szCs w:val="22"/>
                <w:highlight w:val="yellow"/>
              </w:rPr>
              <w:t>years</w:t>
            </w:r>
            <w:r w:rsidR="0082612C" w:rsidRPr="0082612C">
              <w:rPr>
                <w:rFonts w:eastAsia="Calibri" w:cs="Arial"/>
                <w:szCs w:val="22"/>
              </w:rPr>
              <w:t xml:space="preserve"> of MDA implementation</w:t>
            </w:r>
            <w:r w:rsidR="00EA16AA">
              <w:rPr>
                <w:rFonts w:eastAsia="Calibri" w:cs="Arial"/>
                <w:szCs w:val="22"/>
              </w:rPr>
              <w:t>,</w:t>
            </w:r>
            <w:r w:rsidR="0082612C" w:rsidRPr="0082612C">
              <w:rPr>
                <w:rFonts w:eastAsia="Calibri" w:cs="Arial"/>
                <w:szCs w:val="22"/>
              </w:rPr>
              <w:t xml:space="preserve"> the prevalence of STH is still high in </w:t>
            </w:r>
            <w:proofErr w:type="spellStart"/>
            <w:r w:rsidR="0082612C" w:rsidRPr="0082612C">
              <w:rPr>
                <w:rFonts w:eastAsia="Calibri" w:cs="Arial"/>
                <w:szCs w:val="22"/>
              </w:rPr>
              <w:t>Bukavu</w:t>
            </w:r>
            <w:proofErr w:type="spellEnd"/>
            <w:r w:rsidR="0082612C" w:rsidRPr="0082612C">
              <w:rPr>
                <w:rFonts w:eastAsia="Calibri" w:cs="Arial"/>
                <w:szCs w:val="22"/>
              </w:rPr>
              <w:t>.</w:t>
            </w:r>
            <w:r w:rsidR="0082612C">
              <w:rPr>
                <w:rFonts w:eastAsia="Calibri" w:cs="Arial"/>
                <w:szCs w:val="22"/>
              </w:rPr>
              <w:t xml:space="preserve"> </w:t>
            </w:r>
            <w:r w:rsidRPr="00C4229C">
              <w:rPr>
                <w:rFonts w:eastAsia="Calibri" w:cs="Arial"/>
                <w:szCs w:val="22"/>
              </w:rPr>
              <w:t xml:space="preserve">This study </w:t>
            </w:r>
            <w:r w:rsidRPr="00562362">
              <w:rPr>
                <w:rFonts w:eastAsia="Calibri" w:cs="Arial"/>
                <w:szCs w:val="22"/>
                <w:highlight w:val="yellow"/>
              </w:rPr>
              <w:t>aim</w:t>
            </w:r>
            <w:r w:rsidR="00EA16AA" w:rsidRPr="00562362">
              <w:rPr>
                <w:rFonts w:eastAsia="Calibri" w:cs="Arial"/>
                <w:szCs w:val="22"/>
                <w:highlight w:val="yellow"/>
              </w:rPr>
              <w:t>ed</w:t>
            </w:r>
            <w:r w:rsidRPr="00562362">
              <w:rPr>
                <w:rFonts w:eastAsia="Calibri" w:cs="Arial"/>
                <w:szCs w:val="22"/>
                <w:highlight w:val="yellow"/>
              </w:rPr>
              <w:t xml:space="preserve"> to identif</w:t>
            </w:r>
            <w:r w:rsidRPr="00C4229C">
              <w:rPr>
                <w:rFonts w:eastAsia="Calibri" w:cs="Arial"/>
                <w:szCs w:val="22"/>
              </w:rPr>
              <w:t>y barriers and facilitators to MDA compliance among adolescent girls and women of reproductive age (WRA) in Bukavu, where sociocultural, economic, and educational factors may hinder its adoption.</w:t>
            </w:r>
            <w:r w:rsidR="00EA16AA">
              <w:rPr>
                <w:rFonts w:eastAsia="Calibri" w:cs="Arial"/>
                <w:szCs w:val="22"/>
              </w:rPr>
              <w:t xml:space="preserve"> </w:t>
            </w:r>
            <w:r w:rsidR="000C1B80" w:rsidRPr="00562362">
              <w:rPr>
                <w:rFonts w:eastAsia="Calibri" w:cs="Arial"/>
                <w:szCs w:val="22"/>
                <w:highlight w:val="yellow"/>
              </w:rPr>
              <w:t>A</w:t>
            </w:r>
            <w:r w:rsidRPr="00562362">
              <w:rPr>
                <w:rFonts w:eastAsia="Calibri" w:cs="Arial"/>
                <w:szCs w:val="22"/>
                <w:highlight w:val="yellow"/>
              </w:rPr>
              <w:t xml:space="preserve"> cross</w:t>
            </w:r>
            <w:r w:rsidRPr="00C4229C">
              <w:rPr>
                <w:rFonts w:eastAsia="Calibri" w:cs="Arial"/>
                <w:szCs w:val="22"/>
              </w:rPr>
              <w:t xml:space="preserve">-sectional </w:t>
            </w:r>
            <w:r w:rsidRPr="00562362">
              <w:rPr>
                <w:rFonts w:eastAsia="Calibri" w:cs="Arial"/>
                <w:szCs w:val="22"/>
                <w:highlight w:val="yellow"/>
              </w:rPr>
              <w:t xml:space="preserve">study </w:t>
            </w:r>
            <w:r w:rsidR="000C1B80" w:rsidRPr="00562362">
              <w:rPr>
                <w:rFonts w:eastAsia="Calibri" w:cs="Arial"/>
                <w:szCs w:val="22"/>
                <w:highlight w:val="yellow"/>
              </w:rPr>
              <w:t xml:space="preserve">was conducted </w:t>
            </w:r>
            <w:r w:rsidRPr="00562362">
              <w:rPr>
                <w:rFonts w:eastAsia="Calibri" w:cs="Arial"/>
                <w:szCs w:val="22"/>
                <w:highlight w:val="yellow"/>
              </w:rPr>
              <w:t>using</w:t>
            </w:r>
            <w:r w:rsidRPr="00C4229C">
              <w:rPr>
                <w:rFonts w:eastAsia="Calibri" w:cs="Arial"/>
                <w:szCs w:val="22"/>
              </w:rPr>
              <w:t xml:space="preserve"> a mixed-methods approach</w:t>
            </w:r>
            <w:r w:rsidR="00F11D06">
              <w:rPr>
                <w:rFonts w:eastAsia="Calibri" w:cs="Arial"/>
                <w:szCs w:val="22"/>
              </w:rPr>
              <w:t xml:space="preserve"> </w:t>
            </w:r>
            <w:r w:rsidR="00F11D06" w:rsidRPr="00F11D06">
              <w:rPr>
                <w:rFonts w:eastAsia="Calibri" w:cs="Arial"/>
                <w:szCs w:val="22"/>
              </w:rPr>
              <w:t xml:space="preserve">in the </w:t>
            </w:r>
            <w:proofErr w:type="spellStart"/>
            <w:r w:rsidR="00F11D06" w:rsidRPr="00F11D06">
              <w:rPr>
                <w:rFonts w:eastAsia="Calibri" w:cs="Arial"/>
                <w:szCs w:val="22"/>
              </w:rPr>
              <w:t>Kadutu</w:t>
            </w:r>
            <w:proofErr w:type="spellEnd"/>
            <w:r w:rsidR="00F11D06" w:rsidRPr="00F11D06">
              <w:rPr>
                <w:rFonts w:eastAsia="Calibri" w:cs="Arial"/>
                <w:szCs w:val="22"/>
              </w:rPr>
              <w:t xml:space="preserve"> Health Zone, </w:t>
            </w:r>
            <w:proofErr w:type="spellStart"/>
            <w:r w:rsidR="00F11D06" w:rsidRPr="00F11D06">
              <w:rPr>
                <w:rFonts w:eastAsia="Calibri" w:cs="Arial"/>
                <w:szCs w:val="22"/>
              </w:rPr>
              <w:t>Bukavu</w:t>
            </w:r>
            <w:proofErr w:type="spellEnd"/>
            <w:r w:rsidR="00F11D06" w:rsidRPr="00F11D06">
              <w:rPr>
                <w:rFonts w:eastAsia="Calibri" w:cs="Arial"/>
                <w:szCs w:val="22"/>
              </w:rPr>
              <w:t xml:space="preserve"> (DRC), from September 2024 to</w:t>
            </w:r>
            <w:r w:rsidR="00F11D06">
              <w:rPr>
                <w:rFonts w:eastAsia="Calibri" w:cs="Arial"/>
                <w:szCs w:val="22"/>
              </w:rPr>
              <w:t xml:space="preserve"> March 2025</w:t>
            </w:r>
            <w:r w:rsidRPr="00C4229C">
              <w:rPr>
                <w:rFonts w:eastAsia="Calibri" w:cs="Arial"/>
                <w:szCs w:val="22"/>
              </w:rPr>
              <w:t xml:space="preserve">. The quantitative component determined the proportion of WRA adhering to MDA, </w:t>
            </w:r>
            <w:proofErr w:type="spellStart"/>
            <w:r w:rsidR="00EA16AA" w:rsidRPr="00562362">
              <w:rPr>
                <w:rFonts w:eastAsia="Calibri" w:cs="Arial"/>
                <w:szCs w:val="22"/>
                <w:highlight w:val="yellow"/>
              </w:rPr>
              <w:t>analysing</w:t>
            </w:r>
            <w:proofErr w:type="spellEnd"/>
            <w:r w:rsidR="00EA16AA" w:rsidRPr="00562362">
              <w:rPr>
                <w:rFonts w:eastAsia="Calibri" w:cs="Arial"/>
                <w:szCs w:val="22"/>
                <w:highlight w:val="yellow"/>
              </w:rPr>
              <w:t xml:space="preserve"> </w:t>
            </w:r>
            <w:r w:rsidRPr="00562362">
              <w:rPr>
                <w:rFonts w:eastAsia="Calibri" w:cs="Arial"/>
                <w:szCs w:val="22"/>
                <w:highlight w:val="yellow"/>
              </w:rPr>
              <w:t>their</w:t>
            </w:r>
            <w:r w:rsidRPr="00C4229C">
              <w:rPr>
                <w:rFonts w:eastAsia="Calibri" w:cs="Arial"/>
                <w:szCs w:val="22"/>
              </w:rPr>
              <w:t xml:space="preserve"> sociodemographic characteristics and health education background. The qualitative component provided an in-depth understanding of barriers and facilitators to compliance through key informant interviews (KII) and focus group discussions (FGD).</w:t>
            </w:r>
            <w:r w:rsidR="00EA16AA">
              <w:rPr>
                <w:rFonts w:eastAsia="Calibri" w:cs="Arial"/>
                <w:szCs w:val="22"/>
              </w:rPr>
              <w:t xml:space="preserve"> </w:t>
            </w:r>
            <w:r w:rsidRPr="00C4229C">
              <w:rPr>
                <w:rFonts w:eastAsia="Calibri" w:cs="Arial"/>
                <w:szCs w:val="22"/>
              </w:rPr>
              <w:t xml:space="preserve">A total of 487 WRA (175 adolescent girls and 312 adult women) were included in the quantitative study. Additionally, 13 key informant interviews and 2 FGD were conducted for the qualitative study. Quantitative data were </w:t>
            </w:r>
            <w:proofErr w:type="spellStart"/>
            <w:r w:rsidR="00EA16AA" w:rsidRPr="00562362">
              <w:rPr>
                <w:rFonts w:eastAsia="Calibri" w:cs="Arial"/>
                <w:szCs w:val="22"/>
                <w:highlight w:val="yellow"/>
              </w:rPr>
              <w:t>analysed</w:t>
            </w:r>
            <w:proofErr w:type="spellEnd"/>
            <w:r w:rsidR="00EA16AA" w:rsidRPr="00562362">
              <w:rPr>
                <w:rFonts w:eastAsia="Calibri" w:cs="Arial"/>
                <w:szCs w:val="22"/>
                <w:highlight w:val="yellow"/>
              </w:rPr>
              <w:t xml:space="preserve"> </w:t>
            </w:r>
            <w:r w:rsidRPr="00562362">
              <w:rPr>
                <w:rFonts w:eastAsia="Calibri" w:cs="Arial"/>
                <w:szCs w:val="22"/>
                <w:highlight w:val="yellow"/>
              </w:rPr>
              <w:t>using</w:t>
            </w:r>
            <w:r w:rsidRPr="00C4229C">
              <w:rPr>
                <w:rFonts w:eastAsia="Calibri" w:cs="Arial"/>
                <w:szCs w:val="22"/>
              </w:rPr>
              <w:t xml:space="preserve"> R 4.4.1, applying descriptive, bivariate, and multivariate analyses. Qualitative </w:t>
            </w:r>
            <w:r w:rsidRPr="00562362">
              <w:rPr>
                <w:rFonts w:eastAsia="Calibri" w:cs="Arial"/>
                <w:szCs w:val="22"/>
                <w:highlight w:val="yellow"/>
              </w:rPr>
              <w:t xml:space="preserve">data </w:t>
            </w:r>
            <w:r w:rsidR="00EA16AA" w:rsidRPr="00562362">
              <w:rPr>
                <w:rFonts w:eastAsia="Calibri" w:cs="Arial"/>
                <w:szCs w:val="22"/>
                <w:highlight w:val="yellow"/>
              </w:rPr>
              <w:t>were</w:t>
            </w:r>
            <w:r w:rsidR="00EA16AA" w:rsidRPr="00562362">
              <w:rPr>
                <w:rFonts w:eastAsia="Calibri" w:cs="Arial"/>
                <w:szCs w:val="22"/>
                <w:highlight w:val="yellow"/>
              </w:rPr>
              <w:t xml:space="preserve"> </w:t>
            </w:r>
            <w:r w:rsidRPr="00562362">
              <w:rPr>
                <w:rFonts w:eastAsia="Calibri" w:cs="Arial"/>
                <w:szCs w:val="22"/>
                <w:highlight w:val="yellow"/>
              </w:rPr>
              <w:t>processed</w:t>
            </w:r>
            <w:r w:rsidRPr="00C4229C">
              <w:rPr>
                <w:rFonts w:eastAsia="Calibri" w:cs="Arial"/>
                <w:szCs w:val="22"/>
              </w:rPr>
              <w:t xml:space="preserve"> using thematic coding in NVivo, </w:t>
            </w:r>
            <w:r w:rsidR="00F11D06">
              <w:rPr>
                <w:rFonts w:eastAsia="Calibri" w:cs="Arial"/>
                <w:szCs w:val="22"/>
              </w:rPr>
              <w:t>followed by narrative analysis.</w:t>
            </w:r>
            <w:r w:rsidR="00EA16AA">
              <w:rPr>
                <w:rFonts w:eastAsia="Calibri" w:cs="Arial"/>
                <w:szCs w:val="22"/>
              </w:rPr>
              <w:t xml:space="preserve"> </w:t>
            </w:r>
            <w:r w:rsidR="00F11D06" w:rsidRPr="00F11D06">
              <w:rPr>
                <w:rFonts w:eastAsia="Calibri" w:cs="Arial"/>
                <w:szCs w:val="22"/>
              </w:rPr>
              <w:t>Among those surveyed</w:t>
            </w:r>
            <w:r w:rsidR="00F11D06">
              <w:rPr>
                <w:rFonts w:eastAsia="Calibri" w:cs="Arial"/>
                <w:szCs w:val="22"/>
              </w:rPr>
              <w:t xml:space="preserve">, </w:t>
            </w:r>
            <w:r w:rsidRPr="00C4229C">
              <w:rPr>
                <w:rFonts w:eastAsia="Calibri" w:cs="Arial"/>
                <w:szCs w:val="22"/>
              </w:rPr>
              <w:t>64.89% of participants adhered to MDA, while 10.88% refused. Key factors influencing compliance included age</w:t>
            </w:r>
            <w:r w:rsidR="0068601B">
              <w:rPr>
                <w:rFonts w:eastAsia="Calibri" w:cs="Arial"/>
                <w:szCs w:val="22"/>
              </w:rPr>
              <w:t xml:space="preserve"> (p = 0.005), education level (p</w:t>
            </w:r>
            <w:r w:rsidRPr="00C4229C">
              <w:rPr>
                <w:rFonts w:eastAsia="Calibri" w:cs="Arial"/>
                <w:szCs w:val="22"/>
              </w:rPr>
              <w:t xml:space="preserve"> =</w:t>
            </w:r>
            <w:r w:rsidR="0068601B">
              <w:rPr>
                <w:rFonts w:eastAsia="Calibri" w:cs="Arial"/>
                <w:szCs w:val="22"/>
              </w:rPr>
              <w:t xml:space="preserve"> 0.040), prior MDA experience (p</w:t>
            </w:r>
            <w:r w:rsidRPr="00C4229C">
              <w:rPr>
                <w:rFonts w:eastAsia="Calibri" w:cs="Arial"/>
                <w:szCs w:val="22"/>
              </w:rPr>
              <w:t>= 0.000), and qua</w:t>
            </w:r>
            <w:r w:rsidR="0068601B">
              <w:rPr>
                <w:rFonts w:eastAsia="Calibri" w:cs="Arial"/>
                <w:szCs w:val="22"/>
              </w:rPr>
              <w:t>lity of instructions received (p</w:t>
            </w:r>
            <w:r w:rsidRPr="00C4229C">
              <w:rPr>
                <w:rFonts w:eastAsia="Calibri" w:cs="Arial"/>
                <w:szCs w:val="22"/>
              </w:rPr>
              <w:t xml:space="preserve"> = 0.001). </w:t>
            </w:r>
            <w:r w:rsidR="006C58F9" w:rsidRPr="006C58F9">
              <w:rPr>
                <w:rFonts w:cs="Arial"/>
                <w:highlight w:val="yellow"/>
              </w:rPr>
              <w:t>Adult women (20-49 years) were 42% more likely (OR = 0.42; 95% CI: 0.23 – 0.76, p = 0.005) to adhere compared to adolescents (&lt;20 years).</w:t>
            </w:r>
            <w:r w:rsidR="006C58F9" w:rsidRPr="006C58F9">
              <w:rPr>
                <w:rFonts w:cs="Arial"/>
                <w:highlight w:val="yellow"/>
              </w:rPr>
              <w:t xml:space="preserve"> </w:t>
            </w:r>
            <w:r w:rsidR="006C58F9">
              <w:rPr>
                <w:rFonts w:cs="Arial"/>
                <w:highlight w:val="yellow"/>
              </w:rPr>
              <w:t>Moreover, e</w:t>
            </w:r>
            <w:r w:rsidR="006C58F9" w:rsidRPr="006C58F9">
              <w:rPr>
                <w:rFonts w:cs="Arial"/>
                <w:highlight w:val="yellow"/>
              </w:rPr>
              <w:t>ducated participants were nearly 3 times more likely (OR = 2.98; 95% CI: 1.08 – 8.21, p = 0.040) to adhere.</w:t>
            </w:r>
            <w:r w:rsidR="006C58F9">
              <w:rPr>
                <w:rFonts w:cs="Arial"/>
              </w:rPr>
              <w:t xml:space="preserve"> </w:t>
            </w:r>
            <w:r w:rsidRPr="00C4229C">
              <w:rPr>
                <w:rFonts w:eastAsia="Calibri" w:cs="Arial"/>
                <w:szCs w:val="22"/>
              </w:rPr>
              <w:t>Qualitative analysis identified several barriers, including poor awareness, misconceptions about side effects, limited autonomy, and reluctance among inexperienced beneficiaries.</w:t>
            </w:r>
            <w:r w:rsidR="008049D1">
              <w:rPr>
                <w:rFonts w:eastAsia="Calibri" w:cs="Arial"/>
                <w:szCs w:val="22"/>
              </w:rPr>
              <w:t xml:space="preserve"> </w:t>
            </w:r>
            <w:r w:rsidRPr="00C4229C">
              <w:rPr>
                <w:rFonts w:eastAsia="Calibri" w:cs="Arial"/>
                <w:szCs w:val="22"/>
              </w:rPr>
              <w:t xml:space="preserve">Strengthening health education and engaging community and religious leaders could improve MDA compliance. </w:t>
            </w:r>
            <w:r w:rsidR="00FC2C6D" w:rsidRPr="00FC2C6D">
              <w:rPr>
                <w:highlight w:val="yellow"/>
              </w:rPr>
              <w:t>These findings highlight the need to improve distribution strategies and follow-up measures to enhance MDA compliance.</w:t>
            </w:r>
            <w:r w:rsidR="00FC2C6D">
              <w:t xml:space="preserve"> </w:t>
            </w:r>
            <w:r w:rsidRPr="00C4229C">
              <w:rPr>
                <w:rFonts w:eastAsia="Calibri" w:cs="Arial"/>
                <w:szCs w:val="22"/>
              </w:rPr>
              <w:t xml:space="preserve">Tailored communication strategies and better motivation for community drug distributors may enhance program </w:t>
            </w:r>
            <w:r w:rsidR="00BF2168" w:rsidRPr="00C4229C">
              <w:rPr>
                <w:rFonts w:eastAsia="Calibri" w:cs="Arial"/>
                <w:szCs w:val="22"/>
              </w:rPr>
              <w:t>effectiveness.</w:t>
            </w:r>
            <w:r w:rsidR="00BF2168" w:rsidRPr="00BA1B01">
              <w:rPr>
                <w:rFonts w:eastAsia="Calibri" w:cs="Arial"/>
                <w:szCs w:val="22"/>
              </w:rPr>
              <w:t xml:space="preserve"> </w:t>
            </w:r>
          </w:p>
        </w:tc>
      </w:tr>
    </w:tbl>
    <w:p w14:paraId="529FAF04" w14:textId="77777777" w:rsidR="00636EB2" w:rsidRDefault="00636EB2" w:rsidP="00441B6F">
      <w:pPr>
        <w:pStyle w:val="Body"/>
        <w:spacing w:after="0"/>
        <w:rPr>
          <w:rFonts w:cs="Arial"/>
          <w:i/>
        </w:rPr>
      </w:pPr>
    </w:p>
    <w:p w14:paraId="4F7F3AF3" w14:textId="5DE1DAE6" w:rsidR="00505F06" w:rsidRPr="00A24E7E" w:rsidRDefault="00A24E7E" w:rsidP="00441B6F">
      <w:pPr>
        <w:pStyle w:val="Body"/>
        <w:spacing w:after="0"/>
        <w:rPr>
          <w:rFonts w:cs="Arial"/>
          <w:i/>
        </w:rPr>
      </w:pPr>
      <w:r w:rsidRPr="00562362">
        <w:rPr>
          <w:rFonts w:cs="Arial"/>
          <w:b/>
          <w:bCs/>
          <w:iCs/>
        </w:rPr>
        <w:t>Keywords</w:t>
      </w:r>
      <w:r>
        <w:rPr>
          <w:rFonts w:cs="Arial"/>
          <w:i/>
        </w:rPr>
        <w:t xml:space="preserve">: </w:t>
      </w:r>
      <w:r w:rsidR="00F72BF7" w:rsidRPr="00F72BF7">
        <w:rPr>
          <w:rFonts w:cs="Arial"/>
          <w:i/>
        </w:rPr>
        <w:t>Soil-Transmi</w:t>
      </w:r>
      <w:r w:rsidR="00A71F20">
        <w:rPr>
          <w:rFonts w:cs="Arial"/>
          <w:i/>
        </w:rPr>
        <w:t>tted Helminthiasis, Compliance, Adolescent</w:t>
      </w:r>
      <w:r w:rsidR="00B42AF0">
        <w:rPr>
          <w:rFonts w:cs="Arial"/>
          <w:i/>
        </w:rPr>
        <w:t xml:space="preserve"> </w:t>
      </w:r>
      <w:r w:rsidR="00B42AF0" w:rsidRPr="00562362">
        <w:rPr>
          <w:rFonts w:cs="Arial"/>
          <w:i/>
          <w:highlight w:val="yellow"/>
        </w:rPr>
        <w:t>Girls</w:t>
      </w:r>
      <w:r w:rsidR="00A71F20" w:rsidRPr="00562362">
        <w:rPr>
          <w:rFonts w:cs="Arial"/>
          <w:i/>
          <w:highlight w:val="yellow"/>
        </w:rPr>
        <w:t xml:space="preserve">, </w:t>
      </w:r>
      <w:r w:rsidR="00B42AF0" w:rsidRPr="00562362">
        <w:rPr>
          <w:rFonts w:cs="Arial"/>
          <w:i/>
          <w:highlight w:val="yellow"/>
        </w:rPr>
        <w:t xml:space="preserve">Women </w:t>
      </w:r>
      <w:r w:rsidR="00B42AF0" w:rsidRPr="00562362">
        <w:rPr>
          <w:rFonts w:cs="Arial"/>
          <w:i/>
          <w:highlight w:val="yellow"/>
        </w:rPr>
        <w:t xml:space="preserve">of </w:t>
      </w:r>
      <w:r w:rsidR="00B42AF0" w:rsidRPr="00562362">
        <w:rPr>
          <w:rFonts w:cs="Arial"/>
          <w:i/>
          <w:highlight w:val="yellow"/>
        </w:rPr>
        <w:t xml:space="preserve">Reproductive Age, Health Education </w:t>
      </w:r>
    </w:p>
    <w:p w14:paraId="5F054DF3" w14:textId="13F1A647" w:rsidR="007F7B32" w:rsidRPr="006859F4" w:rsidRDefault="00B01FCD" w:rsidP="006859F4">
      <w:pPr>
        <w:pStyle w:val="Heading1"/>
      </w:pPr>
      <w:r w:rsidRPr="006859F4">
        <w:t>INTRODUCTION</w:t>
      </w:r>
      <w:r w:rsidR="007F7B32" w:rsidRPr="006859F4">
        <w:t xml:space="preserve"> </w:t>
      </w:r>
    </w:p>
    <w:p w14:paraId="24359548" w14:textId="4BFB1179" w:rsidR="00AC5B79" w:rsidRDefault="00D0780A" w:rsidP="00D0780A">
      <w:pPr>
        <w:rPr>
          <w:rFonts w:eastAsia="Calibri"/>
          <w:szCs w:val="22"/>
        </w:rPr>
      </w:pPr>
      <w:r w:rsidRPr="00D0780A">
        <w:rPr>
          <w:rFonts w:eastAsia="Calibri"/>
          <w:szCs w:val="22"/>
        </w:rPr>
        <w:t xml:space="preserve">Soil-transmitted helminthiasis (STH) is a parasitic infection caused by nematodes that are transmitted through the soil </w:t>
      </w:r>
      <w:r w:rsidR="00887E9A">
        <w:rPr>
          <w:rFonts w:eastAsia="Calibri"/>
          <w:szCs w:val="22"/>
        </w:rPr>
        <w:fldChar w:fldCharType="begin"/>
      </w:r>
      <w:r w:rsidR="006844F7">
        <w:rPr>
          <w:rFonts w:eastAsia="Calibri"/>
          <w:szCs w:val="22"/>
        </w:rPr>
        <w:instrText xml:space="preserve"> ADDIN ZOTERO_ITEM CSL_CITATION {"citationID":"xY4qIasr","properties":{"formattedCitation":"(Nundu et al., 2014)","plainCitation":"(Nundu et al., 2014)","noteIndex":0},"citationItems":[{"id":3839,"uris":["http://zotero.org/users/local/ViU5KU9X/items/QHPHDZ5H"],"itemData":{"id":3839,"type":"article-journal","container-title":"Archives de Pédiatrie","DOI":"10.1016/j.arcped.2014.03.003","ISSN":"0929693X","issue":"6","journalAbbreviation":"Archives de Pédiatrie","language":"fr","page":"579-583","source":"DOI.org (Crossref)","title":"Prévalence des géohelminthiases chez les enfants à Kinshasa","URL":"https://linkinghub.elsevier.com/retrieve/pii/S0929693X1400133X","volume":"21","author":[{"family":"Nundu","given":"S."},{"family":"Aloni","given":"M.-N."},{"family":"Linsuke","given":"S.-W.-L."},{"family":"Ekila","given":"M.-B."},{"family":"Situakibanza","given":"H.-T."},{"family":"Polman","given":"K."},{"family":"Lutumba","given":"P.-T."}],"accessed":{"date-parts":[["2024",6,7]]},"issued":{"date-parts":[["2014",6]]}}}],"schema":"https://github.com/citation-style-language/schema/raw/master/csl-citation.json"} </w:instrText>
      </w:r>
      <w:r w:rsidR="00887E9A">
        <w:rPr>
          <w:rFonts w:eastAsia="Calibri"/>
          <w:szCs w:val="22"/>
        </w:rPr>
        <w:fldChar w:fldCharType="separate"/>
      </w:r>
      <w:r w:rsidR="00017E09" w:rsidRPr="00017E09">
        <w:rPr>
          <w:rFonts w:eastAsia="Calibri" w:cs="Arial"/>
        </w:rPr>
        <w:t>(Nundu et al., 2014)</w:t>
      </w:r>
      <w:r w:rsidR="00887E9A">
        <w:rPr>
          <w:rFonts w:eastAsia="Calibri"/>
          <w:szCs w:val="22"/>
        </w:rPr>
        <w:fldChar w:fldCharType="end"/>
      </w:r>
      <w:r w:rsidRPr="00D0780A">
        <w:rPr>
          <w:rFonts w:eastAsia="Calibri"/>
          <w:szCs w:val="22"/>
        </w:rPr>
        <w:t xml:space="preserve">. </w:t>
      </w:r>
      <w:r w:rsidR="00990163">
        <w:rPr>
          <w:rFonts w:eastAsia="Calibri"/>
          <w:szCs w:val="22"/>
        </w:rPr>
        <w:t>It is c</w:t>
      </w:r>
      <w:r w:rsidRPr="00D0780A">
        <w:rPr>
          <w:rFonts w:eastAsia="Calibri"/>
          <w:szCs w:val="22"/>
        </w:rPr>
        <w:t>lassified as a n</w:t>
      </w:r>
      <w:r w:rsidR="00FC4515">
        <w:rPr>
          <w:rFonts w:eastAsia="Calibri"/>
          <w:szCs w:val="22"/>
        </w:rPr>
        <w:t>eglected tropical disease (NTD).</w:t>
      </w:r>
      <w:r w:rsidRPr="00D0780A">
        <w:rPr>
          <w:rFonts w:eastAsia="Calibri"/>
          <w:szCs w:val="22"/>
        </w:rPr>
        <w:t xml:space="preserve"> </w:t>
      </w:r>
      <w:r w:rsidR="00EF4204" w:rsidRPr="00562362">
        <w:rPr>
          <w:rFonts w:eastAsia="Calibri"/>
          <w:szCs w:val="22"/>
          <w:highlight w:val="yellow"/>
        </w:rPr>
        <w:t>STH infections occur primarily in areas with warm and humid climates where sanitation and hygiene are inadequate.</w:t>
      </w:r>
      <w:r w:rsidR="00EF4204" w:rsidRPr="00562362">
        <w:rPr>
          <w:rFonts w:eastAsia="Calibri"/>
          <w:szCs w:val="22"/>
          <w:highlight w:val="yellow"/>
        </w:rPr>
        <w:t xml:space="preserve"> </w:t>
      </w:r>
      <w:r w:rsidR="00EF4204" w:rsidRPr="00562362">
        <w:rPr>
          <w:rFonts w:eastAsia="Calibri"/>
          <w:szCs w:val="22"/>
          <w:highlight w:val="yellow"/>
        </w:rPr>
        <w:t xml:space="preserve">The Global Burden of Disease Study found an estimated 7.7 million deaths, or 13.6% of all global deaths, were associated with bacterial </w:t>
      </w:r>
      <w:r w:rsidR="00EF4204" w:rsidRPr="00562362">
        <w:rPr>
          <w:rFonts w:eastAsia="Calibri"/>
          <w:szCs w:val="22"/>
          <w:highlight w:val="yellow"/>
        </w:rPr>
        <w:lastRenderedPageBreak/>
        <w:t>pathogens in 2019 </w:t>
      </w:r>
      <w:r w:rsidR="00EF4204" w:rsidRPr="00562362">
        <w:rPr>
          <w:rFonts w:eastAsia="Calibri"/>
          <w:szCs w:val="22"/>
          <w:highlight w:val="yellow"/>
        </w:rPr>
        <w:t>(</w:t>
      </w:r>
      <w:r w:rsidR="00EF4204" w:rsidRPr="00562362">
        <w:rPr>
          <w:rFonts w:eastAsia="Calibri"/>
          <w:szCs w:val="22"/>
          <w:highlight w:val="yellow"/>
        </w:rPr>
        <w:t>Schlosser-Brandenburg</w:t>
      </w:r>
      <w:r w:rsidR="00EF4204" w:rsidRPr="00562362">
        <w:rPr>
          <w:rFonts w:eastAsia="Calibri"/>
          <w:szCs w:val="22"/>
          <w:highlight w:val="yellow"/>
        </w:rPr>
        <w:t xml:space="preserve"> et al., 2023).</w:t>
      </w:r>
      <w:r w:rsidR="00EF4204">
        <w:rPr>
          <w:rFonts w:eastAsia="Calibri"/>
          <w:szCs w:val="22"/>
        </w:rPr>
        <w:t xml:space="preserve"> </w:t>
      </w:r>
      <w:r w:rsidR="00B42AF0" w:rsidRPr="00562362">
        <w:rPr>
          <w:rFonts w:eastAsia="Calibri"/>
          <w:szCs w:val="22"/>
          <w:highlight w:val="yellow"/>
        </w:rPr>
        <w:t>The</w:t>
      </w:r>
      <w:r w:rsidR="00B42AF0">
        <w:rPr>
          <w:rFonts w:eastAsia="Calibri"/>
          <w:szCs w:val="22"/>
        </w:rPr>
        <w:t xml:space="preserve"> </w:t>
      </w:r>
      <w:r w:rsidR="00FC4515" w:rsidRPr="00FC4515">
        <w:rPr>
          <w:rFonts w:eastAsia="Calibri"/>
          <w:szCs w:val="22"/>
        </w:rPr>
        <w:t xml:space="preserve">World Health </w:t>
      </w:r>
      <w:proofErr w:type="spellStart"/>
      <w:r w:rsidR="00B42AF0" w:rsidRPr="00562362">
        <w:rPr>
          <w:rFonts w:eastAsia="Calibri"/>
          <w:szCs w:val="22"/>
          <w:highlight w:val="yellow"/>
        </w:rPr>
        <w:t>Organisation</w:t>
      </w:r>
      <w:proofErr w:type="spellEnd"/>
      <w:r w:rsidR="00B42AF0" w:rsidRPr="00FC4515">
        <w:rPr>
          <w:rFonts w:eastAsia="Calibri"/>
          <w:szCs w:val="22"/>
        </w:rPr>
        <w:t xml:space="preserve"> </w:t>
      </w:r>
      <w:r w:rsidR="00FC4515" w:rsidRPr="00FC4515">
        <w:rPr>
          <w:rFonts w:eastAsia="Calibri"/>
          <w:szCs w:val="22"/>
        </w:rPr>
        <w:t xml:space="preserve">(WHO) recommends the mass drug administration (MDA) as </w:t>
      </w:r>
      <w:r w:rsidR="00B42AF0">
        <w:rPr>
          <w:rFonts w:eastAsia="Calibri"/>
          <w:szCs w:val="22"/>
        </w:rPr>
        <w:t xml:space="preserve">a </w:t>
      </w:r>
      <w:r w:rsidR="00FC4515" w:rsidRPr="00FC4515">
        <w:rPr>
          <w:rFonts w:eastAsia="Calibri"/>
          <w:szCs w:val="22"/>
        </w:rPr>
        <w:t xml:space="preserve">pillar strategy for STH elimination through the </w:t>
      </w:r>
      <w:r w:rsidR="009E655E" w:rsidRPr="00D0780A">
        <w:rPr>
          <w:rFonts w:eastAsia="Calibri"/>
          <w:szCs w:val="22"/>
        </w:rPr>
        <w:t>anthelmintic</w:t>
      </w:r>
      <w:r w:rsidR="00FC4515">
        <w:rPr>
          <w:rFonts w:eastAsia="Calibri"/>
          <w:szCs w:val="22"/>
        </w:rPr>
        <w:t xml:space="preserve"> </w:t>
      </w:r>
      <w:r w:rsidR="00FC4515" w:rsidRPr="00FC4515">
        <w:rPr>
          <w:rFonts w:eastAsia="Calibri"/>
          <w:szCs w:val="22"/>
        </w:rPr>
        <w:t>administration</w:t>
      </w:r>
      <w:r w:rsidRPr="00D0780A">
        <w:rPr>
          <w:rFonts w:eastAsia="Calibri"/>
          <w:szCs w:val="22"/>
        </w:rPr>
        <w:t xml:space="preserve">, an </w:t>
      </w:r>
      <w:r w:rsidR="00C4228A" w:rsidRPr="00D0780A">
        <w:rPr>
          <w:rFonts w:eastAsia="Calibri"/>
          <w:szCs w:val="22"/>
        </w:rPr>
        <w:t xml:space="preserve">essential </w:t>
      </w:r>
      <w:r w:rsidRPr="00D0780A">
        <w:rPr>
          <w:rFonts w:eastAsia="Calibri"/>
          <w:szCs w:val="22"/>
        </w:rPr>
        <w:t xml:space="preserve">approach for its elimination as a public health problem </w:t>
      </w:r>
      <w:r w:rsidR="00887E9A">
        <w:rPr>
          <w:rFonts w:eastAsia="Calibri"/>
          <w:szCs w:val="22"/>
        </w:rPr>
        <w:fldChar w:fldCharType="begin"/>
      </w:r>
      <w:r w:rsidR="00887E9A">
        <w:rPr>
          <w:rFonts w:eastAsia="Calibri"/>
          <w:szCs w:val="22"/>
        </w:rPr>
        <w:instrText xml:space="preserve"> ADDIN ZOTERO_ITEM CSL_CITATION {"citationID":"tvYNUWtk","properties":{"formattedCitation":"(WHO, 2018)","plainCitation":"(WHO, 2018)","noteIndex":0},"citationItems":[{"id":3760,"uris":["http://zotero.org/users/local/ViU5KU9X/items/WBHLM3LW"],"itemData":{"id":3760,"type":"book","abstract":"78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directrices","URL":"https://iris.who.int/handle/10665/276044","author":[{"family":"WHO","given":""}],"accessed":{"date-parts":[["2024",1,26]]},"issued":{"date-parts":[["2018"]]}}}],"schema":"https://github.com/citation-style-language/schema/raw/master/csl-citation.json"} </w:instrText>
      </w:r>
      <w:r w:rsidR="00887E9A">
        <w:rPr>
          <w:rFonts w:eastAsia="Calibri"/>
          <w:szCs w:val="22"/>
        </w:rPr>
        <w:fldChar w:fldCharType="separate"/>
      </w:r>
      <w:r w:rsidR="00887E9A" w:rsidRPr="00887E9A">
        <w:rPr>
          <w:rFonts w:cs="Arial"/>
        </w:rPr>
        <w:t>(WHO, 2018)</w:t>
      </w:r>
      <w:r w:rsidR="00887E9A">
        <w:rPr>
          <w:rFonts w:eastAsia="Calibri"/>
          <w:szCs w:val="22"/>
        </w:rPr>
        <w:fldChar w:fldCharType="end"/>
      </w:r>
      <w:r w:rsidR="00AC5B79">
        <w:rPr>
          <w:rFonts w:eastAsia="Calibri"/>
          <w:szCs w:val="22"/>
        </w:rPr>
        <w:t xml:space="preserve">. </w:t>
      </w:r>
      <w:r w:rsidR="00353111" w:rsidRPr="00353111">
        <w:rPr>
          <w:rFonts w:eastAsia="Calibri"/>
          <w:szCs w:val="22"/>
          <w:highlight w:val="yellow"/>
        </w:rPr>
        <w:t xml:space="preserve">The two most commonly used drugs in existing STH programs (and available as part of drug donation programs) are albendazole and mebendazole. Both of these drugs belong to a single class of benzimidazoles that act by inhibiting tubulin </w:t>
      </w:r>
      <w:proofErr w:type="spellStart"/>
      <w:r w:rsidR="00353111">
        <w:rPr>
          <w:rFonts w:eastAsia="Calibri"/>
          <w:szCs w:val="22"/>
          <w:highlight w:val="yellow"/>
        </w:rPr>
        <w:t>polymerisation</w:t>
      </w:r>
      <w:proofErr w:type="spellEnd"/>
      <w:r w:rsidR="00353111" w:rsidRPr="00353111">
        <w:rPr>
          <w:rFonts w:eastAsia="Calibri"/>
          <w:szCs w:val="22"/>
          <w:highlight w:val="yellow"/>
        </w:rPr>
        <w:t>, leading to worm paralysis and death</w:t>
      </w:r>
      <w:r w:rsidR="00353111">
        <w:rPr>
          <w:rFonts w:eastAsia="Calibri"/>
          <w:szCs w:val="22"/>
          <w:highlight w:val="yellow"/>
        </w:rPr>
        <w:t xml:space="preserve"> </w:t>
      </w:r>
      <w:r w:rsidR="00353111" w:rsidRPr="00562362">
        <w:rPr>
          <w:rFonts w:eastAsia="Calibri"/>
          <w:szCs w:val="22"/>
          <w:highlight w:val="yellow"/>
        </w:rPr>
        <w:t>(</w:t>
      </w:r>
      <w:r w:rsidR="00353111" w:rsidRPr="00353111">
        <w:rPr>
          <w:rFonts w:eastAsia="Calibri"/>
          <w:szCs w:val="22"/>
          <w:highlight w:val="yellow"/>
        </w:rPr>
        <w:t>Pilotte</w:t>
      </w:r>
      <w:r w:rsidR="00353111">
        <w:rPr>
          <w:rFonts w:eastAsia="Calibri"/>
          <w:szCs w:val="22"/>
          <w:highlight w:val="yellow"/>
        </w:rPr>
        <w:t xml:space="preserve"> et al., 2022</w:t>
      </w:r>
      <w:r w:rsidR="00353111" w:rsidRPr="00562362">
        <w:rPr>
          <w:rFonts w:eastAsia="Calibri"/>
          <w:szCs w:val="22"/>
          <w:highlight w:val="yellow"/>
        </w:rPr>
        <w:t>)</w:t>
      </w:r>
      <w:r w:rsidR="00353111" w:rsidRPr="00562362">
        <w:rPr>
          <w:rFonts w:eastAsia="Calibri"/>
          <w:szCs w:val="22"/>
          <w:highlight w:val="yellow"/>
        </w:rPr>
        <w:t>.</w:t>
      </w:r>
      <w:r w:rsidR="00353111">
        <w:rPr>
          <w:rFonts w:eastAsia="Calibri"/>
          <w:szCs w:val="22"/>
        </w:rPr>
        <w:t xml:space="preserve"> </w:t>
      </w:r>
      <w:r w:rsidR="00AC5B79">
        <w:rPr>
          <w:rFonts w:eastAsia="Calibri"/>
          <w:szCs w:val="22"/>
        </w:rPr>
        <w:t>MDA targets children of 1 to 14 years and women of 15 to 49 years</w:t>
      </w:r>
      <w:r w:rsidRPr="00D0780A">
        <w:rPr>
          <w:rFonts w:eastAsia="Calibri"/>
          <w:szCs w:val="22"/>
        </w:rPr>
        <w:t xml:space="preserve">. </w:t>
      </w:r>
      <w:r w:rsidR="00AC5B79" w:rsidRPr="00AC5B79">
        <w:rPr>
          <w:rFonts w:eastAsia="Calibri"/>
          <w:szCs w:val="22"/>
        </w:rPr>
        <w:t xml:space="preserve">It is recommended </w:t>
      </w:r>
      <w:r w:rsidR="00B42AF0">
        <w:rPr>
          <w:rFonts w:eastAsia="Calibri"/>
          <w:szCs w:val="22"/>
        </w:rPr>
        <w:t xml:space="preserve">that </w:t>
      </w:r>
      <w:r w:rsidR="00AC5B79" w:rsidRPr="00AC5B79">
        <w:rPr>
          <w:rFonts w:eastAsia="Calibri"/>
          <w:szCs w:val="22"/>
        </w:rPr>
        <w:t>annual or biannual deworming through a single dose of 400 mg of albendazole (ALB) or 500 mg of mebendazole for all at-risk individuals in areas where STH prevalence exceeds 20%</w:t>
      </w:r>
      <w:r w:rsidR="006B239B">
        <w:rPr>
          <w:rFonts w:eastAsia="Calibri"/>
          <w:szCs w:val="22"/>
        </w:rPr>
        <w:t xml:space="preserve"> </w:t>
      </w:r>
      <w:r w:rsidR="006B239B" w:rsidRPr="00562362">
        <w:rPr>
          <w:rFonts w:eastAsia="Calibri"/>
          <w:szCs w:val="22"/>
          <w:highlight w:val="yellow"/>
        </w:rPr>
        <w:t>(</w:t>
      </w:r>
      <w:r w:rsidR="006B239B" w:rsidRPr="006B239B">
        <w:rPr>
          <w:highlight w:val="yellow"/>
        </w:rPr>
        <w:t>Ene</w:t>
      </w:r>
      <w:r w:rsidR="006B239B" w:rsidRPr="00562362">
        <w:rPr>
          <w:highlight w:val="yellow"/>
        </w:rPr>
        <w:t xml:space="preserve"> et al., 2025</w:t>
      </w:r>
      <w:r w:rsidR="006B239B" w:rsidRPr="00562362">
        <w:rPr>
          <w:rFonts w:eastAsia="Calibri"/>
          <w:szCs w:val="22"/>
          <w:highlight w:val="yellow"/>
        </w:rPr>
        <w:t>)</w:t>
      </w:r>
      <w:r w:rsidR="00AC5B79" w:rsidRPr="00562362">
        <w:rPr>
          <w:rFonts w:eastAsia="Calibri"/>
          <w:szCs w:val="22"/>
          <w:highlight w:val="yellow"/>
        </w:rPr>
        <w:t>.</w:t>
      </w:r>
      <w:r w:rsidR="00AC5B79" w:rsidRPr="00AC5B79">
        <w:rPr>
          <w:rFonts w:eastAsia="Calibri"/>
          <w:szCs w:val="22"/>
        </w:rPr>
        <w:t xml:space="preserve"> Women of </w:t>
      </w:r>
      <w:r w:rsidR="00B42AF0" w:rsidRPr="00562362">
        <w:rPr>
          <w:rFonts w:eastAsia="Calibri"/>
          <w:szCs w:val="22"/>
          <w:highlight w:val="yellow"/>
        </w:rPr>
        <w:t>childbearing</w:t>
      </w:r>
      <w:r w:rsidR="00AC5B79" w:rsidRPr="00562362">
        <w:rPr>
          <w:rFonts w:eastAsia="Calibri"/>
          <w:szCs w:val="22"/>
          <w:highlight w:val="yellow"/>
        </w:rPr>
        <w:t xml:space="preserve"> age</w:t>
      </w:r>
      <w:r w:rsidR="00AC5B79" w:rsidRPr="00AC5B79">
        <w:rPr>
          <w:rFonts w:eastAsia="Calibri"/>
          <w:szCs w:val="22"/>
        </w:rPr>
        <w:t xml:space="preserve"> are treated with the same medicines through antenatal care (Kalenga et al., 2003)</w:t>
      </w:r>
      <w:r w:rsidR="00AC5B79">
        <w:rPr>
          <w:rFonts w:eastAsia="Calibri"/>
          <w:szCs w:val="22"/>
        </w:rPr>
        <w:t>.</w:t>
      </w:r>
    </w:p>
    <w:p w14:paraId="6EA345C2" w14:textId="7DAD2873" w:rsidR="00D0780A" w:rsidRPr="00D0780A" w:rsidRDefault="00225CAA" w:rsidP="00D0780A">
      <w:pPr>
        <w:rPr>
          <w:rFonts w:eastAsia="Calibri"/>
          <w:szCs w:val="22"/>
        </w:rPr>
      </w:pPr>
      <w:r>
        <w:rPr>
          <w:rFonts w:eastAsia="Calibri"/>
          <w:szCs w:val="22"/>
        </w:rPr>
        <w:t>T</w:t>
      </w:r>
      <w:r w:rsidR="00D0780A" w:rsidRPr="00D0780A">
        <w:rPr>
          <w:rFonts w:eastAsia="Calibri"/>
          <w:szCs w:val="22"/>
        </w:rPr>
        <w:t xml:space="preserve">he success of MDA relies on </w:t>
      </w:r>
      <w:r w:rsidR="002B6E8A">
        <w:rPr>
          <w:rFonts w:eastAsia="Calibri"/>
          <w:szCs w:val="22"/>
        </w:rPr>
        <w:t>complia</w:t>
      </w:r>
      <w:r w:rsidR="00D0780A" w:rsidRPr="00D0780A">
        <w:rPr>
          <w:rFonts w:eastAsia="Calibri"/>
          <w:szCs w:val="22"/>
        </w:rPr>
        <w:t>nce, meaning the extent to which the population perceives and follows the medication guidelines (individ</w:t>
      </w:r>
      <w:r w:rsidR="00125CB8">
        <w:rPr>
          <w:rFonts w:eastAsia="Calibri"/>
          <w:szCs w:val="22"/>
        </w:rPr>
        <w:t>ual factors). P</w:t>
      </w:r>
      <w:r w:rsidR="00D0780A" w:rsidRPr="00D0780A">
        <w:rPr>
          <w:rFonts w:eastAsia="Calibri"/>
          <w:szCs w:val="22"/>
        </w:rPr>
        <w:t xml:space="preserve">rogrammatic factors, such as service quality, influence </w:t>
      </w:r>
      <w:r w:rsidR="002747FF">
        <w:rPr>
          <w:rFonts w:eastAsia="Calibri"/>
          <w:szCs w:val="22"/>
        </w:rPr>
        <w:t>complia</w:t>
      </w:r>
      <w:r w:rsidR="00D0780A" w:rsidRPr="00D0780A">
        <w:rPr>
          <w:rFonts w:eastAsia="Calibri"/>
          <w:szCs w:val="22"/>
        </w:rPr>
        <w:t xml:space="preserve">nce to MDA, as demonstrated in fidelity dimension analyses </w:t>
      </w:r>
      <w:r w:rsidR="00887E9A">
        <w:rPr>
          <w:rFonts w:eastAsia="Calibri"/>
          <w:szCs w:val="22"/>
        </w:rPr>
        <w:fldChar w:fldCharType="begin"/>
      </w:r>
      <w:r w:rsidR="00017E09">
        <w:rPr>
          <w:rFonts w:eastAsia="Calibri"/>
          <w:szCs w:val="22"/>
        </w:rPr>
        <w:instrText xml:space="preserve"> ADDIN ZOTERO_ITEM CSL_CITATION {"citationID":"XVNGlKps","properties":{"formattedCitation":"(Kulandaipalayam, 2023; WHO, 2018)","plainCitation":"(Kulandaipalayam, 2023; WHO, 2018)","noteIndex":0},"citationItems":[{"id":3824,"uris":["http://zotero.org/users/local/ViU5KU9X/items/LFCG2AAS"],"itemData":{"id":3824,"type":"article-journal","DOI":"10.4269/ajtmh.23-0176","issue":"109","journalAbbreviation":"Am. J. Trop. Med. Hyg.","page":"830–834","title":"Perceptions Associated with Noncompliance to Community-Wide Mass Drug Administration for Soil-Transmitted Helminths","volume":"4","author":[{"family":"Kulandaipalayam","given":"Sindhu"}],"issued":{"date-parts":[["2023"]]}},"label":"page"},{"id":3760,"uris":["http://zotero.org/users/local/ViU5KU9X/items/WBHLM3LW"],"itemData":{"id":3760,"type":"book","abstract":"78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label":"page"}],"schema":"https://github.com/citation-style-language/schema/raw/master/csl-citation.json"} </w:instrText>
      </w:r>
      <w:r w:rsidR="00887E9A">
        <w:rPr>
          <w:rFonts w:eastAsia="Calibri"/>
          <w:szCs w:val="22"/>
        </w:rPr>
        <w:fldChar w:fldCharType="separate"/>
      </w:r>
      <w:r w:rsidR="00017E09" w:rsidRPr="00017E09">
        <w:rPr>
          <w:rFonts w:eastAsia="Calibri" w:cs="Arial"/>
        </w:rPr>
        <w:t>(Kulandaipalayam, 2023; WHO, 2018)</w:t>
      </w:r>
      <w:r w:rsidR="00887E9A">
        <w:rPr>
          <w:rFonts w:eastAsia="Calibri"/>
          <w:szCs w:val="22"/>
        </w:rPr>
        <w:fldChar w:fldCharType="end"/>
      </w:r>
      <w:r w:rsidR="00D0780A" w:rsidRPr="00D0780A">
        <w:rPr>
          <w:rFonts w:eastAsia="Calibri"/>
          <w:szCs w:val="22"/>
        </w:rPr>
        <w:t>.</w:t>
      </w:r>
    </w:p>
    <w:p w14:paraId="08B820FC" w14:textId="42086406" w:rsidR="00D0780A" w:rsidRPr="00D0780A" w:rsidRDefault="00D0780A" w:rsidP="00D0780A">
      <w:pPr>
        <w:rPr>
          <w:rFonts w:eastAsia="Calibri"/>
          <w:szCs w:val="22"/>
        </w:rPr>
      </w:pPr>
      <w:r w:rsidRPr="00D0780A">
        <w:rPr>
          <w:rFonts w:eastAsia="Calibri"/>
          <w:szCs w:val="22"/>
        </w:rPr>
        <w:t xml:space="preserve">The biological characteristics of adolescent girls and women of reproductive age (WRA) expose them to greater vulnerability to STH-related morbidity. These individuals experience blood loss during menstruation, which is exacerbated by helminth infections, leading to an increased risk of iron-deficiency </w:t>
      </w:r>
      <w:proofErr w:type="spellStart"/>
      <w:r w:rsidR="00B42AF0" w:rsidRPr="00562362">
        <w:rPr>
          <w:rFonts w:eastAsia="Calibri"/>
          <w:szCs w:val="22"/>
          <w:highlight w:val="yellow"/>
        </w:rPr>
        <w:t>anaemia</w:t>
      </w:r>
      <w:proofErr w:type="spellEnd"/>
      <w:r w:rsidR="00E9350D">
        <w:rPr>
          <w:rFonts w:eastAsia="Calibri"/>
          <w:szCs w:val="22"/>
        </w:rPr>
        <w:t xml:space="preserve"> </w:t>
      </w:r>
      <w:r w:rsidR="00E9350D" w:rsidRPr="00562362">
        <w:rPr>
          <w:rFonts w:eastAsia="Calibri"/>
          <w:szCs w:val="22"/>
          <w:highlight w:val="yellow"/>
        </w:rPr>
        <w:t>(</w:t>
      </w:r>
      <w:r w:rsidR="00E9350D" w:rsidRPr="00E9350D">
        <w:rPr>
          <w:highlight w:val="yellow"/>
        </w:rPr>
        <w:t>Mohammed</w:t>
      </w:r>
      <w:r w:rsidR="00E9350D" w:rsidRPr="00562362">
        <w:rPr>
          <w:highlight w:val="yellow"/>
        </w:rPr>
        <w:t xml:space="preserve"> et al., 2023</w:t>
      </w:r>
      <w:r w:rsidR="00E9350D" w:rsidRPr="00562362">
        <w:rPr>
          <w:rFonts w:eastAsia="Calibri"/>
          <w:szCs w:val="22"/>
          <w:highlight w:val="yellow"/>
        </w:rPr>
        <w:t>)</w:t>
      </w:r>
      <w:r w:rsidRPr="00562362">
        <w:rPr>
          <w:rFonts w:eastAsia="Calibri"/>
          <w:szCs w:val="22"/>
          <w:highlight w:val="yellow"/>
        </w:rPr>
        <w:t>.</w:t>
      </w:r>
      <w:r w:rsidRPr="00D0780A">
        <w:rPr>
          <w:rFonts w:eastAsia="Calibri"/>
          <w:szCs w:val="22"/>
        </w:rPr>
        <w:t xml:space="preserve"> This condition contributes to maternal and infant mortality and low birth weight in newborns </w:t>
      </w:r>
      <w:r w:rsidR="00017E09">
        <w:rPr>
          <w:rFonts w:eastAsia="Calibri"/>
          <w:szCs w:val="22"/>
        </w:rPr>
        <w:fldChar w:fldCharType="begin"/>
      </w:r>
      <w:r w:rsidR="00017E09">
        <w:rPr>
          <w:rFonts w:eastAsia="Calibri"/>
          <w:szCs w:val="22"/>
        </w:rPr>
        <w:instrText xml:space="preserve"> ADDIN ZOTERO_ITEM CSL_CITATION {"citationID":"7iQ7oqNY","properties":{"formattedCitation":"(WHO, 2018, 2021)","plainCitation":"(WHO, 2018, 2021)","noteIndex":0},"citationItems":[{"id":3760,"uris":["http://zotero.org/users/local/ViU5KU9X/items/WBHLM3LW"],"itemData":{"id":3760,"type":"book","abstract":"78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label":"page"},{"id":3798,"uris":["http://zotero.org/users/local/ViU5KU9X/items/WXQMLNQB"],"itemData":{"id":3798,"type":"document","language":"fr","title":"Déparasitage des adolescentes et des femmes en âge de procréer : note d’orientation","URL":"https://www.eliminateschisto.org/sites/gsa/files/content/attachments/2023-03-01/9789240042599-fre.pdf","author":[{"family":"WHO","given":""}],"accessed":{"date-parts":[["2024",2,26]]},"issued":{"date-parts":[["2021"]]}},"label":"page"}],"schema":"https://github.com/citation-style-language/schema/raw/master/csl-citation.json"} </w:instrText>
      </w:r>
      <w:r w:rsidR="00017E09">
        <w:rPr>
          <w:rFonts w:eastAsia="Calibri"/>
          <w:szCs w:val="22"/>
        </w:rPr>
        <w:fldChar w:fldCharType="separate"/>
      </w:r>
      <w:r w:rsidR="00017E09" w:rsidRPr="00017E09">
        <w:rPr>
          <w:rFonts w:eastAsia="Calibri" w:cs="Arial"/>
        </w:rPr>
        <w:t>(WHO, 2018, 2021)</w:t>
      </w:r>
      <w:r w:rsidR="00017E09">
        <w:rPr>
          <w:rFonts w:eastAsia="Calibri"/>
          <w:szCs w:val="22"/>
        </w:rPr>
        <w:fldChar w:fldCharType="end"/>
      </w:r>
      <w:r w:rsidRPr="00D0780A">
        <w:rPr>
          <w:rFonts w:eastAsia="Calibri"/>
          <w:szCs w:val="22"/>
        </w:rPr>
        <w:t>.</w:t>
      </w:r>
    </w:p>
    <w:p w14:paraId="1AD6209E" w14:textId="704B9FB4" w:rsidR="00D0780A" w:rsidRPr="00D0780A" w:rsidRDefault="00D0780A" w:rsidP="00D0780A">
      <w:pPr>
        <w:rPr>
          <w:rFonts w:eastAsia="Calibri"/>
          <w:szCs w:val="22"/>
        </w:rPr>
      </w:pPr>
      <w:r w:rsidRPr="00D0780A">
        <w:rPr>
          <w:rFonts w:eastAsia="Calibri"/>
          <w:szCs w:val="22"/>
        </w:rPr>
        <w:t xml:space="preserve">More than 500 million WRA living in endemic areas require anthelmintic treatment to prevent STH </w:t>
      </w:r>
      <w:r w:rsidR="000A2366">
        <w:rPr>
          <w:rFonts w:eastAsia="Calibri"/>
          <w:szCs w:val="22"/>
        </w:rPr>
        <w:fldChar w:fldCharType="begin"/>
      </w:r>
      <w:r w:rsidR="000A2366">
        <w:rPr>
          <w:rFonts w:eastAsia="Calibri"/>
          <w:szCs w:val="22"/>
        </w:rPr>
        <w:instrText xml:space="preserve"> ADDIN ZOTERO_ITEM CSL_CITATION {"citationID":"tB4K6CWb","properties":{"formattedCitation":"(WHO, 2021)","plainCitation":"(WHO, 2021)","noteIndex":0},"citationItems":[{"id":3798,"uris":["http://zotero.org/users/local/ViU5KU9X/items/WXQMLNQB"],"itemData":{"id":3798,"type":"document","language":"fr","title":"Déparasitage des adolescentes et des femmes en âge de procréer : note d’orientation","URL":"https://www.eliminateschisto.org/sites/gsa/files/content/attachments/2023-03-01/9789240042599-fre.pdf","author":[{"family":"WHO","given":""}],"accessed":{"date-parts":[["2024",2,26]]},"issued":{"date-parts":[["2021"]]}}}],"schema":"https://github.com/citation-style-language/schema/raw/master/csl-citation.json"} </w:instrText>
      </w:r>
      <w:r w:rsidR="000A2366">
        <w:rPr>
          <w:rFonts w:eastAsia="Calibri"/>
          <w:szCs w:val="22"/>
        </w:rPr>
        <w:fldChar w:fldCharType="separate"/>
      </w:r>
      <w:r w:rsidR="000A2366" w:rsidRPr="000A2366">
        <w:rPr>
          <w:rFonts w:eastAsia="Calibri" w:cs="Arial"/>
        </w:rPr>
        <w:t>(WHO, 2021)</w:t>
      </w:r>
      <w:r w:rsidR="000A2366">
        <w:rPr>
          <w:rFonts w:eastAsia="Calibri"/>
          <w:szCs w:val="22"/>
        </w:rPr>
        <w:fldChar w:fldCharType="end"/>
      </w:r>
      <w:r w:rsidRPr="00D0780A">
        <w:rPr>
          <w:rFonts w:eastAsia="Calibri"/>
          <w:szCs w:val="22"/>
        </w:rPr>
        <w:t>. These infections affect nearly a quarter of the global population, with an estimated burden of 39 million Disability-Adjusted Life Years (DALYs) for Ancylostoma duodenale, Ascaris lumbricoides, and Trichuris trichiura, surpassing that of malaria (35.7 million DALYs)</w:t>
      </w:r>
      <w:r w:rsidR="006844F7">
        <w:rPr>
          <w:rFonts w:eastAsia="Calibri"/>
          <w:szCs w:val="22"/>
        </w:rPr>
        <w:fldChar w:fldCharType="begin"/>
      </w:r>
      <w:r w:rsidR="006844F7">
        <w:rPr>
          <w:rFonts w:eastAsia="Calibri"/>
          <w:szCs w:val="22"/>
        </w:rPr>
        <w:instrText xml:space="preserve"> ADDIN ZOTERO_ITEM CSL_CITATION {"citationID":"nJdefdol","properties":{"formattedCitation":"(anafrimed, 2009)","plainCitation":"(anafrimed, 2009)","noteIndex":0},"citationItems":[{"id":3979,"uris":["http://zotero.org/users/local/ViU5KU9X/items/FVQU8ILY"],"itemData":{"id":3979,"type":"post-weblog","language":"fr-FR","title":"Estimation de la prévalence des géo-helminthes à Kinshasa (Méta-analyse de 185 études) - Annales africaines de médecine","URL":"https://anafrimed.net/estimation-de-la-prevalence-des-geo-helminthes-a-kinshasa-meta-analyse-de-185-etudes/, https://anafrimed.net/estimation-de-la-prevalence-des-geo-helminthes-a-kinshasa-meta-analyse-de-185-etudes/","author":[{"family":"anafrimed","given":""}],"accessed":{"date-parts":[["2025",4,30]]},"issued":{"date-parts":[["2009",9,24]]}}}],"schema":"https://github.com/citation-style-language/schema/raw/master/csl-citation.json"} </w:instrText>
      </w:r>
      <w:r w:rsidR="006844F7">
        <w:rPr>
          <w:rFonts w:eastAsia="Calibri"/>
          <w:szCs w:val="22"/>
        </w:rPr>
        <w:fldChar w:fldCharType="separate"/>
      </w:r>
      <w:r w:rsidR="006844F7" w:rsidRPr="006844F7">
        <w:rPr>
          <w:rFonts w:eastAsia="Calibri" w:cs="Arial"/>
        </w:rPr>
        <w:t>(anafrimed, 2009)</w:t>
      </w:r>
      <w:r w:rsidR="006844F7">
        <w:rPr>
          <w:rFonts w:eastAsia="Calibri"/>
          <w:szCs w:val="22"/>
        </w:rPr>
        <w:fldChar w:fldCharType="end"/>
      </w:r>
      <w:r w:rsidRPr="00D0780A">
        <w:rPr>
          <w:rFonts w:eastAsia="Calibri"/>
          <w:szCs w:val="22"/>
        </w:rPr>
        <w:t xml:space="preserve">. In 2018, it was estimated that 49 countries required consecutive MDA rounds with at least 75% coverage. WHO also recommends an impact assessment after five years of chemoprevention to adjust treatment frequency based on the results obtained </w:t>
      </w:r>
      <w:r w:rsidR="00CA3988">
        <w:rPr>
          <w:rFonts w:eastAsia="Calibri"/>
          <w:szCs w:val="22"/>
        </w:rPr>
        <w:fldChar w:fldCharType="begin"/>
      </w:r>
      <w:r w:rsidR="006844F7">
        <w:rPr>
          <w:rFonts w:eastAsia="Calibri"/>
          <w:szCs w:val="22"/>
        </w:rPr>
        <w:instrText xml:space="preserve"> ADDIN ZOTERO_ITEM CSL_CITATION {"citationID":"kMKL303f","properties":{"formattedCitation":"(Ntumba &amp; Akilimali, 2024; WHO, 2023a)","plainCitation":"(Ntumba &amp; Akilimali, 2024; WHO, 2023a)","noteIndex":0},"citationItems":[{"id":3878,"uris":["http://zotero.org/users/local/ViU5KU9X/items/8EWN7AH9"],"itemData":{"id":3878,"type":"article","abstract":"Abstract: (1) Background and rationale: To validate the reported therapeutic coverage, a lymphatic filariasis post-mass drug administration (MDA) campaign survey was conducted in the Lukonga health zone from 10 June to 15 July 2023. (2) Materials and methods: This was a descriptive, cross-sectional study conducted at the community level in 30 villages in the Lukonga health zone from 10 June to 15 July 2023. The study population included all individuals from the visited com-munities. The study variables included age, sex, drug use (ivermectin + albendazole), adverse events, and adherence to MDA guidelines for supervised drug use. Questionnaires were administered on Android phones using the SurveyCTO platform. Stata version 17 was used for data analysis. (3) Results: Of the 1092 respondents, 54.8% were female and one-third were between the ages of 5 and 14. Two-thirds of the households surveyed, or 64%, had more than six people living in them, and 1031 individuals, or 94%, reported being present during the community mass drug distribution. Notably, 678 individuals, or 66%, reported taking the drugs offered, and 66.4% of those who took the drugs reported doing so in the presence of drug distributors. Thus, the survey coverage was 65.7% [95% CI: 62.9–68.7]. The results of this study show that the survey coverage was above the 65% threshold recommended by the WHO but below the 82.3% reported by the Lukonga health zone. The main reason for non-compliance was a fear of ivermectin-related side effects (47%). Supervised or directly observed treatment was not adhered to (66.4%). (4) Discussion and conclusions: Key challenges to further increase treatment coverage include assessing data quality, building capacity, motivating drug distributors, improving data reporting tools, proper recording by drug distributors, and ac-curate reporting on non-residents who take the drugs during the MDA. In addition, harmonization of the numerator for calculating drug coverage in the health zone is critical.","DOI":"10.20944/preprints202406.0525.v1","license":"http://creativecommons.org/licenses/by/4.0","source":"Public Health and Healthcare","title":"Evaluation of Mass Drug Administration Coverage for Lymphatic Filariasis in the Lukonga Health Zone in 2022","URL":"https://www.preprints.org/manuscript/202406.0525/v1","author":[{"family":"Ntumba","given":"Patrick"},{"family":"Akilimali","given":"Pierre Zalagile"}],"accessed":{"date-parts":[["2024",9,21]]},"issued":{"date-parts":[["2024",6,10]]}},"label":"page"},{"id":3960,"uris":["http://zotero.org/users/local/ViU5KU9X/items/RTZRVC6S"],"itemData":{"id":3960,"type":"article-magazine","issue":"No 41","title":"Relevé épidémiologique hebdomadaire-Programme mondial pour l’élimination de la filariose lymphatique : rapport de situation, 2022","author":[{"family":"WHO","given":""}],"issued":{"date-parts":[["2023",10,13]]}},"label":"page"}],"schema":"https://github.com/citation-style-language/schema/raw/master/csl-citation.json"} </w:instrText>
      </w:r>
      <w:r w:rsidR="00CA3988">
        <w:rPr>
          <w:rFonts w:eastAsia="Calibri"/>
          <w:szCs w:val="22"/>
        </w:rPr>
        <w:fldChar w:fldCharType="separate"/>
      </w:r>
      <w:r w:rsidR="00422D46" w:rsidRPr="00422D46">
        <w:rPr>
          <w:rFonts w:eastAsia="Calibri" w:cs="Arial"/>
        </w:rPr>
        <w:t>(Ntumba &amp; Akilimali, 2024; WHO, 2023a)</w:t>
      </w:r>
      <w:r w:rsidR="00CA3988">
        <w:rPr>
          <w:rFonts w:eastAsia="Calibri"/>
          <w:szCs w:val="22"/>
        </w:rPr>
        <w:fldChar w:fldCharType="end"/>
      </w:r>
      <w:r w:rsidRPr="00D0780A">
        <w:rPr>
          <w:rFonts w:eastAsia="Calibri"/>
          <w:szCs w:val="22"/>
        </w:rPr>
        <w:t>.</w:t>
      </w:r>
    </w:p>
    <w:p w14:paraId="23AE024D" w14:textId="1D5BF37F" w:rsidR="00D0780A" w:rsidRPr="00D0780A" w:rsidRDefault="002708A7" w:rsidP="00D0780A">
      <w:pPr>
        <w:rPr>
          <w:rFonts w:eastAsia="Calibri"/>
          <w:szCs w:val="22"/>
        </w:rPr>
      </w:pPr>
      <w:r>
        <w:rPr>
          <w:rFonts w:eastAsia="Calibri"/>
          <w:szCs w:val="22"/>
        </w:rPr>
        <w:t xml:space="preserve">In </w:t>
      </w:r>
      <w:r w:rsidR="00B42AF0" w:rsidRPr="00562362">
        <w:rPr>
          <w:rFonts w:eastAsia="Calibri"/>
          <w:szCs w:val="22"/>
          <w:highlight w:val="yellow"/>
        </w:rPr>
        <w:t xml:space="preserve">the </w:t>
      </w:r>
      <w:r w:rsidR="00D0780A" w:rsidRPr="00562362">
        <w:rPr>
          <w:rFonts w:eastAsia="Calibri"/>
          <w:szCs w:val="22"/>
          <w:highlight w:val="yellow"/>
        </w:rPr>
        <w:t>Democratic</w:t>
      </w:r>
      <w:r w:rsidR="00D0780A" w:rsidRPr="00D0780A">
        <w:rPr>
          <w:rFonts w:eastAsia="Calibri"/>
          <w:szCs w:val="22"/>
        </w:rPr>
        <w:t xml:space="preserve"> Republic of Congo (DRC), according to the 2021 report of the National Program for the Control of Neglected Tropical Diseases (PNLMTN), 291 Health Zones (HZs) have prevalence rates above the intervention threshold, with 93 HZs under treatment, though with numerous implementation irregularities </w:t>
      </w:r>
      <w:r w:rsidR="00F96134">
        <w:rPr>
          <w:rFonts w:eastAsia="Calibri"/>
          <w:szCs w:val="22"/>
        </w:rPr>
        <w:fldChar w:fldCharType="begin"/>
      </w:r>
      <w:r w:rsidR="00F96134">
        <w:rPr>
          <w:rFonts w:eastAsia="Calibri"/>
          <w:szCs w:val="22"/>
        </w:rPr>
        <w:instrText xml:space="preserve"> ADDIN ZOTERO_ITEM CSL_CITATION {"citationID":"8fnS0phe","properties":{"formattedCitation":"(PNLMTN_CTP, 2022)","plainCitation":"(PNLMTN_CTP, 2022)","noteIndex":0},"citationItems":[{"id":3795,"uris":["http://zotero.org/users/local/ViU5KU9X/items/L2Q3HC26"],"itemData":{"id":3795,"type":"document","title":"Rapport 2021","author":[{"literal":"PNLMTN_CTP"}],"issued":{"date-parts":[["2022",3]]}}}],"schema":"https://github.com/citation-style-language/schema/raw/master/csl-citation.json"} </w:instrText>
      </w:r>
      <w:r w:rsidR="00F96134">
        <w:rPr>
          <w:rFonts w:eastAsia="Calibri"/>
          <w:szCs w:val="22"/>
        </w:rPr>
        <w:fldChar w:fldCharType="separate"/>
      </w:r>
      <w:r w:rsidR="00F96134" w:rsidRPr="00F96134">
        <w:rPr>
          <w:rFonts w:eastAsia="Calibri" w:cs="Arial"/>
        </w:rPr>
        <w:t>(PNLMTN_CTP, 2022)</w:t>
      </w:r>
      <w:r w:rsidR="00F96134">
        <w:rPr>
          <w:rFonts w:eastAsia="Calibri"/>
          <w:szCs w:val="22"/>
        </w:rPr>
        <w:fldChar w:fldCharType="end"/>
      </w:r>
      <w:r w:rsidR="00D0780A" w:rsidRPr="00D0780A">
        <w:rPr>
          <w:rFonts w:eastAsia="Calibri"/>
          <w:szCs w:val="22"/>
        </w:rPr>
        <w:t xml:space="preserve">. Impact survey results on STH after five years are not yet available. However, before chemoprevention was launched in 2015 in two pilot provinces, prevalence rates ranged from 68.8% to 80% </w:t>
      </w:r>
      <w:r w:rsidR="00F96134">
        <w:rPr>
          <w:rFonts w:eastAsia="Calibri"/>
          <w:szCs w:val="22"/>
        </w:rPr>
        <w:fldChar w:fldCharType="begin"/>
      </w:r>
      <w:r w:rsidR="006844F7">
        <w:rPr>
          <w:rFonts w:eastAsia="Calibri"/>
          <w:szCs w:val="22"/>
        </w:rPr>
        <w:instrText xml:space="preserve"> ADDIN ZOTERO_ITEM CSL_CITATION {"citationID":"RhgDfnjk","properties":{"formattedCitation":"(Kabore et al., 2017)","plainCitation":"(Kabore et al., 2017)","noteIndex":0},"citationItems":[{"id":3786,"uris":["http://zotero.org/users/local/ViU5KU9X/items/XPQPEC88"],"itemData":{"id":3786,"type":"article-journal","container-title":"Acta Tropica","DOI":"10.1016/j.actatropica.2016.11.023","ISSN":"0001-706X","journalAbbreviation":"Acta Tropica","page":"177-185","source":"ScienceDirect","title":"Initiating NTD programs targeting schistosomiasis and soil-transmitted helminthiasis in two provinces of the Democratic Republic of the Congo: Establishment of baseline prevalence for mass drug administration","title-short":"Initiating NTD programs targeting schistosomiasis and soil-transmitted helminthiasis in two provinces of the Democratic Republic of the Congo","URL":"https://www.sciencedirect.com/science/article/pii/S0001706X16307094","volume":"166","author":[{"family":"Kabore","given":"Achille"},{"family":"Ibikounle","given":"Moudachirou"},{"family":"Tougoue","given":"Jean Jacques"},{"family":"Mupoyi","given":"Sylvain"},{"family":"Ndombe","given":"Martin"},{"family":"Shannon","given":"Scott"},{"family":"Ottesen","given":"Eric A."},{"family":"Mukunda","given":"Faustin"},{"family":"Awaca","given":"Naomi"}],"accessed":{"date-parts":[["2024",2,4]]},"issued":{"date-parts":[["2017",2,1]]}}}],"schema":"https://github.com/citation-style-language/schema/raw/master/csl-citation.json"} </w:instrText>
      </w:r>
      <w:r w:rsidR="00F96134">
        <w:rPr>
          <w:rFonts w:eastAsia="Calibri"/>
          <w:szCs w:val="22"/>
        </w:rPr>
        <w:fldChar w:fldCharType="separate"/>
      </w:r>
      <w:r w:rsidR="00F96134" w:rsidRPr="00F96134">
        <w:rPr>
          <w:rFonts w:eastAsia="Calibri" w:cs="Arial"/>
        </w:rPr>
        <w:t>(Kabore et al., 2017)</w:t>
      </w:r>
      <w:r w:rsidR="00F96134">
        <w:rPr>
          <w:rFonts w:eastAsia="Calibri"/>
          <w:szCs w:val="22"/>
        </w:rPr>
        <w:fldChar w:fldCharType="end"/>
      </w:r>
      <w:r w:rsidR="00D0780A" w:rsidRPr="00D0780A">
        <w:rPr>
          <w:rFonts w:eastAsia="Calibri"/>
          <w:szCs w:val="22"/>
        </w:rPr>
        <w:t xml:space="preserve">. In comparison, a 2022 impact survey in Rwanda, a </w:t>
      </w:r>
      <w:proofErr w:type="spellStart"/>
      <w:r w:rsidR="00B42AF0" w:rsidRPr="00562362">
        <w:rPr>
          <w:rFonts w:eastAsia="Calibri"/>
          <w:szCs w:val="22"/>
          <w:highlight w:val="yellow"/>
        </w:rPr>
        <w:t>neighbouring</w:t>
      </w:r>
      <w:proofErr w:type="spellEnd"/>
      <w:r w:rsidR="00B42AF0" w:rsidRPr="00562362">
        <w:rPr>
          <w:rFonts w:eastAsia="Calibri"/>
          <w:szCs w:val="22"/>
          <w:highlight w:val="yellow"/>
        </w:rPr>
        <w:t xml:space="preserve"> </w:t>
      </w:r>
      <w:r w:rsidR="00D0780A" w:rsidRPr="00562362">
        <w:rPr>
          <w:rFonts w:eastAsia="Calibri"/>
          <w:szCs w:val="22"/>
          <w:highlight w:val="yellow"/>
        </w:rPr>
        <w:t>country</w:t>
      </w:r>
      <w:r w:rsidR="00D0780A" w:rsidRPr="00D0780A">
        <w:rPr>
          <w:rFonts w:eastAsia="Calibri"/>
          <w:szCs w:val="22"/>
        </w:rPr>
        <w:t xml:space="preserve">, revealed prevalence rates between 20% and 50%, indicating more effective control </w:t>
      </w:r>
      <w:r w:rsidR="00F96134">
        <w:rPr>
          <w:rFonts w:eastAsia="Calibri"/>
          <w:szCs w:val="22"/>
        </w:rPr>
        <w:fldChar w:fldCharType="begin"/>
      </w:r>
      <w:r w:rsidR="006844F7">
        <w:rPr>
          <w:rFonts w:eastAsia="Calibri"/>
          <w:szCs w:val="22"/>
        </w:rPr>
        <w:instrText xml:space="preserve"> ADDIN ZOTERO_ITEM CSL_CITATION {"citationID":"9Kov5SaT","properties":{"formattedCitation":"(WHO, 2023b)","plainCitation":"(WHO, 2023b)","noteIndex":0},"citationItems":[{"id":3961,"uris":["http://zotero.org/users/local/ViU5KU9X/items/49LJJYIL"],"itemData":{"id":3961,"type":"article-magazine","issue":"No 51","title":"Relevé épidémiologique hebdomadaire-Schistosomiase et géohelminthiases : rapport de situation, 2022","author":[{"family":"WHO","given":""}],"issued":{"date-parts":[["2023",12,22]]}}}],"schema":"https://github.com/citation-style-language/schema/raw/master/csl-citation.json"} </w:instrText>
      </w:r>
      <w:r w:rsidR="00F96134">
        <w:rPr>
          <w:rFonts w:eastAsia="Calibri"/>
          <w:szCs w:val="22"/>
        </w:rPr>
        <w:fldChar w:fldCharType="separate"/>
      </w:r>
      <w:r w:rsidR="00422D46" w:rsidRPr="00422D46">
        <w:rPr>
          <w:rFonts w:eastAsia="Calibri" w:cs="Arial"/>
        </w:rPr>
        <w:t>(WHO, 2023b)</w:t>
      </w:r>
      <w:r w:rsidR="00F96134">
        <w:rPr>
          <w:rFonts w:eastAsia="Calibri"/>
          <w:szCs w:val="22"/>
        </w:rPr>
        <w:fldChar w:fldCharType="end"/>
      </w:r>
      <w:r w:rsidR="00D0780A" w:rsidRPr="00D0780A">
        <w:rPr>
          <w:rFonts w:eastAsia="Calibri"/>
          <w:szCs w:val="22"/>
        </w:rPr>
        <w:t>.</w:t>
      </w:r>
    </w:p>
    <w:p w14:paraId="659B0096" w14:textId="6B98FF2A" w:rsidR="00D0780A" w:rsidRPr="00D0780A" w:rsidRDefault="00D0780A" w:rsidP="00D0780A">
      <w:pPr>
        <w:rPr>
          <w:rFonts w:eastAsia="Calibri"/>
          <w:szCs w:val="22"/>
        </w:rPr>
      </w:pPr>
      <w:r w:rsidRPr="00D0780A">
        <w:rPr>
          <w:rFonts w:eastAsia="Calibri"/>
          <w:szCs w:val="22"/>
        </w:rPr>
        <w:t xml:space="preserve">Although the national coverage rate in the DRC is high (80%), the persistence of STH suggests adherence issues. WRA are likely less adherent to MDA than children due to multiple factors. They may not perceive themselves as at risk or </w:t>
      </w:r>
      <w:r w:rsidRPr="00562362">
        <w:rPr>
          <w:rFonts w:eastAsia="Calibri"/>
          <w:szCs w:val="22"/>
          <w:highlight w:val="yellow"/>
        </w:rPr>
        <w:t xml:space="preserve">may </w:t>
      </w:r>
      <w:proofErr w:type="spellStart"/>
      <w:r w:rsidR="00B42AF0" w:rsidRPr="00562362">
        <w:rPr>
          <w:rFonts w:eastAsia="Calibri"/>
          <w:szCs w:val="22"/>
          <w:highlight w:val="yellow"/>
        </w:rPr>
        <w:t>prioritise</w:t>
      </w:r>
      <w:proofErr w:type="spellEnd"/>
      <w:r w:rsidR="00B42AF0" w:rsidRPr="00562362">
        <w:rPr>
          <w:rFonts w:eastAsia="Calibri"/>
          <w:szCs w:val="22"/>
          <w:highlight w:val="yellow"/>
        </w:rPr>
        <w:t xml:space="preserve"> </w:t>
      </w:r>
      <w:r w:rsidRPr="00562362">
        <w:rPr>
          <w:rFonts w:eastAsia="Calibri"/>
          <w:szCs w:val="22"/>
          <w:highlight w:val="yellow"/>
        </w:rPr>
        <w:t>other</w:t>
      </w:r>
      <w:r w:rsidRPr="00D0780A">
        <w:rPr>
          <w:rFonts w:eastAsia="Calibri"/>
          <w:szCs w:val="22"/>
        </w:rPr>
        <w:t xml:space="preserve"> responsibilities over their health. Additionally, misconceptions and erroneous beliefs may reinforce their reluctance </w:t>
      </w:r>
      <w:r w:rsidR="00422D46">
        <w:rPr>
          <w:rFonts w:eastAsia="Calibri"/>
          <w:szCs w:val="22"/>
        </w:rPr>
        <w:fldChar w:fldCharType="begin"/>
      </w:r>
      <w:r w:rsidR="006844F7">
        <w:rPr>
          <w:rFonts w:eastAsia="Calibri"/>
          <w:szCs w:val="22"/>
        </w:rPr>
        <w:instrText xml:space="preserve"> ADDIN ZOTERO_ITEM CSL_CITATION {"citationID":"lgAqGmWz","properties":{"formattedCitation":"(KAMARIZA, 2015; Lynch, 2022)","plainCitation":"(KAMARIZA, 2015; Lynch, 2022)","noteIndex":0},"citationItems":[{"id":3885,"uris":["http://zotero.org/users/local/ViU5KU9X/items/HD6TUPTU"],"itemData":{"id":3885,"type":"thesis","event-place":"Bujumbura","number-of-pages":"88","publisher":"INSTITUT NATIONAL DE SANTE PUBLIQUE","publisher-place":"Bujumbura","title":"Etude des facteurs contribuant à la persistance des géohelminthiases en milieu rural : Cas de la Province Kirundo","author":[{"family":"KAMARIZA","given":"Micheline"}],"issued":{"date-parts":[["2015",8]]}},"label":"page"},{"id":3886,"uris":["http://zotero.org/users/local/ViU5KU9X/items/793HGFQA"],"itemData":{"id":3886,"type":"webpage","abstract":"Observance du traitement médicamenteux – Explorer à partir des Manuels MSD, version pour le grand public.","container-title":"Manuels MSD pour le grand public","language":"fr","title":"Observance du traitement médicamenteux - Médicaments","URL":"https://www.msdmanuals.com/fr/accueil/médicaments/facteurs-qui-influencent-la-réponse-aux-médicaments/observance-du-traitement-médicamenteux","author":[{"family":"Lynch","given":"Shalini"}],"accessed":{"date-parts":[["2024",9,21]]},"issued":{"date-parts":[["2022",9]]}},"label":"page"}],"schema":"https://github.com/citation-style-language/schema/raw/master/csl-citation.json"} </w:instrText>
      </w:r>
      <w:r w:rsidR="00422D46">
        <w:rPr>
          <w:rFonts w:eastAsia="Calibri"/>
          <w:szCs w:val="22"/>
        </w:rPr>
        <w:fldChar w:fldCharType="separate"/>
      </w:r>
      <w:r w:rsidR="00422D46" w:rsidRPr="00422D46">
        <w:rPr>
          <w:rFonts w:eastAsia="Calibri" w:cs="Arial"/>
        </w:rPr>
        <w:t>(KAMARIZA, 2015; Lynch, 2022)</w:t>
      </w:r>
      <w:r w:rsidR="00422D46">
        <w:rPr>
          <w:rFonts w:eastAsia="Calibri"/>
          <w:szCs w:val="22"/>
        </w:rPr>
        <w:fldChar w:fldCharType="end"/>
      </w:r>
      <w:r w:rsidRPr="00D0780A">
        <w:rPr>
          <w:rFonts w:eastAsia="Calibri"/>
          <w:szCs w:val="22"/>
        </w:rPr>
        <w:t xml:space="preserve">. In contrast, children are supervised by parents or schools, which enhances </w:t>
      </w:r>
      <w:r w:rsidR="00686764">
        <w:rPr>
          <w:rFonts w:eastAsia="Calibri"/>
          <w:szCs w:val="22"/>
        </w:rPr>
        <w:t>complia</w:t>
      </w:r>
      <w:r w:rsidRPr="00D0780A">
        <w:rPr>
          <w:rFonts w:eastAsia="Calibri"/>
          <w:szCs w:val="22"/>
        </w:rPr>
        <w:t xml:space="preserve">nce </w:t>
      </w:r>
      <w:r w:rsidR="00686764">
        <w:rPr>
          <w:rFonts w:eastAsia="Calibri"/>
          <w:szCs w:val="22"/>
        </w:rPr>
        <w:fldChar w:fldCharType="begin"/>
      </w:r>
      <w:r w:rsidR="006844F7">
        <w:rPr>
          <w:rFonts w:eastAsia="Calibri"/>
          <w:szCs w:val="22"/>
        </w:rPr>
        <w:instrText xml:space="preserve"> ADDIN ZOTERO_ITEM CSL_CITATION {"citationID":"OyAz53tX","properties":{"formattedCitation":"(J-PAL, 2022)","plainCitation":"(J-PAL, 2022)","noteIndex":0},"citationItems":[{"id":3888,"uris":["http://zotero.org/users/local/ViU5KU9X/items/QQQ3JTSD"],"itemData":{"id":3888,"type":"webpage","container-title":"The Abdul Latif Jameel Poverty Action Lab (J-PAL)","language":"fr","title":"Déparasiter pour améliorer la fréquentation scolaire","URL":"https://www.povertyactionlab.org/publication/roll-call-getting-children-school","author":[{"family":"J-PAL","given":""}],"accessed":{"date-parts":[["2024",9,21]]},"issued":{"date-parts":[["2022"]]}}}],"schema":"https://github.com/citation-style-language/schema/raw/master/csl-citation.json"} </w:instrText>
      </w:r>
      <w:r w:rsidR="00686764">
        <w:rPr>
          <w:rFonts w:eastAsia="Calibri"/>
          <w:szCs w:val="22"/>
        </w:rPr>
        <w:fldChar w:fldCharType="separate"/>
      </w:r>
      <w:r w:rsidR="00686764" w:rsidRPr="00686764">
        <w:rPr>
          <w:rFonts w:eastAsia="Calibri" w:cs="Arial"/>
        </w:rPr>
        <w:t>(J-PAL, 2022)</w:t>
      </w:r>
      <w:r w:rsidR="00686764">
        <w:rPr>
          <w:rFonts w:eastAsia="Calibri"/>
          <w:szCs w:val="22"/>
        </w:rPr>
        <w:fldChar w:fldCharType="end"/>
      </w:r>
      <w:r w:rsidRPr="00D0780A">
        <w:rPr>
          <w:rFonts w:eastAsia="Calibri"/>
          <w:szCs w:val="22"/>
        </w:rPr>
        <w:t>.</w:t>
      </w:r>
    </w:p>
    <w:p w14:paraId="067278AD" w14:textId="6A50373E" w:rsidR="00D0780A" w:rsidRPr="00D0780A" w:rsidRDefault="00D0780A" w:rsidP="00D0780A">
      <w:pPr>
        <w:rPr>
          <w:rFonts w:eastAsia="Calibri"/>
          <w:szCs w:val="22"/>
        </w:rPr>
      </w:pPr>
      <w:r w:rsidRPr="00D0780A">
        <w:rPr>
          <w:rFonts w:eastAsia="Calibri"/>
          <w:szCs w:val="22"/>
        </w:rPr>
        <w:t>In the DRC, the fight against STH is integrated with the lymphatic filariasis (LF) elimination program through a</w:t>
      </w:r>
      <w:r w:rsidR="00F66C78">
        <w:rPr>
          <w:rFonts w:eastAsia="Calibri"/>
          <w:szCs w:val="22"/>
        </w:rPr>
        <w:t>n</w:t>
      </w:r>
      <w:r w:rsidRPr="00D0780A">
        <w:rPr>
          <w:rFonts w:eastAsia="Calibri"/>
          <w:szCs w:val="22"/>
        </w:rPr>
        <w:t xml:space="preserve"> </w:t>
      </w:r>
      <w:r w:rsidR="00F66C78" w:rsidRPr="00F66C78">
        <w:rPr>
          <w:rFonts w:eastAsia="Calibri"/>
          <w:szCs w:val="22"/>
        </w:rPr>
        <w:t>integrated</w:t>
      </w:r>
      <w:r w:rsidRPr="00D0780A">
        <w:rPr>
          <w:rFonts w:eastAsia="Calibri"/>
          <w:szCs w:val="22"/>
        </w:rPr>
        <w:t xml:space="preserve"> strategy. This approach consists of administering anthelmintics to all at-risk groups, except pregnant women. During MDA, special </w:t>
      </w:r>
      <w:r w:rsidR="00531FFB" w:rsidRPr="00531FFB">
        <w:rPr>
          <w:rFonts w:eastAsia="Calibri"/>
          <w:szCs w:val="22"/>
        </w:rPr>
        <w:t>attention</w:t>
      </w:r>
      <w:r w:rsidRPr="00D0780A">
        <w:rPr>
          <w:rFonts w:eastAsia="Calibri"/>
          <w:szCs w:val="22"/>
        </w:rPr>
        <w:t xml:space="preserve"> is required for WRA, ensuring they are not pregnant. If their gestational status or gestational age is uncertain, it is recommended not to administer the medication.</w:t>
      </w:r>
    </w:p>
    <w:p w14:paraId="708C33D3" w14:textId="0FC61C9F" w:rsidR="00D0780A" w:rsidRPr="00D0780A" w:rsidRDefault="00D0780A" w:rsidP="00D0780A">
      <w:pPr>
        <w:rPr>
          <w:rFonts w:eastAsia="Calibri"/>
          <w:szCs w:val="22"/>
        </w:rPr>
      </w:pPr>
      <w:r w:rsidRPr="00D0780A">
        <w:rPr>
          <w:rFonts w:eastAsia="Calibri"/>
          <w:szCs w:val="22"/>
        </w:rPr>
        <w:t>In South Kivu, the provincial health division coordinates efforts to contr</w:t>
      </w:r>
      <w:r w:rsidR="00836F03">
        <w:rPr>
          <w:rFonts w:eastAsia="Calibri"/>
          <w:szCs w:val="22"/>
        </w:rPr>
        <w:t>ol NTDs</w:t>
      </w:r>
      <w:r w:rsidRPr="00D0780A">
        <w:rPr>
          <w:rFonts w:eastAsia="Calibri"/>
          <w:szCs w:val="22"/>
        </w:rPr>
        <w:t xml:space="preserve">, including STH, for which few studies have been conducted. In Kadutu Health Zone, albendazole coverage reached 81% in 2022 within the community, but the </w:t>
      </w:r>
      <w:r w:rsidR="00C57BB6">
        <w:rPr>
          <w:rFonts w:eastAsia="Calibri"/>
          <w:szCs w:val="22"/>
        </w:rPr>
        <w:t>co</w:t>
      </w:r>
      <w:r w:rsidR="001C2522">
        <w:rPr>
          <w:rFonts w:eastAsia="Calibri"/>
          <w:szCs w:val="22"/>
        </w:rPr>
        <w:t>mplia</w:t>
      </w:r>
      <w:r w:rsidRPr="00D0780A">
        <w:rPr>
          <w:rFonts w:eastAsia="Calibri"/>
          <w:szCs w:val="22"/>
        </w:rPr>
        <w:t xml:space="preserve">nce rate was not </w:t>
      </w:r>
      <w:r w:rsidRPr="00D0780A">
        <w:rPr>
          <w:rFonts w:eastAsia="Calibri"/>
          <w:szCs w:val="22"/>
        </w:rPr>
        <w:lastRenderedPageBreak/>
        <w:t xml:space="preserve">reported </w:t>
      </w:r>
      <w:r w:rsidR="00DD6085">
        <w:rPr>
          <w:rFonts w:eastAsia="Calibri"/>
          <w:szCs w:val="22"/>
        </w:rPr>
        <w:fldChar w:fldCharType="begin"/>
      </w:r>
      <w:r w:rsidR="006844F7">
        <w:rPr>
          <w:rFonts w:eastAsia="Calibri"/>
          <w:szCs w:val="22"/>
        </w:rPr>
        <w:instrText xml:space="preserve"> ADDIN ZOTERO_ITEM CSL_CITATION {"citationID":"tvMxKtSM","properties":{"formattedCitation":"(ZS Kadutu, 2022)","plainCitation":"(ZS Kadutu, 2022)","noteIndex":0},"citationItems":[{"id":3851,"uris":["http://zotero.org/users/local/ViU5KU9X/items/GEXQEJ9F"],"itemData":{"id":3851,"type":"document","language":"fr","title":"Rapport annuel de la Zone de Santé","author":[{"family":"ZS Kadutu","given":""}],"accessed":{"date-parts":[["2024",9,14]]},"issued":{"date-parts":[["2022"]]}}}],"schema":"https://github.com/citation-style-language/schema/raw/master/csl-citation.json"} </w:instrText>
      </w:r>
      <w:r w:rsidR="00DD6085">
        <w:rPr>
          <w:rFonts w:eastAsia="Calibri"/>
          <w:szCs w:val="22"/>
        </w:rPr>
        <w:fldChar w:fldCharType="separate"/>
      </w:r>
      <w:r w:rsidR="00DD6085" w:rsidRPr="00DD6085">
        <w:rPr>
          <w:rFonts w:eastAsia="Calibri" w:cs="Arial"/>
        </w:rPr>
        <w:t>(ZS Kadutu, 2022)</w:t>
      </w:r>
      <w:r w:rsidR="00DD6085">
        <w:rPr>
          <w:rFonts w:eastAsia="Calibri"/>
          <w:szCs w:val="22"/>
        </w:rPr>
        <w:fldChar w:fldCharType="end"/>
      </w:r>
      <w:r w:rsidRPr="00D0780A">
        <w:rPr>
          <w:rFonts w:eastAsia="Calibri"/>
          <w:szCs w:val="22"/>
        </w:rPr>
        <w:t xml:space="preserve">. </w:t>
      </w:r>
      <w:r w:rsidR="00DD6085">
        <w:rPr>
          <w:rFonts w:eastAsia="Calibri"/>
          <w:szCs w:val="22"/>
        </w:rPr>
        <w:t>Complia</w:t>
      </w:r>
      <w:r w:rsidRPr="00D0780A">
        <w:rPr>
          <w:rFonts w:eastAsia="Calibri"/>
          <w:szCs w:val="22"/>
        </w:rPr>
        <w:t xml:space="preserve">nce in MDA is crucial, as poor adherence threatens the success of STH control efforts </w:t>
      </w:r>
      <w:r w:rsidR="00DD6085">
        <w:rPr>
          <w:rFonts w:eastAsia="Calibri"/>
          <w:szCs w:val="22"/>
        </w:rPr>
        <w:fldChar w:fldCharType="begin"/>
      </w:r>
      <w:r w:rsidR="006844F7">
        <w:rPr>
          <w:rFonts w:eastAsia="Calibri"/>
          <w:szCs w:val="22"/>
        </w:rPr>
        <w:instrText xml:space="preserve"> ADDIN ZOTERO_ITEM CSL_CITATION {"citationID":"EIUrNz1g","properties":{"formattedCitation":"(Akinsolu &amp; Abodunrin, 2023; Nath et al., 2019)","plainCitation":"(Akinsolu &amp; Abodunrin, 2023; Nath et al., 2019)","noteIndex":0},"citationItems":[{"id":3770,"uris":["http://zotero.org/users/local/ViU5KU9X/items/QWT7HMYK"],"itemData":{"id":3770,"type":"article-journal","container-title":"PLOS Neglected Tropical Diseases","DOI":"10.1371/journal.pntd.0011213","ISSN":"1935-2735","issue":"7","journalAbbreviation":"PLoS Negl Trop Dis","language":"en","page":"e0011213","source":"Semantic Scholar","title":"Community perception of school-based mass drug administration program for soil-transmitted helminths and Schistosomiasis in Ogun State, Nigeria","URL":"https://dx.plos.org/10.1371/journal.pntd.0011213","volume":"17","author":[{"family":"Akinsolu","given":"Folahanmi T."},{"family":"Abodunrin","given":"Olunike R."}],"accessed":{"date-parts":[["2024",1,26]]},"issued":{"date-parts":[["2023",7,17]]}},"label":"page"},{"id":3806,"uris":["http://zotero.org/users/local/ViU5KU9X/items/IIMEF7SQ"],"itemData":{"id":3806,"type":"article-journal","container-title":"Journal of Infection and Public Health","DOI":"10.1016/j.jiph.2018.10.002","ISSN":"18760341","issue":"2","journalAbbreviation":"Journal of Infection and Public Health","language":"en","page":"205-212","source":"DOI.org (Crossref)","title":"Barriers and gaps in utilization and coverage of mass drug administration program against soil-transmitted helminth infection in Bangladesh: An implementation research","title-short":"Barriers and gaps in utilization and coverage of mass drug administration program against soil-transmitted helminth infection in Bangladesh","URL":"https://linkinghub.elsevier.com/retrieve/pii/S1876034118301539","volume":"12","author":[{"family":"Nath","given":"Tilak C."},{"family":"Padmawati","given":"Retna S."},{"family":"Murhandarwati","given":"Elsa H."}],"accessed":{"date-parts":[["2024",2,26]]},"issued":{"date-parts":[["2019",3]]}},"label":"page"}],"schema":"https://github.com/citation-style-language/schema/raw/master/csl-citation.json"} </w:instrText>
      </w:r>
      <w:r w:rsidR="00DD6085">
        <w:rPr>
          <w:rFonts w:eastAsia="Calibri"/>
          <w:szCs w:val="22"/>
        </w:rPr>
        <w:fldChar w:fldCharType="separate"/>
      </w:r>
      <w:r w:rsidR="006844F7" w:rsidRPr="006844F7">
        <w:rPr>
          <w:rFonts w:eastAsia="Calibri" w:cs="Arial"/>
        </w:rPr>
        <w:t>(Akinsolu &amp; Abodunrin, 2023; Nath et al., 2019)</w:t>
      </w:r>
      <w:r w:rsidR="00DD6085">
        <w:rPr>
          <w:rFonts w:eastAsia="Calibri"/>
          <w:szCs w:val="22"/>
        </w:rPr>
        <w:fldChar w:fldCharType="end"/>
      </w:r>
      <w:r w:rsidRPr="00D0780A">
        <w:rPr>
          <w:rFonts w:eastAsia="Calibri"/>
          <w:szCs w:val="22"/>
        </w:rPr>
        <w:t xml:space="preserve">. </w:t>
      </w:r>
      <w:r w:rsidR="00EE6C85" w:rsidRPr="00EE6C85">
        <w:rPr>
          <w:rFonts w:eastAsia="Calibri"/>
          <w:szCs w:val="22"/>
        </w:rPr>
        <w:t xml:space="preserve">The deployment of MDA in </w:t>
      </w:r>
      <w:proofErr w:type="spellStart"/>
      <w:r w:rsidR="00EE6C85" w:rsidRPr="00EE6C85">
        <w:rPr>
          <w:rFonts w:eastAsia="Calibri"/>
          <w:szCs w:val="22"/>
        </w:rPr>
        <w:t>Kadutu</w:t>
      </w:r>
      <w:proofErr w:type="spellEnd"/>
      <w:r w:rsidR="00EE6C85" w:rsidRPr="00EE6C85">
        <w:rPr>
          <w:rFonts w:eastAsia="Calibri"/>
          <w:szCs w:val="22"/>
        </w:rPr>
        <w:t xml:space="preserve"> encounters several obstacles. The lack of awareness limits the understanding of the treatment's benefits, while mistrust and misconceptions, particularly the belief that albendazole is an abortifacient, contribute to beneficiary reluctance.</w:t>
      </w:r>
    </w:p>
    <w:p w14:paraId="4DAD2195" w14:textId="6781D8A7" w:rsidR="00D0780A" w:rsidRPr="00D0780A" w:rsidRDefault="00D0780A" w:rsidP="00D0780A">
      <w:pPr>
        <w:rPr>
          <w:rFonts w:eastAsia="Calibri"/>
          <w:szCs w:val="22"/>
        </w:rPr>
      </w:pPr>
      <w:r w:rsidRPr="00D0780A">
        <w:rPr>
          <w:rFonts w:eastAsia="Calibri"/>
          <w:szCs w:val="22"/>
        </w:rPr>
        <w:t xml:space="preserve">Encouraging beneficiary populations to accept and adhere to STH-related interventions requires a participatory and culturally adapted approach to </w:t>
      </w:r>
      <w:proofErr w:type="spellStart"/>
      <w:r w:rsidR="00B42AF0" w:rsidRPr="00562362">
        <w:rPr>
          <w:rFonts w:eastAsia="Calibri"/>
          <w:szCs w:val="22"/>
          <w:highlight w:val="yellow"/>
        </w:rPr>
        <w:t>maximise</w:t>
      </w:r>
      <w:proofErr w:type="spellEnd"/>
      <w:r w:rsidR="00B42AF0" w:rsidRPr="00D0780A">
        <w:rPr>
          <w:rFonts w:eastAsia="Calibri"/>
          <w:szCs w:val="22"/>
        </w:rPr>
        <w:t xml:space="preserve"> </w:t>
      </w:r>
      <w:r w:rsidRPr="00D0780A">
        <w:rPr>
          <w:rFonts w:eastAsia="Calibri"/>
          <w:szCs w:val="22"/>
        </w:rPr>
        <w:t xml:space="preserve">effectiveness. Furthermore, gender dynamics and their interaction with other social variables must be considered, as they influence health inequalities and adherence to interventions </w:t>
      </w:r>
      <w:r w:rsidR="00BA0D80">
        <w:rPr>
          <w:rFonts w:eastAsia="Calibri"/>
          <w:szCs w:val="22"/>
        </w:rPr>
        <w:fldChar w:fldCharType="begin"/>
      </w:r>
      <w:r w:rsidR="00BA0D80">
        <w:rPr>
          <w:rFonts w:eastAsia="Calibri"/>
          <w:szCs w:val="22"/>
        </w:rPr>
        <w:instrText xml:space="preserve"> ADDIN ZOTERO_ITEM CSL_CITATION {"citationID":"07mPDpg0","properties":{"formattedCitation":"(WHO, 2020)","plainCitation":"(WHO, 2020)","noteIndex":0},"citationItems":[{"id":3852,"uris":["http://zotero.org/users/local/ViU5KU9X/items/ZTWNF3VW"],"itemData":{"id":3852,"type":"book","event-place":"Geneva","ISBN":"978-92-4-000845-8","language":"eng","note":"OCLC: 1452597524","publisher":"World Health Organization","publisher-place":"Geneva","source":"Open WorldCat","title":"Incorporating Intersectional Gender Analysis into Research on Infectious Diseases of Poverty","author":[{"family":"WHO","given":""}],"issued":{"date-parts":[["2020"]]}}}],"schema":"https://github.com/citation-style-language/schema/raw/master/csl-citation.json"} </w:instrText>
      </w:r>
      <w:r w:rsidR="00BA0D80">
        <w:rPr>
          <w:rFonts w:eastAsia="Calibri"/>
          <w:szCs w:val="22"/>
        </w:rPr>
        <w:fldChar w:fldCharType="separate"/>
      </w:r>
      <w:r w:rsidR="00BA0D80" w:rsidRPr="00BA0D80">
        <w:rPr>
          <w:rFonts w:eastAsia="Calibri" w:cs="Arial"/>
        </w:rPr>
        <w:t>(WHO, 2020)</w:t>
      </w:r>
      <w:r w:rsidR="00BA0D80">
        <w:rPr>
          <w:rFonts w:eastAsia="Calibri"/>
          <w:szCs w:val="22"/>
        </w:rPr>
        <w:fldChar w:fldCharType="end"/>
      </w:r>
      <w:r w:rsidRPr="00D0780A">
        <w:rPr>
          <w:rFonts w:eastAsia="Calibri"/>
          <w:szCs w:val="22"/>
        </w:rPr>
        <w:t xml:space="preserve">. Although MDA interventions are widely accepted by policymakers, certain social groups may resist </w:t>
      </w:r>
      <w:r w:rsidR="00BA0D80" w:rsidRPr="00D0780A">
        <w:rPr>
          <w:rFonts w:eastAsia="Calibri"/>
          <w:szCs w:val="22"/>
        </w:rPr>
        <w:t>participation.</w:t>
      </w:r>
    </w:p>
    <w:p w14:paraId="136439FB" w14:textId="794A6665" w:rsidR="00790ADA" w:rsidRPr="00FB3A86" w:rsidRDefault="00D0780A" w:rsidP="00D0780A">
      <w:pPr>
        <w:rPr>
          <w:rFonts w:cs="Arial"/>
        </w:rPr>
      </w:pPr>
      <w:r w:rsidRPr="00D0780A">
        <w:rPr>
          <w:rFonts w:eastAsia="Calibri"/>
          <w:szCs w:val="22"/>
        </w:rPr>
        <w:t xml:space="preserve">This study is justified by the need to explore and understand the socio-cultural, </w:t>
      </w:r>
      <w:proofErr w:type="spellStart"/>
      <w:r w:rsidR="00B42AF0" w:rsidRPr="00562362">
        <w:rPr>
          <w:rFonts w:eastAsia="Calibri"/>
          <w:szCs w:val="22"/>
          <w:highlight w:val="yellow"/>
        </w:rPr>
        <w:t>behavioural</w:t>
      </w:r>
      <w:proofErr w:type="spellEnd"/>
      <w:r w:rsidRPr="00562362">
        <w:rPr>
          <w:rFonts w:eastAsia="Calibri"/>
          <w:szCs w:val="22"/>
          <w:highlight w:val="yellow"/>
        </w:rPr>
        <w:t xml:space="preserve">, </w:t>
      </w:r>
      <w:r w:rsidRPr="003C1465">
        <w:rPr>
          <w:rFonts w:eastAsia="Calibri"/>
          <w:szCs w:val="22"/>
        </w:rPr>
        <w:t xml:space="preserve">and educational factors influencing MDA </w:t>
      </w:r>
      <w:r w:rsidR="00E02436" w:rsidRPr="003C1465">
        <w:rPr>
          <w:rFonts w:eastAsia="Calibri"/>
          <w:szCs w:val="22"/>
        </w:rPr>
        <w:t>complia</w:t>
      </w:r>
      <w:r w:rsidRPr="003C1465">
        <w:rPr>
          <w:rFonts w:eastAsia="Calibri"/>
          <w:szCs w:val="22"/>
        </w:rPr>
        <w:t xml:space="preserve">nce among WRA, </w:t>
      </w:r>
      <w:r w:rsidR="00801B12" w:rsidRPr="003C1465">
        <w:rPr>
          <w:rFonts w:eastAsia="Calibri"/>
          <w:szCs w:val="22"/>
        </w:rPr>
        <w:t>to</w:t>
      </w:r>
      <w:r w:rsidRPr="003C1465">
        <w:rPr>
          <w:rFonts w:eastAsia="Calibri"/>
          <w:szCs w:val="22"/>
        </w:rPr>
        <w:t xml:space="preserve"> adapt the strategy and improve</w:t>
      </w:r>
      <w:r w:rsidRPr="00D0780A">
        <w:rPr>
          <w:rFonts w:eastAsia="Calibri"/>
          <w:szCs w:val="22"/>
        </w:rPr>
        <w:t xml:space="preserve"> its effectiveness. In 2018, the WHO guideline development group and external experts called for further research on the use of chemoprevention for STH. They </w:t>
      </w:r>
      <w:proofErr w:type="spellStart"/>
      <w:r w:rsidR="00B42AF0" w:rsidRPr="00562362">
        <w:rPr>
          <w:rFonts w:eastAsia="Calibri"/>
          <w:szCs w:val="22"/>
          <w:highlight w:val="yellow"/>
        </w:rPr>
        <w:t>emphasised</w:t>
      </w:r>
      <w:proofErr w:type="spellEnd"/>
      <w:r w:rsidR="00B42AF0" w:rsidRPr="00562362">
        <w:rPr>
          <w:rFonts w:eastAsia="Calibri"/>
          <w:szCs w:val="22"/>
          <w:highlight w:val="yellow"/>
        </w:rPr>
        <w:t xml:space="preserve"> </w:t>
      </w:r>
      <w:r w:rsidRPr="00562362">
        <w:rPr>
          <w:rFonts w:eastAsia="Calibri"/>
          <w:szCs w:val="22"/>
          <w:highlight w:val="yellow"/>
        </w:rPr>
        <w:t>the</w:t>
      </w:r>
      <w:r w:rsidRPr="00D0780A">
        <w:rPr>
          <w:rFonts w:eastAsia="Calibri"/>
          <w:szCs w:val="22"/>
        </w:rPr>
        <w:t xml:space="preserve"> need to explore adherence-related factors such as values, attitudes, and preferences of WRA, highlighting the importance of health education in improving MDA </w:t>
      </w:r>
      <w:r w:rsidR="00EF668B">
        <w:rPr>
          <w:rFonts w:eastAsia="Calibri"/>
          <w:szCs w:val="22"/>
        </w:rPr>
        <w:t>complia</w:t>
      </w:r>
      <w:r w:rsidRPr="00D0780A">
        <w:rPr>
          <w:rFonts w:eastAsia="Calibri"/>
          <w:szCs w:val="22"/>
        </w:rPr>
        <w:t xml:space="preserve">nce rates </w:t>
      </w:r>
      <w:r w:rsidR="00BA0D80">
        <w:rPr>
          <w:rFonts w:eastAsia="Calibri"/>
          <w:szCs w:val="22"/>
        </w:rPr>
        <w:fldChar w:fldCharType="begin"/>
      </w:r>
      <w:r w:rsidR="00BA0D80">
        <w:rPr>
          <w:rFonts w:eastAsia="Calibri"/>
          <w:szCs w:val="22"/>
        </w:rPr>
        <w:instrText xml:space="preserve"> ADDIN ZOTERO_ITEM CSL_CITATION {"citationID":"RZpu2ZT1","properties":{"formattedCitation":"(WHO, 2018)","plainCitation":"(WHO, 2018)","noteIndex":0},"citationItems":[{"id":3760,"uris":["http://zotero.org/users/local/ViU5KU9X/items/WBHLM3LW"],"itemData":{"id":3760,"type":"book","abstract":"78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directrices","URL":"https://iris.who.int/handle/10665/276044","author":[{"family":"WHO","given":""}],"accessed":{"date-parts":[["2024",1,26]]},"issued":{"date-parts":[["2018"]]}}}],"schema":"https://github.com/citation-style-language/schema/raw/master/csl-citation.json"} </w:instrText>
      </w:r>
      <w:r w:rsidR="00BA0D80">
        <w:rPr>
          <w:rFonts w:eastAsia="Calibri"/>
          <w:szCs w:val="22"/>
        </w:rPr>
        <w:fldChar w:fldCharType="separate"/>
      </w:r>
      <w:r w:rsidR="00BA0D80" w:rsidRPr="00BA0D80">
        <w:rPr>
          <w:rFonts w:eastAsia="Calibri" w:cs="Arial"/>
        </w:rPr>
        <w:t>(WHO, 2018)</w:t>
      </w:r>
      <w:r w:rsidR="00BA0D80">
        <w:rPr>
          <w:rFonts w:eastAsia="Calibri"/>
          <w:szCs w:val="22"/>
        </w:rPr>
        <w:fldChar w:fldCharType="end"/>
      </w:r>
      <w:r w:rsidRPr="00D0780A">
        <w:rPr>
          <w:rFonts w:eastAsia="Calibri"/>
          <w:szCs w:val="22"/>
        </w:rPr>
        <w:t xml:space="preserve">. This study aims to </w:t>
      </w:r>
      <w:r w:rsidR="00F40DFE" w:rsidRPr="00F40DFE">
        <w:rPr>
          <w:rFonts w:eastAsia="Calibri"/>
          <w:szCs w:val="22"/>
        </w:rPr>
        <w:t xml:space="preserve">explore the barriers and facilitators related to STH MDA in WRA with the goal </w:t>
      </w:r>
      <w:r w:rsidR="00B42AF0" w:rsidRPr="00562362">
        <w:rPr>
          <w:rFonts w:eastAsia="Calibri"/>
          <w:szCs w:val="22"/>
          <w:highlight w:val="yellow"/>
        </w:rPr>
        <w:t>of adapting</w:t>
      </w:r>
      <w:r w:rsidRPr="00562362">
        <w:rPr>
          <w:rFonts w:eastAsia="Calibri"/>
          <w:szCs w:val="22"/>
          <w:highlight w:val="yellow"/>
        </w:rPr>
        <w:t xml:space="preserve"> </w:t>
      </w:r>
      <w:r w:rsidRPr="003C1465">
        <w:rPr>
          <w:rFonts w:eastAsia="Calibri"/>
          <w:szCs w:val="22"/>
        </w:rPr>
        <w:t>MDA</w:t>
      </w:r>
      <w:r w:rsidRPr="00D0780A">
        <w:rPr>
          <w:rFonts w:eastAsia="Calibri"/>
          <w:szCs w:val="22"/>
        </w:rPr>
        <w:t xml:space="preserve"> strategies to better meet the specific needs of WRA and enhance its impact.</w:t>
      </w:r>
    </w:p>
    <w:p w14:paraId="07110058" w14:textId="6637FC24" w:rsidR="007F7B32" w:rsidRPr="00FD719C" w:rsidRDefault="00902823" w:rsidP="00FD719C">
      <w:pPr>
        <w:pStyle w:val="Heading1"/>
      </w:pPr>
      <w:r w:rsidRPr="00FD719C">
        <w:t>material and method</w:t>
      </w:r>
      <w:r w:rsidR="00000F8F" w:rsidRPr="00FD719C">
        <w:t xml:space="preserve">s </w:t>
      </w:r>
    </w:p>
    <w:p w14:paraId="16FC8BB0" w14:textId="229759B5" w:rsidR="00D2731B" w:rsidRPr="00D2731B" w:rsidRDefault="00D2731B" w:rsidP="00A71804">
      <w:pPr>
        <w:pStyle w:val="Heading2"/>
        <w:rPr>
          <w:bCs/>
        </w:rPr>
      </w:pPr>
      <w:r w:rsidRPr="00D2731B">
        <w:rPr>
          <w:bCs/>
        </w:rPr>
        <w:t>Study setting and design</w:t>
      </w:r>
    </w:p>
    <w:p w14:paraId="291BA8A9" w14:textId="36472641" w:rsidR="00AC2747" w:rsidRDefault="00D2731B" w:rsidP="00A71804">
      <w:pPr>
        <w:pStyle w:val="Body"/>
        <w:rPr>
          <w:rFonts w:cs="Arial"/>
        </w:rPr>
      </w:pPr>
      <w:r w:rsidRPr="00D2731B">
        <w:rPr>
          <w:rFonts w:cs="Arial"/>
        </w:rPr>
        <w:t xml:space="preserve">This study is a cross-sectional study carried out from September 2024 to March 2025. Data was collected between December 2024 and January 2025. </w:t>
      </w:r>
      <w:r w:rsidR="000F7B60">
        <w:rPr>
          <w:rFonts w:cs="Arial"/>
        </w:rPr>
        <w:t xml:space="preserve">It </w:t>
      </w:r>
      <w:r w:rsidR="000F7B60" w:rsidRPr="00A71804">
        <w:rPr>
          <w:rFonts w:cs="Arial"/>
        </w:rPr>
        <w:t xml:space="preserve">adopted a mixed-methods approach, combining quantitative and qualitative methods to explore the barriers and facilitators to </w:t>
      </w:r>
      <w:r w:rsidR="000F7B60" w:rsidRPr="00562362">
        <w:rPr>
          <w:rFonts w:cs="Arial"/>
          <w:highlight w:val="yellow"/>
        </w:rPr>
        <w:t xml:space="preserve">compliance </w:t>
      </w:r>
      <w:r w:rsidR="00B42AF0" w:rsidRPr="00562362">
        <w:rPr>
          <w:rFonts w:cs="Arial"/>
          <w:highlight w:val="yellow"/>
        </w:rPr>
        <w:t>with</w:t>
      </w:r>
      <w:r w:rsidR="00B42AF0" w:rsidRPr="00A71804">
        <w:rPr>
          <w:rFonts w:cs="Arial"/>
        </w:rPr>
        <w:t xml:space="preserve"> </w:t>
      </w:r>
      <w:r w:rsidR="000F7B60" w:rsidRPr="00A71804">
        <w:rPr>
          <w:rFonts w:cs="Arial"/>
        </w:rPr>
        <w:t>MDA for STH among adolescent girls and</w:t>
      </w:r>
      <w:r w:rsidR="000F7B60">
        <w:rPr>
          <w:rFonts w:cs="Arial"/>
        </w:rPr>
        <w:t xml:space="preserve"> </w:t>
      </w:r>
      <w:r w:rsidR="000F7B60" w:rsidRPr="00A71804">
        <w:rPr>
          <w:rFonts w:cs="Arial"/>
        </w:rPr>
        <w:t xml:space="preserve">WRA in </w:t>
      </w:r>
      <w:proofErr w:type="spellStart"/>
      <w:r w:rsidR="000F7B60" w:rsidRPr="00A71804">
        <w:rPr>
          <w:rFonts w:cs="Arial"/>
        </w:rPr>
        <w:t>Bukavu</w:t>
      </w:r>
      <w:proofErr w:type="spellEnd"/>
      <w:r w:rsidR="000F7B60" w:rsidRPr="00A71804">
        <w:rPr>
          <w:rFonts w:cs="Arial"/>
        </w:rPr>
        <w:t xml:space="preserve">. </w:t>
      </w:r>
      <w:r w:rsidRPr="00D2731B">
        <w:rPr>
          <w:rFonts w:cs="Arial"/>
        </w:rPr>
        <w:t xml:space="preserve">It was conducted in the </w:t>
      </w:r>
      <w:proofErr w:type="spellStart"/>
      <w:r w:rsidRPr="00D2731B">
        <w:rPr>
          <w:rFonts w:cs="Arial"/>
        </w:rPr>
        <w:t>Kadutu</w:t>
      </w:r>
      <w:proofErr w:type="spellEnd"/>
      <w:r w:rsidRPr="00D2731B">
        <w:rPr>
          <w:rFonts w:cs="Arial"/>
        </w:rPr>
        <w:t xml:space="preserve"> Health Zone (HZ) in </w:t>
      </w:r>
      <w:proofErr w:type="spellStart"/>
      <w:r w:rsidRPr="00D2731B">
        <w:rPr>
          <w:rFonts w:cs="Arial"/>
        </w:rPr>
        <w:t>Bukavu</w:t>
      </w:r>
      <w:proofErr w:type="spellEnd"/>
      <w:r w:rsidRPr="00D2731B">
        <w:rPr>
          <w:rFonts w:cs="Arial"/>
        </w:rPr>
        <w:t xml:space="preserve">, DRC. The HZ consists of 13 health areas and 79 avenues, of which 30 were selected as clusters during sampling. </w:t>
      </w:r>
    </w:p>
    <w:p w14:paraId="1FC1BCFA" w14:textId="2522146B" w:rsidR="00A71804" w:rsidRPr="00A71804" w:rsidRDefault="00D2731B" w:rsidP="00A71804">
      <w:pPr>
        <w:pStyle w:val="Body"/>
        <w:rPr>
          <w:rFonts w:cs="Arial"/>
        </w:rPr>
      </w:pPr>
      <w:r w:rsidRPr="00D2731B">
        <w:rPr>
          <w:rFonts w:cs="Arial"/>
        </w:rPr>
        <w:t xml:space="preserve">Despite the presence of qualified healthcare personnel, </w:t>
      </w:r>
      <w:proofErr w:type="spellStart"/>
      <w:r w:rsidRPr="00D2731B">
        <w:rPr>
          <w:rFonts w:cs="Arial"/>
        </w:rPr>
        <w:t>Kadutu</w:t>
      </w:r>
      <w:proofErr w:type="spellEnd"/>
      <w:r w:rsidRPr="00D2731B">
        <w:rPr>
          <w:rFonts w:cs="Arial"/>
        </w:rPr>
        <w:t xml:space="preserve"> faces significant environmental challenges that facilitate the transmission of STH.</w:t>
      </w:r>
      <w:r w:rsidR="00A71804" w:rsidRPr="00A71804">
        <w:rPr>
          <w:rFonts w:cs="Arial"/>
        </w:rPr>
        <w:t xml:space="preserve"> </w:t>
      </w:r>
      <w:r w:rsidR="00AC2747" w:rsidRPr="00A71804">
        <w:rPr>
          <w:rFonts w:cs="Arial"/>
        </w:rPr>
        <w:t xml:space="preserve">The deployment of MDA in </w:t>
      </w:r>
      <w:proofErr w:type="spellStart"/>
      <w:r w:rsidR="00AC2747" w:rsidRPr="00A71804">
        <w:rPr>
          <w:rFonts w:cs="Arial"/>
        </w:rPr>
        <w:t>Kadutu</w:t>
      </w:r>
      <w:proofErr w:type="spellEnd"/>
      <w:r w:rsidR="00AC2747" w:rsidRPr="00A71804">
        <w:rPr>
          <w:rFonts w:cs="Arial"/>
        </w:rPr>
        <w:t xml:space="preserve"> encounters several obstacles. The lack of awareness limits the understanding of the treatment's benefits, while mistrust and misconceptions, particularly the belief that albendazole is an abortifacient, contribute to beneficiary reluctance.</w:t>
      </w:r>
    </w:p>
    <w:p w14:paraId="2499B4F7" w14:textId="40DA1819" w:rsidR="00E36804" w:rsidRPr="00E36804" w:rsidRDefault="00E36804" w:rsidP="00E36804">
      <w:pPr>
        <w:pStyle w:val="Heading2"/>
      </w:pPr>
      <w:r w:rsidRPr="00E36804">
        <w:rPr>
          <w:bCs/>
        </w:rPr>
        <w:t xml:space="preserve">Theoretical </w:t>
      </w:r>
      <w:r w:rsidR="00A53725">
        <w:rPr>
          <w:bCs/>
        </w:rPr>
        <w:t>m</w:t>
      </w:r>
      <w:r w:rsidRPr="00E36804">
        <w:rPr>
          <w:bCs/>
        </w:rPr>
        <w:t xml:space="preserve">odel and </w:t>
      </w:r>
      <w:r w:rsidR="00A53725">
        <w:rPr>
          <w:bCs/>
        </w:rPr>
        <w:t>c</w:t>
      </w:r>
      <w:r w:rsidRPr="00E36804">
        <w:rPr>
          <w:bCs/>
        </w:rPr>
        <w:t xml:space="preserve">onceptual </w:t>
      </w:r>
      <w:r w:rsidR="00A53725">
        <w:rPr>
          <w:bCs/>
        </w:rPr>
        <w:t>f</w:t>
      </w:r>
      <w:r w:rsidRPr="00E36804">
        <w:rPr>
          <w:bCs/>
        </w:rPr>
        <w:t>ramework</w:t>
      </w:r>
    </w:p>
    <w:p w14:paraId="2F08FD9C" w14:textId="2675052C" w:rsidR="00E36804" w:rsidRPr="000F7B60" w:rsidRDefault="000F7B60" w:rsidP="000F7B60">
      <w:pPr>
        <w:pStyle w:val="Body"/>
        <w:rPr>
          <w:rFonts w:cs="Arial"/>
        </w:rPr>
      </w:pPr>
      <w:r w:rsidRPr="00A71804">
        <w:rPr>
          <w:rFonts w:cs="Arial"/>
        </w:rPr>
        <w:t xml:space="preserve">A combination of the </w:t>
      </w:r>
      <w:r w:rsidR="00B42AF0" w:rsidRPr="00562362">
        <w:rPr>
          <w:rFonts w:cs="Arial"/>
          <w:highlight w:val="yellow"/>
        </w:rPr>
        <w:t>Consolidated</w:t>
      </w:r>
      <w:r w:rsidR="00B42AF0" w:rsidRPr="00562362">
        <w:rPr>
          <w:rFonts w:cs="Arial"/>
          <w:highlight w:val="yellow"/>
        </w:rPr>
        <w:t xml:space="preserve"> </w:t>
      </w:r>
      <w:r w:rsidRPr="00562362">
        <w:rPr>
          <w:rFonts w:cs="Arial"/>
          <w:highlight w:val="yellow"/>
        </w:rPr>
        <w:t>Framework</w:t>
      </w:r>
      <w:r w:rsidRPr="00A71804">
        <w:rPr>
          <w:rFonts w:cs="Arial"/>
        </w:rPr>
        <w:t xml:space="preserve"> of </w:t>
      </w:r>
      <w:r>
        <w:rPr>
          <w:rFonts w:cs="Arial"/>
        </w:rPr>
        <w:t>I</w:t>
      </w:r>
      <w:r w:rsidRPr="00A71804">
        <w:rPr>
          <w:rFonts w:cs="Arial"/>
        </w:rPr>
        <w:t xml:space="preserve">mplementation </w:t>
      </w:r>
      <w:r>
        <w:rPr>
          <w:rFonts w:cs="Arial"/>
        </w:rPr>
        <w:t>R</w:t>
      </w:r>
      <w:r w:rsidRPr="00A71804">
        <w:rPr>
          <w:rFonts w:cs="Arial"/>
        </w:rPr>
        <w:t xml:space="preserve">esearch (CFIR) and the </w:t>
      </w:r>
      <w:r w:rsidR="008777CA">
        <w:rPr>
          <w:rFonts w:cs="Arial"/>
        </w:rPr>
        <w:t>H</w:t>
      </w:r>
      <w:r w:rsidR="008777CA" w:rsidRPr="00A71804">
        <w:rPr>
          <w:rFonts w:cs="Arial"/>
        </w:rPr>
        <w:t xml:space="preserve">ealth </w:t>
      </w:r>
      <w:r w:rsidR="008777CA">
        <w:rPr>
          <w:rFonts w:cs="Arial"/>
        </w:rPr>
        <w:t>C</w:t>
      </w:r>
      <w:r w:rsidR="008777CA" w:rsidRPr="00A71804">
        <w:rPr>
          <w:rFonts w:cs="Arial"/>
        </w:rPr>
        <w:t xml:space="preserve">ompliance </w:t>
      </w:r>
      <w:r w:rsidR="008777CA">
        <w:rPr>
          <w:rFonts w:cs="Arial"/>
        </w:rPr>
        <w:t>M</w:t>
      </w:r>
      <w:r w:rsidR="008777CA" w:rsidRPr="00A71804">
        <w:rPr>
          <w:rFonts w:cs="Arial"/>
        </w:rPr>
        <w:t>odel (HCM) enabled us to identify the key elements to explore in this study.</w:t>
      </w:r>
      <w:r w:rsidR="00C931A4">
        <w:rPr>
          <w:rFonts w:cs="Arial"/>
        </w:rPr>
        <w:t xml:space="preserve"> </w:t>
      </w:r>
      <w:r w:rsidR="00E36804" w:rsidRPr="00E36804">
        <w:t xml:space="preserve">By integrating both frameworks, this study develops a </w:t>
      </w:r>
      <w:r w:rsidR="00E36804" w:rsidRPr="00A53725">
        <w:t>holistic approach</w:t>
      </w:r>
      <w:r>
        <w:t xml:space="preserve"> to understand</w:t>
      </w:r>
      <w:r w:rsidR="00E36804" w:rsidRPr="00E36804">
        <w:t xml:space="preserve"> how different implementation factors influence treatment </w:t>
      </w:r>
      <w:r w:rsidR="00E36804">
        <w:t>complia</w:t>
      </w:r>
      <w:r w:rsidR="00E36804" w:rsidRPr="00E36804">
        <w:t xml:space="preserve">nce among beneficiaries </w:t>
      </w:r>
      <w:r>
        <w:t>(Figure 1). This approach allowed</w:t>
      </w:r>
      <w:r w:rsidR="00E36804" w:rsidRPr="00E36804">
        <w:t xml:space="preserve"> for a comprehensive analysis of the contextual, </w:t>
      </w:r>
      <w:proofErr w:type="spellStart"/>
      <w:r w:rsidR="00B42AF0" w:rsidRPr="00562362">
        <w:rPr>
          <w:highlight w:val="yellow"/>
        </w:rPr>
        <w:t>organisational</w:t>
      </w:r>
      <w:proofErr w:type="spellEnd"/>
      <w:r w:rsidR="00E36804" w:rsidRPr="00562362">
        <w:rPr>
          <w:highlight w:val="yellow"/>
        </w:rPr>
        <w:t>, and</w:t>
      </w:r>
      <w:r w:rsidR="00E36804" w:rsidRPr="00E36804">
        <w:t xml:space="preserve"> individual dimensions affecting MDA </w:t>
      </w:r>
      <w:r w:rsidR="006769C6">
        <w:t>complia</w:t>
      </w:r>
      <w:r w:rsidR="00E36804" w:rsidRPr="00E36804">
        <w:t>nce.</w:t>
      </w:r>
    </w:p>
    <w:p w14:paraId="2243D956" w14:textId="2B6BC27E" w:rsidR="00FF29F8" w:rsidRDefault="00F12F77" w:rsidP="00E36804">
      <w:r w:rsidRPr="00F12F77">
        <w:rPr>
          <w:noProof/>
          <w:lang w:val="fr-FR" w:eastAsia="fr-FR"/>
        </w:rPr>
        <w:lastRenderedPageBreak/>
        <w:drawing>
          <wp:inline distT="0" distB="0" distL="0" distR="0" wp14:anchorId="60112D38" wp14:editId="268DC348">
            <wp:extent cx="5212080" cy="3101975"/>
            <wp:effectExtent l="0" t="0" r="0" b="0"/>
            <wp:docPr id="759195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95197" name=""/>
                    <pic:cNvPicPr/>
                  </pic:nvPicPr>
                  <pic:blipFill>
                    <a:blip r:embed="rId14"/>
                    <a:stretch>
                      <a:fillRect/>
                    </a:stretch>
                  </pic:blipFill>
                  <pic:spPr>
                    <a:xfrm>
                      <a:off x="0" y="0"/>
                      <a:ext cx="5212080" cy="3101975"/>
                    </a:xfrm>
                    <a:prstGeom prst="rect">
                      <a:avLst/>
                    </a:prstGeom>
                  </pic:spPr>
                </pic:pic>
              </a:graphicData>
            </a:graphic>
          </wp:inline>
        </w:drawing>
      </w:r>
    </w:p>
    <w:p w14:paraId="097D19D4" w14:textId="72543675" w:rsidR="001D4C60" w:rsidRPr="00562362" w:rsidRDefault="001D4C60" w:rsidP="00E36804">
      <w:pPr>
        <w:rPr>
          <w:b/>
          <w:bCs/>
        </w:rPr>
      </w:pPr>
      <w:r w:rsidRPr="00562362">
        <w:rPr>
          <w:b/>
          <w:bCs/>
        </w:rPr>
        <w:t>Figure 1: Conceptual framework of M</w:t>
      </w:r>
      <w:r w:rsidR="0057008E" w:rsidRPr="00562362">
        <w:rPr>
          <w:b/>
          <w:bCs/>
        </w:rPr>
        <w:t>DA</w:t>
      </w:r>
      <w:r w:rsidRPr="00562362">
        <w:rPr>
          <w:b/>
          <w:bCs/>
        </w:rPr>
        <w:t>/</w:t>
      </w:r>
      <w:r w:rsidR="0057008E" w:rsidRPr="00562362">
        <w:rPr>
          <w:b/>
          <w:bCs/>
        </w:rPr>
        <w:t>ST</w:t>
      </w:r>
      <w:r w:rsidRPr="00562362">
        <w:rPr>
          <w:b/>
          <w:bCs/>
        </w:rPr>
        <w:t xml:space="preserve">H </w:t>
      </w:r>
      <w:r w:rsidR="0057008E" w:rsidRPr="00562362">
        <w:rPr>
          <w:b/>
          <w:bCs/>
        </w:rPr>
        <w:t>compl</w:t>
      </w:r>
      <w:r w:rsidR="0020288F" w:rsidRPr="00562362">
        <w:rPr>
          <w:b/>
          <w:bCs/>
        </w:rPr>
        <w:t>ia</w:t>
      </w:r>
      <w:r w:rsidRPr="00562362">
        <w:rPr>
          <w:b/>
          <w:bCs/>
        </w:rPr>
        <w:t>nce considering contextual dimensions of implementation research based on CFIR</w:t>
      </w:r>
    </w:p>
    <w:p w14:paraId="71CC886D" w14:textId="77777777" w:rsidR="00F12F77" w:rsidRPr="001D4C60" w:rsidRDefault="00F12F77" w:rsidP="00E36804">
      <w:pPr>
        <w:rPr>
          <w:b/>
          <w:bCs/>
        </w:rPr>
      </w:pPr>
    </w:p>
    <w:p w14:paraId="06F61C52" w14:textId="05D9BB50" w:rsidR="00E36804" w:rsidRPr="00E36804" w:rsidRDefault="00E36804" w:rsidP="00E36804">
      <w:pPr>
        <w:rPr>
          <w:b/>
          <w:bCs/>
          <w:lang w:val="it-IT"/>
        </w:rPr>
      </w:pPr>
      <w:r w:rsidRPr="00E36804">
        <w:rPr>
          <w:b/>
          <w:bCs/>
          <w:lang w:val="it-IT"/>
        </w:rPr>
        <w:t xml:space="preserve">Conceptual </w:t>
      </w:r>
      <w:r w:rsidR="00411C64">
        <w:rPr>
          <w:b/>
          <w:bCs/>
          <w:lang w:val="it-IT"/>
        </w:rPr>
        <w:t>f</w:t>
      </w:r>
      <w:r w:rsidRPr="00E36804">
        <w:rPr>
          <w:b/>
          <w:bCs/>
          <w:lang w:val="it-IT"/>
        </w:rPr>
        <w:t xml:space="preserve">ramework </w:t>
      </w:r>
      <w:r w:rsidR="00411C64">
        <w:rPr>
          <w:b/>
          <w:bCs/>
          <w:lang w:val="it-IT"/>
        </w:rPr>
        <w:t>e</w:t>
      </w:r>
      <w:r w:rsidRPr="00E36804">
        <w:rPr>
          <w:b/>
          <w:bCs/>
          <w:lang w:val="it-IT"/>
        </w:rPr>
        <w:t>xplanation (Figure 1)</w:t>
      </w:r>
    </w:p>
    <w:p w14:paraId="2AA936AE" w14:textId="23BA1FAA" w:rsidR="00E36804" w:rsidRPr="00E36804" w:rsidRDefault="00E36804" w:rsidP="00E36804">
      <w:pPr>
        <w:numPr>
          <w:ilvl w:val="0"/>
          <w:numId w:val="36"/>
        </w:numPr>
      </w:pPr>
      <w:r w:rsidRPr="00E36804">
        <w:rPr>
          <w:b/>
          <w:bCs/>
        </w:rPr>
        <w:t xml:space="preserve">Intervention </w:t>
      </w:r>
      <w:r w:rsidR="00746BD5">
        <w:rPr>
          <w:b/>
          <w:bCs/>
        </w:rPr>
        <w:t>c</w:t>
      </w:r>
      <w:r w:rsidRPr="00E36804">
        <w:rPr>
          <w:b/>
          <w:bCs/>
        </w:rPr>
        <w:t>haracteristics:</w:t>
      </w:r>
      <w:r w:rsidRPr="00E36804">
        <w:t xml:space="preserve"> Complexity of treatment (co-administration of LF/STH drugs), dosage, taste, </w:t>
      </w:r>
      <w:proofErr w:type="spellStart"/>
      <w:r w:rsidR="00B42AF0" w:rsidRPr="00562362">
        <w:rPr>
          <w:highlight w:val="yellow"/>
        </w:rPr>
        <w:t>colour</w:t>
      </w:r>
      <w:proofErr w:type="spellEnd"/>
      <w:r w:rsidRPr="00562362">
        <w:rPr>
          <w:highlight w:val="yellow"/>
        </w:rPr>
        <w:t>, packaging</w:t>
      </w:r>
      <w:r w:rsidRPr="00E36804">
        <w:t>, quality of instructions, perceived benefits (health improvement, symptom reduction), and physical drawbacks (side effects).</w:t>
      </w:r>
    </w:p>
    <w:p w14:paraId="38A3703A" w14:textId="393D33E7" w:rsidR="00E36804" w:rsidRPr="00E36804" w:rsidRDefault="00E36804" w:rsidP="00E36804">
      <w:pPr>
        <w:numPr>
          <w:ilvl w:val="0"/>
          <w:numId w:val="36"/>
        </w:numPr>
      </w:pPr>
      <w:r w:rsidRPr="00E36804">
        <w:rPr>
          <w:b/>
          <w:bCs/>
        </w:rPr>
        <w:t xml:space="preserve">External </w:t>
      </w:r>
      <w:r w:rsidR="00746BD5">
        <w:rPr>
          <w:b/>
          <w:bCs/>
        </w:rPr>
        <w:t>c</w:t>
      </w:r>
      <w:r w:rsidRPr="00E36804">
        <w:rPr>
          <w:b/>
          <w:bCs/>
        </w:rPr>
        <w:t>ontext:</w:t>
      </w:r>
      <w:r w:rsidRPr="00E36804">
        <w:t xml:space="preserve"> Influence of health policies, government support, financial benefits, and economic factors.</w:t>
      </w:r>
    </w:p>
    <w:p w14:paraId="711531B1" w14:textId="63EB7B3E" w:rsidR="00E36804" w:rsidRPr="00E36804" w:rsidRDefault="00E36804" w:rsidP="00E36804">
      <w:pPr>
        <w:numPr>
          <w:ilvl w:val="0"/>
          <w:numId w:val="36"/>
        </w:numPr>
      </w:pPr>
      <w:r w:rsidRPr="00E36804">
        <w:rPr>
          <w:b/>
          <w:bCs/>
        </w:rPr>
        <w:t xml:space="preserve">Internal </w:t>
      </w:r>
      <w:r w:rsidR="00746BD5">
        <w:rPr>
          <w:b/>
          <w:bCs/>
        </w:rPr>
        <w:t>c</w:t>
      </w:r>
      <w:r w:rsidRPr="00E36804">
        <w:rPr>
          <w:b/>
          <w:bCs/>
        </w:rPr>
        <w:t>ontext:</w:t>
      </w:r>
      <w:r w:rsidRPr="00E36804">
        <w:t xml:space="preserve"> Quality of interaction between beneficiaries and the program, particularly through community drug distributors (clarity of communication, understanding of instructions).</w:t>
      </w:r>
    </w:p>
    <w:p w14:paraId="55203E39" w14:textId="484B6D46" w:rsidR="00E36804" w:rsidRPr="00E36804" w:rsidRDefault="00E36804" w:rsidP="00E36804">
      <w:pPr>
        <w:numPr>
          <w:ilvl w:val="0"/>
          <w:numId w:val="36"/>
        </w:numPr>
      </w:pPr>
      <w:r w:rsidRPr="00E36804">
        <w:rPr>
          <w:b/>
          <w:bCs/>
        </w:rPr>
        <w:t xml:space="preserve">Individual </w:t>
      </w:r>
      <w:r w:rsidR="00746BD5">
        <w:rPr>
          <w:b/>
          <w:bCs/>
        </w:rPr>
        <w:t>c</w:t>
      </w:r>
      <w:r w:rsidRPr="00E36804">
        <w:rPr>
          <w:b/>
          <w:bCs/>
        </w:rPr>
        <w:t>haracteristics:</w:t>
      </w:r>
      <w:r w:rsidRPr="00E36804">
        <w:t xml:space="preserve"> Social and family support, decision-making autonomy, perceived social benefits (recognition by others), beliefs about illness and treatment efficacy, perceived health status, cost perception, satisfaction, fear of side effects, barriers to MDA, and socio-demographic factors.</w:t>
      </w:r>
    </w:p>
    <w:p w14:paraId="50FFF256" w14:textId="43387612" w:rsidR="00E36804" w:rsidRPr="00E36804" w:rsidRDefault="00E36804" w:rsidP="00E36804">
      <w:pPr>
        <w:numPr>
          <w:ilvl w:val="0"/>
          <w:numId w:val="36"/>
        </w:numPr>
      </w:pPr>
      <w:r w:rsidRPr="00E36804">
        <w:rPr>
          <w:b/>
          <w:bCs/>
        </w:rPr>
        <w:t xml:space="preserve">Implementation </w:t>
      </w:r>
      <w:r w:rsidR="00746BD5">
        <w:rPr>
          <w:b/>
          <w:bCs/>
        </w:rPr>
        <w:t>p</w:t>
      </w:r>
      <w:r w:rsidRPr="00E36804">
        <w:rPr>
          <w:b/>
          <w:bCs/>
        </w:rPr>
        <w:t>rocess:</w:t>
      </w:r>
      <w:r w:rsidRPr="00E36804">
        <w:t xml:space="preserve"> Strategies for education and communication to improve adherence, post-MDA follow-up, and beneficiary feedback on treatment adoption.</w:t>
      </w:r>
    </w:p>
    <w:p w14:paraId="0600C116" w14:textId="67BACD64" w:rsidR="00E36804" w:rsidRPr="00E56962" w:rsidRDefault="00E36804" w:rsidP="00E36804">
      <w:pPr>
        <w:rPr>
          <w:b/>
          <w:bCs/>
        </w:rPr>
      </w:pPr>
      <w:r w:rsidRPr="00E56962">
        <w:rPr>
          <w:b/>
          <w:bCs/>
        </w:rPr>
        <w:t xml:space="preserve">Intersectional </w:t>
      </w:r>
      <w:r w:rsidR="00004D43" w:rsidRPr="00E56962">
        <w:rPr>
          <w:b/>
          <w:bCs/>
        </w:rPr>
        <w:t>g</w:t>
      </w:r>
      <w:r w:rsidRPr="00E56962">
        <w:rPr>
          <w:b/>
          <w:bCs/>
        </w:rPr>
        <w:t xml:space="preserve">ender </w:t>
      </w:r>
      <w:r w:rsidR="00004D43" w:rsidRPr="00E56962">
        <w:rPr>
          <w:b/>
          <w:bCs/>
        </w:rPr>
        <w:t>p</w:t>
      </w:r>
      <w:r w:rsidRPr="00E56962">
        <w:rPr>
          <w:b/>
          <w:bCs/>
        </w:rPr>
        <w:t>erspective</w:t>
      </w:r>
      <w:r w:rsidR="000B2DA5">
        <w:rPr>
          <w:b/>
          <w:bCs/>
        </w:rPr>
        <w:t>:</w:t>
      </w:r>
    </w:p>
    <w:p w14:paraId="65FC156C" w14:textId="3136EE05" w:rsidR="00E36804" w:rsidRPr="00E36804" w:rsidRDefault="00E36804" w:rsidP="00E36804">
      <w:r w:rsidRPr="00E36804">
        <w:t xml:space="preserve">This study acknowledges that women of reproductive age (WRA) in Bukavu are not a homogeneous group. Their experiences are shaped by multiple identity factors, including socio-economic status, education, religion, social roles, and family dynamics in decision-making. Understanding how these factors intersect is crucial to assessing MDA </w:t>
      </w:r>
      <w:r w:rsidR="00474679">
        <w:t>complia</w:t>
      </w:r>
      <w:r w:rsidRPr="00E36804">
        <w:t>nce at both subgroup and population levels.</w:t>
      </w:r>
    </w:p>
    <w:p w14:paraId="58D144AD" w14:textId="2ED2D98A" w:rsidR="00A71804" w:rsidRPr="00A71804" w:rsidRDefault="00A71804" w:rsidP="00B602B8">
      <w:pPr>
        <w:pStyle w:val="Heading2"/>
      </w:pPr>
      <w:r w:rsidRPr="00A71804">
        <w:t xml:space="preserve">Study </w:t>
      </w:r>
      <w:r w:rsidR="00B602B8" w:rsidRPr="00B602B8">
        <w:t xml:space="preserve">population </w:t>
      </w:r>
    </w:p>
    <w:p w14:paraId="34E0B88B" w14:textId="39728146" w:rsidR="00A71804" w:rsidRPr="00A71804" w:rsidRDefault="00B602B8" w:rsidP="00A71804">
      <w:pPr>
        <w:pStyle w:val="Body"/>
        <w:rPr>
          <w:rFonts w:cs="Arial"/>
        </w:rPr>
      </w:pPr>
      <w:r w:rsidRPr="00B602B8">
        <w:rPr>
          <w:rFonts w:cs="Arial"/>
        </w:rPr>
        <w:t xml:space="preserve">The study included adolescents (aged 15 and above) and adult women (up to 49 years old) residing in the </w:t>
      </w:r>
      <w:proofErr w:type="spellStart"/>
      <w:r w:rsidRPr="00B602B8">
        <w:rPr>
          <w:rFonts w:cs="Arial"/>
        </w:rPr>
        <w:t>Kadutu</w:t>
      </w:r>
      <w:proofErr w:type="spellEnd"/>
      <w:r w:rsidRPr="00B602B8">
        <w:rPr>
          <w:rFonts w:cs="Arial"/>
        </w:rPr>
        <w:t xml:space="preserve"> Health Zone, as well as key informants such as the health zone supervisor, community leaders, and drug distributors. Participation was voluntary, requiring informed consent and assent for minors. Exclusion criteria included individuals unable to respond due to severe cognitive impairments or those unavailable during the survey period for personal or professional reasons.</w:t>
      </w:r>
    </w:p>
    <w:p w14:paraId="4017D827" w14:textId="184B9273" w:rsidR="00A71804" w:rsidRPr="00A71804" w:rsidRDefault="00A71804" w:rsidP="00381823">
      <w:pPr>
        <w:pStyle w:val="Heading2"/>
      </w:pPr>
      <w:r w:rsidRPr="00A71804">
        <w:lastRenderedPageBreak/>
        <w:t xml:space="preserve">Quantitative </w:t>
      </w:r>
      <w:r w:rsidR="008B6AE0">
        <w:t>c</w:t>
      </w:r>
      <w:r w:rsidRPr="00A71804">
        <w:t>omponent</w:t>
      </w:r>
    </w:p>
    <w:p w14:paraId="6DCC21FD" w14:textId="33CD0FD5" w:rsidR="00A71804" w:rsidRPr="00A71804" w:rsidRDefault="00A71804" w:rsidP="00A71804">
      <w:pPr>
        <w:pStyle w:val="Body"/>
        <w:rPr>
          <w:rFonts w:cs="Arial"/>
        </w:rPr>
      </w:pPr>
      <w:r w:rsidRPr="00A71804">
        <w:rPr>
          <w:rFonts w:cs="Arial"/>
        </w:rPr>
        <w:t>The women of reproductive age (WRA) in Kadutu HZ, aged 15 to 49 years, constitute the target population of this study. They represent 21% of the total population, approximately 90,295 individuals in 2023. Participants were selected based on inclusion criteria respecting diversity for perfect sampling.</w:t>
      </w:r>
    </w:p>
    <w:p w14:paraId="4B40CE3C" w14:textId="77777777" w:rsidR="00A71804" w:rsidRPr="00A71804" w:rsidRDefault="00A71804" w:rsidP="00BF1E1C">
      <w:pPr>
        <w:pStyle w:val="Heading3"/>
      </w:pPr>
      <w:r w:rsidRPr="00A71804">
        <w:t>Sampling and sample size</w:t>
      </w:r>
    </w:p>
    <w:p w14:paraId="1034C039" w14:textId="77777777" w:rsidR="00A71804" w:rsidRPr="00A71804" w:rsidRDefault="00A71804" w:rsidP="00A71804">
      <w:pPr>
        <w:pStyle w:val="Body"/>
        <w:rPr>
          <w:rFonts w:cs="Arial"/>
        </w:rPr>
      </w:pPr>
      <w:r w:rsidRPr="00A71804">
        <w:rPr>
          <w:rFonts w:cs="Arial"/>
        </w:rPr>
        <w:t>The study employed a two-stage cluster sampling method. Thirty avenues were randomly selected from the 13 health areas of Kadutu. Household selection followed a route method, where a pen was tossed in a zigzag manner to indicate the direction for selecting additional households. Each identified household had to include at least one WRA meeting the inclusion criteria.</w:t>
      </w:r>
    </w:p>
    <w:p w14:paraId="52BEF7D0" w14:textId="77777777" w:rsidR="00A71804" w:rsidRPr="00A71804" w:rsidRDefault="00A71804" w:rsidP="00A71804">
      <w:pPr>
        <w:pStyle w:val="Body"/>
        <w:rPr>
          <w:rFonts w:cs="Arial"/>
        </w:rPr>
      </w:pPr>
      <w:r w:rsidRPr="00A71804">
        <w:rPr>
          <w:rFonts w:cs="Arial"/>
        </w:rPr>
        <w:t>The sample size was calculated using Epi-Info 7.2.5, incorporating a 95% confidence level, a 5% margin of error, and a design effect of 1.8. The initial calculation yielded 390 participants, but a 10% adjustment was made to account for potential data gaps, increasing the required sample size to 429 participants. Ultimately, 487 WRA were included in the study, ensuring sufficient statistical power.</w:t>
      </w:r>
    </w:p>
    <w:p w14:paraId="0335CDBE" w14:textId="77777777" w:rsidR="00A71804" w:rsidRPr="00A71804" w:rsidRDefault="00A71804" w:rsidP="001B2470">
      <w:pPr>
        <w:pStyle w:val="Heading3"/>
      </w:pPr>
      <w:r w:rsidRPr="00A71804">
        <w:t>Data collection and analysis</w:t>
      </w:r>
    </w:p>
    <w:p w14:paraId="4222AA12" w14:textId="77777777" w:rsidR="00A71804" w:rsidRPr="00A71804" w:rsidRDefault="00A71804" w:rsidP="00A71804">
      <w:pPr>
        <w:pStyle w:val="Body"/>
        <w:rPr>
          <w:rFonts w:cs="Arial"/>
        </w:rPr>
      </w:pPr>
      <w:r w:rsidRPr="00A71804">
        <w:rPr>
          <w:rFonts w:cs="Arial"/>
        </w:rPr>
        <w:t>Data was collected using a structured questionnaire administered via KoboCollect.</w:t>
      </w:r>
    </w:p>
    <w:p w14:paraId="46E34949" w14:textId="6FE8D6D3" w:rsidR="00A71804" w:rsidRPr="00A71804" w:rsidRDefault="003F5897" w:rsidP="00A71804">
      <w:pPr>
        <w:pStyle w:val="Body"/>
        <w:rPr>
          <w:rFonts w:cs="Arial"/>
        </w:rPr>
      </w:pPr>
      <w:r>
        <w:rPr>
          <w:rStyle w:val="Heading4Char"/>
        </w:rPr>
        <w:t>The v</w:t>
      </w:r>
      <w:r w:rsidR="00A71804" w:rsidRPr="005C7F4A">
        <w:rPr>
          <w:rStyle w:val="Heading4Char"/>
        </w:rPr>
        <w:t>ariables studied</w:t>
      </w:r>
      <w:r>
        <w:rPr>
          <w:rStyle w:val="Heading4Char"/>
        </w:rPr>
        <w:t xml:space="preserve"> included</w:t>
      </w:r>
      <w:r w:rsidR="00A71804" w:rsidRPr="005C7F4A">
        <w:rPr>
          <w:rStyle w:val="Heading4Char"/>
        </w:rPr>
        <w:t>:</w:t>
      </w:r>
      <w:r w:rsidR="005C7F4A">
        <w:rPr>
          <w:rFonts w:cs="Arial"/>
        </w:rPr>
        <w:t xml:space="preserve"> </w:t>
      </w:r>
      <w:r w:rsidR="00A71804" w:rsidRPr="00A71804">
        <w:rPr>
          <w:rFonts w:cs="Arial"/>
        </w:rPr>
        <w:t>demographic characteristics (age, marital status, educati</w:t>
      </w:r>
      <w:r w:rsidR="00986E4B">
        <w:rPr>
          <w:rFonts w:cs="Arial"/>
        </w:rPr>
        <w:t xml:space="preserve">on level, socioeconomic status </w:t>
      </w:r>
      <w:r w:rsidR="00986E4B" w:rsidRPr="00A71804">
        <w:rPr>
          <w:rFonts w:cs="Arial"/>
        </w:rPr>
        <w:t>and profession</w:t>
      </w:r>
      <w:r w:rsidR="00A71804" w:rsidRPr="00A71804">
        <w:rPr>
          <w:rFonts w:cs="Arial"/>
        </w:rPr>
        <w:t>), access to health education, knowledge of MDA and STH, MDA schedule awareness, prior MDA experience, quality of instructions received, need for further learning on MDA/STH, and compliance.</w:t>
      </w:r>
    </w:p>
    <w:p w14:paraId="67480BC4" w14:textId="3DC39023" w:rsidR="00A71804" w:rsidRPr="00A71804" w:rsidRDefault="00A71804" w:rsidP="00D837FE">
      <w:pPr>
        <w:pStyle w:val="Body"/>
        <w:rPr>
          <w:rFonts w:cs="Arial"/>
        </w:rPr>
      </w:pPr>
      <w:r w:rsidRPr="00A71804">
        <w:rPr>
          <w:rFonts w:cs="Arial"/>
        </w:rPr>
        <w:t xml:space="preserve">Quantitative data were </w:t>
      </w:r>
      <w:proofErr w:type="spellStart"/>
      <w:r w:rsidR="00B42AF0" w:rsidRPr="00562362">
        <w:rPr>
          <w:rFonts w:cs="Arial"/>
          <w:highlight w:val="yellow"/>
        </w:rPr>
        <w:t>analysed</w:t>
      </w:r>
      <w:proofErr w:type="spellEnd"/>
      <w:r w:rsidR="00B42AF0" w:rsidRPr="00A71804">
        <w:rPr>
          <w:rFonts w:cs="Arial"/>
        </w:rPr>
        <w:t xml:space="preserve"> </w:t>
      </w:r>
      <w:r w:rsidRPr="00A71804">
        <w:rPr>
          <w:rFonts w:cs="Arial"/>
        </w:rPr>
        <w:t>using R 4.4.1, with descriptive, bivariate, and multivariat</w:t>
      </w:r>
      <w:r w:rsidR="00986E4B">
        <w:rPr>
          <w:rFonts w:cs="Arial"/>
        </w:rPr>
        <w:t>e analyses</w:t>
      </w:r>
      <w:r w:rsidRPr="00A71804">
        <w:rPr>
          <w:rFonts w:cs="Arial"/>
        </w:rPr>
        <w:t xml:space="preserve"> to identify factors associated with</w:t>
      </w:r>
      <w:r w:rsidR="00986E4B">
        <w:rPr>
          <w:rFonts w:cs="Arial"/>
        </w:rPr>
        <w:t xml:space="preserve"> compliance</w:t>
      </w:r>
      <w:r w:rsidRPr="00A71804">
        <w:rPr>
          <w:rFonts w:cs="Arial"/>
        </w:rPr>
        <w:t>.</w:t>
      </w:r>
    </w:p>
    <w:p w14:paraId="51F83A24" w14:textId="78E60A1A" w:rsidR="00A71804" w:rsidRPr="00D837FE" w:rsidRDefault="00A71804" w:rsidP="00D837FE">
      <w:pPr>
        <w:pStyle w:val="Heading2"/>
      </w:pPr>
      <w:r w:rsidRPr="00D837FE">
        <w:t xml:space="preserve">Qualitative </w:t>
      </w:r>
      <w:r w:rsidR="000D3CC0">
        <w:t>c</w:t>
      </w:r>
      <w:r w:rsidRPr="00D837FE">
        <w:t>omponent</w:t>
      </w:r>
    </w:p>
    <w:p w14:paraId="32FE0B03" w14:textId="3C34F4CE" w:rsidR="00A71804" w:rsidRPr="00A71804" w:rsidRDefault="00A71804" w:rsidP="00A71804">
      <w:pPr>
        <w:pStyle w:val="Body"/>
        <w:rPr>
          <w:rFonts w:cs="Arial"/>
        </w:rPr>
      </w:pPr>
      <w:r w:rsidRPr="00A71804">
        <w:rPr>
          <w:rFonts w:cs="Arial"/>
        </w:rPr>
        <w:t>To gain deeper insights into participants' perceptions and experiences, individual interviews (KII) and focus group d</w:t>
      </w:r>
      <w:r w:rsidR="00FD30E6">
        <w:rPr>
          <w:rFonts w:cs="Arial"/>
        </w:rPr>
        <w:t xml:space="preserve">iscussions (FGD) were conducted. </w:t>
      </w:r>
      <w:r w:rsidRPr="00A71804">
        <w:rPr>
          <w:rFonts w:cs="Arial"/>
        </w:rPr>
        <w:t xml:space="preserve">13 key informant interviews (KII) </w:t>
      </w:r>
      <w:r w:rsidR="00FD30E6" w:rsidRPr="00FD30E6">
        <w:rPr>
          <w:rFonts w:cs="Arial"/>
        </w:rPr>
        <w:t>targeting</w:t>
      </w:r>
      <w:r w:rsidRPr="00A71804">
        <w:rPr>
          <w:rFonts w:cs="Arial"/>
        </w:rPr>
        <w:t xml:space="preserve"> 6 community lead</w:t>
      </w:r>
      <w:r w:rsidR="00FD30E6">
        <w:rPr>
          <w:rFonts w:cs="Arial"/>
        </w:rPr>
        <w:t>ers, the health zone supervisor</w:t>
      </w:r>
      <w:r w:rsidRPr="00A71804">
        <w:rPr>
          <w:rFonts w:cs="Arial"/>
        </w:rPr>
        <w:t xml:space="preserve"> and </w:t>
      </w:r>
      <w:r w:rsidR="00FD30E6">
        <w:rPr>
          <w:rFonts w:cs="Arial"/>
        </w:rPr>
        <w:t xml:space="preserve">6 </w:t>
      </w:r>
      <w:r w:rsidR="005D625C">
        <w:rPr>
          <w:rFonts w:cs="Arial"/>
        </w:rPr>
        <w:t xml:space="preserve">community </w:t>
      </w:r>
      <w:r w:rsidR="00D471D2">
        <w:rPr>
          <w:rFonts w:cs="Arial"/>
        </w:rPr>
        <w:t>health workers (</w:t>
      </w:r>
      <w:r w:rsidR="00D471D2" w:rsidRPr="00284716">
        <w:rPr>
          <w:rFonts w:cs="Arial"/>
        </w:rPr>
        <w:t>CHWs</w:t>
      </w:r>
      <w:r w:rsidR="00D471D2">
        <w:rPr>
          <w:rFonts w:cs="Arial"/>
        </w:rPr>
        <w:t>)</w:t>
      </w:r>
      <w:r w:rsidR="005D625C">
        <w:rPr>
          <w:rFonts w:cs="Arial"/>
        </w:rPr>
        <w:t>; then</w:t>
      </w:r>
      <w:r w:rsidR="00FD30E6">
        <w:rPr>
          <w:rFonts w:cs="Arial"/>
        </w:rPr>
        <w:t xml:space="preserve"> </w:t>
      </w:r>
      <w:r w:rsidRPr="00A71804">
        <w:rPr>
          <w:rFonts w:cs="Arial"/>
        </w:rPr>
        <w:t>2</w:t>
      </w:r>
      <w:r w:rsidR="005D625C">
        <w:rPr>
          <w:rFonts w:cs="Arial"/>
        </w:rPr>
        <w:t xml:space="preserve"> FGDs with </w:t>
      </w:r>
      <w:r w:rsidRPr="00A71804">
        <w:rPr>
          <w:rFonts w:cs="Arial"/>
        </w:rPr>
        <w:t>12 participants (</w:t>
      </w:r>
      <w:r w:rsidR="005D625C">
        <w:rPr>
          <w:rFonts w:cs="Arial"/>
        </w:rPr>
        <w:t>the first</w:t>
      </w:r>
      <w:r w:rsidRPr="00A71804">
        <w:rPr>
          <w:rFonts w:cs="Arial"/>
        </w:rPr>
        <w:t xml:space="preserve"> with 6</w:t>
      </w:r>
      <w:r w:rsidR="00E3498C">
        <w:rPr>
          <w:rFonts w:cs="Arial"/>
        </w:rPr>
        <w:t xml:space="preserve"> adolescent girls and the second </w:t>
      </w:r>
      <w:r w:rsidRPr="00A71804">
        <w:rPr>
          <w:rFonts w:cs="Arial"/>
        </w:rPr>
        <w:t>with 6 adult women).</w:t>
      </w:r>
      <w:r w:rsidR="005D625C">
        <w:rPr>
          <w:rFonts w:cs="Arial"/>
        </w:rPr>
        <w:t xml:space="preserve"> The </w:t>
      </w:r>
      <w:r w:rsidRPr="00A71804">
        <w:rPr>
          <w:rFonts w:cs="Arial"/>
        </w:rPr>
        <w:t>FGD participants were purposively selected, ensuring socio-demographic diversity and varied experiences with MDA for STH.</w:t>
      </w:r>
    </w:p>
    <w:p w14:paraId="56F93CA4" w14:textId="7A47B9DA" w:rsidR="00A71804" w:rsidRPr="00EF469A" w:rsidRDefault="00A71804" w:rsidP="00EF469A">
      <w:pPr>
        <w:pStyle w:val="Heading3"/>
      </w:pPr>
      <w:r w:rsidRPr="00EF469A">
        <w:t xml:space="preserve">Qualitative </w:t>
      </w:r>
      <w:r w:rsidR="00BE0689">
        <w:t>t</w:t>
      </w:r>
      <w:r w:rsidRPr="00EF469A">
        <w:t>hemes</w:t>
      </w:r>
    </w:p>
    <w:p w14:paraId="32985584" w14:textId="77777777" w:rsidR="00A71804" w:rsidRPr="00A71804" w:rsidRDefault="00A71804" w:rsidP="00A71804">
      <w:pPr>
        <w:pStyle w:val="Body"/>
        <w:rPr>
          <w:rFonts w:cs="Arial"/>
        </w:rPr>
      </w:pPr>
      <w:r w:rsidRPr="00A71804">
        <w:rPr>
          <w:rFonts w:cs="Arial"/>
        </w:rPr>
        <w:t>The qualitative analysis focused on several key themes, including:</w:t>
      </w:r>
    </w:p>
    <w:p w14:paraId="19157F0C" w14:textId="77777777" w:rsidR="00A71804" w:rsidRPr="00A71804" w:rsidRDefault="00A71804" w:rsidP="00A71804">
      <w:pPr>
        <w:pStyle w:val="Body"/>
        <w:rPr>
          <w:rFonts w:cs="Arial"/>
        </w:rPr>
      </w:pPr>
      <w:r w:rsidRPr="00A71804">
        <w:rPr>
          <w:rFonts w:cs="Arial"/>
        </w:rPr>
        <w:t>Cultural values and perceptions: Social and family support, decision-making autonomy, perceptions of albendazole and MDA.</w:t>
      </w:r>
    </w:p>
    <w:p w14:paraId="68B7BDE2" w14:textId="77777777" w:rsidR="00A71804" w:rsidRPr="00A71804" w:rsidRDefault="00A71804" w:rsidP="00A71804">
      <w:pPr>
        <w:pStyle w:val="Body"/>
        <w:rPr>
          <w:rFonts w:cs="Arial"/>
        </w:rPr>
      </w:pPr>
      <w:r w:rsidRPr="00A71804">
        <w:rPr>
          <w:rFonts w:cs="Arial"/>
        </w:rPr>
        <w:t>Individual preferences: Mode of treatment administration, distribution sites, health education strategies.</w:t>
      </w:r>
    </w:p>
    <w:p w14:paraId="6BFC6EBA" w14:textId="77777777" w:rsidR="00A71804" w:rsidRPr="00A71804" w:rsidRDefault="00A71804" w:rsidP="00A71804">
      <w:pPr>
        <w:pStyle w:val="Body"/>
        <w:rPr>
          <w:rFonts w:cs="Arial"/>
        </w:rPr>
      </w:pPr>
      <w:r w:rsidRPr="00A71804">
        <w:rPr>
          <w:rFonts w:cs="Arial"/>
        </w:rPr>
        <w:t>Attitudes toward MDA: Perception of benefits and drawbacks, barriers to adherence (fear of side effects, social pressures, acceptability among community distributors).</w:t>
      </w:r>
    </w:p>
    <w:p w14:paraId="4E30B76D" w14:textId="127D5BF8" w:rsidR="00A71804" w:rsidRPr="00A71804" w:rsidRDefault="00A71804" w:rsidP="00A71804">
      <w:pPr>
        <w:pStyle w:val="Body"/>
        <w:rPr>
          <w:rFonts w:cs="Arial"/>
        </w:rPr>
      </w:pPr>
      <w:r w:rsidRPr="00A71804">
        <w:rPr>
          <w:rFonts w:cs="Arial"/>
        </w:rPr>
        <w:t xml:space="preserve">Interviews and FGDs were recorded, transcribed, and </w:t>
      </w:r>
      <w:proofErr w:type="spellStart"/>
      <w:r w:rsidR="00B42AF0" w:rsidRPr="00562362">
        <w:rPr>
          <w:rFonts w:cs="Arial"/>
          <w:highlight w:val="yellow"/>
        </w:rPr>
        <w:t>analysed</w:t>
      </w:r>
      <w:proofErr w:type="spellEnd"/>
      <w:r w:rsidR="00B42AF0" w:rsidRPr="00562362">
        <w:rPr>
          <w:rFonts w:cs="Arial"/>
          <w:highlight w:val="yellow"/>
        </w:rPr>
        <w:t xml:space="preserve"> </w:t>
      </w:r>
      <w:r w:rsidRPr="00562362">
        <w:rPr>
          <w:rFonts w:cs="Arial"/>
          <w:highlight w:val="yellow"/>
        </w:rPr>
        <w:t>using NVivo</w:t>
      </w:r>
      <w:r w:rsidRPr="00A71804">
        <w:rPr>
          <w:rFonts w:cs="Arial"/>
        </w:rPr>
        <w:t>, employing an inductive and deductive thematic analysis approach.</w:t>
      </w:r>
    </w:p>
    <w:p w14:paraId="3DF9B321" w14:textId="77777777" w:rsidR="00A71804" w:rsidRPr="00EF469A" w:rsidRDefault="00A71804" w:rsidP="00EF469A">
      <w:pPr>
        <w:pStyle w:val="Heading3"/>
      </w:pPr>
      <w:r w:rsidRPr="00EF469A">
        <w:lastRenderedPageBreak/>
        <w:t>Data collection and analysis</w:t>
      </w:r>
    </w:p>
    <w:p w14:paraId="23280A21" w14:textId="6E3DF6FB" w:rsidR="00A71804" w:rsidRPr="00A71804" w:rsidRDefault="00A71804" w:rsidP="00A71804">
      <w:pPr>
        <w:pStyle w:val="Body"/>
        <w:rPr>
          <w:rFonts w:cs="Arial"/>
        </w:rPr>
      </w:pPr>
      <w:r w:rsidRPr="00A71804">
        <w:rPr>
          <w:rFonts w:cs="Arial"/>
        </w:rPr>
        <w:t xml:space="preserve">Qualitative data were recorded, transcribed, and thematically </w:t>
      </w:r>
      <w:proofErr w:type="spellStart"/>
      <w:r w:rsidR="00B42AF0" w:rsidRPr="00562362">
        <w:rPr>
          <w:rFonts w:cs="Arial"/>
          <w:highlight w:val="yellow"/>
        </w:rPr>
        <w:t>analysed</w:t>
      </w:r>
      <w:proofErr w:type="spellEnd"/>
      <w:r w:rsidR="00B42AF0" w:rsidRPr="00562362">
        <w:rPr>
          <w:rFonts w:cs="Arial"/>
          <w:highlight w:val="yellow"/>
        </w:rPr>
        <w:t xml:space="preserve"> </w:t>
      </w:r>
      <w:r w:rsidRPr="00562362">
        <w:rPr>
          <w:rFonts w:cs="Arial"/>
          <w:highlight w:val="yellow"/>
        </w:rPr>
        <w:t>using</w:t>
      </w:r>
      <w:r w:rsidRPr="00A71804">
        <w:rPr>
          <w:rFonts w:cs="Arial"/>
        </w:rPr>
        <w:t xml:space="preserve"> NVivo, enabling an in-depth exploration of cultural, social, and logistical barriers to MDA compliance. The triangulation of methods, data sources, results, and theoretical triangulation provided a comprehensive understanding.</w:t>
      </w:r>
    </w:p>
    <w:p w14:paraId="5219674F" w14:textId="4C2432C7" w:rsidR="00A71804" w:rsidRPr="00623D48" w:rsidRDefault="00A71804" w:rsidP="00623D48">
      <w:pPr>
        <w:pStyle w:val="Heading2"/>
      </w:pPr>
      <w:r w:rsidRPr="00623D48">
        <w:t xml:space="preserve">Ethical </w:t>
      </w:r>
      <w:r w:rsidR="00FE2A1A">
        <w:t>c</w:t>
      </w:r>
      <w:r w:rsidRPr="00623D48">
        <w:t xml:space="preserve">onsiderations and </w:t>
      </w:r>
      <w:r w:rsidR="00FE2A1A">
        <w:t>f</w:t>
      </w:r>
      <w:r w:rsidRPr="00623D48">
        <w:t>unding</w:t>
      </w:r>
    </w:p>
    <w:p w14:paraId="6E01B87D" w14:textId="1DEC8A14" w:rsidR="00790ADA" w:rsidRPr="00FB3A86" w:rsidRDefault="00A71804" w:rsidP="00934CA1">
      <w:pPr>
        <w:pStyle w:val="Body"/>
        <w:rPr>
          <w:rFonts w:cs="Arial"/>
        </w:rPr>
      </w:pPr>
      <w:r w:rsidRPr="00A71804">
        <w:rPr>
          <w:rFonts w:cs="Arial"/>
        </w:rPr>
        <w:t xml:space="preserve">The study was approved by the Ethics Committee of the Official University of Bukavu (UOB) (N° UOB/CEM/021/2024) and received </w:t>
      </w:r>
      <w:proofErr w:type="spellStart"/>
      <w:r w:rsidR="00B42AF0">
        <w:rPr>
          <w:rFonts w:cs="Arial"/>
        </w:rPr>
        <w:t>authorisation</w:t>
      </w:r>
      <w:proofErr w:type="spellEnd"/>
      <w:r w:rsidR="00B42AF0" w:rsidRPr="00A71804">
        <w:rPr>
          <w:rFonts w:cs="Arial"/>
        </w:rPr>
        <w:t xml:space="preserve"> </w:t>
      </w:r>
      <w:r w:rsidRPr="00A71804">
        <w:rPr>
          <w:rFonts w:cs="Arial"/>
        </w:rPr>
        <w:t xml:space="preserve">from local health authorities. Informed consent was obtained from participants after a detailed explanation of the study’s objectives and procedures. To ensure confidentiality, data were </w:t>
      </w:r>
      <w:proofErr w:type="spellStart"/>
      <w:r w:rsidR="00B42AF0" w:rsidRPr="00562362">
        <w:rPr>
          <w:rFonts w:cs="Arial"/>
          <w:highlight w:val="yellow"/>
        </w:rPr>
        <w:t>anonymised</w:t>
      </w:r>
      <w:proofErr w:type="spellEnd"/>
      <w:r w:rsidR="00B42AF0" w:rsidRPr="00562362">
        <w:rPr>
          <w:rFonts w:cs="Arial"/>
          <w:highlight w:val="yellow"/>
        </w:rPr>
        <w:t xml:space="preserve"> </w:t>
      </w:r>
      <w:r w:rsidRPr="00562362">
        <w:rPr>
          <w:rFonts w:cs="Arial"/>
          <w:highlight w:val="yellow"/>
        </w:rPr>
        <w:t>and securely</w:t>
      </w:r>
      <w:r w:rsidRPr="00A71804">
        <w:rPr>
          <w:rFonts w:cs="Arial"/>
        </w:rPr>
        <w:t xml:space="preserve"> stored.</w:t>
      </w:r>
      <w:r w:rsidR="00272A2A">
        <w:rPr>
          <w:rFonts w:cs="Arial"/>
        </w:rPr>
        <w:t xml:space="preserve"> </w:t>
      </w:r>
      <w:r w:rsidR="009A06FE" w:rsidRPr="009A06FE">
        <w:rPr>
          <w:rFonts w:cs="Arial"/>
        </w:rPr>
        <w:t>All procedures were carried out in accordance with the relevant guidelines and regulations.</w:t>
      </w:r>
      <w:r w:rsidR="009A06FE">
        <w:rPr>
          <w:rFonts w:cs="Arial"/>
        </w:rPr>
        <w:t xml:space="preserve"> </w:t>
      </w:r>
      <w:r w:rsidRPr="00A71804">
        <w:rPr>
          <w:rFonts w:cs="Arial"/>
        </w:rPr>
        <w:t xml:space="preserve">The study was funded by </w:t>
      </w:r>
      <w:r w:rsidR="00501F32">
        <w:rPr>
          <w:rFonts w:cs="Arial"/>
        </w:rPr>
        <w:t xml:space="preserve">Tropical </w:t>
      </w:r>
      <w:r w:rsidR="00B72055">
        <w:rPr>
          <w:rFonts w:cs="Arial"/>
        </w:rPr>
        <w:t>Diseases</w:t>
      </w:r>
      <w:r w:rsidR="00501F32">
        <w:rPr>
          <w:rFonts w:cs="Arial"/>
        </w:rPr>
        <w:t xml:space="preserve"> </w:t>
      </w:r>
      <w:r w:rsidR="00B72055">
        <w:rPr>
          <w:rFonts w:cs="Arial"/>
        </w:rPr>
        <w:t>Research</w:t>
      </w:r>
      <w:r w:rsidR="00501F32">
        <w:rPr>
          <w:rFonts w:cs="Arial"/>
        </w:rPr>
        <w:t xml:space="preserve">/ </w:t>
      </w:r>
      <w:r w:rsidR="00B23411">
        <w:rPr>
          <w:rFonts w:cs="Arial"/>
        </w:rPr>
        <w:t>World H</w:t>
      </w:r>
      <w:r w:rsidR="00501F32">
        <w:rPr>
          <w:rFonts w:cs="Arial"/>
        </w:rPr>
        <w:t xml:space="preserve">ealth </w:t>
      </w:r>
      <w:proofErr w:type="spellStart"/>
      <w:r w:rsidR="00B42AF0" w:rsidRPr="00562362">
        <w:rPr>
          <w:rFonts w:cs="Arial"/>
          <w:highlight w:val="yellow"/>
        </w:rPr>
        <w:t>Organisation</w:t>
      </w:r>
      <w:proofErr w:type="spellEnd"/>
      <w:r w:rsidR="00B42AF0" w:rsidRPr="00562362">
        <w:rPr>
          <w:rFonts w:cs="Arial"/>
          <w:highlight w:val="yellow"/>
        </w:rPr>
        <w:t xml:space="preserve"> </w:t>
      </w:r>
      <w:r w:rsidR="00501F32" w:rsidRPr="00562362">
        <w:rPr>
          <w:rFonts w:cs="Arial"/>
          <w:highlight w:val="yellow"/>
        </w:rPr>
        <w:t>–</w:t>
      </w:r>
      <w:r w:rsidR="00501F32">
        <w:rPr>
          <w:rFonts w:cs="Arial"/>
        </w:rPr>
        <w:t xml:space="preserve"> </w:t>
      </w:r>
      <w:r w:rsidR="00501F32" w:rsidRPr="00501F32">
        <w:rPr>
          <w:rFonts w:cs="Arial"/>
        </w:rPr>
        <w:t>University of Sciences, Techniques and Technologies of Bamako</w:t>
      </w:r>
      <w:r w:rsidR="00501F32">
        <w:rPr>
          <w:rFonts w:cs="Arial"/>
        </w:rPr>
        <w:t xml:space="preserve"> </w:t>
      </w:r>
      <w:r w:rsidR="00E447D4">
        <w:rPr>
          <w:rFonts w:cs="Arial"/>
        </w:rPr>
        <w:t>(</w:t>
      </w:r>
      <w:r w:rsidRPr="00A71804">
        <w:rPr>
          <w:rFonts w:cs="Arial"/>
        </w:rPr>
        <w:t>TDR/WHO-USTTB</w:t>
      </w:r>
      <w:r w:rsidR="00E447D4">
        <w:rPr>
          <w:rFonts w:cs="Arial"/>
        </w:rPr>
        <w:t>)</w:t>
      </w:r>
      <w:r w:rsidRPr="00A71804">
        <w:rPr>
          <w:rFonts w:cs="Arial"/>
        </w:rPr>
        <w:t>, ensuring its independence and impartiality</w:t>
      </w:r>
      <w:r w:rsidR="00A03B96" w:rsidRPr="002E0D56">
        <w:rPr>
          <w:rFonts w:cs="Arial"/>
        </w:rPr>
        <w:t>.</w:t>
      </w:r>
    </w:p>
    <w:p w14:paraId="530F7F4E" w14:textId="080D79DE" w:rsidR="00902823" w:rsidRDefault="00000F8F" w:rsidP="00C15671">
      <w:pPr>
        <w:pStyle w:val="Heading1"/>
      </w:pPr>
      <w:r>
        <w:t xml:space="preserve">results </w:t>
      </w:r>
    </w:p>
    <w:p w14:paraId="34875A09" w14:textId="059DB270" w:rsidR="00571EFB" w:rsidRPr="00571EFB" w:rsidRDefault="00571EFB" w:rsidP="00991EE0">
      <w:pPr>
        <w:pStyle w:val="Heading2"/>
        <w:rPr>
          <w:lang w:val="it-IT"/>
        </w:rPr>
      </w:pPr>
      <w:r w:rsidRPr="00571EFB">
        <w:rPr>
          <w:lang w:val="it-IT"/>
        </w:rPr>
        <w:t xml:space="preserve">Quantitative </w:t>
      </w:r>
      <w:r w:rsidR="00164B0A">
        <w:rPr>
          <w:lang w:val="it-IT"/>
        </w:rPr>
        <w:t>s</w:t>
      </w:r>
      <w:r w:rsidRPr="00571EFB">
        <w:rPr>
          <w:lang w:val="it-IT"/>
        </w:rPr>
        <w:t>tudy</w:t>
      </w:r>
    </w:p>
    <w:p w14:paraId="4795C8C9" w14:textId="59883E8D" w:rsidR="00571EFB" w:rsidRPr="00571EFB" w:rsidRDefault="00571EFB" w:rsidP="00991EE0">
      <w:pPr>
        <w:pStyle w:val="Heading3"/>
        <w:rPr>
          <w:lang w:val="it-IT"/>
        </w:rPr>
      </w:pPr>
      <w:r w:rsidRPr="00571EFB">
        <w:rPr>
          <w:lang w:val="it-IT"/>
        </w:rPr>
        <w:t xml:space="preserve">Descriptive </w:t>
      </w:r>
      <w:r w:rsidR="00164B0A">
        <w:rPr>
          <w:lang w:val="it-IT"/>
        </w:rPr>
        <w:t>s</w:t>
      </w:r>
      <w:r w:rsidRPr="00571EFB">
        <w:rPr>
          <w:lang w:val="it-IT"/>
        </w:rPr>
        <w:t>tatistics</w:t>
      </w:r>
    </w:p>
    <w:p w14:paraId="5844A5BA" w14:textId="54595514" w:rsidR="00571EFB" w:rsidRPr="00571EFB" w:rsidRDefault="00571EFB" w:rsidP="00C4412A">
      <w:pPr>
        <w:pStyle w:val="Heading4"/>
        <w:rPr>
          <w:lang w:val="it-IT"/>
        </w:rPr>
      </w:pPr>
      <w:r w:rsidRPr="00571EFB">
        <w:rPr>
          <w:lang w:val="it-IT"/>
        </w:rPr>
        <w:t>Socio-</w:t>
      </w:r>
      <w:r w:rsidR="00164B0A">
        <w:rPr>
          <w:lang w:val="it-IT"/>
        </w:rPr>
        <w:t>d</w:t>
      </w:r>
      <w:r w:rsidRPr="00571EFB">
        <w:rPr>
          <w:lang w:val="it-IT"/>
        </w:rPr>
        <w:t xml:space="preserve">emographic </w:t>
      </w:r>
      <w:r w:rsidR="00164B0A">
        <w:rPr>
          <w:lang w:val="it-IT"/>
        </w:rPr>
        <w:t>c</w:t>
      </w:r>
      <w:r w:rsidRPr="00571EFB">
        <w:rPr>
          <w:lang w:val="it-IT"/>
        </w:rPr>
        <w:t>haracteristics</w:t>
      </w:r>
    </w:p>
    <w:p w14:paraId="5C96C130" w14:textId="1679D472" w:rsidR="00571EFB" w:rsidRPr="00571EFB" w:rsidRDefault="00DF4C80" w:rsidP="00BA352D">
      <w:r>
        <w:t xml:space="preserve">The study included </w:t>
      </w:r>
      <w:r w:rsidR="00B42AF0">
        <w:t xml:space="preserve">a </w:t>
      </w:r>
      <w:r w:rsidR="00571EFB" w:rsidRPr="00571EFB">
        <w:t>sample of 487 women of reproductive age (WRA). Socio-demographic characteristics indicate</w:t>
      </w:r>
      <w:r w:rsidR="000960D0">
        <w:t>d</w:t>
      </w:r>
      <w:r w:rsidR="00571EFB" w:rsidRPr="00571EFB">
        <w:t xml:space="preserve"> that </w:t>
      </w:r>
      <w:r w:rsidR="00BA352D" w:rsidRPr="00571EFB">
        <w:t>most</w:t>
      </w:r>
      <w:r w:rsidR="00571EFB" w:rsidRPr="00571EFB">
        <w:t xml:space="preserve"> participants were adult women, single, and had a secondary level of education. The dominant occupational group was students. Economically, most participants were </w:t>
      </w:r>
      <w:r w:rsidR="00B42AF0" w:rsidRPr="00562362">
        <w:rPr>
          <w:highlight w:val="yellow"/>
        </w:rPr>
        <w:t>of</w:t>
      </w:r>
      <w:r w:rsidR="00B42AF0" w:rsidRPr="00562362">
        <w:rPr>
          <w:highlight w:val="yellow"/>
        </w:rPr>
        <w:t xml:space="preserve"> </w:t>
      </w:r>
      <w:r w:rsidR="00571EFB" w:rsidRPr="00562362">
        <w:rPr>
          <w:highlight w:val="yellow"/>
        </w:rPr>
        <w:t>a low or</w:t>
      </w:r>
      <w:r w:rsidR="00571EFB" w:rsidRPr="00571EFB">
        <w:t xml:space="preserve"> middle economic status</w:t>
      </w:r>
      <w:r w:rsidR="00F10E59">
        <w:t xml:space="preserve"> </w:t>
      </w:r>
      <w:r w:rsidR="00F10E59" w:rsidRPr="00F10E59">
        <w:t>(Table 1)</w:t>
      </w:r>
      <w:r w:rsidR="00571EFB" w:rsidRPr="00571EFB">
        <w:t>.</w:t>
      </w:r>
    </w:p>
    <w:p w14:paraId="1E7E2881" w14:textId="001ED9A9" w:rsidR="00571EFB" w:rsidRPr="00717BEA" w:rsidRDefault="00571EFB" w:rsidP="00BA352D">
      <w:r w:rsidRPr="00571EFB">
        <w:t xml:space="preserve">The mean age of participants was 25.14 years (95% CI: 24.35 – 25.93), with a standard </w:t>
      </w:r>
      <w:r w:rsidRPr="00717BEA">
        <w:t xml:space="preserve">deviation of 8.84 years and a median of 23 years. </w:t>
      </w:r>
    </w:p>
    <w:p w14:paraId="256AD54B" w14:textId="4457851E" w:rsidR="00571EFB" w:rsidRPr="00717BEA" w:rsidRDefault="00571EFB" w:rsidP="00BA352D">
      <w:r w:rsidRPr="00D861EB">
        <w:t>Adolescents (15–19 years</w:t>
      </w:r>
      <w:r w:rsidR="00F42576" w:rsidRPr="00D861EB">
        <w:t>)</w:t>
      </w:r>
      <w:r w:rsidR="00717BEA" w:rsidRPr="00D861EB">
        <w:t xml:space="preserve"> </w:t>
      </w:r>
      <w:r w:rsidR="00D861EB" w:rsidRPr="00D861EB">
        <w:t xml:space="preserve">were </w:t>
      </w:r>
      <w:r w:rsidR="000A45D9">
        <w:t>175 participants and</w:t>
      </w:r>
      <w:r w:rsidR="00D861EB" w:rsidRPr="00D861EB">
        <w:t xml:space="preserve"> </w:t>
      </w:r>
      <w:r w:rsidR="00717BEA" w:rsidRPr="00D861EB">
        <w:t>represented</w:t>
      </w:r>
      <w:r w:rsidRPr="00D861EB">
        <w:t xml:space="preserve"> 35.93% (95% CI: 31.67 – 40.37)</w:t>
      </w:r>
      <w:r w:rsidR="00D376FD">
        <w:t>.</w:t>
      </w:r>
      <w:r w:rsidR="008D00E0">
        <w:t xml:space="preserve"> </w:t>
      </w:r>
      <w:r w:rsidRPr="00717BEA">
        <w:t>Adult women (20–49 years</w:t>
      </w:r>
      <w:r w:rsidR="00717BEA" w:rsidRPr="00717BEA">
        <w:t>)</w:t>
      </w:r>
      <w:r w:rsidR="00D54A13">
        <w:t xml:space="preserve"> </w:t>
      </w:r>
      <w:r w:rsidR="00D861EB">
        <w:t>were 312</w:t>
      </w:r>
      <w:r w:rsidR="000A45D9">
        <w:t xml:space="preserve"> participants and</w:t>
      </w:r>
      <w:r w:rsidR="00D861EB" w:rsidRPr="00D861EB">
        <w:t xml:space="preserve"> </w:t>
      </w:r>
      <w:r w:rsidR="00F10E59">
        <w:t>corresponded with</w:t>
      </w:r>
      <w:r w:rsidR="00717BEA" w:rsidRPr="00717BEA">
        <w:t xml:space="preserve"> </w:t>
      </w:r>
      <w:r w:rsidR="00D861EB">
        <w:t>64.07% (</w:t>
      </w:r>
      <w:r w:rsidRPr="00717BEA">
        <w:t>95% CI: 59.63 – 68.33)</w:t>
      </w:r>
      <w:r w:rsidR="00B42AF0">
        <w:t xml:space="preserve">. </w:t>
      </w:r>
    </w:p>
    <w:p w14:paraId="37D9A09C" w14:textId="77777777" w:rsidR="003A35F5" w:rsidRPr="00717BEA" w:rsidRDefault="003A35F5" w:rsidP="00BA352D"/>
    <w:p w14:paraId="0711DC83" w14:textId="71B172BE" w:rsidR="005562F4" w:rsidRPr="00562362" w:rsidRDefault="005562F4" w:rsidP="005562F4">
      <w:pPr>
        <w:rPr>
          <w:b/>
          <w:bCs/>
        </w:rPr>
      </w:pPr>
      <w:r w:rsidRPr="00E5303C">
        <w:t xml:space="preserve"> </w:t>
      </w:r>
      <w:r w:rsidR="000221D1" w:rsidRPr="00562362">
        <w:rPr>
          <w:b/>
          <w:bCs/>
        </w:rPr>
        <w:t>T</w:t>
      </w:r>
      <w:r w:rsidRPr="00562362">
        <w:rPr>
          <w:b/>
          <w:bCs/>
        </w:rPr>
        <w:t xml:space="preserve">able </w:t>
      </w:r>
      <w:r w:rsidR="003A35F5" w:rsidRPr="00562362">
        <w:rPr>
          <w:b/>
          <w:bCs/>
        </w:rPr>
        <w:t>1</w:t>
      </w:r>
      <w:r w:rsidRPr="00562362">
        <w:rPr>
          <w:b/>
          <w:bCs/>
        </w:rPr>
        <w:t>:</w:t>
      </w:r>
      <w:r w:rsidR="00DB3A13" w:rsidRPr="00562362">
        <w:rPr>
          <w:b/>
          <w:bCs/>
        </w:rPr>
        <w:t xml:space="preserve"> Distribution of WRA </w:t>
      </w:r>
      <w:r w:rsidR="00164B0A" w:rsidRPr="00562362">
        <w:rPr>
          <w:b/>
          <w:bCs/>
        </w:rPr>
        <w:t>b</w:t>
      </w:r>
      <w:r w:rsidR="00DB3A13" w:rsidRPr="00562362">
        <w:rPr>
          <w:b/>
          <w:bCs/>
        </w:rPr>
        <w:t xml:space="preserve">ased on </w:t>
      </w:r>
      <w:r w:rsidR="00164B0A" w:rsidRPr="00562362">
        <w:rPr>
          <w:b/>
          <w:bCs/>
        </w:rPr>
        <w:t>s</w:t>
      </w:r>
      <w:r w:rsidR="00DB3A13" w:rsidRPr="00562362">
        <w:rPr>
          <w:b/>
          <w:bCs/>
        </w:rPr>
        <w:t xml:space="preserve">ociodemographic </w:t>
      </w:r>
      <w:r w:rsidR="00164B0A" w:rsidRPr="00562362">
        <w:rPr>
          <w:b/>
          <w:bCs/>
        </w:rPr>
        <w:t>c</w:t>
      </w:r>
      <w:r w:rsidR="00DB3A13" w:rsidRPr="00562362">
        <w:rPr>
          <w:b/>
          <w:bCs/>
        </w:rPr>
        <w:t>haracteristics</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1865"/>
        <w:gridCol w:w="1299"/>
        <w:gridCol w:w="1984"/>
        <w:gridCol w:w="1985"/>
      </w:tblGrid>
      <w:tr w:rsidR="00C36A4A" w:rsidRPr="005562F4" w14:paraId="23A9B67E" w14:textId="77777777" w:rsidTr="00C36A4A">
        <w:trPr>
          <w:tblHeader/>
          <w:tblCellSpacing w:w="15" w:type="dxa"/>
        </w:trPr>
        <w:tc>
          <w:tcPr>
            <w:tcW w:w="0" w:type="auto"/>
            <w:tcBorders>
              <w:top w:val="single" w:sz="4" w:space="0" w:color="auto"/>
              <w:bottom w:val="single" w:sz="4" w:space="0" w:color="auto"/>
            </w:tcBorders>
            <w:vAlign w:val="center"/>
            <w:hideMark/>
          </w:tcPr>
          <w:p w14:paraId="534543B0" w14:textId="77777777" w:rsidR="005562F4" w:rsidRPr="005562F4" w:rsidRDefault="005562F4" w:rsidP="005562F4">
            <w:pPr>
              <w:rPr>
                <w:b/>
                <w:bCs/>
                <w:lang w:val="it-IT"/>
              </w:rPr>
            </w:pPr>
            <w:r w:rsidRPr="005562F4">
              <w:rPr>
                <w:b/>
                <w:bCs/>
                <w:lang w:val="it-IT"/>
              </w:rPr>
              <w:t>Category</w:t>
            </w:r>
          </w:p>
        </w:tc>
        <w:tc>
          <w:tcPr>
            <w:tcW w:w="1269" w:type="dxa"/>
            <w:tcBorders>
              <w:top w:val="single" w:sz="4" w:space="0" w:color="auto"/>
              <w:bottom w:val="single" w:sz="4" w:space="0" w:color="auto"/>
            </w:tcBorders>
            <w:vAlign w:val="center"/>
            <w:hideMark/>
          </w:tcPr>
          <w:p w14:paraId="23429653" w14:textId="77777777" w:rsidR="005562F4" w:rsidRPr="005562F4" w:rsidRDefault="005562F4" w:rsidP="005562F4">
            <w:pPr>
              <w:rPr>
                <w:b/>
                <w:bCs/>
                <w:lang w:val="it-IT"/>
              </w:rPr>
            </w:pPr>
            <w:r w:rsidRPr="005562F4">
              <w:rPr>
                <w:b/>
                <w:bCs/>
                <w:lang w:val="it-IT"/>
              </w:rPr>
              <w:t>Count</w:t>
            </w:r>
          </w:p>
        </w:tc>
        <w:tc>
          <w:tcPr>
            <w:tcW w:w="1954" w:type="dxa"/>
            <w:tcBorders>
              <w:top w:val="single" w:sz="4" w:space="0" w:color="auto"/>
              <w:bottom w:val="single" w:sz="4" w:space="0" w:color="auto"/>
            </w:tcBorders>
            <w:vAlign w:val="center"/>
            <w:hideMark/>
          </w:tcPr>
          <w:p w14:paraId="4C8DAA65" w14:textId="77777777" w:rsidR="005562F4" w:rsidRPr="005562F4" w:rsidRDefault="005562F4" w:rsidP="005562F4">
            <w:pPr>
              <w:rPr>
                <w:b/>
                <w:bCs/>
                <w:lang w:val="it-IT"/>
              </w:rPr>
            </w:pPr>
            <w:r w:rsidRPr="005562F4">
              <w:rPr>
                <w:b/>
                <w:bCs/>
                <w:lang w:val="it-IT"/>
              </w:rPr>
              <w:t>Percentage (%)</w:t>
            </w:r>
          </w:p>
        </w:tc>
        <w:tc>
          <w:tcPr>
            <w:tcW w:w="1940" w:type="dxa"/>
            <w:tcBorders>
              <w:top w:val="single" w:sz="4" w:space="0" w:color="auto"/>
              <w:bottom w:val="single" w:sz="4" w:space="0" w:color="auto"/>
            </w:tcBorders>
            <w:vAlign w:val="center"/>
            <w:hideMark/>
          </w:tcPr>
          <w:p w14:paraId="71CEC007" w14:textId="77777777" w:rsidR="005562F4" w:rsidRPr="005562F4" w:rsidRDefault="005562F4" w:rsidP="005562F4">
            <w:pPr>
              <w:rPr>
                <w:b/>
                <w:bCs/>
                <w:lang w:val="it-IT"/>
              </w:rPr>
            </w:pPr>
            <w:r w:rsidRPr="005562F4">
              <w:rPr>
                <w:b/>
                <w:bCs/>
                <w:lang w:val="it-IT"/>
              </w:rPr>
              <w:t>95% CI</w:t>
            </w:r>
          </w:p>
        </w:tc>
      </w:tr>
      <w:tr w:rsidR="00C36A4A" w:rsidRPr="005562F4" w14:paraId="4B5AD55B" w14:textId="77777777" w:rsidTr="00C36A4A">
        <w:trPr>
          <w:tblCellSpacing w:w="15" w:type="dxa"/>
        </w:trPr>
        <w:tc>
          <w:tcPr>
            <w:tcW w:w="0" w:type="auto"/>
            <w:vAlign w:val="center"/>
            <w:hideMark/>
          </w:tcPr>
          <w:p w14:paraId="40CAD39E" w14:textId="77777777" w:rsidR="005562F4" w:rsidRPr="005562F4" w:rsidRDefault="005562F4" w:rsidP="005562F4">
            <w:pPr>
              <w:rPr>
                <w:lang w:val="it-IT"/>
              </w:rPr>
            </w:pPr>
            <w:r w:rsidRPr="005562F4">
              <w:rPr>
                <w:b/>
                <w:bCs/>
                <w:lang w:val="it-IT"/>
              </w:rPr>
              <w:t>Age Group</w:t>
            </w:r>
          </w:p>
        </w:tc>
        <w:tc>
          <w:tcPr>
            <w:tcW w:w="1269" w:type="dxa"/>
            <w:vAlign w:val="center"/>
            <w:hideMark/>
          </w:tcPr>
          <w:p w14:paraId="4025380E" w14:textId="77777777" w:rsidR="005562F4" w:rsidRPr="005562F4" w:rsidRDefault="005562F4" w:rsidP="005562F4">
            <w:pPr>
              <w:rPr>
                <w:lang w:val="it-IT"/>
              </w:rPr>
            </w:pPr>
          </w:p>
        </w:tc>
        <w:tc>
          <w:tcPr>
            <w:tcW w:w="1954" w:type="dxa"/>
            <w:vAlign w:val="center"/>
            <w:hideMark/>
          </w:tcPr>
          <w:p w14:paraId="6EE43AE3" w14:textId="77777777" w:rsidR="005562F4" w:rsidRPr="005562F4" w:rsidRDefault="005562F4" w:rsidP="005562F4">
            <w:pPr>
              <w:rPr>
                <w:lang w:val="it-IT"/>
              </w:rPr>
            </w:pPr>
          </w:p>
        </w:tc>
        <w:tc>
          <w:tcPr>
            <w:tcW w:w="1940" w:type="dxa"/>
            <w:vAlign w:val="center"/>
            <w:hideMark/>
          </w:tcPr>
          <w:p w14:paraId="44B41372" w14:textId="77777777" w:rsidR="005562F4" w:rsidRPr="005562F4" w:rsidRDefault="005562F4" w:rsidP="005562F4">
            <w:pPr>
              <w:rPr>
                <w:lang w:val="it-IT"/>
              </w:rPr>
            </w:pPr>
          </w:p>
        </w:tc>
      </w:tr>
      <w:tr w:rsidR="00C36A4A" w:rsidRPr="005562F4" w14:paraId="00755233" w14:textId="77777777" w:rsidTr="00C36A4A">
        <w:trPr>
          <w:tblCellSpacing w:w="15" w:type="dxa"/>
        </w:trPr>
        <w:tc>
          <w:tcPr>
            <w:tcW w:w="0" w:type="auto"/>
            <w:vAlign w:val="center"/>
            <w:hideMark/>
          </w:tcPr>
          <w:p w14:paraId="76B7CED6" w14:textId="77777777" w:rsidR="005562F4" w:rsidRPr="005562F4" w:rsidRDefault="005562F4" w:rsidP="005562F4">
            <w:pPr>
              <w:rPr>
                <w:lang w:val="it-IT"/>
              </w:rPr>
            </w:pPr>
            <w:r w:rsidRPr="005562F4">
              <w:rPr>
                <w:lang w:val="it-IT"/>
              </w:rPr>
              <w:t>&lt;20 years</w:t>
            </w:r>
          </w:p>
        </w:tc>
        <w:tc>
          <w:tcPr>
            <w:tcW w:w="1269" w:type="dxa"/>
            <w:vAlign w:val="center"/>
            <w:hideMark/>
          </w:tcPr>
          <w:p w14:paraId="0486CC3A" w14:textId="77777777" w:rsidR="005562F4" w:rsidRPr="005562F4" w:rsidRDefault="005562F4" w:rsidP="005562F4">
            <w:pPr>
              <w:rPr>
                <w:lang w:val="it-IT"/>
              </w:rPr>
            </w:pPr>
            <w:r w:rsidRPr="005562F4">
              <w:rPr>
                <w:lang w:val="it-IT"/>
              </w:rPr>
              <w:t>175</w:t>
            </w:r>
          </w:p>
        </w:tc>
        <w:tc>
          <w:tcPr>
            <w:tcW w:w="1954" w:type="dxa"/>
            <w:vAlign w:val="center"/>
            <w:hideMark/>
          </w:tcPr>
          <w:p w14:paraId="42557083" w14:textId="77777777" w:rsidR="005562F4" w:rsidRPr="005562F4" w:rsidRDefault="005562F4" w:rsidP="005562F4">
            <w:pPr>
              <w:rPr>
                <w:lang w:val="it-IT"/>
              </w:rPr>
            </w:pPr>
            <w:r w:rsidRPr="005562F4">
              <w:rPr>
                <w:lang w:val="it-IT"/>
              </w:rPr>
              <w:t>35.93</w:t>
            </w:r>
          </w:p>
        </w:tc>
        <w:tc>
          <w:tcPr>
            <w:tcW w:w="1940" w:type="dxa"/>
            <w:vAlign w:val="center"/>
            <w:hideMark/>
          </w:tcPr>
          <w:p w14:paraId="62CA2835" w14:textId="77777777" w:rsidR="005562F4" w:rsidRPr="005562F4" w:rsidRDefault="005562F4" w:rsidP="005562F4">
            <w:pPr>
              <w:rPr>
                <w:lang w:val="it-IT"/>
              </w:rPr>
            </w:pPr>
            <w:r w:rsidRPr="005562F4">
              <w:rPr>
                <w:lang w:val="it-IT"/>
              </w:rPr>
              <w:t>31.67 – 40.37</w:t>
            </w:r>
          </w:p>
        </w:tc>
      </w:tr>
      <w:tr w:rsidR="00C36A4A" w:rsidRPr="005562F4" w14:paraId="3FBCDDAD" w14:textId="77777777" w:rsidTr="00C36A4A">
        <w:trPr>
          <w:tblCellSpacing w:w="15" w:type="dxa"/>
        </w:trPr>
        <w:tc>
          <w:tcPr>
            <w:tcW w:w="0" w:type="auto"/>
            <w:vAlign w:val="center"/>
            <w:hideMark/>
          </w:tcPr>
          <w:p w14:paraId="2FDF12F2" w14:textId="77777777" w:rsidR="005562F4" w:rsidRPr="005562F4" w:rsidRDefault="005562F4" w:rsidP="005562F4">
            <w:pPr>
              <w:rPr>
                <w:lang w:val="it-IT"/>
              </w:rPr>
            </w:pPr>
            <w:r w:rsidRPr="005562F4">
              <w:rPr>
                <w:lang w:val="it-IT"/>
              </w:rPr>
              <w:t>20 – 49 years</w:t>
            </w:r>
          </w:p>
        </w:tc>
        <w:tc>
          <w:tcPr>
            <w:tcW w:w="1269" w:type="dxa"/>
            <w:vAlign w:val="center"/>
            <w:hideMark/>
          </w:tcPr>
          <w:p w14:paraId="1BE68C09" w14:textId="77777777" w:rsidR="005562F4" w:rsidRPr="005562F4" w:rsidRDefault="005562F4" w:rsidP="005562F4">
            <w:pPr>
              <w:rPr>
                <w:lang w:val="it-IT"/>
              </w:rPr>
            </w:pPr>
            <w:r w:rsidRPr="005562F4">
              <w:rPr>
                <w:lang w:val="it-IT"/>
              </w:rPr>
              <w:t>312</w:t>
            </w:r>
          </w:p>
        </w:tc>
        <w:tc>
          <w:tcPr>
            <w:tcW w:w="1954" w:type="dxa"/>
            <w:vAlign w:val="center"/>
            <w:hideMark/>
          </w:tcPr>
          <w:p w14:paraId="7696E422" w14:textId="77777777" w:rsidR="005562F4" w:rsidRPr="005562F4" w:rsidRDefault="005562F4" w:rsidP="005562F4">
            <w:pPr>
              <w:rPr>
                <w:lang w:val="it-IT"/>
              </w:rPr>
            </w:pPr>
            <w:r w:rsidRPr="005562F4">
              <w:rPr>
                <w:lang w:val="it-IT"/>
              </w:rPr>
              <w:t>64.07</w:t>
            </w:r>
          </w:p>
        </w:tc>
        <w:tc>
          <w:tcPr>
            <w:tcW w:w="1940" w:type="dxa"/>
            <w:vAlign w:val="center"/>
            <w:hideMark/>
          </w:tcPr>
          <w:p w14:paraId="15BAF104" w14:textId="77777777" w:rsidR="005562F4" w:rsidRPr="005562F4" w:rsidRDefault="005562F4" w:rsidP="005562F4">
            <w:pPr>
              <w:rPr>
                <w:lang w:val="it-IT"/>
              </w:rPr>
            </w:pPr>
            <w:r w:rsidRPr="005562F4">
              <w:rPr>
                <w:lang w:val="it-IT"/>
              </w:rPr>
              <w:t>59.63 – 68.33</w:t>
            </w:r>
          </w:p>
        </w:tc>
      </w:tr>
      <w:tr w:rsidR="00C36A4A" w:rsidRPr="005562F4" w14:paraId="40F98FAA" w14:textId="77777777" w:rsidTr="00C36A4A">
        <w:trPr>
          <w:tblCellSpacing w:w="15" w:type="dxa"/>
        </w:trPr>
        <w:tc>
          <w:tcPr>
            <w:tcW w:w="0" w:type="auto"/>
            <w:vAlign w:val="center"/>
            <w:hideMark/>
          </w:tcPr>
          <w:p w14:paraId="4B910AAB" w14:textId="77777777" w:rsidR="005562F4" w:rsidRPr="005562F4" w:rsidRDefault="005562F4" w:rsidP="005562F4">
            <w:pPr>
              <w:rPr>
                <w:lang w:val="it-IT"/>
              </w:rPr>
            </w:pPr>
            <w:r w:rsidRPr="005562F4">
              <w:rPr>
                <w:b/>
                <w:bCs/>
                <w:lang w:val="it-IT"/>
              </w:rPr>
              <w:t>Marital Status</w:t>
            </w:r>
          </w:p>
        </w:tc>
        <w:tc>
          <w:tcPr>
            <w:tcW w:w="1269" w:type="dxa"/>
            <w:vAlign w:val="center"/>
            <w:hideMark/>
          </w:tcPr>
          <w:p w14:paraId="16530D47" w14:textId="77777777" w:rsidR="005562F4" w:rsidRPr="005562F4" w:rsidRDefault="005562F4" w:rsidP="005562F4">
            <w:pPr>
              <w:rPr>
                <w:lang w:val="it-IT"/>
              </w:rPr>
            </w:pPr>
          </w:p>
        </w:tc>
        <w:tc>
          <w:tcPr>
            <w:tcW w:w="1954" w:type="dxa"/>
            <w:vAlign w:val="center"/>
            <w:hideMark/>
          </w:tcPr>
          <w:p w14:paraId="0B311764" w14:textId="77777777" w:rsidR="005562F4" w:rsidRPr="005562F4" w:rsidRDefault="005562F4" w:rsidP="005562F4">
            <w:pPr>
              <w:rPr>
                <w:lang w:val="it-IT"/>
              </w:rPr>
            </w:pPr>
          </w:p>
        </w:tc>
        <w:tc>
          <w:tcPr>
            <w:tcW w:w="1940" w:type="dxa"/>
            <w:vAlign w:val="center"/>
            <w:hideMark/>
          </w:tcPr>
          <w:p w14:paraId="755B0C73" w14:textId="77777777" w:rsidR="005562F4" w:rsidRPr="005562F4" w:rsidRDefault="005562F4" w:rsidP="005562F4">
            <w:pPr>
              <w:rPr>
                <w:lang w:val="it-IT"/>
              </w:rPr>
            </w:pPr>
          </w:p>
        </w:tc>
      </w:tr>
      <w:tr w:rsidR="00C36A4A" w:rsidRPr="005562F4" w14:paraId="734CF9C2" w14:textId="77777777" w:rsidTr="00C36A4A">
        <w:trPr>
          <w:tblCellSpacing w:w="15" w:type="dxa"/>
        </w:trPr>
        <w:tc>
          <w:tcPr>
            <w:tcW w:w="0" w:type="auto"/>
            <w:vAlign w:val="center"/>
            <w:hideMark/>
          </w:tcPr>
          <w:p w14:paraId="41093836" w14:textId="77777777" w:rsidR="005562F4" w:rsidRPr="005562F4" w:rsidRDefault="005562F4" w:rsidP="005562F4">
            <w:pPr>
              <w:rPr>
                <w:lang w:val="it-IT"/>
              </w:rPr>
            </w:pPr>
            <w:r w:rsidRPr="005562F4">
              <w:rPr>
                <w:lang w:val="it-IT"/>
              </w:rPr>
              <w:t>Single</w:t>
            </w:r>
          </w:p>
        </w:tc>
        <w:tc>
          <w:tcPr>
            <w:tcW w:w="1269" w:type="dxa"/>
            <w:vAlign w:val="center"/>
            <w:hideMark/>
          </w:tcPr>
          <w:p w14:paraId="19BE4616" w14:textId="77777777" w:rsidR="005562F4" w:rsidRPr="005562F4" w:rsidRDefault="005562F4" w:rsidP="005562F4">
            <w:pPr>
              <w:rPr>
                <w:lang w:val="it-IT"/>
              </w:rPr>
            </w:pPr>
            <w:r w:rsidRPr="005562F4">
              <w:rPr>
                <w:lang w:val="it-IT"/>
              </w:rPr>
              <w:t>299</w:t>
            </w:r>
          </w:p>
        </w:tc>
        <w:tc>
          <w:tcPr>
            <w:tcW w:w="1954" w:type="dxa"/>
            <w:vAlign w:val="center"/>
            <w:hideMark/>
          </w:tcPr>
          <w:p w14:paraId="339384FF" w14:textId="77777777" w:rsidR="005562F4" w:rsidRPr="005562F4" w:rsidRDefault="005562F4" w:rsidP="005562F4">
            <w:pPr>
              <w:rPr>
                <w:lang w:val="it-IT"/>
              </w:rPr>
            </w:pPr>
            <w:r w:rsidRPr="005562F4">
              <w:rPr>
                <w:lang w:val="it-IT"/>
              </w:rPr>
              <w:t>61.40</w:t>
            </w:r>
          </w:p>
        </w:tc>
        <w:tc>
          <w:tcPr>
            <w:tcW w:w="1940" w:type="dxa"/>
            <w:vAlign w:val="center"/>
            <w:hideMark/>
          </w:tcPr>
          <w:p w14:paraId="3D61FDA8" w14:textId="77777777" w:rsidR="005562F4" w:rsidRPr="005562F4" w:rsidRDefault="005562F4" w:rsidP="005562F4">
            <w:pPr>
              <w:rPr>
                <w:lang w:val="it-IT"/>
              </w:rPr>
            </w:pPr>
            <w:r w:rsidRPr="005562F4">
              <w:rPr>
                <w:lang w:val="it-IT"/>
              </w:rPr>
              <w:t>56.91 – 65.74</w:t>
            </w:r>
          </w:p>
        </w:tc>
      </w:tr>
      <w:tr w:rsidR="00C36A4A" w:rsidRPr="005562F4" w14:paraId="0DE95467" w14:textId="77777777" w:rsidTr="00C36A4A">
        <w:trPr>
          <w:tblCellSpacing w:w="15" w:type="dxa"/>
        </w:trPr>
        <w:tc>
          <w:tcPr>
            <w:tcW w:w="0" w:type="auto"/>
            <w:vAlign w:val="center"/>
            <w:hideMark/>
          </w:tcPr>
          <w:p w14:paraId="6B167E9C" w14:textId="77777777" w:rsidR="005562F4" w:rsidRPr="005562F4" w:rsidRDefault="005562F4" w:rsidP="005562F4">
            <w:pPr>
              <w:rPr>
                <w:lang w:val="it-IT"/>
              </w:rPr>
            </w:pPr>
            <w:r w:rsidRPr="005562F4">
              <w:rPr>
                <w:lang w:val="it-IT"/>
              </w:rPr>
              <w:t>Married</w:t>
            </w:r>
          </w:p>
        </w:tc>
        <w:tc>
          <w:tcPr>
            <w:tcW w:w="1269" w:type="dxa"/>
            <w:vAlign w:val="center"/>
            <w:hideMark/>
          </w:tcPr>
          <w:p w14:paraId="59041FAE" w14:textId="77777777" w:rsidR="005562F4" w:rsidRPr="005562F4" w:rsidRDefault="005562F4" w:rsidP="005562F4">
            <w:pPr>
              <w:rPr>
                <w:lang w:val="it-IT"/>
              </w:rPr>
            </w:pPr>
            <w:r w:rsidRPr="005562F4">
              <w:rPr>
                <w:lang w:val="it-IT"/>
              </w:rPr>
              <w:t>172</w:t>
            </w:r>
          </w:p>
        </w:tc>
        <w:tc>
          <w:tcPr>
            <w:tcW w:w="1954" w:type="dxa"/>
            <w:vAlign w:val="center"/>
            <w:hideMark/>
          </w:tcPr>
          <w:p w14:paraId="0E403D8A" w14:textId="77777777" w:rsidR="005562F4" w:rsidRPr="005562F4" w:rsidRDefault="005562F4" w:rsidP="005562F4">
            <w:pPr>
              <w:rPr>
                <w:lang w:val="it-IT"/>
              </w:rPr>
            </w:pPr>
            <w:r w:rsidRPr="005562F4">
              <w:rPr>
                <w:lang w:val="it-IT"/>
              </w:rPr>
              <w:t>35.32</w:t>
            </w:r>
          </w:p>
        </w:tc>
        <w:tc>
          <w:tcPr>
            <w:tcW w:w="1940" w:type="dxa"/>
            <w:vAlign w:val="center"/>
            <w:hideMark/>
          </w:tcPr>
          <w:p w14:paraId="51859D1D" w14:textId="77777777" w:rsidR="005562F4" w:rsidRPr="005562F4" w:rsidRDefault="005562F4" w:rsidP="005562F4">
            <w:pPr>
              <w:rPr>
                <w:lang w:val="it-IT"/>
              </w:rPr>
            </w:pPr>
            <w:r w:rsidRPr="005562F4">
              <w:rPr>
                <w:lang w:val="it-IT"/>
              </w:rPr>
              <w:t>31.07 – 39.75</w:t>
            </w:r>
          </w:p>
        </w:tc>
      </w:tr>
      <w:tr w:rsidR="00C36A4A" w:rsidRPr="005562F4" w14:paraId="36937760" w14:textId="77777777" w:rsidTr="00C36A4A">
        <w:trPr>
          <w:tblCellSpacing w:w="15" w:type="dxa"/>
        </w:trPr>
        <w:tc>
          <w:tcPr>
            <w:tcW w:w="0" w:type="auto"/>
            <w:vAlign w:val="center"/>
            <w:hideMark/>
          </w:tcPr>
          <w:p w14:paraId="4B57B85A" w14:textId="77777777" w:rsidR="005562F4" w:rsidRPr="005562F4" w:rsidRDefault="005562F4" w:rsidP="005562F4">
            <w:pPr>
              <w:rPr>
                <w:lang w:val="it-IT"/>
              </w:rPr>
            </w:pPr>
            <w:r w:rsidRPr="005562F4">
              <w:rPr>
                <w:lang w:val="it-IT"/>
              </w:rPr>
              <w:t>Divorced</w:t>
            </w:r>
          </w:p>
        </w:tc>
        <w:tc>
          <w:tcPr>
            <w:tcW w:w="1269" w:type="dxa"/>
            <w:vAlign w:val="center"/>
            <w:hideMark/>
          </w:tcPr>
          <w:p w14:paraId="7F4832BA" w14:textId="77777777" w:rsidR="005562F4" w:rsidRPr="005562F4" w:rsidRDefault="005562F4" w:rsidP="005562F4">
            <w:pPr>
              <w:rPr>
                <w:lang w:val="it-IT"/>
              </w:rPr>
            </w:pPr>
            <w:r w:rsidRPr="005562F4">
              <w:rPr>
                <w:lang w:val="it-IT"/>
              </w:rPr>
              <w:t>6</w:t>
            </w:r>
          </w:p>
        </w:tc>
        <w:tc>
          <w:tcPr>
            <w:tcW w:w="1954" w:type="dxa"/>
            <w:vAlign w:val="center"/>
            <w:hideMark/>
          </w:tcPr>
          <w:p w14:paraId="0FCF0834" w14:textId="77777777" w:rsidR="005562F4" w:rsidRPr="005562F4" w:rsidRDefault="005562F4" w:rsidP="005562F4">
            <w:pPr>
              <w:rPr>
                <w:lang w:val="it-IT"/>
              </w:rPr>
            </w:pPr>
            <w:r w:rsidRPr="005562F4">
              <w:rPr>
                <w:lang w:val="it-IT"/>
              </w:rPr>
              <w:t>1.23</w:t>
            </w:r>
          </w:p>
        </w:tc>
        <w:tc>
          <w:tcPr>
            <w:tcW w:w="1940" w:type="dxa"/>
            <w:vAlign w:val="center"/>
            <w:hideMark/>
          </w:tcPr>
          <w:p w14:paraId="147A6578" w14:textId="77777777" w:rsidR="005562F4" w:rsidRPr="005562F4" w:rsidRDefault="005562F4" w:rsidP="005562F4">
            <w:pPr>
              <w:rPr>
                <w:lang w:val="it-IT"/>
              </w:rPr>
            </w:pPr>
            <w:r w:rsidRPr="005562F4">
              <w:rPr>
                <w:lang w:val="it-IT"/>
              </w:rPr>
              <w:t>0.45 – 2.66</w:t>
            </w:r>
          </w:p>
        </w:tc>
      </w:tr>
      <w:tr w:rsidR="00C36A4A" w:rsidRPr="005562F4" w14:paraId="70D34571" w14:textId="77777777" w:rsidTr="00C36A4A">
        <w:trPr>
          <w:tblCellSpacing w:w="15" w:type="dxa"/>
        </w:trPr>
        <w:tc>
          <w:tcPr>
            <w:tcW w:w="0" w:type="auto"/>
            <w:vAlign w:val="center"/>
            <w:hideMark/>
          </w:tcPr>
          <w:p w14:paraId="52575BFD" w14:textId="77777777" w:rsidR="005562F4" w:rsidRPr="005562F4" w:rsidRDefault="005562F4" w:rsidP="005562F4">
            <w:pPr>
              <w:rPr>
                <w:lang w:val="it-IT"/>
              </w:rPr>
            </w:pPr>
            <w:r w:rsidRPr="005562F4">
              <w:rPr>
                <w:lang w:val="it-IT"/>
              </w:rPr>
              <w:t>Widowed</w:t>
            </w:r>
          </w:p>
        </w:tc>
        <w:tc>
          <w:tcPr>
            <w:tcW w:w="1269" w:type="dxa"/>
            <w:vAlign w:val="center"/>
            <w:hideMark/>
          </w:tcPr>
          <w:p w14:paraId="7C70E900" w14:textId="77777777" w:rsidR="005562F4" w:rsidRPr="005562F4" w:rsidRDefault="005562F4" w:rsidP="005562F4">
            <w:pPr>
              <w:rPr>
                <w:lang w:val="it-IT"/>
              </w:rPr>
            </w:pPr>
            <w:r w:rsidRPr="005562F4">
              <w:rPr>
                <w:lang w:val="it-IT"/>
              </w:rPr>
              <w:t>10</w:t>
            </w:r>
          </w:p>
        </w:tc>
        <w:tc>
          <w:tcPr>
            <w:tcW w:w="1954" w:type="dxa"/>
            <w:vAlign w:val="center"/>
            <w:hideMark/>
          </w:tcPr>
          <w:p w14:paraId="12A79B04" w14:textId="77777777" w:rsidR="005562F4" w:rsidRPr="005562F4" w:rsidRDefault="005562F4" w:rsidP="005562F4">
            <w:pPr>
              <w:rPr>
                <w:lang w:val="it-IT"/>
              </w:rPr>
            </w:pPr>
            <w:r w:rsidRPr="005562F4">
              <w:rPr>
                <w:lang w:val="it-IT"/>
              </w:rPr>
              <w:t>2.05</w:t>
            </w:r>
          </w:p>
        </w:tc>
        <w:tc>
          <w:tcPr>
            <w:tcW w:w="1940" w:type="dxa"/>
            <w:vAlign w:val="center"/>
            <w:hideMark/>
          </w:tcPr>
          <w:p w14:paraId="42F29F3A" w14:textId="77777777" w:rsidR="005562F4" w:rsidRPr="005562F4" w:rsidRDefault="005562F4" w:rsidP="005562F4">
            <w:pPr>
              <w:rPr>
                <w:lang w:val="it-IT"/>
              </w:rPr>
            </w:pPr>
            <w:r w:rsidRPr="005562F4">
              <w:rPr>
                <w:lang w:val="it-IT"/>
              </w:rPr>
              <w:t>0.99 – 3.74</w:t>
            </w:r>
          </w:p>
        </w:tc>
      </w:tr>
      <w:tr w:rsidR="00C36A4A" w:rsidRPr="005562F4" w14:paraId="18024340" w14:textId="77777777" w:rsidTr="00C36A4A">
        <w:trPr>
          <w:tblCellSpacing w:w="15" w:type="dxa"/>
        </w:trPr>
        <w:tc>
          <w:tcPr>
            <w:tcW w:w="0" w:type="auto"/>
            <w:vAlign w:val="center"/>
            <w:hideMark/>
          </w:tcPr>
          <w:p w14:paraId="741BE3ED" w14:textId="77777777" w:rsidR="005562F4" w:rsidRPr="005562F4" w:rsidRDefault="005562F4" w:rsidP="005562F4">
            <w:pPr>
              <w:rPr>
                <w:lang w:val="it-IT"/>
              </w:rPr>
            </w:pPr>
            <w:r w:rsidRPr="005562F4">
              <w:rPr>
                <w:b/>
                <w:bCs/>
                <w:lang w:val="it-IT"/>
              </w:rPr>
              <w:t>Occupation</w:t>
            </w:r>
          </w:p>
        </w:tc>
        <w:tc>
          <w:tcPr>
            <w:tcW w:w="1269" w:type="dxa"/>
            <w:vAlign w:val="center"/>
            <w:hideMark/>
          </w:tcPr>
          <w:p w14:paraId="6D04003E" w14:textId="77777777" w:rsidR="005562F4" w:rsidRPr="005562F4" w:rsidRDefault="005562F4" w:rsidP="005562F4">
            <w:pPr>
              <w:rPr>
                <w:lang w:val="it-IT"/>
              </w:rPr>
            </w:pPr>
          </w:p>
        </w:tc>
        <w:tc>
          <w:tcPr>
            <w:tcW w:w="1954" w:type="dxa"/>
            <w:vAlign w:val="center"/>
            <w:hideMark/>
          </w:tcPr>
          <w:p w14:paraId="4D8A422F" w14:textId="77777777" w:rsidR="005562F4" w:rsidRPr="005562F4" w:rsidRDefault="005562F4" w:rsidP="005562F4">
            <w:pPr>
              <w:rPr>
                <w:lang w:val="it-IT"/>
              </w:rPr>
            </w:pPr>
          </w:p>
        </w:tc>
        <w:tc>
          <w:tcPr>
            <w:tcW w:w="1940" w:type="dxa"/>
            <w:vAlign w:val="center"/>
            <w:hideMark/>
          </w:tcPr>
          <w:p w14:paraId="4C19E20F" w14:textId="77777777" w:rsidR="005562F4" w:rsidRPr="005562F4" w:rsidRDefault="005562F4" w:rsidP="005562F4">
            <w:pPr>
              <w:rPr>
                <w:lang w:val="it-IT"/>
              </w:rPr>
            </w:pPr>
          </w:p>
        </w:tc>
      </w:tr>
      <w:tr w:rsidR="00C36A4A" w:rsidRPr="005562F4" w14:paraId="18717397" w14:textId="77777777" w:rsidTr="00C36A4A">
        <w:trPr>
          <w:tblCellSpacing w:w="15" w:type="dxa"/>
        </w:trPr>
        <w:tc>
          <w:tcPr>
            <w:tcW w:w="0" w:type="auto"/>
            <w:vAlign w:val="center"/>
            <w:hideMark/>
          </w:tcPr>
          <w:p w14:paraId="29DAB403" w14:textId="77777777" w:rsidR="005562F4" w:rsidRPr="005562F4" w:rsidRDefault="005562F4" w:rsidP="005562F4">
            <w:pPr>
              <w:rPr>
                <w:lang w:val="it-IT"/>
              </w:rPr>
            </w:pPr>
            <w:r w:rsidRPr="005562F4">
              <w:rPr>
                <w:lang w:val="it-IT"/>
              </w:rPr>
              <w:t>Civil Servant</w:t>
            </w:r>
          </w:p>
        </w:tc>
        <w:tc>
          <w:tcPr>
            <w:tcW w:w="1269" w:type="dxa"/>
            <w:vAlign w:val="center"/>
            <w:hideMark/>
          </w:tcPr>
          <w:p w14:paraId="46388EB0" w14:textId="77777777" w:rsidR="005562F4" w:rsidRPr="005562F4" w:rsidRDefault="005562F4" w:rsidP="005562F4">
            <w:pPr>
              <w:rPr>
                <w:lang w:val="it-IT"/>
              </w:rPr>
            </w:pPr>
            <w:r w:rsidRPr="005562F4">
              <w:rPr>
                <w:lang w:val="it-IT"/>
              </w:rPr>
              <w:t>19</w:t>
            </w:r>
          </w:p>
        </w:tc>
        <w:tc>
          <w:tcPr>
            <w:tcW w:w="1954" w:type="dxa"/>
            <w:vAlign w:val="center"/>
            <w:hideMark/>
          </w:tcPr>
          <w:p w14:paraId="02C6C73D" w14:textId="77777777" w:rsidR="005562F4" w:rsidRPr="005562F4" w:rsidRDefault="005562F4" w:rsidP="005562F4">
            <w:pPr>
              <w:rPr>
                <w:lang w:val="it-IT"/>
              </w:rPr>
            </w:pPr>
            <w:r w:rsidRPr="005562F4">
              <w:rPr>
                <w:lang w:val="it-IT"/>
              </w:rPr>
              <w:t>3.90</w:t>
            </w:r>
          </w:p>
        </w:tc>
        <w:tc>
          <w:tcPr>
            <w:tcW w:w="1940" w:type="dxa"/>
            <w:vAlign w:val="center"/>
            <w:hideMark/>
          </w:tcPr>
          <w:p w14:paraId="1ED625B6" w14:textId="77777777" w:rsidR="005562F4" w:rsidRPr="005562F4" w:rsidRDefault="005562F4" w:rsidP="005562F4">
            <w:pPr>
              <w:rPr>
                <w:lang w:val="it-IT"/>
              </w:rPr>
            </w:pPr>
            <w:r w:rsidRPr="005562F4">
              <w:rPr>
                <w:lang w:val="it-IT"/>
              </w:rPr>
              <w:t>2.36 – 6.03</w:t>
            </w:r>
          </w:p>
        </w:tc>
      </w:tr>
      <w:tr w:rsidR="00C36A4A" w:rsidRPr="005562F4" w14:paraId="36C7C6A6" w14:textId="77777777" w:rsidTr="00C36A4A">
        <w:trPr>
          <w:tblCellSpacing w:w="15" w:type="dxa"/>
        </w:trPr>
        <w:tc>
          <w:tcPr>
            <w:tcW w:w="0" w:type="auto"/>
            <w:vAlign w:val="center"/>
            <w:hideMark/>
          </w:tcPr>
          <w:p w14:paraId="536C2260" w14:textId="77777777" w:rsidR="005562F4" w:rsidRPr="005562F4" w:rsidRDefault="005562F4" w:rsidP="005562F4">
            <w:pPr>
              <w:rPr>
                <w:lang w:val="it-IT"/>
              </w:rPr>
            </w:pPr>
            <w:r w:rsidRPr="005562F4">
              <w:rPr>
                <w:lang w:val="it-IT"/>
              </w:rPr>
              <w:t>Student/Pupil</w:t>
            </w:r>
          </w:p>
        </w:tc>
        <w:tc>
          <w:tcPr>
            <w:tcW w:w="1269" w:type="dxa"/>
            <w:vAlign w:val="center"/>
            <w:hideMark/>
          </w:tcPr>
          <w:p w14:paraId="766F9164" w14:textId="77777777" w:rsidR="005562F4" w:rsidRPr="005562F4" w:rsidRDefault="005562F4" w:rsidP="005562F4">
            <w:pPr>
              <w:rPr>
                <w:lang w:val="it-IT"/>
              </w:rPr>
            </w:pPr>
            <w:r w:rsidRPr="005562F4">
              <w:rPr>
                <w:lang w:val="it-IT"/>
              </w:rPr>
              <w:t>198</w:t>
            </w:r>
          </w:p>
        </w:tc>
        <w:tc>
          <w:tcPr>
            <w:tcW w:w="1954" w:type="dxa"/>
            <w:vAlign w:val="center"/>
            <w:hideMark/>
          </w:tcPr>
          <w:p w14:paraId="3129A556" w14:textId="77777777" w:rsidR="005562F4" w:rsidRPr="005562F4" w:rsidRDefault="005562F4" w:rsidP="005562F4">
            <w:pPr>
              <w:rPr>
                <w:lang w:val="it-IT"/>
              </w:rPr>
            </w:pPr>
            <w:r w:rsidRPr="005562F4">
              <w:rPr>
                <w:lang w:val="it-IT"/>
              </w:rPr>
              <w:t>40.66</w:t>
            </w:r>
          </w:p>
        </w:tc>
        <w:tc>
          <w:tcPr>
            <w:tcW w:w="1940" w:type="dxa"/>
            <w:vAlign w:val="center"/>
            <w:hideMark/>
          </w:tcPr>
          <w:p w14:paraId="25B89F66" w14:textId="77777777" w:rsidR="005562F4" w:rsidRPr="005562F4" w:rsidRDefault="005562F4" w:rsidP="005562F4">
            <w:pPr>
              <w:rPr>
                <w:lang w:val="it-IT"/>
              </w:rPr>
            </w:pPr>
            <w:r w:rsidRPr="005562F4">
              <w:rPr>
                <w:lang w:val="it-IT"/>
              </w:rPr>
              <w:t>36.26 – 45.17</w:t>
            </w:r>
          </w:p>
        </w:tc>
      </w:tr>
      <w:tr w:rsidR="00C36A4A" w:rsidRPr="005562F4" w14:paraId="5952FA2C" w14:textId="77777777" w:rsidTr="00C36A4A">
        <w:trPr>
          <w:tblCellSpacing w:w="15" w:type="dxa"/>
        </w:trPr>
        <w:tc>
          <w:tcPr>
            <w:tcW w:w="0" w:type="auto"/>
            <w:vAlign w:val="center"/>
            <w:hideMark/>
          </w:tcPr>
          <w:p w14:paraId="291CA9CB" w14:textId="77777777" w:rsidR="005562F4" w:rsidRPr="005562F4" w:rsidRDefault="005562F4" w:rsidP="005562F4">
            <w:pPr>
              <w:rPr>
                <w:lang w:val="it-IT"/>
              </w:rPr>
            </w:pPr>
            <w:r w:rsidRPr="005562F4">
              <w:rPr>
                <w:lang w:val="it-IT"/>
              </w:rPr>
              <w:t>Trader</w:t>
            </w:r>
          </w:p>
        </w:tc>
        <w:tc>
          <w:tcPr>
            <w:tcW w:w="1269" w:type="dxa"/>
            <w:vAlign w:val="center"/>
            <w:hideMark/>
          </w:tcPr>
          <w:p w14:paraId="4BAAA245" w14:textId="77777777" w:rsidR="005562F4" w:rsidRPr="005562F4" w:rsidRDefault="005562F4" w:rsidP="005562F4">
            <w:pPr>
              <w:rPr>
                <w:lang w:val="it-IT"/>
              </w:rPr>
            </w:pPr>
            <w:r w:rsidRPr="005562F4">
              <w:rPr>
                <w:lang w:val="it-IT"/>
              </w:rPr>
              <w:t>76</w:t>
            </w:r>
          </w:p>
        </w:tc>
        <w:tc>
          <w:tcPr>
            <w:tcW w:w="1954" w:type="dxa"/>
            <w:vAlign w:val="center"/>
            <w:hideMark/>
          </w:tcPr>
          <w:p w14:paraId="6C1FFC84" w14:textId="77777777" w:rsidR="005562F4" w:rsidRPr="005562F4" w:rsidRDefault="005562F4" w:rsidP="005562F4">
            <w:pPr>
              <w:rPr>
                <w:lang w:val="it-IT"/>
              </w:rPr>
            </w:pPr>
            <w:r w:rsidRPr="005562F4">
              <w:rPr>
                <w:lang w:val="it-IT"/>
              </w:rPr>
              <w:t>15.61</w:t>
            </w:r>
          </w:p>
        </w:tc>
        <w:tc>
          <w:tcPr>
            <w:tcW w:w="1940" w:type="dxa"/>
            <w:vAlign w:val="center"/>
            <w:hideMark/>
          </w:tcPr>
          <w:p w14:paraId="222750C9" w14:textId="77777777" w:rsidR="005562F4" w:rsidRPr="005562F4" w:rsidRDefault="005562F4" w:rsidP="005562F4">
            <w:pPr>
              <w:rPr>
                <w:lang w:val="it-IT"/>
              </w:rPr>
            </w:pPr>
            <w:r w:rsidRPr="005562F4">
              <w:rPr>
                <w:lang w:val="it-IT"/>
              </w:rPr>
              <w:t>12.50 – 19.14</w:t>
            </w:r>
          </w:p>
        </w:tc>
      </w:tr>
      <w:tr w:rsidR="00C36A4A" w:rsidRPr="005562F4" w14:paraId="7CF97F03" w14:textId="77777777" w:rsidTr="00C36A4A">
        <w:trPr>
          <w:tblCellSpacing w:w="15" w:type="dxa"/>
        </w:trPr>
        <w:tc>
          <w:tcPr>
            <w:tcW w:w="0" w:type="auto"/>
            <w:vAlign w:val="center"/>
            <w:hideMark/>
          </w:tcPr>
          <w:p w14:paraId="5F544AF1" w14:textId="77777777" w:rsidR="005562F4" w:rsidRPr="005562F4" w:rsidRDefault="005562F4" w:rsidP="005562F4">
            <w:pPr>
              <w:rPr>
                <w:lang w:val="it-IT"/>
              </w:rPr>
            </w:pPr>
            <w:r w:rsidRPr="005562F4">
              <w:rPr>
                <w:lang w:val="it-IT"/>
              </w:rPr>
              <w:t>Housewife</w:t>
            </w:r>
          </w:p>
        </w:tc>
        <w:tc>
          <w:tcPr>
            <w:tcW w:w="1269" w:type="dxa"/>
            <w:vAlign w:val="center"/>
            <w:hideMark/>
          </w:tcPr>
          <w:p w14:paraId="3FCBDB0A" w14:textId="77777777" w:rsidR="005562F4" w:rsidRPr="005562F4" w:rsidRDefault="005562F4" w:rsidP="005562F4">
            <w:pPr>
              <w:rPr>
                <w:lang w:val="it-IT"/>
              </w:rPr>
            </w:pPr>
            <w:r w:rsidRPr="005562F4">
              <w:rPr>
                <w:lang w:val="it-IT"/>
              </w:rPr>
              <w:t>106</w:t>
            </w:r>
          </w:p>
        </w:tc>
        <w:tc>
          <w:tcPr>
            <w:tcW w:w="1954" w:type="dxa"/>
            <w:vAlign w:val="center"/>
            <w:hideMark/>
          </w:tcPr>
          <w:p w14:paraId="0A9EE029" w14:textId="77777777" w:rsidR="005562F4" w:rsidRPr="005562F4" w:rsidRDefault="005562F4" w:rsidP="005562F4">
            <w:pPr>
              <w:rPr>
                <w:lang w:val="it-IT"/>
              </w:rPr>
            </w:pPr>
            <w:r w:rsidRPr="005562F4">
              <w:rPr>
                <w:lang w:val="it-IT"/>
              </w:rPr>
              <w:t>21.77</w:t>
            </w:r>
          </w:p>
        </w:tc>
        <w:tc>
          <w:tcPr>
            <w:tcW w:w="1940" w:type="dxa"/>
            <w:vAlign w:val="center"/>
            <w:hideMark/>
          </w:tcPr>
          <w:p w14:paraId="0C0A29FD" w14:textId="77777777" w:rsidR="005562F4" w:rsidRPr="005562F4" w:rsidRDefault="005562F4" w:rsidP="005562F4">
            <w:pPr>
              <w:rPr>
                <w:lang w:val="it-IT"/>
              </w:rPr>
            </w:pPr>
            <w:r w:rsidRPr="005562F4">
              <w:rPr>
                <w:lang w:val="it-IT"/>
              </w:rPr>
              <w:t>18.18 – 25.70</w:t>
            </w:r>
          </w:p>
        </w:tc>
      </w:tr>
      <w:tr w:rsidR="00C36A4A" w:rsidRPr="005562F4" w14:paraId="57B6EC12" w14:textId="77777777" w:rsidTr="00C36A4A">
        <w:trPr>
          <w:tblCellSpacing w:w="15" w:type="dxa"/>
        </w:trPr>
        <w:tc>
          <w:tcPr>
            <w:tcW w:w="0" w:type="auto"/>
            <w:vAlign w:val="center"/>
            <w:hideMark/>
          </w:tcPr>
          <w:p w14:paraId="0A8A8776" w14:textId="77777777" w:rsidR="005562F4" w:rsidRPr="005562F4" w:rsidRDefault="005562F4" w:rsidP="005562F4">
            <w:pPr>
              <w:rPr>
                <w:lang w:val="it-IT"/>
              </w:rPr>
            </w:pPr>
            <w:r w:rsidRPr="005562F4">
              <w:rPr>
                <w:lang w:val="it-IT"/>
              </w:rPr>
              <w:t>Unemployed</w:t>
            </w:r>
          </w:p>
        </w:tc>
        <w:tc>
          <w:tcPr>
            <w:tcW w:w="1269" w:type="dxa"/>
            <w:vAlign w:val="center"/>
            <w:hideMark/>
          </w:tcPr>
          <w:p w14:paraId="7F7B6699" w14:textId="77777777" w:rsidR="005562F4" w:rsidRPr="005562F4" w:rsidRDefault="005562F4" w:rsidP="005562F4">
            <w:pPr>
              <w:rPr>
                <w:lang w:val="it-IT"/>
              </w:rPr>
            </w:pPr>
            <w:r w:rsidRPr="005562F4">
              <w:rPr>
                <w:lang w:val="it-IT"/>
              </w:rPr>
              <w:t>36</w:t>
            </w:r>
          </w:p>
        </w:tc>
        <w:tc>
          <w:tcPr>
            <w:tcW w:w="1954" w:type="dxa"/>
            <w:vAlign w:val="center"/>
            <w:hideMark/>
          </w:tcPr>
          <w:p w14:paraId="3C1BE648" w14:textId="77777777" w:rsidR="005562F4" w:rsidRPr="005562F4" w:rsidRDefault="005562F4" w:rsidP="005562F4">
            <w:pPr>
              <w:rPr>
                <w:lang w:val="it-IT"/>
              </w:rPr>
            </w:pPr>
            <w:r w:rsidRPr="005562F4">
              <w:rPr>
                <w:lang w:val="it-IT"/>
              </w:rPr>
              <w:t>7.39</w:t>
            </w:r>
          </w:p>
        </w:tc>
        <w:tc>
          <w:tcPr>
            <w:tcW w:w="1940" w:type="dxa"/>
            <w:vAlign w:val="center"/>
            <w:hideMark/>
          </w:tcPr>
          <w:p w14:paraId="155E24D0" w14:textId="77777777" w:rsidR="005562F4" w:rsidRPr="005562F4" w:rsidRDefault="005562F4" w:rsidP="005562F4">
            <w:pPr>
              <w:rPr>
                <w:lang w:val="it-IT"/>
              </w:rPr>
            </w:pPr>
            <w:r w:rsidRPr="005562F4">
              <w:rPr>
                <w:lang w:val="it-IT"/>
              </w:rPr>
              <w:t>5.23 – 10.09</w:t>
            </w:r>
          </w:p>
        </w:tc>
      </w:tr>
      <w:tr w:rsidR="00C36A4A" w:rsidRPr="005562F4" w14:paraId="59DBFEF6" w14:textId="77777777" w:rsidTr="00C36A4A">
        <w:trPr>
          <w:tblCellSpacing w:w="15" w:type="dxa"/>
        </w:trPr>
        <w:tc>
          <w:tcPr>
            <w:tcW w:w="0" w:type="auto"/>
            <w:vAlign w:val="center"/>
            <w:hideMark/>
          </w:tcPr>
          <w:p w14:paraId="1F8B4456" w14:textId="77777777" w:rsidR="005562F4" w:rsidRPr="005562F4" w:rsidRDefault="005562F4" w:rsidP="005562F4">
            <w:pPr>
              <w:rPr>
                <w:lang w:val="it-IT"/>
              </w:rPr>
            </w:pPr>
            <w:r w:rsidRPr="005562F4">
              <w:rPr>
                <w:lang w:val="it-IT"/>
              </w:rPr>
              <w:t>Others</w:t>
            </w:r>
          </w:p>
        </w:tc>
        <w:tc>
          <w:tcPr>
            <w:tcW w:w="1269" w:type="dxa"/>
            <w:vAlign w:val="center"/>
            <w:hideMark/>
          </w:tcPr>
          <w:p w14:paraId="3CC949E5" w14:textId="77777777" w:rsidR="005562F4" w:rsidRPr="005562F4" w:rsidRDefault="005562F4" w:rsidP="005562F4">
            <w:pPr>
              <w:rPr>
                <w:lang w:val="it-IT"/>
              </w:rPr>
            </w:pPr>
            <w:r w:rsidRPr="005562F4">
              <w:rPr>
                <w:lang w:val="it-IT"/>
              </w:rPr>
              <w:t>52</w:t>
            </w:r>
          </w:p>
        </w:tc>
        <w:tc>
          <w:tcPr>
            <w:tcW w:w="1954" w:type="dxa"/>
            <w:vAlign w:val="center"/>
            <w:hideMark/>
          </w:tcPr>
          <w:p w14:paraId="1124A7F1" w14:textId="77777777" w:rsidR="005562F4" w:rsidRPr="005562F4" w:rsidRDefault="005562F4" w:rsidP="005562F4">
            <w:pPr>
              <w:rPr>
                <w:lang w:val="it-IT"/>
              </w:rPr>
            </w:pPr>
            <w:r w:rsidRPr="005562F4">
              <w:rPr>
                <w:lang w:val="it-IT"/>
              </w:rPr>
              <w:t>10.68</w:t>
            </w:r>
          </w:p>
        </w:tc>
        <w:tc>
          <w:tcPr>
            <w:tcW w:w="1940" w:type="dxa"/>
            <w:vAlign w:val="center"/>
            <w:hideMark/>
          </w:tcPr>
          <w:p w14:paraId="464B828C" w14:textId="77777777" w:rsidR="005562F4" w:rsidRPr="005562F4" w:rsidRDefault="005562F4" w:rsidP="005562F4">
            <w:pPr>
              <w:rPr>
                <w:lang w:val="it-IT"/>
              </w:rPr>
            </w:pPr>
            <w:r w:rsidRPr="005562F4">
              <w:rPr>
                <w:lang w:val="it-IT"/>
              </w:rPr>
              <w:t>8.08 – 13.77</w:t>
            </w:r>
          </w:p>
        </w:tc>
      </w:tr>
      <w:tr w:rsidR="00C36A4A" w:rsidRPr="005562F4" w14:paraId="35A8225E" w14:textId="77777777" w:rsidTr="00C36A4A">
        <w:trPr>
          <w:tblCellSpacing w:w="15" w:type="dxa"/>
        </w:trPr>
        <w:tc>
          <w:tcPr>
            <w:tcW w:w="0" w:type="auto"/>
            <w:vAlign w:val="center"/>
            <w:hideMark/>
          </w:tcPr>
          <w:p w14:paraId="67D115DB" w14:textId="77777777" w:rsidR="005562F4" w:rsidRPr="005562F4" w:rsidRDefault="005562F4" w:rsidP="005562F4">
            <w:pPr>
              <w:rPr>
                <w:lang w:val="it-IT"/>
              </w:rPr>
            </w:pPr>
            <w:r w:rsidRPr="005562F4">
              <w:rPr>
                <w:b/>
                <w:bCs/>
                <w:lang w:val="it-IT"/>
              </w:rPr>
              <w:lastRenderedPageBreak/>
              <w:t>Education Level</w:t>
            </w:r>
          </w:p>
        </w:tc>
        <w:tc>
          <w:tcPr>
            <w:tcW w:w="1269" w:type="dxa"/>
            <w:vAlign w:val="center"/>
            <w:hideMark/>
          </w:tcPr>
          <w:p w14:paraId="5B406160" w14:textId="77777777" w:rsidR="005562F4" w:rsidRPr="005562F4" w:rsidRDefault="005562F4" w:rsidP="005562F4">
            <w:pPr>
              <w:rPr>
                <w:lang w:val="it-IT"/>
              </w:rPr>
            </w:pPr>
          </w:p>
        </w:tc>
        <w:tc>
          <w:tcPr>
            <w:tcW w:w="1954" w:type="dxa"/>
            <w:vAlign w:val="center"/>
            <w:hideMark/>
          </w:tcPr>
          <w:p w14:paraId="4FE49284" w14:textId="77777777" w:rsidR="005562F4" w:rsidRPr="005562F4" w:rsidRDefault="005562F4" w:rsidP="005562F4">
            <w:pPr>
              <w:rPr>
                <w:lang w:val="it-IT"/>
              </w:rPr>
            </w:pPr>
          </w:p>
        </w:tc>
        <w:tc>
          <w:tcPr>
            <w:tcW w:w="1940" w:type="dxa"/>
            <w:vAlign w:val="center"/>
            <w:hideMark/>
          </w:tcPr>
          <w:p w14:paraId="0ED5A859" w14:textId="77777777" w:rsidR="005562F4" w:rsidRPr="005562F4" w:rsidRDefault="005562F4" w:rsidP="005562F4">
            <w:pPr>
              <w:rPr>
                <w:lang w:val="it-IT"/>
              </w:rPr>
            </w:pPr>
          </w:p>
        </w:tc>
      </w:tr>
      <w:tr w:rsidR="00C36A4A" w:rsidRPr="005562F4" w14:paraId="210237F8" w14:textId="77777777" w:rsidTr="00C36A4A">
        <w:trPr>
          <w:tblCellSpacing w:w="15" w:type="dxa"/>
        </w:trPr>
        <w:tc>
          <w:tcPr>
            <w:tcW w:w="0" w:type="auto"/>
            <w:vAlign w:val="center"/>
            <w:hideMark/>
          </w:tcPr>
          <w:p w14:paraId="0E3B474B" w14:textId="77777777" w:rsidR="005562F4" w:rsidRPr="005562F4" w:rsidRDefault="005562F4" w:rsidP="005562F4">
            <w:pPr>
              <w:rPr>
                <w:lang w:val="it-IT"/>
              </w:rPr>
            </w:pPr>
            <w:r w:rsidRPr="005562F4">
              <w:rPr>
                <w:lang w:val="it-IT"/>
              </w:rPr>
              <w:t>No formal education</w:t>
            </w:r>
          </w:p>
        </w:tc>
        <w:tc>
          <w:tcPr>
            <w:tcW w:w="1269" w:type="dxa"/>
            <w:vAlign w:val="center"/>
            <w:hideMark/>
          </w:tcPr>
          <w:p w14:paraId="132AC53E" w14:textId="77777777" w:rsidR="005562F4" w:rsidRPr="005562F4" w:rsidRDefault="005562F4" w:rsidP="005562F4">
            <w:pPr>
              <w:rPr>
                <w:lang w:val="it-IT"/>
              </w:rPr>
            </w:pPr>
            <w:r w:rsidRPr="005562F4">
              <w:rPr>
                <w:lang w:val="it-IT"/>
              </w:rPr>
              <w:t>25</w:t>
            </w:r>
          </w:p>
        </w:tc>
        <w:tc>
          <w:tcPr>
            <w:tcW w:w="1954" w:type="dxa"/>
            <w:vAlign w:val="center"/>
            <w:hideMark/>
          </w:tcPr>
          <w:p w14:paraId="6ADD8974" w14:textId="77777777" w:rsidR="005562F4" w:rsidRPr="005562F4" w:rsidRDefault="005562F4" w:rsidP="005562F4">
            <w:pPr>
              <w:rPr>
                <w:lang w:val="it-IT"/>
              </w:rPr>
            </w:pPr>
            <w:r w:rsidRPr="005562F4">
              <w:rPr>
                <w:lang w:val="it-IT"/>
              </w:rPr>
              <w:t>5.13</w:t>
            </w:r>
          </w:p>
        </w:tc>
        <w:tc>
          <w:tcPr>
            <w:tcW w:w="1940" w:type="dxa"/>
            <w:vAlign w:val="center"/>
            <w:hideMark/>
          </w:tcPr>
          <w:p w14:paraId="4FEF0E3E" w14:textId="77777777" w:rsidR="005562F4" w:rsidRPr="005562F4" w:rsidRDefault="005562F4" w:rsidP="005562F4">
            <w:pPr>
              <w:rPr>
                <w:lang w:val="it-IT"/>
              </w:rPr>
            </w:pPr>
            <w:r w:rsidRPr="005562F4">
              <w:rPr>
                <w:lang w:val="it-IT"/>
              </w:rPr>
              <w:t>3.35 – 7.49</w:t>
            </w:r>
          </w:p>
        </w:tc>
      </w:tr>
      <w:tr w:rsidR="00C36A4A" w:rsidRPr="005562F4" w14:paraId="38FF35DC" w14:textId="77777777" w:rsidTr="00C36A4A">
        <w:trPr>
          <w:tblCellSpacing w:w="15" w:type="dxa"/>
        </w:trPr>
        <w:tc>
          <w:tcPr>
            <w:tcW w:w="0" w:type="auto"/>
            <w:vAlign w:val="center"/>
            <w:hideMark/>
          </w:tcPr>
          <w:p w14:paraId="6D29D798" w14:textId="77777777" w:rsidR="005562F4" w:rsidRPr="005562F4" w:rsidRDefault="005562F4" w:rsidP="005562F4">
            <w:pPr>
              <w:rPr>
                <w:lang w:val="it-IT"/>
              </w:rPr>
            </w:pPr>
            <w:r w:rsidRPr="005562F4">
              <w:rPr>
                <w:lang w:val="it-IT"/>
              </w:rPr>
              <w:t>Primary</w:t>
            </w:r>
          </w:p>
        </w:tc>
        <w:tc>
          <w:tcPr>
            <w:tcW w:w="1269" w:type="dxa"/>
            <w:vAlign w:val="center"/>
            <w:hideMark/>
          </w:tcPr>
          <w:p w14:paraId="7940CC64" w14:textId="77777777" w:rsidR="005562F4" w:rsidRPr="005562F4" w:rsidRDefault="005562F4" w:rsidP="005562F4">
            <w:pPr>
              <w:rPr>
                <w:lang w:val="it-IT"/>
              </w:rPr>
            </w:pPr>
            <w:r w:rsidRPr="005562F4">
              <w:rPr>
                <w:lang w:val="it-IT"/>
              </w:rPr>
              <w:t>46</w:t>
            </w:r>
          </w:p>
        </w:tc>
        <w:tc>
          <w:tcPr>
            <w:tcW w:w="1954" w:type="dxa"/>
            <w:vAlign w:val="center"/>
            <w:hideMark/>
          </w:tcPr>
          <w:p w14:paraId="45EE0101" w14:textId="77777777" w:rsidR="005562F4" w:rsidRPr="005562F4" w:rsidRDefault="005562F4" w:rsidP="005562F4">
            <w:pPr>
              <w:rPr>
                <w:lang w:val="it-IT"/>
              </w:rPr>
            </w:pPr>
            <w:r w:rsidRPr="005562F4">
              <w:rPr>
                <w:lang w:val="it-IT"/>
              </w:rPr>
              <w:t>9.45</w:t>
            </w:r>
          </w:p>
        </w:tc>
        <w:tc>
          <w:tcPr>
            <w:tcW w:w="1940" w:type="dxa"/>
            <w:vAlign w:val="center"/>
            <w:hideMark/>
          </w:tcPr>
          <w:p w14:paraId="56A953C3" w14:textId="77777777" w:rsidR="005562F4" w:rsidRPr="005562F4" w:rsidRDefault="005562F4" w:rsidP="005562F4">
            <w:pPr>
              <w:rPr>
                <w:lang w:val="it-IT"/>
              </w:rPr>
            </w:pPr>
            <w:r w:rsidRPr="005562F4">
              <w:rPr>
                <w:lang w:val="it-IT"/>
              </w:rPr>
              <w:t>7.00 – 12.40</w:t>
            </w:r>
          </w:p>
        </w:tc>
      </w:tr>
      <w:tr w:rsidR="00C36A4A" w:rsidRPr="005562F4" w14:paraId="05E7AEBD" w14:textId="77777777" w:rsidTr="00C36A4A">
        <w:trPr>
          <w:tblCellSpacing w:w="15" w:type="dxa"/>
        </w:trPr>
        <w:tc>
          <w:tcPr>
            <w:tcW w:w="0" w:type="auto"/>
            <w:vAlign w:val="center"/>
            <w:hideMark/>
          </w:tcPr>
          <w:p w14:paraId="31C2007B" w14:textId="77777777" w:rsidR="005562F4" w:rsidRPr="005562F4" w:rsidRDefault="005562F4" w:rsidP="005562F4">
            <w:pPr>
              <w:rPr>
                <w:lang w:val="it-IT"/>
              </w:rPr>
            </w:pPr>
            <w:r w:rsidRPr="005562F4">
              <w:rPr>
                <w:lang w:val="it-IT"/>
              </w:rPr>
              <w:t>Secondary</w:t>
            </w:r>
          </w:p>
        </w:tc>
        <w:tc>
          <w:tcPr>
            <w:tcW w:w="1269" w:type="dxa"/>
            <w:vAlign w:val="center"/>
            <w:hideMark/>
          </w:tcPr>
          <w:p w14:paraId="7A993410" w14:textId="77777777" w:rsidR="005562F4" w:rsidRPr="005562F4" w:rsidRDefault="005562F4" w:rsidP="005562F4">
            <w:pPr>
              <w:rPr>
                <w:lang w:val="it-IT"/>
              </w:rPr>
            </w:pPr>
            <w:r w:rsidRPr="005562F4">
              <w:rPr>
                <w:lang w:val="it-IT"/>
              </w:rPr>
              <w:t>300</w:t>
            </w:r>
          </w:p>
        </w:tc>
        <w:tc>
          <w:tcPr>
            <w:tcW w:w="1954" w:type="dxa"/>
            <w:vAlign w:val="center"/>
            <w:hideMark/>
          </w:tcPr>
          <w:p w14:paraId="626F51A8" w14:textId="77777777" w:rsidR="005562F4" w:rsidRPr="005562F4" w:rsidRDefault="005562F4" w:rsidP="005562F4">
            <w:pPr>
              <w:rPr>
                <w:lang w:val="it-IT"/>
              </w:rPr>
            </w:pPr>
            <w:r w:rsidRPr="005562F4">
              <w:rPr>
                <w:lang w:val="it-IT"/>
              </w:rPr>
              <w:t>61.60</w:t>
            </w:r>
          </w:p>
        </w:tc>
        <w:tc>
          <w:tcPr>
            <w:tcW w:w="1940" w:type="dxa"/>
            <w:vAlign w:val="center"/>
            <w:hideMark/>
          </w:tcPr>
          <w:p w14:paraId="639C8002" w14:textId="77777777" w:rsidR="005562F4" w:rsidRPr="005562F4" w:rsidRDefault="005562F4" w:rsidP="005562F4">
            <w:pPr>
              <w:rPr>
                <w:lang w:val="it-IT"/>
              </w:rPr>
            </w:pPr>
            <w:r w:rsidRPr="005562F4">
              <w:rPr>
                <w:lang w:val="it-IT"/>
              </w:rPr>
              <w:t>57.12 – 65.94</w:t>
            </w:r>
          </w:p>
        </w:tc>
      </w:tr>
      <w:tr w:rsidR="00C36A4A" w:rsidRPr="005562F4" w14:paraId="4E3C220B" w14:textId="77777777" w:rsidTr="00C36A4A">
        <w:trPr>
          <w:tblCellSpacing w:w="15" w:type="dxa"/>
        </w:trPr>
        <w:tc>
          <w:tcPr>
            <w:tcW w:w="0" w:type="auto"/>
            <w:vAlign w:val="center"/>
            <w:hideMark/>
          </w:tcPr>
          <w:p w14:paraId="24272C41" w14:textId="77777777" w:rsidR="005562F4" w:rsidRPr="005562F4" w:rsidRDefault="005562F4" w:rsidP="005562F4">
            <w:pPr>
              <w:rPr>
                <w:lang w:val="it-IT"/>
              </w:rPr>
            </w:pPr>
            <w:r w:rsidRPr="005562F4">
              <w:rPr>
                <w:lang w:val="it-IT"/>
              </w:rPr>
              <w:t>University</w:t>
            </w:r>
          </w:p>
        </w:tc>
        <w:tc>
          <w:tcPr>
            <w:tcW w:w="1269" w:type="dxa"/>
            <w:vAlign w:val="center"/>
            <w:hideMark/>
          </w:tcPr>
          <w:p w14:paraId="0DD977CF" w14:textId="77777777" w:rsidR="005562F4" w:rsidRPr="005562F4" w:rsidRDefault="005562F4" w:rsidP="005562F4">
            <w:pPr>
              <w:rPr>
                <w:lang w:val="it-IT"/>
              </w:rPr>
            </w:pPr>
            <w:r w:rsidRPr="005562F4">
              <w:rPr>
                <w:lang w:val="it-IT"/>
              </w:rPr>
              <w:t>116</w:t>
            </w:r>
          </w:p>
        </w:tc>
        <w:tc>
          <w:tcPr>
            <w:tcW w:w="1954" w:type="dxa"/>
            <w:vAlign w:val="center"/>
            <w:hideMark/>
          </w:tcPr>
          <w:p w14:paraId="6AD5EA88" w14:textId="77777777" w:rsidR="005562F4" w:rsidRPr="005562F4" w:rsidRDefault="005562F4" w:rsidP="005562F4">
            <w:pPr>
              <w:rPr>
                <w:lang w:val="it-IT"/>
              </w:rPr>
            </w:pPr>
            <w:r w:rsidRPr="005562F4">
              <w:rPr>
                <w:lang w:val="it-IT"/>
              </w:rPr>
              <w:t>23.82</w:t>
            </w:r>
          </w:p>
        </w:tc>
        <w:tc>
          <w:tcPr>
            <w:tcW w:w="1940" w:type="dxa"/>
            <w:vAlign w:val="center"/>
            <w:hideMark/>
          </w:tcPr>
          <w:p w14:paraId="2B93554C" w14:textId="77777777" w:rsidR="005562F4" w:rsidRPr="005562F4" w:rsidRDefault="005562F4" w:rsidP="005562F4">
            <w:pPr>
              <w:rPr>
                <w:lang w:val="it-IT"/>
              </w:rPr>
            </w:pPr>
            <w:r w:rsidRPr="005562F4">
              <w:rPr>
                <w:lang w:val="it-IT"/>
              </w:rPr>
              <w:t>20.10 – 27.86</w:t>
            </w:r>
          </w:p>
        </w:tc>
      </w:tr>
      <w:tr w:rsidR="00C36A4A" w:rsidRPr="005562F4" w14:paraId="57FD8EDE" w14:textId="77777777" w:rsidTr="00C36A4A">
        <w:trPr>
          <w:tblCellSpacing w:w="15" w:type="dxa"/>
        </w:trPr>
        <w:tc>
          <w:tcPr>
            <w:tcW w:w="0" w:type="auto"/>
            <w:vAlign w:val="center"/>
            <w:hideMark/>
          </w:tcPr>
          <w:p w14:paraId="73F2ED3D" w14:textId="77777777" w:rsidR="005562F4" w:rsidRPr="005562F4" w:rsidRDefault="005562F4" w:rsidP="005562F4">
            <w:pPr>
              <w:rPr>
                <w:lang w:val="it-IT"/>
              </w:rPr>
            </w:pPr>
            <w:r w:rsidRPr="005562F4">
              <w:rPr>
                <w:b/>
                <w:bCs/>
                <w:lang w:val="it-IT"/>
              </w:rPr>
              <w:t>Economic Status</w:t>
            </w:r>
          </w:p>
        </w:tc>
        <w:tc>
          <w:tcPr>
            <w:tcW w:w="1269" w:type="dxa"/>
            <w:vAlign w:val="center"/>
            <w:hideMark/>
          </w:tcPr>
          <w:p w14:paraId="498436EB" w14:textId="77777777" w:rsidR="005562F4" w:rsidRPr="005562F4" w:rsidRDefault="005562F4" w:rsidP="005562F4">
            <w:pPr>
              <w:rPr>
                <w:lang w:val="it-IT"/>
              </w:rPr>
            </w:pPr>
          </w:p>
        </w:tc>
        <w:tc>
          <w:tcPr>
            <w:tcW w:w="1954" w:type="dxa"/>
            <w:vAlign w:val="center"/>
            <w:hideMark/>
          </w:tcPr>
          <w:p w14:paraId="703BB5A7" w14:textId="77777777" w:rsidR="005562F4" w:rsidRPr="005562F4" w:rsidRDefault="005562F4" w:rsidP="005562F4">
            <w:pPr>
              <w:rPr>
                <w:lang w:val="it-IT"/>
              </w:rPr>
            </w:pPr>
          </w:p>
        </w:tc>
        <w:tc>
          <w:tcPr>
            <w:tcW w:w="1940" w:type="dxa"/>
            <w:vAlign w:val="center"/>
            <w:hideMark/>
          </w:tcPr>
          <w:p w14:paraId="3DB4B12B" w14:textId="77777777" w:rsidR="005562F4" w:rsidRPr="005562F4" w:rsidRDefault="005562F4" w:rsidP="005562F4">
            <w:pPr>
              <w:rPr>
                <w:lang w:val="it-IT"/>
              </w:rPr>
            </w:pPr>
          </w:p>
        </w:tc>
      </w:tr>
      <w:tr w:rsidR="00C36A4A" w:rsidRPr="005562F4" w14:paraId="722B4E38" w14:textId="77777777" w:rsidTr="00C36A4A">
        <w:trPr>
          <w:tblCellSpacing w:w="15" w:type="dxa"/>
        </w:trPr>
        <w:tc>
          <w:tcPr>
            <w:tcW w:w="0" w:type="auto"/>
            <w:vAlign w:val="center"/>
            <w:hideMark/>
          </w:tcPr>
          <w:p w14:paraId="355EC918" w14:textId="77777777" w:rsidR="005562F4" w:rsidRPr="005562F4" w:rsidRDefault="005562F4" w:rsidP="005562F4">
            <w:pPr>
              <w:rPr>
                <w:lang w:val="it-IT"/>
              </w:rPr>
            </w:pPr>
            <w:r w:rsidRPr="005562F4">
              <w:rPr>
                <w:lang w:val="it-IT"/>
              </w:rPr>
              <w:t>Low</w:t>
            </w:r>
          </w:p>
        </w:tc>
        <w:tc>
          <w:tcPr>
            <w:tcW w:w="1269" w:type="dxa"/>
            <w:vAlign w:val="center"/>
            <w:hideMark/>
          </w:tcPr>
          <w:p w14:paraId="10556D85" w14:textId="77777777" w:rsidR="005562F4" w:rsidRPr="005562F4" w:rsidRDefault="005562F4" w:rsidP="005562F4">
            <w:pPr>
              <w:rPr>
                <w:lang w:val="it-IT"/>
              </w:rPr>
            </w:pPr>
            <w:r w:rsidRPr="005562F4">
              <w:rPr>
                <w:lang w:val="it-IT"/>
              </w:rPr>
              <w:t>151</w:t>
            </w:r>
          </w:p>
        </w:tc>
        <w:tc>
          <w:tcPr>
            <w:tcW w:w="1954" w:type="dxa"/>
            <w:vAlign w:val="center"/>
            <w:hideMark/>
          </w:tcPr>
          <w:p w14:paraId="38574BF4" w14:textId="77777777" w:rsidR="005562F4" w:rsidRPr="005562F4" w:rsidRDefault="005562F4" w:rsidP="005562F4">
            <w:pPr>
              <w:rPr>
                <w:lang w:val="it-IT"/>
              </w:rPr>
            </w:pPr>
            <w:r w:rsidRPr="005562F4">
              <w:rPr>
                <w:lang w:val="it-IT"/>
              </w:rPr>
              <w:t>31.01</w:t>
            </w:r>
          </w:p>
        </w:tc>
        <w:tc>
          <w:tcPr>
            <w:tcW w:w="1940" w:type="dxa"/>
            <w:vAlign w:val="center"/>
            <w:hideMark/>
          </w:tcPr>
          <w:p w14:paraId="080991CE" w14:textId="77777777" w:rsidR="005562F4" w:rsidRPr="005562F4" w:rsidRDefault="005562F4" w:rsidP="005562F4">
            <w:pPr>
              <w:rPr>
                <w:lang w:val="it-IT"/>
              </w:rPr>
            </w:pPr>
            <w:r w:rsidRPr="005562F4">
              <w:rPr>
                <w:lang w:val="it-IT"/>
              </w:rPr>
              <w:t>26.92 – 35.32</w:t>
            </w:r>
          </w:p>
        </w:tc>
      </w:tr>
      <w:tr w:rsidR="00C36A4A" w:rsidRPr="005562F4" w14:paraId="7883FCD1" w14:textId="77777777" w:rsidTr="00C36A4A">
        <w:trPr>
          <w:tblCellSpacing w:w="15" w:type="dxa"/>
        </w:trPr>
        <w:tc>
          <w:tcPr>
            <w:tcW w:w="0" w:type="auto"/>
            <w:vAlign w:val="center"/>
            <w:hideMark/>
          </w:tcPr>
          <w:p w14:paraId="0264B801" w14:textId="77777777" w:rsidR="005562F4" w:rsidRPr="005562F4" w:rsidRDefault="005562F4" w:rsidP="005562F4">
            <w:pPr>
              <w:rPr>
                <w:lang w:val="it-IT"/>
              </w:rPr>
            </w:pPr>
            <w:r w:rsidRPr="005562F4">
              <w:rPr>
                <w:lang w:val="it-IT"/>
              </w:rPr>
              <w:t>Medium</w:t>
            </w:r>
          </w:p>
        </w:tc>
        <w:tc>
          <w:tcPr>
            <w:tcW w:w="1269" w:type="dxa"/>
            <w:vAlign w:val="center"/>
            <w:hideMark/>
          </w:tcPr>
          <w:p w14:paraId="6CF3A300" w14:textId="77777777" w:rsidR="005562F4" w:rsidRPr="005562F4" w:rsidRDefault="005562F4" w:rsidP="005562F4">
            <w:pPr>
              <w:rPr>
                <w:lang w:val="it-IT"/>
              </w:rPr>
            </w:pPr>
            <w:r w:rsidRPr="005562F4">
              <w:rPr>
                <w:lang w:val="it-IT"/>
              </w:rPr>
              <w:t>174</w:t>
            </w:r>
          </w:p>
        </w:tc>
        <w:tc>
          <w:tcPr>
            <w:tcW w:w="1954" w:type="dxa"/>
            <w:vAlign w:val="center"/>
            <w:hideMark/>
          </w:tcPr>
          <w:p w14:paraId="59C13063" w14:textId="77777777" w:rsidR="005562F4" w:rsidRPr="005562F4" w:rsidRDefault="005562F4" w:rsidP="005562F4">
            <w:pPr>
              <w:rPr>
                <w:lang w:val="it-IT"/>
              </w:rPr>
            </w:pPr>
            <w:r w:rsidRPr="005562F4">
              <w:rPr>
                <w:lang w:val="it-IT"/>
              </w:rPr>
              <w:t>35.73</w:t>
            </w:r>
          </w:p>
        </w:tc>
        <w:tc>
          <w:tcPr>
            <w:tcW w:w="1940" w:type="dxa"/>
            <w:vAlign w:val="center"/>
            <w:hideMark/>
          </w:tcPr>
          <w:p w14:paraId="636A1A68" w14:textId="77777777" w:rsidR="005562F4" w:rsidRPr="005562F4" w:rsidRDefault="005562F4" w:rsidP="005562F4">
            <w:pPr>
              <w:rPr>
                <w:lang w:val="it-IT"/>
              </w:rPr>
            </w:pPr>
            <w:r w:rsidRPr="005562F4">
              <w:rPr>
                <w:lang w:val="it-IT"/>
              </w:rPr>
              <w:t>31.47 – 40.16</w:t>
            </w:r>
          </w:p>
        </w:tc>
      </w:tr>
      <w:tr w:rsidR="00C36A4A" w:rsidRPr="005562F4" w14:paraId="1CCA3256" w14:textId="77777777" w:rsidTr="00C36A4A">
        <w:trPr>
          <w:tblCellSpacing w:w="15" w:type="dxa"/>
        </w:trPr>
        <w:tc>
          <w:tcPr>
            <w:tcW w:w="0" w:type="auto"/>
            <w:vAlign w:val="center"/>
            <w:hideMark/>
          </w:tcPr>
          <w:p w14:paraId="7A86D37C" w14:textId="77777777" w:rsidR="005562F4" w:rsidRPr="005562F4" w:rsidRDefault="005562F4" w:rsidP="005562F4">
            <w:pPr>
              <w:rPr>
                <w:lang w:val="it-IT"/>
              </w:rPr>
            </w:pPr>
            <w:r w:rsidRPr="005562F4">
              <w:rPr>
                <w:lang w:val="it-IT"/>
              </w:rPr>
              <w:t>High</w:t>
            </w:r>
          </w:p>
        </w:tc>
        <w:tc>
          <w:tcPr>
            <w:tcW w:w="1269" w:type="dxa"/>
            <w:vAlign w:val="center"/>
            <w:hideMark/>
          </w:tcPr>
          <w:p w14:paraId="216C3C1A" w14:textId="77777777" w:rsidR="005562F4" w:rsidRPr="005562F4" w:rsidRDefault="005562F4" w:rsidP="005562F4">
            <w:pPr>
              <w:rPr>
                <w:lang w:val="it-IT"/>
              </w:rPr>
            </w:pPr>
            <w:r w:rsidRPr="005562F4">
              <w:rPr>
                <w:lang w:val="it-IT"/>
              </w:rPr>
              <w:t>38</w:t>
            </w:r>
          </w:p>
        </w:tc>
        <w:tc>
          <w:tcPr>
            <w:tcW w:w="1954" w:type="dxa"/>
            <w:vAlign w:val="center"/>
            <w:hideMark/>
          </w:tcPr>
          <w:p w14:paraId="504A7541" w14:textId="77777777" w:rsidR="005562F4" w:rsidRPr="005562F4" w:rsidRDefault="005562F4" w:rsidP="005562F4">
            <w:pPr>
              <w:rPr>
                <w:lang w:val="it-IT"/>
              </w:rPr>
            </w:pPr>
            <w:r w:rsidRPr="005562F4">
              <w:rPr>
                <w:lang w:val="it-IT"/>
              </w:rPr>
              <w:t>7.80</w:t>
            </w:r>
          </w:p>
        </w:tc>
        <w:tc>
          <w:tcPr>
            <w:tcW w:w="1940" w:type="dxa"/>
            <w:vAlign w:val="center"/>
            <w:hideMark/>
          </w:tcPr>
          <w:p w14:paraId="53812736" w14:textId="77777777" w:rsidR="005562F4" w:rsidRPr="005562F4" w:rsidRDefault="005562F4" w:rsidP="005562F4">
            <w:pPr>
              <w:rPr>
                <w:lang w:val="it-IT"/>
              </w:rPr>
            </w:pPr>
            <w:r w:rsidRPr="005562F4">
              <w:rPr>
                <w:lang w:val="it-IT"/>
              </w:rPr>
              <w:t>5.58 – 10.55</w:t>
            </w:r>
          </w:p>
        </w:tc>
      </w:tr>
      <w:tr w:rsidR="00C36A4A" w:rsidRPr="005562F4" w14:paraId="12888A14" w14:textId="77777777" w:rsidTr="00C36A4A">
        <w:trPr>
          <w:tblCellSpacing w:w="15" w:type="dxa"/>
        </w:trPr>
        <w:tc>
          <w:tcPr>
            <w:tcW w:w="0" w:type="auto"/>
            <w:vAlign w:val="center"/>
            <w:hideMark/>
          </w:tcPr>
          <w:p w14:paraId="13F9E06A" w14:textId="77777777" w:rsidR="005562F4" w:rsidRPr="005562F4" w:rsidRDefault="005562F4" w:rsidP="005562F4">
            <w:pPr>
              <w:rPr>
                <w:lang w:val="it-IT"/>
              </w:rPr>
            </w:pPr>
            <w:r w:rsidRPr="005562F4">
              <w:rPr>
                <w:lang w:val="it-IT"/>
              </w:rPr>
              <w:t>Abstention</w:t>
            </w:r>
          </w:p>
        </w:tc>
        <w:tc>
          <w:tcPr>
            <w:tcW w:w="1269" w:type="dxa"/>
            <w:vAlign w:val="center"/>
            <w:hideMark/>
          </w:tcPr>
          <w:p w14:paraId="74230DCF" w14:textId="77777777" w:rsidR="005562F4" w:rsidRPr="005562F4" w:rsidRDefault="005562F4" w:rsidP="005562F4">
            <w:pPr>
              <w:rPr>
                <w:lang w:val="it-IT"/>
              </w:rPr>
            </w:pPr>
            <w:r w:rsidRPr="005562F4">
              <w:rPr>
                <w:lang w:val="it-IT"/>
              </w:rPr>
              <w:t>124</w:t>
            </w:r>
          </w:p>
        </w:tc>
        <w:tc>
          <w:tcPr>
            <w:tcW w:w="1954" w:type="dxa"/>
            <w:vAlign w:val="center"/>
            <w:hideMark/>
          </w:tcPr>
          <w:p w14:paraId="7FD5AD17" w14:textId="77777777" w:rsidR="005562F4" w:rsidRPr="005562F4" w:rsidRDefault="005562F4" w:rsidP="005562F4">
            <w:pPr>
              <w:rPr>
                <w:lang w:val="it-IT"/>
              </w:rPr>
            </w:pPr>
            <w:r w:rsidRPr="005562F4">
              <w:rPr>
                <w:lang w:val="it-IT"/>
              </w:rPr>
              <w:t>25.46</w:t>
            </w:r>
          </w:p>
        </w:tc>
        <w:tc>
          <w:tcPr>
            <w:tcW w:w="1940" w:type="dxa"/>
            <w:vAlign w:val="center"/>
            <w:hideMark/>
          </w:tcPr>
          <w:p w14:paraId="435E44F7" w14:textId="77777777" w:rsidR="005562F4" w:rsidRPr="005562F4" w:rsidRDefault="005562F4" w:rsidP="005562F4">
            <w:pPr>
              <w:rPr>
                <w:lang w:val="it-IT"/>
              </w:rPr>
            </w:pPr>
            <w:r w:rsidRPr="005562F4">
              <w:rPr>
                <w:lang w:val="it-IT"/>
              </w:rPr>
              <w:t>21.65 – 29.58</w:t>
            </w:r>
          </w:p>
        </w:tc>
      </w:tr>
    </w:tbl>
    <w:p w14:paraId="2FCA47C5" w14:textId="6E1B8954" w:rsidR="00571EFB" w:rsidRPr="00571EFB" w:rsidRDefault="00571EFB" w:rsidP="00571EFB">
      <w:pPr>
        <w:pStyle w:val="Body"/>
        <w:spacing w:after="0"/>
        <w:rPr>
          <w:rFonts w:cs="Arial"/>
        </w:rPr>
      </w:pPr>
    </w:p>
    <w:p w14:paraId="7E302B73" w14:textId="2435347E" w:rsidR="00571EFB" w:rsidRPr="00571EFB" w:rsidRDefault="00571EFB" w:rsidP="00F722F2">
      <w:pPr>
        <w:pStyle w:val="Body"/>
        <w:spacing w:after="0"/>
        <w:rPr>
          <w:rFonts w:cs="Arial"/>
        </w:rPr>
      </w:pPr>
      <w:r w:rsidRPr="00571EFB">
        <w:rPr>
          <w:rFonts w:cs="Arial"/>
        </w:rPr>
        <w:t xml:space="preserve">Over one-quarter of participants had lived in their current location for less than two years, indicating recent mobility, while </w:t>
      </w:r>
      <w:r w:rsidR="00B42AF0" w:rsidRPr="00562362">
        <w:rPr>
          <w:rFonts w:cs="Arial"/>
          <w:highlight w:val="yellow"/>
        </w:rPr>
        <w:t>three-quarters</w:t>
      </w:r>
      <w:r w:rsidRPr="00562362">
        <w:rPr>
          <w:rFonts w:cs="Arial"/>
          <w:highlight w:val="yellow"/>
        </w:rPr>
        <w:t xml:space="preserve"> had been</w:t>
      </w:r>
      <w:r w:rsidRPr="00571EFB">
        <w:rPr>
          <w:rFonts w:cs="Arial"/>
        </w:rPr>
        <w:t xml:space="preserve"> residents for at least two years, suggesting a relatively stable population</w:t>
      </w:r>
      <w:r w:rsidR="00E91746">
        <w:rPr>
          <w:rFonts w:cs="Arial"/>
        </w:rPr>
        <w:t xml:space="preserve"> (</w:t>
      </w:r>
      <w:r w:rsidR="00E91746" w:rsidRPr="00571EFB">
        <w:rPr>
          <w:rFonts w:cs="Arial"/>
        </w:rPr>
        <w:t xml:space="preserve">Table </w:t>
      </w:r>
      <w:r w:rsidR="00E91746" w:rsidRPr="005F5B4E">
        <w:rPr>
          <w:rFonts w:cs="Arial"/>
        </w:rPr>
        <w:t>2</w:t>
      </w:r>
      <w:r w:rsidR="00E91746">
        <w:rPr>
          <w:rFonts w:cs="Arial"/>
        </w:rPr>
        <w:t>)</w:t>
      </w:r>
      <w:r w:rsidRPr="00571EFB">
        <w:rPr>
          <w:rFonts w:cs="Arial"/>
        </w:rPr>
        <w:t>.</w:t>
      </w:r>
    </w:p>
    <w:p w14:paraId="18FFE7A5" w14:textId="15209471" w:rsidR="00571EFB" w:rsidRPr="00571EFB" w:rsidRDefault="00571EFB" w:rsidP="00F722F2">
      <w:pPr>
        <w:pStyle w:val="Body"/>
        <w:spacing w:after="0"/>
        <w:rPr>
          <w:rFonts w:cs="Arial"/>
        </w:rPr>
      </w:pPr>
      <w:r w:rsidRPr="00571EFB">
        <w:rPr>
          <w:rFonts w:cs="Arial"/>
        </w:rPr>
        <w:t xml:space="preserve">A minority of participants rated their living conditions as poor, identifying them as a potentially vulnerable group. </w:t>
      </w:r>
      <w:r w:rsidR="00F722F2">
        <w:rPr>
          <w:rFonts w:cs="Arial"/>
        </w:rPr>
        <w:t>Among the participants, 64.48%</w:t>
      </w:r>
      <w:r w:rsidR="001D0704">
        <w:rPr>
          <w:rFonts w:cs="Arial"/>
        </w:rPr>
        <w:t xml:space="preserve"> (95% CI:</w:t>
      </w:r>
      <w:r w:rsidR="001D0704" w:rsidRPr="001D0704">
        <w:rPr>
          <w:rFonts w:ascii="Times New Roman" w:hAnsi="Times New Roman"/>
          <w:sz w:val="24"/>
          <w:szCs w:val="24"/>
          <w:lang w:val="it-IT" w:eastAsia="it-IT"/>
        </w:rPr>
        <w:t xml:space="preserve"> </w:t>
      </w:r>
      <w:r w:rsidR="001D0704" w:rsidRPr="005C573E">
        <w:rPr>
          <w:rFonts w:ascii="Times New Roman" w:hAnsi="Times New Roman"/>
          <w:sz w:val="24"/>
          <w:szCs w:val="24"/>
          <w:lang w:val="it-IT" w:eastAsia="it-IT"/>
        </w:rPr>
        <w:t>60.05 – 68.73</w:t>
      </w:r>
      <w:r w:rsidR="001D0704">
        <w:rPr>
          <w:rFonts w:ascii="Times New Roman" w:hAnsi="Times New Roman"/>
          <w:sz w:val="24"/>
          <w:szCs w:val="24"/>
          <w:lang w:val="it-IT" w:eastAsia="it-IT"/>
        </w:rPr>
        <w:t>)</w:t>
      </w:r>
      <w:r w:rsidRPr="00571EFB">
        <w:rPr>
          <w:rFonts w:cs="Arial"/>
        </w:rPr>
        <w:t xml:space="preserve"> described their living conditions as ave</w:t>
      </w:r>
      <w:r w:rsidR="00F722F2">
        <w:rPr>
          <w:rFonts w:cs="Arial"/>
        </w:rPr>
        <w:t>rage</w:t>
      </w:r>
      <w:r w:rsidRPr="00571EFB">
        <w:rPr>
          <w:rFonts w:cs="Arial"/>
        </w:rPr>
        <w:t>.</w:t>
      </w:r>
    </w:p>
    <w:p w14:paraId="44290E6F" w14:textId="17DDC6E7" w:rsidR="00571EFB" w:rsidRPr="009706CC" w:rsidRDefault="00571EFB" w:rsidP="00F722F2">
      <w:pPr>
        <w:pStyle w:val="Body"/>
        <w:spacing w:after="0"/>
        <w:rPr>
          <w:rFonts w:cs="Arial"/>
        </w:rPr>
      </w:pPr>
      <w:r w:rsidRPr="009706CC">
        <w:rPr>
          <w:rFonts w:cs="Arial"/>
        </w:rPr>
        <w:t xml:space="preserve">Catholics formed the largest religious group </w:t>
      </w:r>
      <w:r w:rsidR="00CB0E92">
        <w:rPr>
          <w:rFonts w:cs="Arial"/>
        </w:rPr>
        <w:t xml:space="preserve">with </w:t>
      </w:r>
      <w:r w:rsidR="00CB0E92" w:rsidRPr="00CB0E92">
        <w:rPr>
          <w:rFonts w:cs="Arial"/>
        </w:rPr>
        <w:t>52.36% (95% CI: 47.82 – 56.87) of the surveyed</w:t>
      </w:r>
      <w:r w:rsidR="00AB6FD9">
        <w:rPr>
          <w:rFonts w:cs="Arial"/>
        </w:rPr>
        <w:t>, P</w:t>
      </w:r>
      <w:r w:rsidRPr="009706CC">
        <w:rPr>
          <w:rFonts w:cs="Arial"/>
        </w:rPr>
        <w:t>rotestants represented 32.03% (95% CI: 27.91 – 3</w:t>
      </w:r>
      <w:r w:rsidR="00CB0E92">
        <w:rPr>
          <w:rFonts w:cs="Arial"/>
        </w:rPr>
        <w:t>6.38)</w:t>
      </w:r>
      <w:r w:rsidR="00B42AF0">
        <w:rPr>
          <w:rFonts w:cs="Arial"/>
        </w:rPr>
        <w:t>,</w:t>
      </w:r>
      <w:r w:rsidR="00CB0E92">
        <w:rPr>
          <w:rFonts w:cs="Arial"/>
        </w:rPr>
        <w:t xml:space="preserve"> and</w:t>
      </w:r>
      <w:r w:rsidR="009706CC">
        <w:rPr>
          <w:rFonts w:cs="Arial"/>
        </w:rPr>
        <w:t xml:space="preserve"> </w:t>
      </w:r>
      <w:r w:rsidR="00AB6FD9">
        <w:rPr>
          <w:rFonts w:cs="Arial"/>
        </w:rPr>
        <w:t>M</w:t>
      </w:r>
      <w:r w:rsidR="00AB6FD9" w:rsidRPr="009706CC">
        <w:rPr>
          <w:rFonts w:cs="Arial"/>
        </w:rPr>
        <w:t>uslims</w:t>
      </w:r>
      <w:r w:rsidRPr="009706CC">
        <w:rPr>
          <w:rFonts w:cs="Arial"/>
        </w:rPr>
        <w:t xml:space="preserve"> constituted only 2.46% (95% CI: 1.28 – 4.26)</w:t>
      </w:r>
      <w:r w:rsidR="00F0537F">
        <w:rPr>
          <w:rFonts w:cs="Arial"/>
        </w:rPr>
        <w:t>.</w:t>
      </w:r>
    </w:p>
    <w:p w14:paraId="69463D40" w14:textId="77777777" w:rsidR="009706CC" w:rsidRDefault="009706CC" w:rsidP="009706CC">
      <w:pPr>
        <w:pStyle w:val="Body"/>
        <w:spacing w:after="0"/>
        <w:ind w:left="1440"/>
        <w:rPr>
          <w:rFonts w:cs="Arial"/>
        </w:rPr>
      </w:pPr>
    </w:p>
    <w:p w14:paraId="6D7838AD" w14:textId="405E763C" w:rsidR="005C573E" w:rsidRPr="00562362" w:rsidRDefault="005C573E" w:rsidP="00596EEE">
      <w:pPr>
        <w:rPr>
          <w:b/>
          <w:bCs/>
          <w:lang w:eastAsia="it-IT"/>
        </w:rPr>
      </w:pPr>
      <w:r w:rsidRPr="00562362">
        <w:rPr>
          <w:b/>
          <w:bCs/>
          <w:lang w:eastAsia="it-IT"/>
        </w:rPr>
        <w:t xml:space="preserve">Table </w:t>
      </w:r>
      <w:r w:rsidR="00596EEE" w:rsidRPr="00562362">
        <w:rPr>
          <w:b/>
          <w:bCs/>
          <w:lang w:eastAsia="it-IT"/>
        </w:rPr>
        <w:t>2</w:t>
      </w:r>
      <w:r w:rsidRPr="00562362">
        <w:rPr>
          <w:b/>
          <w:bCs/>
          <w:lang w:eastAsia="it-IT"/>
        </w:rPr>
        <w:t xml:space="preserve">: Distribution of WRA </w:t>
      </w:r>
      <w:r w:rsidR="00245D25" w:rsidRPr="00562362">
        <w:rPr>
          <w:b/>
          <w:bCs/>
          <w:lang w:eastAsia="it-IT"/>
        </w:rPr>
        <w:t>b</w:t>
      </w:r>
      <w:r w:rsidRPr="00562362">
        <w:rPr>
          <w:b/>
          <w:bCs/>
          <w:lang w:eastAsia="it-IT"/>
        </w:rPr>
        <w:t xml:space="preserve">ased on </w:t>
      </w:r>
      <w:r w:rsidR="00245D25" w:rsidRPr="00562362">
        <w:rPr>
          <w:b/>
          <w:bCs/>
          <w:lang w:eastAsia="it-IT"/>
        </w:rPr>
        <w:t>s</w:t>
      </w:r>
      <w:r w:rsidRPr="00562362">
        <w:rPr>
          <w:b/>
          <w:bCs/>
          <w:lang w:eastAsia="it-IT"/>
        </w:rPr>
        <w:t xml:space="preserve">ociodemographic </w:t>
      </w:r>
      <w:r w:rsidR="00245D25" w:rsidRPr="00562362">
        <w:rPr>
          <w:b/>
          <w:bCs/>
          <w:lang w:eastAsia="it-IT"/>
        </w:rPr>
        <w:t>c</w:t>
      </w:r>
      <w:r w:rsidRPr="00562362">
        <w:rPr>
          <w:b/>
          <w:bCs/>
          <w:lang w:eastAsia="it-IT"/>
        </w:rPr>
        <w:t>haracteristics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0"/>
        <w:gridCol w:w="1134"/>
        <w:gridCol w:w="1843"/>
        <w:gridCol w:w="1843"/>
      </w:tblGrid>
      <w:tr w:rsidR="00E102EB" w:rsidRPr="005C573E" w14:paraId="64CD9E79" w14:textId="77777777" w:rsidTr="00345143">
        <w:trPr>
          <w:tblHeader/>
          <w:tblCellSpacing w:w="15" w:type="dxa"/>
        </w:trPr>
        <w:tc>
          <w:tcPr>
            <w:tcW w:w="2835" w:type="dxa"/>
            <w:tcBorders>
              <w:top w:val="single" w:sz="4" w:space="0" w:color="auto"/>
              <w:bottom w:val="single" w:sz="4" w:space="0" w:color="auto"/>
            </w:tcBorders>
            <w:vAlign w:val="center"/>
            <w:hideMark/>
          </w:tcPr>
          <w:p w14:paraId="38233910" w14:textId="77777777" w:rsidR="005C573E" w:rsidRPr="005C573E" w:rsidRDefault="005C573E" w:rsidP="00F95469">
            <w:pPr>
              <w:rPr>
                <w:rFonts w:ascii="Times New Roman" w:hAnsi="Times New Roman"/>
                <w:b/>
                <w:bCs/>
                <w:sz w:val="24"/>
                <w:szCs w:val="24"/>
                <w:lang w:val="it-IT" w:eastAsia="it-IT"/>
              </w:rPr>
            </w:pPr>
            <w:r w:rsidRPr="005C573E">
              <w:rPr>
                <w:rFonts w:ascii="Times New Roman" w:hAnsi="Times New Roman"/>
                <w:b/>
                <w:bCs/>
                <w:sz w:val="24"/>
                <w:szCs w:val="24"/>
                <w:lang w:val="it-IT" w:eastAsia="it-IT"/>
              </w:rPr>
              <w:t>Category</w:t>
            </w:r>
          </w:p>
        </w:tc>
        <w:tc>
          <w:tcPr>
            <w:tcW w:w="1104" w:type="dxa"/>
            <w:tcBorders>
              <w:top w:val="single" w:sz="4" w:space="0" w:color="auto"/>
              <w:bottom w:val="single" w:sz="4" w:space="0" w:color="auto"/>
            </w:tcBorders>
            <w:vAlign w:val="center"/>
            <w:hideMark/>
          </w:tcPr>
          <w:p w14:paraId="3A50EA2A" w14:textId="77777777" w:rsidR="005C573E" w:rsidRPr="005C573E" w:rsidRDefault="005C573E" w:rsidP="00E102EB">
            <w:pPr>
              <w:rPr>
                <w:rFonts w:ascii="Times New Roman" w:hAnsi="Times New Roman"/>
                <w:b/>
                <w:bCs/>
                <w:sz w:val="24"/>
                <w:szCs w:val="24"/>
                <w:lang w:val="it-IT" w:eastAsia="it-IT"/>
              </w:rPr>
            </w:pPr>
            <w:r w:rsidRPr="005C573E">
              <w:rPr>
                <w:rFonts w:ascii="Times New Roman" w:hAnsi="Times New Roman"/>
                <w:b/>
                <w:bCs/>
                <w:sz w:val="24"/>
                <w:szCs w:val="24"/>
                <w:lang w:val="it-IT" w:eastAsia="it-IT"/>
              </w:rPr>
              <w:t>Count</w:t>
            </w:r>
          </w:p>
        </w:tc>
        <w:tc>
          <w:tcPr>
            <w:tcW w:w="1813" w:type="dxa"/>
            <w:tcBorders>
              <w:top w:val="single" w:sz="4" w:space="0" w:color="auto"/>
              <w:bottom w:val="single" w:sz="4" w:space="0" w:color="auto"/>
            </w:tcBorders>
            <w:vAlign w:val="center"/>
            <w:hideMark/>
          </w:tcPr>
          <w:p w14:paraId="4D340E72" w14:textId="77777777" w:rsidR="005C573E" w:rsidRPr="005C573E" w:rsidRDefault="005C573E" w:rsidP="00AE487C">
            <w:pPr>
              <w:rPr>
                <w:rFonts w:ascii="Times New Roman" w:hAnsi="Times New Roman"/>
                <w:b/>
                <w:bCs/>
                <w:sz w:val="24"/>
                <w:szCs w:val="24"/>
                <w:lang w:val="it-IT" w:eastAsia="it-IT"/>
              </w:rPr>
            </w:pPr>
            <w:r w:rsidRPr="005C573E">
              <w:rPr>
                <w:rFonts w:ascii="Times New Roman" w:hAnsi="Times New Roman"/>
                <w:b/>
                <w:bCs/>
                <w:sz w:val="24"/>
                <w:szCs w:val="24"/>
                <w:lang w:val="it-IT" w:eastAsia="it-IT"/>
              </w:rPr>
              <w:t>Percentage (%)</w:t>
            </w:r>
          </w:p>
        </w:tc>
        <w:tc>
          <w:tcPr>
            <w:tcW w:w="1798" w:type="dxa"/>
            <w:tcBorders>
              <w:top w:val="single" w:sz="4" w:space="0" w:color="auto"/>
              <w:bottom w:val="single" w:sz="4" w:space="0" w:color="auto"/>
            </w:tcBorders>
            <w:vAlign w:val="center"/>
            <w:hideMark/>
          </w:tcPr>
          <w:p w14:paraId="611B064D" w14:textId="77777777" w:rsidR="005C573E" w:rsidRPr="005C573E" w:rsidRDefault="005C573E" w:rsidP="00AE487C">
            <w:pPr>
              <w:rPr>
                <w:rFonts w:ascii="Times New Roman" w:hAnsi="Times New Roman"/>
                <w:b/>
                <w:bCs/>
                <w:sz w:val="24"/>
                <w:szCs w:val="24"/>
                <w:lang w:val="it-IT" w:eastAsia="it-IT"/>
              </w:rPr>
            </w:pPr>
            <w:r w:rsidRPr="005C573E">
              <w:rPr>
                <w:rFonts w:ascii="Times New Roman" w:hAnsi="Times New Roman"/>
                <w:b/>
                <w:bCs/>
                <w:sz w:val="24"/>
                <w:szCs w:val="24"/>
                <w:lang w:val="it-IT" w:eastAsia="it-IT"/>
              </w:rPr>
              <w:t>95% CI</w:t>
            </w:r>
          </w:p>
        </w:tc>
      </w:tr>
      <w:tr w:rsidR="00E102EB" w:rsidRPr="005C573E" w14:paraId="5DA2DDC1" w14:textId="77777777" w:rsidTr="00AE487C">
        <w:trPr>
          <w:tblCellSpacing w:w="15" w:type="dxa"/>
        </w:trPr>
        <w:tc>
          <w:tcPr>
            <w:tcW w:w="2835" w:type="dxa"/>
            <w:vAlign w:val="center"/>
            <w:hideMark/>
          </w:tcPr>
          <w:p w14:paraId="3F457461" w14:textId="57B39DD1"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 xml:space="preserve">Residential </w:t>
            </w:r>
            <w:r w:rsidR="00730CBE">
              <w:rPr>
                <w:rFonts w:ascii="Times New Roman" w:hAnsi="Times New Roman"/>
                <w:b/>
                <w:bCs/>
                <w:sz w:val="24"/>
                <w:szCs w:val="24"/>
                <w:lang w:val="it-IT" w:eastAsia="it-IT"/>
              </w:rPr>
              <w:t>s</w:t>
            </w:r>
            <w:r w:rsidRPr="005C573E">
              <w:rPr>
                <w:rFonts w:ascii="Times New Roman" w:hAnsi="Times New Roman"/>
                <w:b/>
                <w:bCs/>
                <w:sz w:val="24"/>
                <w:szCs w:val="24"/>
                <w:lang w:val="it-IT" w:eastAsia="it-IT"/>
              </w:rPr>
              <w:t>tatus</w:t>
            </w:r>
          </w:p>
        </w:tc>
        <w:tc>
          <w:tcPr>
            <w:tcW w:w="1104" w:type="dxa"/>
            <w:vAlign w:val="center"/>
            <w:hideMark/>
          </w:tcPr>
          <w:p w14:paraId="668E80B5"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03EC86EF"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240136DF" w14:textId="77777777" w:rsidR="005C573E" w:rsidRPr="005C573E" w:rsidRDefault="005C573E" w:rsidP="005C573E">
            <w:pPr>
              <w:jc w:val="left"/>
              <w:rPr>
                <w:rFonts w:ascii="Times New Roman" w:hAnsi="Times New Roman"/>
                <w:lang w:val="it-IT" w:eastAsia="it-IT"/>
              </w:rPr>
            </w:pPr>
          </w:p>
        </w:tc>
      </w:tr>
      <w:tr w:rsidR="00E102EB" w:rsidRPr="005C573E" w14:paraId="7AC24B2F" w14:textId="77777777" w:rsidTr="00AE487C">
        <w:trPr>
          <w:tblCellSpacing w:w="15" w:type="dxa"/>
        </w:trPr>
        <w:tc>
          <w:tcPr>
            <w:tcW w:w="2835" w:type="dxa"/>
            <w:vAlign w:val="center"/>
            <w:hideMark/>
          </w:tcPr>
          <w:p w14:paraId="4C221FA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Less than 2 years</w:t>
            </w:r>
          </w:p>
        </w:tc>
        <w:tc>
          <w:tcPr>
            <w:tcW w:w="1104" w:type="dxa"/>
            <w:vAlign w:val="center"/>
            <w:hideMark/>
          </w:tcPr>
          <w:p w14:paraId="54257B7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130</w:t>
            </w:r>
          </w:p>
        </w:tc>
        <w:tc>
          <w:tcPr>
            <w:tcW w:w="1813" w:type="dxa"/>
            <w:vAlign w:val="center"/>
            <w:hideMark/>
          </w:tcPr>
          <w:p w14:paraId="3CFEAC1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26.69</w:t>
            </w:r>
          </w:p>
        </w:tc>
        <w:tc>
          <w:tcPr>
            <w:tcW w:w="1798" w:type="dxa"/>
            <w:vAlign w:val="center"/>
            <w:hideMark/>
          </w:tcPr>
          <w:p w14:paraId="111C039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22.81 – 30.86</w:t>
            </w:r>
          </w:p>
        </w:tc>
      </w:tr>
      <w:tr w:rsidR="00E102EB" w:rsidRPr="005C573E" w14:paraId="02DFF00A" w14:textId="77777777" w:rsidTr="00AE487C">
        <w:trPr>
          <w:tblCellSpacing w:w="15" w:type="dxa"/>
        </w:trPr>
        <w:tc>
          <w:tcPr>
            <w:tcW w:w="2835" w:type="dxa"/>
            <w:vAlign w:val="center"/>
            <w:hideMark/>
          </w:tcPr>
          <w:p w14:paraId="0ACB4509" w14:textId="282B9280"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 xml:space="preserve">2 years </w:t>
            </w:r>
            <w:r w:rsidR="00B42AF0" w:rsidRPr="00562362">
              <w:rPr>
                <w:rFonts w:ascii="Times New Roman" w:hAnsi="Times New Roman"/>
                <w:sz w:val="24"/>
                <w:szCs w:val="24"/>
                <w:highlight w:val="yellow"/>
                <w:lang w:val="it-IT" w:eastAsia="it-IT"/>
              </w:rPr>
              <w:t>or</w:t>
            </w:r>
            <w:r w:rsidR="00B42AF0" w:rsidRPr="00562362">
              <w:rPr>
                <w:rFonts w:ascii="Times New Roman" w:hAnsi="Times New Roman"/>
                <w:sz w:val="24"/>
                <w:szCs w:val="24"/>
                <w:highlight w:val="yellow"/>
                <w:lang w:val="it-IT" w:eastAsia="it-IT"/>
              </w:rPr>
              <w:t xml:space="preserve"> </w:t>
            </w:r>
            <w:r w:rsidRPr="00562362">
              <w:rPr>
                <w:rFonts w:ascii="Times New Roman" w:hAnsi="Times New Roman"/>
                <w:sz w:val="24"/>
                <w:szCs w:val="24"/>
                <w:highlight w:val="yellow"/>
                <w:lang w:val="it-IT" w:eastAsia="it-IT"/>
              </w:rPr>
              <w:t>more</w:t>
            </w:r>
          </w:p>
        </w:tc>
        <w:tc>
          <w:tcPr>
            <w:tcW w:w="1104" w:type="dxa"/>
            <w:vAlign w:val="center"/>
            <w:hideMark/>
          </w:tcPr>
          <w:p w14:paraId="3324209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357</w:t>
            </w:r>
          </w:p>
        </w:tc>
        <w:tc>
          <w:tcPr>
            <w:tcW w:w="1813" w:type="dxa"/>
            <w:vAlign w:val="center"/>
            <w:hideMark/>
          </w:tcPr>
          <w:p w14:paraId="0C03352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73.31</w:t>
            </w:r>
          </w:p>
        </w:tc>
        <w:tc>
          <w:tcPr>
            <w:tcW w:w="1798" w:type="dxa"/>
            <w:vAlign w:val="center"/>
            <w:hideMark/>
          </w:tcPr>
          <w:p w14:paraId="721AA2A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69.14 – 77.19</w:t>
            </w:r>
          </w:p>
        </w:tc>
      </w:tr>
      <w:tr w:rsidR="00E102EB" w:rsidRPr="005C573E" w14:paraId="72BE6908" w14:textId="77777777" w:rsidTr="00AE487C">
        <w:trPr>
          <w:tblCellSpacing w:w="15" w:type="dxa"/>
        </w:trPr>
        <w:tc>
          <w:tcPr>
            <w:tcW w:w="2835" w:type="dxa"/>
            <w:vAlign w:val="center"/>
            <w:hideMark/>
          </w:tcPr>
          <w:p w14:paraId="640868CD" w14:textId="259D9150"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 xml:space="preserve">Living </w:t>
            </w:r>
            <w:r w:rsidR="00730CBE">
              <w:rPr>
                <w:rFonts w:ascii="Times New Roman" w:hAnsi="Times New Roman"/>
                <w:b/>
                <w:bCs/>
                <w:sz w:val="24"/>
                <w:szCs w:val="24"/>
                <w:lang w:val="it-IT" w:eastAsia="it-IT"/>
              </w:rPr>
              <w:t>c</w:t>
            </w:r>
            <w:r w:rsidRPr="005C573E">
              <w:rPr>
                <w:rFonts w:ascii="Times New Roman" w:hAnsi="Times New Roman"/>
                <w:b/>
                <w:bCs/>
                <w:sz w:val="24"/>
                <w:szCs w:val="24"/>
                <w:lang w:val="it-IT" w:eastAsia="it-IT"/>
              </w:rPr>
              <w:t>onditions</w:t>
            </w:r>
          </w:p>
        </w:tc>
        <w:tc>
          <w:tcPr>
            <w:tcW w:w="1104" w:type="dxa"/>
            <w:vAlign w:val="center"/>
            <w:hideMark/>
          </w:tcPr>
          <w:p w14:paraId="31A97105"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4C61908D"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55F352DA" w14:textId="77777777" w:rsidR="005C573E" w:rsidRPr="005C573E" w:rsidRDefault="005C573E" w:rsidP="005C573E">
            <w:pPr>
              <w:jc w:val="left"/>
              <w:rPr>
                <w:rFonts w:ascii="Times New Roman" w:hAnsi="Times New Roman"/>
                <w:lang w:val="it-IT" w:eastAsia="it-IT"/>
              </w:rPr>
            </w:pPr>
          </w:p>
        </w:tc>
      </w:tr>
      <w:tr w:rsidR="00E102EB" w:rsidRPr="005C573E" w14:paraId="009CBD14" w14:textId="77777777" w:rsidTr="00AE487C">
        <w:trPr>
          <w:tblCellSpacing w:w="15" w:type="dxa"/>
        </w:trPr>
        <w:tc>
          <w:tcPr>
            <w:tcW w:w="2835" w:type="dxa"/>
            <w:vAlign w:val="center"/>
            <w:hideMark/>
          </w:tcPr>
          <w:p w14:paraId="0DD0511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Poor</w:t>
            </w:r>
          </w:p>
        </w:tc>
        <w:tc>
          <w:tcPr>
            <w:tcW w:w="1104" w:type="dxa"/>
            <w:vAlign w:val="center"/>
            <w:hideMark/>
          </w:tcPr>
          <w:p w14:paraId="0BC2C81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50</w:t>
            </w:r>
          </w:p>
        </w:tc>
        <w:tc>
          <w:tcPr>
            <w:tcW w:w="1813" w:type="dxa"/>
            <w:vAlign w:val="center"/>
            <w:hideMark/>
          </w:tcPr>
          <w:p w14:paraId="4A82650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10.27</w:t>
            </w:r>
          </w:p>
        </w:tc>
        <w:tc>
          <w:tcPr>
            <w:tcW w:w="1798" w:type="dxa"/>
            <w:vAlign w:val="center"/>
            <w:hideMark/>
          </w:tcPr>
          <w:p w14:paraId="0769CAF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7.72 – 13.31</w:t>
            </w:r>
          </w:p>
        </w:tc>
      </w:tr>
      <w:tr w:rsidR="00E102EB" w:rsidRPr="005C573E" w14:paraId="4842997B" w14:textId="77777777" w:rsidTr="00AE487C">
        <w:trPr>
          <w:tblCellSpacing w:w="15" w:type="dxa"/>
        </w:trPr>
        <w:tc>
          <w:tcPr>
            <w:tcW w:w="2835" w:type="dxa"/>
            <w:vAlign w:val="center"/>
            <w:hideMark/>
          </w:tcPr>
          <w:p w14:paraId="180E5D1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Average</w:t>
            </w:r>
          </w:p>
        </w:tc>
        <w:tc>
          <w:tcPr>
            <w:tcW w:w="1104" w:type="dxa"/>
            <w:vAlign w:val="center"/>
            <w:hideMark/>
          </w:tcPr>
          <w:p w14:paraId="7A16175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314</w:t>
            </w:r>
          </w:p>
        </w:tc>
        <w:tc>
          <w:tcPr>
            <w:tcW w:w="1813" w:type="dxa"/>
            <w:vAlign w:val="center"/>
            <w:hideMark/>
          </w:tcPr>
          <w:p w14:paraId="3C8B589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64.48</w:t>
            </w:r>
          </w:p>
        </w:tc>
        <w:tc>
          <w:tcPr>
            <w:tcW w:w="1798" w:type="dxa"/>
            <w:vAlign w:val="center"/>
            <w:hideMark/>
          </w:tcPr>
          <w:p w14:paraId="48D2563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60.05 – 68.73</w:t>
            </w:r>
          </w:p>
        </w:tc>
      </w:tr>
      <w:tr w:rsidR="00E102EB" w:rsidRPr="005C573E" w14:paraId="013DA0F0" w14:textId="77777777" w:rsidTr="00AE487C">
        <w:trPr>
          <w:tblCellSpacing w:w="15" w:type="dxa"/>
        </w:trPr>
        <w:tc>
          <w:tcPr>
            <w:tcW w:w="2835" w:type="dxa"/>
            <w:vAlign w:val="center"/>
            <w:hideMark/>
          </w:tcPr>
          <w:p w14:paraId="3E06D62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Good</w:t>
            </w:r>
          </w:p>
        </w:tc>
        <w:tc>
          <w:tcPr>
            <w:tcW w:w="1104" w:type="dxa"/>
            <w:vAlign w:val="center"/>
            <w:hideMark/>
          </w:tcPr>
          <w:p w14:paraId="27537C0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123</w:t>
            </w:r>
          </w:p>
        </w:tc>
        <w:tc>
          <w:tcPr>
            <w:tcW w:w="1813" w:type="dxa"/>
            <w:vAlign w:val="center"/>
            <w:hideMark/>
          </w:tcPr>
          <w:p w14:paraId="48C9DFC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25.26</w:t>
            </w:r>
          </w:p>
        </w:tc>
        <w:tc>
          <w:tcPr>
            <w:tcW w:w="1798" w:type="dxa"/>
            <w:vAlign w:val="center"/>
            <w:hideMark/>
          </w:tcPr>
          <w:p w14:paraId="039B8B5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21.46 – 29.36</w:t>
            </w:r>
          </w:p>
        </w:tc>
      </w:tr>
      <w:tr w:rsidR="00E102EB" w:rsidRPr="005C573E" w14:paraId="6F5646BB" w14:textId="77777777" w:rsidTr="00AE487C">
        <w:trPr>
          <w:tblCellSpacing w:w="15" w:type="dxa"/>
        </w:trPr>
        <w:tc>
          <w:tcPr>
            <w:tcW w:w="2835" w:type="dxa"/>
            <w:vAlign w:val="center"/>
            <w:hideMark/>
          </w:tcPr>
          <w:p w14:paraId="3453D53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Ethnicity</w:t>
            </w:r>
          </w:p>
        </w:tc>
        <w:tc>
          <w:tcPr>
            <w:tcW w:w="1104" w:type="dxa"/>
            <w:vAlign w:val="center"/>
            <w:hideMark/>
          </w:tcPr>
          <w:p w14:paraId="0F27FB33"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0BDC8C70"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270469A9" w14:textId="77777777" w:rsidR="005C573E" w:rsidRPr="005C573E" w:rsidRDefault="005C573E" w:rsidP="005C573E">
            <w:pPr>
              <w:jc w:val="left"/>
              <w:rPr>
                <w:rFonts w:ascii="Times New Roman" w:hAnsi="Times New Roman"/>
                <w:lang w:val="it-IT" w:eastAsia="it-IT"/>
              </w:rPr>
            </w:pPr>
          </w:p>
        </w:tc>
      </w:tr>
      <w:tr w:rsidR="00E102EB" w:rsidRPr="005C573E" w14:paraId="511380B7" w14:textId="77777777" w:rsidTr="00AE487C">
        <w:trPr>
          <w:tblCellSpacing w:w="15" w:type="dxa"/>
        </w:trPr>
        <w:tc>
          <w:tcPr>
            <w:tcW w:w="2835" w:type="dxa"/>
            <w:vAlign w:val="center"/>
            <w:hideMark/>
          </w:tcPr>
          <w:p w14:paraId="5BE45D5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Bangubangu</w:t>
            </w:r>
          </w:p>
        </w:tc>
        <w:tc>
          <w:tcPr>
            <w:tcW w:w="1104" w:type="dxa"/>
            <w:vAlign w:val="center"/>
            <w:hideMark/>
          </w:tcPr>
          <w:p w14:paraId="62DCEBE1"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9</w:t>
            </w:r>
          </w:p>
        </w:tc>
        <w:tc>
          <w:tcPr>
            <w:tcW w:w="1813" w:type="dxa"/>
            <w:vAlign w:val="center"/>
            <w:hideMark/>
          </w:tcPr>
          <w:p w14:paraId="5051EF7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1.85</w:t>
            </w:r>
          </w:p>
        </w:tc>
        <w:tc>
          <w:tcPr>
            <w:tcW w:w="1798" w:type="dxa"/>
            <w:vAlign w:val="center"/>
            <w:hideMark/>
          </w:tcPr>
          <w:p w14:paraId="725C116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0.85 – 3.48</w:t>
            </w:r>
          </w:p>
        </w:tc>
      </w:tr>
      <w:tr w:rsidR="00E102EB" w:rsidRPr="005C573E" w14:paraId="3BC9F638" w14:textId="77777777" w:rsidTr="00AE487C">
        <w:trPr>
          <w:tblCellSpacing w:w="15" w:type="dxa"/>
        </w:trPr>
        <w:tc>
          <w:tcPr>
            <w:tcW w:w="2835" w:type="dxa"/>
            <w:vAlign w:val="center"/>
            <w:hideMark/>
          </w:tcPr>
          <w:p w14:paraId="743DDB9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Bembe</w:t>
            </w:r>
          </w:p>
        </w:tc>
        <w:tc>
          <w:tcPr>
            <w:tcW w:w="1104" w:type="dxa"/>
            <w:vAlign w:val="center"/>
            <w:hideMark/>
          </w:tcPr>
          <w:p w14:paraId="041E64B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14</w:t>
            </w:r>
          </w:p>
        </w:tc>
        <w:tc>
          <w:tcPr>
            <w:tcW w:w="1813" w:type="dxa"/>
            <w:vAlign w:val="center"/>
            <w:hideMark/>
          </w:tcPr>
          <w:p w14:paraId="1D0B465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2.87</w:t>
            </w:r>
          </w:p>
        </w:tc>
        <w:tc>
          <w:tcPr>
            <w:tcW w:w="1798" w:type="dxa"/>
            <w:vAlign w:val="center"/>
            <w:hideMark/>
          </w:tcPr>
          <w:p w14:paraId="5496E48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1.58 – 4.78</w:t>
            </w:r>
          </w:p>
        </w:tc>
      </w:tr>
      <w:tr w:rsidR="00E102EB" w:rsidRPr="005C573E" w14:paraId="01050B95" w14:textId="77777777" w:rsidTr="00AE487C">
        <w:trPr>
          <w:tblCellSpacing w:w="15" w:type="dxa"/>
        </w:trPr>
        <w:tc>
          <w:tcPr>
            <w:tcW w:w="2835" w:type="dxa"/>
            <w:vAlign w:val="center"/>
            <w:hideMark/>
          </w:tcPr>
          <w:p w14:paraId="4DF7A0C1"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Fulero</w:t>
            </w:r>
          </w:p>
        </w:tc>
        <w:tc>
          <w:tcPr>
            <w:tcW w:w="1104" w:type="dxa"/>
            <w:vAlign w:val="center"/>
            <w:hideMark/>
          </w:tcPr>
          <w:p w14:paraId="2FDEE0D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w:t>
            </w:r>
          </w:p>
        </w:tc>
        <w:tc>
          <w:tcPr>
            <w:tcW w:w="1813" w:type="dxa"/>
            <w:vAlign w:val="center"/>
            <w:hideMark/>
          </w:tcPr>
          <w:p w14:paraId="14651C1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1.23</w:t>
            </w:r>
          </w:p>
        </w:tc>
        <w:tc>
          <w:tcPr>
            <w:tcW w:w="1798" w:type="dxa"/>
            <w:vAlign w:val="center"/>
            <w:hideMark/>
          </w:tcPr>
          <w:p w14:paraId="05F41CE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0.45 – 2.67</w:t>
            </w:r>
          </w:p>
        </w:tc>
      </w:tr>
      <w:tr w:rsidR="00E102EB" w:rsidRPr="005C573E" w14:paraId="087B81E6" w14:textId="77777777" w:rsidTr="00AE487C">
        <w:trPr>
          <w:tblCellSpacing w:w="15" w:type="dxa"/>
        </w:trPr>
        <w:tc>
          <w:tcPr>
            <w:tcW w:w="2835" w:type="dxa"/>
            <w:vAlign w:val="center"/>
            <w:hideMark/>
          </w:tcPr>
          <w:p w14:paraId="399A01CF"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Havu</w:t>
            </w:r>
          </w:p>
        </w:tc>
        <w:tc>
          <w:tcPr>
            <w:tcW w:w="1104" w:type="dxa"/>
            <w:vAlign w:val="center"/>
            <w:hideMark/>
          </w:tcPr>
          <w:p w14:paraId="6444424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30</w:t>
            </w:r>
          </w:p>
        </w:tc>
        <w:tc>
          <w:tcPr>
            <w:tcW w:w="1813" w:type="dxa"/>
            <w:vAlign w:val="center"/>
            <w:hideMark/>
          </w:tcPr>
          <w:p w14:paraId="29AEBE0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6.16</w:t>
            </w:r>
          </w:p>
        </w:tc>
        <w:tc>
          <w:tcPr>
            <w:tcW w:w="1798" w:type="dxa"/>
            <w:vAlign w:val="center"/>
            <w:hideMark/>
          </w:tcPr>
          <w:p w14:paraId="2FBD33D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4.19 – 8.68</w:t>
            </w:r>
          </w:p>
        </w:tc>
      </w:tr>
      <w:tr w:rsidR="00E102EB" w:rsidRPr="005C573E" w14:paraId="6793D12A" w14:textId="77777777" w:rsidTr="00AE487C">
        <w:trPr>
          <w:tblCellSpacing w:w="15" w:type="dxa"/>
        </w:trPr>
        <w:tc>
          <w:tcPr>
            <w:tcW w:w="2835" w:type="dxa"/>
            <w:vAlign w:val="center"/>
            <w:hideMark/>
          </w:tcPr>
          <w:p w14:paraId="05331B8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Kongo</w:t>
            </w:r>
          </w:p>
        </w:tc>
        <w:tc>
          <w:tcPr>
            <w:tcW w:w="1104" w:type="dxa"/>
            <w:vAlign w:val="center"/>
            <w:hideMark/>
          </w:tcPr>
          <w:p w14:paraId="14B34AF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w:t>
            </w:r>
          </w:p>
        </w:tc>
        <w:tc>
          <w:tcPr>
            <w:tcW w:w="1813" w:type="dxa"/>
            <w:vAlign w:val="center"/>
            <w:hideMark/>
          </w:tcPr>
          <w:p w14:paraId="3D4F4EB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1.23</w:t>
            </w:r>
          </w:p>
        </w:tc>
        <w:tc>
          <w:tcPr>
            <w:tcW w:w="1798" w:type="dxa"/>
            <w:vAlign w:val="center"/>
            <w:hideMark/>
          </w:tcPr>
          <w:p w14:paraId="268C187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0.50 – 2.66</w:t>
            </w:r>
          </w:p>
        </w:tc>
      </w:tr>
      <w:tr w:rsidR="00E102EB" w:rsidRPr="005C573E" w14:paraId="1661AC31" w14:textId="77777777" w:rsidTr="00AE487C">
        <w:trPr>
          <w:tblCellSpacing w:w="15" w:type="dxa"/>
        </w:trPr>
        <w:tc>
          <w:tcPr>
            <w:tcW w:w="2835" w:type="dxa"/>
            <w:vAlign w:val="center"/>
            <w:hideMark/>
          </w:tcPr>
          <w:p w14:paraId="2CCC381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Lega</w:t>
            </w:r>
          </w:p>
        </w:tc>
        <w:tc>
          <w:tcPr>
            <w:tcW w:w="1104" w:type="dxa"/>
            <w:vAlign w:val="center"/>
            <w:hideMark/>
          </w:tcPr>
          <w:p w14:paraId="3190793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91</w:t>
            </w:r>
          </w:p>
        </w:tc>
        <w:tc>
          <w:tcPr>
            <w:tcW w:w="1813" w:type="dxa"/>
            <w:vAlign w:val="center"/>
            <w:hideMark/>
          </w:tcPr>
          <w:p w14:paraId="0E85EE1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18.69</w:t>
            </w:r>
          </w:p>
        </w:tc>
        <w:tc>
          <w:tcPr>
            <w:tcW w:w="1798" w:type="dxa"/>
            <w:vAlign w:val="center"/>
            <w:hideMark/>
          </w:tcPr>
          <w:p w14:paraId="430AF4E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15.32 – 22.44</w:t>
            </w:r>
          </w:p>
        </w:tc>
      </w:tr>
      <w:tr w:rsidR="00E102EB" w:rsidRPr="005C573E" w14:paraId="27A5D7CA" w14:textId="77777777" w:rsidTr="00AE487C">
        <w:trPr>
          <w:tblCellSpacing w:w="15" w:type="dxa"/>
        </w:trPr>
        <w:tc>
          <w:tcPr>
            <w:tcW w:w="2835" w:type="dxa"/>
            <w:vAlign w:val="center"/>
            <w:hideMark/>
          </w:tcPr>
          <w:p w14:paraId="3C1793B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Luba</w:t>
            </w:r>
          </w:p>
        </w:tc>
        <w:tc>
          <w:tcPr>
            <w:tcW w:w="1104" w:type="dxa"/>
            <w:vAlign w:val="center"/>
            <w:hideMark/>
          </w:tcPr>
          <w:p w14:paraId="6F8AAAF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w:t>
            </w:r>
          </w:p>
        </w:tc>
        <w:tc>
          <w:tcPr>
            <w:tcW w:w="1813" w:type="dxa"/>
            <w:vAlign w:val="center"/>
            <w:hideMark/>
          </w:tcPr>
          <w:p w14:paraId="35CED87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0.62</w:t>
            </w:r>
          </w:p>
        </w:tc>
        <w:tc>
          <w:tcPr>
            <w:tcW w:w="1798" w:type="dxa"/>
            <w:vAlign w:val="center"/>
            <w:hideMark/>
          </w:tcPr>
          <w:p w14:paraId="5B5359B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0.13 – 1.79</w:t>
            </w:r>
          </w:p>
        </w:tc>
      </w:tr>
      <w:tr w:rsidR="00E102EB" w:rsidRPr="005C573E" w14:paraId="4DD5E16A" w14:textId="77777777" w:rsidTr="00AE487C">
        <w:trPr>
          <w:tblCellSpacing w:w="15" w:type="dxa"/>
        </w:trPr>
        <w:tc>
          <w:tcPr>
            <w:tcW w:w="2835" w:type="dxa"/>
            <w:vAlign w:val="center"/>
            <w:hideMark/>
          </w:tcPr>
          <w:p w14:paraId="2054221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Nande</w:t>
            </w:r>
          </w:p>
        </w:tc>
        <w:tc>
          <w:tcPr>
            <w:tcW w:w="1104" w:type="dxa"/>
            <w:vAlign w:val="center"/>
            <w:hideMark/>
          </w:tcPr>
          <w:p w14:paraId="56ACD80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13</w:t>
            </w:r>
          </w:p>
        </w:tc>
        <w:tc>
          <w:tcPr>
            <w:tcW w:w="1813" w:type="dxa"/>
            <w:vAlign w:val="center"/>
            <w:hideMark/>
          </w:tcPr>
          <w:p w14:paraId="3FE827D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2.67</w:t>
            </w:r>
          </w:p>
        </w:tc>
        <w:tc>
          <w:tcPr>
            <w:tcW w:w="1798" w:type="dxa"/>
            <w:vAlign w:val="center"/>
            <w:hideMark/>
          </w:tcPr>
          <w:p w14:paraId="484D056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1.43 – 4.52</w:t>
            </w:r>
          </w:p>
        </w:tc>
      </w:tr>
      <w:tr w:rsidR="00E102EB" w:rsidRPr="005C573E" w14:paraId="3B8C696D" w14:textId="77777777" w:rsidTr="00AE487C">
        <w:trPr>
          <w:tblCellSpacing w:w="15" w:type="dxa"/>
        </w:trPr>
        <w:tc>
          <w:tcPr>
            <w:tcW w:w="2835" w:type="dxa"/>
            <w:vAlign w:val="center"/>
            <w:hideMark/>
          </w:tcPr>
          <w:p w14:paraId="21358FE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Nyintu</w:t>
            </w:r>
          </w:p>
        </w:tc>
        <w:tc>
          <w:tcPr>
            <w:tcW w:w="1104" w:type="dxa"/>
            <w:vAlign w:val="center"/>
            <w:hideMark/>
          </w:tcPr>
          <w:p w14:paraId="1EDE561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w:t>
            </w:r>
          </w:p>
        </w:tc>
        <w:tc>
          <w:tcPr>
            <w:tcW w:w="1813" w:type="dxa"/>
            <w:vAlign w:val="center"/>
            <w:hideMark/>
          </w:tcPr>
          <w:p w14:paraId="529909D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0.41</w:t>
            </w:r>
          </w:p>
        </w:tc>
        <w:tc>
          <w:tcPr>
            <w:tcW w:w="1798" w:type="dxa"/>
            <w:vAlign w:val="center"/>
            <w:hideMark/>
          </w:tcPr>
          <w:p w14:paraId="541B6F5F"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0.05 – 1.48</w:t>
            </w:r>
          </w:p>
        </w:tc>
      </w:tr>
      <w:tr w:rsidR="00E102EB" w:rsidRPr="005C573E" w14:paraId="5949D83B" w14:textId="77777777" w:rsidTr="00AE487C">
        <w:trPr>
          <w:tblCellSpacing w:w="15" w:type="dxa"/>
        </w:trPr>
        <w:tc>
          <w:tcPr>
            <w:tcW w:w="2835" w:type="dxa"/>
            <w:vAlign w:val="center"/>
            <w:hideMark/>
          </w:tcPr>
          <w:p w14:paraId="14B5533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lastRenderedPageBreak/>
              <w:t>Shi</w:t>
            </w:r>
          </w:p>
        </w:tc>
        <w:tc>
          <w:tcPr>
            <w:tcW w:w="1104" w:type="dxa"/>
            <w:vAlign w:val="center"/>
            <w:hideMark/>
          </w:tcPr>
          <w:p w14:paraId="0B47206F"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294</w:t>
            </w:r>
          </w:p>
        </w:tc>
        <w:tc>
          <w:tcPr>
            <w:tcW w:w="1813" w:type="dxa"/>
            <w:vAlign w:val="center"/>
            <w:hideMark/>
          </w:tcPr>
          <w:p w14:paraId="42B3EA9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60.36</w:t>
            </w:r>
          </w:p>
        </w:tc>
        <w:tc>
          <w:tcPr>
            <w:tcW w:w="1798" w:type="dxa"/>
            <w:vAlign w:val="center"/>
            <w:hideMark/>
          </w:tcPr>
          <w:p w14:paraId="0B3A5E8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55.87 – 64.74</w:t>
            </w:r>
          </w:p>
        </w:tc>
      </w:tr>
      <w:tr w:rsidR="00E102EB" w:rsidRPr="005C573E" w14:paraId="1D98F3EB" w14:textId="77777777" w:rsidTr="00AE487C">
        <w:trPr>
          <w:tblCellSpacing w:w="15" w:type="dxa"/>
        </w:trPr>
        <w:tc>
          <w:tcPr>
            <w:tcW w:w="2835" w:type="dxa"/>
            <w:vAlign w:val="center"/>
            <w:hideMark/>
          </w:tcPr>
          <w:p w14:paraId="00F93231"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Tembo</w:t>
            </w:r>
          </w:p>
        </w:tc>
        <w:tc>
          <w:tcPr>
            <w:tcW w:w="1104" w:type="dxa"/>
            <w:vAlign w:val="center"/>
            <w:hideMark/>
          </w:tcPr>
          <w:p w14:paraId="730744B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14</w:t>
            </w:r>
          </w:p>
        </w:tc>
        <w:tc>
          <w:tcPr>
            <w:tcW w:w="1813" w:type="dxa"/>
            <w:vAlign w:val="center"/>
            <w:hideMark/>
          </w:tcPr>
          <w:p w14:paraId="78E3DBD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2.87</w:t>
            </w:r>
          </w:p>
        </w:tc>
        <w:tc>
          <w:tcPr>
            <w:tcW w:w="1798" w:type="dxa"/>
            <w:vAlign w:val="center"/>
            <w:hideMark/>
          </w:tcPr>
          <w:p w14:paraId="58750DA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1.58 – 4.78</w:t>
            </w:r>
          </w:p>
        </w:tc>
      </w:tr>
      <w:tr w:rsidR="00E102EB" w:rsidRPr="005C573E" w14:paraId="66D8F31F" w14:textId="77777777" w:rsidTr="00AE487C">
        <w:trPr>
          <w:tblCellSpacing w:w="15" w:type="dxa"/>
        </w:trPr>
        <w:tc>
          <w:tcPr>
            <w:tcW w:w="2835" w:type="dxa"/>
            <w:vAlign w:val="center"/>
            <w:hideMark/>
          </w:tcPr>
          <w:p w14:paraId="0FD23FB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Tutsi</w:t>
            </w:r>
          </w:p>
        </w:tc>
        <w:tc>
          <w:tcPr>
            <w:tcW w:w="1104" w:type="dxa"/>
            <w:vAlign w:val="center"/>
            <w:hideMark/>
          </w:tcPr>
          <w:p w14:paraId="0FE2EB9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w:t>
            </w:r>
          </w:p>
        </w:tc>
        <w:tc>
          <w:tcPr>
            <w:tcW w:w="1813" w:type="dxa"/>
            <w:vAlign w:val="center"/>
            <w:hideMark/>
          </w:tcPr>
          <w:p w14:paraId="0F746B0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1.03</w:t>
            </w:r>
          </w:p>
        </w:tc>
        <w:tc>
          <w:tcPr>
            <w:tcW w:w="1798" w:type="dxa"/>
            <w:vAlign w:val="center"/>
            <w:hideMark/>
          </w:tcPr>
          <w:p w14:paraId="003AB25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0.33 – 2.38</w:t>
            </w:r>
          </w:p>
        </w:tc>
      </w:tr>
      <w:tr w:rsidR="00E102EB" w:rsidRPr="005C573E" w14:paraId="707F6E83" w14:textId="77777777" w:rsidTr="00AE487C">
        <w:trPr>
          <w:tblCellSpacing w:w="15" w:type="dxa"/>
        </w:trPr>
        <w:tc>
          <w:tcPr>
            <w:tcW w:w="2835" w:type="dxa"/>
            <w:vAlign w:val="center"/>
            <w:hideMark/>
          </w:tcPr>
          <w:p w14:paraId="2BF3D09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Religion</w:t>
            </w:r>
          </w:p>
        </w:tc>
        <w:tc>
          <w:tcPr>
            <w:tcW w:w="1104" w:type="dxa"/>
            <w:vAlign w:val="center"/>
            <w:hideMark/>
          </w:tcPr>
          <w:p w14:paraId="43962166"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718C1926"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26ADB181" w14:textId="77777777" w:rsidR="005C573E" w:rsidRPr="005C573E" w:rsidRDefault="005C573E" w:rsidP="005C573E">
            <w:pPr>
              <w:jc w:val="left"/>
              <w:rPr>
                <w:rFonts w:ascii="Times New Roman" w:hAnsi="Times New Roman"/>
                <w:lang w:val="it-IT" w:eastAsia="it-IT"/>
              </w:rPr>
            </w:pPr>
          </w:p>
        </w:tc>
      </w:tr>
      <w:tr w:rsidR="00E102EB" w:rsidRPr="005C573E" w14:paraId="2ADC4B85" w14:textId="77777777" w:rsidTr="00AE487C">
        <w:trPr>
          <w:tblCellSpacing w:w="15" w:type="dxa"/>
        </w:trPr>
        <w:tc>
          <w:tcPr>
            <w:tcW w:w="2835" w:type="dxa"/>
            <w:vAlign w:val="center"/>
            <w:hideMark/>
          </w:tcPr>
          <w:p w14:paraId="63BF90D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Catholic</w:t>
            </w:r>
          </w:p>
        </w:tc>
        <w:tc>
          <w:tcPr>
            <w:tcW w:w="1104" w:type="dxa"/>
            <w:vAlign w:val="center"/>
            <w:hideMark/>
          </w:tcPr>
          <w:p w14:paraId="4723C49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255</w:t>
            </w:r>
          </w:p>
        </w:tc>
        <w:tc>
          <w:tcPr>
            <w:tcW w:w="1813" w:type="dxa"/>
            <w:vAlign w:val="center"/>
            <w:hideMark/>
          </w:tcPr>
          <w:p w14:paraId="4239E22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52.36</w:t>
            </w:r>
          </w:p>
        </w:tc>
        <w:tc>
          <w:tcPr>
            <w:tcW w:w="1798" w:type="dxa"/>
            <w:vAlign w:val="center"/>
            <w:hideMark/>
          </w:tcPr>
          <w:p w14:paraId="41A67B7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47.82 – 56.87</w:t>
            </w:r>
          </w:p>
        </w:tc>
      </w:tr>
      <w:tr w:rsidR="00E102EB" w:rsidRPr="005C573E" w14:paraId="5FA57E2E" w14:textId="77777777" w:rsidTr="00AE487C">
        <w:trPr>
          <w:tblCellSpacing w:w="15" w:type="dxa"/>
        </w:trPr>
        <w:tc>
          <w:tcPr>
            <w:tcW w:w="2835" w:type="dxa"/>
            <w:vAlign w:val="center"/>
            <w:hideMark/>
          </w:tcPr>
          <w:p w14:paraId="6049F06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Protestant</w:t>
            </w:r>
          </w:p>
        </w:tc>
        <w:tc>
          <w:tcPr>
            <w:tcW w:w="1104" w:type="dxa"/>
            <w:vAlign w:val="center"/>
            <w:hideMark/>
          </w:tcPr>
          <w:p w14:paraId="0F97828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156</w:t>
            </w:r>
          </w:p>
        </w:tc>
        <w:tc>
          <w:tcPr>
            <w:tcW w:w="1813" w:type="dxa"/>
            <w:vAlign w:val="center"/>
            <w:hideMark/>
          </w:tcPr>
          <w:p w14:paraId="4276F48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32.03</w:t>
            </w:r>
          </w:p>
        </w:tc>
        <w:tc>
          <w:tcPr>
            <w:tcW w:w="1798" w:type="dxa"/>
            <w:vAlign w:val="center"/>
            <w:hideMark/>
          </w:tcPr>
          <w:p w14:paraId="688F61B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27.91 – 36.38</w:t>
            </w:r>
          </w:p>
        </w:tc>
      </w:tr>
      <w:tr w:rsidR="00E102EB" w:rsidRPr="005C573E" w14:paraId="147F2C93" w14:textId="77777777" w:rsidTr="00AE487C">
        <w:trPr>
          <w:tblCellSpacing w:w="15" w:type="dxa"/>
        </w:trPr>
        <w:tc>
          <w:tcPr>
            <w:tcW w:w="2835" w:type="dxa"/>
            <w:vAlign w:val="center"/>
            <w:hideMark/>
          </w:tcPr>
          <w:p w14:paraId="6AE6817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Muslim</w:t>
            </w:r>
          </w:p>
        </w:tc>
        <w:tc>
          <w:tcPr>
            <w:tcW w:w="1104" w:type="dxa"/>
            <w:vAlign w:val="center"/>
            <w:hideMark/>
          </w:tcPr>
          <w:p w14:paraId="28020C3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w:t>
            </w:r>
          </w:p>
        </w:tc>
        <w:tc>
          <w:tcPr>
            <w:tcW w:w="1813" w:type="dxa"/>
            <w:vAlign w:val="center"/>
            <w:hideMark/>
          </w:tcPr>
          <w:p w14:paraId="719AC32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2.46</w:t>
            </w:r>
          </w:p>
        </w:tc>
        <w:tc>
          <w:tcPr>
            <w:tcW w:w="1798" w:type="dxa"/>
            <w:vAlign w:val="center"/>
            <w:hideMark/>
          </w:tcPr>
          <w:p w14:paraId="593D01E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1.28 – 4.26</w:t>
            </w:r>
          </w:p>
        </w:tc>
      </w:tr>
      <w:tr w:rsidR="00E102EB" w:rsidRPr="005C573E" w14:paraId="3B54FCB7" w14:textId="77777777" w:rsidTr="008266BE">
        <w:trPr>
          <w:tblCellSpacing w:w="15" w:type="dxa"/>
        </w:trPr>
        <w:tc>
          <w:tcPr>
            <w:tcW w:w="2835" w:type="dxa"/>
            <w:tcBorders>
              <w:bottom w:val="single" w:sz="4" w:space="0" w:color="auto"/>
            </w:tcBorders>
            <w:vAlign w:val="center"/>
            <w:hideMark/>
          </w:tcPr>
          <w:p w14:paraId="6DDDD09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Others</w:t>
            </w:r>
          </w:p>
        </w:tc>
        <w:tc>
          <w:tcPr>
            <w:tcW w:w="1104" w:type="dxa"/>
            <w:tcBorders>
              <w:bottom w:val="single" w:sz="4" w:space="0" w:color="auto"/>
            </w:tcBorders>
            <w:vAlign w:val="center"/>
            <w:hideMark/>
          </w:tcPr>
          <w:p w14:paraId="71979B0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64</w:t>
            </w:r>
          </w:p>
        </w:tc>
        <w:tc>
          <w:tcPr>
            <w:tcW w:w="1813" w:type="dxa"/>
            <w:tcBorders>
              <w:bottom w:val="single" w:sz="4" w:space="0" w:color="auto"/>
            </w:tcBorders>
            <w:vAlign w:val="center"/>
            <w:hideMark/>
          </w:tcPr>
          <w:p w14:paraId="6024211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13.14</w:t>
            </w:r>
          </w:p>
        </w:tc>
        <w:tc>
          <w:tcPr>
            <w:tcW w:w="1798" w:type="dxa"/>
            <w:tcBorders>
              <w:bottom w:val="single" w:sz="4" w:space="0" w:color="auto"/>
            </w:tcBorders>
            <w:vAlign w:val="center"/>
            <w:hideMark/>
          </w:tcPr>
          <w:p w14:paraId="6516EB7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10.27 – 16.47</w:t>
            </w:r>
          </w:p>
        </w:tc>
      </w:tr>
    </w:tbl>
    <w:p w14:paraId="089BDB3B" w14:textId="77777777" w:rsidR="002C739F" w:rsidRPr="00571EFB" w:rsidRDefault="002C739F" w:rsidP="002C739F">
      <w:pPr>
        <w:pStyle w:val="Body"/>
        <w:spacing w:after="0"/>
        <w:rPr>
          <w:rFonts w:cs="Arial"/>
        </w:rPr>
      </w:pPr>
    </w:p>
    <w:p w14:paraId="761B9EC0" w14:textId="0BC5725A" w:rsidR="00571EFB" w:rsidRPr="00571EFB" w:rsidRDefault="00571EFB" w:rsidP="00F41729">
      <w:pPr>
        <w:pStyle w:val="Heading4"/>
        <w:rPr>
          <w:lang w:val="it-IT"/>
        </w:rPr>
      </w:pPr>
      <w:r w:rsidRPr="00571EFB">
        <w:rPr>
          <w:lang w:val="it-IT"/>
        </w:rPr>
        <w:t xml:space="preserve">Health </w:t>
      </w:r>
      <w:r w:rsidR="00A07186">
        <w:rPr>
          <w:lang w:val="it-IT"/>
        </w:rPr>
        <w:t>e</w:t>
      </w:r>
      <w:r w:rsidRPr="00571EFB">
        <w:rPr>
          <w:lang w:val="it-IT"/>
        </w:rPr>
        <w:t xml:space="preserve">ducation and </w:t>
      </w:r>
      <w:r w:rsidR="00A07186">
        <w:rPr>
          <w:lang w:val="it-IT"/>
        </w:rPr>
        <w:t>a</w:t>
      </w:r>
      <w:r w:rsidRPr="00571EFB">
        <w:rPr>
          <w:lang w:val="it-IT"/>
        </w:rPr>
        <w:t>wareness</w:t>
      </w:r>
    </w:p>
    <w:p w14:paraId="49A0483A" w14:textId="49894DFD" w:rsidR="00571EFB" w:rsidRPr="009B32D2" w:rsidRDefault="009B32D2" w:rsidP="009B32D2">
      <w:pPr>
        <w:pStyle w:val="Body"/>
        <w:spacing w:after="0"/>
        <w:rPr>
          <w:rFonts w:cs="Arial"/>
          <w:lang w:val="it-IT"/>
        </w:rPr>
      </w:pPr>
      <w:r w:rsidRPr="009B32D2">
        <w:rPr>
          <w:rFonts w:cs="Arial"/>
        </w:rPr>
        <w:t xml:space="preserve">Among the participants, </w:t>
      </w:r>
      <w:r w:rsidR="00571EFB" w:rsidRPr="00571EFB">
        <w:rPr>
          <w:rFonts w:cs="Arial"/>
        </w:rPr>
        <w:t>67.35% (95% CI:</w:t>
      </w:r>
      <w:r>
        <w:rPr>
          <w:rFonts w:cs="Arial"/>
        </w:rPr>
        <w:t xml:space="preserve"> 62.99 – 71.50) </w:t>
      </w:r>
      <w:r w:rsidR="00571EFB" w:rsidRPr="00571EFB">
        <w:rPr>
          <w:rFonts w:cs="Arial"/>
        </w:rPr>
        <w:t>were aware of MDA an</w:t>
      </w:r>
      <w:r>
        <w:rPr>
          <w:rFonts w:cs="Arial"/>
        </w:rPr>
        <w:t xml:space="preserve">d STH, indicating, </w:t>
      </w:r>
      <w:r w:rsidR="00571EFB" w:rsidRPr="00571EFB">
        <w:rPr>
          <w:rFonts w:cs="Arial"/>
        </w:rPr>
        <w:t xml:space="preserve">32.65% (95% CI: </w:t>
      </w:r>
      <w:r>
        <w:rPr>
          <w:rFonts w:cs="Arial"/>
        </w:rPr>
        <w:t>28.50 – 37.01) lacked knowledge</w:t>
      </w:r>
      <w:r w:rsidR="00571EFB" w:rsidRPr="00571EFB">
        <w:rPr>
          <w:rFonts w:cs="Arial"/>
        </w:rPr>
        <w:t>.</w:t>
      </w:r>
    </w:p>
    <w:p w14:paraId="526F7AA5" w14:textId="5CF62E2E" w:rsidR="00571EFB" w:rsidRPr="00536D19" w:rsidRDefault="00B42AF0" w:rsidP="00536D19">
      <w:pPr>
        <w:pStyle w:val="Body"/>
        <w:spacing w:after="0"/>
        <w:rPr>
          <w:rFonts w:cs="Arial"/>
          <w:lang w:val="it-IT"/>
        </w:rPr>
      </w:pPr>
      <w:proofErr w:type="spellStart"/>
      <w:r w:rsidRPr="00562362">
        <w:rPr>
          <w:rFonts w:cs="Arial"/>
          <w:highlight w:val="yellow"/>
        </w:rPr>
        <w:t>Sensitisation</w:t>
      </w:r>
      <w:proofErr w:type="spellEnd"/>
      <w:r w:rsidRPr="00562362">
        <w:rPr>
          <w:rFonts w:cs="Arial"/>
          <w:highlight w:val="yellow"/>
        </w:rPr>
        <w:t xml:space="preserve"> </w:t>
      </w:r>
      <w:r w:rsidR="00571EFB" w:rsidRPr="00562362">
        <w:rPr>
          <w:rFonts w:cs="Arial"/>
          <w:highlight w:val="yellow"/>
        </w:rPr>
        <w:t>campaigns</w:t>
      </w:r>
      <w:r w:rsidR="00571EFB" w:rsidRPr="00571EFB">
        <w:rPr>
          <w:rFonts w:cs="Arial"/>
        </w:rPr>
        <w:t xml:space="preserve"> were the main source of information, cited by 40.66% (95% CI: 36.26 – 45.17) of participants.</w:t>
      </w:r>
      <w:r w:rsidR="00D63C26">
        <w:rPr>
          <w:rFonts w:cs="Arial"/>
          <w:lang w:val="it-IT"/>
        </w:rPr>
        <w:t xml:space="preserve"> </w:t>
      </w:r>
      <w:r w:rsidR="00571EFB" w:rsidRPr="00571EFB">
        <w:rPr>
          <w:rFonts w:cs="Arial"/>
        </w:rPr>
        <w:t>Only 9.65% (95% CI: 7.18 – 12.63) learned about MD</w:t>
      </w:r>
      <w:r w:rsidR="00D63C26">
        <w:rPr>
          <w:rFonts w:cs="Arial"/>
        </w:rPr>
        <w:t>A in school</w:t>
      </w:r>
      <w:r w:rsidR="00571EFB" w:rsidRPr="00571EFB">
        <w:rPr>
          <w:rFonts w:cs="Arial"/>
        </w:rPr>
        <w:t>.</w:t>
      </w:r>
      <w:r w:rsidR="00D63C26">
        <w:rPr>
          <w:rFonts w:cs="Arial"/>
          <w:lang w:val="it-IT"/>
        </w:rPr>
        <w:t xml:space="preserve"> </w:t>
      </w:r>
      <w:r w:rsidR="00D63C26" w:rsidRPr="00D63C26">
        <w:rPr>
          <w:rFonts w:cs="Arial"/>
          <w:lang w:val="it-IT"/>
        </w:rPr>
        <w:t xml:space="preserve">As </w:t>
      </w:r>
      <w:r>
        <w:rPr>
          <w:rFonts w:cs="Arial"/>
          <w:lang w:val="it-IT"/>
        </w:rPr>
        <w:t xml:space="preserve">a </w:t>
      </w:r>
      <w:r w:rsidR="00D63C26" w:rsidRPr="00D63C26">
        <w:rPr>
          <w:rFonts w:cs="Arial"/>
          <w:lang w:val="it-IT"/>
        </w:rPr>
        <w:t xml:space="preserve">source of information, </w:t>
      </w:r>
      <w:r w:rsidR="00D63C26">
        <w:rPr>
          <w:rFonts w:cs="Arial"/>
        </w:rPr>
        <w:t>h</w:t>
      </w:r>
      <w:r w:rsidR="00571EFB" w:rsidRPr="00571EFB">
        <w:rPr>
          <w:rFonts w:cs="Arial"/>
        </w:rPr>
        <w:t>ealth professi</w:t>
      </w:r>
      <w:r w:rsidR="00D63C26">
        <w:rPr>
          <w:rFonts w:cs="Arial"/>
        </w:rPr>
        <w:t>onals and media,</w:t>
      </w:r>
      <w:r w:rsidR="00571EFB" w:rsidRPr="00571EFB">
        <w:rPr>
          <w:rFonts w:cs="Arial"/>
        </w:rPr>
        <w:t xml:space="preserve"> </w:t>
      </w:r>
      <w:r w:rsidR="00D63C26" w:rsidRPr="00D63C26">
        <w:rPr>
          <w:rFonts w:cs="Arial"/>
        </w:rPr>
        <w:t>with respectively</w:t>
      </w:r>
      <w:r w:rsidR="00571EFB" w:rsidRPr="00571EFB">
        <w:rPr>
          <w:rFonts w:cs="Arial"/>
        </w:rPr>
        <w:t xml:space="preserve"> 9.24% and 7.19%, play</w:t>
      </w:r>
      <w:r w:rsidR="00D63C26">
        <w:rPr>
          <w:rFonts w:cs="Arial"/>
        </w:rPr>
        <w:t>ed</w:t>
      </w:r>
      <w:r w:rsidR="00571EFB" w:rsidRPr="00571EFB">
        <w:rPr>
          <w:rFonts w:cs="Arial"/>
        </w:rPr>
        <w:t xml:space="preserve"> </w:t>
      </w:r>
      <w:r w:rsidR="00DE39D0">
        <w:rPr>
          <w:rFonts w:cs="Arial"/>
        </w:rPr>
        <w:t>in the information</w:t>
      </w:r>
      <w:r w:rsidR="00571EFB" w:rsidRPr="00571EFB">
        <w:rPr>
          <w:rFonts w:cs="Arial"/>
        </w:rPr>
        <w:t>.</w:t>
      </w:r>
      <w:r w:rsidR="00536D19">
        <w:rPr>
          <w:rFonts w:cs="Arial"/>
          <w:lang w:val="it-IT"/>
        </w:rPr>
        <w:t xml:space="preserve"> In </w:t>
      </w:r>
      <w:r w:rsidR="00571EFB" w:rsidRPr="00571EFB">
        <w:rPr>
          <w:rFonts w:cs="Arial"/>
        </w:rPr>
        <w:t xml:space="preserve">32.65% (NA) lacked access to any information </w:t>
      </w:r>
      <w:r w:rsidR="00536D19">
        <w:rPr>
          <w:rFonts w:cs="Arial"/>
        </w:rPr>
        <w:t>source</w:t>
      </w:r>
      <w:r w:rsidR="00571EFB" w:rsidRPr="00571EFB">
        <w:rPr>
          <w:rFonts w:cs="Arial"/>
        </w:rPr>
        <w:t>.</w:t>
      </w:r>
    </w:p>
    <w:p w14:paraId="731C56B2" w14:textId="4B628570" w:rsidR="00571EFB" w:rsidRPr="00536D19" w:rsidRDefault="00536D19" w:rsidP="00536D19">
      <w:pPr>
        <w:pStyle w:val="Body"/>
        <w:spacing w:after="0"/>
        <w:rPr>
          <w:rFonts w:cs="Arial"/>
          <w:lang w:val="it-IT"/>
        </w:rPr>
      </w:pPr>
      <w:r>
        <w:rPr>
          <w:rFonts w:cs="Arial"/>
          <w:lang w:val="it-IT"/>
        </w:rPr>
        <w:t>As e</w:t>
      </w:r>
      <w:r w:rsidR="00571EFB" w:rsidRPr="00571EFB">
        <w:rPr>
          <w:rFonts w:cs="Arial"/>
          <w:lang w:val="it-IT"/>
        </w:rPr>
        <w:t>xperience with MDA</w:t>
      </w:r>
      <w:r>
        <w:rPr>
          <w:rFonts w:cs="Arial"/>
          <w:lang w:val="it-IT"/>
        </w:rPr>
        <w:t xml:space="preserve">, </w:t>
      </w:r>
      <w:r w:rsidR="00571EFB" w:rsidRPr="00571EFB">
        <w:rPr>
          <w:rFonts w:cs="Arial"/>
        </w:rPr>
        <w:t>69.82% (95% CI: 65.52 – 73.86) had previously p</w:t>
      </w:r>
      <w:r>
        <w:rPr>
          <w:rFonts w:cs="Arial"/>
        </w:rPr>
        <w:t>articipated in an MDA campaign</w:t>
      </w:r>
      <w:r w:rsidR="00B42AF0">
        <w:rPr>
          <w:rFonts w:cs="Arial"/>
        </w:rPr>
        <w:t>,</w:t>
      </w:r>
      <w:r>
        <w:rPr>
          <w:rFonts w:cs="Arial"/>
        </w:rPr>
        <w:t xml:space="preserve"> and </w:t>
      </w:r>
      <w:r w:rsidR="00571EFB" w:rsidRPr="00571EFB">
        <w:rPr>
          <w:rFonts w:cs="Arial"/>
        </w:rPr>
        <w:t>30.18% (95% CI: 26.14 – 34.</w:t>
      </w:r>
      <w:r>
        <w:rPr>
          <w:rFonts w:cs="Arial"/>
        </w:rPr>
        <w:t>48) had never participated</w:t>
      </w:r>
      <w:r w:rsidR="00571EFB" w:rsidRPr="00571EFB">
        <w:rPr>
          <w:rFonts w:cs="Arial"/>
        </w:rPr>
        <w:t>.</w:t>
      </w:r>
    </w:p>
    <w:p w14:paraId="12BA7469" w14:textId="18C526AD" w:rsidR="00571EFB" w:rsidRPr="00571EFB" w:rsidRDefault="00536D19" w:rsidP="00536D19">
      <w:pPr>
        <w:pStyle w:val="Body"/>
        <w:spacing w:after="0"/>
        <w:rPr>
          <w:rFonts w:cs="Arial"/>
        </w:rPr>
      </w:pPr>
      <w:r>
        <w:rPr>
          <w:rFonts w:cs="Arial"/>
        </w:rPr>
        <w:t>For the n</w:t>
      </w:r>
      <w:r w:rsidR="00571EFB" w:rsidRPr="00F7456D">
        <w:rPr>
          <w:rFonts w:cs="Arial"/>
        </w:rPr>
        <w:t xml:space="preserve">umber of MDA </w:t>
      </w:r>
      <w:r w:rsidR="00F7456D">
        <w:rPr>
          <w:rFonts w:cs="Arial"/>
        </w:rPr>
        <w:t>t</w:t>
      </w:r>
      <w:r w:rsidR="00571EFB" w:rsidRPr="00F7456D">
        <w:rPr>
          <w:rFonts w:cs="Arial"/>
        </w:rPr>
        <w:t xml:space="preserve">reatments </w:t>
      </w:r>
      <w:r w:rsidR="00F7456D" w:rsidRPr="00F7456D">
        <w:rPr>
          <w:rFonts w:cs="Arial"/>
        </w:rPr>
        <w:t>r</w:t>
      </w:r>
      <w:r w:rsidR="00571EFB" w:rsidRPr="00F7456D">
        <w:rPr>
          <w:rFonts w:cs="Arial"/>
        </w:rPr>
        <w:t>eceived</w:t>
      </w:r>
      <w:r>
        <w:rPr>
          <w:rFonts w:cs="Arial"/>
        </w:rPr>
        <w:t xml:space="preserve">, </w:t>
      </w:r>
      <w:r w:rsidR="00571EFB" w:rsidRPr="00571EFB">
        <w:rPr>
          <w:rFonts w:cs="Arial"/>
        </w:rPr>
        <w:t>15.20% (95% CI: 12.12 – 18.70) participated in only one MDA round</w:t>
      </w:r>
      <w:r>
        <w:rPr>
          <w:rFonts w:cs="Arial"/>
        </w:rPr>
        <w:t xml:space="preserve">, </w:t>
      </w:r>
      <w:r w:rsidR="00571EFB" w:rsidRPr="00571EFB">
        <w:rPr>
          <w:rFonts w:cs="Arial"/>
        </w:rPr>
        <w:t>54.83% (95% CI: 50.28 – 59.31) received multiple MDA treatment</w:t>
      </w:r>
      <w:r>
        <w:rPr>
          <w:rFonts w:cs="Arial"/>
        </w:rPr>
        <w:t>s</w:t>
      </w:r>
      <w:r w:rsidR="00B42AF0">
        <w:rPr>
          <w:rFonts w:cs="Arial"/>
        </w:rPr>
        <w:t>,</w:t>
      </w:r>
      <w:r>
        <w:rPr>
          <w:rFonts w:cs="Arial"/>
        </w:rPr>
        <w:t xml:space="preserve"> and </w:t>
      </w:r>
      <w:r w:rsidR="00571EFB" w:rsidRPr="00571EFB">
        <w:rPr>
          <w:rFonts w:cs="Arial"/>
        </w:rPr>
        <w:t>29.98% (NA) had never particip</w:t>
      </w:r>
      <w:r>
        <w:rPr>
          <w:rFonts w:cs="Arial"/>
        </w:rPr>
        <w:t>ated</w:t>
      </w:r>
      <w:r w:rsidR="00571EFB" w:rsidRPr="00571EFB">
        <w:rPr>
          <w:rFonts w:cs="Arial"/>
        </w:rPr>
        <w:t>.</w:t>
      </w:r>
    </w:p>
    <w:p w14:paraId="3BA5DFCD" w14:textId="0D93BF84" w:rsidR="00571EFB" w:rsidRPr="00815651" w:rsidRDefault="00536D19" w:rsidP="00815651">
      <w:pPr>
        <w:pStyle w:val="Body"/>
        <w:spacing w:after="0"/>
        <w:rPr>
          <w:rFonts w:cs="Arial"/>
          <w:lang w:val="it-IT"/>
        </w:rPr>
      </w:pPr>
      <w:r>
        <w:rPr>
          <w:rFonts w:cs="Arial"/>
          <w:lang w:val="it-IT"/>
        </w:rPr>
        <w:t>For the k</w:t>
      </w:r>
      <w:r w:rsidR="00571EFB" w:rsidRPr="00571EFB">
        <w:rPr>
          <w:rFonts w:cs="Arial"/>
          <w:lang w:val="it-IT"/>
        </w:rPr>
        <w:t xml:space="preserve">nowledge </w:t>
      </w:r>
      <w:r w:rsidR="00571EFB" w:rsidRPr="00562362">
        <w:rPr>
          <w:rFonts w:cs="Arial"/>
          <w:highlight w:val="yellow"/>
          <w:lang w:val="it-IT"/>
        </w:rPr>
        <w:t xml:space="preserve">of </w:t>
      </w:r>
      <w:r w:rsidR="00B42AF0" w:rsidRPr="00562362">
        <w:rPr>
          <w:rFonts w:cs="Arial"/>
          <w:highlight w:val="yellow"/>
          <w:lang w:val="it-IT"/>
        </w:rPr>
        <w:t xml:space="preserve">the </w:t>
      </w:r>
      <w:r w:rsidR="00571EFB" w:rsidRPr="00562362">
        <w:rPr>
          <w:rFonts w:cs="Arial"/>
          <w:highlight w:val="yellow"/>
          <w:lang w:val="it-IT"/>
        </w:rPr>
        <w:t>MDA</w:t>
      </w:r>
      <w:r w:rsidR="00571EFB" w:rsidRPr="00571EFB">
        <w:rPr>
          <w:rFonts w:cs="Arial"/>
          <w:lang w:val="it-IT"/>
        </w:rPr>
        <w:t xml:space="preserve"> </w:t>
      </w:r>
      <w:r w:rsidR="00F7456D">
        <w:rPr>
          <w:rFonts w:cs="Arial"/>
          <w:lang w:val="it-IT"/>
        </w:rPr>
        <w:t>s</w:t>
      </w:r>
      <w:r w:rsidR="00571EFB" w:rsidRPr="00571EFB">
        <w:rPr>
          <w:rFonts w:cs="Arial"/>
          <w:lang w:val="it-IT"/>
        </w:rPr>
        <w:t>chedule</w:t>
      </w:r>
      <w:r w:rsidR="007A2C44">
        <w:rPr>
          <w:rFonts w:cs="Arial"/>
          <w:lang w:val="it-IT"/>
        </w:rPr>
        <w:t xml:space="preserve">, </w:t>
      </w:r>
      <w:r w:rsidR="00571EFB" w:rsidRPr="00571EFB">
        <w:rPr>
          <w:rFonts w:cs="Arial"/>
        </w:rPr>
        <w:t>48.67% (95% CI: 44.14 – 53.20) understood that MDA is administered semi-annually, but this awareness needs reinforcement.</w:t>
      </w:r>
      <w:r w:rsidR="00815651">
        <w:rPr>
          <w:rFonts w:cs="Arial"/>
          <w:lang w:val="it-IT"/>
        </w:rPr>
        <w:t xml:space="preserve"> Participants in </w:t>
      </w:r>
      <w:r w:rsidR="00571EFB" w:rsidRPr="00571EFB">
        <w:rPr>
          <w:rFonts w:cs="Arial"/>
        </w:rPr>
        <w:t>41.07% (95% CI: 36.66 – 45.58) were u</w:t>
      </w:r>
      <w:r w:rsidR="00815651">
        <w:rPr>
          <w:rFonts w:cs="Arial"/>
        </w:rPr>
        <w:t>naware of the MDA schedule</w:t>
      </w:r>
      <w:r w:rsidR="00571EFB" w:rsidRPr="00571EFB">
        <w:rPr>
          <w:rFonts w:cs="Arial"/>
        </w:rPr>
        <w:t>.</w:t>
      </w:r>
    </w:p>
    <w:p w14:paraId="23338762" w14:textId="43F35649" w:rsidR="00571EFB" w:rsidRPr="00571EFB" w:rsidRDefault="004575D0" w:rsidP="00A44579">
      <w:pPr>
        <w:pStyle w:val="Body"/>
        <w:spacing w:after="0"/>
        <w:rPr>
          <w:rFonts w:cs="Arial"/>
        </w:rPr>
      </w:pPr>
      <w:r>
        <w:rPr>
          <w:rFonts w:cs="Arial"/>
        </w:rPr>
        <w:t>For q</w:t>
      </w:r>
      <w:r w:rsidR="00571EFB" w:rsidRPr="00571EFB">
        <w:rPr>
          <w:rFonts w:cs="Arial"/>
        </w:rPr>
        <w:t xml:space="preserve">uality of </w:t>
      </w:r>
      <w:r w:rsidR="00F7456D">
        <w:rPr>
          <w:rFonts w:cs="Arial"/>
        </w:rPr>
        <w:t>i</w:t>
      </w:r>
      <w:r w:rsidR="00571EFB" w:rsidRPr="00571EFB">
        <w:rPr>
          <w:rFonts w:cs="Arial"/>
        </w:rPr>
        <w:t xml:space="preserve">nstructions </w:t>
      </w:r>
      <w:r w:rsidR="00F7456D">
        <w:rPr>
          <w:rFonts w:cs="Arial"/>
        </w:rPr>
        <w:t>r</w:t>
      </w:r>
      <w:r w:rsidR="00571EFB" w:rsidRPr="00571EFB">
        <w:rPr>
          <w:rFonts w:cs="Arial"/>
        </w:rPr>
        <w:t xml:space="preserve">eceived </w:t>
      </w:r>
      <w:r w:rsidR="00F7456D">
        <w:rPr>
          <w:rFonts w:cs="Arial"/>
        </w:rPr>
        <w:t>d</w:t>
      </w:r>
      <w:r w:rsidR="00571EFB" w:rsidRPr="00571EFB">
        <w:rPr>
          <w:rFonts w:cs="Arial"/>
        </w:rPr>
        <w:t>uring MDA</w:t>
      </w:r>
      <w:r>
        <w:rPr>
          <w:rFonts w:cs="Arial"/>
        </w:rPr>
        <w:t xml:space="preserve">, </w:t>
      </w:r>
      <w:r w:rsidR="00571EFB" w:rsidRPr="00571EFB">
        <w:rPr>
          <w:rFonts w:cs="Arial"/>
        </w:rPr>
        <w:t>10.88% (95% CI: 8.26 – 13.99) rate</w:t>
      </w:r>
      <w:r>
        <w:rPr>
          <w:rFonts w:cs="Arial"/>
        </w:rPr>
        <w:t>d the instructions as very good</w:t>
      </w:r>
      <w:r w:rsidR="00A44579">
        <w:rPr>
          <w:rFonts w:cs="Arial"/>
        </w:rPr>
        <w:t xml:space="preserve">, </w:t>
      </w:r>
      <w:r w:rsidR="00571EFB" w:rsidRPr="00571EFB">
        <w:rPr>
          <w:rFonts w:cs="Arial"/>
        </w:rPr>
        <w:t>20.74% (95% CI: 17.22 – 24.62) found the ins</w:t>
      </w:r>
      <w:r w:rsidR="00A44579">
        <w:rPr>
          <w:rFonts w:cs="Arial"/>
        </w:rPr>
        <w:t xml:space="preserve">tructions good and </w:t>
      </w:r>
      <w:r w:rsidR="00571EFB" w:rsidRPr="00571EFB">
        <w:rPr>
          <w:rFonts w:cs="Arial"/>
        </w:rPr>
        <w:t>25.05% (95% CI: 21.26 – 29.15) perceived the instructions as</w:t>
      </w:r>
      <w:r w:rsidR="00A44579">
        <w:rPr>
          <w:rFonts w:cs="Arial"/>
        </w:rPr>
        <w:t xml:space="preserve"> poor</w:t>
      </w:r>
      <w:r w:rsidR="00571EFB" w:rsidRPr="00571EFB">
        <w:rPr>
          <w:rFonts w:cs="Arial"/>
        </w:rPr>
        <w:t>.</w:t>
      </w:r>
    </w:p>
    <w:p w14:paraId="6C4D8181" w14:textId="52C25BB7" w:rsidR="00571EFB" w:rsidRPr="00C63F5D" w:rsidRDefault="00A44579" w:rsidP="0031162D">
      <w:pPr>
        <w:pStyle w:val="Body"/>
        <w:spacing w:after="0"/>
        <w:rPr>
          <w:rFonts w:cs="Arial"/>
          <w:lang w:val="it-IT"/>
        </w:rPr>
      </w:pPr>
      <w:r w:rsidRPr="00C63F5D">
        <w:rPr>
          <w:rFonts w:cs="Arial"/>
          <w:lang w:val="it-IT"/>
        </w:rPr>
        <w:t>For the w</w:t>
      </w:r>
      <w:r w:rsidR="00571EFB" w:rsidRPr="00C63F5D">
        <w:rPr>
          <w:rFonts w:cs="Arial"/>
          <w:lang w:val="it-IT"/>
        </w:rPr>
        <w:t xml:space="preserve">illingness to </w:t>
      </w:r>
      <w:r w:rsidR="00F7456D" w:rsidRPr="00C63F5D">
        <w:rPr>
          <w:rFonts w:cs="Arial"/>
          <w:lang w:val="it-IT"/>
        </w:rPr>
        <w:t>l</w:t>
      </w:r>
      <w:r w:rsidR="00571EFB" w:rsidRPr="00C63F5D">
        <w:rPr>
          <w:rFonts w:cs="Arial"/>
          <w:lang w:val="it-IT"/>
        </w:rPr>
        <w:t>earn</w:t>
      </w:r>
      <w:r w:rsidRPr="00C63F5D">
        <w:rPr>
          <w:rFonts w:cs="Arial"/>
          <w:lang w:val="it-IT"/>
        </w:rPr>
        <w:t xml:space="preserve">, </w:t>
      </w:r>
      <w:r w:rsidR="00571EFB" w:rsidRPr="00C63F5D">
        <w:rPr>
          <w:rFonts w:cs="Arial"/>
        </w:rPr>
        <w:t>78.03% (95% CI: 74.08 – 81.63) expressed interest in learning more about MDA an</w:t>
      </w:r>
      <w:r w:rsidR="0031162D" w:rsidRPr="00C63F5D">
        <w:rPr>
          <w:rFonts w:cs="Arial"/>
        </w:rPr>
        <w:t>d STH</w:t>
      </w:r>
      <w:r w:rsidR="00571EFB" w:rsidRPr="00C63F5D">
        <w:rPr>
          <w:rFonts w:cs="Arial"/>
        </w:rPr>
        <w:t>.</w:t>
      </w:r>
    </w:p>
    <w:p w14:paraId="3B63C982" w14:textId="77777777" w:rsidR="001E22BC" w:rsidRPr="00571EFB" w:rsidRDefault="001E22BC" w:rsidP="00571EFB">
      <w:pPr>
        <w:pStyle w:val="Body"/>
        <w:spacing w:after="0"/>
        <w:rPr>
          <w:rFonts w:cs="Arial"/>
        </w:rPr>
      </w:pPr>
    </w:p>
    <w:p w14:paraId="594B6E78" w14:textId="78BAA0D8" w:rsidR="00571EFB" w:rsidRDefault="00571EFB" w:rsidP="009C4424">
      <w:pPr>
        <w:pStyle w:val="Body"/>
        <w:spacing w:after="0"/>
        <w:rPr>
          <w:rFonts w:cs="Arial"/>
        </w:rPr>
      </w:pPr>
      <w:r w:rsidRPr="00571EFB">
        <w:rPr>
          <w:rFonts w:cs="Arial"/>
        </w:rPr>
        <w:t xml:space="preserve">The proportion of </w:t>
      </w:r>
      <w:r w:rsidR="00003E80">
        <w:rPr>
          <w:rFonts w:cs="Arial"/>
        </w:rPr>
        <w:t xml:space="preserve">MDA </w:t>
      </w:r>
      <w:r w:rsidRPr="00571EFB">
        <w:rPr>
          <w:rFonts w:cs="Arial"/>
        </w:rPr>
        <w:t xml:space="preserve">adherent </w:t>
      </w:r>
      <w:r w:rsidR="00003E80">
        <w:rPr>
          <w:rFonts w:cs="Arial"/>
        </w:rPr>
        <w:t xml:space="preserve">among </w:t>
      </w:r>
      <w:r w:rsidRPr="00571EFB">
        <w:rPr>
          <w:rFonts w:cs="Arial"/>
        </w:rPr>
        <w:t>WRA was 64.89% (95% CI: 60.46 – 69.13), while 10.88% (95% CI: 8.26 – 13.99) were non-adherent. Additionally, 24.23% (95% CI: 20.49 – 28.29) had never participated in MDA, indicating a coverage gap.</w:t>
      </w:r>
    </w:p>
    <w:p w14:paraId="38ACEE92" w14:textId="77777777" w:rsidR="009C4424" w:rsidRPr="00571EFB" w:rsidRDefault="009C4424" w:rsidP="009C4424">
      <w:pPr>
        <w:pStyle w:val="Body"/>
        <w:spacing w:after="0"/>
        <w:rPr>
          <w:rFonts w:cs="Arial"/>
        </w:rPr>
      </w:pPr>
    </w:p>
    <w:p w14:paraId="684148C7" w14:textId="61C4447A" w:rsidR="00571EFB" w:rsidRPr="003A0A4F" w:rsidRDefault="00571EFB" w:rsidP="003A0A4F">
      <w:pPr>
        <w:pStyle w:val="Heading3"/>
        <w:rPr>
          <w:rFonts w:cs="Arial"/>
          <w:bCs/>
          <w:lang w:val="it-IT"/>
        </w:rPr>
      </w:pPr>
      <w:r w:rsidRPr="00571EFB">
        <w:rPr>
          <w:lang w:val="it-IT"/>
        </w:rPr>
        <w:t>Analytical</w:t>
      </w:r>
      <w:r w:rsidRPr="00571EFB">
        <w:rPr>
          <w:rFonts w:cs="Arial"/>
          <w:bCs/>
          <w:lang w:val="it-IT"/>
        </w:rPr>
        <w:t xml:space="preserve"> </w:t>
      </w:r>
      <w:r w:rsidR="00A07186">
        <w:rPr>
          <w:rFonts w:cs="Arial"/>
          <w:bCs/>
          <w:lang w:val="it-IT"/>
        </w:rPr>
        <w:t>s</w:t>
      </w:r>
      <w:r w:rsidRPr="00571EFB">
        <w:rPr>
          <w:rFonts w:cs="Arial"/>
          <w:bCs/>
          <w:lang w:val="it-IT"/>
        </w:rPr>
        <w:t>tatistics</w:t>
      </w:r>
    </w:p>
    <w:p w14:paraId="58FF8378" w14:textId="5C929793" w:rsidR="00571EFB" w:rsidRPr="003A0A4F" w:rsidRDefault="003A0A4F" w:rsidP="003A0A4F">
      <w:pPr>
        <w:pStyle w:val="Body"/>
        <w:spacing w:after="0"/>
        <w:rPr>
          <w:rFonts w:cs="Arial"/>
          <w:lang w:val="it-IT"/>
        </w:rPr>
      </w:pPr>
      <w:r>
        <w:rPr>
          <w:rFonts w:cs="Arial"/>
          <w:lang w:val="it-IT"/>
        </w:rPr>
        <w:t>For a</w:t>
      </w:r>
      <w:r w:rsidR="00571EFB" w:rsidRPr="00571EFB">
        <w:rPr>
          <w:rFonts w:cs="Arial"/>
          <w:lang w:val="it-IT"/>
        </w:rPr>
        <w:t xml:space="preserve">ge and </w:t>
      </w:r>
      <w:r w:rsidR="00C647B5">
        <w:rPr>
          <w:rFonts w:cs="Arial"/>
          <w:lang w:val="it-IT"/>
        </w:rPr>
        <w:t>complia</w:t>
      </w:r>
      <w:r w:rsidR="00571EFB" w:rsidRPr="00571EFB">
        <w:rPr>
          <w:rFonts w:cs="Arial"/>
          <w:lang w:val="it-IT"/>
        </w:rPr>
        <w:t>nce</w:t>
      </w:r>
      <w:r>
        <w:rPr>
          <w:rFonts w:cs="Arial"/>
          <w:lang w:val="it-IT"/>
        </w:rPr>
        <w:t>, t</w:t>
      </w:r>
      <w:r w:rsidR="00571EFB" w:rsidRPr="00571EFB">
        <w:rPr>
          <w:rFonts w:cs="Arial"/>
        </w:rPr>
        <w:t>he median age of non-adherent participants was 19 years, compared to 23 years among adherents.</w:t>
      </w:r>
      <w:r>
        <w:rPr>
          <w:rFonts w:cs="Arial"/>
          <w:lang w:val="it-IT"/>
        </w:rPr>
        <w:t xml:space="preserve"> </w:t>
      </w:r>
      <w:r w:rsidR="00571EFB" w:rsidRPr="00571EFB">
        <w:rPr>
          <w:rFonts w:cs="Arial"/>
        </w:rPr>
        <w:t>Adult women (20-49 years) were 42% more likely (OR = 0.42; 95% CI: 0.23 – 0.76, p = 0.005) to adhere compared to adolescents (&lt;20 years).</w:t>
      </w:r>
    </w:p>
    <w:p w14:paraId="5D637460" w14:textId="6B568F4C" w:rsidR="00571EFB" w:rsidRPr="00562362" w:rsidRDefault="00B42AF0" w:rsidP="00571EFB">
      <w:pPr>
        <w:pStyle w:val="Body"/>
        <w:spacing w:after="0"/>
        <w:rPr>
          <w:rFonts w:cs="Arial"/>
          <w:b/>
          <w:bCs/>
          <w:lang w:val="it-IT"/>
        </w:rPr>
      </w:pPr>
      <w:r w:rsidRPr="00562362">
        <w:rPr>
          <w:rFonts w:cs="Arial"/>
          <w:b/>
          <w:bCs/>
          <w:highlight w:val="yellow"/>
          <w:lang w:val="it-IT"/>
        </w:rPr>
        <w:t>Assessing</w:t>
      </w:r>
      <w:r w:rsidRPr="00562362">
        <w:rPr>
          <w:rFonts w:cs="Arial"/>
          <w:b/>
          <w:bCs/>
          <w:highlight w:val="yellow"/>
          <w:lang w:val="it-IT"/>
        </w:rPr>
        <w:t xml:space="preserve"> </w:t>
      </w:r>
      <w:r w:rsidR="003A0A4F" w:rsidRPr="00562362">
        <w:rPr>
          <w:rFonts w:cs="Arial"/>
          <w:b/>
          <w:bCs/>
          <w:highlight w:val="yellow"/>
          <w:lang w:val="it-IT"/>
        </w:rPr>
        <w:t>the k</w:t>
      </w:r>
      <w:r w:rsidR="00571EFB" w:rsidRPr="00562362">
        <w:rPr>
          <w:rFonts w:cs="Arial"/>
          <w:b/>
          <w:bCs/>
          <w:highlight w:val="yellow"/>
          <w:lang w:val="it-IT"/>
        </w:rPr>
        <w:t xml:space="preserve">ey </w:t>
      </w:r>
      <w:r w:rsidR="00467410" w:rsidRPr="00562362">
        <w:rPr>
          <w:rFonts w:cs="Arial"/>
          <w:b/>
          <w:bCs/>
          <w:highlight w:val="yellow"/>
          <w:lang w:val="it-IT"/>
        </w:rPr>
        <w:t>f</w:t>
      </w:r>
      <w:r w:rsidR="00571EFB" w:rsidRPr="00562362">
        <w:rPr>
          <w:rFonts w:cs="Arial"/>
          <w:b/>
          <w:bCs/>
          <w:highlight w:val="yellow"/>
          <w:lang w:val="it-IT"/>
        </w:rPr>
        <w:t>actors</w:t>
      </w:r>
      <w:r w:rsidR="00571EFB" w:rsidRPr="00562362">
        <w:rPr>
          <w:rFonts w:cs="Arial"/>
          <w:b/>
          <w:bCs/>
          <w:lang w:val="it-IT"/>
        </w:rPr>
        <w:t xml:space="preserve"> </w:t>
      </w:r>
      <w:r w:rsidR="00467410" w:rsidRPr="00562362">
        <w:rPr>
          <w:rFonts w:cs="Arial"/>
          <w:b/>
          <w:bCs/>
          <w:lang w:val="it-IT"/>
        </w:rPr>
        <w:t>i</w:t>
      </w:r>
      <w:r w:rsidR="00571EFB" w:rsidRPr="00562362">
        <w:rPr>
          <w:rFonts w:cs="Arial"/>
          <w:b/>
          <w:bCs/>
          <w:lang w:val="it-IT"/>
        </w:rPr>
        <w:t xml:space="preserve">nfluencing </w:t>
      </w:r>
      <w:r w:rsidR="00467410" w:rsidRPr="00562362">
        <w:rPr>
          <w:rFonts w:cs="Arial"/>
          <w:b/>
          <w:bCs/>
          <w:lang w:val="it-IT"/>
        </w:rPr>
        <w:t>complia</w:t>
      </w:r>
      <w:r w:rsidR="00571EFB" w:rsidRPr="00562362">
        <w:rPr>
          <w:rFonts w:cs="Arial"/>
          <w:b/>
          <w:bCs/>
          <w:lang w:val="it-IT"/>
        </w:rPr>
        <w:t>nce</w:t>
      </w:r>
    </w:p>
    <w:p w14:paraId="4B19AB6F" w14:textId="1E92618C" w:rsidR="00571EFB" w:rsidRPr="003A0A4F" w:rsidRDefault="00571EFB" w:rsidP="003A0A4F">
      <w:pPr>
        <w:pStyle w:val="Body"/>
        <w:spacing w:after="0"/>
        <w:rPr>
          <w:rFonts w:cs="Arial"/>
        </w:rPr>
      </w:pPr>
      <w:r w:rsidRPr="00571EFB">
        <w:rPr>
          <w:rFonts w:cs="Arial"/>
        </w:rPr>
        <w:t>Educated participants were nearly 3 times more likely (OR = 2.98; 95% CI: 1.08 – 8.21, p = 0.040) to adhere.</w:t>
      </w:r>
      <w:r w:rsidR="00366981">
        <w:rPr>
          <w:rFonts w:cs="Arial"/>
        </w:rPr>
        <w:t xml:space="preserve"> </w:t>
      </w:r>
      <w:r w:rsidRPr="00571EFB">
        <w:rPr>
          <w:rFonts w:cs="Arial"/>
        </w:rPr>
        <w:t>Those with low economic status were 53% less likely (OR = 0.47; 95% CI: 0.26 – 0.87, p = 0.018) to adhere.</w:t>
      </w:r>
      <w:r w:rsidR="003A0A4F">
        <w:rPr>
          <w:rFonts w:cs="Arial"/>
        </w:rPr>
        <w:t xml:space="preserve"> </w:t>
      </w:r>
      <w:r w:rsidRPr="00571EFB">
        <w:rPr>
          <w:rFonts w:cs="Arial"/>
        </w:rPr>
        <w:t>Those with experience were 40 times more likely (OR = 39.41; 95% CI: 15.66 – 99.20, p &lt; 0.001) to adhere.</w:t>
      </w:r>
    </w:p>
    <w:p w14:paraId="110366E4" w14:textId="72C448B9" w:rsidR="00CB525E" w:rsidRDefault="00571EFB" w:rsidP="00CB525E">
      <w:r w:rsidRPr="00571EFB">
        <w:t xml:space="preserve">Two logistic regression models were </w:t>
      </w:r>
      <w:proofErr w:type="spellStart"/>
      <w:r w:rsidR="00B42AF0" w:rsidRPr="00562362">
        <w:rPr>
          <w:highlight w:val="yellow"/>
        </w:rPr>
        <w:t>analysed</w:t>
      </w:r>
      <w:proofErr w:type="spellEnd"/>
      <w:r w:rsidRPr="00562362">
        <w:rPr>
          <w:highlight w:val="yellow"/>
        </w:rPr>
        <w:t>, confirming</w:t>
      </w:r>
      <w:r w:rsidRPr="00571EFB">
        <w:t xml:space="preserve"> that prior MDA experience, education, and knowledge of </w:t>
      </w:r>
      <w:r w:rsidR="00B42AF0">
        <w:t xml:space="preserve">the </w:t>
      </w:r>
      <w:r w:rsidRPr="00571EFB">
        <w:t xml:space="preserve">MDA schedule significantly influenced </w:t>
      </w:r>
      <w:r w:rsidR="00972C28">
        <w:t>complia</w:t>
      </w:r>
      <w:r w:rsidRPr="00571EFB">
        <w:t>nce</w:t>
      </w:r>
      <w:r w:rsidR="000221D1">
        <w:t xml:space="preserve"> (Table 3)</w:t>
      </w:r>
      <w:r w:rsidRPr="00571EFB">
        <w:t>.</w:t>
      </w:r>
    </w:p>
    <w:p w14:paraId="761AC5EB" w14:textId="77777777" w:rsidR="00CB525E" w:rsidRPr="00782DD6" w:rsidRDefault="00CB525E" w:rsidP="00CB525E"/>
    <w:p w14:paraId="11B13995" w14:textId="5BF27204" w:rsidR="00782DD6" w:rsidRPr="00782DD6" w:rsidRDefault="00782DD6" w:rsidP="00CB525E">
      <w:r w:rsidRPr="00782DD6">
        <w:rPr>
          <w:b/>
          <w:bCs/>
        </w:rPr>
        <w:lastRenderedPageBreak/>
        <w:t>Model 1</w:t>
      </w:r>
      <w:r w:rsidRPr="00782DD6">
        <w:t xml:space="preserve"> includes binary variables: age group, binary education level, binary economic status, information on M</w:t>
      </w:r>
      <w:r w:rsidR="008B2B9B">
        <w:t>DA</w:t>
      </w:r>
      <w:r w:rsidRPr="00782DD6">
        <w:t xml:space="preserve"> and </w:t>
      </w:r>
      <w:r w:rsidR="008B2B9B">
        <w:t>ST</w:t>
      </w:r>
      <w:r w:rsidRPr="00782DD6">
        <w:t>H, prior experience with M</w:t>
      </w:r>
      <w:r w:rsidR="008B2B9B">
        <w:t>DA</w:t>
      </w:r>
      <w:r w:rsidRPr="00782DD6">
        <w:t>, and binary knowledge of</w:t>
      </w:r>
      <w:r w:rsidR="00CB525E">
        <w:t xml:space="preserve"> </w:t>
      </w:r>
      <w:r w:rsidR="008B2B9B">
        <w:t>MDA</w:t>
      </w:r>
      <w:r w:rsidR="00CB525E" w:rsidRPr="00CB525E">
        <w:t xml:space="preserve"> </w:t>
      </w:r>
      <w:r w:rsidR="00CB525E" w:rsidRPr="00782DD6">
        <w:t>schedul</w:t>
      </w:r>
      <w:r w:rsidR="00CB525E">
        <w:t xml:space="preserve">e. </w:t>
      </w:r>
      <w:r w:rsidRPr="00782DD6">
        <w:rPr>
          <w:b/>
          <w:bCs/>
        </w:rPr>
        <w:t>Model 2</w:t>
      </w:r>
      <w:r w:rsidRPr="00782DD6">
        <w:t xml:space="preserve"> includes: age group, education level, economic status, information on M</w:t>
      </w:r>
      <w:r w:rsidR="008B2B9B">
        <w:t>DA</w:t>
      </w:r>
      <w:r w:rsidRPr="00782DD6">
        <w:t xml:space="preserve"> and </w:t>
      </w:r>
      <w:r w:rsidR="008B2B9B">
        <w:t>ST</w:t>
      </w:r>
      <w:r w:rsidRPr="00782DD6">
        <w:t>H, prior experience with M</w:t>
      </w:r>
      <w:r w:rsidR="009231FB">
        <w:t>DA</w:t>
      </w:r>
      <w:r w:rsidRPr="00782DD6">
        <w:t xml:space="preserve">, and binary knowledge of the </w:t>
      </w:r>
      <w:r w:rsidR="009231FB">
        <w:t>MDA</w:t>
      </w:r>
      <w:r w:rsidRPr="00782DD6">
        <w:t xml:space="preserve"> schedule.</w:t>
      </w:r>
    </w:p>
    <w:p w14:paraId="49E01D56" w14:textId="4783D161" w:rsidR="00782DD6" w:rsidRPr="00782DD6" w:rsidRDefault="00782DD6" w:rsidP="00CB525E">
      <w:r w:rsidRPr="00782DD6">
        <w:t>For both models, moderate collinearity is observed (1 &lt; VIF &lt; 5).</w:t>
      </w:r>
      <w:r w:rsidR="00706D29">
        <w:t xml:space="preserve"> </w:t>
      </w:r>
      <w:r w:rsidRPr="00782DD6">
        <w:rPr>
          <w:b/>
          <w:bCs/>
          <w:lang w:val="it-IT"/>
        </w:rPr>
        <w:t>AIC</w:t>
      </w:r>
      <w:r w:rsidR="00706D29">
        <w:rPr>
          <w:lang w:val="it-IT"/>
        </w:rPr>
        <w:t xml:space="preserve"> was respectively 214.34 and </w:t>
      </w:r>
      <w:r w:rsidRPr="00782DD6">
        <w:rPr>
          <w:lang w:val="it-IT"/>
        </w:rPr>
        <w:t>220.66</w:t>
      </w:r>
      <w:r w:rsidR="00706D29">
        <w:rPr>
          <w:lang w:val="it-IT"/>
        </w:rPr>
        <w:t xml:space="preserve">. </w:t>
      </w:r>
      <w:r w:rsidR="00B42AF0" w:rsidRPr="00562362">
        <w:rPr>
          <w:highlight w:val="yellow"/>
          <w:lang w:val="it-IT"/>
        </w:rPr>
        <w:t xml:space="preserve">The </w:t>
      </w:r>
      <w:r w:rsidRPr="00562362">
        <w:rPr>
          <w:b/>
          <w:bCs/>
          <w:highlight w:val="yellow"/>
        </w:rPr>
        <w:t>H</w:t>
      </w:r>
      <w:r w:rsidRPr="00782DD6">
        <w:rPr>
          <w:b/>
          <w:bCs/>
        </w:rPr>
        <w:t>osmer-</w:t>
      </w:r>
      <w:proofErr w:type="spellStart"/>
      <w:r w:rsidRPr="00782DD6">
        <w:rPr>
          <w:b/>
          <w:bCs/>
        </w:rPr>
        <w:t>Lemeshow</w:t>
      </w:r>
      <w:proofErr w:type="spellEnd"/>
      <w:r w:rsidRPr="00782DD6">
        <w:rPr>
          <w:b/>
          <w:bCs/>
        </w:rPr>
        <w:t xml:space="preserve"> </w:t>
      </w:r>
      <w:r w:rsidR="00D22279">
        <w:rPr>
          <w:b/>
          <w:bCs/>
        </w:rPr>
        <w:t>t</w:t>
      </w:r>
      <w:r w:rsidRPr="00782DD6">
        <w:rPr>
          <w:b/>
          <w:bCs/>
        </w:rPr>
        <w:t>est</w:t>
      </w:r>
      <w:r w:rsidR="00706D29">
        <w:t xml:space="preserve"> </w:t>
      </w:r>
      <w:r w:rsidR="00B42AF0" w:rsidRPr="00562362">
        <w:rPr>
          <w:highlight w:val="yellow"/>
        </w:rPr>
        <w:t>was also</w:t>
      </w:r>
      <w:r w:rsidR="00706D29" w:rsidRPr="00562362">
        <w:rPr>
          <w:highlight w:val="yellow"/>
        </w:rPr>
        <w:t xml:space="preserve"> </w:t>
      </w:r>
      <w:r w:rsidR="00706D29">
        <w:t>0.75 and 0.93</w:t>
      </w:r>
      <w:r w:rsidRPr="00782DD6">
        <w:t>, indicating a good fit to the data.</w:t>
      </w:r>
    </w:p>
    <w:p w14:paraId="09A6E923" w14:textId="3D6E595B" w:rsidR="00782DD6" w:rsidRPr="00B07BF2" w:rsidRDefault="00B07BF2" w:rsidP="00CB525E">
      <w:pPr>
        <w:rPr>
          <w:b/>
          <w:bCs/>
        </w:rPr>
      </w:pPr>
      <w:r>
        <w:rPr>
          <w:b/>
          <w:bCs/>
        </w:rPr>
        <w:t>M</w:t>
      </w:r>
      <w:r w:rsidR="00782DD6" w:rsidRPr="00E56962">
        <w:rPr>
          <w:b/>
          <w:bCs/>
        </w:rPr>
        <w:t>odel 1</w:t>
      </w:r>
      <w:r>
        <w:rPr>
          <w:b/>
          <w:bCs/>
        </w:rPr>
        <w:t xml:space="preserve"> </w:t>
      </w:r>
      <w:r w:rsidR="00B42AF0" w:rsidRPr="00562362">
        <w:rPr>
          <w:bCs/>
          <w:highlight w:val="yellow"/>
        </w:rPr>
        <w:t>indicates</w:t>
      </w:r>
      <w:r w:rsidR="00B42AF0" w:rsidRPr="00B07BF2">
        <w:rPr>
          <w:bCs/>
        </w:rPr>
        <w:t xml:space="preserve"> </w:t>
      </w:r>
      <w:r w:rsidRPr="00B07BF2">
        <w:rPr>
          <w:bCs/>
        </w:rPr>
        <w:t>that</w:t>
      </w:r>
      <w:r>
        <w:t xml:space="preserve"> n</w:t>
      </w:r>
      <w:r w:rsidR="00782DD6" w:rsidRPr="00782DD6">
        <w:t>on-educated participants are 24% less likely to adhere to M</w:t>
      </w:r>
      <w:r w:rsidR="00830278">
        <w:t>DA</w:t>
      </w:r>
      <w:r w:rsidR="00782DD6" w:rsidRPr="00782DD6">
        <w:t xml:space="preserve"> compared to educated ones (p = 0.041).</w:t>
      </w:r>
      <w:r>
        <w:rPr>
          <w:b/>
          <w:bCs/>
        </w:rPr>
        <w:t xml:space="preserve"> </w:t>
      </w:r>
      <w:r w:rsidR="00782DD6" w:rsidRPr="00782DD6">
        <w:t>Women aged 20–49 are 2.36 times more likely to adhere to M</w:t>
      </w:r>
      <w:r w:rsidR="00830278">
        <w:t>DA</w:t>
      </w:r>
      <w:r w:rsidR="00782DD6" w:rsidRPr="00782DD6">
        <w:t xml:space="preserve"> compared to those under 20 (p = 0.041).</w:t>
      </w:r>
      <w:r>
        <w:rPr>
          <w:b/>
          <w:bCs/>
        </w:rPr>
        <w:t xml:space="preserve"> </w:t>
      </w:r>
      <w:r w:rsidR="00782DD6" w:rsidRPr="00782DD6">
        <w:t xml:space="preserve">Participants informed beforehand are 4.08 times more likely to adhere to </w:t>
      </w:r>
      <w:r w:rsidR="005E72E0">
        <w:t>M</w:t>
      </w:r>
      <w:r w:rsidR="00017BCC">
        <w:t>DA</w:t>
      </w:r>
      <w:r w:rsidR="00782DD6" w:rsidRPr="00782DD6">
        <w:t xml:space="preserve"> (p = 0.0009).</w:t>
      </w:r>
      <w:r>
        <w:t xml:space="preserve"> </w:t>
      </w:r>
      <w:r w:rsidR="00B42AF0" w:rsidRPr="00562362">
        <w:rPr>
          <w:highlight w:val="yellow"/>
        </w:rPr>
        <w:t>Participants</w:t>
      </w:r>
      <w:r w:rsidR="00782DD6" w:rsidRPr="00562362">
        <w:rPr>
          <w:highlight w:val="yellow"/>
        </w:rPr>
        <w:t xml:space="preserve"> with</w:t>
      </w:r>
      <w:r w:rsidR="00782DD6" w:rsidRPr="00782DD6">
        <w:t xml:space="preserve"> prior experience are 24.72 times more likely to adhere compared to those without (p &lt; 0.001).</w:t>
      </w:r>
    </w:p>
    <w:p w14:paraId="39377852" w14:textId="27E39910" w:rsidR="0037359B" w:rsidRPr="002C07EC" w:rsidRDefault="00B07BF2" w:rsidP="0037359B">
      <w:pPr>
        <w:rPr>
          <w:b/>
          <w:bCs/>
        </w:rPr>
      </w:pPr>
      <w:r>
        <w:rPr>
          <w:b/>
          <w:bCs/>
        </w:rPr>
        <w:t>M</w:t>
      </w:r>
      <w:r w:rsidR="00782DD6" w:rsidRPr="00E56962">
        <w:rPr>
          <w:b/>
          <w:bCs/>
        </w:rPr>
        <w:t>odel 2</w:t>
      </w:r>
      <w:r w:rsidR="00E25AFF">
        <w:rPr>
          <w:b/>
          <w:bCs/>
        </w:rPr>
        <w:t xml:space="preserve"> </w:t>
      </w:r>
      <w:r w:rsidR="00E25AFF" w:rsidRPr="00363D32">
        <w:rPr>
          <w:bCs/>
        </w:rPr>
        <w:t>in</w:t>
      </w:r>
      <w:r w:rsidR="00363D32" w:rsidRPr="00363D32">
        <w:rPr>
          <w:bCs/>
        </w:rPr>
        <w:t>dicated that</w:t>
      </w:r>
      <w:r w:rsidR="00363D32">
        <w:rPr>
          <w:b/>
          <w:bCs/>
        </w:rPr>
        <w:t xml:space="preserve"> </w:t>
      </w:r>
      <w:r w:rsidR="00112136">
        <w:t>u</w:t>
      </w:r>
      <w:r w:rsidR="00782DD6" w:rsidRPr="00782DD6">
        <w:t>niversity-educated participants are 6.40 times more likely to adhere to M</w:t>
      </w:r>
      <w:r w:rsidR="00372949">
        <w:t xml:space="preserve">DA </w:t>
      </w:r>
      <w:r w:rsidR="00782DD6" w:rsidRPr="00782DD6">
        <w:t>than</w:t>
      </w:r>
      <w:r w:rsidR="00112136">
        <w:t xml:space="preserve"> non-educated ones (p = 0.026). </w:t>
      </w:r>
      <w:r w:rsidR="00782DD6" w:rsidRPr="00782DD6">
        <w:t>Informed participants are 3.45 times more likely to adhere to M</w:t>
      </w:r>
      <w:r w:rsidR="006E2C44">
        <w:t>DA</w:t>
      </w:r>
      <w:r w:rsidR="00782DD6" w:rsidRPr="00782DD6">
        <w:t xml:space="preserve"> (p = 0.004). Participants with prior experience are 31 times more likely to adhere (p &lt; 0.001). </w:t>
      </w:r>
    </w:p>
    <w:p w14:paraId="29C1306C" w14:textId="77777777" w:rsidR="0037359B" w:rsidRPr="00E56962" w:rsidRDefault="0037359B" w:rsidP="0037359B"/>
    <w:p w14:paraId="656AD2C5" w14:textId="062C03E9" w:rsidR="0037359B" w:rsidRPr="00562362" w:rsidRDefault="0037359B" w:rsidP="0037359B">
      <w:pPr>
        <w:rPr>
          <w:b/>
          <w:bCs/>
        </w:rPr>
      </w:pPr>
      <w:r w:rsidRPr="00562362">
        <w:rPr>
          <w:b/>
          <w:bCs/>
        </w:rPr>
        <w:t>Table 3:</w:t>
      </w:r>
      <w:r w:rsidR="00A27A90" w:rsidRPr="00562362">
        <w:rPr>
          <w:b/>
          <w:bCs/>
        </w:rPr>
        <w:t xml:space="preserve"> Summary of the Results of Models </w:t>
      </w:r>
      <w:r w:rsidR="00B42AF0">
        <w:rPr>
          <w:b/>
          <w:bCs/>
        </w:rPr>
        <w:t>(</w:t>
      </w:r>
      <w:r w:rsidR="00A27A90" w:rsidRPr="00562362">
        <w:rPr>
          <w:b/>
          <w:bCs/>
        </w:rPr>
        <w:t>mod.1 and mod.2</w:t>
      </w:r>
      <w:r w:rsidR="00B42AF0">
        <w:rPr>
          <w:b/>
          <w:bCs/>
        </w:rPr>
        <w:t>)</w:t>
      </w:r>
    </w:p>
    <w:tbl>
      <w:tblPr>
        <w:tblW w:w="9073" w:type="dxa"/>
        <w:tblCellSpacing w:w="15" w:type="dxa"/>
        <w:tblInd w:w="-381"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411"/>
        <w:gridCol w:w="1978"/>
        <w:gridCol w:w="1282"/>
        <w:gridCol w:w="2126"/>
        <w:gridCol w:w="1276"/>
      </w:tblGrid>
      <w:tr w:rsidR="0037359B" w14:paraId="2B522209" w14:textId="77777777" w:rsidTr="00BC4897">
        <w:trPr>
          <w:tblHeader/>
          <w:tblCellSpacing w:w="15" w:type="dxa"/>
        </w:trPr>
        <w:tc>
          <w:tcPr>
            <w:tcW w:w="2366" w:type="dxa"/>
            <w:tcBorders>
              <w:top w:val="single" w:sz="4" w:space="0" w:color="auto"/>
              <w:bottom w:val="single" w:sz="4" w:space="0" w:color="auto"/>
            </w:tcBorders>
            <w:vAlign w:val="center"/>
            <w:hideMark/>
          </w:tcPr>
          <w:p w14:paraId="200FBEDA" w14:textId="77777777" w:rsidR="0037359B" w:rsidRDefault="0037359B" w:rsidP="0037359B">
            <w:pPr>
              <w:rPr>
                <w:b/>
                <w:bCs/>
              </w:rPr>
            </w:pPr>
            <w:r>
              <w:rPr>
                <w:rStyle w:val="Strong"/>
              </w:rPr>
              <w:t>Variables</w:t>
            </w:r>
          </w:p>
        </w:tc>
        <w:tc>
          <w:tcPr>
            <w:tcW w:w="1948" w:type="dxa"/>
            <w:tcBorders>
              <w:top w:val="single" w:sz="4" w:space="0" w:color="auto"/>
              <w:bottom w:val="single" w:sz="4" w:space="0" w:color="auto"/>
            </w:tcBorders>
            <w:vAlign w:val="center"/>
            <w:hideMark/>
          </w:tcPr>
          <w:p w14:paraId="17197B9A" w14:textId="5B303F11" w:rsidR="0037359B" w:rsidRDefault="0037359B" w:rsidP="0037359B">
            <w:pPr>
              <w:rPr>
                <w:b/>
                <w:bCs/>
              </w:rPr>
            </w:pPr>
            <w:r>
              <w:rPr>
                <w:rStyle w:val="Strong"/>
              </w:rPr>
              <w:t>OR [95% CI] /mod.1</w:t>
            </w:r>
          </w:p>
        </w:tc>
        <w:tc>
          <w:tcPr>
            <w:tcW w:w="1252" w:type="dxa"/>
            <w:tcBorders>
              <w:top w:val="single" w:sz="4" w:space="0" w:color="auto"/>
              <w:bottom w:val="single" w:sz="4" w:space="0" w:color="auto"/>
            </w:tcBorders>
            <w:vAlign w:val="center"/>
            <w:hideMark/>
          </w:tcPr>
          <w:p w14:paraId="47A78495" w14:textId="6859186E" w:rsidR="0037359B" w:rsidRDefault="0037359B" w:rsidP="0037359B">
            <w:pPr>
              <w:rPr>
                <w:b/>
                <w:bCs/>
              </w:rPr>
            </w:pPr>
            <w:r>
              <w:rPr>
                <w:rStyle w:val="Strong"/>
              </w:rPr>
              <w:t>p /mod.1</w:t>
            </w:r>
          </w:p>
        </w:tc>
        <w:tc>
          <w:tcPr>
            <w:tcW w:w="2096" w:type="dxa"/>
            <w:tcBorders>
              <w:top w:val="single" w:sz="4" w:space="0" w:color="auto"/>
              <w:bottom w:val="single" w:sz="4" w:space="0" w:color="auto"/>
            </w:tcBorders>
            <w:vAlign w:val="center"/>
            <w:hideMark/>
          </w:tcPr>
          <w:p w14:paraId="00962678" w14:textId="1F76C9B8" w:rsidR="0037359B" w:rsidRDefault="0037359B" w:rsidP="0037359B">
            <w:pPr>
              <w:rPr>
                <w:b/>
                <w:bCs/>
              </w:rPr>
            </w:pPr>
            <w:r>
              <w:rPr>
                <w:rStyle w:val="Strong"/>
              </w:rPr>
              <w:t>OR [95% CI] /mod.2</w:t>
            </w:r>
          </w:p>
        </w:tc>
        <w:tc>
          <w:tcPr>
            <w:tcW w:w="1231" w:type="dxa"/>
            <w:tcBorders>
              <w:top w:val="single" w:sz="4" w:space="0" w:color="auto"/>
              <w:bottom w:val="single" w:sz="4" w:space="0" w:color="auto"/>
            </w:tcBorders>
            <w:vAlign w:val="center"/>
            <w:hideMark/>
          </w:tcPr>
          <w:p w14:paraId="1B4E7102" w14:textId="1302961B" w:rsidR="0037359B" w:rsidRDefault="0037359B" w:rsidP="0037359B">
            <w:pPr>
              <w:rPr>
                <w:b/>
                <w:bCs/>
              </w:rPr>
            </w:pPr>
            <w:r>
              <w:rPr>
                <w:rStyle w:val="Strong"/>
              </w:rPr>
              <w:t>p /mod.2</w:t>
            </w:r>
          </w:p>
        </w:tc>
      </w:tr>
      <w:tr w:rsidR="0037359B" w14:paraId="6F6FCB56" w14:textId="77777777" w:rsidTr="00BC4897">
        <w:trPr>
          <w:tblCellSpacing w:w="15" w:type="dxa"/>
        </w:trPr>
        <w:tc>
          <w:tcPr>
            <w:tcW w:w="2366" w:type="dxa"/>
            <w:vAlign w:val="center"/>
            <w:hideMark/>
          </w:tcPr>
          <w:p w14:paraId="08F07D1D" w14:textId="77777777" w:rsidR="0037359B" w:rsidRDefault="0037359B">
            <w:pPr>
              <w:jc w:val="left"/>
            </w:pPr>
            <w:r>
              <w:rPr>
                <w:rStyle w:val="Strong"/>
              </w:rPr>
              <w:t>Intercept</w:t>
            </w:r>
          </w:p>
        </w:tc>
        <w:tc>
          <w:tcPr>
            <w:tcW w:w="1948" w:type="dxa"/>
            <w:vAlign w:val="center"/>
            <w:hideMark/>
          </w:tcPr>
          <w:p w14:paraId="0CFC8875" w14:textId="77777777" w:rsidR="0037359B" w:rsidRDefault="0037359B">
            <w:r>
              <w:t>-</w:t>
            </w:r>
          </w:p>
        </w:tc>
        <w:tc>
          <w:tcPr>
            <w:tcW w:w="1252" w:type="dxa"/>
            <w:vAlign w:val="center"/>
            <w:hideMark/>
          </w:tcPr>
          <w:p w14:paraId="4F0BB433" w14:textId="77777777" w:rsidR="0037359B" w:rsidRDefault="0037359B">
            <w:r>
              <w:t>4.51e-05 ***</w:t>
            </w:r>
          </w:p>
        </w:tc>
        <w:tc>
          <w:tcPr>
            <w:tcW w:w="2096" w:type="dxa"/>
            <w:vAlign w:val="center"/>
            <w:hideMark/>
          </w:tcPr>
          <w:p w14:paraId="0F0CF9DC" w14:textId="77777777" w:rsidR="0037359B" w:rsidRDefault="0037359B">
            <w:r>
              <w:t>-</w:t>
            </w:r>
          </w:p>
        </w:tc>
        <w:tc>
          <w:tcPr>
            <w:tcW w:w="1231" w:type="dxa"/>
            <w:vAlign w:val="center"/>
            <w:hideMark/>
          </w:tcPr>
          <w:p w14:paraId="7FDA294F" w14:textId="77777777" w:rsidR="0037359B" w:rsidRDefault="0037359B">
            <w:r>
              <w:t>0.99</w:t>
            </w:r>
          </w:p>
        </w:tc>
      </w:tr>
      <w:tr w:rsidR="0037359B" w14:paraId="6324CC0C" w14:textId="77777777" w:rsidTr="00BC4897">
        <w:trPr>
          <w:tblCellSpacing w:w="15" w:type="dxa"/>
        </w:trPr>
        <w:tc>
          <w:tcPr>
            <w:tcW w:w="2366" w:type="dxa"/>
            <w:vAlign w:val="center"/>
            <w:hideMark/>
          </w:tcPr>
          <w:p w14:paraId="2ED88406" w14:textId="77777777" w:rsidR="0037359B" w:rsidRDefault="0037359B">
            <w:r>
              <w:rPr>
                <w:rStyle w:val="Strong"/>
              </w:rPr>
              <w:t>Education Level</w:t>
            </w:r>
          </w:p>
        </w:tc>
        <w:tc>
          <w:tcPr>
            <w:tcW w:w="1948" w:type="dxa"/>
            <w:vAlign w:val="center"/>
            <w:hideMark/>
          </w:tcPr>
          <w:p w14:paraId="434DB5AB" w14:textId="77777777" w:rsidR="0037359B" w:rsidRDefault="0037359B"/>
        </w:tc>
        <w:tc>
          <w:tcPr>
            <w:tcW w:w="1252" w:type="dxa"/>
            <w:vAlign w:val="center"/>
            <w:hideMark/>
          </w:tcPr>
          <w:p w14:paraId="173F32A5" w14:textId="77777777" w:rsidR="0037359B" w:rsidRDefault="0037359B"/>
        </w:tc>
        <w:tc>
          <w:tcPr>
            <w:tcW w:w="2096" w:type="dxa"/>
            <w:vAlign w:val="center"/>
            <w:hideMark/>
          </w:tcPr>
          <w:p w14:paraId="6E86AF64" w14:textId="77777777" w:rsidR="0037359B" w:rsidRDefault="0037359B"/>
        </w:tc>
        <w:tc>
          <w:tcPr>
            <w:tcW w:w="1231" w:type="dxa"/>
            <w:vAlign w:val="center"/>
            <w:hideMark/>
          </w:tcPr>
          <w:p w14:paraId="40038C29" w14:textId="77777777" w:rsidR="0037359B" w:rsidRDefault="0037359B"/>
        </w:tc>
      </w:tr>
      <w:tr w:rsidR="00A5735F" w14:paraId="72C5567B" w14:textId="77777777" w:rsidTr="00BC4897">
        <w:trPr>
          <w:tblCellSpacing w:w="15" w:type="dxa"/>
        </w:trPr>
        <w:tc>
          <w:tcPr>
            <w:tcW w:w="2366" w:type="dxa"/>
            <w:vAlign w:val="center"/>
          </w:tcPr>
          <w:p w14:paraId="216807D8" w14:textId="2084B04E" w:rsidR="00A5735F" w:rsidRDefault="00A5735F">
            <w:r>
              <w:t>Non-educated*</w:t>
            </w:r>
          </w:p>
        </w:tc>
        <w:tc>
          <w:tcPr>
            <w:tcW w:w="1948" w:type="dxa"/>
            <w:vAlign w:val="center"/>
          </w:tcPr>
          <w:p w14:paraId="2F01B599" w14:textId="77777777" w:rsidR="00A5735F" w:rsidRDefault="00A5735F"/>
        </w:tc>
        <w:tc>
          <w:tcPr>
            <w:tcW w:w="1252" w:type="dxa"/>
            <w:vAlign w:val="center"/>
          </w:tcPr>
          <w:p w14:paraId="6FA07709" w14:textId="77777777" w:rsidR="00A5735F" w:rsidRDefault="00A5735F"/>
        </w:tc>
        <w:tc>
          <w:tcPr>
            <w:tcW w:w="2096" w:type="dxa"/>
            <w:vAlign w:val="center"/>
          </w:tcPr>
          <w:p w14:paraId="7A0386E8" w14:textId="77777777" w:rsidR="00A5735F" w:rsidRDefault="00A5735F"/>
        </w:tc>
        <w:tc>
          <w:tcPr>
            <w:tcW w:w="1231" w:type="dxa"/>
            <w:vAlign w:val="center"/>
          </w:tcPr>
          <w:p w14:paraId="745B6F2F" w14:textId="77777777" w:rsidR="00A5735F" w:rsidRDefault="00A5735F"/>
        </w:tc>
      </w:tr>
      <w:tr w:rsidR="0037359B" w14:paraId="03EE0656" w14:textId="77777777" w:rsidTr="00BC4897">
        <w:trPr>
          <w:tblCellSpacing w:w="15" w:type="dxa"/>
        </w:trPr>
        <w:tc>
          <w:tcPr>
            <w:tcW w:w="2366" w:type="dxa"/>
            <w:vAlign w:val="center"/>
            <w:hideMark/>
          </w:tcPr>
          <w:p w14:paraId="15B4C952" w14:textId="77777777" w:rsidR="0037359B" w:rsidRDefault="0037359B">
            <w:pPr>
              <w:rPr>
                <w:sz w:val="24"/>
                <w:szCs w:val="24"/>
              </w:rPr>
            </w:pPr>
            <w:r>
              <w:t>Primary</w:t>
            </w:r>
          </w:p>
        </w:tc>
        <w:tc>
          <w:tcPr>
            <w:tcW w:w="1948" w:type="dxa"/>
            <w:vAlign w:val="center"/>
            <w:hideMark/>
          </w:tcPr>
          <w:p w14:paraId="539C03EA" w14:textId="77777777" w:rsidR="0037359B" w:rsidRDefault="0037359B">
            <w:r>
              <w:t>-</w:t>
            </w:r>
          </w:p>
        </w:tc>
        <w:tc>
          <w:tcPr>
            <w:tcW w:w="1252" w:type="dxa"/>
            <w:vAlign w:val="center"/>
            <w:hideMark/>
          </w:tcPr>
          <w:p w14:paraId="234EF988" w14:textId="77777777" w:rsidR="0037359B" w:rsidRDefault="0037359B">
            <w:r>
              <w:t>-</w:t>
            </w:r>
          </w:p>
        </w:tc>
        <w:tc>
          <w:tcPr>
            <w:tcW w:w="2096" w:type="dxa"/>
            <w:vAlign w:val="center"/>
            <w:hideMark/>
          </w:tcPr>
          <w:p w14:paraId="27C7A1DC" w14:textId="77777777" w:rsidR="0037359B" w:rsidRDefault="0037359B">
            <w:r>
              <w:t>2.25 [0.43 – 11.73]</w:t>
            </w:r>
          </w:p>
        </w:tc>
        <w:tc>
          <w:tcPr>
            <w:tcW w:w="1231" w:type="dxa"/>
            <w:vAlign w:val="center"/>
            <w:hideMark/>
          </w:tcPr>
          <w:p w14:paraId="30994B64" w14:textId="77777777" w:rsidR="0037359B" w:rsidRDefault="0037359B">
            <w:r>
              <w:t>0.35</w:t>
            </w:r>
          </w:p>
        </w:tc>
      </w:tr>
      <w:tr w:rsidR="0037359B" w14:paraId="10906ADE" w14:textId="77777777" w:rsidTr="00BC4897">
        <w:trPr>
          <w:tblCellSpacing w:w="15" w:type="dxa"/>
        </w:trPr>
        <w:tc>
          <w:tcPr>
            <w:tcW w:w="2366" w:type="dxa"/>
            <w:vAlign w:val="center"/>
            <w:hideMark/>
          </w:tcPr>
          <w:p w14:paraId="5D75BDE6" w14:textId="1EC1519F" w:rsidR="0037359B" w:rsidRDefault="0037359B">
            <w:r>
              <w:t>Secondary</w:t>
            </w:r>
            <w:r w:rsidR="00DE7423">
              <w:t xml:space="preserve"> </w:t>
            </w:r>
          </w:p>
        </w:tc>
        <w:tc>
          <w:tcPr>
            <w:tcW w:w="1948" w:type="dxa"/>
            <w:vAlign w:val="center"/>
            <w:hideMark/>
          </w:tcPr>
          <w:p w14:paraId="0903044A" w14:textId="77777777" w:rsidR="0037359B" w:rsidRDefault="0037359B">
            <w:r>
              <w:t>-</w:t>
            </w:r>
          </w:p>
        </w:tc>
        <w:tc>
          <w:tcPr>
            <w:tcW w:w="1252" w:type="dxa"/>
            <w:vAlign w:val="center"/>
            <w:hideMark/>
          </w:tcPr>
          <w:p w14:paraId="53C8354B" w14:textId="77777777" w:rsidR="0037359B" w:rsidRDefault="0037359B">
            <w:r>
              <w:t>-</w:t>
            </w:r>
          </w:p>
        </w:tc>
        <w:tc>
          <w:tcPr>
            <w:tcW w:w="2096" w:type="dxa"/>
            <w:vAlign w:val="center"/>
            <w:hideMark/>
          </w:tcPr>
          <w:p w14:paraId="42B150BE" w14:textId="77777777" w:rsidR="0037359B" w:rsidRDefault="0037359B">
            <w:r>
              <w:t>3.48 [0.84 – 14.46]</w:t>
            </w:r>
          </w:p>
        </w:tc>
        <w:tc>
          <w:tcPr>
            <w:tcW w:w="1231" w:type="dxa"/>
            <w:vAlign w:val="center"/>
            <w:hideMark/>
          </w:tcPr>
          <w:p w14:paraId="27736257" w14:textId="77777777" w:rsidR="0037359B" w:rsidRDefault="0037359B">
            <w:r>
              <w:t>0.09</w:t>
            </w:r>
          </w:p>
        </w:tc>
      </w:tr>
      <w:tr w:rsidR="0037359B" w14:paraId="7B6E3A71" w14:textId="77777777" w:rsidTr="00BC4897">
        <w:trPr>
          <w:tblCellSpacing w:w="15" w:type="dxa"/>
        </w:trPr>
        <w:tc>
          <w:tcPr>
            <w:tcW w:w="2366" w:type="dxa"/>
            <w:vAlign w:val="center"/>
            <w:hideMark/>
          </w:tcPr>
          <w:p w14:paraId="0F607029" w14:textId="77777777" w:rsidR="0037359B" w:rsidRDefault="0037359B">
            <w:r>
              <w:t>University</w:t>
            </w:r>
          </w:p>
        </w:tc>
        <w:tc>
          <w:tcPr>
            <w:tcW w:w="1948" w:type="dxa"/>
            <w:vAlign w:val="center"/>
            <w:hideMark/>
          </w:tcPr>
          <w:p w14:paraId="01BBA080" w14:textId="77777777" w:rsidR="0037359B" w:rsidRDefault="0037359B">
            <w:r>
              <w:t>-</w:t>
            </w:r>
          </w:p>
        </w:tc>
        <w:tc>
          <w:tcPr>
            <w:tcW w:w="1252" w:type="dxa"/>
            <w:vAlign w:val="center"/>
            <w:hideMark/>
          </w:tcPr>
          <w:p w14:paraId="16090C8B" w14:textId="77777777" w:rsidR="0037359B" w:rsidRDefault="0037359B">
            <w:r>
              <w:t>-</w:t>
            </w:r>
          </w:p>
        </w:tc>
        <w:tc>
          <w:tcPr>
            <w:tcW w:w="2096" w:type="dxa"/>
            <w:vAlign w:val="center"/>
            <w:hideMark/>
          </w:tcPr>
          <w:p w14:paraId="7432F342" w14:textId="77777777" w:rsidR="0037359B" w:rsidRDefault="0037359B">
            <w:r>
              <w:t>6.40 [1.23 – 33.17]</w:t>
            </w:r>
          </w:p>
        </w:tc>
        <w:tc>
          <w:tcPr>
            <w:tcW w:w="1231" w:type="dxa"/>
            <w:vAlign w:val="center"/>
            <w:hideMark/>
          </w:tcPr>
          <w:p w14:paraId="61AB15BF" w14:textId="77777777" w:rsidR="0037359B" w:rsidRDefault="0037359B">
            <w:r>
              <w:t>0.03 *</w:t>
            </w:r>
          </w:p>
        </w:tc>
      </w:tr>
      <w:tr w:rsidR="0037359B" w14:paraId="206C4E1C" w14:textId="77777777" w:rsidTr="00BC4897">
        <w:trPr>
          <w:tblCellSpacing w:w="15" w:type="dxa"/>
        </w:trPr>
        <w:tc>
          <w:tcPr>
            <w:tcW w:w="2366" w:type="dxa"/>
            <w:vAlign w:val="center"/>
            <w:hideMark/>
          </w:tcPr>
          <w:p w14:paraId="4EC4FD22" w14:textId="35EF46D9" w:rsidR="0037359B" w:rsidRDefault="0037359B">
            <w:r>
              <w:t xml:space="preserve">Educated </w:t>
            </w:r>
          </w:p>
        </w:tc>
        <w:tc>
          <w:tcPr>
            <w:tcW w:w="1948" w:type="dxa"/>
            <w:vAlign w:val="center"/>
            <w:hideMark/>
          </w:tcPr>
          <w:p w14:paraId="762FD365" w14:textId="77777777" w:rsidR="0037359B" w:rsidRDefault="0037359B">
            <w:r>
              <w:t>0.24 [0.06 – 0.94]</w:t>
            </w:r>
          </w:p>
        </w:tc>
        <w:tc>
          <w:tcPr>
            <w:tcW w:w="1252" w:type="dxa"/>
            <w:vAlign w:val="center"/>
            <w:hideMark/>
          </w:tcPr>
          <w:p w14:paraId="23CDC5ED" w14:textId="77777777" w:rsidR="0037359B" w:rsidRDefault="0037359B">
            <w:r>
              <w:t>0.041 *</w:t>
            </w:r>
          </w:p>
        </w:tc>
        <w:tc>
          <w:tcPr>
            <w:tcW w:w="2096" w:type="dxa"/>
            <w:vAlign w:val="center"/>
            <w:hideMark/>
          </w:tcPr>
          <w:p w14:paraId="282ECEDF" w14:textId="77777777" w:rsidR="0037359B" w:rsidRDefault="0037359B">
            <w:r>
              <w:t>-</w:t>
            </w:r>
          </w:p>
        </w:tc>
        <w:tc>
          <w:tcPr>
            <w:tcW w:w="1231" w:type="dxa"/>
            <w:vAlign w:val="center"/>
            <w:hideMark/>
          </w:tcPr>
          <w:p w14:paraId="26C2F636" w14:textId="77777777" w:rsidR="0037359B" w:rsidRDefault="0037359B">
            <w:r>
              <w:t>-</w:t>
            </w:r>
          </w:p>
        </w:tc>
      </w:tr>
      <w:tr w:rsidR="0037359B" w14:paraId="3695A818" w14:textId="77777777" w:rsidTr="00BC4897">
        <w:trPr>
          <w:tblCellSpacing w:w="15" w:type="dxa"/>
        </w:trPr>
        <w:tc>
          <w:tcPr>
            <w:tcW w:w="2366" w:type="dxa"/>
            <w:vAlign w:val="center"/>
            <w:hideMark/>
          </w:tcPr>
          <w:p w14:paraId="75FD4F80" w14:textId="77777777" w:rsidR="0037359B" w:rsidRDefault="0037359B">
            <w:r>
              <w:rPr>
                <w:rStyle w:val="Strong"/>
              </w:rPr>
              <w:t>Age Group</w:t>
            </w:r>
          </w:p>
        </w:tc>
        <w:tc>
          <w:tcPr>
            <w:tcW w:w="1948" w:type="dxa"/>
            <w:vAlign w:val="center"/>
            <w:hideMark/>
          </w:tcPr>
          <w:p w14:paraId="11DFDEB5" w14:textId="77777777" w:rsidR="0037359B" w:rsidRDefault="0037359B"/>
        </w:tc>
        <w:tc>
          <w:tcPr>
            <w:tcW w:w="1252" w:type="dxa"/>
            <w:vAlign w:val="center"/>
            <w:hideMark/>
          </w:tcPr>
          <w:p w14:paraId="546F8D4F" w14:textId="77777777" w:rsidR="0037359B" w:rsidRDefault="0037359B"/>
        </w:tc>
        <w:tc>
          <w:tcPr>
            <w:tcW w:w="2096" w:type="dxa"/>
            <w:vAlign w:val="center"/>
            <w:hideMark/>
          </w:tcPr>
          <w:p w14:paraId="568CFB72" w14:textId="77777777" w:rsidR="0037359B" w:rsidRDefault="0037359B"/>
        </w:tc>
        <w:tc>
          <w:tcPr>
            <w:tcW w:w="1231" w:type="dxa"/>
            <w:vAlign w:val="center"/>
            <w:hideMark/>
          </w:tcPr>
          <w:p w14:paraId="799725E5" w14:textId="77777777" w:rsidR="0037359B" w:rsidRDefault="0037359B"/>
        </w:tc>
      </w:tr>
      <w:tr w:rsidR="00FE78B9" w14:paraId="4D1CE351" w14:textId="77777777" w:rsidTr="00BC4897">
        <w:trPr>
          <w:tblCellSpacing w:w="15" w:type="dxa"/>
        </w:trPr>
        <w:tc>
          <w:tcPr>
            <w:tcW w:w="2366" w:type="dxa"/>
            <w:vAlign w:val="center"/>
          </w:tcPr>
          <w:p w14:paraId="34FD3E48" w14:textId="64B9D004" w:rsidR="00FE78B9" w:rsidRDefault="00FE78B9">
            <w:r>
              <w:t xml:space="preserve">&lt; </w:t>
            </w:r>
            <w:r w:rsidR="003D1144">
              <w:t>20</w:t>
            </w:r>
            <w:r>
              <w:t>years</w:t>
            </w:r>
            <w:r w:rsidR="00DA3D14">
              <w:t>*</w:t>
            </w:r>
          </w:p>
        </w:tc>
        <w:tc>
          <w:tcPr>
            <w:tcW w:w="1948" w:type="dxa"/>
            <w:vAlign w:val="center"/>
          </w:tcPr>
          <w:p w14:paraId="724B1E87" w14:textId="77777777" w:rsidR="00FE78B9" w:rsidRDefault="00FE78B9"/>
        </w:tc>
        <w:tc>
          <w:tcPr>
            <w:tcW w:w="1252" w:type="dxa"/>
            <w:vAlign w:val="center"/>
          </w:tcPr>
          <w:p w14:paraId="46DF2118" w14:textId="77777777" w:rsidR="00FE78B9" w:rsidRDefault="00FE78B9"/>
        </w:tc>
        <w:tc>
          <w:tcPr>
            <w:tcW w:w="2096" w:type="dxa"/>
            <w:vAlign w:val="center"/>
          </w:tcPr>
          <w:p w14:paraId="79057FE4" w14:textId="77777777" w:rsidR="00FE78B9" w:rsidRDefault="00FE78B9"/>
        </w:tc>
        <w:tc>
          <w:tcPr>
            <w:tcW w:w="1231" w:type="dxa"/>
            <w:vAlign w:val="center"/>
          </w:tcPr>
          <w:p w14:paraId="6308366D" w14:textId="77777777" w:rsidR="00FE78B9" w:rsidRDefault="00FE78B9"/>
        </w:tc>
      </w:tr>
      <w:tr w:rsidR="0037359B" w14:paraId="676A9DE4" w14:textId="77777777" w:rsidTr="00BC4897">
        <w:trPr>
          <w:tblCellSpacing w:w="15" w:type="dxa"/>
        </w:trPr>
        <w:tc>
          <w:tcPr>
            <w:tcW w:w="2366" w:type="dxa"/>
            <w:vAlign w:val="center"/>
            <w:hideMark/>
          </w:tcPr>
          <w:p w14:paraId="265E7BC2" w14:textId="5ACAF397" w:rsidR="0037359B" w:rsidRDefault="003D1144">
            <w:pPr>
              <w:rPr>
                <w:sz w:val="24"/>
                <w:szCs w:val="24"/>
              </w:rPr>
            </w:pPr>
            <w:r>
              <w:t>20</w:t>
            </w:r>
            <w:r w:rsidR="0037359B">
              <w:t>–49years</w:t>
            </w:r>
          </w:p>
        </w:tc>
        <w:tc>
          <w:tcPr>
            <w:tcW w:w="1948" w:type="dxa"/>
            <w:vAlign w:val="center"/>
            <w:hideMark/>
          </w:tcPr>
          <w:p w14:paraId="11BE8F8E" w14:textId="77777777" w:rsidR="0037359B" w:rsidRDefault="0037359B">
            <w:r>
              <w:t>2.36 [1.04 – 5.37]</w:t>
            </w:r>
          </w:p>
        </w:tc>
        <w:tc>
          <w:tcPr>
            <w:tcW w:w="1252" w:type="dxa"/>
            <w:vAlign w:val="center"/>
            <w:hideMark/>
          </w:tcPr>
          <w:p w14:paraId="5695F867" w14:textId="77777777" w:rsidR="0037359B" w:rsidRDefault="0037359B">
            <w:r>
              <w:t>0.041 *</w:t>
            </w:r>
          </w:p>
        </w:tc>
        <w:tc>
          <w:tcPr>
            <w:tcW w:w="2096" w:type="dxa"/>
            <w:vAlign w:val="center"/>
            <w:hideMark/>
          </w:tcPr>
          <w:p w14:paraId="52675BA3" w14:textId="77777777" w:rsidR="0037359B" w:rsidRDefault="0037359B">
            <w:r>
              <w:t>2.11 [0.89 – 4.99]</w:t>
            </w:r>
          </w:p>
        </w:tc>
        <w:tc>
          <w:tcPr>
            <w:tcW w:w="1231" w:type="dxa"/>
            <w:vAlign w:val="center"/>
            <w:hideMark/>
          </w:tcPr>
          <w:p w14:paraId="62335C59" w14:textId="77777777" w:rsidR="0037359B" w:rsidRDefault="0037359B">
            <w:r>
              <w:t>0.09</w:t>
            </w:r>
          </w:p>
        </w:tc>
      </w:tr>
      <w:tr w:rsidR="0037359B" w14:paraId="4CDED5EA" w14:textId="77777777" w:rsidTr="00BC4897">
        <w:trPr>
          <w:tblCellSpacing w:w="15" w:type="dxa"/>
        </w:trPr>
        <w:tc>
          <w:tcPr>
            <w:tcW w:w="2366" w:type="dxa"/>
            <w:vAlign w:val="center"/>
            <w:hideMark/>
          </w:tcPr>
          <w:p w14:paraId="003832B0" w14:textId="77777777" w:rsidR="0037359B" w:rsidRDefault="0037359B">
            <w:r>
              <w:rPr>
                <w:rStyle w:val="Strong"/>
              </w:rPr>
              <w:t>Economic Status</w:t>
            </w:r>
          </w:p>
        </w:tc>
        <w:tc>
          <w:tcPr>
            <w:tcW w:w="1948" w:type="dxa"/>
            <w:vAlign w:val="center"/>
            <w:hideMark/>
          </w:tcPr>
          <w:p w14:paraId="06FD2AE9" w14:textId="77777777" w:rsidR="0037359B" w:rsidRDefault="0037359B"/>
        </w:tc>
        <w:tc>
          <w:tcPr>
            <w:tcW w:w="1252" w:type="dxa"/>
            <w:vAlign w:val="center"/>
            <w:hideMark/>
          </w:tcPr>
          <w:p w14:paraId="3963DD20" w14:textId="77777777" w:rsidR="0037359B" w:rsidRDefault="0037359B"/>
        </w:tc>
        <w:tc>
          <w:tcPr>
            <w:tcW w:w="2096" w:type="dxa"/>
            <w:vAlign w:val="center"/>
            <w:hideMark/>
          </w:tcPr>
          <w:p w14:paraId="4726EA7C" w14:textId="77777777" w:rsidR="0037359B" w:rsidRDefault="0037359B"/>
        </w:tc>
        <w:tc>
          <w:tcPr>
            <w:tcW w:w="1231" w:type="dxa"/>
            <w:vAlign w:val="center"/>
            <w:hideMark/>
          </w:tcPr>
          <w:p w14:paraId="3AFE67BF" w14:textId="77777777" w:rsidR="0037359B" w:rsidRDefault="0037359B"/>
        </w:tc>
      </w:tr>
      <w:tr w:rsidR="004B3D76" w14:paraId="0159FBD8" w14:textId="77777777" w:rsidTr="00BC4897">
        <w:trPr>
          <w:tblCellSpacing w:w="15" w:type="dxa"/>
        </w:trPr>
        <w:tc>
          <w:tcPr>
            <w:tcW w:w="2366" w:type="dxa"/>
            <w:vAlign w:val="center"/>
          </w:tcPr>
          <w:p w14:paraId="62F002C2" w14:textId="315C3BDD" w:rsidR="004B3D76" w:rsidRDefault="00E451D4">
            <w:r>
              <w:t>High*</w:t>
            </w:r>
          </w:p>
        </w:tc>
        <w:tc>
          <w:tcPr>
            <w:tcW w:w="1948" w:type="dxa"/>
            <w:vAlign w:val="center"/>
          </w:tcPr>
          <w:p w14:paraId="2CA6B5C1" w14:textId="77777777" w:rsidR="004B3D76" w:rsidRDefault="004B3D76"/>
        </w:tc>
        <w:tc>
          <w:tcPr>
            <w:tcW w:w="1252" w:type="dxa"/>
            <w:vAlign w:val="center"/>
          </w:tcPr>
          <w:p w14:paraId="12976876" w14:textId="77777777" w:rsidR="004B3D76" w:rsidRDefault="004B3D76"/>
        </w:tc>
        <w:tc>
          <w:tcPr>
            <w:tcW w:w="2096" w:type="dxa"/>
            <w:vAlign w:val="center"/>
          </w:tcPr>
          <w:p w14:paraId="558F24F2" w14:textId="77777777" w:rsidR="004B3D76" w:rsidRDefault="004B3D76"/>
        </w:tc>
        <w:tc>
          <w:tcPr>
            <w:tcW w:w="1231" w:type="dxa"/>
            <w:vAlign w:val="center"/>
          </w:tcPr>
          <w:p w14:paraId="6F894CF3" w14:textId="77777777" w:rsidR="004B3D76" w:rsidRDefault="004B3D76"/>
        </w:tc>
      </w:tr>
      <w:tr w:rsidR="0037359B" w14:paraId="3CAD1469" w14:textId="77777777" w:rsidTr="00BC4897">
        <w:trPr>
          <w:tblCellSpacing w:w="15" w:type="dxa"/>
        </w:trPr>
        <w:tc>
          <w:tcPr>
            <w:tcW w:w="2366" w:type="dxa"/>
            <w:vAlign w:val="center"/>
            <w:hideMark/>
          </w:tcPr>
          <w:p w14:paraId="1BC14F72" w14:textId="77777777" w:rsidR="0037359B" w:rsidRDefault="0037359B">
            <w:pPr>
              <w:rPr>
                <w:sz w:val="24"/>
                <w:szCs w:val="24"/>
              </w:rPr>
            </w:pPr>
            <w:r>
              <w:t>Low</w:t>
            </w:r>
          </w:p>
        </w:tc>
        <w:tc>
          <w:tcPr>
            <w:tcW w:w="1948" w:type="dxa"/>
            <w:vAlign w:val="center"/>
            <w:hideMark/>
          </w:tcPr>
          <w:p w14:paraId="62118F4B" w14:textId="77777777" w:rsidR="0037359B" w:rsidRDefault="0037359B">
            <w:r>
              <w:t>-</w:t>
            </w:r>
          </w:p>
        </w:tc>
        <w:tc>
          <w:tcPr>
            <w:tcW w:w="1252" w:type="dxa"/>
            <w:vAlign w:val="center"/>
            <w:hideMark/>
          </w:tcPr>
          <w:p w14:paraId="56B32A01" w14:textId="77777777" w:rsidR="0037359B" w:rsidRDefault="0037359B">
            <w:r>
              <w:t>-</w:t>
            </w:r>
          </w:p>
        </w:tc>
        <w:tc>
          <w:tcPr>
            <w:tcW w:w="2096" w:type="dxa"/>
            <w:vAlign w:val="center"/>
            <w:hideMark/>
          </w:tcPr>
          <w:p w14:paraId="325F4893" w14:textId="77777777" w:rsidR="0037359B" w:rsidRDefault="0037359B">
            <w:r>
              <w:t>1.28 [0.27 – 6.02]</w:t>
            </w:r>
          </w:p>
        </w:tc>
        <w:tc>
          <w:tcPr>
            <w:tcW w:w="1231" w:type="dxa"/>
            <w:vAlign w:val="center"/>
            <w:hideMark/>
          </w:tcPr>
          <w:p w14:paraId="0C6FEB93" w14:textId="77777777" w:rsidR="0037359B" w:rsidRDefault="0037359B">
            <w:r>
              <w:t>0.76</w:t>
            </w:r>
          </w:p>
        </w:tc>
      </w:tr>
      <w:tr w:rsidR="0037359B" w14:paraId="62BB93F1" w14:textId="77777777" w:rsidTr="00BC4897">
        <w:trPr>
          <w:tblCellSpacing w:w="15" w:type="dxa"/>
        </w:trPr>
        <w:tc>
          <w:tcPr>
            <w:tcW w:w="2366" w:type="dxa"/>
            <w:vAlign w:val="center"/>
            <w:hideMark/>
          </w:tcPr>
          <w:p w14:paraId="56F4C7DA" w14:textId="77777777" w:rsidR="0037359B" w:rsidRDefault="0037359B">
            <w:r>
              <w:t>Medium</w:t>
            </w:r>
          </w:p>
        </w:tc>
        <w:tc>
          <w:tcPr>
            <w:tcW w:w="1948" w:type="dxa"/>
            <w:vAlign w:val="center"/>
            <w:hideMark/>
          </w:tcPr>
          <w:p w14:paraId="07A3C985" w14:textId="77777777" w:rsidR="0037359B" w:rsidRDefault="0037359B">
            <w:r>
              <w:t>-</w:t>
            </w:r>
          </w:p>
        </w:tc>
        <w:tc>
          <w:tcPr>
            <w:tcW w:w="1252" w:type="dxa"/>
            <w:vAlign w:val="center"/>
            <w:hideMark/>
          </w:tcPr>
          <w:p w14:paraId="3176A632" w14:textId="77777777" w:rsidR="0037359B" w:rsidRDefault="0037359B">
            <w:r>
              <w:t>-</w:t>
            </w:r>
          </w:p>
        </w:tc>
        <w:tc>
          <w:tcPr>
            <w:tcW w:w="2096" w:type="dxa"/>
            <w:vAlign w:val="center"/>
            <w:hideMark/>
          </w:tcPr>
          <w:p w14:paraId="2FD28C74" w14:textId="77777777" w:rsidR="0037359B" w:rsidRDefault="0037359B">
            <w:r>
              <w:t>0.97 [0.21 – 4.50]</w:t>
            </w:r>
          </w:p>
        </w:tc>
        <w:tc>
          <w:tcPr>
            <w:tcW w:w="1231" w:type="dxa"/>
            <w:vAlign w:val="center"/>
            <w:hideMark/>
          </w:tcPr>
          <w:p w14:paraId="3B631223" w14:textId="77777777" w:rsidR="0037359B" w:rsidRDefault="0037359B">
            <w:r>
              <w:t>0.97</w:t>
            </w:r>
          </w:p>
        </w:tc>
      </w:tr>
      <w:tr w:rsidR="0037359B" w14:paraId="0D7A33C2" w14:textId="77777777" w:rsidTr="00BC4897">
        <w:trPr>
          <w:tblCellSpacing w:w="15" w:type="dxa"/>
        </w:trPr>
        <w:tc>
          <w:tcPr>
            <w:tcW w:w="2366" w:type="dxa"/>
            <w:vAlign w:val="center"/>
            <w:hideMark/>
          </w:tcPr>
          <w:p w14:paraId="51276C7A" w14:textId="77777777" w:rsidR="0037359B" w:rsidRDefault="0037359B">
            <w:r>
              <w:t>Absent</w:t>
            </w:r>
          </w:p>
        </w:tc>
        <w:tc>
          <w:tcPr>
            <w:tcW w:w="1948" w:type="dxa"/>
            <w:vAlign w:val="center"/>
            <w:hideMark/>
          </w:tcPr>
          <w:p w14:paraId="70795BAF" w14:textId="77777777" w:rsidR="0037359B" w:rsidRDefault="0037359B">
            <w:r>
              <w:t>-</w:t>
            </w:r>
          </w:p>
        </w:tc>
        <w:tc>
          <w:tcPr>
            <w:tcW w:w="1252" w:type="dxa"/>
            <w:vAlign w:val="center"/>
            <w:hideMark/>
          </w:tcPr>
          <w:p w14:paraId="7ABF40D5" w14:textId="77777777" w:rsidR="0037359B" w:rsidRDefault="0037359B">
            <w:r>
              <w:t>-</w:t>
            </w:r>
          </w:p>
        </w:tc>
        <w:tc>
          <w:tcPr>
            <w:tcW w:w="2096" w:type="dxa"/>
            <w:vAlign w:val="center"/>
            <w:hideMark/>
          </w:tcPr>
          <w:p w14:paraId="162719C0" w14:textId="77777777" w:rsidR="0037359B" w:rsidRDefault="0037359B">
            <w:r>
              <w:t>0.95 [0.17 – 5.41]</w:t>
            </w:r>
          </w:p>
        </w:tc>
        <w:tc>
          <w:tcPr>
            <w:tcW w:w="1231" w:type="dxa"/>
            <w:vAlign w:val="center"/>
            <w:hideMark/>
          </w:tcPr>
          <w:p w14:paraId="7513A3A7" w14:textId="77777777" w:rsidR="0037359B" w:rsidRDefault="0037359B">
            <w:r>
              <w:t>0.95</w:t>
            </w:r>
          </w:p>
        </w:tc>
      </w:tr>
      <w:tr w:rsidR="0037359B" w14:paraId="3FF1EE2C" w14:textId="77777777" w:rsidTr="00BC4897">
        <w:trPr>
          <w:tblCellSpacing w:w="15" w:type="dxa"/>
        </w:trPr>
        <w:tc>
          <w:tcPr>
            <w:tcW w:w="2366" w:type="dxa"/>
            <w:vAlign w:val="center"/>
            <w:hideMark/>
          </w:tcPr>
          <w:p w14:paraId="24205725" w14:textId="426A0C6B" w:rsidR="0037359B" w:rsidRDefault="0037359B">
            <w:r>
              <w:t>High</w:t>
            </w:r>
            <w:r w:rsidR="00E451D4">
              <w:t xml:space="preserve"> vs Low</w:t>
            </w:r>
            <w:r w:rsidR="00FF2C64">
              <w:t>*</w:t>
            </w:r>
          </w:p>
        </w:tc>
        <w:tc>
          <w:tcPr>
            <w:tcW w:w="1948" w:type="dxa"/>
            <w:vAlign w:val="center"/>
            <w:hideMark/>
          </w:tcPr>
          <w:p w14:paraId="07BBECBA" w14:textId="77777777" w:rsidR="0037359B" w:rsidRDefault="0037359B">
            <w:r>
              <w:t>1.16 [0.50 – 2.69]</w:t>
            </w:r>
          </w:p>
        </w:tc>
        <w:tc>
          <w:tcPr>
            <w:tcW w:w="1252" w:type="dxa"/>
            <w:vAlign w:val="center"/>
            <w:hideMark/>
          </w:tcPr>
          <w:p w14:paraId="4F755D95" w14:textId="77777777" w:rsidR="0037359B" w:rsidRDefault="0037359B">
            <w:r>
              <w:t>0.73</w:t>
            </w:r>
          </w:p>
        </w:tc>
        <w:tc>
          <w:tcPr>
            <w:tcW w:w="2096" w:type="dxa"/>
            <w:vAlign w:val="center"/>
            <w:hideMark/>
          </w:tcPr>
          <w:p w14:paraId="6493F7F1" w14:textId="77777777" w:rsidR="0037359B" w:rsidRDefault="0037359B">
            <w:r>
              <w:t>-</w:t>
            </w:r>
          </w:p>
        </w:tc>
        <w:tc>
          <w:tcPr>
            <w:tcW w:w="1231" w:type="dxa"/>
            <w:vAlign w:val="center"/>
            <w:hideMark/>
          </w:tcPr>
          <w:p w14:paraId="1B9BB816" w14:textId="77777777" w:rsidR="0037359B" w:rsidRDefault="0037359B">
            <w:r>
              <w:t>-</w:t>
            </w:r>
          </w:p>
        </w:tc>
      </w:tr>
      <w:tr w:rsidR="00F529BC" w14:paraId="4DFCF86B" w14:textId="77777777" w:rsidTr="00BC4897">
        <w:trPr>
          <w:tblCellSpacing w:w="15" w:type="dxa"/>
        </w:trPr>
        <w:tc>
          <w:tcPr>
            <w:tcW w:w="2366" w:type="dxa"/>
            <w:vAlign w:val="center"/>
          </w:tcPr>
          <w:p w14:paraId="42854AC6" w14:textId="7E605288" w:rsidR="00F529BC" w:rsidRDefault="00F529BC">
            <w:pPr>
              <w:rPr>
                <w:rStyle w:val="Strong"/>
              </w:rPr>
            </w:pPr>
            <w:r>
              <w:rPr>
                <w:rStyle w:val="Strong"/>
              </w:rPr>
              <w:t>TDM Information</w:t>
            </w:r>
          </w:p>
        </w:tc>
        <w:tc>
          <w:tcPr>
            <w:tcW w:w="1948" w:type="dxa"/>
            <w:vAlign w:val="center"/>
          </w:tcPr>
          <w:p w14:paraId="0E9267EC" w14:textId="77777777" w:rsidR="00F529BC" w:rsidRDefault="00F529BC"/>
        </w:tc>
        <w:tc>
          <w:tcPr>
            <w:tcW w:w="1252" w:type="dxa"/>
            <w:vAlign w:val="center"/>
          </w:tcPr>
          <w:p w14:paraId="21A981FB" w14:textId="77777777" w:rsidR="00F529BC" w:rsidRDefault="00F529BC"/>
        </w:tc>
        <w:tc>
          <w:tcPr>
            <w:tcW w:w="2096" w:type="dxa"/>
            <w:vAlign w:val="center"/>
          </w:tcPr>
          <w:p w14:paraId="7EEC4B54" w14:textId="77777777" w:rsidR="00F529BC" w:rsidRDefault="00F529BC"/>
        </w:tc>
        <w:tc>
          <w:tcPr>
            <w:tcW w:w="1231" w:type="dxa"/>
            <w:vAlign w:val="center"/>
          </w:tcPr>
          <w:p w14:paraId="4A12CADA" w14:textId="77777777" w:rsidR="00F529BC" w:rsidRDefault="00F529BC"/>
        </w:tc>
      </w:tr>
      <w:tr w:rsidR="00F529BC" w14:paraId="20109E21" w14:textId="77777777" w:rsidTr="00BC4897">
        <w:trPr>
          <w:tblCellSpacing w:w="15" w:type="dxa"/>
        </w:trPr>
        <w:tc>
          <w:tcPr>
            <w:tcW w:w="2366" w:type="dxa"/>
            <w:vAlign w:val="center"/>
          </w:tcPr>
          <w:p w14:paraId="3D887B26" w14:textId="10ABC3C5" w:rsidR="00F529BC" w:rsidRPr="00F529BC" w:rsidRDefault="00AA7205">
            <w:pPr>
              <w:rPr>
                <w:rStyle w:val="Strong"/>
                <w:b w:val="0"/>
                <w:bCs w:val="0"/>
              </w:rPr>
            </w:pPr>
            <w:r>
              <w:rPr>
                <w:rStyle w:val="Strong"/>
                <w:b w:val="0"/>
                <w:bCs w:val="0"/>
              </w:rPr>
              <w:t>no</w:t>
            </w:r>
            <w:r w:rsidR="00A4271C">
              <w:t>*</w:t>
            </w:r>
          </w:p>
        </w:tc>
        <w:tc>
          <w:tcPr>
            <w:tcW w:w="1948" w:type="dxa"/>
            <w:vAlign w:val="center"/>
          </w:tcPr>
          <w:p w14:paraId="37E931A7" w14:textId="77777777" w:rsidR="00F529BC" w:rsidRDefault="00F529BC"/>
        </w:tc>
        <w:tc>
          <w:tcPr>
            <w:tcW w:w="1252" w:type="dxa"/>
            <w:vAlign w:val="center"/>
          </w:tcPr>
          <w:p w14:paraId="0822AD23" w14:textId="77777777" w:rsidR="00F529BC" w:rsidRDefault="00F529BC"/>
        </w:tc>
        <w:tc>
          <w:tcPr>
            <w:tcW w:w="2096" w:type="dxa"/>
            <w:vAlign w:val="center"/>
          </w:tcPr>
          <w:p w14:paraId="3558C68C" w14:textId="77777777" w:rsidR="00F529BC" w:rsidRDefault="00F529BC"/>
        </w:tc>
        <w:tc>
          <w:tcPr>
            <w:tcW w:w="1231" w:type="dxa"/>
            <w:vAlign w:val="center"/>
          </w:tcPr>
          <w:p w14:paraId="29C5B07E" w14:textId="77777777" w:rsidR="00F529BC" w:rsidRDefault="00F529BC"/>
        </w:tc>
      </w:tr>
      <w:tr w:rsidR="0037359B" w14:paraId="286A01C4" w14:textId="77777777" w:rsidTr="00BC4897">
        <w:trPr>
          <w:tblCellSpacing w:w="15" w:type="dxa"/>
        </w:trPr>
        <w:tc>
          <w:tcPr>
            <w:tcW w:w="2366" w:type="dxa"/>
            <w:vAlign w:val="center"/>
            <w:hideMark/>
          </w:tcPr>
          <w:p w14:paraId="3F4AE115" w14:textId="2D45003D" w:rsidR="0037359B" w:rsidRPr="00AA7205" w:rsidRDefault="00AA7205">
            <w:pPr>
              <w:rPr>
                <w:b/>
                <w:bCs/>
              </w:rPr>
            </w:pPr>
            <w:r w:rsidRPr="00AA7205">
              <w:rPr>
                <w:rStyle w:val="Strong"/>
                <w:b w:val="0"/>
                <w:bCs w:val="0"/>
              </w:rPr>
              <w:t>yes</w:t>
            </w:r>
          </w:p>
        </w:tc>
        <w:tc>
          <w:tcPr>
            <w:tcW w:w="1948" w:type="dxa"/>
            <w:vAlign w:val="center"/>
            <w:hideMark/>
          </w:tcPr>
          <w:p w14:paraId="36A9A6F7" w14:textId="77777777" w:rsidR="0037359B" w:rsidRDefault="0037359B">
            <w:r>
              <w:t>4.08 [1.82 – 9.13]</w:t>
            </w:r>
          </w:p>
        </w:tc>
        <w:tc>
          <w:tcPr>
            <w:tcW w:w="1252" w:type="dxa"/>
            <w:vAlign w:val="center"/>
            <w:hideMark/>
          </w:tcPr>
          <w:p w14:paraId="25771E62" w14:textId="77777777" w:rsidR="0037359B" w:rsidRDefault="0037359B">
            <w:r>
              <w:t>0.0009 ***</w:t>
            </w:r>
          </w:p>
        </w:tc>
        <w:tc>
          <w:tcPr>
            <w:tcW w:w="2096" w:type="dxa"/>
            <w:vAlign w:val="center"/>
            <w:hideMark/>
          </w:tcPr>
          <w:p w14:paraId="65D56878" w14:textId="77777777" w:rsidR="0037359B" w:rsidRDefault="0037359B">
            <w:r>
              <w:t>3.45 [1.49 – 8.00]</w:t>
            </w:r>
          </w:p>
        </w:tc>
        <w:tc>
          <w:tcPr>
            <w:tcW w:w="1231" w:type="dxa"/>
            <w:vAlign w:val="center"/>
            <w:hideMark/>
          </w:tcPr>
          <w:p w14:paraId="4715BFC0" w14:textId="77777777" w:rsidR="0037359B" w:rsidRDefault="0037359B">
            <w:r>
              <w:t>0.004 **</w:t>
            </w:r>
          </w:p>
        </w:tc>
      </w:tr>
      <w:tr w:rsidR="00450DD2" w14:paraId="0B015E2F" w14:textId="77777777" w:rsidTr="00BC4897">
        <w:trPr>
          <w:tblCellSpacing w:w="15" w:type="dxa"/>
        </w:trPr>
        <w:tc>
          <w:tcPr>
            <w:tcW w:w="2366" w:type="dxa"/>
            <w:vAlign w:val="center"/>
          </w:tcPr>
          <w:p w14:paraId="62680934" w14:textId="76D9FC7E" w:rsidR="00450DD2" w:rsidRDefault="00450DD2">
            <w:pPr>
              <w:rPr>
                <w:rStyle w:val="Strong"/>
              </w:rPr>
            </w:pPr>
            <w:r>
              <w:rPr>
                <w:rStyle w:val="Strong"/>
              </w:rPr>
              <w:t>Prior TDM Experience</w:t>
            </w:r>
          </w:p>
        </w:tc>
        <w:tc>
          <w:tcPr>
            <w:tcW w:w="1948" w:type="dxa"/>
            <w:vAlign w:val="center"/>
          </w:tcPr>
          <w:p w14:paraId="4C35F7E4" w14:textId="77777777" w:rsidR="00450DD2" w:rsidRDefault="00450DD2"/>
        </w:tc>
        <w:tc>
          <w:tcPr>
            <w:tcW w:w="1252" w:type="dxa"/>
            <w:vAlign w:val="center"/>
          </w:tcPr>
          <w:p w14:paraId="4D73C42A" w14:textId="77777777" w:rsidR="00450DD2" w:rsidRDefault="00450DD2"/>
        </w:tc>
        <w:tc>
          <w:tcPr>
            <w:tcW w:w="2096" w:type="dxa"/>
            <w:vAlign w:val="center"/>
          </w:tcPr>
          <w:p w14:paraId="6D394D08" w14:textId="77777777" w:rsidR="00450DD2" w:rsidRDefault="00450DD2"/>
        </w:tc>
        <w:tc>
          <w:tcPr>
            <w:tcW w:w="1231" w:type="dxa"/>
            <w:vAlign w:val="center"/>
          </w:tcPr>
          <w:p w14:paraId="4A4D1A93" w14:textId="77777777" w:rsidR="00450DD2" w:rsidRDefault="00450DD2"/>
        </w:tc>
      </w:tr>
      <w:tr w:rsidR="00471451" w14:paraId="7E01918C" w14:textId="77777777" w:rsidTr="00BC4897">
        <w:trPr>
          <w:tblCellSpacing w:w="15" w:type="dxa"/>
        </w:trPr>
        <w:tc>
          <w:tcPr>
            <w:tcW w:w="2366" w:type="dxa"/>
            <w:vAlign w:val="center"/>
          </w:tcPr>
          <w:p w14:paraId="0EA9AC16" w14:textId="7C34758E" w:rsidR="00471451" w:rsidRDefault="00471451">
            <w:r>
              <w:t>no*</w:t>
            </w:r>
          </w:p>
        </w:tc>
        <w:tc>
          <w:tcPr>
            <w:tcW w:w="1948" w:type="dxa"/>
            <w:vAlign w:val="center"/>
          </w:tcPr>
          <w:p w14:paraId="1E3B8AE8" w14:textId="77777777" w:rsidR="00471451" w:rsidRDefault="00471451"/>
        </w:tc>
        <w:tc>
          <w:tcPr>
            <w:tcW w:w="1252" w:type="dxa"/>
            <w:vAlign w:val="center"/>
          </w:tcPr>
          <w:p w14:paraId="6D4CA19F" w14:textId="77777777" w:rsidR="00471451" w:rsidRDefault="00471451"/>
        </w:tc>
        <w:tc>
          <w:tcPr>
            <w:tcW w:w="2096" w:type="dxa"/>
            <w:vAlign w:val="center"/>
          </w:tcPr>
          <w:p w14:paraId="2FE14B92" w14:textId="77777777" w:rsidR="00471451" w:rsidRDefault="00471451"/>
        </w:tc>
        <w:tc>
          <w:tcPr>
            <w:tcW w:w="1231" w:type="dxa"/>
            <w:vAlign w:val="center"/>
          </w:tcPr>
          <w:p w14:paraId="711CEEC9" w14:textId="77777777" w:rsidR="00471451" w:rsidRDefault="00471451"/>
        </w:tc>
      </w:tr>
      <w:tr w:rsidR="0037359B" w14:paraId="111D2130" w14:textId="77777777" w:rsidTr="00BC4897">
        <w:trPr>
          <w:tblCellSpacing w:w="15" w:type="dxa"/>
        </w:trPr>
        <w:tc>
          <w:tcPr>
            <w:tcW w:w="2366" w:type="dxa"/>
            <w:vAlign w:val="center"/>
            <w:hideMark/>
          </w:tcPr>
          <w:p w14:paraId="05D28DF4" w14:textId="07ED2B1B" w:rsidR="0037359B" w:rsidRDefault="00471451">
            <w:r>
              <w:t>yes</w:t>
            </w:r>
          </w:p>
        </w:tc>
        <w:tc>
          <w:tcPr>
            <w:tcW w:w="1948" w:type="dxa"/>
            <w:vAlign w:val="center"/>
            <w:hideMark/>
          </w:tcPr>
          <w:p w14:paraId="799C83A2" w14:textId="77777777" w:rsidR="0037359B" w:rsidRDefault="0037359B">
            <w:r>
              <w:t>24.69 [6.47 – 94.16]</w:t>
            </w:r>
          </w:p>
        </w:tc>
        <w:tc>
          <w:tcPr>
            <w:tcW w:w="1252" w:type="dxa"/>
            <w:vAlign w:val="center"/>
            <w:hideMark/>
          </w:tcPr>
          <w:p w14:paraId="0472CE53" w14:textId="77777777" w:rsidR="0037359B" w:rsidRDefault="0037359B">
            <w:r>
              <w:t>1.16e-09 ***</w:t>
            </w:r>
          </w:p>
        </w:tc>
        <w:tc>
          <w:tcPr>
            <w:tcW w:w="2096" w:type="dxa"/>
            <w:vAlign w:val="center"/>
            <w:hideMark/>
          </w:tcPr>
          <w:p w14:paraId="4361EBFE" w14:textId="77777777" w:rsidR="0037359B" w:rsidRDefault="0037359B">
            <w:r>
              <w:t>31.08 [10.20 – 94.66]</w:t>
            </w:r>
          </w:p>
        </w:tc>
        <w:tc>
          <w:tcPr>
            <w:tcW w:w="1231" w:type="dxa"/>
            <w:vAlign w:val="center"/>
            <w:hideMark/>
          </w:tcPr>
          <w:p w14:paraId="1EA73EB3" w14:textId="77777777" w:rsidR="0037359B" w:rsidRDefault="0037359B">
            <w:r>
              <w:t>2.54e-09 ***</w:t>
            </w:r>
          </w:p>
        </w:tc>
      </w:tr>
    </w:tbl>
    <w:p w14:paraId="0F9F5032" w14:textId="4F62402E" w:rsidR="0037359B" w:rsidRDefault="0037359B" w:rsidP="0037359B">
      <w:pPr>
        <w:pStyle w:val="NormalWeb"/>
      </w:pPr>
    </w:p>
    <w:p w14:paraId="7D743F91" w14:textId="77777777" w:rsidR="005A4DD7" w:rsidRDefault="009D7388" w:rsidP="009D7388">
      <w:r w:rsidRPr="009D7388">
        <w:rPr>
          <w:b/>
          <w:bCs/>
        </w:rPr>
        <w:t>*</w:t>
      </w:r>
      <w:r w:rsidRPr="009D7388">
        <w:t xml:space="preserve">: Statistically significant at the 0.05 level (p ≤ 0.05). </w:t>
      </w:r>
    </w:p>
    <w:p w14:paraId="29788240" w14:textId="5A2E6376" w:rsidR="009D7388" w:rsidRPr="009D7388" w:rsidRDefault="009D7388" w:rsidP="009D7388">
      <w:r w:rsidRPr="009D7388">
        <w:t>**</w:t>
      </w:r>
      <w:r w:rsidR="005A4DD7">
        <w:t>:</w:t>
      </w:r>
      <w:r w:rsidRPr="009D7388">
        <w:t xml:space="preserve"> Highly significant at the 0.01 level (p ≤ 0.01). </w:t>
      </w:r>
    </w:p>
    <w:p w14:paraId="5682A898" w14:textId="2BCA7094" w:rsidR="00606655" w:rsidRPr="009D7388" w:rsidRDefault="009D7388" w:rsidP="009D7388">
      <w:r w:rsidRPr="009D7388">
        <w:t>***: Very highly significant at the 0.001 level (p ≤ 0.001)</w:t>
      </w:r>
    </w:p>
    <w:p w14:paraId="047B3716" w14:textId="5EBDA954" w:rsidR="0011359E" w:rsidRPr="00396257" w:rsidRDefault="0011359E" w:rsidP="00571EFB">
      <w:pPr>
        <w:pStyle w:val="Body"/>
        <w:spacing w:after="0"/>
        <w:rPr>
          <w:rFonts w:cs="Arial"/>
          <w:color w:val="FF0000"/>
        </w:rPr>
      </w:pPr>
    </w:p>
    <w:p w14:paraId="16BAEF21" w14:textId="7CE97B3F" w:rsidR="00284716" w:rsidRPr="00284716" w:rsidRDefault="00284716" w:rsidP="003045A6">
      <w:pPr>
        <w:pStyle w:val="Heading2"/>
        <w:rPr>
          <w:lang w:val="it-IT"/>
        </w:rPr>
      </w:pPr>
      <w:r w:rsidRPr="00284716">
        <w:rPr>
          <w:lang w:val="it-IT"/>
        </w:rPr>
        <w:lastRenderedPageBreak/>
        <w:t xml:space="preserve">Qualitative </w:t>
      </w:r>
      <w:r w:rsidR="00F168AB">
        <w:rPr>
          <w:lang w:val="it-IT"/>
        </w:rPr>
        <w:t>s</w:t>
      </w:r>
      <w:r w:rsidRPr="00284716">
        <w:rPr>
          <w:lang w:val="it-IT"/>
        </w:rPr>
        <w:t>tudy</w:t>
      </w:r>
    </w:p>
    <w:p w14:paraId="1C74886D" w14:textId="6F5B265E" w:rsidR="00284716" w:rsidRPr="00284716" w:rsidRDefault="00284716" w:rsidP="00E92248">
      <w:pPr>
        <w:pStyle w:val="Heading3"/>
        <w:rPr>
          <w:lang w:val="it-IT"/>
        </w:rPr>
      </w:pPr>
      <w:r w:rsidRPr="00284716">
        <w:rPr>
          <w:lang w:val="it-IT"/>
        </w:rPr>
        <w:t xml:space="preserve">Identification of </w:t>
      </w:r>
      <w:r w:rsidR="00F168AB">
        <w:rPr>
          <w:lang w:val="it-IT"/>
        </w:rPr>
        <w:t>m</w:t>
      </w:r>
      <w:r w:rsidRPr="00284716">
        <w:rPr>
          <w:lang w:val="it-IT"/>
        </w:rPr>
        <w:t xml:space="preserve">ain </w:t>
      </w:r>
      <w:r w:rsidR="00F168AB">
        <w:rPr>
          <w:lang w:val="it-IT"/>
        </w:rPr>
        <w:t>t</w:t>
      </w:r>
      <w:r w:rsidRPr="00284716">
        <w:rPr>
          <w:lang w:val="it-IT"/>
        </w:rPr>
        <w:t>hemes</w:t>
      </w:r>
    </w:p>
    <w:p w14:paraId="2E15BA73" w14:textId="4D66CB3A" w:rsidR="00284716" w:rsidRPr="008A1A9E" w:rsidRDefault="00284716" w:rsidP="008A1A9E">
      <w:pPr>
        <w:pStyle w:val="Body"/>
        <w:spacing w:after="0"/>
        <w:rPr>
          <w:rFonts w:cs="Arial"/>
        </w:rPr>
      </w:pPr>
      <w:r w:rsidRPr="00284716">
        <w:rPr>
          <w:rFonts w:cs="Arial"/>
        </w:rPr>
        <w:t xml:space="preserve">The qualitative analysis of individual in-depth interviews (IDI) and focus group discussions (FGD) allowed for the identification of several key themes, </w:t>
      </w:r>
      <w:proofErr w:type="spellStart"/>
      <w:r w:rsidR="00B42AF0" w:rsidRPr="00562362">
        <w:rPr>
          <w:rFonts w:cs="Arial"/>
          <w:highlight w:val="yellow"/>
        </w:rPr>
        <w:t>categorised</w:t>
      </w:r>
      <w:proofErr w:type="spellEnd"/>
      <w:r w:rsidR="00B42AF0" w:rsidRPr="00562362">
        <w:rPr>
          <w:rFonts w:cs="Arial"/>
          <w:highlight w:val="yellow"/>
        </w:rPr>
        <w:t xml:space="preserve"> </w:t>
      </w:r>
      <w:r w:rsidRPr="00562362">
        <w:rPr>
          <w:rFonts w:cs="Arial"/>
          <w:highlight w:val="yellow"/>
        </w:rPr>
        <w:t>into</w:t>
      </w:r>
      <w:r w:rsidRPr="00284716">
        <w:rPr>
          <w:rFonts w:cs="Arial"/>
        </w:rPr>
        <w:t xml:space="preserve"> three major areas</w:t>
      </w:r>
      <w:r w:rsidR="00B42AF0">
        <w:rPr>
          <w:rFonts w:cs="Arial"/>
        </w:rPr>
        <w:t>,</w:t>
      </w:r>
      <w:r w:rsidRPr="00284716">
        <w:rPr>
          <w:rFonts w:cs="Arial"/>
        </w:rPr>
        <w:t xml:space="preserve"> </w:t>
      </w:r>
      <w:r w:rsidR="008A1A9E">
        <w:rPr>
          <w:rFonts w:cs="Arial"/>
        </w:rPr>
        <w:t>including c</w:t>
      </w:r>
      <w:r w:rsidRPr="00284716">
        <w:rPr>
          <w:rFonts w:cs="Arial"/>
          <w:lang w:val="it-IT"/>
        </w:rPr>
        <w:t>ultural values and perceptions</w:t>
      </w:r>
      <w:r w:rsidR="008A1A9E">
        <w:rPr>
          <w:rFonts w:cs="Arial"/>
          <w:lang w:val="it-IT"/>
        </w:rPr>
        <w:t>, p</w:t>
      </w:r>
      <w:r w:rsidRPr="008A1A9E">
        <w:rPr>
          <w:rFonts w:cs="Arial"/>
          <w:lang w:val="it-IT"/>
        </w:rPr>
        <w:t>references</w:t>
      </w:r>
      <w:r w:rsidR="008A1A9E">
        <w:rPr>
          <w:rFonts w:cs="Arial"/>
          <w:lang w:val="it-IT"/>
        </w:rPr>
        <w:t xml:space="preserve"> and </w:t>
      </w:r>
      <w:r w:rsidR="008A1A9E" w:rsidRPr="008A1A9E">
        <w:rPr>
          <w:rFonts w:cs="Arial"/>
        </w:rPr>
        <w:t>attitudes</w:t>
      </w:r>
      <w:r w:rsidRPr="008A1A9E">
        <w:rPr>
          <w:rFonts w:cs="Arial"/>
        </w:rPr>
        <w:t xml:space="preserve"> and barriers to MDA </w:t>
      </w:r>
      <w:r w:rsidR="000F4F38" w:rsidRPr="008A1A9E">
        <w:rPr>
          <w:rFonts w:cs="Arial"/>
        </w:rPr>
        <w:t>complia</w:t>
      </w:r>
      <w:r w:rsidRPr="008A1A9E">
        <w:rPr>
          <w:rFonts w:cs="Arial"/>
        </w:rPr>
        <w:t>nce</w:t>
      </w:r>
    </w:p>
    <w:p w14:paraId="129E8A3F" w14:textId="77777777" w:rsidR="00284716" w:rsidRPr="00284716" w:rsidRDefault="00284716" w:rsidP="00284716">
      <w:pPr>
        <w:pStyle w:val="Body"/>
        <w:spacing w:after="0"/>
        <w:rPr>
          <w:rFonts w:cs="Arial"/>
        </w:rPr>
      </w:pPr>
      <w:r w:rsidRPr="00284716">
        <w:rPr>
          <w:rFonts w:cs="Arial"/>
        </w:rPr>
        <w:t>Additionally, other emerging sub-themes were identified, including the influence of education level, the role of religious and educational leaders, resource and infrastructure limitations, mistrust, and doubts.</w:t>
      </w:r>
    </w:p>
    <w:p w14:paraId="672A5CC4" w14:textId="471C2CEE" w:rsidR="00284716" w:rsidRPr="00284716" w:rsidRDefault="00284716" w:rsidP="008869E8">
      <w:pPr>
        <w:pStyle w:val="Heading3"/>
        <w:rPr>
          <w:lang w:val="it-IT"/>
        </w:rPr>
      </w:pPr>
      <w:r w:rsidRPr="00284716">
        <w:rPr>
          <w:lang w:val="it-IT"/>
        </w:rPr>
        <w:t xml:space="preserve">Narrative </w:t>
      </w:r>
      <w:r w:rsidR="00F168AB">
        <w:rPr>
          <w:lang w:val="it-IT"/>
        </w:rPr>
        <w:t>a</w:t>
      </w:r>
      <w:r w:rsidRPr="00284716">
        <w:rPr>
          <w:lang w:val="it-IT"/>
        </w:rPr>
        <w:t>nalysis</w:t>
      </w:r>
    </w:p>
    <w:p w14:paraId="5F35A8C9" w14:textId="7B8F61BC" w:rsidR="00284716" w:rsidRPr="00284716" w:rsidRDefault="00284716" w:rsidP="00284716">
      <w:pPr>
        <w:pStyle w:val="Body"/>
        <w:spacing w:after="0"/>
        <w:rPr>
          <w:rFonts w:cs="Arial"/>
        </w:rPr>
      </w:pPr>
      <w:r w:rsidRPr="00284716">
        <w:rPr>
          <w:rFonts w:cs="Arial"/>
        </w:rPr>
        <w:t xml:space="preserve">The qualitative findings from the FGDs and IDIs highlight multiple factors influencing </w:t>
      </w:r>
      <w:r w:rsidR="000F4F38">
        <w:rPr>
          <w:rFonts w:cs="Arial"/>
        </w:rPr>
        <w:t>complia</w:t>
      </w:r>
      <w:r w:rsidRPr="00284716">
        <w:rPr>
          <w:rFonts w:cs="Arial"/>
        </w:rPr>
        <w:t xml:space="preserve">nce </w:t>
      </w:r>
      <w:r w:rsidR="00B42AF0" w:rsidRPr="00562362">
        <w:rPr>
          <w:rFonts w:cs="Arial"/>
          <w:highlight w:val="yellow"/>
        </w:rPr>
        <w:t>with</w:t>
      </w:r>
      <w:r w:rsidR="00B42AF0" w:rsidRPr="00562362">
        <w:rPr>
          <w:rFonts w:cs="Arial"/>
          <w:highlight w:val="yellow"/>
        </w:rPr>
        <w:t xml:space="preserve"> </w:t>
      </w:r>
      <w:r w:rsidRPr="00562362">
        <w:rPr>
          <w:rFonts w:cs="Arial"/>
          <w:highlight w:val="yellow"/>
        </w:rPr>
        <w:t>M</w:t>
      </w:r>
      <w:r w:rsidRPr="00284716">
        <w:rPr>
          <w:rFonts w:cs="Arial"/>
        </w:rPr>
        <w:t>DA</w:t>
      </w:r>
      <w:r w:rsidR="006035CD">
        <w:rPr>
          <w:rFonts w:cs="Arial"/>
        </w:rPr>
        <w:t>/</w:t>
      </w:r>
      <w:r w:rsidRPr="00284716">
        <w:rPr>
          <w:rFonts w:cs="Arial"/>
        </w:rPr>
        <w:t>STH</w:t>
      </w:r>
      <w:r w:rsidRPr="00284716">
        <w:rPr>
          <w:rFonts w:cs="Arial"/>
          <w:b/>
          <w:bCs/>
        </w:rPr>
        <w:t>.</w:t>
      </w:r>
    </w:p>
    <w:p w14:paraId="28992234" w14:textId="613DFD47" w:rsidR="00284716" w:rsidRPr="00284716" w:rsidRDefault="00284716" w:rsidP="0070675F">
      <w:pPr>
        <w:pStyle w:val="Heading4"/>
        <w:rPr>
          <w:lang w:val="it-IT"/>
        </w:rPr>
      </w:pPr>
      <w:r w:rsidRPr="00284716">
        <w:rPr>
          <w:lang w:val="it-IT"/>
        </w:rPr>
        <w:t xml:space="preserve">Cultural </w:t>
      </w:r>
      <w:r w:rsidR="00F168AB">
        <w:rPr>
          <w:lang w:val="it-IT"/>
        </w:rPr>
        <w:t>v</w:t>
      </w:r>
      <w:r w:rsidRPr="00284716">
        <w:rPr>
          <w:lang w:val="it-IT"/>
        </w:rPr>
        <w:t xml:space="preserve">alues and </w:t>
      </w:r>
      <w:r w:rsidR="00F168AB">
        <w:rPr>
          <w:lang w:val="it-IT"/>
        </w:rPr>
        <w:t>p</w:t>
      </w:r>
      <w:r w:rsidRPr="00284716">
        <w:rPr>
          <w:lang w:val="it-IT"/>
        </w:rPr>
        <w:t>erceptions</w:t>
      </w:r>
    </w:p>
    <w:p w14:paraId="15C1F00C" w14:textId="333CFA5C" w:rsidR="00284716" w:rsidRPr="00284716" w:rsidRDefault="00284716" w:rsidP="00284716">
      <w:pPr>
        <w:pStyle w:val="Body"/>
        <w:spacing w:after="0"/>
        <w:rPr>
          <w:rFonts w:cs="Arial"/>
        </w:rPr>
      </w:pPr>
      <w:r w:rsidRPr="00284716">
        <w:rPr>
          <w:rFonts w:cs="Arial"/>
        </w:rPr>
        <w:t>Cultural values, beliefs, and perceptions play</w:t>
      </w:r>
      <w:r w:rsidR="00AD32F4">
        <w:rPr>
          <w:rFonts w:cs="Arial"/>
        </w:rPr>
        <w:t>ed</w:t>
      </w:r>
      <w:r w:rsidRPr="00284716">
        <w:rPr>
          <w:rFonts w:cs="Arial"/>
        </w:rPr>
        <w:t xml:space="preserve"> a crucial role in the acceptance or rejection of MDA, significantly impacting </w:t>
      </w:r>
      <w:r w:rsidR="007D256C">
        <w:rPr>
          <w:rFonts w:cs="Arial"/>
        </w:rPr>
        <w:t>complia</w:t>
      </w:r>
      <w:r w:rsidRPr="00284716">
        <w:rPr>
          <w:rFonts w:cs="Arial"/>
        </w:rPr>
        <w:t>nce.</w:t>
      </w:r>
    </w:p>
    <w:p w14:paraId="4C22B6F4" w14:textId="46A55831" w:rsidR="00284716" w:rsidRPr="00284716" w:rsidRDefault="00284716" w:rsidP="00284716">
      <w:pPr>
        <w:pStyle w:val="Body"/>
        <w:spacing w:after="0"/>
        <w:rPr>
          <w:rFonts w:cs="Arial"/>
        </w:rPr>
      </w:pPr>
      <w:r w:rsidRPr="00284716">
        <w:rPr>
          <w:rFonts w:cs="Arial"/>
        </w:rPr>
        <w:t xml:space="preserve">Family and social support can facilitate better adherence and higher participation rates. Some participants </w:t>
      </w:r>
      <w:proofErr w:type="spellStart"/>
      <w:r w:rsidR="00B42AF0" w:rsidRPr="00562362">
        <w:rPr>
          <w:rFonts w:cs="Arial"/>
          <w:highlight w:val="yellow"/>
        </w:rPr>
        <w:t>emphasised</w:t>
      </w:r>
      <w:proofErr w:type="spellEnd"/>
      <w:r w:rsidR="00B42AF0" w:rsidRPr="00562362">
        <w:rPr>
          <w:rFonts w:cs="Arial"/>
          <w:highlight w:val="yellow"/>
        </w:rPr>
        <w:t xml:space="preserve"> </w:t>
      </w:r>
      <w:r w:rsidRPr="00562362">
        <w:rPr>
          <w:rFonts w:cs="Arial"/>
          <w:highlight w:val="yellow"/>
        </w:rPr>
        <w:t>strong</w:t>
      </w:r>
      <w:r w:rsidRPr="00284716">
        <w:rPr>
          <w:rFonts w:cs="Arial"/>
        </w:rPr>
        <w:t xml:space="preserve"> family support, especially when community health workers (CHWs) took the time to explain the importance of treatment.</w:t>
      </w:r>
    </w:p>
    <w:p w14:paraId="6AD18A20" w14:textId="77777777" w:rsidR="00284716" w:rsidRPr="00284716" w:rsidRDefault="00284716" w:rsidP="00284716">
      <w:pPr>
        <w:pStyle w:val="Body"/>
        <w:rPr>
          <w:rFonts w:cs="Arial"/>
        </w:rPr>
      </w:pPr>
      <w:r w:rsidRPr="00284716">
        <w:rPr>
          <w:rFonts w:cs="Arial"/>
          <w:i/>
          <w:iCs/>
        </w:rPr>
        <w:t>"The population appreciates mass treatment… Even men and older adults are now asking for it."</w:t>
      </w:r>
      <w:r w:rsidRPr="00284716">
        <w:rPr>
          <w:rFonts w:cs="Arial"/>
        </w:rPr>
        <w:t xml:space="preserve"> (Interview with a community health worker).</w:t>
      </w:r>
    </w:p>
    <w:p w14:paraId="03ACE584" w14:textId="77777777" w:rsidR="00284716" w:rsidRPr="00284716" w:rsidRDefault="00284716" w:rsidP="00284716">
      <w:pPr>
        <w:pStyle w:val="Body"/>
        <w:spacing w:after="0"/>
        <w:rPr>
          <w:rFonts w:cs="Arial"/>
        </w:rPr>
      </w:pPr>
      <w:r w:rsidRPr="00284716">
        <w:rPr>
          <w:rFonts w:cs="Arial"/>
        </w:rPr>
        <w:t>Conversely, some women reported negative influences from their communities, fueled by mistrust, misinformation, and fear.</w:t>
      </w:r>
    </w:p>
    <w:p w14:paraId="1AED9E0C" w14:textId="21E8883C" w:rsidR="00284716" w:rsidRPr="00284716" w:rsidRDefault="00284716" w:rsidP="00284716">
      <w:pPr>
        <w:pStyle w:val="Body"/>
        <w:rPr>
          <w:rFonts w:cs="Arial"/>
        </w:rPr>
      </w:pPr>
      <w:r w:rsidRPr="00284716">
        <w:rPr>
          <w:rFonts w:cs="Arial"/>
          <w:i/>
          <w:iCs/>
        </w:rPr>
        <w:t>"Sometimes, when they distributed the drugs, the community said that if you take them, you might get sick."</w:t>
      </w:r>
      <w:r w:rsidR="00BF30AE">
        <w:rPr>
          <w:rFonts w:cs="Arial"/>
          <w:i/>
          <w:iCs/>
        </w:rPr>
        <w:t>(FGD)</w:t>
      </w:r>
    </w:p>
    <w:p w14:paraId="28D4E277" w14:textId="2F6AE790" w:rsidR="00284716" w:rsidRPr="00284716" w:rsidRDefault="00284716" w:rsidP="00284716">
      <w:pPr>
        <w:pStyle w:val="Body"/>
        <w:spacing w:after="0"/>
        <w:rPr>
          <w:rFonts w:cs="Arial"/>
        </w:rPr>
      </w:pPr>
      <w:r w:rsidRPr="00284716">
        <w:rPr>
          <w:rFonts w:cs="Arial"/>
        </w:rPr>
        <w:t xml:space="preserve">Decision-making autonomy varies across age groups. While adult women generally have the freedom to make health decisions, adolescent girls and married women often need approval from parents or spouses, which can hinder </w:t>
      </w:r>
      <w:r w:rsidR="009A3B6B">
        <w:rPr>
          <w:rFonts w:cs="Arial"/>
        </w:rPr>
        <w:t>complia</w:t>
      </w:r>
      <w:r w:rsidR="00D6043F">
        <w:rPr>
          <w:rFonts w:cs="Arial"/>
        </w:rPr>
        <w:t>nce</w:t>
      </w:r>
      <w:r w:rsidR="00B42AF0">
        <w:rPr>
          <w:rFonts w:cs="Arial"/>
        </w:rPr>
        <w:t>,</w:t>
      </w:r>
      <w:r w:rsidR="00D6043F">
        <w:rPr>
          <w:rFonts w:cs="Arial"/>
        </w:rPr>
        <w:t xml:space="preserve"> </w:t>
      </w:r>
      <w:r w:rsidRPr="00284716">
        <w:rPr>
          <w:rFonts w:cs="Arial"/>
        </w:rPr>
        <w:t>especially if key authority figures hold negative views on MDA.</w:t>
      </w:r>
    </w:p>
    <w:p w14:paraId="0A00BA3D" w14:textId="2A397A57" w:rsidR="00284716" w:rsidRPr="00284716" w:rsidRDefault="00284716" w:rsidP="00284716">
      <w:pPr>
        <w:pStyle w:val="Body"/>
        <w:rPr>
          <w:rFonts w:cs="Arial"/>
        </w:rPr>
      </w:pPr>
      <w:r w:rsidRPr="00284716">
        <w:rPr>
          <w:rFonts w:cs="Arial"/>
          <w:i/>
          <w:iCs/>
        </w:rPr>
        <w:t>"Adult women can freely make decisions, while minors have to wait for their parents’ permission"</w:t>
      </w:r>
      <w:r w:rsidR="00212AB5">
        <w:rPr>
          <w:rFonts w:cs="Arial"/>
          <w:i/>
          <w:iCs/>
        </w:rPr>
        <w:t>.</w:t>
      </w:r>
      <w:r w:rsidR="00CC2879">
        <w:rPr>
          <w:rFonts w:cs="Arial"/>
          <w:i/>
          <w:iCs/>
        </w:rPr>
        <w:t xml:space="preserve"> </w:t>
      </w:r>
      <w:r w:rsidR="00CC2879" w:rsidRPr="00796511">
        <w:rPr>
          <w:rFonts w:cs="Arial"/>
        </w:rPr>
        <w:t>(</w:t>
      </w:r>
      <w:r w:rsidR="00796511" w:rsidRPr="00796511">
        <w:rPr>
          <w:rFonts w:cs="Arial"/>
        </w:rPr>
        <w:t xml:space="preserve">Interview with a </w:t>
      </w:r>
      <w:r w:rsidR="00CC2879" w:rsidRPr="00796511">
        <w:rPr>
          <w:rFonts w:cs="Arial"/>
        </w:rPr>
        <w:t>community leader)</w:t>
      </w:r>
      <w:r w:rsidR="00796511" w:rsidRPr="00796511">
        <w:rPr>
          <w:rFonts w:cs="Arial"/>
        </w:rPr>
        <w:t>.</w:t>
      </w:r>
    </w:p>
    <w:p w14:paraId="58F562D1" w14:textId="77777777" w:rsidR="00284716" w:rsidRPr="00284716" w:rsidRDefault="00284716" w:rsidP="00284716">
      <w:pPr>
        <w:pStyle w:val="Body"/>
        <w:spacing w:after="0"/>
        <w:rPr>
          <w:rFonts w:cs="Arial"/>
        </w:rPr>
      </w:pPr>
      <w:r w:rsidRPr="00284716">
        <w:rPr>
          <w:rFonts w:cs="Arial"/>
        </w:rPr>
        <w:t>The level of discussion about MDA within families and communities varies significantly. Some women reported never discussing it, while others highlighted the importance of sharing health information. The lack of dialogue can hinder awareness and reinforce misinformation.</w:t>
      </w:r>
    </w:p>
    <w:p w14:paraId="58DCCFA7" w14:textId="11E14FB4" w:rsidR="00284716" w:rsidRPr="00284716" w:rsidRDefault="00284716" w:rsidP="00284716">
      <w:pPr>
        <w:pStyle w:val="Body"/>
        <w:rPr>
          <w:rFonts w:cs="Arial"/>
        </w:rPr>
      </w:pPr>
      <w:r w:rsidRPr="00284716">
        <w:rPr>
          <w:rFonts w:cs="Arial"/>
          <w:i/>
          <w:iCs/>
        </w:rPr>
        <w:t>"Personally, I never talk about it with my family or friends."</w:t>
      </w:r>
      <w:r w:rsidR="008D2E80">
        <w:rPr>
          <w:rFonts w:cs="Arial"/>
          <w:i/>
          <w:iCs/>
        </w:rPr>
        <w:t>(FGD)</w:t>
      </w:r>
    </w:p>
    <w:p w14:paraId="2A1730CE" w14:textId="77777777" w:rsidR="00284716" w:rsidRPr="00284716" w:rsidRDefault="00284716" w:rsidP="00284716">
      <w:pPr>
        <w:pStyle w:val="Body"/>
        <w:spacing w:after="0"/>
        <w:rPr>
          <w:rFonts w:cs="Arial"/>
        </w:rPr>
      </w:pPr>
      <w:r w:rsidRPr="00284716">
        <w:rPr>
          <w:rFonts w:cs="Arial"/>
        </w:rPr>
        <w:t>Overall, the MDA campaign was perceived as an important public health initiative with good community acceptance.</w:t>
      </w:r>
    </w:p>
    <w:p w14:paraId="56B82155" w14:textId="063FD947" w:rsidR="00284716" w:rsidRPr="00284716" w:rsidRDefault="00284716" w:rsidP="00284716">
      <w:pPr>
        <w:pStyle w:val="Body"/>
        <w:rPr>
          <w:rFonts w:cs="Arial"/>
        </w:rPr>
      </w:pPr>
      <w:r w:rsidRPr="00284716">
        <w:rPr>
          <w:rFonts w:cs="Arial"/>
          <w:i/>
          <w:iCs/>
        </w:rPr>
        <w:t>"The treatment is well-received because it addresses a real health problem… there is a high demand for deworming medication."</w:t>
      </w:r>
      <w:r w:rsidR="008D2E80">
        <w:rPr>
          <w:rFonts w:cs="Arial"/>
          <w:i/>
          <w:iCs/>
        </w:rPr>
        <w:t>(</w:t>
      </w:r>
      <w:r w:rsidR="008D2E80" w:rsidRPr="008D2E80">
        <w:rPr>
          <w:rFonts w:cs="Arial"/>
          <w:iCs/>
        </w:rPr>
        <w:t>Interview with</w:t>
      </w:r>
      <w:r w:rsidR="008D2E80" w:rsidRPr="008D2E80">
        <w:rPr>
          <w:rFonts w:cs="Arial"/>
        </w:rPr>
        <w:t xml:space="preserve"> </w:t>
      </w:r>
      <w:r w:rsidR="008D2E80">
        <w:rPr>
          <w:rFonts w:cs="Arial"/>
        </w:rPr>
        <w:t>the health zone supervisor)</w:t>
      </w:r>
    </w:p>
    <w:p w14:paraId="70E39331" w14:textId="77777777" w:rsidR="00284716" w:rsidRPr="00284716" w:rsidRDefault="00284716" w:rsidP="00284716">
      <w:pPr>
        <w:pStyle w:val="Body"/>
        <w:spacing w:after="0"/>
        <w:rPr>
          <w:rFonts w:cs="Arial"/>
        </w:rPr>
      </w:pPr>
      <w:r w:rsidRPr="00284716">
        <w:rPr>
          <w:rFonts w:cs="Arial"/>
        </w:rPr>
        <w:t>Most respondents acknowledged its positive impact, particularly in reducing parasitic infections.</w:t>
      </w:r>
    </w:p>
    <w:p w14:paraId="6592AC6B" w14:textId="2D8D683B" w:rsidR="00284716" w:rsidRPr="00284716" w:rsidRDefault="00284716" w:rsidP="00284716">
      <w:pPr>
        <w:pStyle w:val="Body"/>
        <w:rPr>
          <w:rFonts w:cs="Arial"/>
        </w:rPr>
      </w:pPr>
      <w:r w:rsidRPr="00284716">
        <w:rPr>
          <w:rFonts w:cs="Arial"/>
          <w:i/>
          <w:iCs/>
        </w:rPr>
        <w:t>"Those distributing the drugs are doing excellent work, and they are welcomed by the community."</w:t>
      </w:r>
      <w:r w:rsidR="007E730F">
        <w:rPr>
          <w:rFonts w:cs="Arial"/>
          <w:i/>
          <w:iCs/>
        </w:rPr>
        <w:t xml:space="preserve"> (</w:t>
      </w:r>
      <w:r w:rsidR="007E730F" w:rsidRPr="00796511">
        <w:rPr>
          <w:rFonts w:cs="Arial"/>
        </w:rPr>
        <w:t>Interview with a community leader</w:t>
      </w:r>
      <w:r w:rsidR="007E730F">
        <w:rPr>
          <w:rFonts w:cs="Arial"/>
        </w:rPr>
        <w:t>)</w:t>
      </w:r>
    </w:p>
    <w:p w14:paraId="46ED7B2F" w14:textId="77777777" w:rsidR="00284716" w:rsidRPr="00284716" w:rsidRDefault="00284716" w:rsidP="00284716">
      <w:pPr>
        <w:pStyle w:val="Body"/>
        <w:spacing w:after="0"/>
        <w:rPr>
          <w:rFonts w:cs="Arial"/>
        </w:rPr>
      </w:pPr>
      <w:r w:rsidRPr="00284716">
        <w:rPr>
          <w:rFonts w:cs="Arial"/>
        </w:rPr>
        <w:t>However, community involvement remains essential to strengthening this positive perception. Some misconceptions persist, particularly the belief that albendazole is an abortifacient, which negatively affects adherence among women of reproductive age.</w:t>
      </w:r>
    </w:p>
    <w:p w14:paraId="1F9B8CA6" w14:textId="5035230C" w:rsidR="00284716" w:rsidRPr="00284716" w:rsidRDefault="00284716" w:rsidP="00284716">
      <w:pPr>
        <w:pStyle w:val="Body"/>
        <w:rPr>
          <w:rFonts w:cs="Arial"/>
        </w:rPr>
      </w:pPr>
      <w:r w:rsidRPr="00284716">
        <w:rPr>
          <w:rFonts w:cs="Arial"/>
          <w:i/>
          <w:iCs/>
        </w:rPr>
        <w:lastRenderedPageBreak/>
        <w:t xml:space="preserve">"There are </w:t>
      </w:r>
      <w:proofErr w:type="spellStart"/>
      <w:r w:rsidR="00B42AF0" w:rsidRPr="00562362">
        <w:rPr>
          <w:rFonts w:cs="Arial"/>
          <w:i/>
          <w:iCs/>
          <w:highlight w:val="yellow"/>
        </w:rPr>
        <w:t>rumours</w:t>
      </w:r>
      <w:proofErr w:type="spellEnd"/>
      <w:r w:rsidR="00B42AF0" w:rsidRPr="00562362">
        <w:rPr>
          <w:rFonts w:cs="Arial"/>
          <w:i/>
          <w:iCs/>
          <w:highlight w:val="yellow"/>
        </w:rPr>
        <w:t xml:space="preserve"> </w:t>
      </w:r>
      <w:r w:rsidRPr="00562362">
        <w:rPr>
          <w:rFonts w:cs="Arial"/>
          <w:i/>
          <w:iCs/>
          <w:highlight w:val="yellow"/>
        </w:rPr>
        <w:t>that</w:t>
      </w:r>
      <w:r w:rsidRPr="00284716">
        <w:rPr>
          <w:rFonts w:cs="Arial"/>
          <w:i/>
          <w:iCs/>
        </w:rPr>
        <w:t xml:space="preserve"> albendazole can cause miscarriages, and some young girls even use it to induce abortion."</w:t>
      </w:r>
      <w:r w:rsidR="00896472">
        <w:rPr>
          <w:rFonts w:cs="Arial"/>
          <w:i/>
          <w:iCs/>
        </w:rPr>
        <w:t xml:space="preserve"> </w:t>
      </w:r>
      <w:r w:rsidR="00896472" w:rsidRPr="00284716">
        <w:rPr>
          <w:rFonts w:cs="Arial"/>
        </w:rPr>
        <w:t>(Interview with a community health worker).</w:t>
      </w:r>
      <w:r w:rsidR="00896472">
        <w:rPr>
          <w:rFonts w:cs="Arial"/>
        </w:rPr>
        <w:t xml:space="preserve"> </w:t>
      </w:r>
    </w:p>
    <w:p w14:paraId="2D6F763A" w14:textId="77777777" w:rsidR="00284716" w:rsidRPr="00284716" w:rsidRDefault="00284716" w:rsidP="00284716">
      <w:pPr>
        <w:pStyle w:val="Body"/>
        <w:spacing w:after="0"/>
        <w:rPr>
          <w:rFonts w:cs="Arial"/>
        </w:rPr>
      </w:pPr>
      <w:r w:rsidRPr="00284716">
        <w:rPr>
          <w:rFonts w:cs="Arial"/>
        </w:rPr>
        <w:t>Mistrust regarding the origin and free distribution of the medication also emerged, with some questioning why the drugs are free while other medical treatments require payment.</w:t>
      </w:r>
    </w:p>
    <w:p w14:paraId="28175235" w14:textId="2536683D" w:rsidR="00284716" w:rsidRPr="00284716" w:rsidRDefault="00284716" w:rsidP="00284716">
      <w:pPr>
        <w:pStyle w:val="Body"/>
        <w:rPr>
          <w:rFonts w:cs="Arial"/>
        </w:rPr>
      </w:pPr>
      <w:r w:rsidRPr="00284716">
        <w:rPr>
          <w:rFonts w:cs="Arial"/>
          <w:i/>
          <w:iCs/>
        </w:rPr>
        <w:t>"Some fear that the treatment might cause sterility or be part of a hidden family planning program."</w:t>
      </w:r>
      <w:r w:rsidR="00223873">
        <w:rPr>
          <w:rFonts w:cs="Arial"/>
          <w:i/>
          <w:iCs/>
        </w:rPr>
        <w:t xml:space="preserve"> (FGD)</w:t>
      </w:r>
    </w:p>
    <w:p w14:paraId="21B98B81" w14:textId="77777777" w:rsidR="00284716" w:rsidRPr="00284716" w:rsidRDefault="00284716" w:rsidP="00284716">
      <w:pPr>
        <w:pStyle w:val="Body"/>
        <w:spacing w:after="0"/>
        <w:rPr>
          <w:rFonts w:cs="Arial"/>
        </w:rPr>
      </w:pPr>
      <w:r w:rsidRPr="00284716">
        <w:rPr>
          <w:rFonts w:cs="Arial"/>
        </w:rPr>
        <w:t>Others suggested that the government should also provide food assistance alongside the deworming medication.</w:t>
      </w:r>
    </w:p>
    <w:p w14:paraId="66299BF1" w14:textId="73784341" w:rsidR="00284716" w:rsidRPr="00284716" w:rsidRDefault="00284716" w:rsidP="00284716">
      <w:pPr>
        <w:pStyle w:val="Body"/>
        <w:rPr>
          <w:rFonts w:cs="Arial"/>
        </w:rPr>
      </w:pPr>
      <w:r w:rsidRPr="00284716">
        <w:rPr>
          <w:rFonts w:cs="Arial"/>
          <w:i/>
          <w:iCs/>
        </w:rPr>
        <w:t>"Don’t just bring us deworming drugs… We have many other health problems. Bring us food as well, so we don’t have to take medicine on an empty stomach."</w:t>
      </w:r>
      <w:r w:rsidR="00223873">
        <w:rPr>
          <w:rFonts w:cs="Arial"/>
          <w:i/>
          <w:iCs/>
        </w:rPr>
        <w:t xml:space="preserve"> (FGD)</w:t>
      </w:r>
    </w:p>
    <w:p w14:paraId="655062B6" w14:textId="77777777" w:rsidR="00284716" w:rsidRPr="00284716" w:rsidRDefault="00284716" w:rsidP="00284716">
      <w:pPr>
        <w:pStyle w:val="Body"/>
        <w:spacing w:after="0"/>
        <w:rPr>
          <w:rFonts w:cs="Arial"/>
        </w:rPr>
      </w:pPr>
      <w:r w:rsidRPr="00284716">
        <w:rPr>
          <w:rFonts w:cs="Arial"/>
        </w:rPr>
        <w:t>Past experiences with MDA strongly influenced participants' current acceptance or reluctance. Some women who had previously taken albendazole reported health improvements, while others mentioned unpleasant side effects, affecting their future willingness to adhere.</w:t>
      </w:r>
    </w:p>
    <w:p w14:paraId="57E7CB1D" w14:textId="62B1C0A3" w:rsidR="00284716" w:rsidRPr="00284716" w:rsidRDefault="00284716" w:rsidP="00284716">
      <w:pPr>
        <w:pStyle w:val="Body"/>
        <w:rPr>
          <w:rFonts w:cs="Arial"/>
        </w:rPr>
      </w:pPr>
      <w:r w:rsidRPr="00284716">
        <w:rPr>
          <w:rFonts w:cs="Arial"/>
          <w:i/>
          <w:iCs/>
        </w:rPr>
        <w:t>"Since they started distributing these medicines, some diseases have started to disappear."</w:t>
      </w:r>
      <w:r w:rsidR="003A7E31">
        <w:rPr>
          <w:rFonts w:cs="Arial"/>
          <w:i/>
          <w:iCs/>
        </w:rPr>
        <w:t xml:space="preserve"> (FGD)</w:t>
      </w:r>
    </w:p>
    <w:p w14:paraId="7268000F" w14:textId="3EA42BB8" w:rsidR="00284716" w:rsidRPr="00284716" w:rsidRDefault="00284716" w:rsidP="00C56D22">
      <w:pPr>
        <w:pStyle w:val="Heading4"/>
        <w:rPr>
          <w:lang w:val="it-IT"/>
        </w:rPr>
      </w:pPr>
      <w:r w:rsidRPr="00284716">
        <w:rPr>
          <w:lang w:val="it-IT"/>
        </w:rPr>
        <w:t xml:space="preserve">Participant </w:t>
      </w:r>
      <w:r w:rsidR="00F168AB">
        <w:rPr>
          <w:lang w:val="it-IT"/>
        </w:rPr>
        <w:t>p</w:t>
      </w:r>
      <w:r w:rsidRPr="00284716">
        <w:rPr>
          <w:lang w:val="it-IT"/>
        </w:rPr>
        <w:t>references</w:t>
      </w:r>
    </w:p>
    <w:p w14:paraId="1AD72834" w14:textId="77777777" w:rsidR="00284716" w:rsidRPr="00284716" w:rsidRDefault="00284716" w:rsidP="00284716">
      <w:pPr>
        <w:pStyle w:val="Body"/>
        <w:spacing w:after="0"/>
        <w:rPr>
          <w:rFonts w:cs="Arial"/>
        </w:rPr>
      </w:pPr>
      <w:r w:rsidRPr="00284716">
        <w:rPr>
          <w:rFonts w:cs="Arial"/>
        </w:rPr>
        <w:t>Preferences regarding drug administration and distribution methods play a direct role in acceptance and adherence.</w:t>
      </w:r>
    </w:p>
    <w:p w14:paraId="4B2E03F8" w14:textId="77777777" w:rsidR="00284716" w:rsidRPr="00284716" w:rsidRDefault="00284716" w:rsidP="00D471D2">
      <w:pPr>
        <w:pStyle w:val="Body"/>
        <w:spacing w:after="0"/>
        <w:rPr>
          <w:rFonts w:cs="Arial"/>
        </w:rPr>
      </w:pPr>
      <w:r w:rsidRPr="00284716">
        <w:rPr>
          <w:rFonts w:cs="Arial"/>
        </w:rPr>
        <w:t>Taste, color, and texture significantly influence acceptance. Bitter or dark-colored pills are often rejected, while those with fruity flavors and lighter colors are better accepted.</w:t>
      </w:r>
    </w:p>
    <w:p w14:paraId="3F5B19F6" w14:textId="4BF7D3B2" w:rsidR="00284716" w:rsidRPr="00284716" w:rsidRDefault="00284716" w:rsidP="00284716">
      <w:pPr>
        <w:pStyle w:val="Body"/>
        <w:rPr>
          <w:rFonts w:cs="Arial"/>
        </w:rPr>
      </w:pPr>
      <w:r w:rsidRPr="00284716">
        <w:rPr>
          <w:rFonts w:cs="Arial"/>
          <w:i/>
          <w:iCs/>
        </w:rPr>
        <w:t xml:space="preserve">"It’s better if the medicine isn’t bitter… That’s why </w:t>
      </w:r>
      <w:r w:rsidR="00B533F9" w:rsidRPr="00284716">
        <w:rPr>
          <w:rFonts w:cs="Arial"/>
          <w:i/>
          <w:iCs/>
        </w:rPr>
        <w:t>Albendazole</w:t>
      </w:r>
      <w:r w:rsidRPr="00284716">
        <w:rPr>
          <w:rFonts w:cs="Arial"/>
          <w:i/>
          <w:iCs/>
        </w:rPr>
        <w:t xml:space="preserve"> is accepted."</w:t>
      </w:r>
      <w:r w:rsidR="00D471D2">
        <w:rPr>
          <w:rFonts w:cs="Arial"/>
          <w:i/>
          <w:iCs/>
        </w:rPr>
        <w:t>(FGD)</w:t>
      </w:r>
    </w:p>
    <w:p w14:paraId="00FCC4F4" w14:textId="6DD3223A" w:rsidR="00284716" w:rsidRPr="00D471D2" w:rsidRDefault="00284716" w:rsidP="00D471D2">
      <w:pPr>
        <w:pStyle w:val="Body"/>
        <w:spacing w:after="0"/>
        <w:rPr>
          <w:rFonts w:cs="Arial"/>
        </w:rPr>
      </w:pPr>
      <w:r w:rsidRPr="00284716">
        <w:rPr>
          <w:rFonts w:cs="Arial"/>
        </w:rPr>
        <w:t>Packaging concerns were also raised, as some participants disliked the way CHWs handled bulk medications.</w:t>
      </w:r>
      <w:r w:rsidR="00D471D2">
        <w:rPr>
          <w:rFonts w:cs="Arial"/>
        </w:rPr>
        <w:t xml:space="preserve"> </w:t>
      </w:r>
      <w:r w:rsidRPr="00284716">
        <w:rPr>
          <w:rFonts w:cs="Arial"/>
          <w:i/>
          <w:iCs/>
        </w:rPr>
        <w:t xml:space="preserve">"Please bring blister-packed tablets instead of loose pills in bottles. </w:t>
      </w:r>
      <w:r w:rsidRPr="00284716">
        <w:rPr>
          <w:rFonts w:cs="Arial"/>
          <w:i/>
          <w:iCs/>
          <w:lang w:val="it-IT"/>
        </w:rPr>
        <w:t>Sometimes, the way they handle them is unappealing."</w:t>
      </w:r>
      <w:r w:rsidR="00D471D2">
        <w:rPr>
          <w:rFonts w:cs="Arial"/>
          <w:i/>
          <w:iCs/>
          <w:lang w:val="it-IT"/>
        </w:rPr>
        <w:t>(FGD)</w:t>
      </w:r>
    </w:p>
    <w:p w14:paraId="68C08505" w14:textId="3F3FE36B" w:rsidR="00284716" w:rsidRPr="00D471D2" w:rsidRDefault="00284716" w:rsidP="00D471D2">
      <w:pPr>
        <w:pStyle w:val="Body"/>
        <w:spacing w:after="0"/>
        <w:rPr>
          <w:rFonts w:cs="Arial"/>
        </w:rPr>
      </w:pPr>
      <w:r w:rsidRPr="00284716">
        <w:rPr>
          <w:rFonts w:cs="Arial"/>
        </w:rPr>
        <w:t>Inadequate instructions were commonly reported. Rushed CHWs often failed to properly explain the medication's use and effects.</w:t>
      </w:r>
      <w:r w:rsidR="00D471D2">
        <w:rPr>
          <w:rFonts w:cs="Arial"/>
        </w:rPr>
        <w:t xml:space="preserve"> </w:t>
      </w:r>
      <w:r w:rsidRPr="00284716">
        <w:rPr>
          <w:rFonts w:cs="Arial"/>
          <w:i/>
          <w:iCs/>
        </w:rPr>
        <w:t xml:space="preserve">"There are no clear instructions. </w:t>
      </w:r>
      <w:r w:rsidRPr="00284716">
        <w:rPr>
          <w:rFonts w:cs="Arial"/>
          <w:i/>
          <w:iCs/>
          <w:lang w:val="it-IT"/>
        </w:rPr>
        <w:t>We need more guidance."</w:t>
      </w:r>
      <w:r w:rsidR="00D471D2">
        <w:rPr>
          <w:rFonts w:cs="Arial"/>
          <w:i/>
          <w:iCs/>
          <w:lang w:val="it-IT"/>
        </w:rPr>
        <w:t xml:space="preserve"> (FGD)</w:t>
      </w:r>
    </w:p>
    <w:p w14:paraId="3CBC0E06" w14:textId="77777777" w:rsidR="00284716" w:rsidRPr="00284716" w:rsidRDefault="00284716" w:rsidP="00D471D2">
      <w:pPr>
        <w:pStyle w:val="Body"/>
        <w:spacing w:after="0"/>
        <w:rPr>
          <w:rFonts w:cs="Arial"/>
        </w:rPr>
      </w:pPr>
      <w:r w:rsidRPr="00284716">
        <w:rPr>
          <w:rFonts w:cs="Arial"/>
        </w:rPr>
        <w:t>Distribution location preferences varied. Some preferred home delivery to ensure the entire family received treatment, while others suggested public distribution in schools, markets, or churches to increase coverage.</w:t>
      </w:r>
    </w:p>
    <w:p w14:paraId="0E387F62" w14:textId="218E55A2" w:rsidR="00A01CDC" w:rsidRDefault="00284716" w:rsidP="00A01CDC">
      <w:pPr>
        <w:pStyle w:val="Body"/>
        <w:rPr>
          <w:rFonts w:cs="Arial"/>
        </w:rPr>
      </w:pPr>
      <w:r w:rsidRPr="00284716">
        <w:rPr>
          <w:rFonts w:cs="Arial"/>
          <w:i/>
          <w:iCs/>
        </w:rPr>
        <w:t xml:space="preserve">"We prefer that the medicine </w:t>
      </w:r>
      <w:r w:rsidR="00B42AF0" w:rsidRPr="00562362">
        <w:rPr>
          <w:rFonts w:cs="Arial"/>
          <w:i/>
          <w:iCs/>
          <w:highlight w:val="yellow"/>
        </w:rPr>
        <w:t>be</w:t>
      </w:r>
      <w:r w:rsidR="00B42AF0" w:rsidRPr="00562362">
        <w:rPr>
          <w:rFonts w:cs="Arial"/>
          <w:i/>
          <w:iCs/>
          <w:highlight w:val="yellow"/>
        </w:rPr>
        <w:t xml:space="preserve"> </w:t>
      </w:r>
      <w:r w:rsidRPr="00562362">
        <w:rPr>
          <w:rFonts w:cs="Arial"/>
          <w:i/>
          <w:iCs/>
          <w:highlight w:val="yellow"/>
        </w:rPr>
        <w:t>brought</w:t>
      </w:r>
      <w:r w:rsidRPr="00284716">
        <w:rPr>
          <w:rFonts w:cs="Arial"/>
          <w:i/>
          <w:iCs/>
        </w:rPr>
        <w:t xml:space="preserve"> to where we are."</w:t>
      </w:r>
      <w:r w:rsidR="00D471D2">
        <w:rPr>
          <w:rFonts w:cs="Arial"/>
          <w:i/>
          <w:iCs/>
        </w:rPr>
        <w:t xml:space="preserve"> (FGD)</w:t>
      </w:r>
    </w:p>
    <w:p w14:paraId="3257F097" w14:textId="050A560E" w:rsidR="00284716" w:rsidRPr="00284716" w:rsidRDefault="00284716" w:rsidP="00A01CDC">
      <w:pPr>
        <w:pStyle w:val="Body"/>
        <w:rPr>
          <w:rFonts w:cs="Arial"/>
        </w:rPr>
      </w:pPr>
      <w:r w:rsidRPr="00284716">
        <w:rPr>
          <w:rFonts w:cs="Arial"/>
        </w:rPr>
        <w:t>Concerns about CHW qualifications were expressed. Some were perceived as unreliable, leading to calls for better training and selection.</w:t>
      </w:r>
      <w:r w:rsidR="00A01CDC">
        <w:rPr>
          <w:rFonts w:cs="Arial"/>
        </w:rPr>
        <w:t xml:space="preserve"> </w:t>
      </w:r>
      <w:r w:rsidRPr="00284716">
        <w:rPr>
          <w:rFonts w:cs="Arial"/>
          <w:i/>
          <w:iCs/>
        </w:rPr>
        <w:t>"Some CHWs are not really suited for this job."</w:t>
      </w:r>
      <w:r w:rsidR="00A01CDC">
        <w:rPr>
          <w:rFonts w:cs="Arial"/>
          <w:i/>
          <w:iCs/>
        </w:rPr>
        <w:t xml:space="preserve"> (FDG)</w:t>
      </w:r>
    </w:p>
    <w:p w14:paraId="72B59004" w14:textId="77777777" w:rsidR="00284716" w:rsidRPr="00284716" w:rsidRDefault="00284716" w:rsidP="00A01CDC">
      <w:pPr>
        <w:pStyle w:val="Body"/>
        <w:spacing w:after="0"/>
        <w:rPr>
          <w:rFonts w:cs="Arial"/>
        </w:rPr>
      </w:pPr>
      <w:r w:rsidRPr="00284716">
        <w:rPr>
          <w:rFonts w:cs="Arial"/>
        </w:rPr>
        <w:t>Post-administration follow-up was almost nonexistent. Many participants were unaware of any monitoring visits.</w:t>
      </w:r>
    </w:p>
    <w:p w14:paraId="0F5E7A2D" w14:textId="77777777" w:rsidR="00A01CDC" w:rsidRDefault="00284716" w:rsidP="00A01CDC">
      <w:pPr>
        <w:pStyle w:val="Body"/>
        <w:rPr>
          <w:rFonts w:cs="Arial"/>
        </w:rPr>
      </w:pPr>
      <w:r w:rsidRPr="00284716">
        <w:rPr>
          <w:rFonts w:cs="Arial"/>
          <w:i/>
          <w:iCs/>
        </w:rPr>
        <w:t>"I didn’t even know that there were supposed to be follow-up visits after taking the medicine."</w:t>
      </w:r>
      <w:r w:rsidR="00A01CDC">
        <w:rPr>
          <w:rFonts w:cs="Arial"/>
          <w:i/>
          <w:iCs/>
        </w:rPr>
        <w:t xml:space="preserve"> (FGD)</w:t>
      </w:r>
    </w:p>
    <w:p w14:paraId="73B0D8A1" w14:textId="47E12602" w:rsidR="00284716" w:rsidRPr="00284716" w:rsidRDefault="00284716" w:rsidP="00284716">
      <w:pPr>
        <w:pStyle w:val="Body"/>
        <w:rPr>
          <w:rFonts w:cs="Arial"/>
        </w:rPr>
      </w:pPr>
      <w:r w:rsidRPr="00284716">
        <w:rPr>
          <w:rFonts w:cs="Arial"/>
        </w:rPr>
        <w:t>Preferred communication channels included radio, visual aids (posters, videos), and social media.</w:t>
      </w:r>
      <w:r w:rsidR="00A01CDC">
        <w:rPr>
          <w:rFonts w:cs="Arial"/>
        </w:rPr>
        <w:t xml:space="preserve"> </w:t>
      </w:r>
      <w:r w:rsidRPr="00284716">
        <w:rPr>
          <w:rFonts w:cs="Arial"/>
          <w:i/>
          <w:iCs/>
        </w:rPr>
        <w:t>"The radio is the best way to communicate."</w:t>
      </w:r>
      <w:r w:rsidR="00A01CDC">
        <w:rPr>
          <w:rFonts w:cs="Arial"/>
          <w:i/>
          <w:iCs/>
        </w:rPr>
        <w:t xml:space="preserve"> (FGD)</w:t>
      </w:r>
    </w:p>
    <w:p w14:paraId="62739C70" w14:textId="1B370163" w:rsidR="00284716" w:rsidRPr="00284716" w:rsidRDefault="00284716" w:rsidP="00B42B3A">
      <w:pPr>
        <w:pStyle w:val="Heading4"/>
      </w:pPr>
      <w:r w:rsidRPr="00284716">
        <w:t xml:space="preserve">Attitudes </w:t>
      </w:r>
      <w:r w:rsidR="00191B31">
        <w:t>t</w:t>
      </w:r>
      <w:r w:rsidRPr="00284716">
        <w:t xml:space="preserve">oward MDA and </w:t>
      </w:r>
      <w:r w:rsidR="00191B31">
        <w:t>b</w:t>
      </w:r>
      <w:r w:rsidRPr="00284716">
        <w:t xml:space="preserve">arriers to </w:t>
      </w:r>
      <w:r w:rsidR="005A5781">
        <w:t>complia</w:t>
      </w:r>
      <w:r w:rsidRPr="00284716">
        <w:t>nce</w:t>
      </w:r>
    </w:p>
    <w:p w14:paraId="084557F9" w14:textId="77777777" w:rsidR="00284716" w:rsidRPr="00284716" w:rsidRDefault="00284716" w:rsidP="00284716">
      <w:pPr>
        <w:pStyle w:val="Body"/>
        <w:spacing w:after="0"/>
        <w:rPr>
          <w:rFonts w:cs="Arial"/>
        </w:rPr>
      </w:pPr>
      <w:r w:rsidRPr="00284716">
        <w:rPr>
          <w:rFonts w:cs="Arial"/>
        </w:rPr>
        <w:t>Participants' attitudes toward MDA were influenced by expected benefits, perceived side effects, and structural or cultural barriers.</w:t>
      </w:r>
    </w:p>
    <w:p w14:paraId="430BBC8E" w14:textId="5D6BA09B" w:rsidR="00284716" w:rsidRPr="00A01CDC" w:rsidRDefault="00284716" w:rsidP="00A01CDC">
      <w:pPr>
        <w:pStyle w:val="Body"/>
        <w:spacing w:after="0"/>
        <w:rPr>
          <w:rFonts w:cs="Arial"/>
          <w:lang w:val="it-IT"/>
        </w:rPr>
      </w:pPr>
      <w:r w:rsidRPr="00284716">
        <w:rPr>
          <w:rFonts w:cs="Arial"/>
          <w:lang w:val="it-IT"/>
        </w:rPr>
        <w:lastRenderedPageBreak/>
        <w:t>Perceived benefits i</w:t>
      </w:r>
      <w:r w:rsidR="00A01CDC">
        <w:rPr>
          <w:rFonts w:cs="Arial"/>
          <w:lang w:val="it-IT"/>
        </w:rPr>
        <w:t>ncluded r</w:t>
      </w:r>
      <w:r w:rsidRPr="00284716">
        <w:rPr>
          <w:rFonts w:cs="Arial"/>
          <w:lang w:val="it-IT"/>
        </w:rPr>
        <w:t>educed parasitic infections</w:t>
      </w:r>
      <w:r w:rsidR="00A01CDC">
        <w:rPr>
          <w:rFonts w:cs="Arial"/>
          <w:lang w:val="it-IT"/>
        </w:rPr>
        <w:t>, i</w:t>
      </w:r>
      <w:r w:rsidRPr="00284716">
        <w:rPr>
          <w:rFonts w:cs="Arial"/>
          <w:lang w:val="it-IT"/>
        </w:rPr>
        <w:t>mproved overall health</w:t>
      </w:r>
      <w:r w:rsidR="00A01CDC">
        <w:rPr>
          <w:rFonts w:cs="Arial"/>
          <w:lang w:val="it-IT"/>
        </w:rPr>
        <w:t xml:space="preserve"> and l</w:t>
      </w:r>
      <w:r w:rsidRPr="00A01CDC">
        <w:rPr>
          <w:rFonts w:cs="Arial"/>
          <w:lang w:val="it-IT"/>
        </w:rPr>
        <w:t>ower medical costs</w:t>
      </w:r>
    </w:p>
    <w:p w14:paraId="344D79F0" w14:textId="4A3A1F0A" w:rsidR="00284716" w:rsidRPr="00284716" w:rsidRDefault="00284716" w:rsidP="00284716">
      <w:pPr>
        <w:pStyle w:val="Body"/>
        <w:rPr>
          <w:rFonts w:cs="Arial"/>
        </w:rPr>
      </w:pPr>
      <w:r w:rsidRPr="00284716">
        <w:rPr>
          <w:rFonts w:cs="Arial"/>
          <w:i/>
          <w:iCs/>
        </w:rPr>
        <w:t>"Since they started distributing these medicines, some diseases have disappeared. Children no longer vomit worms…"</w:t>
      </w:r>
      <w:r w:rsidR="004B0370">
        <w:rPr>
          <w:rFonts w:cs="Arial"/>
          <w:i/>
          <w:iCs/>
        </w:rPr>
        <w:t xml:space="preserve"> (FGD)</w:t>
      </w:r>
    </w:p>
    <w:p w14:paraId="699DFE4E" w14:textId="559A7829" w:rsidR="00284716" w:rsidRPr="004B0370" w:rsidRDefault="00800FA6" w:rsidP="004B0370">
      <w:pPr>
        <w:pStyle w:val="Body"/>
        <w:spacing w:after="0"/>
        <w:rPr>
          <w:rFonts w:cs="Arial"/>
        </w:rPr>
      </w:pPr>
      <w:r w:rsidRPr="00284716">
        <w:rPr>
          <w:rFonts w:cs="Arial"/>
        </w:rPr>
        <w:t>The side effects perceived</w:t>
      </w:r>
      <w:r w:rsidR="00284716" w:rsidRPr="00284716">
        <w:rPr>
          <w:rFonts w:cs="Arial"/>
        </w:rPr>
        <w:t xml:space="preserve"> were a major deterrent, with som</w:t>
      </w:r>
      <w:r w:rsidR="004B0370">
        <w:rPr>
          <w:rFonts w:cs="Arial"/>
        </w:rPr>
        <w:t>e participants reporting n</w:t>
      </w:r>
      <w:r w:rsidR="00284716" w:rsidRPr="00284716">
        <w:rPr>
          <w:rFonts w:cs="Arial"/>
          <w:lang w:val="it-IT"/>
        </w:rPr>
        <w:t>ausea</w:t>
      </w:r>
      <w:r w:rsidR="004B0370">
        <w:rPr>
          <w:rFonts w:cs="Arial"/>
          <w:lang w:val="it-IT"/>
        </w:rPr>
        <w:t>, v</w:t>
      </w:r>
      <w:r w:rsidR="00284716" w:rsidRPr="004B0370">
        <w:rPr>
          <w:rFonts w:cs="Arial"/>
          <w:lang w:val="it-IT"/>
        </w:rPr>
        <w:t>omiting</w:t>
      </w:r>
      <w:r w:rsidR="004B0370" w:rsidRPr="004B0370">
        <w:rPr>
          <w:rFonts w:cs="Arial"/>
          <w:lang w:val="it-IT"/>
        </w:rPr>
        <w:t>nand a</w:t>
      </w:r>
      <w:r w:rsidR="00284716" w:rsidRPr="004B0370">
        <w:rPr>
          <w:rFonts w:cs="Arial"/>
          <w:lang w:val="it-IT"/>
        </w:rPr>
        <w:t>bdominal pain</w:t>
      </w:r>
    </w:p>
    <w:p w14:paraId="6D31F44A" w14:textId="33AA353A" w:rsidR="00284716" w:rsidRPr="00284716" w:rsidRDefault="00284716" w:rsidP="00284716">
      <w:pPr>
        <w:pStyle w:val="Body"/>
        <w:rPr>
          <w:rFonts w:cs="Arial"/>
        </w:rPr>
      </w:pPr>
      <w:r w:rsidRPr="00284716">
        <w:rPr>
          <w:rFonts w:cs="Arial"/>
          <w:i/>
          <w:iCs/>
        </w:rPr>
        <w:t>"It causes nausea, vomiting, and stomach pain."</w:t>
      </w:r>
      <w:r w:rsidR="004B0370">
        <w:rPr>
          <w:rFonts w:cs="Arial"/>
          <w:i/>
          <w:iCs/>
        </w:rPr>
        <w:t>(FGD)</w:t>
      </w:r>
    </w:p>
    <w:p w14:paraId="3075A1B0" w14:textId="6C77EC42" w:rsidR="00284716" w:rsidRPr="00284716" w:rsidRDefault="004B0370" w:rsidP="00284716">
      <w:pPr>
        <w:pStyle w:val="Body"/>
        <w:spacing w:after="0"/>
        <w:rPr>
          <w:rFonts w:cs="Arial"/>
        </w:rPr>
      </w:pPr>
      <w:r w:rsidRPr="004B0370">
        <w:rPr>
          <w:rFonts w:cs="Arial"/>
        </w:rPr>
        <w:t>It is reported that</w:t>
      </w:r>
      <w:r w:rsidR="00284716" w:rsidRPr="00284716">
        <w:rPr>
          <w:rFonts w:cs="Arial"/>
        </w:rPr>
        <w:t xml:space="preserve"> refusal to take MDA was influenced by </w:t>
      </w:r>
      <w:proofErr w:type="spellStart"/>
      <w:r w:rsidR="00B42AF0" w:rsidRPr="00562362">
        <w:rPr>
          <w:rFonts w:cs="Arial"/>
          <w:highlight w:val="yellow"/>
        </w:rPr>
        <w:t>rumours</w:t>
      </w:r>
      <w:proofErr w:type="spellEnd"/>
      <w:r w:rsidR="00284716" w:rsidRPr="00562362">
        <w:rPr>
          <w:rFonts w:cs="Arial"/>
          <w:highlight w:val="yellow"/>
        </w:rPr>
        <w:t>, subjective</w:t>
      </w:r>
      <w:r w:rsidR="00284716" w:rsidRPr="00284716">
        <w:rPr>
          <w:rFonts w:cs="Arial"/>
        </w:rPr>
        <w:t xml:space="preserve"> experiences of side effects, religious objections, community misinformation, food insecurity, conspiracy theories about the program’s true purpose, and distrust of CHWs</w:t>
      </w:r>
      <w:r w:rsidR="00C2494F">
        <w:rPr>
          <w:rFonts w:cs="Arial"/>
        </w:rPr>
        <w:t xml:space="preserve"> </w:t>
      </w:r>
      <w:r w:rsidR="00C2494F">
        <w:rPr>
          <w:rFonts w:cs="Arial"/>
        </w:rPr>
        <w:fldChar w:fldCharType="begin"/>
      </w:r>
      <w:r w:rsidR="00C2494F">
        <w:rPr>
          <w:rFonts w:cs="Arial"/>
        </w:rPr>
        <w:instrText xml:space="preserve"> ADDIN ZOTERO_ITEM CSL_CITATION {"citationID":"2csYjrN9","properties":{"formattedCitation":"(Omedo et al., 2012)","plainCitation":"(Omedo et al., 2012)","noteIndex":0},"citationItems":[{"id":3956,"uris":["http://zotero.org/users/local/ViU5KU9X/items/76ADLELB"],"itemData":{"id":3956,"type":"article-journal","abstract":"The Schistosomiasis Consortium for Operational Research and Evaluation (SCORE) includes communitywide treatment in areas with ≥ 25% prevalence of schistosomiasis along the shores of Lake Victoria using community health workers (CHWs). The CHWs are key drivers in community-owned mass drug administration (MDA) intervention programs. We explored their experiences and perceptions after initial MDA participation. Unstructured open-ended group discussions were conducted after completion of MDA activities. Narratives were obtained from CHWs using a digital audio recorder during the group discussion, transcribed verbatim and translated into English where applicable. Thematic decomposition of data was done using ATLAS.t.i. software. From the perspective of the CHWs, factors influencing MDA compliance included drug side effects, food supply stability, and conspiracy theories about the “real” purpose of treatment. The interest of CHWs to serve as community drug distributors stemmed from both intrinsic and extrinsic factors. Feedback from CHWs can promote more effective MDA in rural Kenyan communities.","container-title":"The American Society of Tropical Medicine and Hygiene","DOI":"10.4269/ajtmh.2012.12-0435","ISSN":"0002-9637, 1476-1645","issue":"6","page":"1065-1072","source":"DOI.org (Crossref)","title":"Community Health Workers' Experiences and Perspectives on Mass Drug Administration for Schistosomiasis Control in Western Kenya: The SCORE Project","title-short":"Community Health Workers' Experiences and Perspectives on Mass Drug Administration for Schistosomiasis Control in Western Kenya","URL":"https://www.ajtmh.org/view/journals/tpmd/87/6/article-p1065.xml","volume":"87","author":[{"family":"Omedo","given":"Martin O."},{"family":"Matey","given":"Elizabeth J."},{"family":"Awiti","given":"Alphonce"},{"family":"Ogutu","given":"Michael"},{"family":"Alaii","given":"Jane"},{"family":"Karanja","given":"Diana M. S."},{"family":"Montgomery","given":"Susan P."},{"family":"Secor","given":"W. Evan"},{"family":"Mwinzi","given":"Pauline N. M."}],"accessed":{"date-parts":[["2025",3,4]]},"issued":{"date-parts":[["2012",12,5]]}}}],"schema":"https://github.com/citation-style-language/schema/raw/master/csl-citation.json"} </w:instrText>
      </w:r>
      <w:r w:rsidR="00C2494F">
        <w:rPr>
          <w:rFonts w:cs="Arial"/>
        </w:rPr>
        <w:fldChar w:fldCharType="separate"/>
      </w:r>
      <w:r w:rsidR="00C2494F" w:rsidRPr="00C2494F">
        <w:rPr>
          <w:rFonts w:cs="Arial"/>
        </w:rPr>
        <w:t>(Omedo et al., 2012)</w:t>
      </w:r>
      <w:r w:rsidR="00C2494F">
        <w:rPr>
          <w:rFonts w:cs="Arial"/>
        </w:rPr>
        <w:fldChar w:fldCharType="end"/>
      </w:r>
      <w:r w:rsidR="00284716" w:rsidRPr="00284716">
        <w:rPr>
          <w:rFonts w:cs="Arial"/>
        </w:rPr>
        <w:t>.</w:t>
      </w:r>
    </w:p>
    <w:p w14:paraId="498F7636" w14:textId="46F4FBA7" w:rsidR="00284716" w:rsidRPr="00284716" w:rsidRDefault="00284716" w:rsidP="00B02B62">
      <w:pPr>
        <w:pStyle w:val="Body"/>
        <w:spacing w:after="0"/>
        <w:rPr>
          <w:rFonts w:cs="Arial"/>
        </w:rPr>
      </w:pPr>
      <w:r w:rsidRPr="00284716">
        <w:rPr>
          <w:rFonts w:cs="Arial"/>
        </w:rPr>
        <w:t>Despite this, most participants trusted the program, particularly because health professionals themselves take the medication.</w:t>
      </w:r>
      <w:r w:rsidRPr="00284716">
        <w:rPr>
          <w:rFonts w:cs="Arial"/>
          <w:i/>
          <w:iCs/>
        </w:rPr>
        <w:t>"</w:t>
      </w:r>
      <w:r w:rsidR="00E92801">
        <w:rPr>
          <w:rFonts w:cs="Arial"/>
          <w:i/>
          <w:iCs/>
        </w:rPr>
        <w:t xml:space="preserve"> </w:t>
      </w:r>
      <w:r w:rsidRPr="00284716">
        <w:rPr>
          <w:rFonts w:cs="Arial"/>
          <w:i/>
          <w:iCs/>
        </w:rPr>
        <w:t>I trust it because even doctors and nurses use it."</w:t>
      </w:r>
      <w:r w:rsidR="005D44D0">
        <w:rPr>
          <w:rFonts w:cs="Arial"/>
          <w:i/>
          <w:iCs/>
        </w:rPr>
        <w:t xml:space="preserve"> (FGD)</w:t>
      </w:r>
    </w:p>
    <w:p w14:paraId="1FB6DE4B" w14:textId="4FAF99F6" w:rsidR="00284716" w:rsidRDefault="00284716" w:rsidP="00284716">
      <w:pPr>
        <w:pStyle w:val="Body"/>
        <w:spacing w:after="0"/>
        <w:rPr>
          <w:rFonts w:cs="Arial"/>
        </w:rPr>
      </w:pPr>
      <w:r w:rsidRPr="00284716">
        <w:rPr>
          <w:rFonts w:cs="Arial"/>
        </w:rPr>
        <w:t xml:space="preserve">However, a small minority remained </w:t>
      </w:r>
      <w:proofErr w:type="spellStart"/>
      <w:r w:rsidR="00B42AF0" w:rsidRPr="00562362">
        <w:rPr>
          <w:rFonts w:cs="Arial"/>
          <w:highlight w:val="yellow"/>
        </w:rPr>
        <w:t>sceptical</w:t>
      </w:r>
      <w:proofErr w:type="spellEnd"/>
      <w:r w:rsidRPr="00562362">
        <w:rPr>
          <w:rFonts w:cs="Arial"/>
          <w:highlight w:val="yellow"/>
        </w:rPr>
        <w:t>.</w:t>
      </w:r>
    </w:p>
    <w:p w14:paraId="6B70BC4C" w14:textId="77777777" w:rsidR="00B02B62" w:rsidRPr="00284716" w:rsidRDefault="00B02B62" w:rsidP="00284716">
      <w:pPr>
        <w:pStyle w:val="Body"/>
        <w:spacing w:after="0"/>
        <w:rPr>
          <w:rFonts w:cs="Arial"/>
        </w:rPr>
      </w:pPr>
    </w:p>
    <w:p w14:paraId="457AB392" w14:textId="084EBC6B" w:rsidR="00284716" w:rsidRPr="00284716" w:rsidRDefault="00284716" w:rsidP="00284716">
      <w:pPr>
        <w:pStyle w:val="Body"/>
        <w:spacing w:after="0"/>
        <w:rPr>
          <w:rFonts w:cs="Arial"/>
        </w:rPr>
      </w:pPr>
      <w:r w:rsidRPr="00284716">
        <w:rPr>
          <w:rFonts w:cs="Arial"/>
        </w:rPr>
        <w:t>Several key barrie</w:t>
      </w:r>
      <w:r w:rsidR="005D44D0">
        <w:rPr>
          <w:rFonts w:cs="Arial"/>
        </w:rPr>
        <w:t>rs to adherence were identified</w:t>
      </w:r>
      <w:r w:rsidR="00B42AF0">
        <w:rPr>
          <w:rFonts w:cs="Arial"/>
        </w:rPr>
        <w:t>,</w:t>
      </w:r>
      <w:r w:rsidR="005D44D0">
        <w:rPr>
          <w:rFonts w:cs="Arial"/>
        </w:rPr>
        <w:t xml:space="preserve"> including:</w:t>
      </w:r>
    </w:p>
    <w:p w14:paraId="4D47B908" w14:textId="1EB2411F" w:rsidR="00284716" w:rsidRPr="00284716" w:rsidRDefault="00284716" w:rsidP="005D44D0">
      <w:pPr>
        <w:pStyle w:val="Body"/>
        <w:spacing w:after="0"/>
        <w:rPr>
          <w:rFonts w:cs="Arial"/>
        </w:rPr>
      </w:pPr>
      <w:r w:rsidRPr="00284716">
        <w:rPr>
          <w:rFonts w:cs="Arial"/>
        </w:rPr>
        <w:t xml:space="preserve">Poor </w:t>
      </w:r>
      <w:proofErr w:type="spellStart"/>
      <w:r w:rsidR="00B42AF0" w:rsidRPr="00562362">
        <w:rPr>
          <w:rFonts w:cs="Arial"/>
          <w:highlight w:val="yellow"/>
        </w:rPr>
        <w:t>sensitisation</w:t>
      </w:r>
      <w:proofErr w:type="spellEnd"/>
      <w:r w:rsidRPr="00562362">
        <w:rPr>
          <w:rFonts w:cs="Arial"/>
          <w:highlight w:val="yellow"/>
        </w:rPr>
        <w:t>:</w:t>
      </w:r>
      <w:r w:rsidRPr="00284716">
        <w:rPr>
          <w:rFonts w:cs="Arial"/>
        </w:rPr>
        <w:t xml:space="preserve"> </w:t>
      </w:r>
      <w:r w:rsidRPr="00284716">
        <w:rPr>
          <w:rFonts w:cs="Arial"/>
          <w:i/>
          <w:iCs/>
        </w:rPr>
        <w:t>"Some CHWs don’t give clear explanations."</w:t>
      </w:r>
      <w:r w:rsidR="005D44D0">
        <w:rPr>
          <w:rFonts w:cs="Arial"/>
          <w:i/>
          <w:iCs/>
        </w:rPr>
        <w:t xml:space="preserve"> (FGD)</w:t>
      </w:r>
    </w:p>
    <w:p w14:paraId="2F91AFCC" w14:textId="182B0AA6" w:rsidR="00284716" w:rsidRPr="00284716" w:rsidRDefault="00284716" w:rsidP="005D44D0">
      <w:pPr>
        <w:pStyle w:val="Body"/>
        <w:spacing w:after="0"/>
        <w:rPr>
          <w:rFonts w:cs="Arial"/>
        </w:rPr>
      </w:pPr>
      <w:r w:rsidRPr="00284716">
        <w:rPr>
          <w:rFonts w:cs="Arial"/>
        </w:rPr>
        <w:t xml:space="preserve">Fear of side effects: </w:t>
      </w:r>
      <w:r w:rsidRPr="00284716">
        <w:rPr>
          <w:rFonts w:cs="Arial"/>
          <w:i/>
          <w:iCs/>
        </w:rPr>
        <w:t>"I felt dizzy after taking the medicine."</w:t>
      </w:r>
      <w:r w:rsidR="005D44D0">
        <w:rPr>
          <w:rFonts w:cs="Arial"/>
          <w:i/>
          <w:iCs/>
        </w:rPr>
        <w:t xml:space="preserve"> (FGD)</w:t>
      </w:r>
    </w:p>
    <w:p w14:paraId="63940BC7" w14:textId="61473875" w:rsidR="00284716" w:rsidRPr="00284716" w:rsidRDefault="00284716" w:rsidP="005D44D0">
      <w:pPr>
        <w:pStyle w:val="Body"/>
        <w:spacing w:after="0"/>
        <w:rPr>
          <w:rFonts w:cs="Arial"/>
        </w:rPr>
      </w:pPr>
      <w:r w:rsidRPr="00284716">
        <w:rPr>
          <w:rFonts w:cs="Arial"/>
        </w:rPr>
        <w:t xml:space="preserve">Limited accessibility: </w:t>
      </w:r>
      <w:r w:rsidRPr="00284716">
        <w:rPr>
          <w:rFonts w:cs="Arial"/>
          <w:i/>
          <w:iCs/>
        </w:rPr>
        <w:t>"We don’t have enough stock to cover everyone."</w:t>
      </w:r>
      <w:r w:rsidR="005D44D0">
        <w:rPr>
          <w:rFonts w:cs="Arial"/>
          <w:i/>
          <w:iCs/>
        </w:rPr>
        <w:t xml:space="preserve"> (</w:t>
      </w:r>
      <w:r w:rsidR="007360BA">
        <w:rPr>
          <w:rFonts w:cs="Arial"/>
          <w:i/>
          <w:iCs/>
        </w:rPr>
        <w:t>Interview</w:t>
      </w:r>
      <w:r w:rsidR="005D44D0">
        <w:rPr>
          <w:rFonts w:cs="Arial"/>
          <w:i/>
          <w:iCs/>
        </w:rPr>
        <w:t xml:space="preserve"> with a CHW)</w:t>
      </w:r>
    </w:p>
    <w:p w14:paraId="005655F1" w14:textId="234E6230" w:rsidR="00284716" w:rsidRPr="00284716" w:rsidRDefault="00284716" w:rsidP="005D44D0">
      <w:pPr>
        <w:pStyle w:val="Body"/>
        <w:spacing w:after="0"/>
        <w:rPr>
          <w:rFonts w:cs="Arial"/>
        </w:rPr>
      </w:pPr>
      <w:r w:rsidRPr="00284716">
        <w:rPr>
          <w:rFonts w:cs="Arial"/>
        </w:rPr>
        <w:t xml:space="preserve">Reluctance among beneficiaries: </w:t>
      </w:r>
      <w:r w:rsidRPr="00284716">
        <w:rPr>
          <w:rFonts w:cs="Arial"/>
          <w:i/>
          <w:iCs/>
        </w:rPr>
        <w:t>"I only take medicine when I’m sick."</w:t>
      </w:r>
      <w:r w:rsidR="005D44D0">
        <w:rPr>
          <w:rFonts w:cs="Arial"/>
          <w:i/>
          <w:iCs/>
        </w:rPr>
        <w:t xml:space="preserve"> (FGD)</w:t>
      </w:r>
    </w:p>
    <w:p w14:paraId="4D589EA2" w14:textId="77777777" w:rsidR="00790ADA" w:rsidRPr="00FB3A86" w:rsidRDefault="00790ADA" w:rsidP="00441B6F">
      <w:pPr>
        <w:pStyle w:val="Body"/>
        <w:spacing w:after="0"/>
        <w:rPr>
          <w:rFonts w:cs="Arial"/>
        </w:rPr>
      </w:pPr>
    </w:p>
    <w:p w14:paraId="771D6F26" w14:textId="6C45C9A0" w:rsidR="00254157" w:rsidRPr="00254157" w:rsidRDefault="0014189D" w:rsidP="001E025E">
      <w:pPr>
        <w:pStyle w:val="Heading1"/>
      </w:pPr>
      <w:r>
        <w:t>discussion</w:t>
      </w:r>
    </w:p>
    <w:p w14:paraId="3F3DFAD1" w14:textId="60E46D81" w:rsidR="00254157" w:rsidRPr="00254157" w:rsidRDefault="00254157" w:rsidP="00254157">
      <w:r w:rsidRPr="00254157">
        <w:t>The mixed-method approach used in this study allows for a triangulation of quantitative and qualitative results, providing a deeper understanding of MDA compliance for soil-transmitted helminthiasis (STH). The findings indicate that 64.89% of WRA adhered to MDA, while 10.88% did not, and 24.23% had never participated in an MDA campaign.</w:t>
      </w:r>
    </w:p>
    <w:p w14:paraId="7851942E" w14:textId="57A114B6" w:rsidR="00254157" w:rsidRPr="00254157" w:rsidRDefault="00254157" w:rsidP="00254157">
      <w:r w:rsidRPr="00254157">
        <w:t>These results suggest that the actual coverage rate is lower than reported and that community drug distributors (CDDs) do not always ensure direct drug intake during delivery, contrary to MDA guidelines.</w:t>
      </w:r>
    </w:p>
    <w:p w14:paraId="6CAEB2F4" w14:textId="6A7B1B11" w:rsidR="00254157" w:rsidRPr="00254157" w:rsidRDefault="00254157" w:rsidP="00DC270B">
      <w:pPr>
        <w:pStyle w:val="Heading2"/>
        <w:rPr>
          <w:lang w:val="it-IT"/>
        </w:rPr>
      </w:pPr>
      <w:r w:rsidRPr="00254157">
        <w:rPr>
          <w:lang w:val="it-IT"/>
        </w:rPr>
        <w:t xml:space="preserve">Sociodemographic </w:t>
      </w:r>
      <w:r w:rsidR="00936D07">
        <w:rPr>
          <w:lang w:val="it-IT"/>
        </w:rPr>
        <w:t>p</w:t>
      </w:r>
      <w:r w:rsidRPr="00254157">
        <w:rPr>
          <w:lang w:val="it-IT"/>
        </w:rPr>
        <w:t xml:space="preserve">rofile and MDA </w:t>
      </w:r>
      <w:r w:rsidR="00936D07">
        <w:rPr>
          <w:lang w:val="it-IT"/>
        </w:rPr>
        <w:t>c</w:t>
      </w:r>
      <w:r w:rsidRPr="00254157">
        <w:rPr>
          <w:lang w:val="it-IT"/>
        </w:rPr>
        <w:t>ompliance</w:t>
      </w:r>
    </w:p>
    <w:p w14:paraId="0514196E" w14:textId="35EB4BAB" w:rsidR="00254157" w:rsidRPr="00254157" w:rsidRDefault="00254157" w:rsidP="00254157">
      <w:r w:rsidRPr="00254157">
        <w:t xml:space="preserve">The quantitative analysis reveals </w:t>
      </w:r>
      <w:r w:rsidR="00CD0BDB" w:rsidRPr="00254157">
        <w:t xml:space="preserve">that adult </w:t>
      </w:r>
      <w:r w:rsidR="00B42AF0" w:rsidRPr="00562362">
        <w:rPr>
          <w:highlight w:val="yellow"/>
        </w:rPr>
        <w:t>women</w:t>
      </w:r>
      <w:r w:rsidR="00B42AF0" w:rsidRPr="00254157">
        <w:t xml:space="preserve"> </w:t>
      </w:r>
      <w:r w:rsidRPr="00254157">
        <w:t>(20–49 years old) are significantly more compliant than adolescents (15–19 years old). A similar trend was identified in the case-control study by Kulandaipalayam N. et al., where women aged 25–34 years showed the highest compliance</w:t>
      </w:r>
      <w:r w:rsidR="00DB47C9">
        <w:fldChar w:fldCharType="begin"/>
      </w:r>
      <w:r w:rsidR="00DB47C9">
        <w:instrText xml:space="preserve"> ADDIN ZOTERO_ITEM CSL_CITATION {"citationID":"E8ckp0Rq","properties":{"formattedCitation":"(Kulandaipalayam, 2023)","plainCitation":"(Kulandaipalayam, 2023)","noteIndex":0},"citationItems":[{"id":3824,"uris":["http://zotero.org/users/local/ViU5KU9X/items/LFCG2AAS"],"itemData":{"id":3824,"type":"article-journal","DOI":"10.4269/ajtmh.23-0176","issue":"109","journalAbbreviation":"Am. J. Trop. Med. Hyg.","page":"830–834","title":"Perceptions Associated with Noncompliance to Community-Wide Mass Drug Administration for Soil-Transmitted Helminths","volume":"4","author":[{"family":"Kulandaipalayam","given":"Sindhu"}],"issued":{"date-parts":[["2023"]]}}}],"schema":"https://github.com/citation-style-language/schema/raw/master/csl-citation.json"} </w:instrText>
      </w:r>
      <w:r w:rsidR="00DB47C9">
        <w:fldChar w:fldCharType="separate"/>
      </w:r>
      <w:r w:rsidR="00DB47C9" w:rsidRPr="00DB47C9">
        <w:rPr>
          <w:rFonts w:cs="Arial"/>
        </w:rPr>
        <w:t>(Kulandaipalayam, 2023)</w:t>
      </w:r>
      <w:r w:rsidR="00DB47C9">
        <w:fldChar w:fldCharType="end"/>
      </w:r>
      <w:r w:rsidRPr="00254157">
        <w:t>.</w:t>
      </w:r>
    </w:p>
    <w:p w14:paraId="6F203BE4" w14:textId="3E278886" w:rsidR="00254157" w:rsidRPr="00254157" w:rsidRDefault="00254157" w:rsidP="00254157">
      <w:r w:rsidRPr="00254157">
        <w:t>Adult women were 42% more likely to adhe</w:t>
      </w:r>
      <w:r w:rsidR="007523B3">
        <w:t>re to MDA</w:t>
      </w:r>
      <w:r w:rsidRPr="00254157">
        <w:t>. This pattern is confirmed by qualitative findings, where adolescents often require parental consent before taking medication, limiting their decision-making autonomy.</w:t>
      </w:r>
    </w:p>
    <w:p w14:paraId="42A69D1A" w14:textId="77777777" w:rsidR="00254157" w:rsidRPr="00254157" w:rsidRDefault="00254157" w:rsidP="00254157">
      <w:r w:rsidRPr="00254157">
        <w:rPr>
          <w:i/>
          <w:iCs/>
        </w:rPr>
        <w:t>"Adult women can freely make health decisions, while minors must wait for parental permission."</w:t>
      </w:r>
    </w:p>
    <w:p w14:paraId="679A5AAC" w14:textId="1EC2C2A1" w:rsidR="00254157" w:rsidRPr="00254157" w:rsidRDefault="00254157" w:rsidP="00254157">
      <w:r w:rsidRPr="00254157">
        <w:t>Additionally, educated women were nearly three times more likely to comply</w:t>
      </w:r>
      <w:r w:rsidR="007523B3">
        <w:t xml:space="preserve"> with MDA</w:t>
      </w:r>
      <w:r w:rsidRPr="00254157">
        <w:t xml:space="preserve">. This is supported by previous research highlighting the crucial role of education in treatment adherence </w:t>
      </w:r>
      <w:r w:rsidR="00DB47C9">
        <w:fldChar w:fldCharType="begin"/>
      </w:r>
      <w:r w:rsidR="006844F7">
        <w:instrText xml:space="preserve"> ADDIN ZOTERO_ITEM CSL_CITATION {"citationID":"ZV4BJJNG","properties":{"formattedCitation":"(KAMARIZA, 2015)","plainCitation":"(KAMARIZA, 2015)","dontUpdate":true,"noteIndex":0},"citationItems":[{"id":3885,"uris":["http://zotero.org/users/local/ViU5KU9X/items/HD6TUPTU"],"itemData":{"id":3885,"type":"thesis","event-place":"Bujumbura","number-of-pages":"88","publisher":"INSTITUT NATIONAL DE SANTE PUBLIQUE","publisher-place":"Bujumbura","title":"Etude des facteurs contribuant à la persistance des géohelminthiases en milieu rural : Cas de la Province Kirundo","author":[{"family":"KAMARIZA","given":"Micheline"}],"issued":{"date-parts":[["2015",8]]}}}],"schema":"https://github.com/citation-style-language/schema/raw/master/csl-citation.json"} </w:instrText>
      </w:r>
      <w:r w:rsidR="00DB47C9">
        <w:fldChar w:fldCharType="separate"/>
      </w:r>
      <w:r w:rsidR="00DB47C9" w:rsidRPr="00DB47C9">
        <w:rPr>
          <w:rFonts w:cs="Arial"/>
        </w:rPr>
        <w:t>(KAMARIZA, 2015</w:t>
      </w:r>
      <w:r w:rsidR="0091242F">
        <w:rPr>
          <w:rFonts w:cs="Arial"/>
        </w:rPr>
        <w:t>;</w:t>
      </w:r>
      <w:r w:rsidR="0091242F" w:rsidRPr="0091242F">
        <w:t xml:space="preserve"> </w:t>
      </w:r>
      <w:r w:rsidR="0091242F" w:rsidRPr="00254157">
        <w:t>WHO, 2018</w:t>
      </w:r>
      <w:r w:rsidR="00DB47C9" w:rsidRPr="00DB47C9">
        <w:rPr>
          <w:rFonts w:cs="Arial"/>
        </w:rPr>
        <w:t>)</w:t>
      </w:r>
      <w:r w:rsidR="00DB47C9">
        <w:fldChar w:fldCharType="end"/>
      </w:r>
      <w:r w:rsidRPr="00254157">
        <w:t>.</w:t>
      </w:r>
      <w:r w:rsidR="007523B3">
        <w:t xml:space="preserve"> </w:t>
      </w:r>
      <w:r w:rsidR="007523B3" w:rsidRPr="007523B3">
        <w:t>Similar findings were reported</w:t>
      </w:r>
      <w:r w:rsidR="007523B3">
        <w:t xml:space="preserve"> i</w:t>
      </w:r>
      <w:r w:rsidRPr="00254157">
        <w:t xml:space="preserve">n rural Burundi </w:t>
      </w:r>
      <w:r w:rsidR="007523B3">
        <w:t xml:space="preserve">by </w:t>
      </w:r>
      <w:proofErr w:type="spellStart"/>
      <w:r w:rsidR="007523B3">
        <w:t>Kamariza</w:t>
      </w:r>
      <w:proofErr w:type="spellEnd"/>
      <w:r w:rsidR="007523B3">
        <w:t xml:space="preserve"> M. </w:t>
      </w:r>
      <w:r w:rsidRPr="00254157">
        <w:t xml:space="preserve">that helminthiasis persisted in 72% of illiterate individuals </w:t>
      </w:r>
      <w:r w:rsidR="002C44EE">
        <w:fldChar w:fldCharType="begin"/>
      </w:r>
      <w:r w:rsidR="006844F7">
        <w:instrText xml:space="preserve"> ADDIN ZOTERO_ITEM CSL_CITATION {"citationID":"OmLilZx6","properties":{"formattedCitation":"(KAMARIZA, 2015)","plainCitation":"(KAMARIZA, 2015)","noteIndex":0},"citationItems":[{"id":3885,"uris":["http://zotero.org/users/local/ViU5KU9X/items/HD6TUPTU"],"itemData":{"id":3885,"type":"thesis","event-place":"Bujumbura","number-of-pages":"88","publisher":"INSTITUT NATIONAL DE SANTE PUBLIQUE","publisher-place":"Bujumbura","title":"Etude des facteurs contribuant à la persistance des géohelminthiases en milieu rural : Cas de la Province Kirundo","author":[{"family":"KAMARIZA","given":"Micheline"}],"issued":{"date-parts":[["2015",8]]}}}],"schema":"https://github.com/citation-style-language/schema/raw/master/csl-citation.json"} </w:instrText>
      </w:r>
      <w:r w:rsidR="002C44EE">
        <w:fldChar w:fldCharType="separate"/>
      </w:r>
      <w:r w:rsidR="002C44EE" w:rsidRPr="002C44EE">
        <w:rPr>
          <w:rFonts w:cs="Arial"/>
        </w:rPr>
        <w:t>(KAMARIZA, 2015)</w:t>
      </w:r>
      <w:r w:rsidR="002C44EE">
        <w:fldChar w:fldCharType="end"/>
      </w:r>
      <w:r w:rsidR="002C44EE">
        <w:t>.</w:t>
      </w:r>
    </w:p>
    <w:p w14:paraId="27955612" w14:textId="423FB530" w:rsidR="00254157" w:rsidRPr="00254157" w:rsidRDefault="00254157" w:rsidP="00254157">
      <w:r w:rsidRPr="00254157">
        <w:t xml:space="preserve">Economic status also influences MDA </w:t>
      </w:r>
      <w:r w:rsidR="006C3711">
        <w:t>complia</w:t>
      </w:r>
      <w:r w:rsidRPr="00254157">
        <w:t xml:space="preserve">nce. Women with a low economic status were 53% less likely to </w:t>
      </w:r>
      <w:r w:rsidR="007523B3">
        <w:t>comply</w:t>
      </w:r>
      <w:r w:rsidRPr="00254157">
        <w:t xml:space="preserve">. This correlation may be linked to low education levels, misconceptions about treatment, and </w:t>
      </w:r>
      <w:r w:rsidR="00B42AF0">
        <w:t xml:space="preserve">a </w:t>
      </w:r>
      <w:r w:rsidRPr="00254157">
        <w:t>poor understanding of MDA objectives.</w:t>
      </w:r>
    </w:p>
    <w:p w14:paraId="2713C55C" w14:textId="77B19288" w:rsidR="00254157" w:rsidRPr="00254157" w:rsidRDefault="00254157" w:rsidP="00254157">
      <w:r w:rsidRPr="00254157">
        <w:lastRenderedPageBreak/>
        <w:t>According to Cosse &amp; Pascaline, women from low-income backgrounds often experience social and economic oppression, which limits their autonomy and access to healthcare</w:t>
      </w:r>
      <w:r w:rsidR="002C44EE">
        <w:t xml:space="preserve"> </w:t>
      </w:r>
      <w:r w:rsidR="002C44EE">
        <w:fldChar w:fldCharType="begin"/>
      </w:r>
      <w:r w:rsidR="006844F7">
        <w:instrText xml:space="preserve"> ADDIN ZOTERO_ITEM CSL_CITATION {"citationID":"PZVDMSEQ","properties":{"formattedCitation":"(Cosse, 2005)","plainCitation":"(Cosse, 2005)","noteIndex":0},"citationItems":[{"id":3952,"uris":["http://zotero.org/users/local/ViU5KU9X/items/999L7LWC"],"itemData":{"id":3952,"type":"article-journal","abstract":"Les femmes, en particulier celles issues de milieux populaires, vivent souvent dans des conditions d'impuissance et d'oppression sur le plan socio-économique. Après un aperçu des facteurs qui les placent dans cette situation, l'article présente l'élaboration d'une intervention de groupe qui misait sur la création d'une coopérative de travail comme moyen de réinsertion collective.\n            Ce projet a été réalisé dans le cadre d'un stage de maîtrise en service social. Aussi s'agit-il de comprendre les résultats de l'expérience, autant sur le plan de l'atteinte des objectifs que du processus de groupe, dans les limites de ce contexte. Il demeure que la démarche ainsi que la perspective utilisées, en regard de différents courants théoriques sur lesquels l'intervention se fonde, méritaient d'être rapportées.","container-title":"Service social","DOI":"10.7202/706623ar","ISSN":"1708-1734","issue":"2","journalAbbreviation":"ss","language":"fr","page":"163-182","source":"DOI.org (Crossref)","title":"Vers le développement de l’autonomie économique des femmes : une expérience de groupe","title-short":"Vers le développement de l’autonomie économique des femmes","URL":"http://id.erudit.org/iderudit/706623ar","volume":"42","author":[{"family":"Cosse","given":"Pascaline"}],"accessed":{"date-parts":[["2025",2,27]]},"issued":{"date-parts":[["2005",4,12]]}}}],"schema":"https://github.com/citation-style-language/schema/raw/master/csl-citation.json"} </w:instrText>
      </w:r>
      <w:r w:rsidR="002C44EE">
        <w:fldChar w:fldCharType="separate"/>
      </w:r>
      <w:r w:rsidR="002C44EE" w:rsidRPr="002C44EE">
        <w:rPr>
          <w:rFonts w:cs="Arial"/>
        </w:rPr>
        <w:t>(Cosse, 2005)</w:t>
      </w:r>
      <w:r w:rsidR="002C44EE">
        <w:fldChar w:fldCharType="end"/>
      </w:r>
      <w:r w:rsidRPr="00254157">
        <w:t>.</w:t>
      </w:r>
    </w:p>
    <w:p w14:paraId="27B9595D" w14:textId="30B1565B" w:rsidR="00254157" w:rsidRPr="00254157" w:rsidRDefault="00254157" w:rsidP="00DF2191">
      <w:r w:rsidRPr="00254157">
        <w:t>"</w:t>
      </w:r>
      <w:r w:rsidRPr="00F019E4">
        <w:rPr>
          <w:i/>
          <w:iCs/>
        </w:rPr>
        <w:t xml:space="preserve">Why </w:t>
      </w:r>
      <w:r w:rsidR="004471C7" w:rsidRPr="00F019E4">
        <w:rPr>
          <w:i/>
          <w:iCs/>
        </w:rPr>
        <w:t>do we take</w:t>
      </w:r>
      <w:r w:rsidRPr="00F019E4">
        <w:rPr>
          <w:i/>
          <w:iCs/>
        </w:rPr>
        <w:t xml:space="preserve"> medicine when we're not sick? They should bring us food instead"</w:t>
      </w:r>
      <w:r w:rsidR="00B42AF0">
        <w:t>,</w:t>
      </w:r>
      <w:r w:rsidR="002C44EE">
        <w:t xml:space="preserve"> </w:t>
      </w:r>
      <w:r w:rsidR="002C44EE" w:rsidRPr="002C44EE">
        <w:t>sa</w:t>
      </w:r>
      <w:r w:rsidR="00870865">
        <w:t>i</w:t>
      </w:r>
      <w:r w:rsidR="002C44EE" w:rsidRPr="002C44EE">
        <w:t>d a woman in FGD</w:t>
      </w:r>
      <w:r w:rsidR="002C44EE">
        <w:t>.</w:t>
      </w:r>
    </w:p>
    <w:p w14:paraId="0CA5F9EA" w14:textId="1DE9385D" w:rsidR="00254157" w:rsidRPr="00254157" w:rsidRDefault="00254157" w:rsidP="00DC270B">
      <w:pPr>
        <w:pStyle w:val="Heading2"/>
        <w:rPr>
          <w:lang w:val="it-IT"/>
        </w:rPr>
      </w:pPr>
      <w:r w:rsidRPr="00254157">
        <w:rPr>
          <w:lang w:val="it-IT"/>
        </w:rPr>
        <w:t xml:space="preserve">Health </w:t>
      </w:r>
      <w:r w:rsidR="00936D07">
        <w:rPr>
          <w:lang w:val="it-IT"/>
        </w:rPr>
        <w:t>e</w:t>
      </w:r>
      <w:r w:rsidRPr="00254157">
        <w:rPr>
          <w:lang w:val="it-IT"/>
        </w:rPr>
        <w:t xml:space="preserve">ducation and </w:t>
      </w:r>
      <w:r w:rsidR="00936D07">
        <w:rPr>
          <w:lang w:val="it-IT"/>
        </w:rPr>
        <w:t>c</w:t>
      </w:r>
      <w:r w:rsidRPr="00254157">
        <w:rPr>
          <w:lang w:val="it-IT"/>
        </w:rPr>
        <w:t>ompliance</w:t>
      </w:r>
    </w:p>
    <w:p w14:paraId="5671312A" w14:textId="77777777" w:rsidR="00254157" w:rsidRPr="00254157" w:rsidRDefault="00254157" w:rsidP="00254157">
      <w:r w:rsidRPr="00254157">
        <w:t>The quantitative findings show that 67.35% of participants were aware of MDA and STH, primarily through awareness campaigns (40.66%). However, 32.65% of women were uninformed, which represents a major barrier to compliance.</w:t>
      </w:r>
    </w:p>
    <w:p w14:paraId="4F780A13" w14:textId="48553C91" w:rsidR="00254157" w:rsidRPr="00254157" w:rsidRDefault="004471C7" w:rsidP="00254157">
      <w:r w:rsidRPr="00254157">
        <w:t>Qualitative</w:t>
      </w:r>
      <w:r w:rsidR="00254157" w:rsidRPr="00254157">
        <w:t xml:space="preserve"> analysis highlights poor interpersonal communication regarding MDA, limiting knowledge dissemination.</w:t>
      </w:r>
    </w:p>
    <w:p w14:paraId="4B27515F" w14:textId="77777777" w:rsidR="00254157" w:rsidRPr="00254157" w:rsidRDefault="00254157" w:rsidP="00254157">
      <w:r w:rsidRPr="00254157">
        <w:rPr>
          <w:i/>
          <w:iCs/>
        </w:rPr>
        <w:t>"I personally never talk about it with my family or friends."</w:t>
      </w:r>
    </w:p>
    <w:p w14:paraId="6B031448" w14:textId="57612DF9" w:rsidR="00254157" w:rsidRPr="00D60DF7" w:rsidRDefault="00254157" w:rsidP="00D60DF7">
      <w:r w:rsidRPr="00254157">
        <w:t xml:space="preserve">Furthermore, the quality of information received was rated as </w:t>
      </w:r>
      <w:r w:rsidR="002335CF">
        <w:t>inadequate by some participants</w:t>
      </w:r>
      <w:r w:rsidR="00B42AF0">
        <w:t>,</w:t>
      </w:r>
      <w:r w:rsidR="002335CF">
        <w:t xml:space="preserve"> and more than</w:t>
      </w:r>
      <w:r w:rsidR="00D60DF7">
        <w:t xml:space="preserve"> </w:t>
      </w:r>
      <w:r w:rsidR="002335CF">
        <w:t>10</w:t>
      </w:r>
      <w:r w:rsidRPr="00D60DF7">
        <w:t>% found the instructions excellent</w:t>
      </w:r>
      <w:r w:rsidR="00D60DF7">
        <w:t xml:space="preserve">, </w:t>
      </w:r>
      <w:r w:rsidRPr="00D60DF7">
        <w:t>20.74% considered them good</w:t>
      </w:r>
      <w:r w:rsidR="00D60DF7">
        <w:t xml:space="preserve">, </w:t>
      </w:r>
      <w:r w:rsidR="00B42AF0" w:rsidRPr="00562362">
        <w:rPr>
          <w:highlight w:val="yellow"/>
        </w:rPr>
        <w:t>and</w:t>
      </w:r>
      <w:r w:rsidR="00B42AF0">
        <w:t xml:space="preserve"> </w:t>
      </w:r>
      <w:r w:rsidRPr="00D60DF7">
        <w:t>25.05% found them poor</w:t>
      </w:r>
      <w:r w:rsidR="00D60DF7">
        <w:t>.</w:t>
      </w:r>
    </w:p>
    <w:p w14:paraId="702E0DFB" w14:textId="0861CC33" w:rsidR="00254157" w:rsidRPr="00254157" w:rsidRDefault="00B42AF0" w:rsidP="00254157">
      <w:r w:rsidRPr="00562362">
        <w:rPr>
          <w:highlight w:val="yellow"/>
        </w:rPr>
        <w:t>In a</w:t>
      </w:r>
      <w:r w:rsidR="00254157" w:rsidRPr="00562362">
        <w:rPr>
          <w:highlight w:val="yellow"/>
        </w:rPr>
        <w:t xml:space="preserve"> review</w:t>
      </w:r>
      <w:r w:rsidR="00254157" w:rsidRPr="00254157">
        <w:t xml:space="preserve"> on MDA acceptability in Asia, knowledge about treatment benefits was often inconsistent</w:t>
      </w:r>
      <w:r w:rsidR="00D60DF7">
        <w:t xml:space="preserve"> </w:t>
      </w:r>
      <w:r w:rsidR="00D60DF7">
        <w:fldChar w:fldCharType="begin"/>
      </w:r>
      <w:r w:rsidR="006844F7">
        <w:instrText xml:space="preserve"> ADDIN ZOTERO_ITEM CSL_CITATION {"citationID":"X3ePbjBG","properties":{"formattedCitation":"(Mitchell et al., 2022)","plainCitation":"(Mitchell et al., 2022)","noteIndex":0},"citationItems":[{"id":3944,"uris":["http://zotero.org/users/local/ViU5KU9X/items/5RCXWTY9"],"itemData":{"id":3944,"type":"article-journal","abstract":"Background\n              Preventative chemotherapy and mass drug administration have been identified as effective strategies for the prevention, treatment, control and elimination of several NTDs in the Asia-Pacific region. Qualitative research can provide in-depth insight into the social dynamics and processes underlying effective implementation of and adherence to mass drug administration programs. This scoping review examines published qualitative literature to examine factors influencing community perceptions and acceptability of mass drug administration approaches to control NTDs in the Asia-Pacific region.\n            \n            \n              Methodology\n              Twenty-four peer reviewed published papers reporting qualitative data from community members and stakeholders engaged in the implementation of mass drug administration programs were identified as eligible for inclusion.\n            \n            \n              Findings\n              This systematic scoping review presents available data from studies focussing on lymphatic filariasis, soil-transmitted helminths and scabies in eight national settings (India, Indonesia, Philippines, Bangladesh, Laos, American Samoa, Papua New Guinea, Fiji). The review highlights the profoundly social nature of individual, interpersonal and institutional influences on community perceptions of willingness to participate in mass drug administration programs for control of neglected tropical diseases (NTD). Future NTD research and control efforts would benefit from a stronger qualitative social science lens to mass drug administration implementation, a commitment to understanding and addressing the social and structural determinants of NTDs and NTD control in complex settings, and efforts to engage local communities as equal partners and experts in the co-design of mass drug administration and other efforts to prevent, treat, control and eliminate NTDs.\n            \n            \n              Conclusion\n              For many countries in the Asia-Pacific region, the “low hanging fruit has been picked” in terms of where mass drug administration has worked and transmission has been stopped. The settings that remain–such as remote areas of Fiji and Papua New Guinea, or large, highly populated, multi-cultural urban settings in India and Indonesia–present huge challenges going forward.","container-title":"PLOS Neglected Tropical Diseases","DOI":"10.1371/journal.pntd.0010215","ISSN":"1935-2735","issue":"3","journalAbbreviation":"PLoS Negl Trop Dis","language":"en","page":"e0010215","source":"DOI.org (Crossref)","title":"Community perceptions and acceptability of mass drug administration for the control of neglected tropical diseases in Asia-Pacific countries: A systematic scoping review of qualitative research","title-short":"Community perceptions and acceptability of mass drug administration for the control of neglected tropical diseases in Asia-Pacific countries","URL":"https://dx.plos.org/10.1371/journal.pntd.0010215","volume":"16","author":[{"family":"Mitchell","given":"Elke"},{"family":"Kelly-Hanku","given":"Angela"},{"family":"Krentel","given":"Alison"},{"family":"Romani","given":"Lucia"},{"family":"Robinson","given":"Leanne J."},{"family":"Vaz Nery","given":"Susana"},{"family":"Kaldor","given":"John"},{"family":"Steer","given":"Andrew C."},{"family":"Bell","given":"Stephen"}],"editor":[{"family":"Horstick","given":"Olaf"}],"accessed":{"date-parts":[["2025",2,26]]},"issued":{"date-parts":[["2022",3,11]]}}}],"schema":"https://github.com/citation-style-language/schema/raw/master/csl-citation.json"} </w:instrText>
      </w:r>
      <w:r w:rsidR="00D60DF7">
        <w:fldChar w:fldCharType="separate"/>
      </w:r>
      <w:r w:rsidR="00D60DF7" w:rsidRPr="00D60DF7">
        <w:rPr>
          <w:rFonts w:cs="Arial"/>
        </w:rPr>
        <w:t>(Mitchell et al., 2022)</w:t>
      </w:r>
      <w:r w:rsidR="00D60DF7">
        <w:fldChar w:fldCharType="end"/>
      </w:r>
      <w:r w:rsidR="00254157" w:rsidRPr="00254157">
        <w:t>.</w:t>
      </w:r>
    </w:p>
    <w:p w14:paraId="31DB51E4" w14:textId="3B6D453D" w:rsidR="00254157" w:rsidRPr="00254157" w:rsidRDefault="00254157" w:rsidP="00254157">
      <w:r w:rsidRPr="00254157">
        <w:t>The study also reveals that</w:t>
      </w:r>
      <w:r w:rsidR="002335CF">
        <w:t xml:space="preserve"> up to 48</w:t>
      </w:r>
      <w:r w:rsidRPr="00254157">
        <w:t>% of participants kn</w:t>
      </w:r>
      <w:r w:rsidR="002335CF">
        <w:t>ew the MDA schedule, while 41</w:t>
      </w:r>
      <w:r w:rsidRPr="00254157">
        <w:t xml:space="preserve">% did not. This lack of communication could negatively impact </w:t>
      </w:r>
      <w:r w:rsidR="00C40A1C">
        <w:t>complia</w:t>
      </w:r>
      <w:r w:rsidRPr="00254157">
        <w:t>nce.</w:t>
      </w:r>
    </w:p>
    <w:p w14:paraId="521A0E49" w14:textId="70E6816E" w:rsidR="00AD5159" w:rsidRDefault="00A01880" w:rsidP="00AD5159">
      <w:r>
        <w:t xml:space="preserve">Like </w:t>
      </w:r>
      <w:r w:rsidRPr="00254157">
        <w:t>our findings</w:t>
      </w:r>
      <w:r>
        <w:t>,</w:t>
      </w:r>
      <w:r w:rsidRPr="00254157">
        <w:t xml:space="preserve"> </w:t>
      </w:r>
      <w:r>
        <w:t>a</w:t>
      </w:r>
      <w:r w:rsidR="00254157" w:rsidRPr="00254157">
        <w:t xml:space="preserve"> study by Campillo et al. </w:t>
      </w:r>
      <w:r w:rsidR="00AD5159">
        <w:t>(</w:t>
      </w:r>
      <w:r w:rsidR="00AD5159" w:rsidRPr="00562362">
        <w:rPr>
          <w:highlight w:val="yellow"/>
        </w:rPr>
        <w:t>2021)</w:t>
      </w:r>
      <w:r w:rsidR="00AD5159">
        <w:t xml:space="preserve"> </w:t>
      </w:r>
      <w:r w:rsidR="00254157" w:rsidRPr="00254157">
        <w:t>found that although biannual albendazole administration is recommended, individual adherence remains highly variable, with an observance rate of 52%</w:t>
      </w:r>
      <w:r w:rsidR="00AD5159" w:rsidRPr="00562362">
        <w:rPr>
          <w:highlight w:val="yellow"/>
        </w:rPr>
        <w:t>.</w:t>
      </w:r>
      <w:r>
        <w:t xml:space="preserve"> </w:t>
      </w:r>
    </w:p>
    <w:p w14:paraId="2AEFE143" w14:textId="53ED4FC5" w:rsidR="00254157" w:rsidRPr="00562362" w:rsidRDefault="00254157" w:rsidP="00562362">
      <w:pPr>
        <w:rPr>
          <w:b/>
          <w:bCs/>
        </w:rPr>
      </w:pPr>
      <w:r w:rsidRPr="00562362">
        <w:rPr>
          <w:b/>
          <w:bCs/>
        </w:rPr>
        <w:t xml:space="preserve">Previous </w:t>
      </w:r>
      <w:r w:rsidR="00E804BE" w:rsidRPr="00562362">
        <w:rPr>
          <w:b/>
          <w:bCs/>
        </w:rPr>
        <w:t>e</w:t>
      </w:r>
      <w:r w:rsidRPr="00562362">
        <w:rPr>
          <w:b/>
          <w:bCs/>
        </w:rPr>
        <w:t xml:space="preserve">xperience and </w:t>
      </w:r>
      <w:r w:rsidR="00E804BE" w:rsidRPr="00562362">
        <w:rPr>
          <w:b/>
          <w:bCs/>
        </w:rPr>
        <w:t>t</w:t>
      </w:r>
      <w:r w:rsidRPr="00562362">
        <w:rPr>
          <w:b/>
          <w:bCs/>
        </w:rPr>
        <w:t xml:space="preserve">rust in the </w:t>
      </w:r>
      <w:r w:rsidR="00E804BE" w:rsidRPr="00562362">
        <w:rPr>
          <w:b/>
          <w:bCs/>
        </w:rPr>
        <w:t>p</w:t>
      </w:r>
      <w:r w:rsidRPr="00562362">
        <w:rPr>
          <w:b/>
          <w:bCs/>
        </w:rPr>
        <w:t>rogram</w:t>
      </w:r>
    </w:p>
    <w:p w14:paraId="4FA180A9" w14:textId="7D80E631" w:rsidR="00254157" w:rsidRPr="00254157" w:rsidRDefault="00254157" w:rsidP="00254157">
      <w:r w:rsidRPr="00254157">
        <w:t xml:space="preserve">The quantitative </w:t>
      </w:r>
      <w:r w:rsidR="00D13A75" w:rsidRPr="00D13A75">
        <w:t>findings</w:t>
      </w:r>
      <w:r w:rsidRPr="00254157">
        <w:t xml:space="preserve"> indicate</w:t>
      </w:r>
      <w:r w:rsidR="00D13A75">
        <w:t>d</w:t>
      </w:r>
      <w:r w:rsidRPr="00254157">
        <w:t xml:space="preserve"> that women who had previously participated in MDA were 40 times more likely t</w:t>
      </w:r>
      <w:r w:rsidR="00D13A75">
        <w:t>o comply</w:t>
      </w:r>
      <w:r w:rsidRPr="00254157">
        <w:t>. This increased trust was also reflected in the qualitative findings.</w:t>
      </w:r>
    </w:p>
    <w:p w14:paraId="01D1AB84" w14:textId="77777777" w:rsidR="00254157" w:rsidRPr="00254157" w:rsidRDefault="00254157" w:rsidP="00254157">
      <w:r w:rsidRPr="00254157">
        <w:rPr>
          <w:i/>
          <w:iCs/>
        </w:rPr>
        <w:t>"Since they started distributing these medicines, some diseases have disappeared."</w:t>
      </w:r>
    </w:p>
    <w:p w14:paraId="13CB5981" w14:textId="64097D51" w:rsidR="00254157" w:rsidRPr="00254157" w:rsidRDefault="00254157" w:rsidP="00254157">
      <w:r w:rsidRPr="00254157">
        <w:t xml:space="preserve">In a study conducted in Kenya, </w:t>
      </w:r>
      <w:r w:rsidR="007963FF" w:rsidRPr="007963FF">
        <w:rPr>
          <w:rFonts w:cs="Arial"/>
        </w:rPr>
        <w:t>Legge</w:t>
      </w:r>
      <w:r w:rsidR="007963FF" w:rsidRPr="00254157">
        <w:t xml:space="preserve"> </w:t>
      </w:r>
      <w:r w:rsidRPr="00254157">
        <w:t xml:space="preserve">et al. </w:t>
      </w:r>
      <w:r w:rsidR="00AD5159" w:rsidRPr="00562362">
        <w:rPr>
          <w:highlight w:val="yellow"/>
        </w:rPr>
        <w:t xml:space="preserve">(2020) </w:t>
      </w:r>
      <w:r w:rsidRPr="00562362">
        <w:rPr>
          <w:highlight w:val="yellow"/>
        </w:rPr>
        <w:t>found</w:t>
      </w:r>
      <w:r w:rsidRPr="00254157">
        <w:t xml:space="preserve"> that participants </w:t>
      </w:r>
      <w:proofErr w:type="spellStart"/>
      <w:r w:rsidR="00AD5159" w:rsidRPr="00562362">
        <w:rPr>
          <w:highlight w:val="yellow"/>
        </w:rPr>
        <w:t>recognised</w:t>
      </w:r>
      <w:proofErr w:type="spellEnd"/>
      <w:r w:rsidR="00AD5159" w:rsidRPr="00562362">
        <w:rPr>
          <w:highlight w:val="yellow"/>
        </w:rPr>
        <w:t xml:space="preserve"> </w:t>
      </w:r>
      <w:r w:rsidRPr="00562362">
        <w:rPr>
          <w:highlight w:val="yellow"/>
        </w:rPr>
        <w:t>a</w:t>
      </w:r>
      <w:r w:rsidRPr="00254157">
        <w:t xml:space="preserve"> decline in helminth infections, reinforcing engagement with MDA programs</w:t>
      </w:r>
      <w:r w:rsidR="007963FF">
        <w:t xml:space="preserve"> </w:t>
      </w:r>
      <w:r w:rsidR="007963FF">
        <w:fldChar w:fldCharType="begin"/>
      </w:r>
      <w:r w:rsidR="006844F7">
        <w:instrText xml:space="preserve"> ADDIN ZOTERO_ITEM CSL_CITATION {"citationID":"ia9vCgS6","properties":{"formattedCitation":"(Legge et al., 2020)","plainCitation":"(Legge et al., 2020)","noteIndex":0},"citationItems":[{"id":3767,"uris":["http://zotero.org/users/local/ViU5KU9X/items/APDRIAJ5"],"itemData":{"id":3767,"type":"article-journal","container-title":"PLoS Neglected Tropical Diseases","DOI":"10.1371/journal.pntd.0008258","ISSN":"1935-2727","issue":"4","journalAbbreviation":"PLoS Negl Trop Dis","note":"PMID: 32310966\nPMCID: PMC7192516","page":"e0008258","source":"PubMed Central","title":"Implementer and recipient perspectives of community-wide mass drug administration for soil-transmitted helminths in Kwale County, Kenya","URL":"https://www.ncbi.nlm.nih.gov/pmc/articles/PMC7192516/","volume":"14","author":[{"family":"Legge","given":"Hugo"},{"family":"Kepha","given":"Stella"},{"family":"Prochazka","given":"Mateo"},{"family":"Halliday","given":"Katherine"},{"family":"Pullan","given":"Rachel"},{"family":"Gwayi-Chore","given":"Marie-Claire"},{"family":"Njomo","given":"Doris"}],"accessed":{"date-parts":[["2024",1,26]]},"issued":{"date-parts":[["2020",4,20]]}}}],"schema":"https://github.com/citation-style-language/schema/raw/master/csl-citation.json"} </w:instrText>
      </w:r>
      <w:r w:rsidR="007963FF">
        <w:fldChar w:fldCharType="separate"/>
      </w:r>
      <w:r w:rsidR="007963FF" w:rsidRPr="007963FF">
        <w:rPr>
          <w:rFonts w:cs="Arial"/>
        </w:rPr>
        <w:t>(Legge et al., 2020)</w:t>
      </w:r>
      <w:r w:rsidR="007963FF">
        <w:fldChar w:fldCharType="end"/>
      </w:r>
      <w:r w:rsidRPr="00254157">
        <w:t>.</w:t>
      </w:r>
    </w:p>
    <w:p w14:paraId="7B35601C" w14:textId="149674E4" w:rsidR="00254157" w:rsidRPr="00A01880" w:rsidRDefault="00254157" w:rsidP="000A3AB8">
      <w:pPr>
        <w:pStyle w:val="Heading3"/>
      </w:pPr>
      <w:r w:rsidRPr="00A01880">
        <w:t xml:space="preserve">Perceived </w:t>
      </w:r>
      <w:r w:rsidR="00E804BE">
        <w:t>s</w:t>
      </w:r>
      <w:r w:rsidRPr="00A01880">
        <w:t xml:space="preserve">ide </w:t>
      </w:r>
      <w:r w:rsidR="00E804BE">
        <w:t>e</w:t>
      </w:r>
      <w:r w:rsidRPr="00A01880">
        <w:t>ffects</w:t>
      </w:r>
    </w:p>
    <w:p w14:paraId="49B4FF7E" w14:textId="77777777" w:rsidR="00254157" w:rsidRPr="00254157" w:rsidRDefault="00254157" w:rsidP="00254157">
      <w:r w:rsidRPr="00254157">
        <w:t>Perceived side effects were a major barrier to compliance. The qualitative analysis revealed that some women experienced nausea, vomiting, and abdominal pain, leading to reluctance in taking the medication.</w:t>
      </w:r>
    </w:p>
    <w:p w14:paraId="3FBA5F36" w14:textId="77777777" w:rsidR="00254157" w:rsidRPr="00254157" w:rsidRDefault="00254157" w:rsidP="00254157">
      <w:r w:rsidRPr="00254157">
        <w:rPr>
          <w:i/>
          <w:iCs/>
        </w:rPr>
        <w:t>"It causes nausea, vomiting, and stomach pain."</w:t>
      </w:r>
    </w:p>
    <w:p w14:paraId="11590E46" w14:textId="7D0CBB7A" w:rsidR="00254157" w:rsidRPr="00254157" w:rsidRDefault="00254157" w:rsidP="00254157">
      <w:r w:rsidRPr="00254157">
        <w:t xml:space="preserve">Similarly, Kulandaipalayam N. et al. </w:t>
      </w:r>
      <w:r w:rsidR="00AD5159" w:rsidRPr="00562362">
        <w:rPr>
          <w:highlight w:val="yellow"/>
        </w:rPr>
        <w:t>(2023)</w:t>
      </w:r>
      <w:r w:rsidR="00AD5159">
        <w:t xml:space="preserve"> </w:t>
      </w:r>
      <w:r w:rsidRPr="00254157">
        <w:t>found that 11% of MDA-compliant women reported side effects</w:t>
      </w:r>
      <w:r w:rsidR="007963FF">
        <w:t xml:space="preserve"> </w:t>
      </w:r>
      <w:r w:rsidR="007963FF" w:rsidRPr="007963FF">
        <w:t>in their case-control study</w:t>
      </w:r>
      <w:r w:rsidR="00AD5159">
        <w:t>.</w:t>
      </w:r>
      <w:r w:rsidR="007963FF">
        <w:t xml:space="preserve"> </w:t>
      </w:r>
    </w:p>
    <w:p w14:paraId="20853E5E" w14:textId="0CCFFA01" w:rsidR="00254157" w:rsidRPr="00A01880" w:rsidRDefault="00254157" w:rsidP="000A3AB8">
      <w:pPr>
        <w:pStyle w:val="Heading3"/>
      </w:pPr>
      <w:r w:rsidRPr="00A01880">
        <w:t xml:space="preserve">Misconceptions </w:t>
      </w:r>
      <w:r w:rsidR="00E804BE">
        <w:t>a</w:t>
      </w:r>
      <w:r w:rsidRPr="00A01880">
        <w:t xml:space="preserve">bout </w:t>
      </w:r>
      <w:r w:rsidR="00E804BE">
        <w:t>m</w:t>
      </w:r>
      <w:r w:rsidR="00E804BE" w:rsidRPr="00A01880">
        <w:t>edication</w:t>
      </w:r>
    </w:p>
    <w:p w14:paraId="32B652B3" w14:textId="77777777" w:rsidR="00254157" w:rsidRPr="00254157" w:rsidRDefault="00254157" w:rsidP="00254157">
      <w:r w:rsidRPr="00254157">
        <w:t>A key barrier identified was the misconception that albendazole induces abortion. This belief led some women to refuse treatment.</w:t>
      </w:r>
    </w:p>
    <w:p w14:paraId="178F597F" w14:textId="6C81398B" w:rsidR="00254157" w:rsidRPr="00254157" w:rsidRDefault="00254157" w:rsidP="00254157">
      <w:r w:rsidRPr="00254157">
        <w:rPr>
          <w:i/>
          <w:iCs/>
        </w:rPr>
        <w:t xml:space="preserve">"There are </w:t>
      </w:r>
      <w:proofErr w:type="spellStart"/>
      <w:r w:rsidR="00AD5159" w:rsidRPr="00562362">
        <w:rPr>
          <w:i/>
          <w:iCs/>
          <w:highlight w:val="yellow"/>
        </w:rPr>
        <w:t>rumours</w:t>
      </w:r>
      <w:proofErr w:type="spellEnd"/>
      <w:r w:rsidR="00AD5159" w:rsidRPr="00562362">
        <w:rPr>
          <w:i/>
          <w:iCs/>
          <w:highlight w:val="yellow"/>
        </w:rPr>
        <w:t xml:space="preserve"> </w:t>
      </w:r>
      <w:r w:rsidRPr="00562362">
        <w:rPr>
          <w:i/>
          <w:iCs/>
          <w:highlight w:val="yellow"/>
        </w:rPr>
        <w:t>that</w:t>
      </w:r>
      <w:r w:rsidRPr="00254157">
        <w:rPr>
          <w:i/>
          <w:iCs/>
        </w:rPr>
        <w:t xml:space="preserve"> albendazole can cause miscarriages."</w:t>
      </w:r>
    </w:p>
    <w:p w14:paraId="71692703" w14:textId="34897E03" w:rsidR="00254157" w:rsidRPr="00254157" w:rsidRDefault="00254157" w:rsidP="00254157">
      <w:r w:rsidRPr="00254157">
        <w:t xml:space="preserve">Even when scientific explanations were provided, some participants remained </w:t>
      </w:r>
      <w:proofErr w:type="spellStart"/>
      <w:r w:rsidR="00AD5159" w:rsidRPr="00562362">
        <w:rPr>
          <w:highlight w:val="yellow"/>
        </w:rPr>
        <w:t>sceptical</w:t>
      </w:r>
      <w:proofErr w:type="spellEnd"/>
      <w:r w:rsidRPr="00562362">
        <w:rPr>
          <w:highlight w:val="yellow"/>
        </w:rPr>
        <w:t xml:space="preserve">, </w:t>
      </w:r>
      <w:r w:rsidRPr="003C1465">
        <w:t>fearing infertility or a hidden family planning agenda.</w:t>
      </w:r>
    </w:p>
    <w:p w14:paraId="6A0AA209" w14:textId="2C2DD17A" w:rsidR="00254157" w:rsidRPr="00254157" w:rsidRDefault="00254157" w:rsidP="00254157">
      <w:r w:rsidRPr="00254157">
        <w:t xml:space="preserve">A study by </w:t>
      </w:r>
      <w:r w:rsidR="00455677" w:rsidRPr="007963FF">
        <w:rPr>
          <w:rFonts w:cs="Arial"/>
        </w:rPr>
        <w:t>Legge</w:t>
      </w:r>
      <w:r w:rsidR="00455677" w:rsidRPr="00254157">
        <w:t xml:space="preserve"> et al</w:t>
      </w:r>
      <w:r w:rsidRPr="00254157">
        <w:t xml:space="preserve">. </w:t>
      </w:r>
      <w:r w:rsidR="00AD5159">
        <w:t>(</w:t>
      </w:r>
      <w:r w:rsidR="00AD5159" w:rsidRPr="00562362">
        <w:rPr>
          <w:highlight w:val="yellow"/>
        </w:rPr>
        <w:t xml:space="preserve">2020) </w:t>
      </w:r>
      <w:r w:rsidRPr="00562362">
        <w:rPr>
          <w:highlight w:val="yellow"/>
        </w:rPr>
        <w:t>in</w:t>
      </w:r>
      <w:r w:rsidRPr="00254157">
        <w:t xml:space="preserve"> Kenya reported </w:t>
      </w:r>
      <w:r w:rsidRPr="00562362">
        <w:rPr>
          <w:highlight w:val="yellow"/>
        </w:rPr>
        <w:t xml:space="preserve">similar </w:t>
      </w:r>
      <w:proofErr w:type="spellStart"/>
      <w:r w:rsidR="00AD5159" w:rsidRPr="00562362">
        <w:rPr>
          <w:highlight w:val="yellow"/>
        </w:rPr>
        <w:t>rumours</w:t>
      </w:r>
      <w:proofErr w:type="spellEnd"/>
      <w:r w:rsidR="00AD5159" w:rsidRPr="00562362">
        <w:rPr>
          <w:highlight w:val="yellow"/>
        </w:rPr>
        <w:t xml:space="preserve"> </w:t>
      </w:r>
      <w:r w:rsidRPr="00562362">
        <w:rPr>
          <w:highlight w:val="yellow"/>
        </w:rPr>
        <w:t>affecting</w:t>
      </w:r>
      <w:r w:rsidRPr="00254157">
        <w:t xml:space="preserve"> MDA acceptability</w:t>
      </w:r>
      <w:r w:rsidR="00AD5159" w:rsidRPr="00562362">
        <w:rPr>
          <w:highlight w:val="yellow"/>
        </w:rPr>
        <w:t>.</w:t>
      </w:r>
      <w:r w:rsidR="00455677" w:rsidRPr="00562362">
        <w:rPr>
          <w:highlight w:val="yellow"/>
        </w:rPr>
        <w:t xml:space="preserve"> </w:t>
      </w:r>
    </w:p>
    <w:p w14:paraId="34F72E87" w14:textId="72209113" w:rsidR="00254157" w:rsidRPr="001E22BC" w:rsidRDefault="00254157" w:rsidP="00254157"/>
    <w:p w14:paraId="09C0C32B" w14:textId="53DF6782" w:rsidR="00254157" w:rsidRPr="00A01880" w:rsidRDefault="00254157" w:rsidP="00C440C0">
      <w:pPr>
        <w:pStyle w:val="Heading3"/>
      </w:pPr>
      <w:r w:rsidRPr="00A01880">
        <w:t xml:space="preserve">Strategies for </w:t>
      </w:r>
      <w:r w:rsidR="00936D07">
        <w:t>i</w:t>
      </w:r>
      <w:r w:rsidRPr="00A01880">
        <w:t>mprovement</w:t>
      </w:r>
    </w:p>
    <w:p w14:paraId="430BFF18" w14:textId="19923706" w:rsidR="00254157" w:rsidRPr="00254157" w:rsidRDefault="00254157" w:rsidP="00254157">
      <w:r w:rsidRPr="00254157">
        <w:t xml:space="preserve">The quantitative findings reveal that community workshops were the preferred learning method </w:t>
      </w:r>
      <w:r w:rsidR="00394357">
        <w:t xml:space="preserve">with up to </w:t>
      </w:r>
      <w:r w:rsidR="00394357" w:rsidRPr="00394357">
        <w:t>28% positive responses</w:t>
      </w:r>
      <w:r w:rsidR="00394357">
        <w:t xml:space="preserve">, </w:t>
      </w:r>
      <w:r w:rsidRPr="00254157">
        <w:t>followed by visual aids and social media.</w:t>
      </w:r>
    </w:p>
    <w:p w14:paraId="3E461795" w14:textId="77777777" w:rsidR="00254157" w:rsidRPr="00254157" w:rsidRDefault="00254157" w:rsidP="00254157">
      <w:r w:rsidRPr="00254157">
        <w:t>The qualitative findings reinforce the importance of radio as an effective communication tool.</w:t>
      </w:r>
    </w:p>
    <w:p w14:paraId="22037D22" w14:textId="77777777" w:rsidR="00254157" w:rsidRPr="00254157" w:rsidRDefault="00254157" w:rsidP="00254157">
      <w:r w:rsidRPr="00254157">
        <w:rPr>
          <w:i/>
          <w:iCs/>
        </w:rPr>
        <w:t>"The radio is the best way to communicate."</w:t>
      </w:r>
    </w:p>
    <w:p w14:paraId="7AE43832" w14:textId="02E3158B" w:rsidR="00254157" w:rsidRPr="00254157" w:rsidRDefault="00254157" w:rsidP="00254157">
      <w:r w:rsidRPr="003C1465">
        <w:lastRenderedPageBreak/>
        <w:t xml:space="preserve">However, some participants </w:t>
      </w:r>
      <w:proofErr w:type="spellStart"/>
      <w:r w:rsidR="00AD5159" w:rsidRPr="00562362">
        <w:rPr>
          <w:highlight w:val="yellow"/>
        </w:rPr>
        <w:t>emphasised</w:t>
      </w:r>
      <w:proofErr w:type="spellEnd"/>
      <w:r w:rsidR="00AD5159" w:rsidRPr="00562362">
        <w:rPr>
          <w:highlight w:val="yellow"/>
        </w:rPr>
        <w:t xml:space="preserve"> </w:t>
      </w:r>
      <w:r w:rsidRPr="003C1465">
        <w:t>the need for better training of</w:t>
      </w:r>
      <w:r w:rsidRPr="00254157">
        <w:t xml:space="preserve"> community distributors.</w:t>
      </w:r>
    </w:p>
    <w:p w14:paraId="204CD4DF" w14:textId="77777777" w:rsidR="00254157" w:rsidRPr="00254157" w:rsidRDefault="00254157" w:rsidP="00254157">
      <w:r w:rsidRPr="00254157">
        <w:rPr>
          <w:i/>
          <w:iCs/>
        </w:rPr>
        <w:t>"Some community health workers are not well-suited for this job."</w:t>
      </w:r>
    </w:p>
    <w:p w14:paraId="1510DCBD" w14:textId="5CBE1663" w:rsidR="00254157" w:rsidRPr="00254157" w:rsidRDefault="00254157" w:rsidP="00254157">
      <w:r w:rsidRPr="00254157">
        <w:t xml:space="preserve">According to </w:t>
      </w:r>
      <w:r w:rsidR="00455677" w:rsidRPr="007963FF">
        <w:rPr>
          <w:rFonts w:cs="Arial"/>
        </w:rPr>
        <w:t>Legge</w:t>
      </w:r>
      <w:r w:rsidR="00455677" w:rsidRPr="00254157">
        <w:t xml:space="preserve"> et al</w:t>
      </w:r>
      <w:r w:rsidR="00455677">
        <w:t>.</w:t>
      </w:r>
      <w:r w:rsidR="00455677" w:rsidRPr="00254157">
        <w:t xml:space="preserve"> </w:t>
      </w:r>
      <w:r w:rsidR="00AD5159" w:rsidRPr="00562362">
        <w:rPr>
          <w:highlight w:val="yellow"/>
        </w:rPr>
        <w:t xml:space="preserve">(2020), </w:t>
      </w:r>
      <w:r w:rsidRPr="00562362">
        <w:rPr>
          <w:highlight w:val="yellow"/>
        </w:rPr>
        <w:t>the</w:t>
      </w:r>
      <w:r w:rsidRPr="00254157">
        <w:t xml:space="preserve"> appearance and credibility of drug distributors influence community trust.</w:t>
      </w:r>
    </w:p>
    <w:p w14:paraId="42F10146" w14:textId="25F30F80" w:rsidR="00254157" w:rsidRPr="00254157" w:rsidRDefault="00254157" w:rsidP="0022183B">
      <w:pPr>
        <w:pStyle w:val="Heading3"/>
        <w:rPr>
          <w:lang w:val="it-IT"/>
        </w:rPr>
      </w:pPr>
      <w:r w:rsidRPr="00254157">
        <w:rPr>
          <w:lang w:val="it-IT"/>
        </w:rPr>
        <w:t xml:space="preserve">Structural and </w:t>
      </w:r>
      <w:r w:rsidR="00AD5159" w:rsidRPr="00562362">
        <w:rPr>
          <w:highlight w:val="yellow"/>
          <w:lang w:val="it-IT"/>
        </w:rPr>
        <w:t>organisational</w:t>
      </w:r>
      <w:r w:rsidR="00AD5159" w:rsidRPr="00254157">
        <w:rPr>
          <w:lang w:val="it-IT"/>
        </w:rPr>
        <w:t xml:space="preserve"> </w:t>
      </w:r>
      <w:r w:rsidR="00936D07">
        <w:rPr>
          <w:lang w:val="it-IT"/>
        </w:rPr>
        <w:t>b</w:t>
      </w:r>
      <w:r w:rsidRPr="00254157">
        <w:rPr>
          <w:lang w:val="it-IT"/>
        </w:rPr>
        <w:t>arriers</w:t>
      </w:r>
    </w:p>
    <w:p w14:paraId="32CAA044" w14:textId="78A65679" w:rsidR="00254157" w:rsidRPr="00254157" w:rsidRDefault="00254157" w:rsidP="00254157">
      <w:r w:rsidRPr="00254157">
        <w:t xml:space="preserve">Barriers to MDA compliance are not only individual but also structural and </w:t>
      </w:r>
      <w:proofErr w:type="spellStart"/>
      <w:r w:rsidR="00AD5159" w:rsidRPr="00562362">
        <w:rPr>
          <w:highlight w:val="yellow"/>
        </w:rPr>
        <w:t>organisational</w:t>
      </w:r>
      <w:proofErr w:type="spellEnd"/>
      <w:r w:rsidRPr="00562362">
        <w:rPr>
          <w:highlight w:val="yellow"/>
        </w:rPr>
        <w:t>.</w:t>
      </w:r>
    </w:p>
    <w:p w14:paraId="331D973E" w14:textId="75C3F3F2" w:rsidR="00254157" w:rsidRPr="00455677" w:rsidRDefault="00254157" w:rsidP="00254157">
      <w:r w:rsidRPr="00254157">
        <w:t xml:space="preserve">Limited drug availability: </w:t>
      </w:r>
      <w:r w:rsidRPr="00254157">
        <w:rPr>
          <w:i/>
          <w:iCs/>
        </w:rPr>
        <w:t>"We don’t have enough stock to cover everyone"</w:t>
      </w:r>
      <w:r w:rsidR="00455677">
        <w:rPr>
          <w:i/>
          <w:iCs/>
        </w:rPr>
        <w:t xml:space="preserve"> </w:t>
      </w:r>
      <w:r w:rsidR="00455677" w:rsidRPr="00455677">
        <w:t>(</w:t>
      </w:r>
      <w:r w:rsidR="00455677">
        <w:t>Drug distributor).</w:t>
      </w:r>
    </w:p>
    <w:p w14:paraId="4444F57F" w14:textId="1B6FA933" w:rsidR="00254157" w:rsidRPr="00455677" w:rsidRDefault="00254157" w:rsidP="00254157">
      <w:r w:rsidRPr="00254157">
        <w:t xml:space="preserve">Lack of post-administration </w:t>
      </w:r>
      <w:r w:rsidR="004266F6" w:rsidRPr="00254157">
        <w:t>follow-up:</w:t>
      </w:r>
      <w:r w:rsidR="004266F6" w:rsidRPr="00254157">
        <w:rPr>
          <w:i/>
          <w:iCs/>
        </w:rPr>
        <w:t xml:space="preserve"> “I</w:t>
      </w:r>
      <w:r w:rsidRPr="00254157">
        <w:rPr>
          <w:i/>
          <w:iCs/>
        </w:rPr>
        <w:t xml:space="preserve"> didn’t even know there were supposed to be follow-up visits after taking the medicine"</w:t>
      </w:r>
      <w:r w:rsidR="00455677">
        <w:t xml:space="preserve"> (FGD).</w:t>
      </w:r>
      <w:r w:rsidR="00B36C53">
        <w:br w:type="page"/>
      </w:r>
    </w:p>
    <w:p w14:paraId="2CA8A0C9" w14:textId="21C0A3C9" w:rsidR="00115D58" w:rsidRDefault="00115D58" w:rsidP="00115D58">
      <w:pPr>
        <w:pStyle w:val="Heading2"/>
      </w:pPr>
      <w:r w:rsidRPr="00115D58">
        <w:lastRenderedPageBreak/>
        <w:t xml:space="preserve">Barriers and </w:t>
      </w:r>
      <w:r w:rsidR="00BD2574">
        <w:t>f</w:t>
      </w:r>
      <w:r w:rsidRPr="00115D58">
        <w:t xml:space="preserve">acilitators </w:t>
      </w:r>
      <w:r w:rsidR="00BD2574">
        <w:t>i</w:t>
      </w:r>
      <w:r w:rsidRPr="00115D58">
        <w:t xml:space="preserve">dentified by </w:t>
      </w:r>
      <w:r w:rsidR="00BD2574">
        <w:t>t</w:t>
      </w:r>
      <w:r w:rsidRPr="00115D58">
        <w:t xml:space="preserve">his </w:t>
      </w:r>
      <w:r w:rsidR="00BD2574">
        <w:t>s</w:t>
      </w:r>
      <w:r w:rsidRPr="00115D58">
        <w:t>tudy.</w:t>
      </w:r>
    </w:p>
    <w:p w14:paraId="188B6AE0" w14:textId="205049E8" w:rsidR="00115D58" w:rsidRDefault="00115D58" w:rsidP="00115D58">
      <w:r w:rsidRPr="00562362">
        <w:rPr>
          <w:b/>
          <w:bCs/>
        </w:rPr>
        <w:t>Table</w:t>
      </w:r>
      <w:r w:rsidR="00801B12" w:rsidRPr="00562362">
        <w:rPr>
          <w:b/>
          <w:bCs/>
        </w:rPr>
        <w:t xml:space="preserve"> 4</w:t>
      </w:r>
      <w:r w:rsidRPr="00562362">
        <w:rPr>
          <w:b/>
          <w:bCs/>
        </w:rPr>
        <w:t>: Summary of Facilitators and Barriers to TDM/GH compliance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6"/>
        <w:gridCol w:w="2846"/>
        <w:gridCol w:w="3376"/>
      </w:tblGrid>
      <w:tr w:rsidR="00252614" w:rsidRPr="00581C77" w14:paraId="4C74D8F1" w14:textId="77777777" w:rsidTr="00E466A0">
        <w:trPr>
          <w:tblHeader/>
          <w:tblCellSpacing w:w="15" w:type="dxa"/>
        </w:trPr>
        <w:tc>
          <w:tcPr>
            <w:tcW w:w="0" w:type="auto"/>
            <w:tcBorders>
              <w:top w:val="single" w:sz="4" w:space="0" w:color="auto"/>
              <w:bottom w:val="single" w:sz="4" w:space="0" w:color="auto"/>
            </w:tcBorders>
            <w:vAlign w:val="center"/>
            <w:hideMark/>
          </w:tcPr>
          <w:p w14:paraId="75AF2915" w14:textId="77777777" w:rsidR="00252614" w:rsidRPr="00581C77" w:rsidRDefault="00252614" w:rsidP="00E466A0">
            <w:pPr>
              <w:spacing w:after="160"/>
              <w:jc w:val="left"/>
              <w:rPr>
                <w:b/>
                <w:bCs/>
                <w:lang w:val="it-IT"/>
              </w:rPr>
            </w:pPr>
            <w:r w:rsidRPr="00581C77">
              <w:rPr>
                <w:b/>
                <w:bCs/>
                <w:lang w:val="it-IT"/>
              </w:rPr>
              <w:t>Categories</w:t>
            </w:r>
          </w:p>
        </w:tc>
        <w:tc>
          <w:tcPr>
            <w:tcW w:w="0" w:type="auto"/>
            <w:tcBorders>
              <w:top w:val="single" w:sz="4" w:space="0" w:color="auto"/>
              <w:bottom w:val="single" w:sz="4" w:space="0" w:color="auto"/>
            </w:tcBorders>
            <w:vAlign w:val="center"/>
            <w:hideMark/>
          </w:tcPr>
          <w:p w14:paraId="5BC7F64D" w14:textId="77777777" w:rsidR="00252614" w:rsidRPr="00581C77" w:rsidRDefault="00252614" w:rsidP="00E466A0">
            <w:pPr>
              <w:spacing w:after="160"/>
              <w:jc w:val="left"/>
              <w:rPr>
                <w:b/>
                <w:bCs/>
                <w:lang w:val="it-IT"/>
              </w:rPr>
            </w:pPr>
            <w:r w:rsidRPr="00581C77">
              <w:rPr>
                <w:b/>
                <w:bCs/>
                <w:lang w:val="it-IT"/>
              </w:rPr>
              <w:t>Facilitators</w:t>
            </w:r>
          </w:p>
        </w:tc>
        <w:tc>
          <w:tcPr>
            <w:tcW w:w="0" w:type="auto"/>
            <w:tcBorders>
              <w:top w:val="single" w:sz="4" w:space="0" w:color="auto"/>
              <w:bottom w:val="single" w:sz="4" w:space="0" w:color="auto"/>
            </w:tcBorders>
            <w:vAlign w:val="center"/>
            <w:hideMark/>
          </w:tcPr>
          <w:p w14:paraId="2140C290" w14:textId="77777777" w:rsidR="00252614" w:rsidRPr="00581C77" w:rsidRDefault="00252614" w:rsidP="00E466A0">
            <w:pPr>
              <w:spacing w:after="160"/>
              <w:jc w:val="left"/>
              <w:rPr>
                <w:b/>
                <w:bCs/>
                <w:lang w:val="it-IT"/>
              </w:rPr>
            </w:pPr>
            <w:r w:rsidRPr="00581C77">
              <w:rPr>
                <w:b/>
                <w:bCs/>
                <w:lang w:val="it-IT"/>
              </w:rPr>
              <w:t>Barriers</w:t>
            </w:r>
          </w:p>
        </w:tc>
      </w:tr>
      <w:tr w:rsidR="00252614" w:rsidRPr="00581C77" w14:paraId="1402BFA2" w14:textId="77777777" w:rsidTr="00E466A0">
        <w:trPr>
          <w:tblCellSpacing w:w="15" w:type="dxa"/>
        </w:trPr>
        <w:tc>
          <w:tcPr>
            <w:tcW w:w="0" w:type="auto"/>
            <w:vAlign w:val="center"/>
            <w:hideMark/>
          </w:tcPr>
          <w:p w14:paraId="39B36C18" w14:textId="77777777" w:rsidR="00252614" w:rsidRPr="00581C77" w:rsidRDefault="00252614" w:rsidP="00E466A0">
            <w:pPr>
              <w:spacing w:after="160"/>
              <w:jc w:val="left"/>
              <w:rPr>
                <w:lang w:val="it-IT"/>
              </w:rPr>
            </w:pPr>
            <w:r w:rsidRPr="00581C77">
              <w:rPr>
                <w:b/>
                <w:bCs/>
                <w:lang w:val="it-IT"/>
              </w:rPr>
              <w:t>Sociodemographic Profile</w:t>
            </w:r>
          </w:p>
        </w:tc>
        <w:tc>
          <w:tcPr>
            <w:tcW w:w="0" w:type="auto"/>
            <w:vAlign w:val="center"/>
            <w:hideMark/>
          </w:tcPr>
          <w:p w14:paraId="3346A6B1" w14:textId="77777777" w:rsidR="00252614" w:rsidRPr="00581C77" w:rsidRDefault="00252614" w:rsidP="00E466A0">
            <w:pPr>
              <w:spacing w:after="160"/>
              <w:jc w:val="left"/>
              <w:rPr>
                <w:lang w:val="it-IT"/>
              </w:rPr>
            </w:pPr>
            <w:r w:rsidRPr="00581C77">
              <w:rPr>
                <w:lang w:val="it-IT"/>
              </w:rPr>
              <w:t>- Adulthood.</w:t>
            </w:r>
          </w:p>
        </w:tc>
        <w:tc>
          <w:tcPr>
            <w:tcW w:w="0" w:type="auto"/>
            <w:vAlign w:val="center"/>
            <w:hideMark/>
          </w:tcPr>
          <w:p w14:paraId="3875A333" w14:textId="77777777" w:rsidR="00252614" w:rsidRPr="00581C77" w:rsidRDefault="00252614" w:rsidP="00E466A0">
            <w:pPr>
              <w:spacing w:after="160"/>
              <w:jc w:val="left"/>
            </w:pPr>
            <w:r w:rsidRPr="00581C77">
              <w:t>- Decision-making autonomy among minors.</w:t>
            </w:r>
          </w:p>
        </w:tc>
      </w:tr>
      <w:tr w:rsidR="00252614" w:rsidRPr="00581C77" w14:paraId="445673FE" w14:textId="77777777" w:rsidTr="00E466A0">
        <w:trPr>
          <w:tblCellSpacing w:w="15" w:type="dxa"/>
        </w:trPr>
        <w:tc>
          <w:tcPr>
            <w:tcW w:w="0" w:type="auto"/>
            <w:vAlign w:val="center"/>
            <w:hideMark/>
          </w:tcPr>
          <w:p w14:paraId="487E771A" w14:textId="77777777" w:rsidR="00252614" w:rsidRPr="00581C77" w:rsidRDefault="00252614" w:rsidP="00E466A0">
            <w:pPr>
              <w:spacing w:after="160"/>
              <w:jc w:val="left"/>
              <w:rPr>
                <w:lang w:val="it-IT"/>
              </w:rPr>
            </w:pPr>
            <w:r w:rsidRPr="00581C77">
              <w:rPr>
                <w:b/>
                <w:bCs/>
                <w:lang w:val="it-IT"/>
              </w:rPr>
              <w:t>Education Level</w:t>
            </w:r>
          </w:p>
        </w:tc>
        <w:tc>
          <w:tcPr>
            <w:tcW w:w="0" w:type="auto"/>
            <w:vAlign w:val="center"/>
            <w:hideMark/>
          </w:tcPr>
          <w:p w14:paraId="36AC04B3" w14:textId="77777777" w:rsidR="00252614" w:rsidRPr="00581C77" w:rsidRDefault="00252614" w:rsidP="00E466A0">
            <w:pPr>
              <w:spacing w:after="160"/>
              <w:jc w:val="left"/>
              <w:rPr>
                <w:lang w:val="it-IT"/>
              </w:rPr>
            </w:pPr>
            <w:r w:rsidRPr="00581C77">
              <w:rPr>
                <w:lang w:val="it-IT"/>
              </w:rPr>
              <w:t>- Having attended school.</w:t>
            </w:r>
          </w:p>
        </w:tc>
        <w:tc>
          <w:tcPr>
            <w:tcW w:w="0" w:type="auto"/>
            <w:vAlign w:val="center"/>
            <w:hideMark/>
          </w:tcPr>
          <w:p w14:paraId="003D2238" w14:textId="77777777" w:rsidR="00252614" w:rsidRPr="00581C77" w:rsidRDefault="00252614" w:rsidP="00E466A0">
            <w:pPr>
              <w:spacing w:after="160"/>
              <w:jc w:val="left"/>
              <w:rPr>
                <w:lang w:val="it-IT"/>
              </w:rPr>
            </w:pPr>
            <w:r w:rsidRPr="00581C77">
              <w:rPr>
                <w:lang w:val="it-IT"/>
              </w:rPr>
              <w:t>- Not having attended school.</w:t>
            </w:r>
          </w:p>
        </w:tc>
      </w:tr>
      <w:tr w:rsidR="00252614" w:rsidRPr="00581C77" w14:paraId="7AFA89D9" w14:textId="77777777" w:rsidTr="00E466A0">
        <w:trPr>
          <w:tblCellSpacing w:w="15" w:type="dxa"/>
        </w:trPr>
        <w:tc>
          <w:tcPr>
            <w:tcW w:w="0" w:type="auto"/>
            <w:vAlign w:val="center"/>
            <w:hideMark/>
          </w:tcPr>
          <w:p w14:paraId="43ACB336" w14:textId="77777777" w:rsidR="00252614" w:rsidRPr="00581C77" w:rsidRDefault="00252614" w:rsidP="00E466A0">
            <w:pPr>
              <w:spacing w:after="160"/>
              <w:jc w:val="left"/>
              <w:rPr>
                <w:lang w:val="it-IT"/>
              </w:rPr>
            </w:pPr>
            <w:r w:rsidRPr="00581C77">
              <w:rPr>
                <w:b/>
                <w:bCs/>
                <w:lang w:val="it-IT"/>
              </w:rPr>
              <w:t>Economic Status</w:t>
            </w:r>
          </w:p>
        </w:tc>
        <w:tc>
          <w:tcPr>
            <w:tcW w:w="0" w:type="auto"/>
            <w:vAlign w:val="center"/>
            <w:hideMark/>
          </w:tcPr>
          <w:p w14:paraId="536401F9" w14:textId="77777777" w:rsidR="00252614" w:rsidRPr="00581C77" w:rsidRDefault="00252614" w:rsidP="00E466A0">
            <w:pPr>
              <w:spacing w:after="160"/>
              <w:jc w:val="left"/>
            </w:pPr>
            <w:r w:rsidRPr="00581C77">
              <w:t>- A middle or high economic status.</w:t>
            </w:r>
          </w:p>
        </w:tc>
        <w:tc>
          <w:tcPr>
            <w:tcW w:w="0" w:type="auto"/>
            <w:vAlign w:val="center"/>
            <w:hideMark/>
          </w:tcPr>
          <w:p w14:paraId="3EAC81C0" w14:textId="77777777" w:rsidR="00252614" w:rsidRPr="00581C77" w:rsidRDefault="00252614" w:rsidP="00E466A0">
            <w:pPr>
              <w:spacing w:after="160"/>
              <w:jc w:val="left"/>
              <w:rPr>
                <w:lang w:val="it-IT"/>
              </w:rPr>
            </w:pPr>
            <w:r w:rsidRPr="00581C77">
              <w:rPr>
                <w:lang w:val="it-IT"/>
              </w:rPr>
              <w:t>- Precarious economic situation.</w:t>
            </w:r>
          </w:p>
        </w:tc>
      </w:tr>
      <w:tr w:rsidR="00252614" w:rsidRPr="00581C77" w14:paraId="58D2F91F" w14:textId="77777777" w:rsidTr="00E466A0">
        <w:trPr>
          <w:tblCellSpacing w:w="15" w:type="dxa"/>
        </w:trPr>
        <w:tc>
          <w:tcPr>
            <w:tcW w:w="0" w:type="auto"/>
            <w:vAlign w:val="center"/>
            <w:hideMark/>
          </w:tcPr>
          <w:p w14:paraId="788747A2" w14:textId="77777777" w:rsidR="00252614" w:rsidRPr="00581C77" w:rsidRDefault="00252614" w:rsidP="00E466A0">
            <w:pPr>
              <w:spacing w:after="160"/>
              <w:jc w:val="left"/>
              <w:rPr>
                <w:lang w:val="it-IT"/>
              </w:rPr>
            </w:pPr>
            <w:r w:rsidRPr="00581C77">
              <w:rPr>
                <w:b/>
                <w:bCs/>
                <w:lang w:val="it-IT"/>
              </w:rPr>
              <w:t>Previous MDA Experience</w:t>
            </w:r>
          </w:p>
        </w:tc>
        <w:tc>
          <w:tcPr>
            <w:tcW w:w="0" w:type="auto"/>
            <w:vAlign w:val="center"/>
            <w:hideMark/>
          </w:tcPr>
          <w:p w14:paraId="78D41127" w14:textId="77777777" w:rsidR="00252614" w:rsidRPr="00581C77" w:rsidRDefault="00252614" w:rsidP="00E466A0">
            <w:pPr>
              <w:spacing w:after="160"/>
              <w:jc w:val="left"/>
            </w:pPr>
            <w:r w:rsidRPr="00581C77">
              <w:t>- Having taken at least one MDA before.</w:t>
            </w:r>
          </w:p>
        </w:tc>
        <w:tc>
          <w:tcPr>
            <w:tcW w:w="0" w:type="auto"/>
            <w:vAlign w:val="center"/>
            <w:hideMark/>
          </w:tcPr>
          <w:p w14:paraId="7AA2F662" w14:textId="77777777" w:rsidR="00252614" w:rsidRPr="00581C77" w:rsidRDefault="00252614" w:rsidP="00E466A0">
            <w:pPr>
              <w:spacing w:after="160"/>
              <w:jc w:val="left"/>
              <w:rPr>
                <w:lang w:val="it-IT"/>
              </w:rPr>
            </w:pPr>
            <w:r w:rsidRPr="00581C77">
              <w:rPr>
                <w:lang w:val="it-IT"/>
              </w:rPr>
              <w:t>- Never having experienced MDA.</w:t>
            </w:r>
          </w:p>
        </w:tc>
      </w:tr>
      <w:tr w:rsidR="00252614" w:rsidRPr="00581C77" w14:paraId="5DD4943C" w14:textId="77777777" w:rsidTr="00E466A0">
        <w:trPr>
          <w:tblCellSpacing w:w="15" w:type="dxa"/>
        </w:trPr>
        <w:tc>
          <w:tcPr>
            <w:tcW w:w="0" w:type="auto"/>
            <w:vAlign w:val="center"/>
            <w:hideMark/>
          </w:tcPr>
          <w:p w14:paraId="30AC0D47" w14:textId="77777777" w:rsidR="00252614" w:rsidRPr="00581C77" w:rsidRDefault="00252614" w:rsidP="00E466A0">
            <w:pPr>
              <w:spacing w:after="160"/>
              <w:jc w:val="left"/>
              <w:rPr>
                <w:lang w:val="it-IT"/>
              </w:rPr>
            </w:pPr>
            <w:r w:rsidRPr="00581C77">
              <w:rPr>
                <w:b/>
                <w:bCs/>
                <w:lang w:val="it-IT"/>
              </w:rPr>
              <w:t>Awareness and Information</w:t>
            </w:r>
          </w:p>
        </w:tc>
        <w:tc>
          <w:tcPr>
            <w:tcW w:w="0" w:type="auto"/>
            <w:vAlign w:val="center"/>
            <w:hideMark/>
          </w:tcPr>
          <w:p w14:paraId="53862FAA" w14:textId="77777777" w:rsidR="00252614" w:rsidRPr="00581C77" w:rsidRDefault="00252614" w:rsidP="00E466A0">
            <w:pPr>
              <w:spacing w:after="160"/>
              <w:jc w:val="left"/>
              <w:rPr>
                <w:lang w:val="it-IT"/>
              </w:rPr>
            </w:pPr>
            <w:r w:rsidRPr="00581C77">
              <w:rPr>
                <w:lang w:val="it-IT"/>
              </w:rPr>
              <w:t>- Being sensitized and informed.</w:t>
            </w:r>
          </w:p>
        </w:tc>
        <w:tc>
          <w:tcPr>
            <w:tcW w:w="0" w:type="auto"/>
            <w:vAlign w:val="center"/>
            <w:hideMark/>
          </w:tcPr>
          <w:p w14:paraId="5DDF628D" w14:textId="77777777" w:rsidR="00252614" w:rsidRPr="00581C77" w:rsidRDefault="00252614" w:rsidP="00E466A0">
            <w:pPr>
              <w:spacing w:after="160"/>
              <w:jc w:val="left"/>
            </w:pPr>
            <w:r w:rsidRPr="00581C77">
              <w:t>- Lack of information about MDA.</w:t>
            </w:r>
          </w:p>
        </w:tc>
      </w:tr>
      <w:tr w:rsidR="00252614" w:rsidRPr="00581C77" w14:paraId="23F22FB4" w14:textId="77777777" w:rsidTr="00E466A0">
        <w:trPr>
          <w:tblCellSpacing w:w="15" w:type="dxa"/>
        </w:trPr>
        <w:tc>
          <w:tcPr>
            <w:tcW w:w="0" w:type="auto"/>
            <w:vAlign w:val="center"/>
            <w:hideMark/>
          </w:tcPr>
          <w:p w14:paraId="3F47B9E8" w14:textId="77777777" w:rsidR="00252614" w:rsidRPr="00581C77" w:rsidRDefault="00252614" w:rsidP="00E466A0">
            <w:pPr>
              <w:spacing w:after="160"/>
              <w:jc w:val="left"/>
              <w:rPr>
                <w:lang w:val="it-IT"/>
              </w:rPr>
            </w:pPr>
            <w:r w:rsidRPr="00581C77">
              <w:rPr>
                <w:b/>
                <w:bCs/>
                <w:lang w:val="it-IT"/>
              </w:rPr>
              <w:t>Communication Channels</w:t>
            </w:r>
          </w:p>
        </w:tc>
        <w:tc>
          <w:tcPr>
            <w:tcW w:w="0" w:type="auto"/>
            <w:vAlign w:val="center"/>
            <w:hideMark/>
          </w:tcPr>
          <w:p w14:paraId="3DB3D9A4" w14:textId="77777777" w:rsidR="00252614" w:rsidRPr="00581C77" w:rsidRDefault="00252614" w:rsidP="00E466A0">
            <w:pPr>
              <w:spacing w:after="160"/>
              <w:jc w:val="left"/>
            </w:pPr>
            <w:r w:rsidRPr="00581C77">
              <w:t>- Awareness campaigns, radio (best communication channel).</w:t>
            </w:r>
          </w:p>
        </w:tc>
        <w:tc>
          <w:tcPr>
            <w:tcW w:w="0" w:type="auto"/>
            <w:vAlign w:val="center"/>
            <w:hideMark/>
          </w:tcPr>
          <w:p w14:paraId="37B132AF" w14:textId="77777777" w:rsidR="00252614" w:rsidRPr="00581C77" w:rsidRDefault="00252614" w:rsidP="00E466A0">
            <w:pPr>
              <w:spacing w:after="160"/>
              <w:jc w:val="left"/>
            </w:pPr>
            <w:r w:rsidRPr="00581C77">
              <w:t>- Lack of awareness through school education, indicating limited integration into educational programs.</w:t>
            </w:r>
          </w:p>
        </w:tc>
      </w:tr>
      <w:tr w:rsidR="00252614" w:rsidRPr="00581C77" w14:paraId="051423CA" w14:textId="77777777" w:rsidTr="00E466A0">
        <w:trPr>
          <w:tblCellSpacing w:w="15" w:type="dxa"/>
        </w:trPr>
        <w:tc>
          <w:tcPr>
            <w:tcW w:w="0" w:type="auto"/>
            <w:vAlign w:val="center"/>
            <w:hideMark/>
          </w:tcPr>
          <w:p w14:paraId="1D1CD4D9" w14:textId="77777777" w:rsidR="00252614" w:rsidRPr="00581C77" w:rsidRDefault="00252614" w:rsidP="00E466A0">
            <w:pPr>
              <w:spacing w:after="160"/>
              <w:jc w:val="left"/>
              <w:rPr>
                <w:lang w:val="it-IT"/>
              </w:rPr>
            </w:pPr>
            <w:r w:rsidRPr="00581C77">
              <w:rPr>
                <w:b/>
                <w:bCs/>
                <w:lang w:val="it-IT"/>
              </w:rPr>
              <w:t>Quality of Instructions</w:t>
            </w:r>
          </w:p>
        </w:tc>
        <w:tc>
          <w:tcPr>
            <w:tcW w:w="0" w:type="auto"/>
            <w:vAlign w:val="center"/>
            <w:hideMark/>
          </w:tcPr>
          <w:p w14:paraId="761E551B" w14:textId="77777777" w:rsidR="00252614" w:rsidRPr="00581C77" w:rsidRDefault="00252614" w:rsidP="00E466A0">
            <w:pPr>
              <w:spacing w:after="160"/>
              <w:jc w:val="left"/>
              <w:rPr>
                <w:lang w:val="it-IT"/>
              </w:rPr>
            </w:pPr>
            <w:r w:rsidRPr="00581C77">
              <w:rPr>
                <w:lang w:val="it-IT"/>
              </w:rPr>
              <w:t>- Clear instructions increase adherence.</w:t>
            </w:r>
          </w:p>
        </w:tc>
        <w:tc>
          <w:tcPr>
            <w:tcW w:w="0" w:type="auto"/>
            <w:vAlign w:val="center"/>
            <w:hideMark/>
          </w:tcPr>
          <w:p w14:paraId="04B3E991" w14:textId="77777777" w:rsidR="00252614" w:rsidRPr="00581C77" w:rsidRDefault="00252614" w:rsidP="00E466A0">
            <w:pPr>
              <w:spacing w:after="160"/>
              <w:jc w:val="left"/>
            </w:pPr>
            <w:r w:rsidRPr="00581C77">
              <w:t>- Poor instructions negatively impact adherence.</w:t>
            </w:r>
          </w:p>
        </w:tc>
      </w:tr>
      <w:tr w:rsidR="00252614" w:rsidRPr="00581C77" w14:paraId="394A4653" w14:textId="77777777" w:rsidTr="00E466A0">
        <w:trPr>
          <w:tblCellSpacing w:w="15" w:type="dxa"/>
        </w:trPr>
        <w:tc>
          <w:tcPr>
            <w:tcW w:w="0" w:type="auto"/>
            <w:vAlign w:val="center"/>
            <w:hideMark/>
          </w:tcPr>
          <w:p w14:paraId="70ADB420" w14:textId="77777777" w:rsidR="00252614" w:rsidRPr="00581C77" w:rsidRDefault="00252614" w:rsidP="00E466A0">
            <w:pPr>
              <w:spacing w:after="160"/>
              <w:jc w:val="left"/>
              <w:rPr>
                <w:lang w:val="it-IT"/>
              </w:rPr>
            </w:pPr>
            <w:r w:rsidRPr="00581C77">
              <w:rPr>
                <w:b/>
                <w:bCs/>
                <w:lang w:val="it-IT"/>
              </w:rPr>
              <w:t>Perception of the Drug</w:t>
            </w:r>
          </w:p>
        </w:tc>
        <w:tc>
          <w:tcPr>
            <w:tcW w:w="0" w:type="auto"/>
            <w:vAlign w:val="center"/>
            <w:hideMark/>
          </w:tcPr>
          <w:p w14:paraId="52E43539" w14:textId="77777777" w:rsidR="00252614" w:rsidRPr="00581C77" w:rsidRDefault="00252614" w:rsidP="00E466A0">
            <w:pPr>
              <w:spacing w:after="160"/>
              <w:jc w:val="left"/>
            </w:pPr>
            <w:r w:rsidRPr="00581C77">
              <w:t>- Trust in the health program.</w:t>
            </w:r>
          </w:p>
        </w:tc>
        <w:tc>
          <w:tcPr>
            <w:tcW w:w="0" w:type="auto"/>
            <w:vAlign w:val="center"/>
            <w:hideMark/>
          </w:tcPr>
          <w:p w14:paraId="17DAA074" w14:textId="77777777" w:rsidR="00252614" w:rsidRPr="00581C77" w:rsidRDefault="00252614" w:rsidP="00E466A0">
            <w:pPr>
              <w:spacing w:after="160"/>
              <w:jc w:val="left"/>
            </w:pPr>
            <w:r w:rsidRPr="00581C77">
              <w:t>- Misconceptions, particularly associating ALB with an abortifacient, create reluctance to take the drug.</w:t>
            </w:r>
          </w:p>
        </w:tc>
      </w:tr>
      <w:tr w:rsidR="00252614" w:rsidRPr="00581C77" w14:paraId="5A5841FA" w14:textId="77777777" w:rsidTr="00E466A0">
        <w:trPr>
          <w:tblCellSpacing w:w="15" w:type="dxa"/>
        </w:trPr>
        <w:tc>
          <w:tcPr>
            <w:tcW w:w="0" w:type="auto"/>
            <w:vAlign w:val="center"/>
            <w:hideMark/>
          </w:tcPr>
          <w:p w14:paraId="7178C33A" w14:textId="77777777" w:rsidR="00252614" w:rsidRPr="00581C77" w:rsidRDefault="00252614" w:rsidP="00E466A0">
            <w:pPr>
              <w:spacing w:after="160"/>
              <w:jc w:val="left"/>
              <w:rPr>
                <w:lang w:val="it-IT"/>
              </w:rPr>
            </w:pPr>
            <w:r w:rsidRPr="00581C77">
              <w:rPr>
                <w:b/>
                <w:bCs/>
                <w:lang w:val="it-IT"/>
              </w:rPr>
              <w:t>Perceived Benefits of MDA</w:t>
            </w:r>
          </w:p>
        </w:tc>
        <w:tc>
          <w:tcPr>
            <w:tcW w:w="0" w:type="auto"/>
            <w:vAlign w:val="center"/>
            <w:hideMark/>
          </w:tcPr>
          <w:p w14:paraId="40E6898C" w14:textId="77777777" w:rsidR="00252614" w:rsidRPr="00581C77" w:rsidRDefault="00252614" w:rsidP="00E466A0">
            <w:pPr>
              <w:spacing w:after="160"/>
              <w:jc w:val="left"/>
            </w:pPr>
            <w:r w:rsidRPr="00581C77">
              <w:t>- Reduction of parasitic diseases and health improvement.</w:t>
            </w:r>
          </w:p>
        </w:tc>
        <w:tc>
          <w:tcPr>
            <w:tcW w:w="0" w:type="auto"/>
            <w:vAlign w:val="center"/>
            <w:hideMark/>
          </w:tcPr>
          <w:p w14:paraId="673794E7" w14:textId="77777777" w:rsidR="00252614" w:rsidRPr="00581C77" w:rsidRDefault="00252614" w:rsidP="00E466A0">
            <w:pPr>
              <w:spacing w:after="160"/>
              <w:jc w:val="left"/>
            </w:pPr>
            <w:r w:rsidRPr="00581C77">
              <w:t>- Perceived side effects (nausea, vomiting, abdominal pain) hinder participation.</w:t>
            </w:r>
          </w:p>
        </w:tc>
      </w:tr>
      <w:tr w:rsidR="00252614" w:rsidRPr="00581C77" w14:paraId="11CDF9B6" w14:textId="77777777" w:rsidTr="00E466A0">
        <w:trPr>
          <w:tblCellSpacing w:w="15" w:type="dxa"/>
        </w:trPr>
        <w:tc>
          <w:tcPr>
            <w:tcW w:w="0" w:type="auto"/>
            <w:vAlign w:val="center"/>
            <w:hideMark/>
          </w:tcPr>
          <w:p w14:paraId="06E7E86B" w14:textId="77777777" w:rsidR="00252614" w:rsidRPr="00581C77" w:rsidRDefault="00252614" w:rsidP="00E466A0">
            <w:pPr>
              <w:spacing w:after="160"/>
              <w:jc w:val="left"/>
              <w:rPr>
                <w:lang w:val="it-IT"/>
              </w:rPr>
            </w:pPr>
            <w:r w:rsidRPr="00581C77">
              <w:rPr>
                <w:b/>
                <w:bCs/>
                <w:lang w:val="it-IT"/>
              </w:rPr>
              <w:t>Drug Distribution Location</w:t>
            </w:r>
          </w:p>
        </w:tc>
        <w:tc>
          <w:tcPr>
            <w:tcW w:w="0" w:type="auto"/>
            <w:vAlign w:val="center"/>
            <w:hideMark/>
          </w:tcPr>
          <w:p w14:paraId="09CC071F" w14:textId="77777777" w:rsidR="00252614" w:rsidRPr="00581C77" w:rsidRDefault="00252614" w:rsidP="00E466A0">
            <w:pPr>
              <w:spacing w:after="160"/>
              <w:jc w:val="left"/>
            </w:pPr>
            <w:r w:rsidRPr="00581C77">
              <w:t>- Preference for home distribution and public places (schools, churches, markets).</w:t>
            </w:r>
          </w:p>
        </w:tc>
        <w:tc>
          <w:tcPr>
            <w:tcW w:w="0" w:type="auto"/>
            <w:vAlign w:val="center"/>
            <w:hideMark/>
          </w:tcPr>
          <w:p w14:paraId="7339F737" w14:textId="77777777" w:rsidR="00252614" w:rsidRPr="00581C77" w:rsidRDefault="00252614" w:rsidP="00E466A0">
            <w:pPr>
              <w:spacing w:after="160"/>
              <w:jc w:val="left"/>
            </w:pPr>
            <w:r w:rsidRPr="00581C77">
              <w:t>- In the absence of beneficiaries during distribution, they do not take the medicines left behind.</w:t>
            </w:r>
          </w:p>
        </w:tc>
      </w:tr>
      <w:tr w:rsidR="00252614" w:rsidRPr="00581C77" w14:paraId="631D2B0E" w14:textId="77777777" w:rsidTr="00E466A0">
        <w:trPr>
          <w:tblCellSpacing w:w="15" w:type="dxa"/>
        </w:trPr>
        <w:tc>
          <w:tcPr>
            <w:tcW w:w="0" w:type="auto"/>
            <w:vAlign w:val="center"/>
            <w:hideMark/>
          </w:tcPr>
          <w:p w14:paraId="25F170FE" w14:textId="77777777" w:rsidR="00252614" w:rsidRPr="00581C77" w:rsidRDefault="00252614" w:rsidP="00E466A0">
            <w:pPr>
              <w:spacing w:after="160"/>
              <w:jc w:val="left"/>
              <w:rPr>
                <w:lang w:val="it-IT"/>
              </w:rPr>
            </w:pPr>
            <w:r w:rsidRPr="00581C77">
              <w:rPr>
                <w:b/>
                <w:bCs/>
                <w:lang w:val="it-IT"/>
              </w:rPr>
              <w:t>MDA Schedule</w:t>
            </w:r>
          </w:p>
        </w:tc>
        <w:tc>
          <w:tcPr>
            <w:tcW w:w="0" w:type="auto"/>
            <w:vAlign w:val="center"/>
            <w:hideMark/>
          </w:tcPr>
          <w:p w14:paraId="3A888AC1" w14:textId="77777777" w:rsidR="00252614" w:rsidRPr="00581C77" w:rsidRDefault="00252614" w:rsidP="00E466A0">
            <w:pPr>
              <w:spacing w:after="160"/>
              <w:jc w:val="left"/>
            </w:pPr>
            <w:r w:rsidRPr="00581C77">
              <w:t>- Knowledge of the MDA schedule.</w:t>
            </w:r>
          </w:p>
        </w:tc>
        <w:tc>
          <w:tcPr>
            <w:tcW w:w="0" w:type="auto"/>
            <w:vAlign w:val="center"/>
            <w:hideMark/>
          </w:tcPr>
          <w:p w14:paraId="233FD6B9" w14:textId="77777777" w:rsidR="00252614" w:rsidRPr="00581C77" w:rsidRDefault="00252614" w:rsidP="00E466A0">
            <w:pPr>
              <w:spacing w:after="160"/>
              <w:jc w:val="left"/>
            </w:pPr>
            <w:r w:rsidRPr="00581C77">
              <w:t>- Ignorance of the MDA schedule.</w:t>
            </w:r>
          </w:p>
        </w:tc>
      </w:tr>
      <w:tr w:rsidR="00252614" w:rsidRPr="00581C77" w14:paraId="7DDA8527" w14:textId="77777777" w:rsidTr="00DA4965">
        <w:trPr>
          <w:tblCellSpacing w:w="15" w:type="dxa"/>
        </w:trPr>
        <w:tc>
          <w:tcPr>
            <w:tcW w:w="0" w:type="auto"/>
            <w:tcBorders>
              <w:bottom w:val="single" w:sz="4" w:space="0" w:color="auto"/>
            </w:tcBorders>
            <w:vAlign w:val="center"/>
            <w:hideMark/>
          </w:tcPr>
          <w:p w14:paraId="7109AC99" w14:textId="77777777" w:rsidR="00252614" w:rsidRPr="00581C77" w:rsidRDefault="00252614" w:rsidP="00E466A0">
            <w:pPr>
              <w:spacing w:after="160"/>
              <w:jc w:val="left"/>
              <w:rPr>
                <w:lang w:val="it-IT"/>
              </w:rPr>
            </w:pPr>
            <w:r w:rsidRPr="00581C77">
              <w:rPr>
                <w:b/>
                <w:bCs/>
                <w:lang w:val="it-IT"/>
              </w:rPr>
              <w:t>Accessibility and Logistics</w:t>
            </w:r>
          </w:p>
        </w:tc>
        <w:tc>
          <w:tcPr>
            <w:tcW w:w="0" w:type="auto"/>
            <w:tcBorders>
              <w:bottom w:val="single" w:sz="4" w:space="0" w:color="auto"/>
            </w:tcBorders>
            <w:vAlign w:val="center"/>
            <w:hideMark/>
          </w:tcPr>
          <w:p w14:paraId="1B2F54BB" w14:textId="77777777" w:rsidR="00252614" w:rsidRPr="00581C77" w:rsidRDefault="00252614" w:rsidP="00E466A0">
            <w:pPr>
              <w:spacing w:after="160"/>
              <w:jc w:val="left"/>
            </w:pPr>
            <w:r w:rsidRPr="00581C77">
              <w:t>- Availability of drugs in well-served areas.</w:t>
            </w:r>
          </w:p>
        </w:tc>
        <w:tc>
          <w:tcPr>
            <w:tcW w:w="0" w:type="auto"/>
            <w:tcBorders>
              <w:bottom w:val="single" w:sz="4" w:space="0" w:color="auto"/>
            </w:tcBorders>
            <w:vAlign w:val="center"/>
            <w:hideMark/>
          </w:tcPr>
          <w:p w14:paraId="01D25A30" w14:textId="77777777" w:rsidR="00252614" w:rsidRPr="00581C77" w:rsidRDefault="00252614" w:rsidP="00E466A0">
            <w:pPr>
              <w:spacing w:after="160"/>
              <w:jc w:val="left"/>
            </w:pPr>
            <w:r w:rsidRPr="00581C77">
              <w:t>- Stock shortages: not enough medication for everyone.</w:t>
            </w:r>
          </w:p>
        </w:tc>
      </w:tr>
    </w:tbl>
    <w:p w14:paraId="20FB236A" w14:textId="77777777" w:rsidR="0027710D" w:rsidRDefault="0027710D" w:rsidP="00D51339"/>
    <w:p w14:paraId="5BCA7B14" w14:textId="7C374587" w:rsidR="00B01FCD" w:rsidRDefault="00B01FCD" w:rsidP="00BB4B4F">
      <w:pPr>
        <w:pStyle w:val="Heading1"/>
      </w:pPr>
      <w:r w:rsidRPr="00FB3A86">
        <w:t>Conclusion</w:t>
      </w:r>
    </w:p>
    <w:p w14:paraId="01E0857C" w14:textId="77777777" w:rsidR="00790ADA" w:rsidRPr="00FB3A86" w:rsidRDefault="00790ADA" w:rsidP="00441B6F">
      <w:pPr>
        <w:pStyle w:val="ConcHead"/>
        <w:spacing w:after="0"/>
        <w:rPr>
          <w:rFonts w:cs="Arial"/>
        </w:rPr>
      </w:pPr>
    </w:p>
    <w:p w14:paraId="6EB6729F" w14:textId="54AE99EA" w:rsidR="00207C47" w:rsidRPr="00207C47" w:rsidRDefault="00207C47" w:rsidP="00207C47">
      <w:pPr>
        <w:pStyle w:val="Body"/>
        <w:rPr>
          <w:rFonts w:cs="Arial"/>
        </w:rPr>
      </w:pPr>
      <w:r w:rsidRPr="00207C47">
        <w:rPr>
          <w:rFonts w:cs="Arial"/>
        </w:rPr>
        <w:t xml:space="preserve">This study explored various factors that facilitate or hinder MDA compliance among women of reproductive age (WRA). The findings indicate that </w:t>
      </w:r>
      <w:r w:rsidRPr="00207C47">
        <w:rPr>
          <w:rFonts w:cs="Arial"/>
          <w:bCs/>
        </w:rPr>
        <w:t>64.89% [60.46 – 69.13]</w:t>
      </w:r>
      <w:r w:rsidRPr="00207C47">
        <w:rPr>
          <w:rFonts w:cs="Arial"/>
        </w:rPr>
        <w:t xml:space="preserve"> of WRA adhere to MDA, </w:t>
      </w:r>
      <w:r w:rsidRPr="00207C47">
        <w:rPr>
          <w:rFonts w:cs="Arial"/>
          <w:bCs/>
        </w:rPr>
        <w:t>10.88% [8.26 – 13.99]</w:t>
      </w:r>
      <w:r w:rsidRPr="00207C47">
        <w:rPr>
          <w:rFonts w:cs="Arial"/>
        </w:rPr>
        <w:t xml:space="preserve"> do not comply, and </w:t>
      </w:r>
      <w:r w:rsidRPr="00207C47">
        <w:rPr>
          <w:rFonts w:cs="Arial"/>
          <w:bCs/>
        </w:rPr>
        <w:t>24.23% [20.49 – 28.29]</w:t>
      </w:r>
      <w:r w:rsidRPr="00207C47">
        <w:rPr>
          <w:rFonts w:cs="Arial"/>
        </w:rPr>
        <w:t xml:space="preserve"> have </w:t>
      </w:r>
      <w:r w:rsidRPr="00207C47">
        <w:rPr>
          <w:rFonts w:cs="Arial"/>
        </w:rPr>
        <w:lastRenderedPageBreak/>
        <w:t xml:space="preserve">never participated in MDA. The key factors influencing compliance include </w:t>
      </w:r>
      <w:r w:rsidRPr="00207C47">
        <w:rPr>
          <w:rFonts w:cs="Arial"/>
          <w:bCs/>
        </w:rPr>
        <w:t>age, education level, prior MDA experience, and the quality of instructions received</w:t>
      </w:r>
      <w:r w:rsidRPr="00207C47">
        <w:rPr>
          <w:rFonts w:cs="Arial"/>
        </w:rPr>
        <w:t xml:space="preserve">. </w:t>
      </w:r>
      <w:r w:rsidR="00BB4B4F" w:rsidRPr="00207C47">
        <w:rPr>
          <w:rFonts w:cs="Arial"/>
        </w:rPr>
        <w:t>Qualitative</w:t>
      </w:r>
      <w:r w:rsidRPr="00207C47">
        <w:rPr>
          <w:rFonts w:cs="Arial"/>
        </w:rPr>
        <w:t xml:space="preserve"> analysis highlights </w:t>
      </w:r>
      <w:r w:rsidRPr="00207C47">
        <w:rPr>
          <w:rFonts w:cs="Arial"/>
          <w:bCs/>
        </w:rPr>
        <w:t>social, logistical, and perceptual barriers</w:t>
      </w:r>
      <w:r w:rsidRPr="00207C47">
        <w:rPr>
          <w:rFonts w:cs="Arial"/>
        </w:rPr>
        <w:t xml:space="preserve"> that limit adherence, such as </w:t>
      </w:r>
      <w:r w:rsidRPr="00207C47">
        <w:rPr>
          <w:rFonts w:cs="Arial"/>
          <w:bCs/>
        </w:rPr>
        <w:t>poor awareness, misconceptions, fear of side effects, limited autonomy, and reluctance among inexperienced beneficiaries</w:t>
      </w:r>
      <w:r w:rsidRPr="00207C47">
        <w:rPr>
          <w:rFonts w:cs="Arial"/>
        </w:rPr>
        <w:t>.</w:t>
      </w:r>
      <w:r w:rsidR="00F92530" w:rsidRPr="00F92530">
        <w:t xml:space="preserve"> </w:t>
      </w:r>
      <w:proofErr w:type="spellStart"/>
      <w:r w:rsidR="00734843">
        <w:rPr>
          <w:rFonts w:cs="Arial"/>
        </w:rPr>
        <w:t>Omedo</w:t>
      </w:r>
      <w:proofErr w:type="spellEnd"/>
      <w:r w:rsidR="00734843">
        <w:rPr>
          <w:rFonts w:cs="Arial"/>
        </w:rPr>
        <w:t xml:space="preserve"> </w:t>
      </w:r>
      <w:r w:rsidR="00AD5159" w:rsidRPr="00562362">
        <w:rPr>
          <w:rFonts w:cs="Arial"/>
          <w:highlight w:val="yellow"/>
        </w:rPr>
        <w:t xml:space="preserve">et al. (2012) </w:t>
      </w:r>
      <w:r w:rsidR="00F92530" w:rsidRPr="00562362">
        <w:rPr>
          <w:rFonts w:cs="Arial"/>
          <w:highlight w:val="yellow"/>
        </w:rPr>
        <w:t>found</w:t>
      </w:r>
      <w:r w:rsidR="00F92530" w:rsidRPr="00F92530">
        <w:rPr>
          <w:rFonts w:cs="Arial"/>
        </w:rPr>
        <w:t xml:space="preserve"> that refusal to take MDA was influenced by </w:t>
      </w:r>
      <w:proofErr w:type="spellStart"/>
      <w:r w:rsidR="00AD5159" w:rsidRPr="00562362">
        <w:rPr>
          <w:rFonts w:cs="Arial"/>
          <w:highlight w:val="yellow"/>
        </w:rPr>
        <w:t>rumours</w:t>
      </w:r>
      <w:proofErr w:type="spellEnd"/>
      <w:r w:rsidR="00F92530" w:rsidRPr="00562362">
        <w:rPr>
          <w:rFonts w:cs="Arial"/>
          <w:highlight w:val="yellow"/>
        </w:rPr>
        <w:t>, subjective</w:t>
      </w:r>
      <w:r w:rsidR="00F92530" w:rsidRPr="00F92530">
        <w:rPr>
          <w:rFonts w:cs="Arial"/>
        </w:rPr>
        <w:t xml:space="preserve"> experiences of side effects, religious objections, community misinformation, food insecurity, conspiracy theories about the program’s true purpose, and di</w:t>
      </w:r>
      <w:r w:rsidR="00A15D3A">
        <w:rPr>
          <w:rFonts w:cs="Arial"/>
        </w:rPr>
        <w:t xml:space="preserve">strust of </w:t>
      </w:r>
      <w:r w:rsidR="00A15D3A" w:rsidRPr="00562362">
        <w:rPr>
          <w:rFonts w:cs="Arial"/>
          <w:highlight w:val="yellow"/>
        </w:rPr>
        <w:t>CHWs</w:t>
      </w:r>
      <w:r w:rsidR="00F92530" w:rsidRPr="00562362">
        <w:rPr>
          <w:rFonts w:cs="Arial"/>
          <w:highlight w:val="yellow"/>
        </w:rPr>
        <w:t>.</w:t>
      </w:r>
    </w:p>
    <w:p w14:paraId="18B627DD" w14:textId="684779C5" w:rsidR="00207C47" w:rsidRPr="00207C47" w:rsidRDefault="002914F3" w:rsidP="002914F3">
      <w:r w:rsidRPr="00254157">
        <w:t>These findings highlight the need to improve distribution strategies and follow-up measures to enhance MDA compliance.</w:t>
      </w:r>
      <w:r>
        <w:t xml:space="preserve"> </w:t>
      </w:r>
      <w:r w:rsidR="00207C47" w:rsidRPr="00207C47">
        <w:rPr>
          <w:rFonts w:cs="Arial"/>
        </w:rPr>
        <w:t xml:space="preserve">Improving MDA/STH compliance requires a concerted effort from all stakeholders, including health authorities, community drug distributors, beneficiaries, and local leaders. Key strategies to enhance </w:t>
      </w:r>
      <w:r w:rsidR="00E31298">
        <w:rPr>
          <w:rFonts w:cs="Arial"/>
        </w:rPr>
        <w:t>complia</w:t>
      </w:r>
      <w:r w:rsidR="00207C47" w:rsidRPr="00207C47">
        <w:rPr>
          <w:rFonts w:cs="Arial"/>
        </w:rPr>
        <w:t>nce include strengthening communication and awareness campaigns, improving the training and support of community drug distributors, ensuring efficient and inclusive drug distribution, and addressing cultural and structural barriers.</w:t>
      </w:r>
      <w:r w:rsidR="00EA192E">
        <w:rPr>
          <w:rFonts w:cs="Arial"/>
        </w:rPr>
        <w:t xml:space="preserve"> </w:t>
      </w:r>
      <w:r w:rsidR="00207C47" w:rsidRPr="00207C47">
        <w:rPr>
          <w:rFonts w:cs="Arial"/>
        </w:rPr>
        <w:t>By implementing these measures, the national neglected tropical diseases (NTD) control program can enhance compliance rates and, consequently, improve the impact of MDA/STH on community health.</w:t>
      </w:r>
    </w:p>
    <w:p w14:paraId="131FDEE8" w14:textId="1F2411AB" w:rsidR="00790ADA" w:rsidRPr="00FB3A86" w:rsidRDefault="00790ADA" w:rsidP="00441B6F">
      <w:pPr>
        <w:pStyle w:val="Body"/>
        <w:spacing w:after="0"/>
        <w:rPr>
          <w:rFonts w:cs="Arial"/>
        </w:rPr>
      </w:pPr>
    </w:p>
    <w:p w14:paraId="63347791" w14:textId="77777777" w:rsidR="007B398C" w:rsidRDefault="007B398C" w:rsidP="00DD2B12"/>
    <w:p w14:paraId="6520002A" w14:textId="77777777" w:rsidR="000A44A7" w:rsidRPr="000A44A7" w:rsidRDefault="000A44A7" w:rsidP="000A44A7">
      <w:pPr>
        <w:spacing w:after="200" w:line="276" w:lineRule="auto"/>
        <w:outlineLvl w:val="0"/>
        <w:rPr>
          <w:rFonts w:eastAsiaTheme="minorEastAsia" w:cs="Arial"/>
          <w:sz w:val="22"/>
          <w:szCs w:val="22"/>
          <w:lang w:val="en-GB" w:eastAsia="en-GB"/>
        </w:rPr>
      </w:pPr>
      <w:r w:rsidRPr="000A44A7">
        <w:rPr>
          <w:rFonts w:eastAsiaTheme="minorEastAsia" w:cs="Arial"/>
          <w:b/>
          <w:bCs/>
          <w:sz w:val="22"/>
          <w:szCs w:val="22"/>
          <w:lang w:val="en-GB" w:eastAsia="en-GB"/>
        </w:rPr>
        <w:t>COMPETING INTERESTS DISCLAIMER:</w:t>
      </w:r>
    </w:p>
    <w:p w14:paraId="17B33F1A" w14:textId="0BE3FA8A" w:rsidR="000A44A7" w:rsidRPr="000A44A7" w:rsidRDefault="000A44A7" w:rsidP="000A44A7">
      <w:pPr>
        <w:spacing w:after="200" w:line="276" w:lineRule="auto"/>
        <w:jc w:val="left"/>
        <w:rPr>
          <w:rFonts w:asciiTheme="minorHAnsi" w:eastAsiaTheme="minorEastAsia" w:hAnsiTheme="minorHAnsi" w:cstheme="minorBidi"/>
          <w:sz w:val="22"/>
          <w:szCs w:val="22"/>
          <w:lang w:val="en-GB" w:eastAsia="en-GB"/>
        </w:rPr>
      </w:pPr>
      <w:r w:rsidRPr="000A44A7">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40F2CCA" w14:textId="77777777" w:rsidR="00295DC3" w:rsidRDefault="00295DC3" w:rsidP="00295DC3">
      <w:pPr>
        <w:rPr>
          <w:rFonts w:ascii="Calibri" w:eastAsia="Calibri" w:hAnsi="Calibri"/>
          <w:kern w:val="2"/>
          <w:highlight w:val="yellow"/>
        </w:rPr>
      </w:pPr>
      <w:bookmarkStart w:id="0" w:name="_Hlk204003461"/>
      <w:bookmarkStart w:id="1" w:name="_Hlk209007716"/>
      <w:r>
        <w:rPr>
          <w:rFonts w:ascii="Calibri" w:eastAsia="Calibri" w:hAnsi="Calibri"/>
          <w:kern w:val="2"/>
          <w:highlight w:val="yellow"/>
        </w:rPr>
        <w:t>Disclaimer (Artificial intelligence)</w:t>
      </w:r>
    </w:p>
    <w:p w14:paraId="1536251E"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Option 1:</w:t>
      </w:r>
    </w:p>
    <w:p w14:paraId="593A9A4F"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383E9B32"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 xml:space="preserve">Option 2: </w:t>
      </w:r>
    </w:p>
    <w:p w14:paraId="54D4A67A"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 xml:space="preserve">Author(s) hereby declare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0383F0"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Details of the AI usage are given below:</w:t>
      </w:r>
    </w:p>
    <w:p w14:paraId="0AE9846E"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1.</w:t>
      </w:r>
    </w:p>
    <w:p w14:paraId="3B8A155A"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2.</w:t>
      </w:r>
    </w:p>
    <w:p w14:paraId="3B61E9AC" w14:textId="77777777" w:rsidR="00295DC3" w:rsidRDefault="00295DC3" w:rsidP="00295DC3">
      <w:pPr>
        <w:rPr>
          <w:rFonts w:ascii="Calibri" w:eastAsia="Calibri" w:hAnsi="Calibri"/>
          <w:kern w:val="2"/>
          <w:highlight w:val="yellow"/>
        </w:rPr>
      </w:pPr>
      <w:r>
        <w:rPr>
          <w:rFonts w:ascii="Calibri" w:eastAsia="Calibri" w:hAnsi="Calibri"/>
          <w:kern w:val="2"/>
          <w:highlight w:val="yellow"/>
        </w:rPr>
        <w:t>3.</w:t>
      </w:r>
      <w:bookmarkEnd w:id="0"/>
    </w:p>
    <w:bookmarkEnd w:id="1"/>
    <w:p w14:paraId="528874E1" w14:textId="77777777" w:rsidR="000A44A7" w:rsidRPr="000A44A7" w:rsidRDefault="000A44A7" w:rsidP="000A44A7">
      <w:pPr>
        <w:spacing w:after="200" w:line="276" w:lineRule="auto"/>
        <w:jc w:val="left"/>
        <w:rPr>
          <w:rFonts w:asciiTheme="minorHAnsi" w:eastAsiaTheme="minorEastAsia" w:hAnsiTheme="minorHAnsi" w:cstheme="minorBidi"/>
          <w:sz w:val="22"/>
          <w:szCs w:val="22"/>
          <w:lang w:val="en-GB" w:eastAsia="en-GB"/>
        </w:rPr>
      </w:pPr>
    </w:p>
    <w:p w14:paraId="4D3CD767" w14:textId="77777777" w:rsidR="00B01FCD" w:rsidRPr="00455677" w:rsidRDefault="00B01FCD" w:rsidP="00455677">
      <w:pPr>
        <w:pStyle w:val="Heading1"/>
      </w:pPr>
      <w:r w:rsidRPr="00455677">
        <w:t>References</w:t>
      </w:r>
    </w:p>
    <w:p w14:paraId="32207771" w14:textId="77777777" w:rsidR="00790ADA" w:rsidRPr="00FB3A86" w:rsidRDefault="00790ADA" w:rsidP="00441B6F">
      <w:pPr>
        <w:pStyle w:val="ReferHead"/>
        <w:spacing w:after="0"/>
        <w:rPr>
          <w:rFonts w:cs="Arial"/>
        </w:rPr>
      </w:pPr>
    </w:p>
    <w:p w14:paraId="1C874642" w14:textId="11AB3F21" w:rsidR="00391C3E" w:rsidRPr="00391C3E" w:rsidRDefault="00455677" w:rsidP="00391C3E">
      <w:pPr>
        <w:pStyle w:val="Bibliography"/>
        <w:numPr>
          <w:ilvl w:val="0"/>
          <w:numId w:val="38"/>
        </w:numPr>
        <w:rPr>
          <w:rFonts w:cs="Arial"/>
          <w:lang w:val="fr-FR"/>
        </w:rPr>
      </w:pPr>
      <w:r>
        <w:fldChar w:fldCharType="begin"/>
      </w:r>
      <w:r w:rsidR="00A20525">
        <w:rPr>
          <w:lang w:val="fr-FR"/>
        </w:rPr>
        <w:instrText xml:space="preserve"> ADDIN ZOTERO_BIBL {"uncited":[],"omitted":[],"custom":[]} CSL_BIBLIOGRAPHY </w:instrText>
      </w:r>
      <w:r>
        <w:fldChar w:fldCharType="separate"/>
      </w:r>
      <w:r w:rsidR="00391C3E" w:rsidRPr="00391C3E">
        <w:t xml:space="preserve"> </w:t>
      </w:r>
      <w:r w:rsidR="00391C3E" w:rsidRPr="00391C3E">
        <w:rPr>
          <w:rFonts w:cs="Arial"/>
          <w:lang w:val="fr-FR"/>
        </w:rPr>
        <w:t xml:space="preserve">Akinsolu, F. T., &amp; Abodunrin, O. R. (2023). Community perception of school-based mass drug administration program for soil-transmitted helminths and </w:t>
      </w:r>
      <w:r w:rsidR="00391C3E" w:rsidRPr="00391C3E">
        <w:rPr>
          <w:rFonts w:cs="Arial"/>
          <w:lang w:val="fr-FR"/>
        </w:rPr>
        <w:lastRenderedPageBreak/>
        <w:t>schistosomiasis in Ogun State, Nigeria. PLOS Neglected Tropical Diseases, 17(7), e0011213. https://doi.org/10.1371/journal.pntd.0011213</w:t>
      </w:r>
    </w:p>
    <w:p w14:paraId="0C9F0887" w14:textId="77777777" w:rsidR="00391C3E" w:rsidRPr="00391C3E" w:rsidRDefault="00391C3E" w:rsidP="00391C3E">
      <w:pPr>
        <w:pStyle w:val="Bibliography"/>
        <w:numPr>
          <w:ilvl w:val="0"/>
          <w:numId w:val="38"/>
        </w:numPr>
        <w:rPr>
          <w:rFonts w:cs="Arial"/>
          <w:lang w:val="fr-FR"/>
        </w:rPr>
      </w:pPr>
      <w:r w:rsidRPr="00391C3E">
        <w:rPr>
          <w:rFonts w:cs="Arial"/>
          <w:lang w:val="fr-FR"/>
        </w:rPr>
        <w:t>2. anafrimed. (2009, September 24). Estimation of the prevalence of soil-transmitted helminths in Kinshasa (Meta-analysis of 185 studies)—Annales africaines de médecine. https://anafrimed.net/estimation-de-la-prevalence-des-geo-helminthes-a-kinshasa-meta-analyse-de-185-etudes/, https://anafrimed.net/estimation-de-la-prevalence-des-geo-helminthes-a-kinshasa-meta-analyse-de-185-etudes/</w:t>
      </w:r>
    </w:p>
    <w:p w14:paraId="4C16DF82" w14:textId="77777777" w:rsidR="00391C3E" w:rsidRPr="00391C3E" w:rsidRDefault="00391C3E" w:rsidP="00391C3E">
      <w:pPr>
        <w:pStyle w:val="Bibliography"/>
        <w:numPr>
          <w:ilvl w:val="0"/>
          <w:numId w:val="38"/>
        </w:numPr>
        <w:rPr>
          <w:rFonts w:cs="Arial"/>
          <w:lang w:val="fr-FR"/>
        </w:rPr>
      </w:pPr>
      <w:r w:rsidRPr="00391C3E">
        <w:rPr>
          <w:rFonts w:cs="Arial"/>
          <w:lang w:val="fr-FR"/>
        </w:rPr>
        <w:t>3. Campillo, J. T., Awaca-Uvon, N. P., Tambwe, J.-P., Kuyangisa-Simuna, G., Vlaminck, J., Weil, G. J., Boussinesq, M., Chesnais, C. B., &amp; Pion, S. D. S. (2021). A strong effect of individual compliance with mass drug administration for lymphatic filariasis on sustained clearance of soil-transmitted helminth infections. Parasites &amp; Vectors, 14(1), 310. https://doi.org/10.1186/s13071-021-04814-2</w:t>
      </w:r>
    </w:p>
    <w:p w14:paraId="24896E79" w14:textId="77777777" w:rsidR="00391C3E" w:rsidRPr="00391C3E" w:rsidRDefault="00391C3E" w:rsidP="00391C3E">
      <w:pPr>
        <w:pStyle w:val="Bibliography"/>
        <w:numPr>
          <w:ilvl w:val="0"/>
          <w:numId w:val="38"/>
        </w:numPr>
        <w:rPr>
          <w:rFonts w:cs="Arial"/>
          <w:lang w:val="fr-FR"/>
        </w:rPr>
      </w:pPr>
      <w:r w:rsidRPr="00391C3E">
        <w:rPr>
          <w:rFonts w:cs="Arial"/>
          <w:lang w:val="fr-FR"/>
        </w:rPr>
        <w:t>4. Cosse, P. (2005). Towards the development of women’s economic autonomy: A group experience. Social Service, 42(2), 163–182. https://doi.org/10.7202/706623ar</w:t>
      </w:r>
    </w:p>
    <w:p w14:paraId="475FCF2E" w14:textId="77777777" w:rsidR="00391C3E" w:rsidRPr="00391C3E" w:rsidRDefault="00391C3E" w:rsidP="00391C3E">
      <w:pPr>
        <w:pStyle w:val="Bibliography"/>
        <w:numPr>
          <w:ilvl w:val="0"/>
          <w:numId w:val="38"/>
        </w:numPr>
        <w:rPr>
          <w:rFonts w:cs="Arial"/>
          <w:lang w:val="fr-FR"/>
        </w:rPr>
      </w:pPr>
      <w:r w:rsidRPr="00391C3E">
        <w:rPr>
          <w:rFonts w:cs="Arial"/>
          <w:lang w:val="fr-FR"/>
        </w:rPr>
        <w:t>5. J-PAL. (2022). Deworming to improve school attendance. The Abdul Latif Jameel Poverty Action Lab (J-PAL). https://www.povertyactionlab.org/publication/roll-call-getting-children-school</w:t>
      </w:r>
    </w:p>
    <w:p w14:paraId="419BEC88" w14:textId="77777777" w:rsidR="00391C3E" w:rsidRPr="00391C3E" w:rsidRDefault="00391C3E" w:rsidP="00391C3E">
      <w:pPr>
        <w:pStyle w:val="Bibliography"/>
        <w:numPr>
          <w:ilvl w:val="0"/>
          <w:numId w:val="38"/>
        </w:numPr>
        <w:rPr>
          <w:rFonts w:cs="Arial"/>
          <w:lang w:val="fr-FR"/>
        </w:rPr>
      </w:pPr>
      <w:r w:rsidRPr="00391C3E">
        <w:rPr>
          <w:rFonts w:cs="Arial"/>
          <w:lang w:val="fr-FR"/>
        </w:rPr>
        <w:t>6. Kabore, A., Ibikounle, M., Tougoue, J. J., Mupoyi, S., Ndombe, M., Shannon, S., Ottesen, E. A., Mukunda, F., &amp; Awaca, N. (2017). Initiating NTD programs targeting schistosomiasis and soil-transmitted helminthiasis in two provinces of the Democratic Republic of the Congo: Establishment of baseline prevalence for mass drug administration. Acta Tropica, 166, 177–185. https://doi.org/10.1016/j.actatropica.2016.11.023</w:t>
      </w:r>
    </w:p>
    <w:p w14:paraId="15CDE890" w14:textId="77777777" w:rsidR="00391C3E" w:rsidRPr="00391C3E" w:rsidRDefault="00391C3E" w:rsidP="00391C3E">
      <w:pPr>
        <w:pStyle w:val="Bibliography"/>
        <w:numPr>
          <w:ilvl w:val="0"/>
          <w:numId w:val="38"/>
        </w:numPr>
        <w:rPr>
          <w:rFonts w:cs="Arial"/>
          <w:lang w:val="fr-FR"/>
        </w:rPr>
      </w:pPr>
      <w:r w:rsidRPr="00391C3E">
        <w:rPr>
          <w:rFonts w:cs="Arial"/>
          <w:lang w:val="fr-FR"/>
        </w:rPr>
        <w:t>7. Kalenga, M. K., Nyembo, M. K., Nshimba, M., &amp; Foidart, J. M. (2003). [Anemia associated with malaria and intestinal helminthiasis in Lubumbashi]. Public Health (Vandoeuvre-Les-Nancy, France), 15(4), 413–421.</w:t>
      </w:r>
    </w:p>
    <w:p w14:paraId="175F96E9" w14:textId="77777777" w:rsidR="00391C3E" w:rsidRPr="00391C3E" w:rsidRDefault="00391C3E" w:rsidP="00391C3E">
      <w:pPr>
        <w:pStyle w:val="Bibliography"/>
        <w:numPr>
          <w:ilvl w:val="0"/>
          <w:numId w:val="38"/>
        </w:numPr>
        <w:rPr>
          <w:rFonts w:cs="Arial"/>
          <w:lang w:val="fr-FR"/>
        </w:rPr>
      </w:pPr>
      <w:r w:rsidRPr="00391C3E">
        <w:rPr>
          <w:rFonts w:cs="Arial"/>
          <w:lang w:val="fr-FR"/>
        </w:rPr>
        <w:lastRenderedPageBreak/>
        <w:t>8. Kamariza, M. (2015). Study of factors contributing to the persistence of soil-transmitted helminthiasis in rural areas: Case of Kirundo Province. National Institute of Public Health.</w:t>
      </w:r>
    </w:p>
    <w:p w14:paraId="492D1DC5" w14:textId="77777777" w:rsidR="00391C3E" w:rsidRPr="00391C3E" w:rsidRDefault="00391C3E" w:rsidP="00391C3E">
      <w:pPr>
        <w:pStyle w:val="Bibliography"/>
        <w:numPr>
          <w:ilvl w:val="0"/>
          <w:numId w:val="38"/>
        </w:numPr>
        <w:rPr>
          <w:rFonts w:cs="Arial"/>
          <w:lang w:val="fr-FR"/>
        </w:rPr>
      </w:pPr>
      <w:r w:rsidRPr="00391C3E">
        <w:rPr>
          <w:rFonts w:cs="Arial"/>
          <w:lang w:val="fr-FR"/>
        </w:rPr>
        <w:t>9. Kulandaipalayam, S. (2023). Perceptions Associated with Noncompliance to Community-Wide Mass Drug Administration for Soil-Transmitted Helminths. 4(109), 830–834. https://doi.org/10.4269/ajtmh.23-0176</w:t>
      </w:r>
    </w:p>
    <w:p w14:paraId="62DBE016" w14:textId="77777777" w:rsidR="00391C3E" w:rsidRPr="00391C3E" w:rsidRDefault="00391C3E" w:rsidP="00391C3E">
      <w:pPr>
        <w:pStyle w:val="Bibliography"/>
        <w:numPr>
          <w:ilvl w:val="0"/>
          <w:numId w:val="38"/>
        </w:numPr>
        <w:rPr>
          <w:rFonts w:cs="Arial"/>
          <w:lang w:val="fr-FR"/>
        </w:rPr>
      </w:pPr>
      <w:r w:rsidRPr="00391C3E">
        <w:rPr>
          <w:rFonts w:cs="Arial"/>
          <w:lang w:val="fr-FR"/>
        </w:rPr>
        <w:t>10. Legge, H., Kepha, S., Prochazka, M., Halliday, K., Pullan, R., Gwayi-Chore, M.-C., &amp; Njomo, D. (2020). Implement and recipient perspectives of community-wide mass drug administration for soil-transmitted helminths in Kwale County, Kenya. PLoS Neglected Tropical Diseases, 14(4), e0008258. https://doi.org/10.1371/journal.pntd.0008258</w:t>
      </w:r>
    </w:p>
    <w:p w14:paraId="28309DCF" w14:textId="77777777" w:rsidR="00391C3E" w:rsidRPr="00391C3E" w:rsidRDefault="00391C3E" w:rsidP="00391C3E">
      <w:pPr>
        <w:pStyle w:val="Bibliography"/>
        <w:numPr>
          <w:ilvl w:val="0"/>
          <w:numId w:val="38"/>
        </w:numPr>
        <w:rPr>
          <w:rFonts w:cs="Arial"/>
          <w:lang w:val="fr-FR"/>
        </w:rPr>
      </w:pPr>
      <w:r w:rsidRPr="00391C3E">
        <w:rPr>
          <w:rFonts w:cs="Arial"/>
          <w:lang w:val="fr-FR"/>
        </w:rPr>
        <w:t>11. Lynch, S. (2022, September). Compliance with medication—Drugs. MSD Manuals for the general public. https://www.msdmanuals.com/fr/accueil/medications/factors-which-influence-the-response-to-medications/compliance-with-medication-treatment</w:t>
      </w:r>
    </w:p>
    <w:p w14:paraId="7AA8E579" w14:textId="6C22E4AA" w:rsidR="00391C3E" w:rsidRDefault="00391C3E" w:rsidP="00391C3E">
      <w:pPr>
        <w:pStyle w:val="Bibliography"/>
        <w:numPr>
          <w:ilvl w:val="0"/>
          <w:numId w:val="38"/>
        </w:numPr>
      </w:pPr>
      <w:r w:rsidRPr="00391C3E">
        <w:rPr>
          <w:rFonts w:cs="Arial"/>
          <w:lang w:val="fr-FR"/>
        </w:rPr>
        <w:t>12. Mitchell, E., Kelly-Hanku, A., Krentel, A., Romani, L., Robinson, L. J., Vaz Nery, S., Kaldor, J., Steer, A. C., &amp; Bell, S. (2022). Community perceptions and acceptability of mass drug administration for the control of neglected tropical diseases in Asia-Pacific countries: A systematic scoping review of qualitative research. PLOS Neglected Tropical Diseases, 16(3), e0010215. https://doi.org/10.1371/journal.pntd.0010215</w:t>
      </w:r>
    </w:p>
    <w:p w14:paraId="79134FB0" w14:textId="77777777" w:rsidR="00391C3E" w:rsidRDefault="00391C3E" w:rsidP="00391C3E"/>
    <w:p w14:paraId="4FA25326" w14:textId="77777777" w:rsidR="00391C3E" w:rsidRDefault="00391C3E" w:rsidP="00391C3E"/>
    <w:p w14:paraId="79BF7C2A" w14:textId="77777777" w:rsidR="00391C3E" w:rsidRPr="00391C3E" w:rsidRDefault="00391C3E" w:rsidP="00391C3E"/>
    <w:p w14:paraId="59D92BE3" w14:textId="77777777" w:rsidR="00391C3E" w:rsidRPr="00391C3E" w:rsidRDefault="00391C3E" w:rsidP="00391C3E">
      <w:pPr>
        <w:rPr>
          <w:rFonts w:cs="Arial"/>
        </w:rPr>
      </w:pPr>
      <w:r w:rsidRPr="00391C3E">
        <w:rPr>
          <w:rFonts w:cs="Arial"/>
        </w:rPr>
        <w:t>13. Nath, T. C., Padmawati, R. S., &amp; Murhandarwati, E. H. (2019). Barriers and gaps in utilization and coverage of mass drug administration program against soil-transmitted helminth infection in Bangladesh: An implementation research. Journal of Infection and Public Health, 12(2), 205–212. https://doi.org/10.1016/j.ph</w:t>
      </w:r>
    </w:p>
    <w:p w14:paraId="7B7592CE" w14:textId="77777777" w:rsidR="00391C3E" w:rsidRPr="00391C3E" w:rsidRDefault="00391C3E" w:rsidP="00391C3E">
      <w:pPr>
        <w:rPr>
          <w:rFonts w:cs="Arial"/>
        </w:rPr>
      </w:pPr>
      <w:r w:rsidRPr="00391C3E">
        <w:rPr>
          <w:rFonts w:cs="Arial"/>
        </w:rPr>
        <w:t>14. War, P., &amp; Achilles, P. Z. (2024). Evaluation of Mass Drug Administration Coverage for Lymphatic Filariasis in the Lukonga Health Zone in 2022. https://doi.org/10.20944/preprints2</w:t>
      </w:r>
    </w:p>
    <w:p w14:paraId="688DE5E4" w14:textId="77777777" w:rsidR="00391C3E" w:rsidRPr="00391C3E" w:rsidRDefault="00391C3E" w:rsidP="00391C3E">
      <w:pPr>
        <w:rPr>
          <w:rFonts w:cs="Arial"/>
        </w:rPr>
      </w:pPr>
      <w:r w:rsidRPr="00562362">
        <w:rPr>
          <w:rFonts w:cs="Arial"/>
          <w:lang w:val="es-US"/>
        </w:rPr>
        <w:lastRenderedPageBreak/>
        <w:t xml:space="preserve">15. </w:t>
      </w:r>
      <w:proofErr w:type="spellStart"/>
      <w:r w:rsidRPr="00562362">
        <w:rPr>
          <w:rFonts w:cs="Arial"/>
          <w:lang w:val="es-US"/>
        </w:rPr>
        <w:t>Nundu</w:t>
      </w:r>
      <w:proofErr w:type="spellEnd"/>
      <w:r w:rsidRPr="00562362">
        <w:rPr>
          <w:rFonts w:cs="Arial"/>
          <w:lang w:val="es-US"/>
        </w:rPr>
        <w:t xml:space="preserve">, S., </w:t>
      </w:r>
      <w:proofErr w:type="spellStart"/>
      <w:r w:rsidRPr="00562362">
        <w:rPr>
          <w:rFonts w:cs="Arial"/>
          <w:lang w:val="es-US"/>
        </w:rPr>
        <w:t>Aloni</w:t>
      </w:r>
      <w:proofErr w:type="spellEnd"/>
      <w:r w:rsidRPr="00562362">
        <w:rPr>
          <w:rFonts w:cs="Arial"/>
          <w:lang w:val="es-US"/>
        </w:rPr>
        <w:t xml:space="preserve">, M.-N., </w:t>
      </w:r>
      <w:proofErr w:type="spellStart"/>
      <w:r w:rsidRPr="00562362">
        <w:rPr>
          <w:rFonts w:cs="Arial"/>
          <w:lang w:val="es-US"/>
        </w:rPr>
        <w:t>Linsuke</w:t>
      </w:r>
      <w:proofErr w:type="spellEnd"/>
      <w:r w:rsidRPr="00562362">
        <w:rPr>
          <w:rFonts w:cs="Arial"/>
          <w:lang w:val="es-US"/>
        </w:rPr>
        <w:t xml:space="preserve">, S.-W.-L., </w:t>
      </w:r>
      <w:proofErr w:type="spellStart"/>
      <w:r w:rsidRPr="00562362">
        <w:rPr>
          <w:rFonts w:cs="Arial"/>
          <w:lang w:val="es-US"/>
        </w:rPr>
        <w:t>Ekila</w:t>
      </w:r>
      <w:proofErr w:type="spellEnd"/>
      <w:r w:rsidRPr="00562362">
        <w:rPr>
          <w:rFonts w:cs="Arial"/>
          <w:lang w:val="es-US"/>
        </w:rPr>
        <w:t xml:space="preserve">, M.-B., </w:t>
      </w:r>
      <w:proofErr w:type="spellStart"/>
      <w:r w:rsidRPr="00562362">
        <w:rPr>
          <w:rFonts w:cs="Arial"/>
          <w:lang w:val="es-US"/>
        </w:rPr>
        <w:t>Situakibanza</w:t>
      </w:r>
      <w:proofErr w:type="spellEnd"/>
      <w:r w:rsidRPr="00562362">
        <w:rPr>
          <w:rFonts w:cs="Arial"/>
          <w:lang w:val="es-US"/>
        </w:rPr>
        <w:t xml:space="preserve">, H.-T., </w:t>
      </w:r>
      <w:proofErr w:type="spellStart"/>
      <w:r w:rsidRPr="00562362">
        <w:rPr>
          <w:rFonts w:cs="Arial"/>
          <w:lang w:val="es-US"/>
        </w:rPr>
        <w:t>Polman</w:t>
      </w:r>
      <w:proofErr w:type="spellEnd"/>
      <w:r w:rsidRPr="00562362">
        <w:rPr>
          <w:rFonts w:cs="Arial"/>
          <w:lang w:val="es-US"/>
        </w:rPr>
        <w:t xml:space="preserve">, K., &amp; </w:t>
      </w:r>
      <w:proofErr w:type="spellStart"/>
      <w:r w:rsidRPr="00562362">
        <w:rPr>
          <w:rFonts w:cs="Arial"/>
          <w:lang w:val="es-US"/>
        </w:rPr>
        <w:t>Lutumba</w:t>
      </w:r>
      <w:proofErr w:type="spellEnd"/>
      <w:r w:rsidRPr="00562362">
        <w:rPr>
          <w:rFonts w:cs="Arial"/>
          <w:lang w:val="es-US"/>
        </w:rPr>
        <w:t xml:space="preserve">, P.-T. (2014). </w:t>
      </w:r>
      <w:r w:rsidRPr="00391C3E">
        <w:rPr>
          <w:rFonts w:cs="Arial"/>
        </w:rPr>
        <w:t xml:space="preserve">Prevalence of </w:t>
      </w:r>
      <w:proofErr w:type="spellStart"/>
      <w:r w:rsidRPr="00391C3E">
        <w:rPr>
          <w:rFonts w:cs="Arial"/>
        </w:rPr>
        <w:t>geohelminthiases</w:t>
      </w:r>
      <w:proofErr w:type="spellEnd"/>
      <w:r w:rsidRPr="00391C3E">
        <w:rPr>
          <w:rFonts w:cs="Arial"/>
        </w:rPr>
        <w:t xml:space="preserve"> in children in Kinshasa. Archives of Pediatrics, 21(6), 579–583. https://doi.org/10.1016/j.arcped.2014.03.003</w:t>
      </w:r>
    </w:p>
    <w:p w14:paraId="26B93BD0" w14:textId="77777777" w:rsidR="00391C3E" w:rsidRPr="00391C3E" w:rsidRDefault="00391C3E" w:rsidP="00391C3E">
      <w:pPr>
        <w:rPr>
          <w:rFonts w:cs="Arial"/>
        </w:rPr>
      </w:pPr>
      <w:r w:rsidRPr="00391C3E">
        <w:rPr>
          <w:rFonts w:cs="Arial"/>
        </w:rPr>
        <w:t>16. Omedo, M. O., Matey, E. J., Awiti, A., Ogutu, M., Alaii, J., Karanja, D. M. S., Montgomery, S. P., Secor, W. E., &amp; Mwinzi, P. N. M. (2012). Community Health Workers’ Experiences and Perspectives on Mass Drug Administration for Schistosomiasis Control in Western Kenya: The SCORE Project. The American Society of Tropical Medicine and Hygiene, 87(6), 1065–1072. https://doi.org/10.4269/ajtmh.2012.12-0435</w:t>
      </w:r>
    </w:p>
    <w:p w14:paraId="2B386831" w14:textId="77777777" w:rsidR="00391C3E" w:rsidRPr="00391C3E" w:rsidRDefault="00391C3E" w:rsidP="00391C3E">
      <w:pPr>
        <w:rPr>
          <w:rFonts w:cs="Arial"/>
        </w:rPr>
      </w:pPr>
      <w:r w:rsidRPr="00391C3E">
        <w:rPr>
          <w:rFonts w:cs="Arial"/>
        </w:rPr>
        <w:t>17. PNLMTN_CTP. (2022, March). Report 2021.</w:t>
      </w:r>
    </w:p>
    <w:p w14:paraId="2E01DA2C" w14:textId="77777777" w:rsidR="00391C3E" w:rsidRPr="00391C3E" w:rsidRDefault="00391C3E" w:rsidP="00391C3E">
      <w:pPr>
        <w:rPr>
          <w:rFonts w:cs="Arial"/>
        </w:rPr>
      </w:pPr>
      <w:r w:rsidRPr="00391C3E">
        <w:rPr>
          <w:rFonts w:cs="Arial"/>
        </w:rPr>
        <w:t>18. WHO. (2018). Guidelines: Chemoprevention to combat geohelminthiases in at-risk population groups. World Health Organization. https://iris.who.int/external/10665/276044</w:t>
      </w:r>
    </w:p>
    <w:p w14:paraId="181B9092" w14:textId="77777777" w:rsidR="00391C3E" w:rsidRPr="00391C3E" w:rsidRDefault="00391C3E" w:rsidP="00391C3E">
      <w:pPr>
        <w:rPr>
          <w:rFonts w:cs="Arial"/>
        </w:rPr>
      </w:pPr>
      <w:r w:rsidRPr="00391C3E">
        <w:rPr>
          <w:rFonts w:cs="Arial"/>
        </w:rPr>
        <w:t>19. WHO. (2020). Incorporating Intersectional Gender Analysis into Research on Infectious Diseases of Poverty. World Health Organization.</w:t>
      </w:r>
    </w:p>
    <w:p w14:paraId="7485E88F" w14:textId="77777777" w:rsidR="00391C3E" w:rsidRPr="00391C3E" w:rsidRDefault="00391C3E" w:rsidP="00391C3E">
      <w:pPr>
        <w:rPr>
          <w:rFonts w:cs="Arial"/>
        </w:rPr>
      </w:pPr>
      <w:r w:rsidRPr="00391C3E">
        <w:rPr>
          <w:rFonts w:cs="Arial"/>
        </w:rPr>
        <w:t>20. WHO. (2021). Deparasitization of adolescents and women of procreative age: A guidance note. https://www.eliminateschisto.org/sites/gsa/files/content/attachments/2023-03-01/9789240042599-fre.pdf</w:t>
      </w:r>
    </w:p>
    <w:p w14:paraId="5037A6A4" w14:textId="77777777" w:rsidR="00391C3E" w:rsidRPr="00391C3E" w:rsidRDefault="00391C3E" w:rsidP="00391C3E">
      <w:pPr>
        <w:rPr>
          <w:rFonts w:cs="Arial"/>
        </w:rPr>
      </w:pPr>
      <w:r w:rsidRPr="00391C3E">
        <w:rPr>
          <w:rFonts w:cs="Arial"/>
        </w:rPr>
        <w:t>21. WHO. (2022). Neglected tropical diseases: Progress towards recovery from COVID-19 – 2022 update. Weekly Epidemiological Record, 38, 465–480.</w:t>
      </w:r>
    </w:p>
    <w:p w14:paraId="0200C29D" w14:textId="77777777" w:rsidR="00391C3E" w:rsidRPr="00391C3E" w:rsidRDefault="00391C3E" w:rsidP="00391C3E">
      <w:pPr>
        <w:rPr>
          <w:rFonts w:cs="Arial"/>
        </w:rPr>
      </w:pPr>
      <w:r w:rsidRPr="00391C3E">
        <w:rPr>
          <w:rFonts w:cs="Arial"/>
        </w:rPr>
        <w:t>22. WHO. (2023a, October 13). Weekly epidemiological survey-Global program for the elimination of lymphatic filariasis: Status report, 2022. No 41.</w:t>
      </w:r>
    </w:p>
    <w:p w14:paraId="7236BD20" w14:textId="77777777" w:rsidR="00391C3E" w:rsidRPr="00391C3E" w:rsidRDefault="00391C3E" w:rsidP="00391C3E">
      <w:pPr>
        <w:rPr>
          <w:rFonts w:cs="Arial"/>
        </w:rPr>
      </w:pPr>
      <w:r w:rsidRPr="00391C3E">
        <w:rPr>
          <w:rFonts w:cs="Arial"/>
        </w:rPr>
        <w:t>23. WHO. (2023b, December 22). Weekly Epidemiological Survey-Schistosomiasis and Geohelminthiases: Status Report, 2022. No 51.</w:t>
      </w:r>
    </w:p>
    <w:p w14:paraId="44812584" w14:textId="77777777" w:rsidR="00EF4204" w:rsidRDefault="00391C3E" w:rsidP="00391C3E">
      <w:pPr>
        <w:pStyle w:val="Body"/>
        <w:spacing w:after="0" w:line="276" w:lineRule="auto"/>
      </w:pPr>
      <w:r w:rsidRPr="00391C3E">
        <w:rPr>
          <w:rFonts w:cs="Arial"/>
        </w:rPr>
        <w:t>24. ZS Kadutu. (2022). Annual Health Zone Report.</w:t>
      </w:r>
      <w:r w:rsidR="00455677">
        <w:fldChar w:fldCharType="end"/>
      </w:r>
    </w:p>
    <w:p w14:paraId="3FA980F9" w14:textId="6527E00B" w:rsidR="00EF4204" w:rsidRPr="00562362" w:rsidRDefault="00EF4204" w:rsidP="00391C3E">
      <w:pPr>
        <w:pStyle w:val="Body"/>
        <w:spacing w:after="0" w:line="276" w:lineRule="auto"/>
        <w:rPr>
          <w:highlight w:val="yellow"/>
        </w:rPr>
      </w:pPr>
      <w:r w:rsidRPr="00562362">
        <w:rPr>
          <w:highlight w:val="yellow"/>
        </w:rPr>
        <w:t xml:space="preserve">25. </w:t>
      </w:r>
      <w:r w:rsidRPr="00562362">
        <w:rPr>
          <w:highlight w:val="yellow"/>
        </w:rPr>
        <w:t xml:space="preserve">Schlosser-Brandenburg, J., Midha, A., Mugo, R. M., </w:t>
      </w:r>
      <w:proofErr w:type="spellStart"/>
      <w:r w:rsidRPr="00562362">
        <w:rPr>
          <w:highlight w:val="yellow"/>
        </w:rPr>
        <w:t>Ndombi</w:t>
      </w:r>
      <w:proofErr w:type="spellEnd"/>
      <w:r w:rsidRPr="00562362">
        <w:rPr>
          <w:highlight w:val="yellow"/>
        </w:rPr>
        <w:t xml:space="preserve">, E. M., Gachara, G., </w:t>
      </w:r>
      <w:proofErr w:type="spellStart"/>
      <w:r w:rsidRPr="00562362">
        <w:rPr>
          <w:highlight w:val="yellow"/>
        </w:rPr>
        <w:t>Njomo</w:t>
      </w:r>
      <w:proofErr w:type="spellEnd"/>
      <w:r w:rsidRPr="00562362">
        <w:rPr>
          <w:highlight w:val="yellow"/>
        </w:rPr>
        <w:t>, D., ... &amp; Hartmann, S. (2023). Infection with soil-transmitted helminths and their impact on coinfections. </w:t>
      </w:r>
      <w:r w:rsidRPr="00562362">
        <w:rPr>
          <w:i/>
          <w:iCs/>
          <w:highlight w:val="yellow"/>
        </w:rPr>
        <w:t>Frontiers in Parasitology</w:t>
      </w:r>
      <w:r w:rsidRPr="00562362">
        <w:rPr>
          <w:highlight w:val="yellow"/>
        </w:rPr>
        <w:t>, </w:t>
      </w:r>
      <w:r w:rsidRPr="00562362">
        <w:rPr>
          <w:i/>
          <w:iCs/>
          <w:highlight w:val="yellow"/>
        </w:rPr>
        <w:t>2</w:t>
      </w:r>
      <w:r w:rsidRPr="00562362">
        <w:rPr>
          <w:highlight w:val="yellow"/>
        </w:rPr>
        <w:t>, 1197956.</w:t>
      </w:r>
    </w:p>
    <w:p w14:paraId="26F3A80E" w14:textId="3B5C0981" w:rsidR="00EF4204" w:rsidRDefault="00EF4204" w:rsidP="00391C3E">
      <w:pPr>
        <w:pStyle w:val="Body"/>
        <w:spacing w:after="0" w:line="276" w:lineRule="auto"/>
      </w:pPr>
      <w:r w:rsidRPr="00562362">
        <w:rPr>
          <w:highlight w:val="yellow"/>
        </w:rPr>
        <w:t xml:space="preserve">26. </w:t>
      </w:r>
      <w:r w:rsidR="00353111" w:rsidRPr="00562362">
        <w:rPr>
          <w:highlight w:val="yellow"/>
        </w:rPr>
        <w:t xml:space="preserve">Pilotte, N., Manuel, M., Walson, J. L., &amp; </w:t>
      </w:r>
      <w:proofErr w:type="spellStart"/>
      <w:r w:rsidR="00353111" w:rsidRPr="00562362">
        <w:rPr>
          <w:highlight w:val="yellow"/>
        </w:rPr>
        <w:t>Ajjampur</w:t>
      </w:r>
      <w:proofErr w:type="spellEnd"/>
      <w:r w:rsidR="00353111" w:rsidRPr="00562362">
        <w:rPr>
          <w:highlight w:val="yellow"/>
        </w:rPr>
        <w:t>, S. S. (2022). Community-wide mass drug administration for soil-transmitted helminths–risk of drug resistance and mitigation strategies. </w:t>
      </w:r>
      <w:r w:rsidR="00353111" w:rsidRPr="00562362">
        <w:rPr>
          <w:i/>
          <w:iCs/>
          <w:highlight w:val="yellow"/>
        </w:rPr>
        <w:t>Frontiers in Tropical Diseases</w:t>
      </w:r>
      <w:r w:rsidR="00353111" w:rsidRPr="00562362">
        <w:rPr>
          <w:highlight w:val="yellow"/>
        </w:rPr>
        <w:t>, </w:t>
      </w:r>
      <w:r w:rsidR="00353111" w:rsidRPr="00562362">
        <w:rPr>
          <w:i/>
          <w:iCs/>
          <w:highlight w:val="yellow"/>
        </w:rPr>
        <w:t>3</w:t>
      </w:r>
      <w:r w:rsidR="00353111" w:rsidRPr="00562362">
        <w:rPr>
          <w:highlight w:val="yellow"/>
        </w:rPr>
        <w:t>, 897155.</w:t>
      </w:r>
    </w:p>
    <w:p w14:paraId="669BC6C4" w14:textId="48F8B45A" w:rsidR="00353111" w:rsidRDefault="00353111" w:rsidP="00391C3E">
      <w:pPr>
        <w:pStyle w:val="Body"/>
        <w:spacing w:after="0" w:line="276" w:lineRule="auto"/>
      </w:pPr>
      <w:r w:rsidRPr="00562362">
        <w:rPr>
          <w:highlight w:val="yellow"/>
        </w:rPr>
        <w:t xml:space="preserve">27. </w:t>
      </w:r>
      <w:r w:rsidR="006B239B" w:rsidRPr="00562362">
        <w:rPr>
          <w:highlight w:val="yellow"/>
        </w:rPr>
        <w:t xml:space="preserve">Ene, C. B., Akpa, W. C., </w:t>
      </w:r>
      <w:proofErr w:type="spellStart"/>
      <w:r w:rsidR="006B239B" w:rsidRPr="00562362">
        <w:rPr>
          <w:highlight w:val="yellow"/>
        </w:rPr>
        <w:t>Ojide</w:t>
      </w:r>
      <w:proofErr w:type="spellEnd"/>
      <w:r w:rsidR="006B239B" w:rsidRPr="00562362">
        <w:rPr>
          <w:highlight w:val="yellow"/>
        </w:rPr>
        <w:t xml:space="preserve">, C. K., Onuoha, K. N., </w:t>
      </w:r>
      <w:proofErr w:type="spellStart"/>
      <w:r w:rsidR="006B239B" w:rsidRPr="00562362">
        <w:rPr>
          <w:highlight w:val="yellow"/>
        </w:rPr>
        <w:t>Edenya</w:t>
      </w:r>
      <w:proofErr w:type="spellEnd"/>
      <w:r w:rsidR="006B239B" w:rsidRPr="00562362">
        <w:rPr>
          <w:highlight w:val="yellow"/>
        </w:rPr>
        <w:t xml:space="preserve">, O. O., </w:t>
      </w:r>
      <w:proofErr w:type="spellStart"/>
      <w:r w:rsidR="006B239B" w:rsidRPr="00562362">
        <w:rPr>
          <w:highlight w:val="yellow"/>
        </w:rPr>
        <w:t>Idakari</w:t>
      </w:r>
      <w:proofErr w:type="spellEnd"/>
      <w:r w:rsidR="006B239B" w:rsidRPr="00562362">
        <w:rPr>
          <w:highlight w:val="yellow"/>
        </w:rPr>
        <w:t xml:space="preserve">, C. N., Ene, E. C., </w:t>
      </w:r>
      <w:proofErr w:type="spellStart"/>
      <w:r w:rsidR="006B239B" w:rsidRPr="00562362">
        <w:rPr>
          <w:highlight w:val="yellow"/>
        </w:rPr>
        <w:t>Onoh</w:t>
      </w:r>
      <w:proofErr w:type="spellEnd"/>
      <w:r w:rsidR="006B239B" w:rsidRPr="00562362">
        <w:rPr>
          <w:highlight w:val="yellow"/>
        </w:rPr>
        <w:t xml:space="preserve">, T. J., </w:t>
      </w:r>
      <w:proofErr w:type="spellStart"/>
      <w:r w:rsidR="006B239B" w:rsidRPr="00562362">
        <w:rPr>
          <w:highlight w:val="yellow"/>
        </w:rPr>
        <w:t>Nwafia</w:t>
      </w:r>
      <w:proofErr w:type="spellEnd"/>
      <w:r w:rsidR="006B239B" w:rsidRPr="00562362">
        <w:rPr>
          <w:highlight w:val="yellow"/>
        </w:rPr>
        <w:t xml:space="preserve">, I., Akpa, C. O., </w:t>
      </w:r>
      <w:proofErr w:type="spellStart"/>
      <w:r w:rsidR="006B239B" w:rsidRPr="00562362">
        <w:rPr>
          <w:highlight w:val="yellow"/>
        </w:rPr>
        <w:t>Udochuhwu</w:t>
      </w:r>
      <w:proofErr w:type="spellEnd"/>
      <w:r w:rsidR="006B239B" w:rsidRPr="00562362">
        <w:rPr>
          <w:highlight w:val="yellow"/>
        </w:rPr>
        <w:t xml:space="preserve">, K. N., Osuagwu, C. S., Ngwu, B. A., &amp; </w:t>
      </w:r>
      <w:proofErr w:type="spellStart"/>
      <w:r w:rsidR="006B239B" w:rsidRPr="00562362">
        <w:rPr>
          <w:highlight w:val="yellow"/>
        </w:rPr>
        <w:t>Efunshile</w:t>
      </w:r>
      <w:proofErr w:type="spellEnd"/>
      <w:r w:rsidR="006B239B" w:rsidRPr="00562362">
        <w:rPr>
          <w:highlight w:val="yellow"/>
        </w:rPr>
        <w:t xml:space="preserve">, A. M. (2025). </w:t>
      </w:r>
      <w:r w:rsidR="006B239B" w:rsidRPr="00562362">
        <w:rPr>
          <w:i/>
          <w:iCs/>
          <w:highlight w:val="yellow"/>
        </w:rPr>
        <w:t xml:space="preserve">Evaluating the efficacy of albendazole mass drug administration on soil-transmitted helminth infections among school-age children in </w:t>
      </w:r>
      <w:proofErr w:type="spellStart"/>
      <w:r w:rsidR="006B239B" w:rsidRPr="00562362">
        <w:rPr>
          <w:i/>
          <w:iCs/>
          <w:highlight w:val="yellow"/>
        </w:rPr>
        <w:t>Ikyogen</w:t>
      </w:r>
      <w:proofErr w:type="spellEnd"/>
      <w:r w:rsidR="006B239B" w:rsidRPr="00562362">
        <w:rPr>
          <w:i/>
          <w:iCs/>
          <w:highlight w:val="yellow"/>
        </w:rPr>
        <w:t xml:space="preserve"> IDP Camp, </w:t>
      </w:r>
      <w:proofErr w:type="spellStart"/>
      <w:r w:rsidR="006B239B" w:rsidRPr="00562362">
        <w:rPr>
          <w:i/>
          <w:iCs/>
          <w:highlight w:val="yellow"/>
        </w:rPr>
        <w:t>Kwande</w:t>
      </w:r>
      <w:proofErr w:type="spellEnd"/>
      <w:r w:rsidR="006B239B" w:rsidRPr="00562362">
        <w:rPr>
          <w:i/>
          <w:iCs/>
          <w:highlight w:val="yellow"/>
        </w:rPr>
        <w:t xml:space="preserve"> LGA, Benue State.</w:t>
      </w:r>
      <w:r w:rsidR="006B239B" w:rsidRPr="00562362">
        <w:rPr>
          <w:highlight w:val="yellow"/>
        </w:rPr>
        <w:t xml:space="preserve"> </w:t>
      </w:r>
      <w:r w:rsidR="006B239B" w:rsidRPr="00562362">
        <w:rPr>
          <w:i/>
          <w:iCs/>
          <w:highlight w:val="yellow"/>
        </w:rPr>
        <w:t>South Asian Journal of Research in Microbiology, 19</w:t>
      </w:r>
      <w:r w:rsidR="006B239B" w:rsidRPr="00562362">
        <w:rPr>
          <w:highlight w:val="yellow"/>
        </w:rPr>
        <w:t>(7), 63–72.</w:t>
      </w:r>
    </w:p>
    <w:p w14:paraId="468D685B" w14:textId="3F13E772" w:rsidR="002320EE" w:rsidRDefault="002320EE" w:rsidP="00391C3E">
      <w:pPr>
        <w:pStyle w:val="Body"/>
        <w:spacing w:after="0" w:line="276" w:lineRule="auto"/>
      </w:pPr>
      <w:r w:rsidRPr="00562362">
        <w:rPr>
          <w:highlight w:val="yellow"/>
        </w:rPr>
        <w:t xml:space="preserve">28. </w:t>
      </w:r>
      <w:r w:rsidR="00E9350D" w:rsidRPr="00562362">
        <w:rPr>
          <w:highlight w:val="yellow"/>
        </w:rPr>
        <w:t xml:space="preserve">Mohammed, K., </w:t>
      </w:r>
      <w:proofErr w:type="spellStart"/>
      <w:r w:rsidR="00E9350D" w:rsidRPr="00562362">
        <w:rPr>
          <w:highlight w:val="yellow"/>
        </w:rPr>
        <w:t>Iduh</w:t>
      </w:r>
      <w:proofErr w:type="spellEnd"/>
      <w:r w:rsidR="00E9350D" w:rsidRPr="00562362">
        <w:rPr>
          <w:highlight w:val="yellow"/>
        </w:rPr>
        <w:t>, M. U., Sani, M., &amp; Mohammed, Y. (2023). Detection of soil-transmitted helminths and their risk factors in some local government primary schools, Sokoto, Nigeria</w:t>
      </w:r>
      <w:r w:rsidR="00E9350D" w:rsidRPr="00562362">
        <w:rPr>
          <w:i/>
          <w:iCs/>
          <w:highlight w:val="yellow"/>
        </w:rPr>
        <w:t>.</w:t>
      </w:r>
      <w:r w:rsidR="00E9350D" w:rsidRPr="00562362">
        <w:rPr>
          <w:highlight w:val="yellow"/>
        </w:rPr>
        <w:t xml:space="preserve"> </w:t>
      </w:r>
      <w:r w:rsidR="00E9350D" w:rsidRPr="00562362">
        <w:rPr>
          <w:i/>
          <w:iCs/>
          <w:highlight w:val="yellow"/>
        </w:rPr>
        <w:t>International Journal of Pathogen Research, 12</w:t>
      </w:r>
      <w:r w:rsidR="00E9350D" w:rsidRPr="00562362">
        <w:rPr>
          <w:highlight w:val="yellow"/>
        </w:rPr>
        <w:t>(2), 1–8.</w:t>
      </w:r>
    </w:p>
    <w:p w14:paraId="6D2CCBB3" w14:textId="408B6B8B" w:rsidR="00587346" w:rsidRPr="008F3CA2" w:rsidRDefault="00587346" w:rsidP="00391C3E">
      <w:pPr>
        <w:pStyle w:val="Body"/>
        <w:spacing w:after="0" w:line="276" w:lineRule="auto"/>
        <w:rPr>
          <w:lang w:val="fr-FR"/>
        </w:rPr>
      </w:pPr>
      <w:r w:rsidRPr="008F3CA2">
        <w:rPr>
          <w:lang w:val="fr-FR"/>
        </w:rPr>
        <w:br w:type="page"/>
      </w:r>
    </w:p>
    <w:p w14:paraId="2577B7EA" w14:textId="4E662BF5" w:rsidR="00587346" w:rsidRDefault="00587346" w:rsidP="00587346">
      <w:pPr>
        <w:rPr>
          <w:rStyle w:val="fontstyle01"/>
        </w:rPr>
      </w:pPr>
      <w:r>
        <w:rPr>
          <w:rStyle w:val="fontstyle01"/>
        </w:rPr>
        <w:lastRenderedPageBreak/>
        <w:t>APPENDIX</w:t>
      </w:r>
    </w:p>
    <w:p w14:paraId="05525EA6" w14:textId="17CA83C5" w:rsidR="00B01FCD" w:rsidRDefault="00B01FCD" w:rsidP="00587346"/>
    <w:p w14:paraId="71D20A30" w14:textId="1F2D393D" w:rsidR="00AA58D8" w:rsidRDefault="003A5EBF" w:rsidP="00AA58D8">
      <w:pPr>
        <w:pStyle w:val="ListParagraph"/>
        <w:numPr>
          <w:ilvl w:val="0"/>
          <w:numId w:val="39"/>
        </w:numPr>
      </w:pPr>
      <w:r>
        <w:rPr>
          <w:rStyle w:val="fontstyle01"/>
        </w:rPr>
        <w:t>SURVE</w:t>
      </w:r>
      <w:r w:rsidR="00AA58D8">
        <w:rPr>
          <w:rStyle w:val="fontstyle01"/>
        </w:rPr>
        <w:t>Y</w:t>
      </w:r>
      <w:r>
        <w:rPr>
          <w:rStyle w:val="fontstyle01"/>
        </w:rPr>
        <w:t xml:space="preserve"> QUESTIONNAIRE</w:t>
      </w:r>
    </w:p>
    <w:p w14:paraId="5E528020" w14:textId="2E9CD1DB" w:rsidR="004A036F" w:rsidRDefault="00D30210" w:rsidP="00587346">
      <w:pPr>
        <w:rPr>
          <w:lang w:val="fr-FR"/>
        </w:rPr>
      </w:pPr>
      <w:r>
        <w:rPr>
          <w:noProof/>
          <w:lang w:val="fr-FR" w:eastAsia="fr-FR"/>
        </w:rPr>
        <w:drawing>
          <wp:inline distT="0" distB="0" distL="0" distR="0" wp14:anchorId="1FBFF168" wp14:editId="09F2470F">
            <wp:extent cx="5207000" cy="73660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p>
    <w:p w14:paraId="5DDC2591" w14:textId="32E4BE9E" w:rsidR="008F3CA2" w:rsidRDefault="00D30210" w:rsidP="00587346">
      <w:pPr>
        <w:rPr>
          <w:lang w:val="fr-FR"/>
        </w:rPr>
      </w:pPr>
      <w:r>
        <w:rPr>
          <w:noProof/>
          <w:lang w:val="fr-FR" w:eastAsia="fr-FR"/>
        </w:rPr>
        <w:lastRenderedPageBreak/>
        <w:drawing>
          <wp:inline distT="0" distB="0" distL="0" distR="0" wp14:anchorId="16E58A0C" wp14:editId="66505549">
            <wp:extent cx="5207000" cy="73660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p>
    <w:p w14:paraId="3C0F5A71" w14:textId="2A447AF7" w:rsidR="008F3CA2" w:rsidRDefault="00D30210" w:rsidP="00587346">
      <w:pPr>
        <w:rPr>
          <w:lang w:val="fr-FR"/>
        </w:rPr>
      </w:pPr>
      <w:r>
        <w:rPr>
          <w:noProof/>
          <w:lang w:val="fr-FR" w:eastAsia="fr-FR"/>
        </w:rPr>
        <w:lastRenderedPageBreak/>
        <w:drawing>
          <wp:inline distT="0" distB="0" distL="0" distR="0" wp14:anchorId="1247C847" wp14:editId="707A98CA">
            <wp:extent cx="5207000" cy="73660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p>
    <w:p w14:paraId="1836A9D6" w14:textId="08F97509" w:rsidR="00B00856" w:rsidRPr="00B00856" w:rsidRDefault="00B95428" w:rsidP="00B00856">
      <w:pPr>
        <w:rPr>
          <w:rStyle w:val="fontstyle01"/>
          <w:rFonts w:ascii="Arial" w:hAnsi="Arial"/>
          <w:b w:val="0"/>
          <w:bCs w:val="0"/>
          <w:color w:val="auto"/>
          <w:sz w:val="20"/>
          <w:szCs w:val="20"/>
          <w:lang w:val="fr-FR"/>
        </w:rPr>
      </w:pPr>
      <w:r>
        <w:rPr>
          <w:noProof/>
          <w:lang w:val="fr-FR" w:eastAsia="fr-FR"/>
        </w:rPr>
        <w:lastRenderedPageBreak/>
        <w:drawing>
          <wp:inline distT="0" distB="0" distL="0" distR="0" wp14:anchorId="33B00EE6" wp14:editId="67A19004">
            <wp:extent cx="5207000" cy="73660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r w:rsidR="00260F99">
        <w:rPr>
          <w:lang w:val="fr-FR"/>
        </w:rPr>
        <w:br w:type="page"/>
      </w:r>
    </w:p>
    <w:p w14:paraId="063E61B3" w14:textId="0BC67007" w:rsidR="00B00856" w:rsidRDefault="00FA60DD" w:rsidP="006C0C6F">
      <w:pPr>
        <w:pStyle w:val="ListParagraph"/>
        <w:numPr>
          <w:ilvl w:val="0"/>
          <w:numId w:val="39"/>
        </w:numPr>
        <w:rPr>
          <w:rStyle w:val="fontstyle01"/>
          <w:rFonts w:ascii="Arial" w:hAnsi="Arial"/>
          <w:b w:val="0"/>
          <w:bCs w:val="0"/>
          <w:color w:val="auto"/>
          <w:sz w:val="20"/>
          <w:szCs w:val="20"/>
        </w:rPr>
      </w:pPr>
      <w:r>
        <w:rPr>
          <w:rStyle w:val="fontstyle01"/>
          <w:rFonts w:ascii="Arial" w:hAnsi="Arial"/>
          <w:b w:val="0"/>
          <w:bCs w:val="0"/>
          <w:color w:val="auto"/>
          <w:sz w:val="20"/>
          <w:szCs w:val="20"/>
        </w:rPr>
        <w:lastRenderedPageBreak/>
        <w:t>Interview g</w:t>
      </w:r>
      <w:r w:rsidR="006C0C6F" w:rsidRPr="006C0C6F">
        <w:rPr>
          <w:rStyle w:val="fontstyle01"/>
          <w:rFonts w:ascii="Arial" w:hAnsi="Arial"/>
          <w:b w:val="0"/>
          <w:bCs w:val="0"/>
          <w:color w:val="auto"/>
          <w:sz w:val="20"/>
          <w:szCs w:val="20"/>
        </w:rPr>
        <w:t xml:space="preserve">uide </w:t>
      </w:r>
    </w:p>
    <w:p w14:paraId="11A34E2D" w14:textId="0AE76736" w:rsidR="006C0C6F" w:rsidRDefault="00FA60DD" w:rsidP="006C0C6F">
      <w:pPr>
        <w:pStyle w:val="ListParagraph"/>
        <w:ind w:left="1080"/>
        <w:rPr>
          <w:rStyle w:val="fontstyle01"/>
          <w:rFonts w:ascii="Arial" w:hAnsi="Arial"/>
          <w:b w:val="0"/>
          <w:bCs w:val="0"/>
          <w:color w:val="auto"/>
          <w:sz w:val="20"/>
          <w:szCs w:val="20"/>
        </w:rPr>
      </w:pPr>
      <w:r>
        <w:rPr>
          <w:noProof/>
          <w:lang w:val="fr-FR" w:eastAsia="fr-FR"/>
        </w:rPr>
        <w:drawing>
          <wp:inline distT="0" distB="0" distL="0" distR="0" wp14:anchorId="61B4CA82" wp14:editId="215BB6D6">
            <wp:extent cx="5207000" cy="7594600"/>
            <wp:effectExtent l="0" t="0" r="0" b="6350"/>
            <wp:docPr id="1" name="Image 1" descr="C:\Users\Rolende\Desktop\MEMOIRE RMO\dsBuffer.bmp GU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ende\Desktop\MEMOIRE RMO\dsBuffer.bmp GUID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7602009"/>
                    </a:xfrm>
                    <a:prstGeom prst="rect">
                      <a:avLst/>
                    </a:prstGeom>
                    <a:noFill/>
                    <a:ln>
                      <a:noFill/>
                    </a:ln>
                  </pic:spPr>
                </pic:pic>
              </a:graphicData>
            </a:graphic>
          </wp:inline>
        </w:drawing>
      </w:r>
    </w:p>
    <w:p w14:paraId="5202A047" w14:textId="0BD7D9F3" w:rsidR="00E13539" w:rsidRPr="00487CD6" w:rsidRDefault="00E13539" w:rsidP="00487CD6">
      <w:pPr>
        <w:pStyle w:val="ListParagraph"/>
        <w:ind w:left="1080"/>
        <w:rPr>
          <w:rStyle w:val="fontstyle01"/>
          <w:rFonts w:ascii="Arial" w:hAnsi="Arial"/>
          <w:b w:val="0"/>
          <w:bCs w:val="0"/>
          <w:color w:val="auto"/>
          <w:sz w:val="20"/>
          <w:szCs w:val="20"/>
        </w:rPr>
      </w:pPr>
      <w:r>
        <w:rPr>
          <w:noProof/>
          <w:lang w:val="fr-FR" w:eastAsia="fr-FR"/>
        </w:rPr>
        <w:lastRenderedPageBreak/>
        <w:drawing>
          <wp:inline distT="0" distB="0" distL="0" distR="0" wp14:anchorId="408B2750" wp14:editId="21D4F05B">
            <wp:extent cx="5212080" cy="4762578"/>
            <wp:effectExtent l="0" t="0" r="7620" b="0"/>
            <wp:docPr id="2" name="Image 2" descr="C:\Users\Rolende\Desktop\MEMOIRE RMO\GUID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ende\Desktop\MEMOIRE RMO\GUIDE_page-0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4762578"/>
                    </a:xfrm>
                    <a:prstGeom prst="rect">
                      <a:avLst/>
                    </a:prstGeom>
                    <a:noFill/>
                    <a:ln>
                      <a:noFill/>
                    </a:ln>
                  </pic:spPr>
                </pic:pic>
              </a:graphicData>
            </a:graphic>
          </wp:inline>
        </w:drawing>
      </w:r>
      <w:r w:rsidR="00487CD6">
        <w:rPr>
          <w:rStyle w:val="fontstyle01"/>
          <w:rFonts w:ascii="Arial" w:hAnsi="Arial"/>
          <w:b w:val="0"/>
          <w:bCs w:val="0"/>
          <w:color w:val="auto"/>
          <w:sz w:val="20"/>
          <w:szCs w:val="20"/>
        </w:rPr>
        <w:br w:type="page"/>
      </w:r>
    </w:p>
    <w:p w14:paraId="46606640" w14:textId="22EDCC7C" w:rsidR="00B00856" w:rsidRDefault="00B00856" w:rsidP="00B00856">
      <w:pPr>
        <w:ind w:left="360"/>
        <w:rPr>
          <w:lang w:val="fr-FR"/>
        </w:rPr>
      </w:pPr>
    </w:p>
    <w:p w14:paraId="2110C378" w14:textId="6A10D5FA" w:rsidR="00B00856" w:rsidRPr="00B00856" w:rsidRDefault="00B00856" w:rsidP="00D3214F">
      <w:pPr>
        <w:ind w:left="360"/>
        <w:rPr>
          <w:lang w:val="fr-FR"/>
        </w:rPr>
      </w:pPr>
    </w:p>
    <w:sectPr w:rsidR="00B00856" w:rsidRPr="00B00856" w:rsidSect="002A387E">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04299" w14:textId="77777777" w:rsidR="00CA185A" w:rsidRDefault="00CA185A" w:rsidP="00C37E61">
      <w:r>
        <w:separator/>
      </w:r>
    </w:p>
  </w:endnote>
  <w:endnote w:type="continuationSeparator" w:id="0">
    <w:p w14:paraId="0325BE8F" w14:textId="77777777" w:rsidR="00CA185A" w:rsidRDefault="00CA185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EB9BD" w14:textId="77777777" w:rsidR="002A387E" w:rsidRDefault="002A3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D5E79" w14:textId="77777777" w:rsidR="002A387E" w:rsidRDefault="002A38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4AAA" w14:textId="734B4113" w:rsidR="00AD4BEE" w:rsidRPr="002A387E" w:rsidRDefault="00AD4BEE" w:rsidP="002A38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768480"/>
      <w:docPartObj>
        <w:docPartGallery w:val="Page Numbers (Bottom of Page)"/>
        <w:docPartUnique/>
      </w:docPartObj>
    </w:sdtPr>
    <w:sdtContent>
      <w:p w14:paraId="6D1982C8" w14:textId="563EF7CE" w:rsidR="00AD4BEE" w:rsidRDefault="00AD4BEE">
        <w:pPr>
          <w:pStyle w:val="Footer"/>
          <w:jc w:val="right"/>
        </w:pPr>
        <w:r>
          <w:fldChar w:fldCharType="begin"/>
        </w:r>
        <w:r>
          <w:instrText>PAGE   \* MERGEFORMAT</w:instrText>
        </w:r>
        <w:r>
          <w:fldChar w:fldCharType="separate"/>
        </w:r>
        <w:r w:rsidR="003E6539" w:rsidRPr="003E6539">
          <w:rPr>
            <w:noProof/>
            <w:lang w:val="fr-FR"/>
          </w:rPr>
          <w:t>2</w:t>
        </w:r>
        <w:r>
          <w:fldChar w:fldCharType="end"/>
        </w:r>
      </w:p>
    </w:sdtContent>
  </w:sdt>
  <w:p w14:paraId="698D691A" w14:textId="77777777" w:rsidR="00AD4BEE" w:rsidRPr="00C37E61" w:rsidRDefault="00AD4BE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27BEE" w14:textId="77777777" w:rsidR="00CA185A" w:rsidRDefault="00CA185A" w:rsidP="00C37E61">
      <w:r>
        <w:separator/>
      </w:r>
    </w:p>
  </w:footnote>
  <w:footnote w:type="continuationSeparator" w:id="0">
    <w:p w14:paraId="7D9A71D9" w14:textId="77777777" w:rsidR="00CA185A" w:rsidRDefault="00CA185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E47E" w14:textId="4865BD50" w:rsidR="002A387E" w:rsidRDefault="00000000">
    <w:pPr>
      <w:pStyle w:val="Header"/>
    </w:pPr>
    <w:r>
      <w:rPr>
        <w:noProof/>
      </w:rPr>
      <w:pict w14:anchorId="738EC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4" o:spid="_x0000_s1026"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11AF8" w14:textId="15FC7D19" w:rsidR="002A387E" w:rsidRDefault="00000000">
    <w:pPr>
      <w:pStyle w:val="Header"/>
    </w:pPr>
    <w:r>
      <w:rPr>
        <w:noProof/>
      </w:rPr>
      <w:pict w14:anchorId="213F5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5" o:spid="_x0000_s1027"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6572" w14:textId="02260967" w:rsidR="00AD4BEE" w:rsidRPr="00296529" w:rsidRDefault="00000000" w:rsidP="00296529">
    <w:pPr>
      <w:ind w:left="2160"/>
      <w:jc w:val="center"/>
      <w:rPr>
        <w:rFonts w:ascii="Times New Roman" w:eastAsia="Calibri" w:hAnsi="Times New Roman"/>
        <w:i/>
        <w:sz w:val="18"/>
        <w:szCs w:val="22"/>
      </w:rPr>
    </w:pPr>
    <w:r>
      <w:rPr>
        <w:noProof/>
      </w:rPr>
      <w:pict w14:anchorId="307E8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0191AEDE" w14:textId="77777777" w:rsidR="00AD4BEE" w:rsidRPr="00296529" w:rsidRDefault="00AD4BE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EE3637" w14:textId="77777777" w:rsidR="00AD4BEE" w:rsidRPr="00296529" w:rsidRDefault="00AD4BE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A2C554" w14:textId="77777777" w:rsidR="00AD4BEE" w:rsidRPr="00296529" w:rsidRDefault="00AD4BE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791BA8" w14:textId="77777777" w:rsidR="00AD4BEE" w:rsidRDefault="00AD4BE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26C456" w14:textId="77777777" w:rsidR="00AD4BEE" w:rsidRDefault="00AD4BE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B46FBF2" w14:textId="77777777" w:rsidR="00AD4BEE" w:rsidRDefault="00AD4BE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59A5" w14:textId="1CAB0DA2" w:rsidR="002A387E" w:rsidRDefault="00000000">
    <w:pPr>
      <w:pStyle w:val="Header"/>
    </w:pPr>
    <w:r>
      <w:rPr>
        <w:noProof/>
      </w:rPr>
      <w:pict w14:anchorId="5F06A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7" o:spid="_x0000_s1029"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7AAE" w14:textId="4CE11E11" w:rsidR="002A387E" w:rsidRDefault="00000000">
    <w:pPr>
      <w:pStyle w:val="Header"/>
    </w:pPr>
    <w:r>
      <w:rPr>
        <w:noProof/>
      </w:rPr>
      <w:pict w14:anchorId="1EF58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8" o:spid="_x0000_s1030"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3CB6" w14:textId="75A5841C" w:rsidR="002A387E" w:rsidRDefault="00000000">
    <w:pPr>
      <w:pStyle w:val="Header"/>
    </w:pPr>
    <w:r>
      <w:rPr>
        <w:noProof/>
      </w:rPr>
      <w:pict w14:anchorId="5E517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6" o:spid="_x0000_s1028"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4268"/>
    <w:multiLevelType w:val="multilevel"/>
    <w:tmpl w:val="8A08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D306D"/>
    <w:multiLevelType w:val="multilevel"/>
    <w:tmpl w:val="13FAD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E760DC"/>
    <w:multiLevelType w:val="multilevel"/>
    <w:tmpl w:val="2D06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47BB0"/>
    <w:multiLevelType w:val="multilevel"/>
    <w:tmpl w:val="A32C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928AF"/>
    <w:multiLevelType w:val="multilevel"/>
    <w:tmpl w:val="15AA5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71172"/>
    <w:multiLevelType w:val="multilevel"/>
    <w:tmpl w:val="03F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94EC6"/>
    <w:multiLevelType w:val="multilevel"/>
    <w:tmpl w:val="AE24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B528D"/>
    <w:multiLevelType w:val="hybridMultilevel"/>
    <w:tmpl w:val="4112B2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8243688"/>
    <w:multiLevelType w:val="multilevel"/>
    <w:tmpl w:val="9232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B63F0"/>
    <w:multiLevelType w:val="multilevel"/>
    <w:tmpl w:val="4EA6C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4F0A70"/>
    <w:multiLevelType w:val="multilevel"/>
    <w:tmpl w:val="2F7C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17E14"/>
    <w:multiLevelType w:val="hybridMultilevel"/>
    <w:tmpl w:val="8F3453EC"/>
    <w:lvl w:ilvl="0" w:tplc="FF9CC164">
      <w:start w:val="1"/>
      <w:numFmt w:val="upperRoman"/>
      <w:lvlText w:val="%1."/>
      <w:lvlJc w:val="left"/>
      <w:pPr>
        <w:ind w:left="1080" w:hanging="720"/>
      </w:pPr>
      <w:rPr>
        <w:rFonts w:ascii="Arial-BoldMT" w:hAnsi="Arial-BoldMT" w:hint="default"/>
        <w:b/>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5529F5"/>
    <w:multiLevelType w:val="multilevel"/>
    <w:tmpl w:val="93C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839C9"/>
    <w:multiLevelType w:val="multilevel"/>
    <w:tmpl w:val="041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56A3026"/>
    <w:multiLevelType w:val="multilevel"/>
    <w:tmpl w:val="DC50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4813B1"/>
    <w:multiLevelType w:val="multilevel"/>
    <w:tmpl w:val="535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9C303F"/>
    <w:multiLevelType w:val="multilevel"/>
    <w:tmpl w:val="3B8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31675"/>
    <w:multiLevelType w:val="multilevel"/>
    <w:tmpl w:val="6F94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10691"/>
    <w:multiLevelType w:val="multilevel"/>
    <w:tmpl w:val="4C8E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E0877"/>
    <w:multiLevelType w:val="multilevel"/>
    <w:tmpl w:val="D2DA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A118C"/>
    <w:multiLevelType w:val="hybridMultilevel"/>
    <w:tmpl w:val="BFA261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B1392C"/>
    <w:multiLevelType w:val="hybridMultilevel"/>
    <w:tmpl w:val="8F3453EC"/>
    <w:lvl w:ilvl="0" w:tplc="FF9CC164">
      <w:start w:val="1"/>
      <w:numFmt w:val="upperRoman"/>
      <w:lvlText w:val="%1."/>
      <w:lvlJc w:val="left"/>
      <w:pPr>
        <w:ind w:left="1080" w:hanging="720"/>
      </w:pPr>
      <w:rPr>
        <w:rFonts w:ascii="Arial-BoldMT" w:hAnsi="Arial-BoldMT" w:hint="default"/>
        <w:b/>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1D83016"/>
    <w:multiLevelType w:val="multilevel"/>
    <w:tmpl w:val="117C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C8791C"/>
    <w:multiLevelType w:val="multilevel"/>
    <w:tmpl w:val="0FBE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CF1CA0"/>
    <w:multiLevelType w:val="multilevel"/>
    <w:tmpl w:val="D6A0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3E6C3D"/>
    <w:multiLevelType w:val="multilevel"/>
    <w:tmpl w:val="786E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8853429">
    <w:abstractNumId w:val="22"/>
  </w:num>
  <w:num w:numId="2" w16cid:durableId="1778911720">
    <w:abstractNumId w:val="13"/>
  </w:num>
  <w:num w:numId="3" w16cid:durableId="839807194">
    <w:abstractNumId w:val="4"/>
  </w:num>
  <w:num w:numId="4" w16cid:durableId="1110778696">
    <w:abstractNumId w:val="23"/>
  </w:num>
  <w:num w:numId="5" w16cid:durableId="1453481783">
    <w:abstractNumId w:val="17"/>
  </w:num>
  <w:num w:numId="6" w16cid:durableId="462893190">
    <w:abstractNumId w:val="6"/>
  </w:num>
  <w:num w:numId="7" w16cid:durableId="1956017722">
    <w:abstractNumId w:val="12"/>
  </w:num>
  <w:num w:numId="8" w16cid:durableId="1443181668">
    <w:abstractNumId w:val="10"/>
  </w:num>
  <w:num w:numId="9" w16cid:durableId="1315140220">
    <w:abstractNumId w:val="0"/>
  </w:num>
  <w:num w:numId="10" w16cid:durableId="1022435337">
    <w:abstractNumId w:val="25"/>
  </w:num>
  <w:num w:numId="11" w16cid:durableId="1645624589">
    <w:abstractNumId w:val="18"/>
  </w:num>
  <w:num w:numId="12" w16cid:durableId="1803575501">
    <w:abstractNumId w:val="14"/>
  </w:num>
  <w:num w:numId="13" w16cid:durableId="1874272433">
    <w:abstractNumId w:val="5"/>
  </w:num>
  <w:num w:numId="14" w16cid:durableId="451093550">
    <w:abstractNumId w:val="2"/>
  </w:num>
  <w:num w:numId="15" w16cid:durableId="2074692780">
    <w:abstractNumId w:val="24"/>
  </w:num>
  <w:num w:numId="16" w16cid:durableId="1619919736">
    <w:abstractNumId w:val="15"/>
  </w:num>
  <w:num w:numId="17" w16cid:durableId="1130439614">
    <w:abstractNumId w:val="3"/>
  </w:num>
  <w:num w:numId="18" w16cid:durableId="169492417">
    <w:abstractNumId w:val="16"/>
  </w:num>
  <w:num w:numId="19" w16cid:durableId="361907573">
    <w:abstractNumId w:val="26"/>
  </w:num>
  <w:num w:numId="20" w16cid:durableId="499079061">
    <w:abstractNumId w:val="13"/>
  </w:num>
  <w:num w:numId="21" w16cid:durableId="1764959675">
    <w:abstractNumId w:val="13"/>
  </w:num>
  <w:num w:numId="22" w16cid:durableId="135799956">
    <w:abstractNumId w:val="13"/>
  </w:num>
  <w:num w:numId="23" w16cid:durableId="36393142">
    <w:abstractNumId w:val="13"/>
  </w:num>
  <w:num w:numId="24" w16cid:durableId="729959683">
    <w:abstractNumId w:val="13"/>
  </w:num>
  <w:num w:numId="25" w16cid:durableId="340275132">
    <w:abstractNumId w:val="13"/>
  </w:num>
  <w:num w:numId="26" w16cid:durableId="529298943">
    <w:abstractNumId w:val="13"/>
  </w:num>
  <w:num w:numId="27" w16cid:durableId="1353603357">
    <w:abstractNumId w:val="13"/>
  </w:num>
  <w:num w:numId="28" w16cid:durableId="1589340296">
    <w:abstractNumId w:val="13"/>
  </w:num>
  <w:num w:numId="29" w16cid:durableId="626474537">
    <w:abstractNumId w:val="13"/>
  </w:num>
  <w:num w:numId="30" w16cid:durableId="307905987">
    <w:abstractNumId w:val="13"/>
  </w:num>
  <w:num w:numId="31" w16cid:durableId="1090352219">
    <w:abstractNumId w:val="13"/>
  </w:num>
  <w:num w:numId="32" w16cid:durableId="898633085">
    <w:abstractNumId w:val="13"/>
  </w:num>
  <w:num w:numId="33" w16cid:durableId="272638963">
    <w:abstractNumId w:val="19"/>
  </w:num>
  <w:num w:numId="34" w16cid:durableId="800029393">
    <w:abstractNumId w:val="1"/>
  </w:num>
  <w:num w:numId="35" w16cid:durableId="958611008">
    <w:abstractNumId w:val="9"/>
  </w:num>
  <w:num w:numId="36" w16cid:durableId="1107504993">
    <w:abstractNumId w:val="8"/>
  </w:num>
  <w:num w:numId="37" w16cid:durableId="981080187">
    <w:abstractNumId w:val="20"/>
  </w:num>
  <w:num w:numId="38" w16cid:durableId="268315433">
    <w:abstractNumId w:val="7"/>
  </w:num>
  <w:num w:numId="39" w16cid:durableId="1055591540">
    <w:abstractNumId w:val="21"/>
  </w:num>
  <w:num w:numId="40" w16cid:durableId="143690162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wNTAxNDU3NjY2sDBU0lEKTi0uzszPAykwrAUAMOzxXCwAAAA="/>
  </w:docVars>
  <w:rsids>
    <w:rsidRoot w:val="00AA6219"/>
    <w:rsid w:val="00000F8F"/>
    <w:rsid w:val="00003E80"/>
    <w:rsid w:val="00004D43"/>
    <w:rsid w:val="00012519"/>
    <w:rsid w:val="000136E1"/>
    <w:rsid w:val="00017BCC"/>
    <w:rsid w:val="00017E09"/>
    <w:rsid w:val="000221D1"/>
    <w:rsid w:val="0002423C"/>
    <w:rsid w:val="00030174"/>
    <w:rsid w:val="00040C66"/>
    <w:rsid w:val="00043BE0"/>
    <w:rsid w:val="0004579C"/>
    <w:rsid w:val="00051C4D"/>
    <w:rsid w:val="00055E79"/>
    <w:rsid w:val="00063FC6"/>
    <w:rsid w:val="00065919"/>
    <w:rsid w:val="0008740F"/>
    <w:rsid w:val="000959DE"/>
    <w:rsid w:val="00095D4E"/>
    <w:rsid w:val="000960D0"/>
    <w:rsid w:val="000A2366"/>
    <w:rsid w:val="000A3AB8"/>
    <w:rsid w:val="000A420C"/>
    <w:rsid w:val="000A44A7"/>
    <w:rsid w:val="000A45D9"/>
    <w:rsid w:val="000A47FA"/>
    <w:rsid w:val="000A65D3"/>
    <w:rsid w:val="000B14F1"/>
    <w:rsid w:val="000B1E33"/>
    <w:rsid w:val="000B2CDF"/>
    <w:rsid w:val="000B2DA5"/>
    <w:rsid w:val="000C020C"/>
    <w:rsid w:val="000C1B80"/>
    <w:rsid w:val="000D0741"/>
    <w:rsid w:val="000D3CC0"/>
    <w:rsid w:val="000D5A3C"/>
    <w:rsid w:val="000D689F"/>
    <w:rsid w:val="000E7B7B"/>
    <w:rsid w:val="000E7D62"/>
    <w:rsid w:val="000F4F38"/>
    <w:rsid w:val="000F59F0"/>
    <w:rsid w:val="000F7B60"/>
    <w:rsid w:val="001006E2"/>
    <w:rsid w:val="00103357"/>
    <w:rsid w:val="001053F7"/>
    <w:rsid w:val="0010650C"/>
    <w:rsid w:val="00112136"/>
    <w:rsid w:val="001129D1"/>
    <w:rsid w:val="0011359E"/>
    <w:rsid w:val="00115D58"/>
    <w:rsid w:val="00123C9F"/>
    <w:rsid w:val="00125CB8"/>
    <w:rsid w:val="00126190"/>
    <w:rsid w:val="00130F17"/>
    <w:rsid w:val="001320BF"/>
    <w:rsid w:val="001362D0"/>
    <w:rsid w:val="0014189D"/>
    <w:rsid w:val="00160141"/>
    <w:rsid w:val="001626CB"/>
    <w:rsid w:val="00163BC4"/>
    <w:rsid w:val="00164459"/>
    <w:rsid w:val="00164B0A"/>
    <w:rsid w:val="00176579"/>
    <w:rsid w:val="00177988"/>
    <w:rsid w:val="001847C7"/>
    <w:rsid w:val="00186DC9"/>
    <w:rsid w:val="00191062"/>
    <w:rsid w:val="00191B31"/>
    <w:rsid w:val="0019242E"/>
    <w:rsid w:val="00192B72"/>
    <w:rsid w:val="001966C3"/>
    <w:rsid w:val="001A29D8"/>
    <w:rsid w:val="001A5CAA"/>
    <w:rsid w:val="001B0427"/>
    <w:rsid w:val="001B2470"/>
    <w:rsid w:val="001B7801"/>
    <w:rsid w:val="001C2522"/>
    <w:rsid w:val="001C533C"/>
    <w:rsid w:val="001D0704"/>
    <w:rsid w:val="001D3A51"/>
    <w:rsid w:val="001D4C60"/>
    <w:rsid w:val="001D6C6D"/>
    <w:rsid w:val="001E025E"/>
    <w:rsid w:val="001E10D2"/>
    <w:rsid w:val="001E22BC"/>
    <w:rsid w:val="001E25B4"/>
    <w:rsid w:val="001E44FE"/>
    <w:rsid w:val="00200595"/>
    <w:rsid w:val="0020288F"/>
    <w:rsid w:val="00204835"/>
    <w:rsid w:val="00207C47"/>
    <w:rsid w:val="00212AB5"/>
    <w:rsid w:val="00214B45"/>
    <w:rsid w:val="00215983"/>
    <w:rsid w:val="0022183B"/>
    <w:rsid w:val="0022196D"/>
    <w:rsid w:val="00223873"/>
    <w:rsid w:val="00225CAA"/>
    <w:rsid w:val="002268FC"/>
    <w:rsid w:val="00231920"/>
    <w:rsid w:val="0023195C"/>
    <w:rsid w:val="002320EE"/>
    <w:rsid w:val="00232CCE"/>
    <w:rsid w:val="002335CF"/>
    <w:rsid w:val="0024282C"/>
    <w:rsid w:val="00244664"/>
    <w:rsid w:val="00245D25"/>
    <w:rsid w:val="002460DC"/>
    <w:rsid w:val="00250985"/>
    <w:rsid w:val="00252614"/>
    <w:rsid w:val="00254157"/>
    <w:rsid w:val="002556F6"/>
    <w:rsid w:val="00260F99"/>
    <w:rsid w:val="00262267"/>
    <w:rsid w:val="00263D2F"/>
    <w:rsid w:val="0026486F"/>
    <w:rsid w:val="002708A7"/>
    <w:rsid w:val="00271A8D"/>
    <w:rsid w:val="00272A2A"/>
    <w:rsid w:val="002736A4"/>
    <w:rsid w:val="0027416E"/>
    <w:rsid w:val="002747FF"/>
    <w:rsid w:val="0027710D"/>
    <w:rsid w:val="00283105"/>
    <w:rsid w:val="00284716"/>
    <w:rsid w:val="00284C4C"/>
    <w:rsid w:val="0028617A"/>
    <w:rsid w:val="00287E68"/>
    <w:rsid w:val="002914F3"/>
    <w:rsid w:val="00295DC3"/>
    <w:rsid w:val="00296529"/>
    <w:rsid w:val="002A291A"/>
    <w:rsid w:val="002A387E"/>
    <w:rsid w:val="002B0515"/>
    <w:rsid w:val="002B27FB"/>
    <w:rsid w:val="002B552F"/>
    <w:rsid w:val="002B685A"/>
    <w:rsid w:val="002B6CC6"/>
    <w:rsid w:val="002B6E8A"/>
    <w:rsid w:val="002C07EC"/>
    <w:rsid w:val="002C2041"/>
    <w:rsid w:val="002C44EE"/>
    <w:rsid w:val="002C550E"/>
    <w:rsid w:val="002C57D2"/>
    <w:rsid w:val="002C739F"/>
    <w:rsid w:val="002D35FD"/>
    <w:rsid w:val="002D450B"/>
    <w:rsid w:val="002E0D56"/>
    <w:rsid w:val="002E2052"/>
    <w:rsid w:val="003045A6"/>
    <w:rsid w:val="00306868"/>
    <w:rsid w:val="0031162D"/>
    <w:rsid w:val="00315186"/>
    <w:rsid w:val="00316D39"/>
    <w:rsid w:val="00322E23"/>
    <w:rsid w:val="0033343E"/>
    <w:rsid w:val="00336480"/>
    <w:rsid w:val="003430E8"/>
    <w:rsid w:val="00344E53"/>
    <w:rsid w:val="00345143"/>
    <w:rsid w:val="003512C2"/>
    <w:rsid w:val="00353111"/>
    <w:rsid w:val="00357C32"/>
    <w:rsid w:val="00363D32"/>
    <w:rsid w:val="00364C14"/>
    <w:rsid w:val="003654C4"/>
    <w:rsid w:val="0036570F"/>
    <w:rsid w:val="00366981"/>
    <w:rsid w:val="0037070A"/>
    <w:rsid w:val="00371FB6"/>
    <w:rsid w:val="003725C5"/>
    <w:rsid w:val="00372949"/>
    <w:rsid w:val="0037359B"/>
    <w:rsid w:val="0037428C"/>
    <w:rsid w:val="003749D4"/>
    <w:rsid w:val="003763C1"/>
    <w:rsid w:val="00376BBE"/>
    <w:rsid w:val="00380F68"/>
    <w:rsid w:val="00381823"/>
    <w:rsid w:val="00391C3E"/>
    <w:rsid w:val="0039224F"/>
    <w:rsid w:val="00394357"/>
    <w:rsid w:val="00396257"/>
    <w:rsid w:val="003A0A4F"/>
    <w:rsid w:val="003A1109"/>
    <w:rsid w:val="003A35F5"/>
    <w:rsid w:val="003A43A4"/>
    <w:rsid w:val="003A5EBF"/>
    <w:rsid w:val="003A7E18"/>
    <w:rsid w:val="003A7E31"/>
    <w:rsid w:val="003B1448"/>
    <w:rsid w:val="003C1465"/>
    <w:rsid w:val="003C4C86"/>
    <w:rsid w:val="003C6258"/>
    <w:rsid w:val="003D1144"/>
    <w:rsid w:val="003E1DBA"/>
    <w:rsid w:val="003E2904"/>
    <w:rsid w:val="003E6539"/>
    <w:rsid w:val="003F5897"/>
    <w:rsid w:val="003F7BEE"/>
    <w:rsid w:val="00401927"/>
    <w:rsid w:val="00401A37"/>
    <w:rsid w:val="00406B48"/>
    <w:rsid w:val="0041027F"/>
    <w:rsid w:val="00411C64"/>
    <w:rsid w:val="00412475"/>
    <w:rsid w:val="0041276F"/>
    <w:rsid w:val="00422D46"/>
    <w:rsid w:val="00423789"/>
    <w:rsid w:val="004250CB"/>
    <w:rsid w:val="004251D1"/>
    <w:rsid w:val="004266F6"/>
    <w:rsid w:val="00431533"/>
    <w:rsid w:val="004341DF"/>
    <w:rsid w:val="00436E5A"/>
    <w:rsid w:val="00440F43"/>
    <w:rsid w:val="00441B6F"/>
    <w:rsid w:val="004421AE"/>
    <w:rsid w:val="00443A66"/>
    <w:rsid w:val="00444F2B"/>
    <w:rsid w:val="00446221"/>
    <w:rsid w:val="004471C7"/>
    <w:rsid w:val="00450DD2"/>
    <w:rsid w:val="00450E62"/>
    <w:rsid w:val="004539DB"/>
    <w:rsid w:val="004551DD"/>
    <w:rsid w:val="00455677"/>
    <w:rsid w:val="004575D0"/>
    <w:rsid w:val="00461FDE"/>
    <w:rsid w:val="00466A99"/>
    <w:rsid w:val="00467410"/>
    <w:rsid w:val="00471451"/>
    <w:rsid w:val="00471A80"/>
    <w:rsid w:val="00474679"/>
    <w:rsid w:val="004758E2"/>
    <w:rsid w:val="00475BD6"/>
    <w:rsid w:val="00487CD6"/>
    <w:rsid w:val="0049182E"/>
    <w:rsid w:val="004A036F"/>
    <w:rsid w:val="004A3632"/>
    <w:rsid w:val="004B0370"/>
    <w:rsid w:val="004B3D76"/>
    <w:rsid w:val="004C3878"/>
    <w:rsid w:val="004C6920"/>
    <w:rsid w:val="004D305E"/>
    <w:rsid w:val="004D4277"/>
    <w:rsid w:val="004D4B2D"/>
    <w:rsid w:val="004D4B79"/>
    <w:rsid w:val="004D7347"/>
    <w:rsid w:val="004E468B"/>
    <w:rsid w:val="004E787D"/>
    <w:rsid w:val="004F6053"/>
    <w:rsid w:val="004F6916"/>
    <w:rsid w:val="00501F32"/>
    <w:rsid w:val="00502516"/>
    <w:rsid w:val="00505F06"/>
    <w:rsid w:val="00506828"/>
    <w:rsid w:val="005074CC"/>
    <w:rsid w:val="0051331D"/>
    <w:rsid w:val="00515C7B"/>
    <w:rsid w:val="00521834"/>
    <w:rsid w:val="005234C9"/>
    <w:rsid w:val="00523C29"/>
    <w:rsid w:val="00525E9B"/>
    <w:rsid w:val="0053056E"/>
    <w:rsid w:val="00531FFB"/>
    <w:rsid w:val="00536D19"/>
    <w:rsid w:val="00540794"/>
    <w:rsid w:val="00546CBC"/>
    <w:rsid w:val="00554F73"/>
    <w:rsid w:val="00554FDA"/>
    <w:rsid w:val="005562F4"/>
    <w:rsid w:val="00561564"/>
    <w:rsid w:val="00562362"/>
    <w:rsid w:val="005662FD"/>
    <w:rsid w:val="005668FE"/>
    <w:rsid w:val="0057008E"/>
    <w:rsid w:val="00571EFB"/>
    <w:rsid w:val="00587346"/>
    <w:rsid w:val="00596EEE"/>
    <w:rsid w:val="005A49BB"/>
    <w:rsid w:val="005A4DD7"/>
    <w:rsid w:val="005A5781"/>
    <w:rsid w:val="005B00F2"/>
    <w:rsid w:val="005B6345"/>
    <w:rsid w:val="005C3499"/>
    <w:rsid w:val="005C55D5"/>
    <w:rsid w:val="005C573E"/>
    <w:rsid w:val="005C7159"/>
    <w:rsid w:val="005C7251"/>
    <w:rsid w:val="005C784C"/>
    <w:rsid w:val="005C7F4A"/>
    <w:rsid w:val="005D17F6"/>
    <w:rsid w:val="005D24B6"/>
    <w:rsid w:val="005D44D0"/>
    <w:rsid w:val="005D4CC7"/>
    <w:rsid w:val="005D625C"/>
    <w:rsid w:val="005E014B"/>
    <w:rsid w:val="005E5539"/>
    <w:rsid w:val="005E72E0"/>
    <w:rsid w:val="005F5B4E"/>
    <w:rsid w:val="005F7193"/>
    <w:rsid w:val="00602BF5"/>
    <w:rsid w:val="006035CD"/>
    <w:rsid w:val="00606655"/>
    <w:rsid w:val="00617FDD"/>
    <w:rsid w:val="00623D48"/>
    <w:rsid w:val="00630207"/>
    <w:rsid w:val="0063250D"/>
    <w:rsid w:val="00633614"/>
    <w:rsid w:val="00633F68"/>
    <w:rsid w:val="00636EB2"/>
    <w:rsid w:val="006375B8"/>
    <w:rsid w:val="00655D9F"/>
    <w:rsid w:val="0066510A"/>
    <w:rsid w:val="00670159"/>
    <w:rsid w:val="00673F9F"/>
    <w:rsid w:val="006763A4"/>
    <w:rsid w:val="006769C6"/>
    <w:rsid w:val="0068440F"/>
    <w:rsid w:val="0068448E"/>
    <w:rsid w:val="006844F7"/>
    <w:rsid w:val="006859F4"/>
    <w:rsid w:val="0068601B"/>
    <w:rsid w:val="00686764"/>
    <w:rsid w:val="00686953"/>
    <w:rsid w:val="00687DEA"/>
    <w:rsid w:val="00687E67"/>
    <w:rsid w:val="0069040C"/>
    <w:rsid w:val="00691384"/>
    <w:rsid w:val="00692A5F"/>
    <w:rsid w:val="006967F7"/>
    <w:rsid w:val="006A250C"/>
    <w:rsid w:val="006B08E8"/>
    <w:rsid w:val="006B21D3"/>
    <w:rsid w:val="006B239B"/>
    <w:rsid w:val="006B57D0"/>
    <w:rsid w:val="006C0C6F"/>
    <w:rsid w:val="006C0E44"/>
    <w:rsid w:val="006C3711"/>
    <w:rsid w:val="006C58F9"/>
    <w:rsid w:val="006C666D"/>
    <w:rsid w:val="006D30FF"/>
    <w:rsid w:val="006D6940"/>
    <w:rsid w:val="006D6D15"/>
    <w:rsid w:val="006E2C44"/>
    <w:rsid w:val="006E5C0C"/>
    <w:rsid w:val="006F11EC"/>
    <w:rsid w:val="006F6E83"/>
    <w:rsid w:val="0070082C"/>
    <w:rsid w:val="0070269B"/>
    <w:rsid w:val="0070675F"/>
    <w:rsid w:val="00706D29"/>
    <w:rsid w:val="00711671"/>
    <w:rsid w:val="00711D17"/>
    <w:rsid w:val="00717BEA"/>
    <w:rsid w:val="007251EA"/>
    <w:rsid w:val="00730CBE"/>
    <w:rsid w:val="0073228C"/>
    <w:rsid w:val="00734503"/>
    <w:rsid w:val="00734843"/>
    <w:rsid w:val="007360BA"/>
    <w:rsid w:val="007369E6"/>
    <w:rsid w:val="00742DD6"/>
    <w:rsid w:val="00746BD5"/>
    <w:rsid w:val="00746E59"/>
    <w:rsid w:val="00750B9E"/>
    <w:rsid w:val="00750FF1"/>
    <w:rsid w:val="007523B3"/>
    <w:rsid w:val="00754BC5"/>
    <w:rsid w:val="00754C9A"/>
    <w:rsid w:val="0075599A"/>
    <w:rsid w:val="00755D1F"/>
    <w:rsid w:val="00761D52"/>
    <w:rsid w:val="00775AA9"/>
    <w:rsid w:val="0077749E"/>
    <w:rsid w:val="00780C9E"/>
    <w:rsid w:val="00782DD6"/>
    <w:rsid w:val="00790ADA"/>
    <w:rsid w:val="0079159F"/>
    <w:rsid w:val="007963FF"/>
    <w:rsid w:val="00796511"/>
    <w:rsid w:val="007A18E7"/>
    <w:rsid w:val="007A2C44"/>
    <w:rsid w:val="007B1B54"/>
    <w:rsid w:val="007B398C"/>
    <w:rsid w:val="007B57AD"/>
    <w:rsid w:val="007D2288"/>
    <w:rsid w:val="007D256C"/>
    <w:rsid w:val="007D45CD"/>
    <w:rsid w:val="007E0270"/>
    <w:rsid w:val="007E088F"/>
    <w:rsid w:val="007E56C8"/>
    <w:rsid w:val="007E730F"/>
    <w:rsid w:val="007F0919"/>
    <w:rsid w:val="007F21BA"/>
    <w:rsid w:val="007F7B32"/>
    <w:rsid w:val="00800FA6"/>
    <w:rsid w:val="0080112C"/>
    <w:rsid w:val="00801B12"/>
    <w:rsid w:val="008049D1"/>
    <w:rsid w:val="00804BC2"/>
    <w:rsid w:val="00806FD7"/>
    <w:rsid w:val="00813453"/>
    <w:rsid w:val="0081431A"/>
    <w:rsid w:val="00815651"/>
    <w:rsid w:val="00817AC3"/>
    <w:rsid w:val="00824163"/>
    <w:rsid w:val="0082612C"/>
    <w:rsid w:val="008266BE"/>
    <w:rsid w:val="00830278"/>
    <w:rsid w:val="0083216F"/>
    <w:rsid w:val="00836F03"/>
    <w:rsid w:val="008434BD"/>
    <w:rsid w:val="008523F3"/>
    <w:rsid w:val="00860000"/>
    <w:rsid w:val="00863BD3"/>
    <w:rsid w:val="008641ED"/>
    <w:rsid w:val="00864F81"/>
    <w:rsid w:val="00866D66"/>
    <w:rsid w:val="008671C6"/>
    <w:rsid w:val="00870865"/>
    <w:rsid w:val="008752C5"/>
    <w:rsid w:val="00875803"/>
    <w:rsid w:val="008777CA"/>
    <w:rsid w:val="008848D9"/>
    <w:rsid w:val="008869E8"/>
    <w:rsid w:val="00887E9A"/>
    <w:rsid w:val="00893217"/>
    <w:rsid w:val="00896472"/>
    <w:rsid w:val="008A1A9E"/>
    <w:rsid w:val="008A3C98"/>
    <w:rsid w:val="008A423A"/>
    <w:rsid w:val="008B2B9B"/>
    <w:rsid w:val="008B459E"/>
    <w:rsid w:val="008B5AD4"/>
    <w:rsid w:val="008B6AE0"/>
    <w:rsid w:val="008C4615"/>
    <w:rsid w:val="008D00E0"/>
    <w:rsid w:val="008D1E33"/>
    <w:rsid w:val="008D2E80"/>
    <w:rsid w:val="008D3679"/>
    <w:rsid w:val="008D53D7"/>
    <w:rsid w:val="008E13AE"/>
    <w:rsid w:val="008E1506"/>
    <w:rsid w:val="008E710C"/>
    <w:rsid w:val="008F3CA2"/>
    <w:rsid w:val="008F69D6"/>
    <w:rsid w:val="00902823"/>
    <w:rsid w:val="00902C72"/>
    <w:rsid w:val="00910D72"/>
    <w:rsid w:val="0091242F"/>
    <w:rsid w:val="00915CA6"/>
    <w:rsid w:val="009231FB"/>
    <w:rsid w:val="0092350D"/>
    <w:rsid w:val="009258BF"/>
    <w:rsid w:val="00927834"/>
    <w:rsid w:val="00930776"/>
    <w:rsid w:val="00934CA1"/>
    <w:rsid w:val="00936D07"/>
    <w:rsid w:val="009377B1"/>
    <w:rsid w:val="00940E7B"/>
    <w:rsid w:val="009465D0"/>
    <w:rsid w:val="009500A6"/>
    <w:rsid w:val="00955604"/>
    <w:rsid w:val="00957AF6"/>
    <w:rsid w:val="00957C18"/>
    <w:rsid w:val="00965253"/>
    <w:rsid w:val="009659BA"/>
    <w:rsid w:val="009706CC"/>
    <w:rsid w:val="00972569"/>
    <w:rsid w:val="00972C28"/>
    <w:rsid w:val="00982382"/>
    <w:rsid w:val="00983040"/>
    <w:rsid w:val="009837DF"/>
    <w:rsid w:val="00986E4B"/>
    <w:rsid w:val="00990163"/>
    <w:rsid w:val="00991EE0"/>
    <w:rsid w:val="00993765"/>
    <w:rsid w:val="00996A0A"/>
    <w:rsid w:val="009A06FE"/>
    <w:rsid w:val="009A3B6B"/>
    <w:rsid w:val="009B32D2"/>
    <w:rsid w:val="009B3FB9"/>
    <w:rsid w:val="009C10E1"/>
    <w:rsid w:val="009C2465"/>
    <w:rsid w:val="009C4424"/>
    <w:rsid w:val="009D35A0"/>
    <w:rsid w:val="009D7388"/>
    <w:rsid w:val="009D7EB7"/>
    <w:rsid w:val="009E048A"/>
    <w:rsid w:val="009E08E9"/>
    <w:rsid w:val="009E3DB9"/>
    <w:rsid w:val="009E655E"/>
    <w:rsid w:val="009E6E35"/>
    <w:rsid w:val="009E708B"/>
    <w:rsid w:val="009F0EDA"/>
    <w:rsid w:val="009F0F6E"/>
    <w:rsid w:val="009F3691"/>
    <w:rsid w:val="009F5117"/>
    <w:rsid w:val="00A01880"/>
    <w:rsid w:val="00A01CDC"/>
    <w:rsid w:val="00A03B96"/>
    <w:rsid w:val="00A05B19"/>
    <w:rsid w:val="00A06B87"/>
    <w:rsid w:val="00A07186"/>
    <w:rsid w:val="00A1134E"/>
    <w:rsid w:val="00A15D3A"/>
    <w:rsid w:val="00A20525"/>
    <w:rsid w:val="00A20AB9"/>
    <w:rsid w:val="00A2335F"/>
    <w:rsid w:val="00A24E7E"/>
    <w:rsid w:val="00A258C3"/>
    <w:rsid w:val="00A27A90"/>
    <w:rsid w:val="00A33DAC"/>
    <w:rsid w:val="00A347C0"/>
    <w:rsid w:val="00A351AE"/>
    <w:rsid w:val="00A36D90"/>
    <w:rsid w:val="00A405A6"/>
    <w:rsid w:val="00A4206F"/>
    <w:rsid w:val="00A4271C"/>
    <w:rsid w:val="00A44579"/>
    <w:rsid w:val="00A45A0B"/>
    <w:rsid w:val="00A46ABC"/>
    <w:rsid w:val="00A47F16"/>
    <w:rsid w:val="00A51431"/>
    <w:rsid w:val="00A53725"/>
    <w:rsid w:val="00A539AD"/>
    <w:rsid w:val="00A5735F"/>
    <w:rsid w:val="00A607FB"/>
    <w:rsid w:val="00A6100E"/>
    <w:rsid w:val="00A71804"/>
    <w:rsid w:val="00A71F20"/>
    <w:rsid w:val="00A85134"/>
    <w:rsid w:val="00A864A1"/>
    <w:rsid w:val="00A916D6"/>
    <w:rsid w:val="00A94063"/>
    <w:rsid w:val="00A95912"/>
    <w:rsid w:val="00AA22DC"/>
    <w:rsid w:val="00AA58D8"/>
    <w:rsid w:val="00AA6219"/>
    <w:rsid w:val="00AA665E"/>
    <w:rsid w:val="00AA7205"/>
    <w:rsid w:val="00AA74E0"/>
    <w:rsid w:val="00AB0C9A"/>
    <w:rsid w:val="00AB6FD9"/>
    <w:rsid w:val="00AB703F"/>
    <w:rsid w:val="00AC2747"/>
    <w:rsid w:val="00AC5B79"/>
    <w:rsid w:val="00AC6BB8"/>
    <w:rsid w:val="00AD32F4"/>
    <w:rsid w:val="00AD4BEE"/>
    <w:rsid w:val="00AD5159"/>
    <w:rsid w:val="00AE008F"/>
    <w:rsid w:val="00AE2F08"/>
    <w:rsid w:val="00AE36FB"/>
    <w:rsid w:val="00AE487C"/>
    <w:rsid w:val="00AF69C6"/>
    <w:rsid w:val="00B00856"/>
    <w:rsid w:val="00B01CED"/>
    <w:rsid w:val="00B01FCD"/>
    <w:rsid w:val="00B02B62"/>
    <w:rsid w:val="00B07BF2"/>
    <w:rsid w:val="00B13DF5"/>
    <w:rsid w:val="00B1776C"/>
    <w:rsid w:val="00B23411"/>
    <w:rsid w:val="00B247CF"/>
    <w:rsid w:val="00B24ECE"/>
    <w:rsid w:val="00B31849"/>
    <w:rsid w:val="00B33A9C"/>
    <w:rsid w:val="00B36C53"/>
    <w:rsid w:val="00B42AF0"/>
    <w:rsid w:val="00B42B3A"/>
    <w:rsid w:val="00B472E2"/>
    <w:rsid w:val="00B52583"/>
    <w:rsid w:val="00B52896"/>
    <w:rsid w:val="00B533F9"/>
    <w:rsid w:val="00B602B8"/>
    <w:rsid w:val="00B7132B"/>
    <w:rsid w:val="00B72055"/>
    <w:rsid w:val="00B74ADB"/>
    <w:rsid w:val="00B81EC3"/>
    <w:rsid w:val="00B95236"/>
    <w:rsid w:val="00B95428"/>
    <w:rsid w:val="00B96BD9"/>
    <w:rsid w:val="00B9741D"/>
    <w:rsid w:val="00BA03C6"/>
    <w:rsid w:val="00BA0D80"/>
    <w:rsid w:val="00BA1B01"/>
    <w:rsid w:val="00BA2641"/>
    <w:rsid w:val="00BA352D"/>
    <w:rsid w:val="00BA3DA0"/>
    <w:rsid w:val="00BB37AA"/>
    <w:rsid w:val="00BB4B4F"/>
    <w:rsid w:val="00BB5917"/>
    <w:rsid w:val="00BC44BB"/>
    <w:rsid w:val="00BC4897"/>
    <w:rsid w:val="00BC490F"/>
    <w:rsid w:val="00BC53A0"/>
    <w:rsid w:val="00BC6929"/>
    <w:rsid w:val="00BC6989"/>
    <w:rsid w:val="00BD09CE"/>
    <w:rsid w:val="00BD2574"/>
    <w:rsid w:val="00BD58DD"/>
    <w:rsid w:val="00BE0689"/>
    <w:rsid w:val="00BE62AD"/>
    <w:rsid w:val="00BF121F"/>
    <w:rsid w:val="00BF1E1C"/>
    <w:rsid w:val="00BF1F80"/>
    <w:rsid w:val="00BF2168"/>
    <w:rsid w:val="00BF30AE"/>
    <w:rsid w:val="00BF4FD9"/>
    <w:rsid w:val="00C04D2F"/>
    <w:rsid w:val="00C10914"/>
    <w:rsid w:val="00C15671"/>
    <w:rsid w:val="00C166EF"/>
    <w:rsid w:val="00C17EB0"/>
    <w:rsid w:val="00C2494F"/>
    <w:rsid w:val="00C26935"/>
    <w:rsid w:val="00C27F5F"/>
    <w:rsid w:val="00C30A0F"/>
    <w:rsid w:val="00C36A4A"/>
    <w:rsid w:val="00C37E61"/>
    <w:rsid w:val="00C40A1C"/>
    <w:rsid w:val="00C4228A"/>
    <w:rsid w:val="00C4229C"/>
    <w:rsid w:val="00C440C0"/>
    <w:rsid w:val="00C4412A"/>
    <w:rsid w:val="00C55A8B"/>
    <w:rsid w:val="00C56D22"/>
    <w:rsid w:val="00C57887"/>
    <w:rsid w:val="00C57BB6"/>
    <w:rsid w:val="00C63F5D"/>
    <w:rsid w:val="00C647B5"/>
    <w:rsid w:val="00C70F1B"/>
    <w:rsid w:val="00C71A47"/>
    <w:rsid w:val="00C7464C"/>
    <w:rsid w:val="00C74759"/>
    <w:rsid w:val="00C81457"/>
    <w:rsid w:val="00C85588"/>
    <w:rsid w:val="00C91012"/>
    <w:rsid w:val="00C91FAF"/>
    <w:rsid w:val="00C931A4"/>
    <w:rsid w:val="00C95918"/>
    <w:rsid w:val="00CA0012"/>
    <w:rsid w:val="00CA185A"/>
    <w:rsid w:val="00CA3988"/>
    <w:rsid w:val="00CB0E92"/>
    <w:rsid w:val="00CB525E"/>
    <w:rsid w:val="00CB56E9"/>
    <w:rsid w:val="00CC1F15"/>
    <w:rsid w:val="00CC2879"/>
    <w:rsid w:val="00CC7C2E"/>
    <w:rsid w:val="00CD0BDB"/>
    <w:rsid w:val="00CD6755"/>
    <w:rsid w:val="00CD6856"/>
    <w:rsid w:val="00CE0089"/>
    <w:rsid w:val="00CE56EE"/>
    <w:rsid w:val="00CE793C"/>
    <w:rsid w:val="00CF193C"/>
    <w:rsid w:val="00CF6828"/>
    <w:rsid w:val="00D00687"/>
    <w:rsid w:val="00D01C11"/>
    <w:rsid w:val="00D06AF8"/>
    <w:rsid w:val="00D0780A"/>
    <w:rsid w:val="00D12C74"/>
    <w:rsid w:val="00D13A75"/>
    <w:rsid w:val="00D173F1"/>
    <w:rsid w:val="00D22279"/>
    <w:rsid w:val="00D26054"/>
    <w:rsid w:val="00D2731B"/>
    <w:rsid w:val="00D30210"/>
    <w:rsid w:val="00D3214F"/>
    <w:rsid w:val="00D376FD"/>
    <w:rsid w:val="00D46E1B"/>
    <w:rsid w:val="00D471D2"/>
    <w:rsid w:val="00D4740E"/>
    <w:rsid w:val="00D51339"/>
    <w:rsid w:val="00D539BB"/>
    <w:rsid w:val="00D544CC"/>
    <w:rsid w:val="00D54A13"/>
    <w:rsid w:val="00D6043F"/>
    <w:rsid w:val="00D60DF7"/>
    <w:rsid w:val="00D63C26"/>
    <w:rsid w:val="00D65671"/>
    <w:rsid w:val="00D65964"/>
    <w:rsid w:val="00D71527"/>
    <w:rsid w:val="00D74CB0"/>
    <w:rsid w:val="00D8295D"/>
    <w:rsid w:val="00D837FE"/>
    <w:rsid w:val="00D84B03"/>
    <w:rsid w:val="00D861EB"/>
    <w:rsid w:val="00D91E8D"/>
    <w:rsid w:val="00D94E53"/>
    <w:rsid w:val="00DA3D14"/>
    <w:rsid w:val="00DA4965"/>
    <w:rsid w:val="00DB042C"/>
    <w:rsid w:val="00DB3A13"/>
    <w:rsid w:val="00DB47C9"/>
    <w:rsid w:val="00DC270B"/>
    <w:rsid w:val="00DC2A65"/>
    <w:rsid w:val="00DD10C9"/>
    <w:rsid w:val="00DD2B12"/>
    <w:rsid w:val="00DD407F"/>
    <w:rsid w:val="00DD6085"/>
    <w:rsid w:val="00DD666D"/>
    <w:rsid w:val="00DE15F0"/>
    <w:rsid w:val="00DE39D0"/>
    <w:rsid w:val="00DE5663"/>
    <w:rsid w:val="00DE7423"/>
    <w:rsid w:val="00DE78AA"/>
    <w:rsid w:val="00DF1E75"/>
    <w:rsid w:val="00DF2191"/>
    <w:rsid w:val="00DF4C80"/>
    <w:rsid w:val="00DF52C2"/>
    <w:rsid w:val="00E006AE"/>
    <w:rsid w:val="00E01B8C"/>
    <w:rsid w:val="00E02436"/>
    <w:rsid w:val="00E02B1E"/>
    <w:rsid w:val="00E0516F"/>
    <w:rsid w:val="00E053D0"/>
    <w:rsid w:val="00E102EB"/>
    <w:rsid w:val="00E13539"/>
    <w:rsid w:val="00E146AD"/>
    <w:rsid w:val="00E15994"/>
    <w:rsid w:val="00E250AC"/>
    <w:rsid w:val="00E25AFF"/>
    <w:rsid w:val="00E3114E"/>
    <w:rsid w:val="00E31298"/>
    <w:rsid w:val="00E31A70"/>
    <w:rsid w:val="00E33062"/>
    <w:rsid w:val="00E34270"/>
    <w:rsid w:val="00E3498C"/>
    <w:rsid w:val="00E35B02"/>
    <w:rsid w:val="00E36804"/>
    <w:rsid w:val="00E40541"/>
    <w:rsid w:val="00E43A83"/>
    <w:rsid w:val="00E447D4"/>
    <w:rsid w:val="00E451D4"/>
    <w:rsid w:val="00E45719"/>
    <w:rsid w:val="00E466A0"/>
    <w:rsid w:val="00E5303C"/>
    <w:rsid w:val="00E56962"/>
    <w:rsid w:val="00E56AF9"/>
    <w:rsid w:val="00E66496"/>
    <w:rsid w:val="00E66B35"/>
    <w:rsid w:val="00E66E10"/>
    <w:rsid w:val="00E769F6"/>
    <w:rsid w:val="00E804BE"/>
    <w:rsid w:val="00E8407C"/>
    <w:rsid w:val="00E84F3C"/>
    <w:rsid w:val="00E87B5C"/>
    <w:rsid w:val="00E91746"/>
    <w:rsid w:val="00E92248"/>
    <w:rsid w:val="00E92801"/>
    <w:rsid w:val="00E9350D"/>
    <w:rsid w:val="00E94563"/>
    <w:rsid w:val="00EA012C"/>
    <w:rsid w:val="00EA16AA"/>
    <w:rsid w:val="00EA192E"/>
    <w:rsid w:val="00EA69D1"/>
    <w:rsid w:val="00EC6A55"/>
    <w:rsid w:val="00ED0288"/>
    <w:rsid w:val="00ED0E63"/>
    <w:rsid w:val="00ED2E2D"/>
    <w:rsid w:val="00ED5596"/>
    <w:rsid w:val="00EE52CB"/>
    <w:rsid w:val="00EE6C85"/>
    <w:rsid w:val="00EF3822"/>
    <w:rsid w:val="00EF4204"/>
    <w:rsid w:val="00EF469A"/>
    <w:rsid w:val="00EF581D"/>
    <w:rsid w:val="00EF668B"/>
    <w:rsid w:val="00EF7FD8"/>
    <w:rsid w:val="00F0126A"/>
    <w:rsid w:val="00F019E4"/>
    <w:rsid w:val="00F0537F"/>
    <w:rsid w:val="00F06F59"/>
    <w:rsid w:val="00F10E59"/>
    <w:rsid w:val="00F11D06"/>
    <w:rsid w:val="00F12F77"/>
    <w:rsid w:val="00F168AB"/>
    <w:rsid w:val="00F1764A"/>
    <w:rsid w:val="00F17988"/>
    <w:rsid w:val="00F2378D"/>
    <w:rsid w:val="00F3175E"/>
    <w:rsid w:val="00F36416"/>
    <w:rsid w:val="00F40DFE"/>
    <w:rsid w:val="00F40FF3"/>
    <w:rsid w:val="00F4156C"/>
    <w:rsid w:val="00F41729"/>
    <w:rsid w:val="00F42233"/>
    <w:rsid w:val="00F42576"/>
    <w:rsid w:val="00F426E8"/>
    <w:rsid w:val="00F42D88"/>
    <w:rsid w:val="00F44C6A"/>
    <w:rsid w:val="00F469F0"/>
    <w:rsid w:val="00F529BC"/>
    <w:rsid w:val="00F53273"/>
    <w:rsid w:val="00F571E6"/>
    <w:rsid w:val="00F60EF0"/>
    <w:rsid w:val="00F644D6"/>
    <w:rsid w:val="00F66C78"/>
    <w:rsid w:val="00F722F2"/>
    <w:rsid w:val="00F72BF7"/>
    <w:rsid w:val="00F7456D"/>
    <w:rsid w:val="00F755E4"/>
    <w:rsid w:val="00F77D02"/>
    <w:rsid w:val="00F91687"/>
    <w:rsid w:val="00F92530"/>
    <w:rsid w:val="00F92E2C"/>
    <w:rsid w:val="00F93924"/>
    <w:rsid w:val="00F95003"/>
    <w:rsid w:val="00F95469"/>
    <w:rsid w:val="00F96134"/>
    <w:rsid w:val="00FA1A8A"/>
    <w:rsid w:val="00FA60DD"/>
    <w:rsid w:val="00FB3A86"/>
    <w:rsid w:val="00FC1473"/>
    <w:rsid w:val="00FC2428"/>
    <w:rsid w:val="00FC2C6D"/>
    <w:rsid w:val="00FC4515"/>
    <w:rsid w:val="00FC59B2"/>
    <w:rsid w:val="00FD0691"/>
    <w:rsid w:val="00FD30E6"/>
    <w:rsid w:val="00FD36C8"/>
    <w:rsid w:val="00FD4531"/>
    <w:rsid w:val="00FD719C"/>
    <w:rsid w:val="00FE2A1A"/>
    <w:rsid w:val="00FE78B9"/>
    <w:rsid w:val="00FF29F8"/>
    <w:rsid w:val="00FF2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89101"/>
  <w15:docId w15:val="{BDD3D75C-078D-4E15-BD1C-4BAFD32B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6935"/>
    <w:pPr>
      <w:jc w:val="both"/>
    </w:pPr>
    <w:rPr>
      <w:rFonts w:ascii="Arial" w:hAnsi="Arial"/>
    </w:rPr>
  </w:style>
  <w:style w:type="paragraph" w:styleId="Heading1">
    <w:name w:val="heading 1"/>
    <w:basedOn w:val="Normal"/>
    <w:next w:val="Normal"/>
    <w:qFormat/>
    <w:rsid w:val="006859F4"/>
    <w:pPr>
      <w:keepNext/>
      <w:numPr>
        <w:numId w:val="2"/>
      </w:numPr>
      <w:spacing w:before="240" w:after="120"/>
      <w:jc w:val="left"/>
      <w:outlineLvl w:val="0"/>
    </w:pPr>
    <w:rPr>
      <w:b/>
      <w:caps/>
      <w:kern w:val="28"/>
      <w:sz w:val="22"/>
    </w:rPr>
  </w:style>
  <w:style w:type="paragraph" w:styleId="Heading2">
    <w:name w:val="heading 2"/>
    <w:basedOn w:val="Normal"/>
    <w:next w:val="Normal"/>
    <w:link w:val="Heading2Char"/>
    <w:autoRedefine/>
    <w:unhideWhenUsed/>
    <w:qFormat/>
    <w:rsid w:val="00232CCE"/>
    <w:pPr>
      <w:keepNext/>
      <w:keepLines/>
      <w:numPr>
        <w:ilvl w:val="1"/>
        <w:numId w:val="2"/>
      </w:numPr>
      <w:spacing w:before="120" w:after="120"/>
      <w:jc w:val="left"/>
      <w:outlineLvl w:val="1"/>
    </w:pPr>
    <w:rPr>
      <w:rFonts w:eastAsiaTheme="majorEastAsia" w:cstheme="majorBidi"/>
      <w:b/>
      <w:sz w:val="22"/>
      <w:szCs w:val="26"/>
    </w:rPr>
  </w:style>
  <w:style w:type="paragraph" w:styleId="Heading3">
    <w:name w:val="heading 3"/>
    <w:basedOn w:val="Normal"/>
    <w:next w:val="Normal"/>
    <w:link w:val="Heading3Char"/>
    <w:autoRedefine/>
    <w:unhideWhenUsed/>
    <w:qFormat/>
    <w:rsid w:val="00C91012"/>
    <w:pPr>
      <w:keepNext/>
      <w:keepLines/>
      <w:numPr>
        <w:ilvl w:val="2"/>
        <w:numId w:val="2"/>
      </w:numPr>
      <w:spacing w:before="40"/>
      <w:jc w:val="left"/>
      <w:outlineLvl w:val="2"/>
    </w:pPr>
    <w:rPr>
      <w:rFonts w:eastAsiaTheme="majorEastAsia" w:cstheme="majorBidi"/>
      <w:b/>
      <w:szCs w:val="24"/>
      <w:u w:val="single"/>
    </w:rPr>
  </w:style>
  <w:style w:type="paragraph" w:styleId="Heading4">
    <w:name w:val="heading 4"/>
    <w:basedOn w:val="Normal"/>
    <w:next w:val="Normal"/>
    <w:link w:val="Heading4Char"/>
    <w:autoRedefine/>
    <w:unhideWhenUsed/>
    <w:qFormat/>
    <w:rsid w:val="00813453"/>
    <w:pPr>
      <w:keepNext/>
      <w:keepLines/>
      <w:numPr>
        <w:ilvl w:val="3"/>
        <w:numId w:val="2"/>
      </w:numPr>
      <w:spacing w:before="40"/>
      <w:jc w:val="left"/>
      <w:outlineLvl w:val="3"/>
    </w:pPr>
    <w:rPr>
      <w:rFonts w:eastAsiaTheme="majorEastAsia" w:cstheme="majorBidi"/>
      <w:b/>
      <w:i/>
      <w:iCs/>
    </w:rPr>
  </w:style>
  <w:style w:type="paragraph" w:styleId="Heading5">
    <w:name w:val="heading 5"/>
    <w:basedOn w:val="Normal"/>
    <w:next w:val="Normal"/>
    <w:link w:val="Heading5Char"/>
    <w:semiHidden/>
    <w:unhideWhenUsed/>
    <w:qFormat/>
    <w:rsid w:val="00232CCE"/>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32CCE"/>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32CCE"/>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32CC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32CC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Subtitle">
    <w:name w:val="Subtitle"/>
    <w:basedOn w:val="Normal"/>
    <w:next w:val="Normal"/>
    <w:link w:val="SubtitleChar"/>
    <w:qFormat/>
    <w:rsid w:val="000B14F1"/>
    <w:pPr>
      <w:numPr>
        <w:ilvl w:val="1"/>
      </w:numPr>
      <w:spacing w:after="160"/>
    </w:pPr>
    <w:rPr>
      <w:rFonts w:eastAsiaTheme="minorEastAsia" w:cstheme="minorBidi"/>
      <w:b/>
      <w:spacing w:val="15"/>
      <w:sz w:val="22"/>
      <w:szCs w:val="22"/>
    </w:rPr>
  </w:style>
  <w:style w:type="character" w:customStyle="1" w:styleId="SubtitleChar">
    <w:name w:val="Subtitle Char"/>
    <w:basedOn w:val="DefaultParagraphFont"/>
    <w:link w:val="Subtitle"/>
    <w:rsid w:val="000B14F1"/>
    <w:rPr>
      <w:rFonts w:ascii="Arial" w:eastAsiaTheme="minorEastAsia" w:hAnsi="Arial" w:cstheme="minorBidi"/>
      <w:b/>
      <w:spacing w:val="15"/>
      <w:sz w:val="22"/>
      <w:szCs w:val="22"/>
    </w:rPr>
  </w:style>
  <w:style w:type="character" w:customStyle="1" w:styleId="Heading2Char">
    <w:name w:val="Heading 2 Char"/>
    <w:basedOn w:val="DefaultParagraphFont"/>
    <w:link w:val="Heading2"/>
    <w:rsid w:val="00232CCE"/>
    <w:rPr>
      <w:rFonts w:ascii="Arial" w:eastAsiaTheme="majorEastAsia" w:hAnsi="Arial" w:cstheme="majorBidi"/>
      <w:b/>
      <w:sz w:val="22"/>
      <w:szCs w:val="26"/>
    </w:rPr>
  </w:style>
  <w:style w:type="character" w:customStyle="1" w:styleId="Heading3Char">
    <w:name w:val="Heading 3 Char"/>
    <w:basedOn w:val="DefaultParagraphFont"/>
    <w:link w:val="Heading3"/>
    <w:rsid w:val="00C91012"/>
    <w:rPr>
      <w:rFonts w:ascii="Arial" w:eastAsiaTheme="majorEastAsia" w:hAnsi="Arial" w:cstheme="majorBidi"/>
      <w:b/>
      <w:szCs w:val="24"/>
      <w:u w:val="single"/>
    </w:rPr>
  </w:style>
  <w:style w:type="character" w:customStyle="1" w:styleId="Heading4Char">
    <w:name w:val="Heading 4 Char"/>
    <w:basedOn w:val="DefaultParagraphFont"/>
    <w:link w:val="Heading4"/>
    <w:rsid w:val="00813453"/>
    <w:rPr>
      <w:rFonts w:ascii="Arial" w:eastAsiaTheme="majorEastAsia" w:hAnsi="Arial" w:cstheme="majorBidi"/>
      <w:b/>
      <w:i/>
      <w:iCs/>
    </w:rPr>
  </w:style>
  <w:style w:type="character" w:customStyle="1" w:styleId="Heading5Char">
    <w:name w:val="Heading 5 Char"/>
    <w:basedOn w:val="DefaultParagraphFont"/>
    <w:link w:val="Heading5"/>
    <w:semiHidden/>
    <w:rsid w:val="00232CC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232CC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232CC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232C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32CCE"/>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07C47"/>
    <w:rPr>
      <w:rFonts w:ascii="Times New Roman" w:hAnsi="Times New Roman"/>
      <w:sz w:val="24"/>
      <w:szCs w:val="24"/>
    </w:rPr>
  </w:style>
  <w:style w:type="character" w:styleId="Strong">
    <w:name w:val="Strong"/>
    <w:basedOn w:val="DefaultParagraphFont"/>
    <w:uiPriority w:val="22"/>
    <w:qFormat/>
    <w:rsid w:val="005C573E"/>
    <w:rPr>
      <w:b/>
      <w:bCs/>
    </w:rPr>
  </w:style>
  <w:style w:type="paragraph" w:styleId="ListParagraph">
    <w:name w:val="List Paragraph"/>
    <w:basedOn w:val="Normal"/>
    <w:uiPriority w:val="34"/>
    <w:qFormat/>
    <w:rsid w:val="005C573E"/>
    <w:pPr>
      <w:ind w:left="720"/>
      <w:contextualSpacing/>
    </w:pPr>
  </w:style>
  <w:style w:type="paragraph" w:styleId="Bibliography">
    <w:name w:val="Bibliography"/>
    <w:basedOn w:val="Normal"/>
    <w:next w:val="Normal"/>
    <w:uiPriority w:val="37"/>
    <w:unhideWhenUsed/>
    <w:rsid w:val="00455677"/>
    <w:pPr>
      <w:spacing w:line="480" w:lineRule="auto"/>
      <w:ind w:left="720" w:hanging="720"/>
    </w:pPr>
  </w:style>
  <w:style w:type="character" w:customStyle="1" w:styleId="FooterChar">
    <w:name w:val="Footer Char"/>
    <w:basedOn w:val="DefaultParagraphFont"/>
    <w:link w:val="Footer"/>
    <w:uiPriority w:val="99"/>
    <w:rsid w:val="00F0126A"/>
    <w:rPr>
      <w:rFonts w:ascii="Arial" w:hAnsi="Arial"/>
    </w:rPr>
  </w:style>
  <w:style w:type="character" w:customStyle="1" w:styleId="fontstyle01">
    <w:name w:val="fontstyle01"/>
    <w:basedOn w:val="DefaultParagraphFont"/>
    <w:rsid w:val="00587346"/>
    <w:rPr>
      <w:rFonts w:ascii="Arial-BoldMT" w:hAnsi="Arial-BoldMT" w:hint="default"/>
      <w:b/>
      <w:bCs/>
      <w:i w:val="0"/>
      <w:iCs w:val="0"/>
      <w:color w:val="000000"/>
      <w:sz w:val="22"/>
      <w:szCs w:val="22"/>
    </w:rPr>
  </w:style>
  <w:style w:type="character" w:styleId="UnresolvedMention">
    <w:name w:val="Unresolved Mention"/>
    <w:basedOn w:val="DefaultParagraphFont"/>
    <w:uiPriority w:val="99"/>
    <w:semiHidden/>
    <w:unhideWhenUsed/>
    <w:rsid w:val="004C6920"/>
    <w:rPr>
      <w:color w:val="605E5C"/>
      <w:shd w:val="clear" w:color="auto" w:fill="E1DFDD"/>
    </w:rPr>
  </w:style>
  <w:style w:type="paragraph" w:styleId="Revision">
    <w:name w:val="Revision"/>
    <w:hidden/>
    <w:uiPriority w:val="99"/>
    <w:semiHidden/>
    <w:rsid w:val="000C1B8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71212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84226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9978618">
      <w:bodyDiv w:val="1"/>
      <w:marLeft w:val="0"/>
      <w:marRight w:val="0"/>
      <w:marTop w:val="0"/>
      <w:marBottom w:val="0"/>
      <w:divBdr>
        <w:top w:val="none" w:sz="0" w:space="0" w:color="auto"/>
        <w:left w:val="none" w:sz="0" w:space="0" w:color="auto"/>
        <w:bottom w:val="none" w:sz="0" w:space="0" w:color="auto"/>
        <w:right w:val="none" w:sz="0" w:space="0" w:color="auto"/>
      </w:divBdr>
    </w:div>
    <w:div w:id="391544499">
      <w:bodyDiv w:val="1"/>
      <w:marLeft w:val="0"/>
      <w:marRight w:val="0"/>
      <w:marTop w:val="0"/>
      <w:marBottom w:val="0"/>
      <w:divBdr>
        <w:top w:val="none" w:sz="0" w:space="0" w:color="auto"/>
        <w:left w:val="none" w:sz="0" w:space="0" w:color="auto"/>
        <w:bottom w:val="none" w:sz="0" w:space="0" w:color="auto"/>
        <w:right w:val="none" w:sz="0" w:space="0" w:color="auto"/>
      </w:divBdr>
    </w:div>
    <w:div w:id="468859315">
      <w:bodyDiv w:val="1"/>
      <w:marLeft w:val="0"/>
      <w:marRight w:val="0"/>
      <w:marTop w:val="0"/>
      <w:marBottom w:val="0"/>
      <w:divBdr>
        <w:top w:val="none" w:sz="0" w:space="0" w:color="auto"/>
        <w:left w:val="none" w:sz="0" w:space="0" w:color="auto"/>
        <w:bottom w:val="none" w:sz="0" w:space="0" w:color="auto"/>
        <w:right w:val="none" w:sz="0" w:space="0" w:color="auto"/>
      </w:divBdr>
    </w:div>
    <w:div w:id="513227356">
      <w:bodyDiv w:val="1"/>
      <w:marLeft w:val="0"/>
      <w:marRight w:val="0"/>
      <w:marTop w:val="0"/>
      <w:marBottom w:val="0"/>
      <w:divBdr>
        <w:top w:val="none" w:sz="0" w:space="0" w:color="auto"/>
        <w:left w:val="none" w:sz="0" w:space="0" w:color="auto"/>
        <w:bottom w:val="none" w:sz="0" w:space="0" w:color="auto"/>
        <w:right w:val="none" w:sz="0" w:space="0" w:color="auto"/>
      </w:divBdr>
    </w:div>
    <w:div w:id="55674103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8722206">
      <w:bodyDiv w:val="1"/>
      <w:marLeft w:val="0"/>
      <w:marRight w:val="0"/>
      <w:marTop w:val="0"/>
      <w:marBottom w:val="0"/>
      <w:divBdr>
        <w:top w:val="none" w:sz="0" w:space="0" w:color="auto"/>
        <w:left w:val="none" w:sz="0" w:space="0" w:color="auto"/>
        <w:bottom w:val="none" w:sz="0" w:space="0" w:color="auto"/>
        <w:right w:val="none" w:sz="0" w:space="0" w:color="auto"/>
      </w:divBdr>
    </w:div>
    <w:div w:id="762267702">
      <w:bodyDiv w:val="1"/>
      <w:marLeft w:val="0"/>
      <w:marRight w:val="0"/>
      <w:marTop w:val="0"/>
      <w:marBottom w:val="0"/>
      <w:divBdr>
        <w:top w:val="none" w:sz="0" w:space="0" w:color="auto"/>
        <w:left w:val="none" w:sz="0" w:space="0" w:color="auto"/>
        <w:bottom w:val="none" w:sz="0" w:space="0" w:color="auto"/>
        <w:right w:val="none" w:sz="0" w:space="0" w:color="auto"/>
      </w:divBdr>
      <w:divsChild>
        <w:div w:id="204955314">
          <w:blockQuote w:val="1"/>
          <w:marLeft w:val="720"/>
          <w:marRight w:val="720"/>
          <w:marTop w:val="100"/>
          <w:marBottom w:val="100"/>
          <w:divBdr>
            <w:top w:val="none" w:sz="0" w:space="0" w:color="auto"/>
            <w:left w:val="none" w:sz="0" w:space="0" w:color="auto"/>
            <w:bottom w:val="none" w:sz="0" w:space="0" w:color="auto"/>
            <w:right w:val="none" w:sz="0" w:space="0" w:color="auto"/>
          </w:divBdr>
        </w:div>
        <w:div w:id="52803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664404874">
          <w:blockQuote w:val="1"/>
          <w:marLeft w:val="720"/>
          <w:marRight w:val="720"/>
          <w:marTop w:val="100"/>
          <w:marBottom w:val="100"/>
          <w:divBdr>
            <w:top w:val="none" w:sz="0" w:space="0" w:color="auto"/>
            <w:left w:val="none" w:sz="0" w:space="0" w:color="auto"/>
            <w:bottom w:val="none" w:sz="0" w:space="0" w:color="auto"/>
            <w:right w:val="none" w:sz="0" w:space="0" w:color="auto"/>
          </w:divBdr>
        </w:div>
        <w:div w:id="772898586">
          <w:blockQuote w:val="1"/>
          <w:marLeft w:val="720"/>
          <w:marRight w:val="720"/>
          <w:marTop w:val="100"/>
          <w:marBottom w:val="100"/>
          <w:divBdr>
            <w:top w:val="none" w:sz="0" w:space="0" w:color="auto"/>
            <w:left w:val="none" w:sz="0" w:space="0" w:color="auto"/>
            <w:bottom w:val="none" w:sz="0" w:space="0" w:color="auto"/>
            <w:right w:val="none" w:sz="0" w:space="0" w:color="auto"/>
          </w:divBdr>
        </w:div>
        <w:div w:id="88213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496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36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094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757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3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129286">
      <w:bodyDiv w:val="1"/>
      <w:marLeft w:val="0"/>
      <w:marRight w:val="0"/>
      <w:marTop w:val="0"/>
      <w:marBottom w:val="0"/>
      <w:divBdr>
        <w:top w:val="none" w:sz="0" w:space="0" w:color="auto"/>
        <w:left w:val="none" w:sz="0" w:space="0" w:color="auto"/>
        <w:bottom w:val="none" w:sz="0" w:space="0" w:color="auto"/>
        <w:right w:val="none" w:sz="0" w:space="0" w:color="auto"/>
      </w:divBdr>
    </w:div>
    <w:div w:id="791217767">
      <w:bodyDiv w:val="1"/>
      <w:marLeft w:val="0"/>
      <w:marRight w:val="0"/>
      <w:marTop w:val="0"/>
      <w:marBottom w:val="0"/>
      <w:divBdr>
        <w:top w:val="none" w:sz="0" w:space="0" w:color="auto"/>
        <w:left w:val="none" w:sz="0" w:space="0" w:color="auto"/>
        <w:bottom w:val="none" w:sz="0" w:space="0" w:color="auto"/>
        <w:right w:val="none" w:sz="0" w:space="0" w:color="auto"/>
      </w:divBdr>
    </w:div>
    <w:div w:id="885221791">
      <w:bodyDiv w:val="1"/>
      <w:marLeft w:val="0"/>
      <w:marRight w:val="0"/>
      <w:marTop w:val="0"/>
      <w:marBottom w:val="0"/>
      <w:divBdr>
        <w:top w:val="none" w:sz="0" w:space="0" w:color="auto"/>
        <w:left w:val="none" w:sz="0" w:space="0" w:color="auto"/>
        <w:bottom w:val="none" w:sz="0" w:space="0" w:color="auto"/>
        <w:right w:val="none" w:sz="0" w:space="0" w:color="auto"/>
      </w:divBdr>
    </w:div>
    <w:div w:id="914558585">
      <w:bodyDiv w:val="1"/>
      <w:marLeft w:val="0"/>
      <w:marRight w:val="0"/>
      <w:marTop w:val="0"/>
      <w:marBottom w:val="0"/>
      <w:divBdr>
        <w:top w:val="none" w:sz="0" w:space="0" w:color="auto"/>
        <w:left w:val="none" w:sz="0" w:space="0" w:color="auto"/>
        <w:bottom w:val="none" w:sz="0" w:space="0" w:color="auto"/>
        <w:right w:val="none" w:sz="0" w:space="0" w:color="auto"/>
      </w:divBdr>
    </w:div>
    <w:div w:id="938028597">
      <w:bodyDiv w:val="1"/>
      <w:marLeft w:val="0"/>
      <w:marRight w:val="0"/>
      <w:marTop w:val="0"/>
      <w:marBottom w:val="0"/>
      <w:divBdr>
        <w:top w:val="none" w:sz="0" w:space="0" w:color="auto"/>
        <w:left w:val="none" w:sz="0" w:space="0" w:color="auto"/>
        <w:bottom w:val="none" w:sz="0" w:space="0" w:color="auto"/>
        <w:right w:val="none" w:sz="0" w:space="0" w:color="auto"/>
      </w:divBdr>
    </w:div>
    <w:div w:id="96038462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510762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636736">
      <w:bodyDiv w:val="1"/>
      <w:marLeft w:val="0"/>
      <w:marRight w:val="0"/>
      <w:marTop w:val="0"/>
      <w:marBottom w:val="0"/>
      <w:divBdr>
        <w:top w:val="none" w:sz="0" w:space="0" w:color="auto"/>
        <w:left w:val="none" w:sz="0" w:space="0" w:color="auto"/>
        <w:bottom w:val="none" w:sz="0" w:space="0" w:color="auto"/>
        <w:right w:val="none" w:sz="0" w:space="0" w:color="auto"/>
      </w:divBdr>
      <w:divsChild>
        <w:div w:id="7876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9303030">
          <w:blockQuote w:val="1"/>
          <w:marLeft w:val="720"/>
          <w:marRight w:val="720"/>
          <w:marTop w:val="100"/>
          <w:marBottom w:val="100"/>
          <w:divBdr>
            <w:top w:val="none" w:sz="0" w:space="0" w:color="auto"/>
            <w:left w:val="none" w:sz="0" w:space="0" w:color="auto"/>
            <w:bottom w:val="none" w:sz="0" w:space="0" w:color="auto"/>
            <w:right w:val="none" w:sz="0" w:space="0" w:color="auto"/>
          </w:divBdr>
        </w:div>
        <w:div w:id="234321546">
          <w:blockQuote w:val="1"/>
          <w:marLeft w:val="720"/>
          <w:marRight w:val="720"/>
          <w:marTop w:val="100"/>
          <w:marBottom w:val="100"/>
          <w:divBdr>
            <w:top w:val="none" w:sz="0" w:space="0" w:color="auto"/>
            <w:left w:val="none" w:sz="0" w:space="0" w:color="auto"/>
            <w:bottom w:val="none" w:sz="0" w:space="0" w:color="auto"/>
            <w:right w:val="none" w:sz="0" w:space="0" w:color="auto"/>
          </w:divBdr>
        </w:div>
        <w:div w:id="259216554">
          <w:blockQuote w:val="1"/>
          <w:marLeft w:val="720"/>
          <w:marRight w:val="720"/>
          <w:marTop w:val="100"/>
          <w:marBottom w:val="100"/>
          <w:divBdr>
            <w:top w:val="none" w:sz="0" w:space="0" w:color="auto"/>
            <w:left w:val="none" w:sz="0" w:space="0" w:color="auto"/>
            <w:bottom w:val="none" w:sz="0" w:space="0" w:color="auto"/>
            <w:right w:val="none" w:sz="0" w:space="0" w:color="auto"/>
          </w:divBdr>
        </w:div>
        <w:div w:id="314383974">
          <w:blockQuote w:val="1"/>
          <w:marLeft w:val="720"/>
          <w:marRight w:val="720"/>
          <w:marTop w:val="100"/>
          <w:marBottom w:val="100"/>
          <w:divBdr>
            <w:top w:val="none" w:sz="0" w:space="0" w:color="auto"/>
            <w:left w:val="none" w:sz="0" w:space="0" w:color="auto"/>
            <w:bottom w:val="none" w:sz="0" w:space="0" w:color="auto"/>
            <w:right w:val="none" w:sz="0" w:space="0" w:color="auto"/>
          </w:divBdr>
        </w:div>
        <w:div w:id="391082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95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622266785">
          <w:blockQuote w:val="1"/>
          <w:marLeft w:val="720"/>
          <w:marRight w:val="720"/>
          <w:marTop w:val="100"/>
          <w:marBottom w:val="100"/>
          <w:divBdr>
            <w:top w:val="none" w:sz="0" w:space="0" w:color="auto"/>
            <w:left w:val="none" w:sz="0" w:space="0" w:color="auto"/>
            <w:bottom w:val="none" w:sz="0" w:space="0" w:color="auto"/>
            <w:right w:val="none" w:sz="0" w:space="0" w:color="auto"/>
          </w:divBdr>
        </w:div>
        <w:div w:id="909342597">
          <w:blockQuote w:val="1"/>
          <w:marLeft w:val="720"/>
          <w:marRight w:val="720"/>
          <w:marTop w:val="100"/>
          <w:marBottom w:val="100"/>
          <w:divBdr>
            <w:top w:val="none" w:sz="0" w:space="0" w:color="auto"/>
            <w:left w:val="none" w:sz="0" w:space="0" w:color="auto"/>
            <w:bottom w:val="none" w:sz="0" w:space="0" w:color="auto"/>
            <w:right w:val="none" w:sz="0" w:space="0" w:color="auto"/>
          </w:divBdr>
        </w:div>
        <w:div w:id="942803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728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249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933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805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766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53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605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700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9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31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445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56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47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27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738599">
      <w:bodyDiv w:val="1"/>
      <w:marLeft w:val="0"/>
      <w:marRight w:val="0"/>
      <w:marTop w:val="0"/>
      <w:marBottom w:val="0"/>
      <w:divBdr>
        <w:top w:val="none" w:sz="0" w:space="0" w:color="auto"/>
        <w:left w:val="none" w:sz="0" w:space="0" w:color="auto"/>
        <w:bottom w:val="none" w:sz="0" w:space="0" w:color="auto"/>
        <w:right w:val="none" w:sz="0" w:space="0" w:color="auto"/>
      </w:divBdr>
      <w:divsChild>
        <w:div w:id="5250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77376">
          <w:blockQuote w:val="1"/>
          <w:marLeft w:val="720"/>
          <w:marRight w:val="720"/>
          <w:marTop w:val="100"/>
          <w:marBottom w:val="100"/>
          <w:divBdr>
            <w:top w:val="none" w:sz="0" w:space="0" w:color="auto"/>
            <w:left w:val="none" w:sz="0" w:space="0" w:color="auto"/>
            <w:bottom w:val="none" w:sz="0" w:space="0" w:color="auto"/>
            <w:right w:val="none" w:sz="0" w:space="0" w:color="auto"/>
          </w:divBdr>
        </w:div>
        <w:div w:id="61302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87573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504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522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642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91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649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260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472472">
      <w:bodyDiv w:val="1"/>
      <w:marLeft w:val="0"/>
      <w:marRight w:val="0"/>
      <w:marTop w:val="0"/>
      <w:marBottom w:val="0"/>
      <w:divBdr>
        <w:top w:val="none" w:sz="0" w:space="0" w:color="auto"/>
        <w:left w:val="none" w:sz="0" w:space="0" w:color="auto"/>
        <w:bottom w:val="none" w:sz="0" w:space="0" w:color="auto"/>
        <w:right w:val="none" w:sz="0" w:space="0" w:color="auto"/>
      </w:divBdr>
    </w:div>
    <w:div w:id="1331718209">
      <w:bodyDiv w:val="1"/>
      <w:marLeft w:val="0"/>
      <w:marRight w:val="0"/>
      <w:marTop w:val="0"/>
      <w:marBottom w:val="0"/>
      <w:divBdr>
        <w:top w:val="none" w:sz="0" w:space="0" w:color="auto"/>
        <w:left w:val="none" w:sz="0" w:space="0" w:color="auto"/>
        <w:bottom w:val="none" w:sz="0" w:space="0" w:color="auto"/>
        <w:right w:val="none" w:sz="0" w:space="0" w:color="auto"/>
      </w:divBdr>
    </w:div>
    <w:div w:id="1452898087">
      <w:bodyDiv w:val="1"/>
      <w:marLeft w:val="0"/>
      <w:marRight w:val="0"/>
      <w:marTop w:val="0"/>
      <w:marBottom w:val="0"/>
      <w:divBdr>
        <w:top w:val="none" w:sz="0" w:space="0" w:color="auto"/>
        <w:left w:val="none" w:sz="0" w:space="0" w:color="auto"/>
        <w:bottom w:val="none" w:sz="0" w:space="0" w:color="auto"/>
        <w:right w:val="none" w:sz="0" w:space="0" w:color="auto"/>
      </w:divBdr>
    </w:div>
    <w:div w:id="1670986702">
      <w:bodyDiv w:val="1"/>
      <w:marLeft w:val="0"/>
      <w:marRight w:val="0"/>
      <w:marTop w:val="0"/>
      <w:marBottom w:val="0"/>
      <w:divBdr>
        <w:top w:val="none" w:sz="0" w:space="0" w:color="auto"/>
        <w:left w:val="none" w:sz="0" w:space="0" w:color="auto"/>
        <w:bottom w:val="none" w:sz="0" w:space="0" w:color="auto"/>
        <w:right w:val="none" w:sz="0" w:space="0" w:color="auto"/>
      </w:divBdr>
    </w:div>
    <w:div w:id="172059059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5322438">
      <w:bodyDiv w:val="1"/>
      <w:marLeft w:val="0"/>
      <w:marRight w:val="0"/>
      <w:marTop w:val="0"/>
      <w:marBottom w:val="0"/>
      <w:divBdr>
        <w:top w:val="none" w:sz="0" w:space="0" w:color="auto"/>
        <w:left w:val="none" w:sz="0" w:space="0" w:color="auto"/>
        <w:bottom w:val="none" w:sz="0" w:space="0" w:color="auto"/>
        <w:right w:val="none" w:sz="0" w:space="0" w:color="auto"/>
      </w:divBdr>
      <w:divsChild>
        <w:div w:id="10966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0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8050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49389">
          <w:blockQuote w:val="1"/>
          <w:marLeft w:val="720"/>
          <w:marRight w:val="720"/>
          <w:marTop w:val="100"/>
          <w:marBottom w:val="100"/>
          <w:divBdr>
            <w:top w:val="none" w:sz="0" w:space="0" w:color="auto"/>
            <w:left w:val="none" w:sz="0" w:space="0" w:color="auto"/>
            <w:bottom w:val="none" w:sz="0" w:space="0" w:color="auto"/>
            <w:right w:val="none" w:sz="0" w:space="0" w:color="auto"/>
          </w:divBdr>
        </w:div>
        <w:div w:id="332992150">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8993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87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752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519900882">
          <w:blockQuote w:val="1"/>
          <w:marLeft w:val="720"/>
          <w:marRight w:val="720"/>
          <w:marTop w:val="100"/>
          <w:marBottom w:val="100"/>
          <w:divBdr>
            <w:top w:val="none" w:sz="0" w:space="0" w:color="auto"/>
            <w:left w:val="none" w:sz="0" w:space="0" w:color="auto"/>
            <w:bottom w:val="none" w:sz="0" w:space="0" w:color="auto"/>
            <w:right w:val="none" w:sz="0" w:space="0" w:color="auto"/>
          </w:divBdr>
        </w:div>
        <w:div w:id="61671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779181569">
          <w:blockQuote w:val="1"/>
          <w:marLeft w:val="720"/>
          <w:marRight w:val="720"/>
          <w:marTop w:val="100"/>
          <w:marBottom w:val="100"/>
          <w:divBdr>
            <w:top w:val="none" w:sz="0" w:space="0" w:color="auto"/>
            <w:left w:val="none" w:sz="0" w:space="0" w:color="auto"/>
            <w:bottom w:val="none" w:sz="0" w:space="0" w:color="auto"/>
            <w:right w:val="none" w:sz="0" w:space="0" w:color="auto"/>
          </w:divBdr>
        </w:div>
        <w:div w:id="922372252">
          <w:blockQuote w:val="1"/>
          <w:marLeft w:val="720"/>
          <w:marRight w:val="720"/>
          <w:marTop w:val="100"/>
          <w:marBottom w:val="100"/>
          <w:divBdr>
            <w:top w:val="none" w:sz="0" w:space="0" w:color="auto"/>
            <w:left w:val="none" w:sz="0" w:space="0" w:color="auto"/>
            <w:bottom w:val="none" w:sz="0" w:space="0" w:color="auto"/>
            <w:right w:val="none" w:sz="0" w:space="0" w:color="auto"/>
          </w:divBdr>
        </w:div>
        <w:div w:id="970092300">
          <w:blockQuote w:val="1"/>
          <w:marLeft w:val="720"/>
          <w:marRight w:val="720"/>
          <w:marTop w:val="100"/>
          <w:marBottom w:val="100"/>
          <w:divBdr>
            <w:top w:val="none" w:sz="0" w:space="0" w:color="auto"/>
            <w:left w:val="none" w:sz="0" w:space="0" w:color="auto"/>
            <w:bottom w:val="none" w:sz="0" w:space="0" w:color="auto"/>
            <w:right w:val="none" w:sz="0" w:space="0" w:color="auto"/>
          </w:divBdr>
        </w:div>
        <w:div w:id="989987524">
          <w:blockQuote w:val="1"/>
          <w:marLeft w:val="720"/>
          <w:marRight w:val="720"/>
          <w:marTop w:val="100"/>
          <w:marBottom w:val="100"/>
          <w:divBdr>
            <w:top w:val="none" w:sz="0" w:space="0" w:color="auto"/>
            <w:left w:val="none" w:sz="0" w:space="0" w:color="auto"/>
            <w:bottom w:val="none" w:sz="0" w:space="0" w:color="auto"/>
            <w:right w:val="none" w:sz="0" w:space="0" w:color="auto"/>
          </w:divBdr>
        </w:div>
        <w:div w:id="99360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029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762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192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550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81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738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1493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005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69524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5981532">
      <w:bodyDiv w:val="1"/>
      <w:marLeft w:val="0"/>
      <w:marRight w:val="0"/>
      <w:marTop w:val="0"/>
      <w:marBottom w:val="0"/>
      <w:divBdr>
        <w:top w:val="none" w:sz="0" w:space="0" w:color="auto"/>
        <w:left w:val="none" w:sz="0" w:space="0" w:color="auto"/>
        <w:bottom w:val="none" w:sz="0" w:space="0" w:color="auto"/>
        <w:right w:val="none" w:sz="0" w:space="0" w:color="auto"/>
      </w:divBdr>
    </w:div>
    <w:div w:id="2099134759">
      <w:bodyDiv w:val="1"/>
      <w:marLeft w:val="0"/>
      <w:marRight w:val="0"/>
      <w:marTop w:val="0"/>
      <w:marBottom w:val="0"/>
      <w:divBdr>
        <w:top w:val="none" w:sz="0" w:space="0" w:color="auto"/>
        <w:left w:val="none" w:sz="0" w:space="0" w:color="auto"/>
        <w:bottom w:val="none" w:sz="0" w:space="0" w:color="auto"/>
        <w:right w:val="none" w:sz="0" w:space="0" w:color="auto"/>
      </w:divBdr>
      <w:divsChild>
        <w:div w:id="16517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5923995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0352438">
          <w:blockQuote w:val="1"/>
          <w:marLeft w:val="720"/>
          <w:marRight w:val="720"/>
          <w:marTop w:val="100"/>
          <w:marBottom w:val="100"/>
          <w:divBdr>
            <w:top w:val="none" w:sz="0" w:space="0" w:color="auto"/>
            <w:left w:val="none" w:sz="0" w:space="0" w:color="auto"/>
            <w:bottom w:val="none" w:sz="0" w:space="0" w:color="auto"/>
            <w:right w:val="none" w:sz="0" w:space="0" w:color="auto"/>
          </w:divBdr>
        </w:div>
        <w:div w:id="721900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095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855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8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133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2429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200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582435">
      <w:bodyDiv w:val="1"/>
      <w:marLeft w:val="0"/>
      <w:marRight w:val="0"/>
      <w:marTop w:val="0"/>
      <w:marBottom w:val="0"/>
      <w:divBdr>
        <w:top w:val="none" w:sz="0" w:space="0" w:color="auto"/>
        <w:left w:val="none" w:sz="0" w:space="0" w:color="auto"/>
        <w:bottom w:val="none" w:sz="0" w:space="0" w:color="auto"/>
        <w:right w:val="none" w:sz="0" w:space="0" w:color="auto"/>
      </w:divBdr>
    </w:div>
    <w:div w:id="2136173627">
      <w:bodyDiv w:val="1"/>
      <w:marLeft w:val="0"/>
      <w:marRight w:val="0"/>
      <w:marTop w:val="0"/>
      <w:marBottom w:val="0"/>
      <w:divBdr>
        <w:top w:val="none" w:sz="0" w:space="0" w:color="auto"/>
        <w:left w:val="none" w:sz="0" w:space="0" w:color="auto"/>
        <w:bottom w:val="none" w:sz="0" w:space="0" w:color="auto"/>
        <w:right w:val="none" w:sz="0" w:space="0" w:color="auto"/>
      </w:divBdr>
      <w:divsChild>
        <w:div w:id="8411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154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01206">
          <w:blockQuote w:val="1"/>
          <w:marLeft w:val="720"/>
          <w:marRight w:val="720"/>
          <w:marTop w:val="100"/>
          <w:marBottom w:val="100"/>
          <w:divBdr>
            <w:top w:val="none" w:sz="0" w:space="0" w:color="auto"/>
            <w:left w:val="none" w:sz="0" w:space="0" w:color="auto"/>
            <w:bottom w:val="none" w:sz="0" w:space="0" w:color="auto"/>
            <w:right w:val="none" w:sz="0" w:space="0" w:color="auto"/>
          </w:divBdr>
        </w:div>
        <w:div w:id="820468117">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88756">
          <w:blockQuote w:val="1"/>
          <w:marLeft w:val="720"/>
          <w:marRight w:val="720"/>
          <w:marTop w:val="100"/>
          <w:marBottom w:val="100"/>
          <w:divBdr>
            <w:top w:val="none" w:sz="0" w:space="0" w:color="auto"/>
            <w:left w:val="none" w:sz="0" w:space="0" w:color="auto"/>
            <w:bottom w:val="none" w:sz="0" w:space="0" w:color="auto"/>
            <w:right w:val="none" w:sz="0" w:space="0" w:color="auto"/>
          </w:divBdr>
        </w:div>
        <w:div w:id="938219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5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245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8770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608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93B26-6174-4D9F-8042-215EE811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7275</TotalTime>
  <Pages>26</Pages>
  <Words>11256</Words>
  <Characters>67990</Characters>
  <Application>Microsoft Office Word</Application>
  <DocSecurity>0</DocSecurity>
  <Lines>1789</Lines>
  <Paragraphs>1003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78243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61</cp:revision>
  <cp:lastPrinted>2025-09-24T08:42:00Z</cp:lastPrinted>
  <dcterms:created xsi:type="dcterms:W3CDTF">2025-04-01T08:32:00Z</dcterms:created>
  <dcterms:modified xsi:type="dcterms:W3CDTF">2025-11-08T05:41:00Z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id="yDKyDSRK"/&gt;&lt;style id="http://www.zotero.org/styles/apa" locale="en-US" hasBibliography="1" bibliographyStyleHasBeenSet="1"/&gt;&lt;prefs&gt;&lt;pref name="fieldType" value="Field"/&gt;&lt;/prefs&gt;&lt;/data&gt;</vt:lpwstr>
  </property>
  <property fmtid="{D5CDD505-2E9C-101B-9397-08002B2CF9AE}" pid="3" name="GrammarlyDocumentId">
    <vt:lpwstr>da10ac5d-56cd-4e9f-89b0-de3d19dcf51d</vt:lpwstr>
  </property>
</Properties>
</file>