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0FE8" w14:textId="70DB6889" w:rsidR="00A659B2" w:rsidRPr="008678D7" w:rsidRDefault="00A659B2" w:rsidP="008678D7">
      <w:pPr>
        <w:spacing w:line="276" w:lineRule="auto"/>
        <w:rPr>
          <w:rFonts w:ascii="Times New Roman" w:hAnsi="Times New Roman" w:cs="Times New Roman"/>
          <w:b/>
          <w:bCs/>
          <w:sz w:val="36"/>
          <w:szCs w:val="36"/>
          <w:u w:val="single"/>
        </w:rPr>
      </w:pPr>
      <w:bookmarkStart w:id="0" w:name="_Hlk215687123"/>
      <w:r w:rsidRPr="008678D7">
        <w:rPr>
          <w:rFonts w:ascii="Times New Roman" w:hAnsi="Times New Roman" w:cs="Times New Roman"/>
          <w:b/>
          <w:bCs/>
          <w:sz w:val="36"/>
          <w:szCs w:val="36"/>
          <w:u w:val="single"/>
        </w:rPr>
        <w:t>Original Research Article</w:t>
      </w:r>
    </w:p>
    <w:p w14:paraId="2C464FD3" w14:textId="77777777" w:rsidR="00A659B2" w:rsidRDefault="00A659B2" w:rsidP="00A659B2">
      <w:pPr>
        <w:spacing w:line="276" w:lineRule="auto"/>
        <w:jc w:val="right"/>
        <w:rPr>
          <w:rFonts w:ascii="Times New Roman" w:hAnsi="Times New Roman" w:cs="Times New Roman"/>
          <w:b/>
          <w:bCs/>
          <w:sz w:val="28"/>
          <w:szCs w:val="28"/>
        </w:rPr>
      </w:pPr>
    </w:p>
    <w:p w14:paraId="5AA5D7D1" w14:textId="70E2BDFD" w:rsidR="003E3090" w:rsidRPr="005A6496" w:rsidRDefault="003E3090" w:rsidP="00593B85">
      <w:pPr>
        <w:spacing w:line="276" w:lineRule="auto"/>
        <w:jc w:val="center"/>
        <w:rPr>
          <w:rFonts w:ascii="Times New Roman" w:hAnsi="Times New Roman" w:cs="Times New Roman"/>
          <w:b/>
          <w:bCs/>
          <w:sz w:val="28"/>
          <w:szCs w:val="28"/>
        </w:rPr>
      </w:pPr>
      <w:r w:rsidRPr="003E7A2A">
        <w:rPr>
          <w:rFonts w:ascii="Times New Roman" w:hAnsi="Times New Roman" w:cs="Times New Roman"/>
          <w:b/>
          <w:bCs/>
          <w:sz w:val="28"/>
          <w:szCs w:val="28"/>
          <w:highlight w:val="yellow"/>
        </w:rPr>
        <w:t xml:space="preserve">Management of Ectopic Pregnancies by Healthcare Practitioners in </w:t>
      </w:r>
      <w:r w:rsidR="006F4765" w:rsidRPr="003E7A2A">
        <w:rPr>
          <w:rFonts w:ascii="Times New Roman" w:hAnsi="Times New Roman" w:cs="Times New Roman"/>
          <w:b/>
          <w:bCs/>
          <w:sz w:val="28"/>
          <w:szCs w:val="28"/>
          <w:highlight w:val="yellow"/>
        </w:rPr>
        <w:t xml:space="preserve">Southeast </w:t>
      </w:r>
      <w:r w:rsidRPr="003E7A2A">
        <w:rPr>
          <w:rFonts w:ascii="Times New Roman" w:hAnsi="Times New Roman" w:cs="Times New Roman"/>
          <w:b/>
          <w:bCs/>
          <w:sz w:val="28"/>
          <w:szCs w:val="28"/>
          <w:highlight w:val="yellow"/>
        </w:rPr>
        <w:t>Nigeria</w:t>
      </w:r>
      <w:bookmarkEnd w:id="0"/>
      <w:r w:rsidR="002046A1" w:rsidRPr="003E7A2A">
        <w:rPr>
          <w:rFonts w:ascii="Times New Roman" w:hAnsi="Times New Roman" w:cs="Times New Roman"/>
          <w:b/>
          <w:bCs/>
          <w:sz w:val="28"/>
          <w:szCs w:val="28"/>
          <w:highlight w:val="yellow"/>
        </w:rPr>
        <w:t xml:space="preserve">: A </w:t>
      </w:r>
      <w:r w:rsidR="006F4765" w:rsidRPr="003E7A2A">
        <w:rPr>
          <w:rFonts w:ascii="Times New Roman" w:hAnsi="Times New Roman" w:cs="Times New Roman"/>
          <w:b/>
          <w:bCs/>
          <w:sz w:val="28"/>
          <w:szCs w:val="28"/>
          <w:highlight w:val="yellow"/>
        </w:rPr>
        <w:t>Mixed-Method Study</w:t>
      </w:r>
    </w:p>
    <w:p w14:paraId="5C054615" w14:textId="515E7915" w:rsidR="000E0D70" w:rsidRDefault="000E0D70" w:rsidP="00593B85">
      <w:pPr>
        <w:spacing w:line="276" w:lineRule="auto"/>
        <w:jc w:val="center"/>
        <w:rPr>
          <w:rFonts w:ascii="Times New Roman" w:hAnsi="Times New Roman" w:cs="Times New Roman"/>
          <w:b/>
          <w:bCs/>
        </w:rPr>
      </w:pPr>
    </w:p>
    <w:p w14:paraId="1052FFCB" w14:textId="5B2BCDC2" w:rsidR="003E5514" w:rsidRPr="000E0D70" w:rsidRDefault="003E5514" w:rsidP="00841106">
      <w:pPr>
        <w:spacing w:line="276" w:lineRule="auto"/>
        <w:jc w:val="both"/>
        <w:rPr>
          <w:rFonts w:ascii="Times New Roman" w:hAnsi="Times New Roman" w:cs="Times New Roman"/>
          <w:b/>
          <w:bCs/>
        </w:rPr>
      </w:pPr>
    </w:p>
    <w:p w14:paraId="1C6555C1" w14:textId="5FC9CC66" w:rsidR="003E5514" w:rsidRPr="000E0D70" w:rsidRDefault="0062658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ABSTRACT</w:t>
      </w:r>
    </w:p>
    <w:p w14:paraId="769785E8" w14:textId="3B69F189" w:rsidR="003E5514" w:rsidRPr="000E0D70" w:rsidRDefault="00C630A7"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 xml:space="preserve">Background: </w:t>
      </w:r>
      <w:r w:rsidRPr="000E0D70">
        <w:rPr>
          <w:rFonts w:ascii="Times New Roman" w:eastAsia="Times New Roman" w:hAnsi="Times New Roman" w:cs="Times New Roman"/>
        </w:rPr>
        <w:t>Ectopic pregnancy remains a significant cause of early maternal illness and death in low-resource settings, where challenges in timely diagnosis and proper treatment continue to limit outcomes. Understanding how healthcare practitioners manage ectopic pregnancies, as well as the system-level factors that influence clinical decisions, is crucial for improving the quality of care. This study examined practitioner-level knowledge and practice, facility readiness, diagnostic and treatment patterns, and the contextual barriers affecting the management of ectopic pregnancies in Abia State, Nigeria.</w:t>
      </w:r>
    </w:p>
    <w:p w14:paraId="2DF90959" w14:textId="095B047C"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Methods</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A mixed methods design was used, combining a </w:t>
      </w:r>
      <w:r w:rsidR="008F09F2" w:rsidRPr="000E0D70">
        <w:rPr>
          <w:rFonts w:ascii="Times New Roman" w:eastAsia="Times New Roman" w:hAnsi="Times New Roman" w:cs="Times New Roman"/>
        </w:rPr>
        <w:t>cross-sectional</w:t>
      </w:r>
      <w:r w:rsidRPr="000E0D70">
        <w:rPr>
          <w:rFonts w:ascii="Times New Roman" w:eastAsia="Times New Roman" w:hAnsi="Times New Roman" w:cs="Times New Roman"/>
        </w:rPr>
        <w:t xml:space="preserve"> survey of </w:t>
      </w:r>
      <w:r w:rsidR="00BD2153" w:rsidRPr="000E0D70">
        <w:rPr>
          <w:rFonts w:ascii="Times New Roman" w:eastAsia="Times New Roman" w:hAnsi="Times New Roman" w:cs="Times New Roman"/>
        </w:rPr>
        <w:t>150</w:t>
      </w:r>
      <w:r w:rsidRPr="000E0D70">
        <w:rPr>
          <w:rFonts w:ascii="Times New Roman" w:eastAsia="Times New Roman" w:hAnsi="Times New Roman" w:cs="Times New Roman"/>
        </w:rPr>
        <w:t xml:space="preserve"> healthcare practitioners, a retrospective review of </w:t>
      </w:r>
      <w:r w:rsidR="008F09F2" w:rsidRPr="000E0D70">
        <w:rPr>
          <w:rFonts w:ascii="Times New Roman" w:eastAsia="Times New Roman" w:hAnsi="Times New Roman" w:cs="Times New Roman"/>
        </w:rPr>
        <w:t>eighty-seven</w:t>
      </w:r>
      <w:r w:rsidRPr="000E0D70">
        <w:rPr>
          <w:rFonts w:ascii="Times New Roman" w:eastAsia="Times New Roman" w:hAnsi="Times New Roman" w:cs="Times New Roman"/>
        </w:rPr>
        <w:t xml:space="preserve"> confirmed ectopic pregnancy cases, and qualitative interviews with sixteen key informants. Eligible practitioners were selected through simple random sampling, while all eligible clinical records within the review period were assessed. Quantitative data captured practitioner characteristics, diagnostic and treatment practices, and patient outcomes. Facility readiness was assessed using a structured checklist. Qualitative interviews explored </w:t>
      </w:r>
      <w:r w:rsidR="008F09F2" w:rsidRPr="000E0D70">
        <w:rPr>
          <w:rFonts w:ascii="Times New Roman" w:eastAsia="Times New Roman" w:hAnsi="Times New Roman" w:cs="Times New Roman"/>
        </w:rPr>
        <w:t>decision-making</w:t>
      </w:r>
      <w:r w:rsidRPr="000E0D70">
        <w:rPr>
          <w:rFonts w:ascii="Times New Roman" w:eastAsia="Times New Roman" w:hAnsi="Times New Roman" w:cs="Times New Roman"/>
        </w:rPr>
        <w:t xml:space="preserve"> processes and contextual challenges. Quantitative data were </w:t>
      </w:r>
      <w:proofErr w:type="spellStart"/>
      <w:r w:rsidRPr="000E0D70">
        <w:rPr>
          <w:rFonts w:ascii="Times New Roman" w:eastAsia="Times New Roman" w:hAnsi="Times New Roman" w:cs="Times New Roman"/>
        </w:rPr>
        <w:t>analysed</w:t>
      </w:r>
      <w:proofErr w:type="spellEnd"/>
      <w:r w:rsidRPr="000E0D70">
        <w:rPr>
          <w:rFonts w:ascii="Times New Roman" w:eastAsia="Times New Roman" w:hAnsi="Times New Roman" w:cs="Times New Roman"/>
        </w:rPr>
        <w:t xml:space="preserve"> with descriptive statistics, </w:t>
      </w:r>
      <w:r w:rsidR="008F09F2" w:rsidRPr="000E0D70">
        <w:rPr>
          <w:rFonts w:ascii="Times New Roman" w:eastAsia="Times New Roman" w:hAnsi="Times New Roman" w:cs="Times New Roman"/>
        </w:rPr>
        <w:t>chi-square</w:t>
      </w:r>
      <w:r w:rsidRPr="000E0D70">
        <w:rPr>
          <w:rFonts w:ascii="Times New Roman" w:eastAsia="Times New Roman" w:hAnsi="Times New Roman" w:cs="Times New Roman"/>
        </w:rPr>
        <w:t xml:space="preserve"> tests, correlation analysis, and logistic regression. Qualitative data were </w:t>
      </w:r>
      <w:proofErr w:type="spellStart"/>
      <w:r w:rsidRPr="000E0D70">
        <w:rPr>
          <w:rFonts w:ascii="Times New Roman" w:eastAsia="Times New Roman" w:hAnsi="Times New Roman" w:cs="Times New Roman"/>
        </w:rPr>
        <w:t>analysed</w:t>
      </w:r>
      <w:proofErr w:type="spellEnd"/>
      <w:r w:rsidRPr="000E0D70">
        <w:rPr>
          <w:rFonts w:ascii="Times New Roman" w:eastAsia="Times New Roman" w:hAnsi="Times New Roman" w:cs="Times New Roman"/>
        </w:rPr>
        <w:t xml:space="preserve"> thematically.</w:t>
      </w:r>
    </w:p>
    <w:p w14:paraId="45E85CBF" w14:textId="79137DD2"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Results</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Among the practitioners surveyed, </w:t>
      </w:r>
      <w:r w:rsidR="002319E4" w:rsidRPr="000E0D70">
        <w:rPr>
          <w:rFonts w:ascii="Times New Roman" w:eastAsia="Times New Roman" w:hAnsi="Times New Roman" w:cs="Times New Roman"/>
        </w:rPr>
        <w:t>38.7% demonstrated good guideline-compliant practice, and training within the last three years showed a strong,</w:t>
      </w:r>
      <w:r w:rsidRPr="000E0D70">
        <w:rPr>
          <w:rFonts w:ascii="Times New Roman" w:eastAsia="Times New Roman" w:hAnsi="Times New Roman" w:cs="Times New Roman"/>
        </w:rPr>
        <w:t xml:space="preserve"> independent association with good practice. Facility readiness, years of experience, and frequency of managing ectopic cases also correlated positively with practice scores. Among the </w:t>
      </w:r>
      <w:r w:rsidR="008F09F2" w:rsidRPr="000E0D70">
        <w:rPr>
          <w:rFonts w:ascii="Times New Roman" w:eastAsia="Times New Roman" w:hAnsi="Times New Roman" w:cs="Times New Roman"/>
        </w:rPr>
        <w:t>eighty-seven</w:t>
      </w:r>
      <w:r w:rsidRPr="000E0D70">
        <w:rPr>
          <w:rFonts w:ascii="Times New Roman" w:eastAsia="Times New Roman" w:hAnsi="Times New Roman" w:cs="Times New Roman"/>
        </w:rPr>
        <w:t xml:space="preserve"> reviewed </w:t>
      </w:r>
      <w:r w:rsidR="002319E4" w:rsidRPr="000E0D70">
        <w:rPr>
          <w:rFonts w:ascii="Times New Roman" w:eastAsia="Times New Roman" w:hAnsi="Times New Roman" w:cs="Times New Roman"/>
        </w:rPr>
        <w:t>instances</w:t>
      </w:r>
      <w:r w:rsidRPr="000E0D70">
        <w:rPr>
          <w:rFonts w:ascii="Times New Roman" w:eastAsia="Times New Roman" w:hAnsi="Times New Roman" w:cs="Times New Roman"/>
        </w:rPr>
        <w:t>, abdominal pain was the most common presenting symptom</w:t>
      </w:r>
      <w:r w:rsidR="008F09F2"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transvaginal ultrasound provided the primary mode of diagnosis. Surgical management dominated, with salpingectomy accounting for most procedures. Two maternal deaths were recorded. </w:t>
      </w:r>
      <w:r w:rsidR="008F09F2" w:rsidRPr="000E0D70">
        <w:rPr>
          <w:rFonts w:ascii="Times New Roman" w:eastAsia="Times New Roman" w:hAnsi="Times New Roman" w:cs="Times New Roman"/>
        </w:rPr>
        <w:t>The mean</w:t>
      </w:r>
      <w:r w:rsidRPr="000E0D70">
        <w:rPr>
          <w:rFonts w:ascii="Times New Roman" w:eastAsia="Times New Roman" w:hAnsi="Times New Roman" w:cs="Times New Roman"/>
        </w:rPr>
        <w:t xml:space="preserve"> time from presentation to diagnosis was </w:t>
      </w:r>
      <w:r w:rsidR="00364ECD" w:rsidRPr="000E0D70">
        <w:rPr>
          <w:rFonts w:ascii="Times New Roman" w:eastAsia="Times New Roman" w:hAnsi="Times New Roman" w:cs="Times New Roman"/>
        </w:rPr>
        <w:t>18.4</w:t>
      </w:r>
      <w:r w:rsidRPr="000E0D70">
        <w:rPr>
          <w:rFonts w:ascii="Times New Roman" w:eastAsia="Times New Roman" w:hAnsi="Times New Roman" w:cs="Times New Roman"/>
        </w:rPr>
        <w:t xml:space="preserve"> hours, and delays were more pronounced among medically managed cases. Qualitative findings identified limited </w:t>
      </w:r>
      <w:r w:rsidR="008F09F2" w:rsidRPr="000E0D70">
        <w:rPr>
          <w:rFonts w:ascii="Times New Roman" w:eastAsia="Times New Roman" w:hAnsi="Times New Roman" w:cs="Times New Roman"/>
        </w:rPr>
        <w:t>round-the-clock</w:t>
      </w:r>
      <w:r w:rsidRPr="000E0D70">
        <w:rPr>
          <w:rFonts w:ascii="Times New Roman" w:eastAsia="Times New Roman" w:hAnsi="Times New Roman" w:cs="Times New Roman"/>
        </w:rPr>
        <w:t xml:space="preserve"> imaging, irregular methotrexate availability, staff training gaps, and weak referral pathways as major barriers to optimal care.</w:t>
      </w:r>
    </w:p>
    <w:p w14:paraId="7E3AD4D0" w14:textId="44A2059B"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Conclusion</w:t>
      </w:r>
      <w:r w:rsidR="008F09F2"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Management of ectopic pregnancy in the study setting is shaped by a complex interaction of practitioner expertise, facility capacity, and systemic constraints. Strengthening routine training, improving imaging and medication availability, and instituting </w:t>
      </w:r>
      <w:proofErr w:type="spellStart"/>
      <w:r w:rsidRPr="000E0D70">
        <w:rPr>
          <w:rFonts w:ascii="Times New Roman" w:eastAsia="Times New Roman" w:hAnsi="Times New Roman" w:cs="Times New Roman"/>
        </w:rPr>
        <w:t>standardised</w:t>
      </w:r>
      <w:proofErr w:type="spellEnd"/>
      <w:r w:rsidRPr="000E0D70">
        <w:rPr>
          <w:rFonts w:ascii="Times New Roman" w:eastAsia="Times New Roman" w:hAnsi="Times New Roman" w:cs="Times New Roman"/>
        </w:rPr>
        <w:t xml:space="preserve"> protocols may enhance adherence to </w:t>
      </w:r>
      <w:r w:rsidR="008F09F2" w:rsidRPr="000E0D70">
        <w:rPr>
          <w:rFonts w:ascii="Times New Roman" w:eastAsia="Times New Roman" w:hAnsi="Times New Roman" w:cs="Times New Roman"/>
        </w:rPr>
        <w:t>evidence-based</w:t>
      </w:r>
      <w:r w:rsidRPr="000E0D70">
        <w:rPr>
          <w:rFonts w:ascii="Times New Roman" w:eastAsia="Times New Roman" w:hAnsi="Times New Roman" w:cs="Times New Roman"/>
        </w:rPr>
        <w:t xml:space="preserve"> practice and improve maternal outcomes.</w:t>
      </w:r>
    </w:p>
    <w:p w14:paraId="32033011" w14:textId="61D496A9"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lastRenderedPageBreak/>
        <w:t>Keywords</w:t>
      </w:r>
      <w:r w:rsidR="002319E4" w:rsidRPr="000E0D70">
        <w:rPr>
          <w:rFonts w:ascii="Times New Roman" w:eastAsia="Times New Roman" w:hAnsi="Times New Roman" w:cs="Times New Roman"/>
        </w:rPr>
        <w:t xml:space="preserve">: </w:t>
      </w:r>
      <w:r w:rsidRPr="000E0D70">
        <w:rPr>
          <w:rFonts w:ascii="Times New Roman" w:eastAsia="Times New Roman" w:hAnsi="Times New Roman" w:cs="Times New Roman"/>
        </w:rPr>
        <w:t>Ectopic pregnancy; clinical management; diagnostic delays; maternal health; healthcare practitioners</w:t>
      </w:r>
    </w:p>
    <w:p w14:paraId="3A818277" w14:textId="77777777" w:rsidR="003E5514" w:rsidRPr="000E0D70" w:rsidRDefault="003E5514" w:rsidP="00841106">
      <w:pPr>
        <w:spacing w:line="276" w:lineRule="auto"/>
        <w:jc w:val="both"/>
        <w:rPr>
          <w:rFonts w:ascii="Times New Roman" w:hAnsi="Times New Roman" w:cs="Times New Roman"/>
        </w:rPr>
      </w:pPr>
    </w:p>
    <w:p w14:paraId="0E9C9277" w14:textId="162BD25B" w:rsidR="003E3090" w:rsidRPr="000E0D70" w:rsidRDefault="00645562" w:rsidP="00841106">
      <w:pPr>
        <w:pStyle w:val="Heading2"/>
        <w:spacing w:line="276" w:lineRule="auto"/>
        <w:jc w:val="both"/>
        <w:rPr>
          <w:sz w:val="22"/>
          <w:szCs w:val="22"/>
        </w:rPr>
      </w:pPr>
      <w:r w:rsidRPr="000E0D70">
        <w:rPr>
          <w:sz w:val="22"/>
          <w:szCs w:val="22"/>
        </w:rPr>
        <w:t>INTRODUCTION</w:t>
      </w:r>
    </w:p>
    <w:p w14:paraId="15764C0D" w14:textId="7B647322" w:rsidR="00D948DB" w:rsidRPr="000E0D70" w:rsidRDefault="00D948DB" w:rsidP="00841106">
      <w:pPr>
        <w:pStyle w:val="NormalWeb"/>
        <w:spacing w:line="276" w:lineRule="auto"/>
        <w:jc w:val="both"/>
        <w:rPr>
          <w:sz w:val="22"/>
          <w:szCs w:val="22"/>
        </w:rPr>
      </w:pPr>
      <w:r w:rsidRPr="000E0D70">
        <w:rPr>
          <w:sz w:val="22"/>
          <w:szCs w:val="22"/>
        </w:rPr>
        <w:t>Ectopic pregnancy occurs when a fertilized ovum implants outside the endometrial cavity, most commonly in the fallopian tube</w:t>
      </w:r>
      <w:r w:rsidR="00AE7FE1" w:rsidRPr="000E0D70">
        <w:rPr>
          <w:sz w:val="22"/>
          <w:szCs w:val="22"/>
        </w:rPr>
        <w:t xml:space="preserve"> (</w:t>
      </w:r>
      <w:proofErr w:type="spellStart"/>
      <w:r w:rsidR="00AE7FE1" w:rsidRPr="000E0D70">
        <w:rPr>
          <w:sz w:val="22"/>
          <w:szCs w:val="22"/>
        </w:rPr>
        <w:t>Onyemereze</w:t>
      </w:r>
      <w:proofErr w:type="spellEnd"/>
      <w:r w:rsidR="00AE7FE1" w:rsidRPr="000E0D70">
        <w:rPr>
          <w:sz w:val="22"/>
          <w:szCs w:val="22"/>
        </w:rPr>
        <w:t xml:space="preserve"> et al., 2024)</w:t>
      </w:r>
      <w:r w:rsidRPr="000E0D70">
        <w:rPr>
          <w:sz w:val="22"/>
          <w:szCs w:val="22"/>
        </w:rPr>
        <w:t xml:space="preserve">. It is a potentially </w:t>
      </w:r>
      <w:r w:rsidR="00395483" w:rsidRPr="000E0D70">
        <w:rPr>
          <w:sz w:val="22"/>
          <w:szCs w:val="22"/>
        </w:rPr>
        <w:t>life-threatening</w:t>
      </w:r>
      <w:r w:rsidRPr="000E0D70">
        <w:rPr>
          <w:sz w:val="22"/>
          <w:szCs w:val="22"/>
        </w:rPr>
        <w:t xml:space="preserve"> condition in the first trimester because of the risk of tubal rupture and </w:t>
      </w:r>
      <w:proofErr w:type="spellStart"/>
      <w:r w:rsidR="00BD2153" w:rsidRPr="000E0D70">
        <w:rPr>
          <w:sz w:val="22"/>
          <w:szCs w:val="22"/>
        </w:rPr>
        <w:t>haemorrhage</w:t>
      </w:r>
      <w:proofErr w:type="spellEnd"/>
      <w:r w:rsidRPr="000E0D70">
        <w:rPr>
          <w:sz w:val="22"/>
          <w:szCs w:val="22"/>
        </w:rPr>
        <w:t>. Diagnosis and clinical decision</w:t>
      </w:r>
      <w:r w:rsidR="00645562" w:rsidRPr="000E0D70">
        <w:rPr>
          <w:sz w:val="22"/>
          <w:szCs w:val="22"/>
        </w:rPr>
        <w:t>-</w:t>
      </w:r>
      <w:r w:rsidRPr="000E0D70">
        <w:rPr>
          <w:sz w:val="22"/>
          <w:szCs w:val="22"/>
        </w:rPr>
        <w:t xml:space="preserve">making draw on a combination of clinical assessment, serial serum beta human chorionic gonadotropin measurement, and transvaginal ultrasound, and management options include expectant care, medical therapy with methotrexate, and surgical intervention. Choice of treatment depends on hemodynamic stability, size and location of the ectopic, serum beta </w:t>
      </w:r>
      <w:proofErr w:type="spellStart"/>
      <w:r w:rsidRPr="000E0D70">
        <w:rPr>
          <w:sz w:val="22"/>
          <w:szCs w:val="22"/>
        </w:rPr>
        <w:t>hCG</w:t>
      </w:r>
      <w:proofErr w:type="spellEnd"/>
      <w:r w:rsidRPr="000E0D70">
        <w:rPr>
          <w:sz w:val="22"/>
          <w:szCs w:val="22"/>
        </w:rPr>
        <w:t xml:space="preserve"> level, and the woman’s desire for future fertility</w:t>
      </w:r>
      <w:r w:rsidR="00BD2153" w:rsidRPr="000E0D70">
        <w:rPr>
          <w:sz w:val="22"/>
          <w:szCs w:val="22"/>
        </w:rPr>
        <w:t xml:space="preserve"> (</w:t>
      </w:r>
      <w:r w:rsidR="00BD2153" w:rsidRPr="000E0D70">
        <w:rPr>
          <w:color w:val="1B1B1B"/>
          <w:sz w:val="22"/>
          <w:szCs w:val="22"/>
          <w:shd w:val="clear" w:color="auto" w:fill="FFFFFF"/>
        </w:rPr>
        <w:t>Mullany et al., 2023</w:t>
      </w:r>
      <w:r w:rsidR="00BD2153" w:rsidRPr="000E0D70">
        <w:rPr>
          <w:sz w:val="22"/>
          <w:szCs w:val="22"/>
        </w:rPr>
        <w:t>)</w:t>
      </w:r>
      <w:r w:rsidRPr="000E0D70">
        <w:rPr>
          <w:sz w:val="22"/>
          <w:szCs w:val="22"/>
        </w:rPr>
        <w:t>.</w:t>
      </w:r>
    </w:p>
    <w:p w14:paraId="02FF4E10" w14:textId="2C57CBAF" w:rsidR="00D948DB" w:rsidRPr="000E0D70" w:rsidRDefault="00D948DB" w:rsidP="00841106">
      <w:pPr>
        <w:pStyle w:val="NormalWeb"/>
        <w:spacing w:line="276" w:lineRule="auto"/>
        <w:jc w:val="both"/>
        <w:rPr>
          <w:sz w:val="22"/>
          <w:szCs w:val="22"/>
        </w:rPr>
      </w:pPr>
      <w:r w:rsidRPr="000E0D70">
        <w:rPr>
          <w:sz w:val="22"/>
          <w:szCs w:val="22"/>
        </w:rPr>
        <w:t xml:space="preserve">Worldwide, ectopic pregnancy remains an important cause of </w:t>
      </w:r>
      <w:r w:rsidR="00BD2153" w:rsidRPr="000E0D70">
        <w:rPr>
          <w:sz w:val="22"/>
          <w:szCs w:val="22"/>
        </w:rPr>
        <w:t>first-trimester</w:t>
      </w:r>
      <w:r w:rsidRPr="000E0D70">
        <w:rPr>
          <w:sz w:val="22"/>
          <w:szCs w:val="22"/>
        </w:rPr>
        <w:t xml:space="preserve"> morbidity and a contributor to maternal mortality where access to early diagnosis and definitive care is limited. </w:t>
      </w:r>
      <w:r w:rsidR="00BD2153" w:rsidRPr="000E0D70">
        <w:rPr>
          <w:sz w:val="22"/>
          <w:szCs w:val="22"/>
        </w:rPr>
        <w:t>High-quality</w:t>
      </w:r>
      <w:r w:rsidRPr="000E0D70">
        <w:rPr>
          <w:sz w:val="22"/>
          <w:szCs w:val="22"/>
        </w:rPr>
        <w:t xml:space="preserve"> reviews and national guidelines emphasize early detection and a structured approach to management to reduce complications</w:t>
      </w:r>
      <w:r w:rsidR="00BD2153" w:rsidRPr="000E0D70">
        <w:rPr>
          <w:sz w:val="22"/>
          <w:szCs w:val="22"/>
        </w:rPr>
        <w:t xml:space="preserve"> (</w:t>
      </w:r>
      <w:r w:rsidR="00BD2153" w:rsidRPr="000E0D70">
        <w:rPr>
          <w:color w:val="1B1B1B"/>
          <w:sz w:val="22"/>
          <w:szCs w:val="22"/>
          <w:shd w:val="clear" w:color="auto" w:fill="FFFFFF"/>
        </w:rPr>
        <w:t>Mullany et al., 2023</w:t>
      </w:r>
      <w:r w:rsidR="00BD2153" w:rsidRPr="000E0D70">
        <w:rPr>
          <w:sz w:val="22"/>
          <w:szCs w:val="22"/>
        </w:rPr>
        <w:t>).</w:t>
      </w:r>
    </w:p>
    <w:p w14:paraId="17626134" w14:textId="420E042E" w:rsidR="00D948DB" w:rsidRPr="000E0D70" w:rsidRDefault="00D948DB" w:rsidP="00841106">
      <w:pPr>
        <w:pStyle w:val="NormalWeb"/>
        <w:spacing w:line="276" w:lineRule="auto"/>
        <w:jc w:val="both"/>
        <w:rPr>
          <w:sz w:val="22"/>
          <w:szCs w:val="22"/>
        </w:rPr>
      </w:pPr>
      <w:r w:rsidRPr="000E0D70">
        <w:rPr>
          <w:sz w:val="22"/>
          <w:szCs w:val="22"/>
        </w:rPr>
        <w:t>In Nigeria</w:t>
      </w:r>
      <w:r w:rsidR="00BD2153" w:rsidRPr="000E0D70">
        <w:rPr>
          <w:sz w:val="22"/>
          <w:szCs w:val="22"/>
        </w:rPr>
        <w:t>,</w:t>
      </w:r>
      <w:r w:rsidRPr="000E0D70">
        <w:rPr>
          <w:sz w:val="22"/>
          <w:szCs w:val="22"/>
        </w:rPr>
        <w:t xml:space="preserve"> the literature shows substantial regional variation in incidence, timing of presentation, treatment modality and outcome. Several tertiary hospitals have reported increases in case numbers and persistently high proportions of patients presenting late, with many requiring emergency surgical treatment and blood transfusion. These patterns are reflected in case series from teaching hospitals</w:t>
      </w:r>
      <w:r w:rsidR="00BD2153" w:rsidRPr="000E0D70">
        <w:rPr>
          <w:sz w:val="22"/>
          <w:szCs w:val="22"/>
        </w:rPr>
        <w:t>,</w:t>
      </w:r>
      <w:r w:rsidRPr="000E0D70">
        <w:rPr>
          <w:sz w:val="22"/>
          <w:szCs w:val="22"/>
        </w:rPr>
        <w:t xml:space="preserve"> including Lagos and </w:t>
      </w:r>
      <w:proofErr w:type="spellStart"/>
      <w:r w:rsidRPr="000E0D70">
        <w:rPr>
          <w:sz w:val="22"/>
          <w:szCs w:val="22"/>
        </w:rPr>
        <w:t>centres</w:t>
      </w:r>
      <w:proofErr w:type="spellEnd"/>
      <w:r w:rsidRPr="000E0D70">
        <w:rPr>
          <w:sz w:val="22"/>
          <w:szCs w:val="22"/>
        </w:rPr>
        <w:t xml:space="preserve"> in the south east, where late presentation, predominant use of surgical management and nontrivial case fatality rates have been reported. Those institutional studies illustrate how delays in care and constrained resources shape outcomes in routine clinical practice</w:t>
      </w:r>
      <w:r w:rsidR="00BD2153" w:rsidRPr="000E0D70">
        <w:rPr>
          <w:sz w:val="22"/>
          <w:szCs w:val="22"/>
        </w:rPr>
        <w:t xml:space="preserve"> (</w:t>
      </w:r>
      <w:proofErr w:type="spellStart"/>
      <w:r w:rsidR="00BD2153" w:rsidRPr="000E0D70">
        <w:rPr>
          <w:sz w:val="22"/>
          <w:szCs w:val="22"/>
        </w:rPr>
        <w:t>Olamijulo</w:t>
      </w:r>
      <w:proofErr w:type="spellEnd"/>
      <w:r w:rsidR="00BD2153" w:rsidRPr="000E0D70">
        <w:rPr>
          <w:sz w:val="22"/>
          <w:szCs w:val="22"/>
        </w:rPr>
        <w:t xml:space="preserve"> et al., 2020)</w:t>
      </w:r>
      <w:r w:rsidRPr="000E0D70">
        <w:rPr>
          <w:sz w:val="22"/>
          <w:szCs w:val="22"/>
        </w:rPr>
        <w:t>.</w:t>
      </w:r>
    </w:p>
    <w:p w14:paraId="5CC7E388" w14:textId="77C58A04" w:rsidR="00D948DB" w:rsidRPr="000E0D70" w:rsidRDefault="00D948DB" w:rsidP="00841106">
      <w:pPr>
        <w:pStyle w:val="NormalWeb"/>
        <w:spacing w:line="276" w:lineRule="auto"/>
        <w:jc w:val="both"/>
        <w:rPr>
          <w:sz w:val="22"/>
          <w:szCs w:val="22"/>
        </w:rPr>
      </w:pPr>
      <w:r w:rsidRPr="000E0D70">
        <w:rPr>
          <w:sz w:val="22"/>
          <w:szCs w:val="22"/>
        </w:rPr>
        <w:t xml:space="preserve">Known risk factors documented in both international and Nigerian studies include prior tubal damage from pelvic inflammatory disease, prior pelvic surgery, previous ectopic pregnancy, assisted reproductive techniques, and induced abortion. In many low and </w:t>
      </w:r>
      <w:r w:rsidR="004660CC" w:rsidRPr="000E0D70">
        <w:rPr>
          <w:sz w:val="22"/>
          <w:szCs w:val="22"/>
        </w:rPr>
        <w:t>middle-income</w:t>
      </w:r>
      <w:r w:rsidRPr="000E0D70">
        <w:rPr>
          <w:sz w:val="22"/>
          <w:szCs w:val="22"/>
        </w:rPr>
        <w:t xml:space="preserve"> settings</w:t>
      </w:r>
      <w:r w:rsidR="004660CC" w:rsidRPr="000E0D70">
        <w:rPr>
          <w:sz w:val="22"/>
          <w:szCs w:val="22"/>
        </w:rPr>
        <w:t>,</w:t>
      </w:r>
      <w:r w:rsidRPr="000E0D70">
        <w:rPr>
          <w:sz w:val="22"/>
          <w:szCs w:val="22"/>
        </w:rPr>
        <w:t xml:space="preserve"> a high prevalence of sexually transmitted infections and limited access to early pregnancy care increase the probability that women will present with advanced or complicated ectopic pregnancies. Several Nigerian investigations have highlighted associations between Chlamydia exposure and ectopic implantation, supporting the role of infection and pelvic inflammatory disease in the local epidemiology</w:t>
      </w:r>
      <w:r w:rsidR="004660CC" w:rsidRPr="000E0D70">
        <w:rPr>
          <w:sz w:val="22"/>
          <w:szCs w:val="22"/>
        </w:rPr>
        <w:t xml:space="preserve"> (Mbamba et al., 2020)</w:t>
      </w:r>
      <w:r w:rsidRPr="000E0D70">
        <w:rPr>
          <w:sz w:val="22"/>
          <w:szCs w:val="22"/>
        </w:rPr>
        <w:t xml:space="preserve">. </w:t>
      </w:r>
    </w:p>
    <w:p w14:paraId="310AC32D" w14:textId="59AA9C6F" w:rsidR="00D948DB" w:rsidRPr="000E0D70" w:rsidRDefault="00D948DB" w:rsidP="00841106">
      <w:pPr>
        <w:pStyle w:val="NormalWeb"/>
        <w:spacing w:line="276" w:lineRule="auto"/>
        <w:jc w:val="both"/>
        <w:rPr>
          <w:sz w:val="22"/>
          <w:szCs w:val="22"/>
        </w:rPr>
      </w:pPr>
      <w:r w:rsidRPr="000E0D70">
        <w:rPr>
          <w:sz w:val="22"/>
          <w:szCs w:val="22"/>
        </w:rPr>
        <w:t xml:space="preserve">Diagnostic algorithms depend on a combination of history, physical examination, quantitative beta </w:t>
      </w:r>
      <w:proofErr w:type="spellStart"/>
      <w:r w:rsidRPr="000E0D70">
        <w:rPr>
          <w:sz w:val="22"/>
          <w:szCs w:val="22"/>
        </w:rPr>
        <w:t>hCG</w:t>
      </w:r>
      <w:proofErr w:type="spellEnd"/>
      <w:r w:rsidRPr="000E0D70">
        <w:rPr>
          <w:sz w:val="22"/>
          <w:szCs w:val="22"/>
        </w:rPr>
        <w:t xml:space="preserve"> trends and transvaginal ultrasound findings. When an ectopic is identified and the patient is stable, three broad options exist. Expectant management may be appropriate for selected patients with falling or very low beta </w:t>
      </w:r>
      <w:proofErr w:type="spellStart"/>
      <w:r w:rsidRPr="000E0D70">
        <w:rPr>
          <w:sz w:val="22"/>
          <w:szCs w:val="22"/>
        </w:rPr>
        <w:t>hCG</w:t>
      </w:r>
      <w:proofErr w:type="spellEnd"/>
      <w:r w:rsidRPr="000E0D70">
        <w:rPr>
          <w:sz w:val="22"/>
          <w:szCs w:val="22"/>
        </w:rPr>
        <w:t xml:space="preserve"> levels. Medical therapy with methotrexate is effective for many unruptured tubal </w:t>
      </w:r>
      <w:proofErr w:type="spellStart"/>
      <w:r w:rsidRPr="000E0D70">
        <w:rPr>
          <w:sz w:val="22"/>
          <w:szCs w:val="22"/>
        </w:rPr>
        <w:t>ectopics</w:t>
      </w:r>
      <w:proofErr w:type="spellEnd"/>
      <w:r w:rsidRPr="000E0D70">
        <w:rPr>
          <w:sz w:val="22"/>
          <w:szCs w:val="22"/>
        </w:rPr>
        <w:t xml:space="preserve"> and offers </w:t>
      </w:r>
      <w:r w:rsidR="00AE7FE1" w:rsidRPr="000E0D70">
        <w:rPr>
          <w:sz w:val="22"/>
          <w:szCs w:val="22"/>
        </w:rPr>
        <w:t>fertility-preserving</w:t>
      </w:r>
      <w:r w:rsidRPr="000E0D70">
        <w:rPr>
          <w:sz w:val="22"/>
          <w:szCs w:val="22"/>
        </w:rPr>
        <w:t xml:space="preserve">, </w:t>
      </w:r>
      <w:r w:rsidR="00AE7FE1" w:rsidRPr="000E0D70">
        <w:rPr>
          <w:sz w:val="22"/>
          <w:szCs w:val="22"/>
        </w:rPr>
        <w:t>low-resource</w:t>
      </w:r>
      <w:r w:rsidRPr="000E0D70">
        <w:rPr>
          <w:sz w:val="22"/>
          <w:szCs w:val="22"/>
        </w:rPr>
        <w:t xml:space="preserve"> use treatment when used according to protocol. Surgical management by laparoscopy or laparotomy remains the mainstay for ruptured ectopic pregnancy, for hemodynamic instability, or when conservative approaches are contraindicated. Recent systematic reviews </w:t>
      </w:r>
      <w:r w:rsidRPr="000E0D70">
        <w:rPr>
          <w:sz w:val="22"/>
          <w:szCs w:val="22"/>
        </w:rPr>
        <w:lastRenderedPageBreak/>
        <w:t xml:space="preserve">and comparative studies continue to refine eligibility criteria for medical therapy and to compare </w:t>
      </w:r>
      <w:r w:rsidR="00AE7FE1" w:rsidRPr="000E0D70">
        <w:rPr>
          <w:sz w:val="22"/>
          <w:szCs w:val="22"/>
        </w:rPr>
        <w:t>single-dose</w:t>
      </w:r>
      <w:r w:rsidRPr="000E0D70">
        <w:rPr>
          <w:sz w:val="22"/>
          <w:szCs w:val="22"/>
        </w:rPr>
        <w:t xml:space="preserve"> and </w:t>
      </w:r>
      <w:r w:rsidR="00AE7FE1" w:rsidRPr="000E0D70">
        <w:rPr>
          <w:sz w:val="22"/>
          <w:szCs w:val="22"/>
        </w:rPr>
        <w:t>multi-dose</w:t>
      </w:r>
      <w:r w:rsidRPr="000E0D70">
        <w:rPr>
          <w:sz w:val="22"/>
          <w:szCs w:val="22"/>
        </w:rPr>
        <w:t xml:space="preserve"> methotrexate protocols, with encouraging evidence that medical management can be safely expanded in appropriate cases</w:t>
      </w:r>
      <w:r w:rsidR="003A795C" w:rsidRPr="000E0D70">
        <w:rPr>
          <w:sz w:val="22"/>
          <w:szCs w:val="22"/>
        </w:rPr>
        <w:t xml:space="preserve"> (</w:t>
      </w:r>
      <w:r w:rsidR="003A795C" w:rsidRPr="000E0D70">
        <w:rPr>
          <w:color w:val="1B1B1B"/>
          <w:sz w:val="22"/>
          <w:szCs w:val="22"/>
          <w:shd w:val="clear" w:color="auto" w:fill="FFFFFF"/>
        </w:rPr>
        <w:t>Mullany et al., 2023</w:t>
      </w:r>
      <w:r w:rsidR="003A795C" w:rsidRPr="000E0D70">
        <w:rPr>
          <w:sz w:val="22"/>
          <w:szCs w:val="22"/>
        </w:rPr>
        <w:t>)</w:t>
      </w:r>
      <w:r w:rsidRPr="000E0D70">
        <w:rPr>
          <w:sz w:val="22"/>
          <w:szCs w:val="22"/>
        </w:rPr>
        <w:t>.</w:t>
      </w:r>
    </w:p>
    <w:p w14:paraId="47F8EF75" w14:textId="75EB8581" w:rsidR="00D948DB" w:rsidRPr="000E0D70" w:rsidRDefault="00D948DB" w:rsidP="00841106">
      <w:pPr>
        <w:pStyle w:val="NormalWeb"/>
        <w:spacing w:line="276" w:lineRule="auto"/>
        <w:jc w:val="both"/>
        <w:rPr>
          <w:sz w:val="22"/>
          <w:szCs w:val="22"/>
        </w:rPr>
      </w:pPr>
      <w:r w:rsidRPr="000E0D70">
        <w:rPr>
          <w:sz w:val="22"/>
          <w:szCs w:val="22"/>
        </w:rPr>
        <w:t xml:space="preserve">Clinical practice across Nigeria is shaped by availability of trained personnel, diagnostic equipment, blood transfusion services, capacity for laparoscopy, and local policy or guideline uptake. Several Nigerian series report that surgical treatment remains overwhelmingly more common than methotrexate use, often because patients present late or because facilities and follow up systems for medical management are lacking. Where free maternity services, improved referral pathways or enhanced diagnostic capacity have been introduced, studies document earlier presentation and better outcomes. These findings point to the importance of both </w:t>
      </w:r>
      <w:r w:rsidR="0037065B" w:rsidRPr="000E0D70">
        <w:rPr>
          <w:sz w:val="22"/>
          <w:szCs w:val="22"/>
        </w:rPr>
        <w:t>community-level</w:t>
      </w:r>
      <w:r w:rsidRPr="000E0D70">
        <w:rPr>
          <w:sz w:val="22"/>
          <w:szCs w:val="22"/>
        </w:rPr>
        <w:t xml:space="preserve"> factors that determine when women seek care and </w:t>
      </w:r>
      <w:r w:rsidR="0037065B" w:rsidRPr="000E0D70">
        <w:rPr>
          <w:sz w:val="22"/>
          <w:szCs w:val="22"/>
        </w:rPr>
        <w:t>facility-level</w:t>
      </w:r>
      <w:r w:rsidRPr="000E0D70">
        <w:rPr>
          <w:sz w:val="22"/>
          <w:szCs w:val="22"/>
        </w:rPr>
        <w:t xml:space="preserve"> capabilities that determine what treatment is offered</w:t>
      </w:r>
      <w:r w:rsidR="00A30B94" w:rsidRPr="000E0D70">
        <w:rPr>
          <w:sz w:val="22"/>
          <w:szCs w:val="22"/>
        </w:rPr>
        <w:t xml:space="preserve"> (</w:t>
      </w:r>
      <w:proofErr w:type="spellStart"/>
      <w:r w:rsidR="00A30B94" w:rsidRPr="000E0D70">
        <w:rPr>
          <w:sz w:val="22"/>
          <w:szCs w:val="22"/>
        </w:rPr>
        <w:t>Osegi</w:t>
      </w:r>
      <w:proofErr w:type="spellEnd"/>
      <w:r w:rsidR="00A30B94" w:rsidRPr="000E0D70">
        <w:rPr>
          <w:sz w:val="22"/>
          <w:szCs w:val="22"/>
        </w:rPr>
        <w:t xml:space="preserve"> et al., 2020)</w:t>
      </w:r>
      <w:r w:rsidRPr="000E0D70">
        <w:rPr>
          <w:sz w:val="22"/>
          <w:szCs w:val="22"/>
        </w:rPr>
        <w:t>.</w:t>
      </w:r>
    </w:p>
    <w:p w14:paraId="13D57FCC" w14:textId="658B1A74" w:rsidR="00D948DB" w:rsidRPr="000E0D70" w:rsidRDefault="00D948DB" w:rsidP="00841106">
      <w:pPr>
        <w:pStyle w:val="NormalWeb"/>
        <w:spacing w:line="276" w:lineRule="auto"/>
        <w:jc w:val="both"/>
        <w:rPr>
          <w:sz w:val="22"/>
          <w:szCs w:val="22"/>
        </w:rPr>
      </w:pPr>
      <w:r w:rsidRPr="000E0D70">
        <w:rPr>
          <w:sz w:val="22"/>
          <w:szCs w:val="22"/>
        </w:rPr>
        <w:t xml:space="preserve">Abia State, like other parts of </w:t>
      </w:r>
      <w:r w:rsidR="0035716A" w:rsidRPr="000E0D70">
        <w:rPr>
          <w:sz w:val="22"/>
          <w:szCs w:val="22"/>
        </w:rPr>
        <w:t>South-East</w:t>
      </w:r>
      <w:r w:rsidRPr="000E0D70">
        <w:rPr>
          <w:sz w:val="22"/>
          <w:szCs w:val="22"/>
        </w:rPr>
        <w:t xml:space="preserve"> Nigeria, has tertiary and secondary facilities that receive women with complicated early pregnancy. Local audits and hospital</w:t>
      </w:r>
      <w:r w:rsidR="00A30B94" w:rsidRPr="000E0D70">
        <w:rPr>
          <w:sz w:val="22"/>
          <w:szCs w:val="22"/>
        </w:rPr>
        <w:t>-</w:t>
      </w:r>
      <w:r w:rsidRPr="000E0D70">
        <w:rPr>
          <w:sz w:val="22"/>
          <w:szCs w:val="22"/>
        </w:rPr>
        <w:t xml:space="preserve">based reviews from the region show that ectopic pregnancy continues to present common diagnostic and therapeutic challenges. Published work from Umuahia and nearby </w:t>
      </w:r>
      <w:proofErr w:type="spellStart"/>
      <w:r w:rsidRPr="000E0D70">
        <w:rPr>
          <w:sz w:val="22"/>
          <w:szCs w:val="22"/>
        </w:rPr>
        <w:t>centres</w:t>
      </w:r>
      <w:proofErr w:type="spellEnd"/>
      <w:r w:rsidRPr="000E0D70">
        <w:rPr>
          <w:sz w:val="22"/>
          <w:szCs w:val="22"/>
        </w:rPr>
        <w:t xml:space="preserve"> documents the local spectrum of risk factors, modes of presentation and therapeutic approaches, but there is </w:t>
      </w:r>
      <w:r w:rsidR="0037065B" w:rsidRPr="000E0D70">
        <w:rPr>
          <w:sz w:val="22"/>
          <w:szCs w:val="22"/>
        </w:rPr>
        <w:t xml:space="preserve">a </w:t>
      </w:r>
      <w:r w:rsidRPr="000E0D70">
        <w:rPr>
          <w:sz w:val="22"/>
          <w:szCs w:val="22"/>
        </w:rPr>
        <w:t xml:space="preserve">limited recent, focused appraisal of how healthcare practitioners decide between expectant, medical and surgical management in routine clinical care, how guideline recommendations are interpreted locally, and what </w:t>
      </w:r>
      <w:r w:rsidR="0037065B" w:rsidRPr="000E0D70">
        <w:rPr>
          <w:sz w:val="22"/>
          <w:szCs w:val="22"/>
        </w:rPr>
        <w:t>system-level</w:t>
      </w:r>
      <w:r w:rsidRPr="000E0D70">
        <w:rPr>
          <w:sz w:val="22"/>
          <w:szCs w:val="22"/>
        </w:rPr>
        <w:t xml:space="preserve"> barriers affect adherence to best practice. Understanding practitioners’ knowledge, attitudes and resource constraints is critical because management decisions affect immediate morbidity and mortality, future fertility and health system costs</w:t>
      </w:r>
      <w:r w:rsidR="00A30B94" w:rsidRPr="000E0D70">
        <w:rPr>
          <w:sz w:val="22"/>
          <w:szCs w:val="22"/>
        </w:rPr>
        <w:t xml:space="preserve"> (Eke et al., 2022)</w:t>
      </w:r>
      <w:r w:rsidRPr="000E0D70">
        <w:rPr>
          <w:sz w:val="22"/>
          <w:szCs w:val="22"/>
        </w:rPr>
        <w:t>.</w:t>
      </w:r>
    </w:p>
    <w:p w14:paraId="5C14EAC7" w14:textId="58F9BFAB" w:rsidR="00D948DB" w:rsidRPr="000E0D70" w:rsidRDefault="00D948DB" w:rsidP="00841106">
      <w:pPr>
        <w:pStyle w:val="NormalWeb"/>
        <w:spacing w:line="276" w:lineRule="auto"/>
        <w:jc w:val="both"/>
        <w:rPr>
          <w:sz w:val="22"/>
          <w:szCs w:val="22"/>
        </w:rPr>
      </w:pPr>
      <w:r w:rsidRPr="000E0D70">
        <w:rPr>
          <w:sz w:val="22"/>
          <w:szCs w:val="22"/>
        </w:rPr>
        <w:t xml:space="preserve">Key gaps in the published literature justify a </w:t>
      </w:r>
      <w:r w:rsidR="0035716A" w:rsidRPr="000E0D70">
        <w:rPr>
          <w:sz w:val="22"/>
          <w:szCs w:val="22"/>
        </w:rPr>
        <w:t>practitioner-focused</w:t>
      </w:r>
      <w:r w:rsidRPr="000E0D70">
        <w:rPr>
          <w:sz w:val="22"/>
          <w:szCs w:val="22"/>
        </w:rPr>
        <w:t xml:space="preserve"> study in Abia State. First, much of the available regional data are retrospective case series that describe patient characteristics and outcomes but do not systematically explore practitioner </w:t>
      </w:r>
      <w:r w:rsidR="0035716A" w:rsidRPr="000E0D70">
        <w:rPr>
          <w:sz w:val="22"/>
          <w:szCs w:val="22"/>
        </w:rPr>
        <w:t>decision-making</w:t>
      </w:r>
      <w:r w:rsidRPr="000E0D70">
        <w:rPr>
          <w:sz w:val="22"/>
          <w:szCs w:val="22"/>
        </w:rPr>
        <w:t xml:space="preserve"> or facility readiness. Second, evolving evidence about expanding indications for medical management with methotrexate has not been matched with studies of local practice patterns and barriers to safe implementation. Third, the contribution of delayed presentation, referral delays and shortages in emergency surgical capacity to adverse outcomes in this geography needs contemporary quantification. Finally, given the high maternal mortality burden in Nigeria and persistent system constraints, a study that links practitioner perspectives to observed management patterns can identify actionable interventions to reduce morbidity and improve reproductive health outcomes</w:t>
      </w:r>
      <w:r w:rsidR="00832A72" w:rsidRPr="000E0D70">
        <w:rPr>
          <w:sz w:val="22"/>
          <w:szCs w:val="22"/>
        </w:rPr>
        <w:t xml:space="preserve"> (</w:t>
      </w:r>
      <w:proofErr w:type="spellStart"/>
      <w:r w:rsidR="00832A72" w:rsidRPr="000E0D70">
        <w:rPr>
          <w:color w:val="333333"/>
          <w:sz w:val="22"/>
          <w:szCs w:val="22"/>
          <w:shd w:val="clear" w:color="auto" w:fill="FFFFFF"/>
        </w:rPr>
        <w:t>Olamijulo</w:t>
      </w:r>
      <w:proofErr w:type="spellEnd"/>
      <w:r w:rsidR="00832A72" w:rsidRPr="000E0D70">
        <w:rPr>
          <w:color w:val="333333"/>
          <w:sz w:val="22"/>
          <w:szCs w:val="22"/>
          <w:shd w:val="clear" w:color="auto" w:fill="FFFFFF"/>
        </w:rPr>
        <w:t xml:space="preserve"> et al., 2020</w:t>
      </w:r>
      <w:r w:rsidR="00832A72" w:rsidRPr="000E0D70">
        <w:rPr>
          <w:sz w:val="22"/>
          <w:szCs w:val="22"/>
        </w:rPr>
        <w:t>)</w:t>
      </w:r>
      <w:r w:rsidRPr="000E0D70">
        <w:rPr>
          <w:sz w:val="22"/>
          <w:szCs w:val="22"/>
        </w:rPr>
        <w:t xml:space="preserve">. </w:t>
      </w:r>
    </w:p>
    <w:p w14:paraId="25CEC2E2" w14:textId="167FA511" w:rsidR="00D948DB" w:rsidRPr="000E0D70" w:rsidRDefault="00D948DB" w:rsidP="00841106">
      <w:pPr>
        <w:pStyle w:val="NormalWeb"/>
        <w:spacing w:line="276" w:lineRule="auto"/>
        <w:jc w:val="both"/>
        <w:rPr>
          <w:sz w:val="22"/>
          <w:szCs w:val="22"/>
        </w:rPr>
      </w:pPr>
      <w:r w:rsidRPr="000E0D70">
        <w:rPr>
          <w:sz w:val="22"/>
          <w:szCs w:val="22"/>
        </w:rPr>
        <w:t xml:space="preserve">This study aims to describe how healthcare practitioners in Abia State assess and manage ectopic pregnancies, to identify knowledge gaps and service constraints that influence treatment choices, and to propose feasible clinical and </w:t>
      </w:r>
      <w:r w:rsidR="00023DE7" w:rsidRPr="000E0D70">
        <w:rPr>
          <w:sz w:val="22"/>
          <w:szCs w:val="22"/>
        </w:rPr>
        <w:t>systems-level</w:t>
      </w:r>
      <w:r w:rsidRPr="000E0D70">
        <w:rPr>
          <w:sz w:val="22"/>
          <w:szCs w:val="22"/>
        </w:rPr>
        <w:t xml:space="preserve"> recommendations to improve adherence to </w:t>
      </w:r>
      <w:r w:rsidR="00023DE7" w:rsidRPr="000E0D70">
        <w:rPr>
          <w:sz w:val="22"/>
          <w:szCs w:val="22"/>
        </w:rPr>
        <w:t>evidence-based</w:t>
      </w:r>
      <w:r w:rsidRPr="000E0D70">
        <w:rPr>
          <w:sz w:val="22"/>
          <w:szCs w:val="22"/>
        </w:rPr>
        <w:t xml:space="preserve"> care. Findings are expected to inform training priorities, guideline dissemination, resource allocation for diagnostics and blood services, and strategies to increase safe use of medical management where appropriate. In the longer term, better alignment of practitioner practice with </w:t>
      </w:r>
      <w:r w:rsidR="00023DE7" w:rsidRPr="000E0D70">
        <w:rPr>
          <w:sz w:val="22"/>
          <w:szCs w:val="22"/>
        </w:rPr>
        <w:t>evidence-based</w:t>
      </w:r>
      <w:r w:rsidRPr="000E0D70">
        <w:rPr>
          <w:sz w:val="22"/>
          <w:szCs w:val="22"/>
        </w:rPr>
        <w:t xml:space="preserve"> pathways may reduce the incidence of rupture, lower case fatality, preserve fertility and lessen the overall burden on tertiary surgical services.</w:t>
      </w:r>
    </w:p>
    <w:p w14:paraId="26F2AFAA" w14:textId="27554DF6" w:rsidR="003E3090" w:rsidRPr="000E0D70" w:rsidRDefault="003E3090" w:rsidP="00841106">
      <w:pPr>
        <w:pStyle w:val="Heading2"/>
        <w:spacing w:line="276" w:lineRule="auto"/>
        <w:jc w:val="both"/>
        <w:rPr>
          <w:sz w:val="22"/>
          <w:szCs w:val="22"/>
        </w:rPr>
      </w:pPr>
      <w:r w:rsidRPr="000E0D70">
        <w:rPr>
          <w:sz w:val="22"/>
          <w:szCs w:val="22"/>
        </w:rPr>
        <w:lastRenderedPageBreak/>
        <w:t>Materials and Methods</w:t>
      </w:r>
    </w:p>
    <w:p w14:paraId="4749DD4E" w14:textId="200B59BE"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 xml:space="preserve">Design </w:t>
      </w:r>
    </w:p>
    <w:p w14:paraId="77BBDD4A" w14:textId="23E0473B" w:rsidR="003E3090" w:rsidRPr="000E0D70" w:rsidRDefault="003E3090" w:rsidP="00841106">
      <w:pPr>
        <w:pStyle w:val="NormalWeb"/>
        <w:spacing w:line="276" w:lineRule="auto"/>
        <w:jc w:val="both"/>
        <w:rPr>
          <w:sz w:val="22"/>
          <w:szCs w:val="22"/>
        </w:rPr>
      </w:pPr>
      <w:r w:rsidRPr="000E0D70">
        <w:rPr>
          <w:sz w:val="22"/>
          <w:szCs w:val="22"/>
        </w:rPr>
        <w:t>Th</w:t>
      </w:r>
      <w:r w:rsidR="00304BBF" w:rsidRPr="000E0D70">
        <w:rPr>
          <w:sz w:val="22"/>
          <w:szCs w:val="22"/>
        </w:rPr>
        <w:t>is</w:t>
      </w:r>
      <w:r w:rsidRPr="000E0D70">
        <w:rPr>
          <w:sz w:val="22"/>
          <w:szCs w:val="22"/>
        </w:rPr>
        <w:t xml:space="preserve"> study employed a mixed methods design that integrated a quantitative cross</w:t>
      </w:r>
      <w:r w:rsidR="00304BBF" w:rsidRPr="000E0D70">
        <w:rPr>
          <w:sz w:val="22"/>
          <w:szCs w:val="22"/>
        </w:rPr>
        <w:t>-</w:t>
      </w:r>
      <w:r w:rsidRPr="000E0D70">
        <w:rPr>
          <w:sz w:val="22"/>
          <w:szCs w:val="22"/>
        </w:rPr>
        <w:t>sectional survey of healthcare practitioners, a retrospective review of clinical records of ectopic pregnancies, and qualitative interviews with key informants. Using this approach allowed the team to quantify prevailing patterns of diagnosis and management while also gaining deeper insight into the reasons behind clinical decisions, contextual constraints, and resource related limitations within the hospital setting</w:t>
      </w:r>
      <w:r w:rsidR="00554CD4">
        <w:rPr>
          <w:sz w:val="22"/>
          <w:szCs w:val="22"/>
        </w:rPr>
        <w:t xml:space="preserve"> (</w:t>
      </w:r>
      <w:proofErr w:type="spellStart"/>
      <w:r w:rsidR="00554CD4">
        <w:rPr>
          <w:sz w:val="22"/>
          <w:szCs w:val="22"/>
        </w:rPr>
        <w:t>Akwuruoha</w:t>
      </w:r>
      <w:proofErr w:type="spellEnd"/>
      <w:r w:rsidR="00554CD4">
        <w:rPr>
          <w:sz w:val="22"/>
          <w:szCs w:val="22"/>
        </w:rPr>
        <w:t xml:space="preserve"> &amp; Airaodion, 2025)</w:t>
      </w:r>
      <w:r w:rsidRPr="000E0D70">
        <w:rPr>
          <w:sz w:val="22"/>
          <w:szCs w:val="22"/>
        </w:rPr>
        <w:t>. The quantitative and qualitative components were carried out concurrently. Findings from all components were triangulated to improve the validity and reliability of the results.</w:t>
      </w:r>
    </w:p>
    <w:p w14:paraId="7D25458F" w14:textId="70F37629"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Area</w:t>
      </w:r>
    </w:p>
    <w:p w14:paraId="19EA6B86" w14:textId="77777777" w:rsidR="003E3090" w:rsidRPr="000E0D70" w:rsidRDefault="003E3090" w:rsidP="00841106">
      <w:pPr>
        <w:pStyle w:val="NormalWeb"/>
        <w:spacing w:line="276" w:lineRule="auto"/>
        <w:jc w:val="both"/>
        <w:rPr>
          <w:sz w:val="22"/>
          <w:szCs w:val="22"/>
        </w:rPr>
      </w:pPr>
      <w:r w:rsidRPr="000E0D70">
        <w:rPr>
          <w:sz w:val="22"/>
          <w:szCs w:val="22"/>
        </w:rPr>
        <w:t xml:space="preserve">The study was conducted at Abia State University Teaching Hospital in Aba, Abia State, Nigeria. The hospital is a major tertiary referral </w:t>
      </w:r>
      <w:proofErr w:type="spellStart"/>
      <w:r w:rsidRPr="000E0D70">
        <w:rPr>
          <w:sz w:val="22"/>
          <w:szCs w:val="22"/>
        </w:rPr>
        <w:t>centre</w:t>
      </w:r>
      <w:proofErr w:type="spellEnd"/>
      <w:r w:rsidRPr="000E0D70">
        <w:rPr>
          <w:sz w:val="22"/>
          <w:szCs w:val="22"/>
        </w:rPr>
        <w:t xml:space="preserve"> that provides emergency obstetric and </w:t>
      </w:r>
      <w:proofErr w:type="spellStart"/>
      <w:r w:rsidRPr="000E0D70">
        <w:rPr>
          <w:sz w:val="22"/>
          <w:szCs w:val="22"/>
        </w:rPr>
        <w:t>gynaecological</w:t>
      </w:r>
      <w:proofErr w:type="spellEnd"/>
      <w:r w:rsidRPr="000E0D70">
        <w:rPr>
          <w:sz w:val="22"/>
          <w:szCs w:val="22"/>
        </w:rPr>
        <w:t xml:space="preserve"> services for residents of Aba metropolis and </w:t>
      </w:r>
      <w:proofErr w:type="spellStart"/>
      <w:r w:rsidRPr="000E0D70">
        <w:rPr>
          <w:sz w:val="22"/>
          <w:szCs w:val="22"/>
        </w:rPr>
        <w:t>neighbouring</w:t>
      </w:r>
      <w:proofErr w:type="spellEnd"/>
      <w:r w:rsidRPr="000E0D70">
        <w:rPr>
          <w:sz w:val="22"/>
          <w:szCs w:val="22"/>
        </w:rPr>
        <w:t xml:space="preserve"> communities. ABSUTH serves as a teaching and training facility for medical students, resident doctors, nurses, and allied health professionals. It has a dedicated obstetrics and </w:t>
      </w:r>
      <w:proofErr w:type="spellStart"/>
      <w:r w:rsidRPr="000E0D70">
        <w:rPr>
          <w:sz w:val="22"/>
          <w:szCs w:val="22"/>
        </w:rPr>
        <w:t>gynaecology</w:t>
      </w:r>
      <w:proofErr w:type="spellEnd"/>
      <w:r w:rsidRPr="000E0D70">
        <w:rPr>
          <w:sz w:val="22"/>
          <w:szCs w:val="22"/>
        </w:rPr>
        <w:t xml:space="preserve"> department with an emergency unit, ultrasound services, theatre complex, intensive care support, and a blood bank. The hospital is the primary referral point for complicated early pregnancy cases in the region. All data collection activities were restricted to the obstetrics and </w:t>
      </w:r>
      <w:proofErr w:type="spellStart"/>
      <w:r w:rsidRPr="000E0D70">
        <w:rPr>
          <w:sz w:val="22"/>
          <w:szCs w:val="22"/>
        </w:rPr>
        <w:t>gynaecology</w:t>
      </w:r>
      <w:proofErr w:type="spellEnd"/>
      <w:r w:rsidRPr="000E0D70">
        <w:rPr>
          <w:sz w:val="22"/>
          <w:szCs w:val="22"/>
        </w:rPr>
        <w:t xml:space="preserve"> department, emergency care unit, theatre complex, and diagnostic units that manage ectopic pregnancy cases.</w:t>
      </w:r>
    </w:p>
    <w:p w14:paraId="512BAECC" w14:textId="78022F73" w:rsidR="003E3090" w:rsidRPr="000E0D70" w:rsidRDefault="003E3090" w:rsidP="00841106">
      <w:pPr>
        <w:pStyle w:val="Heading3"/>
        <w:spacing w:line="276" w:lineRule="auto"/>
        <w:jc w:val="both"/>
        <w:rPr>
          <w:sz w:val="22"/>
          <w:szCs w:val="22"/>
        </w:rPr>
      </w:pPr>
      <w:r w:rsidRPr="000E0D70">
        <w:rPr>
          <w:sz w:val="22"/>
          <w:szCs w:val="22"/>
        </w:rPr>
        <w:t xml:space="preserve">Study </w:t>
      </w:r>
      <w:r w:rsidR="00304BBF" w:rsidRPr="000E0D70">
        <w:rPr>
          <w:sz w:val="22"/>
          <w:szCs w:val="22"/>
        </w:rPr>
        <w:t>Population</w:t>
      </w:r>
    </w:p>
    <w:p w14:paraId="13DDAE04" w14:textId="4356E3C0" w:rsidR="003E3090" w:rsidRPr="000E0D70" w:rsidRDefault="003E3090" w:rsidP="00841106">
      <w:pPr>
        <w:pStyle w:val="NormalWeb"/>
        <w:spacing w:line="276" w:lineRule="auto"/>
        <w:jc w:val="both"/>
        <w:rPr>
          <w:sz w:val="22"/>
          <w:szCs w:val="22"/>
        </w:rPr>
      </w:pPr>
      <w:r w:rsidRPr="000E0D70">
        <w:rPr>
          <w:sz w:val="22"/>
          <w:szCs w:val="22"/>
        </w:rPr>
        <w:t>The study involved three categories of participants and data sources. The first category consisted of healthcare practitioners who directly manage early pregnancy complications. These included consultant obstetricians, resident doctors, medical officers, general practitioners posted to the obstetrics unit, nurse midwives, and sonographers. The second category comprised clinical records of women who had a confirmed diagnosis of ectopic pregnancy during the review period</w:t>
      </w:r>
      <w:r w:rsidR="00304BBF" w:rsidRPr="000E0D70">
        <w:rPr>
          <w:sz w:val="22"/>
          <w:szCs w:val="22"/>
        </w:rPr>
        <w:t xml:space="preserve"> (July 2023 to June 2025)</w:t>
      </w:r>
      <w:r w:rsidRPr="000E0D70">
        <w:rPr>
          <w:sz w:val="22"/>
          <w:szCs w:val="22"/>
        </w:rPr>
        <w:t>. The third category included senior clinicians, departmental leaders, and selected maternal health decision makers who participated in qualitative interviews.</w:t>
      </w:r>
    </w:p>
    <w:p w14:paraId="3A698421" w14:textId="77777777" w:rsidR="003E3090" w:rsidRPr="000E0D70" w:rsidRDefault="003E3090" w:rsidP="00841106">
      <w:pPr>
        <w:pStyle w:val="Heading3"/>
        <w:spacing w:line="276" w:lineRule="auto"/>
        <w:jc w:val="both"/>
        <w:rPr>
          <w:sz w:val="22"/>
          <w:szCs w:val="22"/>
        </w:rPr>
      </w:pPr>
      <w:r w:rsidRPr="000E0D70">
        <w:rPr>
          <w:sz w:val="22"/>
          <w:szCs w:val="22"/>
        </w:rPr>
        <w:t>Eligibility criteria</w:t>
      </w:r>
    </w:p>
    <w:p w14:paraId="7CFEB40F" w14:textId="77777777" w:rsidR="003E3090" w:rsidRPr="000E0D70" w:rsidRDefault="003E3090" w:rsidP="00841106">
      <w:pPr>
        <w:pStyle w:val="Heading4"/>
        <w:spacing w:line="276" w:lineRule="auto"/>
        <w:jc w:val="both"/>
        <w:rPr>
          <w:sz w:val="22"/>
          <w:szCs w:val="22"/>
        </w:rPr>
      </w:pPr>
      <w:r w:rsidRPr="000E0D70">
        <w:rPr>
          <w:sz w:val="22"/>
          <w:szCs w:val="22"/>
        </w:rPr>
        <w:t>Inclusion criteria for healthcare practitioners</w:t>
      </w:r>
    </w:p>
    <w:p w14:paraId="524EADFE" w14:textId="77777777" w:rsidR="003E3090" w:rsidRPr="000E0D70" w:rsidRDefault="003E3090" w:rsidP="00841106">
      <w:pPr>
        <w:pStyle w:val="NormalWeb"/>
        <w:spacing w:line="276" w:lineRule="auto"/>
        <w:jc w:val="both"/>
        <w:rPr>
          <w:sz w:val="22"/>
          <w:szCs w:val="22"/>
        </w:rPr>
      </w:pPr>
      <w:r w:rsidRPr="000E0D70">
        <w:rPr>
          <w:sz w:val="22"/>
          <w:szCs w:val="22"/>
        </w:rPr>
        <w:t xml:space="preserve">Healthcare practitioners were eligible if they were actively employed in the obstetrics and </w:t>
      </w:r>
      <w:proofErr w:type="spellStart"/>
      <w:r w:rsidRPr="000E0D70">
        <w:rPr>
          <w:sz w:val="22"/>
          <w:szCs w:val="22"/>
        </w:rPr>
        <w:t>gynaecology</w:t>
      </w:r>
      <w:proofErr w:type="spellEnd"/>
      <w:r w:rsidRPr="000E0D70">
        <w:rPr>
          <w:sz w:val="22"/>
          <w:szCs w:val="22"/>
        </w:rPr>
        <w:t xml:space="preserve"> department or relevant emergency and diagnostic units of ABSUTH, had routine clinical responsibility for managing pregnant women, had at least six months of continuous service in the hospital, and provided written informed consent.</w:t>
      </w:r>
    </w:p>
    <w:p w14:paraId="2F75BD92" w14:textId="77777777" w:rsidR="003E3090" w:rsidRPr="000E0D70" w:rsidRDefault="003E3090" w:rsidP="00841106">
      <w:pPr>
        <w:pStyle w:val="Heading4"/>
        <w:spacing w:line="276" w:lineRule="auto"/>
        <w:jc w:val="both"/>
        <w:rPr>
          <w:sz w:val="22"/>
          <w:szCs w:val="22"/>
        </w:rPr>
      </w:pPr>
      <w:r w:rsidRPr="000E0D70">
        <w:rPr>
          <w:sz w:val="22"/>
          <w:szCs w:val="22"/>
        </w:rPr>
        <w:t>Exclusion criteria for healthcare practitioners</w:t>
      </w:r>
    </w:p>
    <w:p w14:paraId="52F64AC7" w14:textId="08D68E97" w:rsidR="003E3090" w:rsidRPr="000E0D70" w:rsidRDefault="003E3090" w:rsidP="00841106">
      <w:pPr>
        <w:pStyle w:val="NormalWeb"/>
        <w:spacing w:line="276" w:lineRule="auto"/>
        <w:jc w:val="both"/>
        <w:rPr>
          <w:sz w:val="22"/>
          <w:szCs w:val="22"/>
        </w:rPr>
      </w:pPr>
      <w:r w:rsidRPr="000E0D70">
        <w:rPr>
          <w:sz w:val="22"/>
          <w:szCs w:val="22"/>
        </w:rPr>
        <w:lastRenderedPageBreak/>
        <w:t xml:space="preserve">Practitioners who had purely administrative responsibilities, as well as students and trainees without independent clinical </w:t>
      </w:r>
      <w:r w:rsidR="00304BBF" w:rsidRPr="000E0D70">
        <w:rPr>
          <w:sz w:val="22"/>
          <w:szCs w:val="22"/>
        </w:rPr>
        <w:t>decision-making</w:t>
      </w:r>
      <w:r w:rsidRPr="000E0D70">
        <w:rPr>
          <w:sz w:val="22"/>
          <w:szCs w:val="22"/>
        </w:rPr>
        <w:t xml:space="preserve"> roles, were excluded.</w:t>
      </w:r>
    </w:p>
    <w:p w14:paraId="4D9F8BBC" w14:textId="77777777" w:rsidR="003E3090" w:rsidRPr="000E0D70" w:rsidRDefault="003E3090" w:rsidP="00841106">
      <w:pPr>
        <w:pStyle w:val="Heading4"/>
        <w:spacing w:line="276" w:lineRule="auto"/>
        <w:jc w:val="both"/>
        <w:rPr>
          <w:sz w:val="22"/>
          <w:szCs w:val="22"/>
        </w:rPr>
      </w:pPr>
      <w:r w:rsidRPr="000E0D70">
        <w:rPr>
          <w:sz w:val="22"/>
          <w:szCs w:val="22"/>
        </w:rPr>
        <w:t>Eligibility criteria for the clinical record review</w:t>
      </w:r>
    </w:p>
    <w:p w14:paraId="7CC08429" w14:textId="645FAD7F" w:rsidR="003E3090" w:rsidRPr="000E0D70" w:rsidRDefault="003E3090" w:rsidP="00841106">
      <w:pPr>
        <w:pStyle w:val="NormalWeb"/>
        <w:spacing w:line="276" w:lineRule="auto"/>
        <w:jc w:val="both"/>
        <w:rPr>
          <w:sz w:val="22"/>
          <w:szCs w:val="22"/>
        </w:rPr>
      </w:pPr>
      <w:r w:rsidRPr="000E0D70">
        <w:rPr>
          <w:sz w:val="22"/>
          <w:szCs w:val="22"/>
        </w:rPr>
        <w:t xml:space="preserve">Clinical records were included if they documented a diagnosis of ectopic pregnancy confirmed through clinical assessment, ultrasound imaging, operative findings, or histopathology reports. Only records within the defined </w:t>
      </w:r>
      <w:r w:rsidR="00304BBF" w:rsidRPr="000E0D70">
        <w:rPr>
          <w:sz w:val="22"/>
          <w:szCs w:val="22"/>
        </w:rPr>
        <w:t>two-</w:t>
      </w:r>
      <w:r w:rsidRPr="000E0D70">
        <w:rPr>
          <w:sz w:val="22"/>
          <w:szCs w:val="22"/>
        </w:rPr>
        <w:t>year review period were considered eligible.</w:t>
      </w:r>
    </w:p>
    <w:p w14:paraId="009B0312" w14:textId="77777777" w:rsidR="003E3090" w:rsidRPr="000E0D70" w:rsidRDefault="003E3090" w:rsidP="00841106">
      <w:pPr>
        <w:pStyle w:val="Heading3"/>
        <w:spacing w:line="276" w:lineRule="auto"/>
        <w:jc w:val="both"/>
        <w:rPr>
          <w:sz w:val="22"/>
          <w:szCs w:val="22"/>
        </w:rPr>
      </w:pPr>
      <w:r w:rsidRPr="000E0D70">
        <w:rPr>
          <w:sz w:val="22"/>
          <w:szCs w:val="22"/>
        </w:rPr>
        <w:t>Sample size determination</w:t>
      </w:r>
    </w:p>
    <w:p w14:paraId="55D18BD9" w14:textId="7556ECB9" w:rsidR="003E3090" w:rsidRPr="000E0D70" w:rsidRDefault="003E3090" w:rsidP="00841106">
      <w:pPr>
        <w:pStyle w:val="Heading4"/>
        <w:spacing w:line="276" w:lineRule="auto"/>
        <w:jc w:val="both"/>
        <w:rPr>
          <w:sz w:val="22"/>
          <w:szCs w:val="22"/>
        </w:rPr>
      </w:pPr>
      <w:r w:rsidRPr="000E0D70">
        <w:rPr>
          <w:sz w:val="22"/>
          <w:szCs w:val="22"/>
        </w:rPr>
        <w:t>Provider survey</w:t>
      </w:r>
    </w:p>
    <w:p w14:paraId="084703A6" w14:textId="2DEC18F2" w:rsidR="00DE31A0" w:rsidRPr="000E0D70" w:rsidRDefault="00DE31A0" w:rsidP="00841106">
      <w:pPr>
        <w:spacing w:line="276" w:lineRule="auto"/>
        <w:jc w:val="both"/>
        <w:rPr>
          <w:rFonts w:ascii="Times New Roman" w:eastAsia="Times New Roman" w:hAnsi="Times New Roman" w:cs="Times New Roman"/>
          <w:lang w:eastAsia="en-GB"/>
        </w:rPr>
      </w:pPr>
      <w:r w:rsidRPr="000E0D70">
        <w:rPr>
          <w:rFonts w:ascii="Times New Roman" w:eastAsia="Times New Roman" w:hAnsi="Times New Roman" w:cs="Times New Roman"/>
        </w:rPr>
        <w:t xml:space="preserve">For the quantitative arm, </w:t>
      </w:r>
      <w:r w:rsidRPr="000E0D70">
        <w:rPr>
          <w:rFonts w:ascii="Times New Roman" w:eastAsia="Times New Roman" w:hAnsi="Times New Roman" w:cs="Times New Roman"/>
          <w:lang w:eastAsia="en-GB"/>
        </w:rPr>
        <w:t xml:space="preserve">sample size was calculated based on Cochran’s formula for </w:t>
      </w:r>
      <w:r w:rsidRPr="000E0D70">
        <w:rPr>
          <w:rFonts w:ascii="Times New Roman" w:eastAsia="Times New Roman" w:hAnsi="Times New Roman" w:cs="Times New Roman"/>
        </w:rPr>
        <w:t>cross-sectional studies</w:t>
      </w:r>
      <w:r w:rsidRPr="000E0D70">
        <w:rPr>
          <w:rFonts w:ascii="Times New Roman" w:eastAsia="Times New Roman" w:hAnsi="Times New Roman" w:cs="Times New Roman"/>
          <w:lang w:eastAsia="en-GB"/>
        </w:rPr>
        <w:t xml:space="preserve">, following the methodology described by </w:t>
      </w:r>
      <w:proofErr w:type="spellStart"/>
      <w:r w:rsidRPr="000E0D70">
        <w:rPr>
          <w:rFonts w:ascii="Times New Roman" w:eastAsia="Times New Roman" w:hAnsi="Times New Roman" w:cs="Times New Roman"/>
          <w:lang w:eastAsia="en-GB"/>
        </w:rPr>
        <w:t>Akwuruoha</w:t>
      </w:r>
      <w:proofErr w:type="spellEnd"/>
      <w:r w:rsidRPr="000E0D70">
        <w:rPr>
          <w:rFonts w:ascii="Times New Roman" w:eastAsia="Times New Roman" w:hAnsi="Times New Roman" w:cs="Times New Roman"/>
          <w:lang w:eastAsia="en-GB"/>
        </w:rPr>
        <w:t xml:space="preserve"> et al. </w:t>
      </w:r>
      <w:r w:rsidR="00023DE7" w:rsidRPr="000E0D70">
        <w:rPr>
          <w:rFonts w:ascii="Times New Roman" w:eastAsia="Times New Roman" w:hAnsi="Times New Roman" w:cs="Times New Roman"/>
          <w:lang w:eastAsia="en-GB"/>
        </w:rPr>
        <w:t>(2025)</w:t>
      </w:r>
      <w:r w:rsidRPr="000E0D70">
        <w:rPr>
          <w:rFonts w:ascii="Times New Roman" w:eastAsia="Times New Roman" w:hAnsi="Times New Roman" w:cs="Times New Roman"/>
          <w:lang w:eastAsia="en-GB"/>
        </w:rPr>
        <w:t>:</w:t>
      </w:r>
    </w:p>
    <w:p w14:paraId="27639E0B"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xml:space="preserve">n = </w:t>
      </w:r>
      <m:oMath>
        <m:f>
          <m:fPr>
            <m:ctrlPr>
              <w:rPr>
                <w:rFonts w:ascii="Cambria Math" w:hAnsi="Cambria Math" w:cs="Times New Roman"/>
                <w:b/>
                <w:bCs/>
                <w:lang w:eastAsia="en-GB"/>
              </w:rPr>
            </m:ctrlPr>
          </m:fPr>
          <m:num>
            <m:sSup>
              <m:sSupPr>
                <m:ctrlPr>
                  <w:rPr>
                    <w:rFonts w:ascii="Cambria Math" w:hAnsi="Cambria Math" w:cs="Times New Roman"/>
                    <w:b/>
                    <w:bCs/>
                    <w:lang w:eastAsia="en-GB"/>
                  </w:rPr>
                </m:ctrlPr>
              </m:sSupPr>
              <m:e>
                <m:r>
                  <m:rPr>
                    <m:sty m:val="b"/>
                  </m:rPr>
                  <w:rPr>
                    <w:rFonts w:ascii="Cambria Math" w:hAnsi="Cambria Math" w:cs="Times New Roman"/>
                  </w:rPr>
                  <m:t>Z</m:t>
                </m:r>
              </m:e>
              <m:sup>
                <m:r>
                  <m:rPr>
                    <m:sty m:val="b"/>
                  </m:rPr>
                  <w:rPr>
                    <w:rFonts w:ascii="Cambria Math" w:hAnsi="Cambria Math" w:cs="Times New Roman"/>
                  </w:rPr>
                  <m:t>2</m:t>
                </m:r>
              </m:sup>
            </m:sSup>
            <m:r>
              <m:rPr>
                <m:sty m:val="b"/>
              </m:rPr>
              <w:rPr>
                <w:rFonts w:ascii="Cambria Math" w:hAnsi="Cambria Math" w:cs="Times New Roman"/>
              </w:rPr>
              <m:t>(Pq)</m:t>
            </m:r>
          </m:num>
          <m:den>
            <m:sSup>
              <m:sSupPr>
                <m:ctrlPr>
                  <w:rPr>
                    <w:rFonts w:ascii="Cambria Math" w:hAnsi="Cambria Math" w:cs="Times New Roman"/>
                    <w:b/>
                    <w:bCs/>
                    <w:lang w:eastAsia="en-GB"/>
                  </w:rPr>
                </m:ctrlPr>
              </m:sSupPr>
              <m:e>
                <m:r>
                  <m:rPr>
                    <m:sty m:val="b"/>
                  </m:rPr>
                  <w:rPr>
                    <w:rFonts w:ascii="Cambria Math" w:hAnsi="Cambria Math" w:cs="Times New Roman"/>
                  </w:rPr>
                  <m:t>e</m:t>
                </m:r>
              </m:e>
              <m:sup>
                <m:r>
                  <m:rPr>
                    <m:sty m:val="b"/>
                  </m:rPr>
                  <w:rPr>
                    <w:rFonts w:ascii="Cambria Math" w:hAnsi="Cambria Math" w:cs="Times New Roman"/>
                  </w:rPr>
                  <m:t>2</m:t>
                </m:r>
              </m:sup>
            </m:sSup>
          </m:den>
        </m:f>
      </m:oMath>
      <w:r w:rsidRPr="000E0D70">
        <w:rPr>
          <w:rFonts w:ascii="Times New Roman" w:hAnsi="Times New Roman" w:cs="Times New Roman"/>
        </w:rPr>
        <w:tab/>
        <w:t xml:space="preserve"> </w:t>
      </w:r>
    </w:p>
    <w:p w14:paraId="33B2E251"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The formula components are defined as follows:</w:t>
      </w:r>
    </w:p>
    <w:p w14:paraId="70A0FA7D"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n</w:t>
      </w:r>
      <w:r w:rsidRPr="000E0D70">
        <w:rPr>
          <w:rFonts w:ascii="Times New Roman" w:hAnsi="Times New Roman" w:cs="Times New Roman"/>
        </w:rPr>
        <w:t xml:space="preserve"> represents the minimum required sample size.</w:t>
      </w:r>
    </w:p>
    <w:p w14:paraId="6AB68F09"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Z</w:t>
      </w:r>
      <w:r w:rsidRPr="000E0D70">
        <w:rPr>
          <w:rFonts w:ascii="Times New Roman" w:hAnsi="Times New Roman" w:cs="Times New Roman"/>
        </w:rPr>
        <w:t xml:space="preserve"> is set at 1.96, corresponding to a 95% confidence level.</w:t>
      </w:r>
    </w:p>
    <w:p w14:paraId="789A2F66" w14:textId="005C31EE"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P</w:t>
      </w:r>
      <w:r w:rsidRPr="000E0D70">
        <w:rPr>
          <w:rFonts w:ascii="Times New Roman" w:hAnsi="Times New Roman" w:cs="Times New Roman"/>
        </w:rPr>
        <w:t xml:space="preserve"> denotes the </w:t>
      </w:r>
      <w:r w:rsidRPr="000E0D70">
        <w:rPr>
          <w:rFonts w:ascii="Times New Roman" w:eastAsia="Times New Roman" w:hAnsi="Times New Roman" w:cs="Times New Roman"/>
        </w:rPr>
        <w:t>estimated proportion of healthcare professionals with adequate knowledge and appropriate management of ectopic pregnancy (assumed at 50% due to lack of prior data in the setting, to maximize sample size)</w:t>
      </w:r>
      <w:r w:rsidRPr="000E0D70">
        <w:rPr>
          <w:rFonts w:ascii="Times New Roman" w:hAnsi="Times New Roman" w:cs="Times New Roman"/>
        </w:rPr>
        <w:t>.</w:t>
      </w:r>
    </w:p>
    <w:p w14:paraId="4E1941CF"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i/>
          <w:iCs/>
        </w:rPr>
        <w:t>e</w:t>
      </w:r>
      <w:r w:rsidRPr="000E0D70">
        <w:rPr>
          <w:rFonts w:ascii="Times New Roman" w:hAnsi="Times New Roman" w:cs="Times New Roman"/>
        </w:rPr>
        <w:t xml:space="preserve"> signifies the allowable margin of error, fixed at 5% (0.05).</w:t>
      </w:r>
    </w:p>
    <w:p w14:paraId="39FE6F73" w14:textId="77777777" w:rsidR="00DE31A0" w:rsidRPr="000E0D70" w:rsidRDefault="00DE31A0" w:rsidP="00841106">
      <w:pPr>
        <w:numPr>
          <w:ilvl w:val="0"/>
          <w:numId w:val="2"/>
        </w:numPr>
        <w:spacing w:line="276" w:lineRule="auto"/>
        <w:jc w:val="both"/>
        <w:rPr>
          <w:rFonts w:ascii="Times New Roman" w:hAnsi="Times New Roman" w:cs="Times New Roman"/>
        </w:rPr>
      </w:pPr>
      <w:r w:rsidRPr="000E0D70">
        <w:rPr>
          <w:rFonts w:ascii="Times New Roman" w:hAnsi="Times New Roman" w:cs="Times New Roman"/>
        </w:rPr>
        <w:t>q = 1 - p</w:t>
      </w:r>
    </w:p>
    <w:p w14:paraId="1F77D519"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Substituting values:</w:t>
      </w:r>
    </w:p>
    <w:p w14:paraId="5336D5CE" w14:textId="77777777" w:rsidR="00DE31A0" w:rsidRPr="000E0D70" w:rsidRDefault="00DE31A0" w:rsidP="00841106">
      <w:pPr>
        <w:spacing w:line="276" w:lineRule="auto"/>
        <w:jc w:val="both"/>
        <w:rPr>
          <w:rFonts w:ascii="Times New Roman" w:eastAsia="Times New Roman" w:hAnsi="Times New Roman" w:cs="Times New Roman"/>
          <w:lang w:eastAsia="en-GB"/>
        </w:rPr>
      </w:pPr>
      <w:r w:rsidRPr="000E0D70">
        <w:rPr>
          <w:rFonts w:ascii="Times New Roman" w:hAnsi="Times New Roman" w:cs="Times New Roman"/>
        </w:rPr>
        <w:t xml:space="preserve">P = </w:t>
      </w:r>
      <w:r w:rsidRPr="000E0D70">
        <w:rPr>
          <w:rFonts w:ascii="Times New Roman" w:eastAsia="Times New Roman" w:hAnsi="Times New Roman" w:cs="Times New Roman"/>
          <w:lang w:eastAsia="en-GB"/>
        </w:rPr>
        <w:t>50% = 0.5</w:t>
      </w:r>
    </w:p>
    <w:p w14:paraId="79B522BD"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q = 1 – 0.5</w:t>
      </w:r>
    </w:p>
    <w:p w14:paraId="3502A3DF"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0.5</w:t>
      </w:r>
    </w:p>
    <w:p w14:paraId="41557B8D" w14:textId="77777777" w:rsidR="00DE31A0" w:rsidRPr="000E0D70" w:rsidRDefault="00DE31A0" w:rsidP="00841106">
      <w:pPr>
        <w:spacing w:line="276" w:lineRule="auto"/>
        <w:jc w:val="both"/>
        <w:rPr>
          <w:rFonts w:ascii="Times New Roman" w:hAnsi="Times New Roman" w:cs="Times New Roman"/>
        </w:rPr>
      </w:pPr>
      <w:r w:rsidRPr="000E0D70">
        <w:rPr>
          <w:rFonts w:ascii="Times New Roman" w:hAnsi="Times New Roman" w:cs="Times New Roman"/>
        </w:rPr>
        <w:t xml:space="preserve">n = </w:t>
      </w:r>
      <m:oMath>
        <m:f>
          <m:fPr>
            <m:ctrlPr>
              <w:rPr>
                <w:rFonts w:ascii="Cambria Math" w:hAnsi="Cambria Math" w:cs="Times New Roman"/>
                <w:lang w:eastAsia="en-GB"/>
              </w:rPr>
            </m:ctrlPr>
          </m:fPr>
          <m:num>
            <m:sSup>
              <m:sSupPr>
                <m:ctrlPr>
                  <w:rPr>
                    <w:rFonts w:ascii="Cambria Math" w:hAnsi="Cambria Math" w:cs="Times New Roman"/>
                    <w:lang w:eastAsia="en-GB"/>
                  </w:rPr>
                </m:ctrlPr>
              </m:sSupPr>
              <m:e>
                <m:d>
                  <m:dPr>
                    <m:ctrlPr>
                      <w:rPr>
                        <w:rFonts w:ascii="Cambria Math" w:hAnsi="Cambria Math" w:cs="Times New Roman"/>
                        <w:lang w:eastAsia="en-GB"/>
                      </w:rPr>
                    </m:ctrlPr>
                  </m:dPr>
                  <m:e>
                    <m:r>
                      <m:rPr>
                        <m:sty m:val="b"/>
                      </m:rPr>
                      <w:rPr>
                        <w:rFonts w:ascii="Cambria Math" w:hAnsi="Cambria Math" w:cs="Times New Roman"/>
                      </w:rPr>
                      <m:t>1.96</m:t>
                    </m:r>
                  </m:e>
                </m:d>
              </m:e>
              <m:sup>
                <m:r>
                  <m:rPr>
                    <m:sty m:val="b"/>
                  </m:rPr>
                  <w:rPr>
                    <w:rFonts w:ascii="Cambria Math" w:hAnsi="Cambria Math" w:cs="Times New Roman"/>
                  </w:rPr>
                  <m:t>2</m:t>
                </m:r>
              </m:sup>
            </m:sSup>
            <m:r>
              <m:rPr>
                <m:sty m:val="b"/>
              </m:rPr>
              <w:rPr>
                <w:rFonts w:ascii="Cambria Math" w:hAnsi="Cambria Math" w:cs="Times New Roman"/>
              </w:rPr>
              <m:t>(0.5 x 0.5)</m:t>
            </m:r>
          </m:num>
          <m:den>
            <m:sSup>
              <m:sSupPr>
                <m:ctrlPr>
                  <w:rPr>
                    <w:rFonts w:ascii="Cambria Math" w:hAnsi="Cambria Math" w:cs="Times New Roman"/>
                    <w:lang w:eastAsia="en-GB"/>
                  </w:rPr>
                </m:ctrlPr>
              </m:sSupPr>
              <m:e>
                <m:r>
                  <m:rPr>
                    <m:sty m:val="b"/>
                  </m:rPr>
                  <w:rPr>
                    <w:rFonts w:ascii="Cambria Math" w:hAnsi="Cambria Math" w:cs="Times New Roman"/>
                  </w:rPr>
                  <m:t>(0.05)</m:t>
                </m:r>
              </m:e>
              <m:sup>
                <m:r>
                  <m:rPr>
                    <m:sty m:val="b"/>
                  </m:rPr>
                  <w:rPr>
                    <w:rFonts w:ascii="Cambria Math" w:hAnsi="Cambria Math" w:cs="Times New Roman"/>
                  </w:rPr>
                  <m:t>2</m:t>
                </m:r>
              </m:sup>
            </m:sSup>
          </m:den>
        </m:f>
      </m:oMath>
      <w:r w:rsidRPr="000E0D70">
        <w:rPr>
          <w:rFonts w:ascii="Times New Roman" w:hAnsi="Times New Roman" w:cs="Times New Roman"/>
        </w:rPr>
        <w:t xml:space="preserve">  = 384</w:t>
      </w:r>
    </w:p>
    <w:p w14:paraId="0771AC63" w14:textId="296A8E75"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Since the total number of eligible healthcare professionals in ABSUTH was less than 10,000, the finite population correction formula described by </w:t>
      </w:r>
      <w:proofErr w:type="spellStart"/>
      <w:r w:rsidRPr="000E0D70">
        <w:rPr>
          <w:rFonts w:ascii="Times New Roman" w:eastAsia="Times New Roman" w:hAnsi="Times New Roman" w:cs="Times New Roman"/>
        </w:rPr>
        <w:t>Ezirim</w:t>
      </w:r>
      <w:proofErr w:type="spellEnd"/>
      <w:r w:rsidRPr="000E0D70">
        <w:rPr>
          <w:rFonts w:ascii="Times New Roman" w:eastAsia="Times New Roman" w:hAnsi="Times New Roman" w:cs="Times New Roman"/>
        </w:rPr>
        <w:t xml:space="preserve"> et al. </w:t>
      </w:r>
      <w:r w:rsidR="00023DE7" w:rsidRPr="000E0D70">
        <w:rPr>
          <w:rFonts w:ascii="Times New Roman" w:eastAsia="Times New Roman" w:hAnsi="Times New Roman" w:cs="Times New Roman"/>
        </w:rPr>
        <w:t>(2025)</w:t>
      </w:r>
      <w:r w:rsidRPr="000E0D70">
        <w:rPr>
          <w:rFonts w:ascii="Times New Roman" w:eastAsia="Times New Roman" w:hAnsi="Times New Roman" w:cs="Times New Roman"/>
        </w:rPr>
        <w:t xml:space="preserve"> was applied:</w:t>
      </w:r>
    </w:p>
    <w:p w14:paraId="2EEF157A" w14:textId="77777777" w:rsidR="00DE31A0" w:rsidRPr="000E0D70" w:rsidRDefault="00DE31A0" w:rsidP="00841106">
      <w:pPr>
        <w:spacing w:after="0" w:line="276" w:lineRule="auto"/>
        <w:jc w:val="both"/>
        <w:rPr>
          <w:rFonts w:ascii="Times New Roman" w:eastAsia="Times New Roman" w:hAnsi="Times New Roman" w:cs="Times New Roman"/>
        </w:rPr>
      </w:pPr>
      <w:proofErr w:type="spellStart"/>
      <w:r w:rsidRPr="000E0D70">
        <w:rPr>
          <w:rFonts w:ascii="Times New Roman" w:eastAsia="Times New Roman" w:hAnsi="Times New Roman" w:cs="Times New Roman"/>
        </w:rPr>
        <w:t>nf</w:t>
      </w:r>
      <w:proofErr w:type="spellEnd"/>
      <w:r w:rsidRPr="000E0D70">
        <w:rPr>
          <w:rFonts w:ascii="Times New Roman" w:eastAsia="Times New Roman" w:hAnsi="Times New Roman" w:cs="Times New Roman"/>
        </w:rPr>
        <w:t xml:space="preserve"> = </w:t>
      </w:r>
      <m:oMath>
        <m:f>
          <m:fPr>
            <m:ctrlPr>
              <w:rPr>
                <w:rFonts w:ascii="Cambria Math" w:eastAsia="Times New Roman" w:hAnsi="Cambria Math" w:cs="Times New Roman"/>
                <w:b/>
                <w:bCs/>
                <w:i/>
              </w:rPr>
            </m:ctrlPr>
          </m:fPr>
          <m:num>
            <m:r>
              <m:rPr>
                <m:sty m:val="bi"/>
              </m:rPr>
              <w:rPr>
                <w:rFonts w:ascii="Cambria Math" w:eastAsia="Times New Roman" w:hAnsi="Cambria Math" w:cs="Times New Roman"/>
              </w:rPr>
              <m:t>n</m:t>
            </m:r>
          </m:num>
          <m:den>
            <m:r>
              <m:rPr>
                <m:sty m:val="bi"/>
              </m:rPr>
              <w:rPr>
                <w:rFonts w:ascii="Cambria Math" w:eastAsia="Times New Roman" w:hAnsi="Cambria Math" w:cs="Times New Roman"/>
              </w:rPr>
              <m:t xml:space="preserve">1+ </m:t>
            </m:r>
            <m:f>
              <m:fPr>
                <m:ctrlPr>
                  <w:rPr>
                    <w:rFonts w:ascii="Cambria Math" w:eastAsia="Times New Roman" w:hAnsi="Cambria Math" w:cs="Times New Roman"/>
                    <w:b/>
                    <w:bCs/>
                    <w:i/>
                  </w:rPr>
                </m:ctrlPr>
              </m:fPr>
              <m:num>
                <m:r>
                  <m:rPr>
                    <m:sty m:val="bi"/>
                  </m:rPr>
                  <w:rPr>
                    <w:rFonts w:ascii="Cambria Math" w:eastAsia="Times New Roman" w:hAnsi="Cambria Math" w:cs="Times New Roman"/>
                  </w:rPr>
                  <m:t>n-1</m:t>
                </m:r>
              </m:num>
              <m:den>
                <m:r>
                  <m:rPr>
                    <m:sty m:val="bi"/>
                  </m:rPr>
                  <w:rPr>
                    <w:rFonts w:ascii="Cambria Math" w:eastAsia="Times New Roman" w:hAnsi="Cambria Math" w:cs="Times New Roman"/>
                  </w:rPr>
                  <m:t>N</m:t>
                </m:r>
              </m:den>
            </m:f>
          </m:den>
        </m:f>
      </m:oMath>
    </w:p>
    <w:p w14:paraId="2517B60D"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Where N is the total population of eligible healthcare professionals in the hospital (estimated at 210).</w:t>
      </w:r>
    </w:p>
    <w:p w14:paraId="19AFC433" w14:textId="77777777" w:rsidR="00DE31A0" w:rsidRPr="000E0D70" w:rsidRDefault="00DE31A0" w:rsidP="00841106">
      <w:pPr>
        <w:spacing w:after="0" w:line="276" w:lineRule="auto"/>
        <w:jc w:val="both"/>
        <w:rPr>
          <w:rFonts w:ascii="Times New Roman" w:eastAsia="Times New Roman" w:hAnsi="Times New Roman" w:cs="Times New Roman"/>
          <w:b/>
          <w:bCs/>
        </w:rPr>
      </w:pPr>
      <w:proofErr w:type="spellStart"/>
      <w:r w:rsidRPr="000E0D70">
        <w:rPr>
          <w:rFonts w:ascii="Times New Roman" w:eastAsia="Times New Roman" w:hAnsi="Times New Roman" w:cs="Times New Roman"/>
        </w:rPr>
        <w:t>nf</w:t>
      </w:r>
      <w:proofErr w:type="spellEnd"/>
      <w:r w:rsidRPr="000E0D70">
        <w:rPr>
          <w:rFonts w:ascii="Times New Roman" w:eastAsia="Times New Roman" w:hAnsi="Times New Roman" w:cs="Times New Roman"/>
        </w:rPr>
        <w:t xml:space="preserve"> = </w:t>
      </w:r>
      <m:oMath>
        <m:f>
          <m:fPr>
            <m:ctrlPr>
              <w:rPr>
                <w:rFonts w:ascii="Cambria Math" w:eastAsia="Times New Roman" w:hAnsi="Cambria Math" w:cs="Times New Roman"/>
                <w:b/>
                <w:bCs/>
                <w:i/>
              </w:rPr>
            </m:ctrlPr>
          </m:fPr>
          <m:num>
            <m:r>
              <m:rPr>
                <m:sty m:val="bi"/>
              </m:rPr>
              <w:rPr>
                <w:rFonts w:ascii="Cambria Math" w:eastAsia="Times New Roman" w:hAnsi="Cambria Math" w:cs="Times New Roman"/>
              </w:rPr>
              <m:t>384</m:t>
            </m:r>
          </m:num>
          <m:den>
            <m:r>
              <m:rPr>
                <m:sty m:val="bi"/>
              </m:rPr>
              <w:rPr>
                <w:rFonts w:ascii="Cambria Math" w:eastAsia="Times New Roman" w:hAnsi="Cambria Math" w:cs="Times New Roman"/>
              </w:rPr>
              <m:t xml:space="preserve">1+ </m:t>
            </m:r>
            <m:f>
              <m:fPr>
                <m:ctrlPr>
                  <w:rPr>
                    <w:rFonts w:ascii="Cambria Math" w:eastAsia="Times New Roman" w:hAnsi="Cambria Math" w:cs="Times New Roman"/>
                    <w:b/>
                    <w:bCs/>
                    <w:i/>
                  </w:rPr>
                </m:ctrlPr>
              </m:fPr>
              <m:num>
                <m:r>
                  <m:rPr>
                    <m:sty m:val="bi"/>
                  </m:rPr>
                  <w:rPr>
                    <w:rFonts w:ascii="Cambria Math" w:eastAsia="Times New Roman" w:hAnsi="Cambria Math" w:cs="Times New Roman"/>
                  </w:rPr>
                  <m:t>383</m:t>
                </m:r>
              </m:num>
              <m:den>
                <m:r>
                  <m:rPr>
                    <m:sty m:val="bi"/>
                  </m:rPr>
                  <w:rPr>
                    <w:rFonts w:ascii="Cambria Math" w:eastAsia="Times New Roman" w:hAnsi="Cambria Math" w:cs="Times New Roman"/>
                  </w:rPr>
                  <m:t>210</m:t>
                </m:r>
              </m:den>
            </m:f>
          </m:den>
        </m:f>
      </m:oMath>
      <w:r w:rsidRPr="000E0D70">
        <w:rPr>
          <w:rFonts w:ascii="Times New Roman" w:eastAsia="Times New Roman" w:hAnsi="Times New Roman" w:cs="Times New Roman"/>
          <w:b/>
          <w:bCs/>
        </w:rPr>
        <w:t xml:space="preserve"> = 136</w:t>
      </w:r>
    </w:p>
    <w:p w14:paraId="0706AA34" w14:textId="77777777" w:rsidR="00DE31A0" w:rsidRPr="000E0D70" w:rsidRDefault="00DE31A0"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Allowing for a 10% non-response rate, the final sample size was 150 participants.</w:t>
      </w:r>
    </w:p>
    <w:p w14:paraId="050D9AD5" w14:textId="16189D35" w:rsidR="003E3090" w:rsidRPr="000E0D70" w:rsidRDefault="003E3090" w:rsidP="00841106">
      <w:pPr>
        <w:pStyle w:val="Heading4"/>
        <w:spacing w:line="276" w:lineRule="auto"/>
        <w:jc w:val="both"/>
        <w:rPr>
          <w:sz w:val="22"/>
          <w:szCs w:val="22"/>
        </w:rPr>
      </w:pPr>
      <w:r w:rsidRPr="000E0D70">
        <w:rPr>
          <w:sz w:val="22"/>
          <w:szCs w:val="22"/>
        </w:rPr>
        <w:t xml:space="preserve">Record </w:t>
      </w:r>
      <w:r w:rsidR="00023DE7" w:rsidRPr="000E0D70">
        <w:rPr>
          <w:sz w:val="22"/>
          <w:szCs w:val="22"/>
        </w:rPr>
        <w:t>Review</w:t>
      </w:r>
    </w:p>
    <w:p w14:paraId="75F9A109" w14:textId="63B8F0FC" w:rsidR="003E3090" w:rsidRPr="000E0D70" w:rsidRDefault="003E3090" w:rsidP="00841106">
      <w:pPr>
        <w:pStyle w:val="NormalWeb"/>
        <w:spacing w:line="276" w:lineRule="auto"/>
        <w:jc w:val="both"/>
        <w:rPr>
          <w:sz w:val="22"/>
          <w:szCs w:val="22"/>
        </w:rPr>
      </w:pPr>
      <w:r w:rsidRPr="000E0D70">
        <w:rPr>
          <w:sz w:val="22"/>
          <w:szCs w:val="22"/>
        </w:rPr>
        <w:t xml:space="preserve">The study aimed to include all available cases of ectopic pregnancy recorded within the </w:t>
      </w:r>
      <w:r w:rsidR="005A70EC" w:rsidRPr="000E0D70">
        <w:rPr>
          <w:sz w:val="22"/>
          <w:szCs w:val="22"/>
        </w:rPr>
        <w:t>two-</w:t>
      </w:r>
      <w:r w:rsidRPr="000E0D70">
        <w:rPr>
          <w:sz w:val="22"/>
          <w:szCs w:val="22"/>
        </w:rPr>
        <w:t xml:space="preserve">year period. Where the volume of cases exceeded the capacity for detailed review, systematic sampling was applied. A minimum threshold of </w:t>
      </w:r>
      <w:r w:rsidR="00AE7FE1" w:rsidRPr="000E0D70">
        <w:rPr>
          <w:sz w:val="22"/>
          <w:szCs w:val="22"/>
        </w:rPr>
        <w:t>3000</w:t>
      </w:r>
      <w:r w:rsidRPr="000E0D70">
        <w:rPr>
          <w:sz w:val="22"/>
          <w:szCs w:val="22"/>
        </w:rPr>
        <w:t xml:space="preserve"> records was targeted to ensure adequate estimation of diagnostic timelines, management practices, and outcomes.</w:t>
      </w:r>
    </w:p>
    <w:p w14:paraId="04A3D74D" w14:textId="3468D63C" w:rsidR="003E3090" w:rsidRPr="000E0D70" w:rsidRDefault="003E3090" w:rsidP="00841106">
      <w:pPr>
        <w:pStyle w:val="Heading3"/>
        <w:spacing w:line="276" w:lineRule="auto"/>
        <w:jc w:val="both"/>
        <w:rPr>
          <w:sz w:val="22"/>
          <w:szCs w:val="22"/>
        </w:rPr>
      </w:pPr>
      <w:r w:rsidRPr="000E0D70">
        <w:rPr>
          <w:sz w:val="22"/>
          <w:szCs w:val="22"/>
        </w:rPr>
        <w:t xml:space="preserve">Sampling </w:t>
      </w:r>
      <w:r w:rsidR="00DE31A0" w:rsidRPr="000E0D70">
        <w:rPr>
          <w:sz w:val="22"/>
          <w:szCs w:val="22"/>
        </w:rPr>
        <w:t>Strategy</w:t>
      </w:r>
    </w:p>
    <w:p w14:paraId="1C87505C" w14:textId="64A01328" w:rsidR="003E3090" w:rsidRPr="000E0D70" w:rsidRDefault="003E3090" w:rsidP="00841106">
      <w:pPr>
        <w:pStyle w:val="Heading4"/>
        <w:spacing w:line="276" w:lineRule="auto"/>
        <w:jc w:val="both"/>
        <w:rPr>
          <w:sz w:val="22"/>
          <w:szCs w:val="22"/>
        </w:rPr>
      </w:pPr>
      <w:r w:rsidRPr="000E0D70">
        <w:rPr>
          <w:sz w:val="22"/>
          <w:szCs w:val="22"/>
        </w:rPr>
        <w:t xml:space="preserve">Practitioner </w:t>
      </w:r>
      <w:r w:rsidR="00DE31A0" w:rsidRPr="000E0D70">
        <w:rPr>
          <w:sz w:val="22"/>
          <w:szCs w:val="22"/>
        </w:rPr>
        <w:t>Selection</w:t>
      </w:r>
    </w:p>
    <w:p w14:paraId="0E22936B" w14:textId="77777777" w:rsidR="003E3090" w:rsidRPr="000E0D70" w:rsidRDefault="003E3090" w:rsidP="00841106">
      <w:pPr>
        <w:pStyle w:val="NormalWeb"/>
        <w:spacing w:line="276" w:lineRule="auto"/>
        <w:jc w:val="both"/>
        <w:rPr>
          <w:sz w:val="22"/>
          <w:szCs w:val="22"/>
        </w:rPr>
      </w:pPr>
      <w:r w:rsidRPr="000E0D70">
        <w:rPr>
          <w:sz w:val="22"/>
          <w:szCs w:val="22"/>
        </w:rPr>
        <w:t>Lists of eligible practitioners were obtained from the heads of units. Simple random sampling was applied where practitioner numbers exceeded the allocated sample. In units with fewer eligible practitioners, all were invited to participate.</w:t>
      </w:r>
    </w:p>
    <w:p w14:paraId="5F7E39F9" w14:textId="45551FB8" w:rsidR="003E3090" w:rsidRPr="000E0D70" w:rsidRDefault="003E3090" w:rsidP="00841106">
      <w:pPr>
        <w:pStyle w:val="Heading4"/>
        <w:spacing w:line="276" w:lineRule="auto"/>
        <w:jc w:val="both"/>
        <w:rPr>
          <w:sz w:val="22"/>
          <w:szCs w:val="22"/>
        </w:rPr>
      </w:pPr>
      <w:r w:rsidRPr="000E0D70">
        <w:rPr>
          <w:sz w:val="22"/>
          <w:szCs w:val="22"/>
        </w:rPr>
        <w:t xml:space="preserve">Clinical </w:t>
      </w:r>
      <w:r w:rsidR="00DE31A0" w:rsidRPr="000E0D70">
        <w:rPr>
          <w:sz w:val="22"/>
          <w:szCs w:val="22"/>
        </w:rPr>
        <w:t>Record Selection</w:t>
      </w:r>
    </w:p>
    <w:p w14:paraId="0882F7F3" w14:textId="77777777" w:rsidR="003E3090" w:rsidRPr="000E0D70" w:rsidRDefault="003E3090" w:rsidP="00841106">
      <w:pPr>
        <w:pStyle w:val="NormalWeb"/>
        <w:spacing w:line="276" w:lineRule="auto"/>
        <w:jc w:val="both"/>
        <w:rPr>
          <w:sz w:val="22"/>
          <w:szCs w:val="22"/>
        </w:rPr>
      </w:pPr>
      <w:r w:rsidRPr="000E0D70">
        <w:rPr>
          <w:sz w:val="22"/>
          <w:szCs w:val="22"/>
        </w:rPr>
        <w:t xml:space="preserve">Eligible records were identified from the </w:t>
      </w:r>
      <w:proofErr w:type="spellStart"/>
      <w:r w:rsidRPr="000E0D70">
        <w:rPr>
          <w:sz w:val="22"/>
          <w:szCs w:val="22"/>
        </w:rPr>
        <w:t>gynaecology</w:t>
      </w:r>
      <w:proofErr w:type="spellEnd"/>
      <w:r w:rsidRPr="000E0D70">
        <w:rPr>
          <w:sz w:val="22"/>
          <w:szCs w:val="22"/>
        </w:rPr>
        <w:t xml:space="preserve"> ward admission register, emergency unit register, ultrasound register, theatre logbook, and pathology records. When the number of eligible records exceeded the target, systematic sampling was employed using a fixed interval calculated from the total number of eligible records.</w:t>
      </w:r>
    </w:p>
    <w:p w14:paraId="236EEDBC" w14:textId="60716B70" w:rsidR="003E3090" w:rsidRPr="000E0D70" w:rsidRDefault="003E3090" w:rsidP="00841106">
      <w:pPr>
        <w:pStyle w:val="Heading4"/>
        <w:spacing w:line="276" w:lineRule="auto"/>
        <w:jc w:val="both"/>
        <w:rPr>
          <w:sz w:val="22"/>
          <w:szCs w:val="22"/>
        </w:rPr>
      </w:pPr>
      <w:r w:rsidRPr="000E0D70">
        <w:rPr>
          <w:sz w:val="22"/>
          <w:szCs w:val="22"/>
        </w:rPr>
        <w:t xml:space="preserve">Qualitative </w:t>
      </w:r>
      <w:r w:rsidR="00DE31A0" w:rsidRPr="000E0D70">
        <w:rPr>
          <w:sz w:val="22"/>
          <w:szCs w:val="22"/>
        </w:rPr>
        <w:t>Sampling</w:t>
      </w:r>
    </w:p>
    <w:p w14:paraId="71A31192" w14:textId="24AC6D57" w:rsidR="003E3090" w:rsidRPr="000E0D70" w:rsidRDefault="00DE31A0" w:rsidP="00841106">
      <w:pPr>
        <w:pStyle w:val="NormalWeb"/>
        <w:spacing w:line="276" w:lineRule="auto"/>
        <w:jc w:val="both"/>
        <w:rPr>
          <w:sz w:val="22"/>
          <w:szCs w:val="22"/>
        </w:rPr>
      </w:pPr>
      <w:r w:rsidRPr="000E0D70">
        <w:rPr>
          <w:sz w:val="22"/>
          <w:szCs w:val="22"/>
        </w:rPr>
        <w:t>Purposive sampling was employed to select key informants knowledgeable about policy, service delivery, and departmental operations. Interviews continued until thematic saturation was achieved. Saturation was reached after sixteen interviews.</w:t>
      </w:r>
    </w:p>
    <w:p w14:paraId="17E60ACC" w14:textId="499EB1A3" w:rsidR="003E3090" w:rsidRPr="000E0D70" w:rsidRDefault="003E3090" w:rsidP="00841106">
      <w:pPr>
        <w:pStyle w:val="Heading3"/>
        <w:spacing w:line="276" w:lineRule="auto"/>
        <w:jc w:val="both"/>
        <w:rPr>
          <w:sz w:val="22"/>
          <w:szCs w:val="22"/>
        </w:rPr>
      </w:pPr>
      <w:r w:rsidRPr="000E0D70">
        <w:rPr>
          <w:sz w:val="22"/>
          <w:szCs w:val="22"/>
        </w:rPr>
        <w:t xml:space="preserve">Data </w:t>
      </w:r>
      <w:r w:rsidR="00DE31A0" w:rsidRPr="000E0D70">
        <w:rPr>
          <w:sz w:val="22"/>
          <w:szCs w:val="22"/>
        </w:rPr>
        <w:t>Collection Instruments</w:t>
      </w:r>
    </w:p>
    <w:p w14:paraId="6F38F837" w14:textId="35D626D1" w:rsidR="003E3090" w:rsidRPr="000E0D70" w:rsidRDefault="003E3090" w:rsidP="00841106">
      <w:pPr>
        <w:pStyle w:val="Heading4"/>
        <w:spacing w:line="276" w:lineRule="auto"/>
        <w:jc w:val="both"/>
        <w:rPr>
          <w:sz w:val="22"/>
          <w:szCs w:val="22"/>
        </w:rPr>
      </w:pPr>
      <w:r w:rsidRPr="000E0D70">
        <w:rPr>
          <w:sz w:val="22"/>
          <w:szCs w:val="22"/>
        </w:rPr>
        <w:t xml:space="preserve">Quantitative </w:t>
      </w:r>
      <w:r w:rsidR="00DE31A0" w:rsidRPr="000E0D70">
        <w:rPr>
          <w:sz w:val="22"/>
          <w:szCs w:val="22"/>
        </w:rPr>
        <w:t>Practitioner Questionnaire</w:t>
      </w:r>
    </w:p>
    <w:p w14:paraId="77975A73" w14:textId="6CED0EF0" w:rsidR="003E3090" w:rsidRPr="000E0D70" w:rsidRDefault="003E3090" w:rsidP="00841106">
      <w:pPr>
        <w:pStyle w:val="NormalWeb"/>
        <w:spacing w:line="276" w:lineRule="auto"/>
        <w:jc w:val="both"/>
        <w:rPr>
          <w:sz w:val="22"/>
          <w:szCs w:val="22"/>
        </w:rPr>
      </w:pPr>
      <w:r w:rsidRPr="000E0D70">
        <w:rPr>
          <w:sz w:val="22"/>
          <w:szCs w:val="22"/>
        </w:rPr>
        <w:t xml:space="preserve">A structured and </w:t>
      </w:r>
      <w:r w:rsidR="004D2F3F" w:rsidRPr="000E0D70">
        <w:rPr>
          <w:sz w:val="22"/>
          <w:szCs w:val="22"/>
        </w:rPr>
        <w:t>interviewer-administered</w:t>
      </w:r>
      <w:r w:rsidRPr="000E0D70">
        <w:rPr>
          <w:sz w:val="22"/>
          <w:szCs w:val="22"/>
        </w:rPr>
        <w:t xml:space="preserve"> questionnaire was used to collect information from practitioners. It captured demographic characteristics, years of clinical experience, training background, familiarity with ectopic pregnancy guidelines, diagnostic approaches, treatment preferences, perceptions of institutional capacity, and barriers to optimal management. </w:t>
      </w:r>
      <w:r w:rsidR="004D2F3F" w:rsidRPr="000E0D70">
        <w:rPr>
          <w:sz w:val="22"/>
          <w:szCs w:val="22"/>
        </w:rPr>
        <w:t>Practice-related</w:t>
      </w:r>
      <w:r w:rsidRPr="000E0D70">
        <w:rPr>
          <w:sz w:val="22"/>
          <w:szCs w:val="22"/>
        </w:rPr>
        <w:t xml:space="preserve"> items were scored using a </w:t>
      </w:r>
      <w:r w:rsidR="004D2F3F" w:rsidRPr="000E0D70">
        <w:rPr>
          <w:sz w:val="22"/>
          <w:szCs w:val="22"/>
        </w:rPr>
        <w:t>guideline-based</w:t>
      </w:r>
      <w:r w:rsidRPr="000E0D70">
        <w:rPr>
          <w:sz w:val="22"/>
          <w:szCs w:val="22"/>
        </w:rPr>
        <w:t xml:space="preserve"> checklist, and total practice scores were grouped as good practice at seventy five percent or more, fair practice between fifty and seventy four percent, and poor practice below fifty percent.</w:t>
      </w:r>
    </w:p>
    <w:p w14:paraId="0475F361" w14:textId="7FEBFC2B" w:rsidR="003E3090" w:rsidRPr="000E0D70" w:rsidRDefault="003E3090" w:rsidP="00841106">
      <w:pPr>
        <w:pStyle w:val="Heading4"/>
        <w:spacing w:line="276" w:lineRule="auto"/>
        <w:jc w:val="both"/>
        <w:rPr>
          <w:sz w:val="22"/>
          <w:szCs w:val="22"/>
        </w:rPr>
      </w:pPr>
      <w:r w:rsidRPr="000E0D70">
        <w:rPr>
          <w:sz w:val="22"/>
          <w:szCs w:val="22"/>
        </w:rPr>
        <w:lastRenderedPageBreak/>
        <w:t xml:space="preserve">Retrospective </w:t>
      </w:r>
      <w:r w:rsidR="00DE31A0" w:rsidRPr="000E0D70">
        <w:rPr>
          <w:sz w:val="22"/>
          <w:szCs w:val="22"/>
        </w:rPr>
        <w:t>Abstraction Form</w:t>
      </w:r>
    </w:p>
    <w:p w14:paraId="3C067E9F" w14:textId="77777777" w:rsidR="003E3090" w:rsidRPr="000E0D70" w:rsidRDefault="003E3090" w:rsidP="00841106">
      <w:pPr>
        <w:pStyle w:val="NormalWeb"/>
        <w:spacing w:line="276" w:lineRule="auto"/>
        <w:jc w:val="both"/>
        <w:rPr>
          <w:sz w:val="22"/>
          <w:szCs w:val="22"/>
        </w:rPr>
      </w:pPr>
      <w:r w:rsidRPr="000E0D70">
        <w:rPr>
          <w:sz w:val="22"/>
          <w:szCs w:val="22"/>
        </w:rPr>
        <w:t xml:space="preserve">A </w:t>
      </w:r>
      <w:proofErr w:type="spellStart"/>
      <w:r w:rsidRPr="000E0D70">
        <w:rPr>
          <w:sz w:val="22"/>
          <w:szCs w:val="22"/>
        </w:rPr>
        <w:t>standardised</w:t>
      </w:r>
      <w:proofErr w:type="spellEnd"/>
      <w:r w:rsidRPr="000E0D70">
        <w:rPr>
          <w:sz w:val="22"/>
          <w:szCs w:val="22"/>
        </w:rPr>
        <w:t xml:space="preserve"> data abstraction form was used to collect information from clinical records. Extracted variables included patient demographics, presenting complaints, vital signs at presentation, diagnostic investigations, imaging findings, time from presentation to diagnosis, time from diagnosis to surgical or medical management, intraoperative findings, complications, blood transfusion requirements, duration of admission, and maternal outcome at discharge.</w:t>
      </w:r>
    </w:p>
    <w:p w14:paraId="60345DF2" w14:textId="437AB6BE" w:rsidR="003E3090" w:rsidRPr="000E0D70" w:rsidRDefault="003E3090" w:rsidP="00841106">
      <w:pPr>
        <w:pStyle w:val="Heading4"/>
        <w:spacing w:line="276" w:lineRule="auto"/>
        <w:jc w:val="both"/>
        <w:rPr>
          <w:sz w:val="22"/>
          <w:szCs w:val="22"/>
        </w:rPr>
      </w:pPr>
      <w:r w:rsidRPr="000E0D70">
        <w:rPr>
          <w:sz w:val="22"/>
          <w:szCs w:val="22"/>
        </w:rPr>
        <w:t xml:space="preserve">Facility </w:t>
      </w:r>
      <w:r w:rsidR="00DE31A0" w:rsidRPr="000E0D70">
        <w:rPr>
          <w:sz w:val="22"/>
          <w:szCs w:val="22"/>
        </w:rPr>
        <w:t>Assessment Checklist</w:t>
      </w:r>
    </w:p>
    <w:p w14:paraId="5404F1FE" w14:textId="13F7F80B" w:rsidR="003E3090" w:rsidRPr="000E0D70" w:rsidRDefault="003E3090" w:rsidP="00841106">
      <w:pPr>
        <w:pStyle w:val="NormalWeb"/>
        <w:spacing w:line="276" w:lineRule="auto"/>
        <w:jc w:val="both"/>
        <w:rPr>
          <w:sz w:val="22"/>
          <w:szCs w:val="22"/>
        </w:rPr>
      </w:pPr>
      <w:r w:rsidRPr="000E0D70">
        <w:rPr>
          <w:sz w:val="22"/>
          <w:szCs w:val="22"/>
        </w:rPr>
        <w:t xml:space="preserve">A structured checklist was used to assess </w:t>
      </w:r>
      <w:r w:rsidR="00023DE7" w:rsidRPr="000E0D70">
        <w:rPr>
          <w:sz w:val="22"/>
          <w:szCs w:val="22"/>
        </w:rPr>
        <w:t>ABSUTH's</w:t>
      </w:r>
      <w:r w:rsidRPr="000E0D70">
        <w:rPr>
          <w:sz w:val="22"/>
          <w:szCs w:val="22"/>
        </w:rPr>
        <w:t xml:space="preserve"> readiness to manage ectopic pregnancies. This included </w:t>
      </w:r>
      <w:r w:rsidR="00023DE7" w:rsidRPr="000E0D70">
        <w:rPr>
          <w:sz w:val="22"/>
          <w:szCs w:val="22"/>
        </w:rPr>
        <w:t xml:space="preserve">the </w:t>
      </w:r>
      <w:r w:rsidRPr="000E0D70">
        <w:rPr>
          <w:sz w:val="22"/>
          <w:szCs w:val="22"/>
        </w:rPr>
        <w:t xml:space="preserve">availability of trained sonographers, functioning ultrasound machines, serum beta </w:t>
      </w:r>
      <w:proofErr w:type="spellStart"/>
      <w:r w:rsidRPr="000E0D70">
        <w:rPr>
          <w:sz w:val="22"/>
          <w:szCs w:val="22"/>
        </w:rPr>
        <w:t>hCG</w:t>
      </w:r>
      <w:proofErr w:type="spellEnd"/>
      <w:r w:rsidRPr="000E0D70">
        <w:rPr>
          <w:sz w:val="22"/>
          <w:szCs w:val="22"/>
        </w:rPr>
        <w:t xml:space="preserve"> testing capacity, emergency theatre readiness, availability of methotrexate, blood bank capacity, and availability of an efficient referral system.</w:t>
      </w:r>
    </w:p>
    <w:p w14:paraId="5CC47863" w14:textId="77777777" w:rsidR="003E3090" w:rsidRPr="000E0D70" w:rsidRDefault="003E3090" w:rsidP="00841106">
      <w:pPr>
        <w:pStyle w:val="Heading4"/>
        <w:spacing w:line="276" w:lineRule="auto"/>
        <w:jc w:val="both"/>
        <w:rPr>
          <w:sz w:val="22"/>
          <w:szCs w:val="22"/>
        </w:rPr>
      </w:pPr>
      <w:r w:rsidRPr="000E0D70">
        <w:rPr>
          <w:sz w:val="22"/>
          <w:szCs w:val="22"/>
        </w:rPr>
        <w:t>Qualitative interview guide</w:t>
      </w:r>
    </w:p>
    <w:p w14:paraId="784B4301" w14:textId="649AB955" w:rsidR="003E3090" w:rsidRPr="000E0D70" w:rsidRDefault="003E3090" w:rsidP="00841106">
      <w:pPr>
        <w:pStyle w:val="NormalWeb"/>
        <w:spacing w:line="276" w:lineRule="auto"/>
        <w:jc w:val="both"/>
        <w:rPr>
          <w:sz w:val="22"/>
          <w:szCs w:val="22"/>
        </w:rPr>
      </w:pPr>
      <w:r w:rsidRPr="000E0D70">
        <w:rPr>
          <w:sz w:val="22"/>
          <w:szCs w:val="22"/>
        </w:rPr>
        <w:t xml:space="preserve">A </w:t>
      </w:r>
      <w:r w:rsidR="00DE31A0" w:rsidRPr="000E0D70">
        <w:rPr>
          <w:sz w:val="22"/>
          <w:szCs w:val="22"/>
        </w:rPr>
        <w:t>semi-structured</w:t>
      </w:r>
      <w:r w:rsidRPr="000E0D70">
        <w:rPr>
          <w:sz w:val="22"/>
          <w:szCs w:val="22"/>
        </w:rPr>
        <w:t xml:space="preserve"> guide directed key informant interviews. Topics explored included </w:t>
      </w:r>
      <w:r w:rsidR="00DE31A0" w:rsidRPr="000E0D70">
        <w:rPr>
          <w:sz w:val="22"/>
          <w:szCs w:val="22"/>
        </w:rPr>
        <w:t>decision-making</w:t>
      </w:r>
      <w:r w:rsidRPr="000E0D70">
        <w:rPr>
          <w:sz w:val="22"/>
          <w:szCs w:val="22"/>
        </w:rPr>
        <w:t xml:space="preserve"> processes, adherence to clinical guidelines, perceived limitations in diagnosis and treatment, </w:t>
      </w:r>
      <w:r w:rsidR="00DE31A0" w:rsidRPr="000E0D70">
        <w:rPr>
          <w:sz w:val="22"/>
          <w:szCs w:val="22"/>
        </w:rPr>
        <w:t>workload-related</w:t>
      </w:r>
      <w:r w:rsidRPr="000E0D70">
        <w:rPr>
          <w:sz w:val="22"/>
          <w:szCs w:val="22"/>
        </w:rPr>
        <w:t xml:space="preserve"> constraints, </w:t>
      </w:r>
      <w:r w:rsidR="00DE31A0" w:rsidRPr="000E0D70">
        <w:rPr>
          <w:sz w:val="22"/>
          <w:szCs w:val="22"/>
        </w:rPr>
        <w:t>system-level</w:t>
      </w:r>
      <w:r w:rsidRPr="000E0D70">
        <w:rPr>
          <w:sz w:val="22"/>
          <w:szCs w:val="22"/>
        </w:rPr>
        <w:t xml:space="preserve"> challenges, and recommendations for improving ectopic pregnancy care.</w:t>
      </w:r>
    </w:p>
    <w:p w14:paraId="7A5683C8" w14:textId="77777777" w:rsidR="003E3090" w:rsidRPr="000E0D70" w:rsidRDefault="003E3090" w:rsidP="00841106">
      <w:pPr>
        <w:pStyle w:val="Heading3"/>
        <w:spacing w:line="276" w:lineRule="auto"/>
        <w:jc w:val="both"/>
        <w:rPr>
          <w:sz w:val="22"/>
          <w:szCs w:val="22"/>
        </w:rPr>
      </w:pPr>
      <w:r w:rsidRPr="000E0D70">
        <w:rPr>
          <w:sz w:val="22"/>
          <w:szCs w:val="22"/>
        </w:rPr>
        <w:t>Pilot testing and training</w:t>
      </w:r>
    </w:p>
    <w:p w14:paraId="640A8AC3" w14:textId="77C16218" w:rsidR="003E3090" w:rsidRPr="000E0D70" w:rsidRDefault="003E3090" w:rsidP="00841106">
      <w:pPr>
        <w:pStyle w:val="NormalWeb"/>
        <w:spacing w:line="276" w:lineRule="auto"/>
        <w:jc w:val="both"/>
        <w:rPr>
          <w:sz w:val="22"/>
          <w:szCs w:val="22"/>
        </w:rPr>
      </w:pPr>
      <w:r w:rsidRPr="000E0D70">
        <w:rPr>
          <w:sz w:val="22"/>
          <w:szCs w:val="22"/>
        </w:rPr>
        <w:t xml:space="preserve">All instruments were piloted at </w:t>
      </w:r>
      <w:r w:rsidR="00DE31A0" w:rsidRPr="000E0D70">
        <w:rPr>
          <w:sz w:val="22"/>
          <w:szCs w:val="22"/>
        </w:rPr>
        <w:t>the General Hospital, Aba</w:t>
      </w:r>
      <w:r w:rsidRPr="000E0D70">
        <w:rPr>
          <w:sz w:val="22"/>
          <w:szCs w:val="22"/>
        </w:rPr>
        <w:t xml:space="preserve">. Feedback from the pilot was used to refine the clarity, order, and completeness of the tools. Data collectors were trained for two days on study objectives, research ethics, interviewing techniques, record abstraction methods, use of electronic data capture devices, and data security procedures. Training involved practical demonstrations and </w:t>
      </w:r>
      <w:r w:rsidR="00DE31A0" w:rsidRPr="000E0D70">
        <w:rPr>
          <w:sz w:val="22"/>
          <w:szCs w:val="22"/>
        </w:rPr>
        <w:t>inter-rater</w:t>
      </w:r>
      <w:r w:rsidRPr="000E0D70">
        <w:rPr>
          <w:sz w:val="22"/>
          <w:szCs w:val="22"/>
        </w:rPr>
        <w:t xml:space="preserve"> reliability checks.</w:t>
      </w:r>
    </w:p>
    <w:p w14:paraId="037A4578" w14:textId="058D4ED7" w:rsidR="003E3090" w:rsidRPr="000E0D70" w:rsidRDefault="003E3090" w:rsidP="00841106">
      <w:pPr>
        <w:pStyle w:val="Heading3"/>
        <w:spacing w:line="276" w:lineRule="auto"/>
        <w:jc w:val="both"/>
        <w:rPr>
          <w:sz w:val="22"/>
          <w:szCs w:val="22"/>
        </w:rPr>
      </w:pPr>
      <w:r w:rsidRPr="000E0D70">
        <w:rPr>
          <w:sz w:val="22"/>
          <w:szCs w:val="22"/>
        </w:rPr>
        <w:t xml:space="preserve">Data </w:t>
      </w:r>
      <w:r w:rsidR="00DE31A0" w:rsidRPr="000E0D70">
        <w:rPr>
          <w:sz w:val="22"/>
          <w:szCs w:val="22"/>
        </w:rPr>
        <w:t>Collection Procedures</w:t>
      </w:r>
    </w:p>
    <w:p w14:paraId="04C7ABEB" w14:textId="06581FFD" w:rsidR="003E3090" w:rsidRPr="000E0D70" w:rsidRDefault="003E3090" w:rsidP="00841106">
      <w:pPr>
        <w:pStyle w:val="NormalWeb"/>
        <w:spacing w:line="276" w:lineRule="auto"/>
        <w:jc w:val="both"/>
        <w:rPr>
          <w:sz w:val="22"/>
          <w:szCs w:val="22"/>
        </w:rPr>
      </w:pPr>
      <w:r w:rsidRPr="000E0D70">
        <w:rPr>
          <w:sz w:val="22"/>
          <w:szCs w:val="22"/>
        </w:rPr>
        <w:t xml:space="preserve">Practitioner interviews were carried out in quiet spaces within the hospital to ensure privacy and </w:t>
      </w:r>
      <w:proofErr w:type="spellStart"/>
      <w:r w:rsidRPr="000E0D70">
        <w:rPr>
          <w:sz w:val="22"/>
          <w:szCs w:val="22"/>
        </w:rPr>
        <w:t>minimise</w:t>
      </w:r>
      <w:proofErr w:type="spellEnd"/>
      <w:r w:rsidRPr="000E0D70">
        <w:rPr>
          <w:sz w:val="22"/>
          <w:szCs w:val="22"/>
        </w:rPr>
        <w:t xml:space="preserve"> interruptions. Clinical record abstraction was conducted by trained abstractors under supervision. Facility assessment was performed during site visits and involved direct observation and verification with responsible staff. All key informant interviews were audio recorded with permission and transcribed verbatim. Electronic tablets were used for all quantitative data collection, and data were </w:t>
      </w:r>
      <w:proofErr w:type="spellStart"/>
      <w:r w:rsidRPr="000E0D70">
        <w:rPr>
          <w:sz w:val="22"/>
          <w:szCs w:val="22"/>
        </w:rPr>
        <w:t>synchronised</w:t>
      </w:r>
      <w:proofErr w:type="spellEnd"/>
      <w:r w:rsidRPr="000E0D70">
        <w:rPr>
          <w:sz w:val="22"/>
          <w:szCs w:val="22"/>
        </w:rPr>
        <w:t xml:space="preserve"> daily to secure encrypted servers. Any </w:t>
      </w:r>
      <w:r w:rsidR="00023DE7" w:rsidRPr="000E0D70">
        <w:rPr>
          <w:sz w:val="22"/>
          <w:szCs w:val="22"/>
        </w:rPr>
        <w:t>paper-based</w:t>
      </w:r>
      <w:r w:rsidRPr="000E0D70">
        <w:rPr>
          <w:sz w:val="22"/>
          <w:szCs w:val="22"/>
        </w:rPr>
        <w:t xml:space="preserve"> forms were stored in locked cabinets and </w:t>
      </w:r>
      <w:r w:rsidR="00023DE7" w:rsidRPr="000E0D70">
        <w:rPr>
          <w:sz w:val="22"/>
          <w:szCs w:val="22"/>
        </w:rPr>
        <w:t>double-entered</w:t>
      </w:r>
      <w:r w:rsidRPr="000E0D70">
        <w:rPr>
          <w:sz w:val="22"/>
          <w:szCs w:val="22"/>
        </w:rPr>
        <w:t xml:space="preserve"> into the electronic database.</w:t>
      </w:r>
    </w:p>
    <w:p w14:paraId="7B1B06FF" w14:textId="77777777" w:rsidR="003E3090" w:rsidRPr="000E0D70" w:rsidRDefault="003E3090" w:rsidP="00841106">
      <w:pPr>
        <w:pStyle w:val="Heading3"/>
        <w:spacing w:line="276" w:lineRule="auto"/>
        <w:jc w:val="both"/>
        <w:rPr>
          <w:sz w:val="22"/>
          <w:szCs w:val="22"/>
        </w:rPr>
      </w:pPr>
      <w:r w:rsidRPr="000E0D70">
        <w:rPr>
          <w:sz w:val="22"/>
          <w:szCs w:val="22"/>
        </w:rPr>
        <w:t>Data management and quality control</w:t>
      </w:r>
    </w:p>
    <w:p w14:paraId="56E8606B" w14:textId="77777777" w:rsidR="003E3090" w:rsidRPr="000E0D70" w:rsidRDefault="003E3090" w:rsidP="00841106">
      <w:pPr>
        <w:pStyle w:val="NormalWeb"/>
        <w:spacing w:line="276" w:lineRule="auto"/>
        <w:jc w:val="both"/>
        <w:rPr>
          <w:sz w:val="22"/>
          <w:szCs w:val="22"/>
        </w:rPr>
      </w:pPr>
      <w:r w:rsidRPr="000E0D70">
        <w:rPr>
          <w:sz w:val="22"/>
          <w:szCs w:val="22"/>
        </w:rPr>
        <w:t xml:space="preserve">Supervisors reviewed completed tools each day to check for errors or omissions. Ten percent of practitioner questionnaires and clinical records were </w:t>
      </w:r>
      <w:proofErr w:type="spellStart"/>
      <w:r w:rsidRPr="000E0D70">
        <w:rPr>
          <w:sz w:val="22"/>
          <w:szCs w:val="22"/>
        </w:rPr>
        <w:t>reabstracted</w:t>
      </w:r>
      <w:proofErr w:type="spellEnd"/>
      <w:r w:rsidRPr="000E0D70">
        <w:rPr>
          <w:sz w:val="22"/>
          <w:szCs w:val="22"/>
        </w:rPr>
        <w:t xml:space="preserve"> independently to assess consistency, and discrepancies were resolved through consensus. Electronic datasets were checked for missing values, outliers, and logical inconsistencies before analysis. All identifying information was removed prior to merging datasets for analysis.</w:t>
      </w:r>
    </w:p>
    <w:p w14:paraId="2BC7C569" w14:textId="77777777" w:rsidR="003E3090" w:rsidRPr="000E0D70" w:rsidRDefault="003E3090" w:rsidP="00841106">
      <w:pPr>
        <w:pStyle w:val="Heading3"/>
        <w:spacing w:line="276" w:lineRule="auto"/>
        <w:jc w:val="both"/>
        <w:rPr>
          <w:sz w:val="22"/>
          <w:szCs w:val="22"/>
        </w:rPr>
      </w:pPr>
      <w:r w:rsidRPr="000E0D70">
        <w:rPr>
          <w:sz w:val="22"/>
          <w:szCs w:val="22"/>
        </w:rPr>
        <w:lastRenderedPageBreak/>
        <w:t>Data analysis</w:t>
      </w:r>
    </w:p>
    <w:p w14:paraId="29ED0D23" w14:textId="77777777" w:rsidR="003E3090" w:rsidRPr="000E0D70" w:rsidRDefault="003E3090" w:rsidP="00841106">
      <w:pPr>
        <w:pStyle w:val="Heading4"/>
        <w:spacing w:line="276" w:lineRule="auto"/>
        <w:jc w:val="both"/>
        <w:rPr>
          <w:sz w:val="22"/>
          <w:szCs w:val="22"/>
        </w:rPr>
      </w:pPr>
      <w:r w:rsidRPr="000E0D70">
        <w:rPr>
          <w:sz w:val="22"/>
          <w:szCs w:val="22"/>
        </w:rPr>
        <w:t>Quantitative analysis</w:t>
      </w:r>
    </w:p>
    <w:p w14:paraId="061DAFD7" w14:textId="37686C9D" w:rsidR="003E3090" w:rsidRPr="000E0D70" w:rsidRDefault="003E3090" w:rsidP="00841106">
      <w:pPr>
        <w:pStyle w:val="NormalWeb"/>
        <w:spacing w:line="276" w:lineRule="auto"/>
        <w:jc w:val="both"/>
        <w:rPr>
          <w:sz w:val="22"/>
          <w:szCs w:val="22"/>
        </w:rPr>
      </w:pPr>
      <w:r w:rsidRPr="000E0D70">
        <w:rPr>
          <w:sz w:val="22"/>
          <w:szCs w:val="22"/>
        </w:rPr>
        <w:t xml:space="preserve">Data were </w:t>
      </w:r>
      <w:proofErr w:type="spellStart"/>
      <w:r w:rsidRPr="000E0D70">
        <w:rPr>
          <w:sz w:val="22"/>
          <w:szCs w:val="22"/>
        </w:rPr>
        <w:t>analysed</w:t>
      </w:r>
      <w:proofErr w:type="spellEnd"/>
      <w:r w:rsidRPr="000E0D70">
        <w:rPr>
          <w:sz w:val="22"/>
          <w:szCs w:val="22"/>
        </w:rPr>
        <w:t xml:space="preserve"> using SPSS</w:t>
      </w:r>
      <w:r w:rsidR="003E7A2A">
        <w:rPr>
          <w:sz w:val="22"/>
          <w:szCs w:val="22"/>
        </w:rPr>
        <w:t xml:space="preserve"> </w:t>
      </w:r>
      <w:r w:rsidR="003E7A2A" w:rsidRPr="003E7A2A">
        <w:rPr>
          <w:sz w:val="22"/>
          <w:szCs w:val="22"/>
          <w:highlight w:val="yellow"/>
        </w:rPr>
        <w:t>version 25</w:t>
      </w:r>
      <w:r w:rsidRPr="000E0D70">
        <w:rPr>
          <w:sz w:val="22"/>
          <w:szCs w:val="22"/>
        </w:rPr>
        <w:t xml:space="preserve">. Descriptive statistics </w:t>
      </w:r>
      <w:proofErr w:type="spellStart"/>
      <w:r w:rsidRPr="000E0D70">
        <w:rPr>
          <w:sz w:val="22"/>
          <w:szCs w:val="22"/>
        </w:rPr>
        <w:t>summarised</w:t>
      </w:r>
      <w:proofErr w:type="spellEnd"/>
      <w:r w:rsidRPr="000E0D70">
        <w:rPr>
          <w:sz w:val="22"/>
          <w:szCs w:val="22"/>
        </w:rPr>
        <w:t xml:space="preserve"> practitioner characteristics, facility readiness indicators, diagnostic patterns, treatment approaches, and patient outcomes. Categorical variables were presented as frequencies and percentages. Continuous variables were </w:t>
      </w:r>
      <w:proofErr w:type="spellStart"/>
      <w:r w:rsidRPr="000E0D70">
        <w:rPr>
          <w:sz w:val="22"/>
          <w:szCs w:val="22"/>
        </w:rPr>
        <w:t>summarised</w:t>
      </w:r>
      <w:proofErr w:type="spellEnd"/>
      <w:r w:rsidRPr="000E0D70">
        <w:rPr>
          <w:sz w:val="22"/>
          <w:szCs w:val="22"/>
        </w:rPr>
        <w:t xml:space="preserve"> using means with standard deviations. Associations between practitioner characteristics and </w:t>
      </w:r>
      <w:r w:rsidR="00DE31A0" w:rsidRPr="000E0D70">
        <w:rPr>
          <w:sz w:val="22"/>
          <w:szCs w:val="22"/>
        </w:rPr>
        <w:t>guideline-compliant</w:t>
      </w:r>
      <w:r w:rsidRPr="000E0D70">
        <w:rPr>
          <w:sz w:val="22"/>
          <w:szCs w:val="22"/>
        </w:rPr>
        <w:t xml:space="preserve"> practice were assessed using </w:t>
      </w:r>
      <w:r w:rsidR="00023DE7" w:rsidRPr="000E0D70">
        <w:rPr>
          <w:sz w:val="22"/>
          <w:szCs w:val="22"/>
        </w:rPr>
        <w:t xml:space="preserve">the </w:t>
      </w:r>
      <w:r w:rsidR="00DE31A0" w:rsidRPr="000E0D70">
        <w:rPr>
          <w:sz w:val="22"/>
          <w:szCs w:val="22"/>
        </w:rPr>
        <w:t>chi-square</w:t>
      </w:r>
      <w:r w:rsidRPr="000E0D70">
        <w:rPr>
          <w:sz w:val="22"/>
          <w:szCs w:val="22"/>
        </w:rPr>
        <w:t xml:space="preserve">. Logistic regression was used to identify predictive factors for good practice. Variables with a </w:t>
      </w:r>
      <w:r w:rsidR="00DE31A0" w:rsidRPr="000E0D70">
        <w:rPr>
          <w:sz w:val="22"/>
          <w:szCs w:val="22"/>
        </w:rPr>
        <w:t>p-value</w:t>
      </w:r>
      <w:r w:rsidRPr="000E0D70">
        <w:rPr>
          <w:sz w:val="22"/>
          <w:szCs w:val="22"/>
        </w:rPr>
        <w:t xml:space="preserve"> less than </w:t>
      </w:r>
      <w:r w:rsidR="00023DE7" w:rsidRPr="000E0D70">
        <w:rPr>
          <w:sz w:val="22"/>
          <w:szCs w:val="22"/>
        </w:rPr>
        <w:t>0.2</w:t>
      </w:r>
      <w:r w:rsidRPr="000E0D70">
        <w:rPr>
          <w:sz w:val="22"/>
          <w:szCs w:val="22"/>
        </w:rPr>
        <w:t xml:space="preserve"> in bivariate analysis entered the multivariable model. Adjusted odds ratios with </w:t>
      </w:r>
      <w:r w:rsidR="00023DE7" w:rsidRPr="000E0D70">
        <w:rPr>
          <w:sz w:val="22"/>
          <w:szCs w:val="22"/>
        </w:rPr>
        <w:t>95%</w:t>
      </w:r>
      <w:r w:rsidRPr="000E0D70">
        <w:rPr>
          <w:sz w:val="22"/>
          <w:szCs w:val="22"/>
        </w:rPr>
        <w:t xml:space="preserve"> confidence intervals were calculated. For clinical records, </w:t>
      </w:r>
      <w:r w:rsidR="00DE31A0" w:rsidRPr="000E0D70">
        <w:rPr>
          <w:sz w:val="22"/>
          <w:szCs w:val="22"/>
        </w:rPr>
        <w:t>time-related</w:t>
      </w:r>
      <w:r w:rsidRPr="000E0D70">
        <w:rPr>
          <w:sz w:val="22"/>
          <w:szCs w:val="22"/>
        </w:rPr>
        <w:t xml:space="preserve"> variables were compared across management groups using </w:t>
      </w:r>
      <w:r w:rsidR="00DE31A0" w:rsidRPr="000E0D70">
        <w:rPr>
          <w:sz w:val="22"/>
          <w:szCs w:val="22"/>
        </w:rPr>
        <w:t>t-tests</w:t>
      </w:r>
      <w:r w:rsidRPr="000E0D70">
        <w:rPr>
          <w:sz w:val="22"/>
          <w:szCs w:val="22"/>
        </w:rPr>
        <w:t>. Complication and mortality rates were presented with confidence intervals.</w:t>
      </w:r>
    </w:p>
    <w:p w14:paraId="3BEF8074" w14:textId="77777777" w:rsidR="003E3090" w:rsidRPr="000E0D70" w:rsidRDefault="003E3090" w:rsidP="00841106">
      <w:pPr>
        <w:pStyle w:val="Heading4"/>
        <w:spacing w:line="276" w:lineRule="auto"/>
        <w:jc w:val="both"/>
        <w:rPr>
          <w:sz w:val="22"/>
          <w:szCs w:val="22"/>
        </w:rPr>
      </w:pPr>
      <w:r w:rsidRPr="000E0D70">
        <w:rPr>
          <w:sz w:val="22"/>
          <w:szCs w:val="22"/>
        </w:rPr>
        <w:t>Qualitative analysis</w:t>
      </w:r>
    </w:p>
    <w:p w14:paraId="6E1FC891" w14:textId="10E46682" w:rsidR="003E3090" w:rsidRPr="000E0D70" w:rsidRDefault="003E3090" w:rsidP="00841106">
      <w:pPr>
        <w:pStyle w:val="NormalWeb"/>
        <w:spacing w:line="276" w:lineRule="auto"/>
        <w:jc w:val="both"/>
        <w:rPr>
          <w:sz w:val="22"/>
          <w:szCs w:val="22"/>
        </w:rPr>
      </w:pPr>
      <w:r w:rsidRPr="000E0D70">
        <w:rPr>
          <w:sz w:val="22"/>
          <w:szCs w:val="22"/>
        </w:rPr>
        <w:t xml:space="preserve">Transcripts were read repeatedly to ensure </w:t>
      </w:r>
      <w:proofErr w:type="spellStart"/>
      <w:r w:rsidRPr="000E0D70">
        <w:rPr>
          <w:sz w:val="22"/>
          <w:szCs w:val="22"/>
        </w:rPr>
        <w:t>familiarisation</w:t>
      </w:r>
      <w:proofErr w:type="spellEnd"/>
      <w:r w:rsidRPr="000E0D70">
        <w:rPr>
          <w:sz w:val="22"/>
          <w:szCs w:val="22"/>
        </w:rPr>
        <w:t>. Coding was conducted line by line</w:t>
      </w:r>
      <w:r w:rsidR="00DE31A0" w:rsidRPr="000E0D70">
        <w:rPr>
          <w:sz w:val="22"/>
          <w:szCs w:val="22"/>
        </w:rPr>
        <w:t>,</w:t>
      </w:r>
      <w:r w:rsidRPr="000E0D70">
        <w:rPr>
          <w:sz w:val="22"/>
          <w:szCs w:val="22"/>
        </w:rPr>
        <w:t xml:space="preserve"> and a codebook was developed to guide the process. Two researchers coded all transcripts independently, and differences were </w:t>
      </w:r>
      <w:proofErr w:type="spellStart"/>
      <w:r w:rsidRPr="000E0D70">
        <w:rPr>
          <w:sz w:val="22"/>
          <w:szCs w:val="22"/>
        </w:rPr>
        <w:t>harmonised</w:t>
      </w:r>
      <w:proofErr w:type="spellEnd"/>
      <w:r w:rsidRPr="000E0D70">
        <w:rPr>
          <w:sz w:val="22"/>
          <w:szCs w:val="22"/>
        </w:rPr>
        <w:t xml:space="preserve"> through discussion. Themes were generated by identifying recurring patterns across coded data, and representative quotations were selected to support major thematic findings.</w:t>
      </w:r>
    </w:p>
    <w:p w14:paraId="545E4821" w14:textId="2DBCA111" w:rsidR="003E3090" w:rsidRPr="000E0D70" w:rsidRDefault="003E3090" w:rsidP="00841106">
      <w:pPr>
        <w:pStyle w:val="Heading3"/>
        <w:spacing w:line="276" w:lineRule="auto"/>
        <w:jc w:val="both"/>
        <w:rPr>
          <w:sz w:val="22"/>
          <w:szCs w:val="22"/>
        </w:rPr>
      </w:pPr>
      <w:r w:rsidRPr="000E0D70">
        <w:rPr>
          <w:sz w:val="22"/>
          <w:szCs w:val="22"/>
        </w:rPr>
        <w:t xml:space="preserve">Operational </w:t>
      </w:r>
      <w:r w:rsidR="00DE31A0" w:rsidRPr="000E0D70">
        <w:rPr>
          <w:sz w:val="22"/>
          <w:szCs w:val="22"/>
        </w:rPr>
        <w:t>Definitions</w:t>
      </w:r>
    </w:p>
    <w:p w14:paraId="4001F1BB" w14:textId="57791225" w:rsidR="003E3090" w:rsidRPr="000E0D70" w:rsidRDefault="003E3090" w:rsidP="00841106">
      <w:pPr>
        <w:pStyle w:val="NormalWeb"/>
        <w:spacing w:line="276" w:lineRule="auto"/>
        <w:jc w:val="both"/>
        <w:rPr>
          <w:sz w:val="22"/>
          <w:szCs w:val="22"/>
        </w:rPr>
      </w:pPr>
      <w:r w:rsidRPr="000E0D70">
        <w:rPr>
          <w:sz w:val="22"/>
          <w:szCs w:val="22"/>
        </w:rPr>
        <w:t xml:space="preserve">Ectopic pregnancy was defined as a confirmed </w:t>
      </w:r>
      <w:r w:rsidR="00DE31A0" w:rsidRPr="000E0D70">
        <w:rPr>
          <w:sz w:val="22"/>
          <w:szCs w:val="22"/>
        </w:rPr>
        <w:t>extra-uterine</w:t>
      </w:r>
      <w:r w:rsidRPr="000E0D70">
        <w:rPr>
          <w:sz w:val="22"/>
          <w:szCs w:val="22"/>
        </w:rPr>
        <w:t xml:space="preserve"> pregnancy diagnosed through clinical evaluation, ultrasound findings, operative confirmation, or histopathological analysis. </w:t>
      </w:r>
      <w:r w:rsidR="00DE31A0" w:rsidRPr="000E0D70">
        <w:rPr>
          <w:sz w:val="22"/>
          <w:szCs w:val="22"/>
        </w:rPr>
        <w:t>Guideline-compliant</w:t>
      </w:r>
      <w:r w:rsidRPr="000E0D70">
        <w:rPr>
          <w:sz w:val="22"/>
          <w:szCs w:val="22"/>
        </w:rPr>
        <w:t xml:space="preserve"> management referred to adherence to a composite checklist based on national and international recommendations for diagnosis and treatment of ectopic pregnancy.</w:t>
      </w:r>
    </w:p>
    <w:p w14:paraId="25A3614F" w14:textId="77777777" w:rsidR="003E3090" w:rsidRPr="000E0D70" w:rsidRDefault="003E3090" w:rsidP="00841106">
      <w:pPr>
        <w:pStyle w:val="Heading3"/>
        <w:spacing w:line="276" w:lineRule="auto"/>
        <w:jc w:val="both"/>
        <w:rPr>
          <w:sz w:val="22"/>
          <w:szCs w:val="22"/>
        </w:rPr>
      </w:pPr>
      <w:r w:rsidRPr="000E0D70">
        <w:rPr>
          <w:sz w:val="22"/>
          <w:szCs w:val="22"/>
        </w:rPr>
        <w:t>Ethical considerations</w:t>
      </w:r>
    </w:p>
    <w:p w14:paraId="28FF13A0" w14:textId="6EBA1AB2" w:rsidR="003E3090" w:rsidRPr="000E0D70" w:rsidRDefault="003E3090" w:rsidP="00841106">
      <w:pPr>
        <w:pStyle w:val="NormalWeb"/>
        <w:spacing w:line="276" w:lineRule="auto"/>
        <w:jc w:val="both"/>
        <w:rPr>
          <w:sz w:val="22"/>
          <w:szCs w:val="22"/>
        </w:rPr>
      </w:pPr>
      <w:r w:rsidRPr="000E0D70">
        <w:rPr>
          <w:sz w:val="22"/>
          <w:szCs w:val="22"/>
        </w:rPr>
        <w:t xml:space="preserve">Written informed consent was obtained from all practitioners and key informants. For the record review, the ethics committee approved a waiver of individual patient consent since no direct interaction with patients occurred. All patient identifiers were removed during data extraction. Data were stored securely and reported only in </w:t>
      </w:r>
      <w:r w:rsidR="00DE31A0" w:rsidRPr="000E0D70">
        <w:rPr>
          <w:sz w:val="22"/>
          <w:szCs w:val="22"/>
        </w:rPr>
        <w:t xml:space="preserve">an </w:t>
      </w:r>
      <w:r w:rsidRPr="000E0D70">
        <w:rPr>
          <w:sz w:val="22"/>
          <w:szCs w:val="22"/>
        </w:rPr>
        <w:t>aggregated form to ensure confidentiality.</w:t>
      </w:r>
    </w:p>
    <w:p w14:paraId="4EB8C663" w14:textId="130B38D3" w:rsidR="00ED50A1"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b/>
          <w:bCs/>
        </w:rPr>
        <w:t>RESULTS</w:t>
      </w:r>
      <w:r w:rsidR="00780D3D">
        <w:rPr>
          <w:rFonts w:ascii="Times New Roman" w:hAnsi="Times New Roman" w:cs="Times New Roman"/>
          <w:b/>
          <w:bCs/>
        </w:rPr>
        <w:t xml:space="preserve"> &amp; </w:t>
      </w:r>
      <w:r w:rsidR="00780D3D" w:rsidRPr="00780D3D">
        <w:rPr>
          <w:rFonts w:ascii="Times New Roman" w:hAnsi="Times New Roman" w:cs="Times New Roman"/>
          <w:b/>
          <w:bCs/>
        </w:rPr>
        <w:t>DISCUSSION</w:t>
      </w:r>
    </w:p>
    <w:p w14:paraId="10969AE2" w14:textId="46863D06"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 total of 150 practitioners participated in the study, with males forming a slight majority at 54.7</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females at 45.3</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Most respondents were between 30 and 49 years of age, while the distribution of professional cadres showed that nurse midwives, resident doctors and consultants were the most represented groups. The mean clinical experience was about nine years, and roughly </w:t>
      </w:r>
      <w:r w:rsidR="00023DE7" w:rsidRPr="000E0D70">
        <w:rPr>
          <w:rFonts w:ascii="Times New Roman" w:eastAsia="Times New Roman" w:hAnsi="Times New Roman" w:cs="Times New Roman"/>
        </w:rPr>
        <w:t>one-third</w:t>
      </w:r>
      <w:r w:rsidRPr="000E0D70">
        <w:rPr>
          <w:rFonts w:ascii="Times New Roman" w:eastAsia="Times New Roman" w:hAnsi="Times New Roman" w:cs="Times New Roman"/>
        </w:rPr>
        <w:t xml:space="preserve"> fell into the less than five years or more than ten years categories. Only </w:t>
      </w:r>
      <w:r w:rsidR="00023DE7" w:rsidRPr="000E0D70">
        <w:rPr>
          <w:rFonts w:ascii="Times New Roman" w:eastAsia="Times New Roman" w:hAnsi="Times New Roman" w:cs="Times New Roman"/>
        </w:rPr>
        <w:t>42%</w:t>
      </w:r>
      <w:r w:rsidRPr="000E0D70">
        <w:rPr>
          <w:rFonts w:ascii="Times New Roman" w:eastAsia="Times New Roman" w:hAnsi="Times New Roman" w:cs="Times New Roman"/>
        </w:rPr>
        <w:t xml:space="preserve"> had received formal training on ectopic pregnancy management within the last three years (Table 1).</w:t>
      </w:r>
    </w:p>
    <w:p w14:paraId="7CC07962"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Knowledge and attitude assessments showed mixed levels of familiarity with national guidelines. A little over half agreed or strongly agreed that they were familiar with the national ectopic pregnancy guideline, although about a quarter disagreed. Confidence in diagnosis followed a similar pattern, with just above half expressing confidence, while a smaller proportion reported low confidence. Perceptions of institutional capacity were more varied, and almost two in five respondents felt their facilities were not adequately equipped for ectopic pregnancy care (Table 2).</w:t>
      </w:r>
    </w:p>
    <w:p w14:paraId="7EFDA806" w14:textId="3819AD82"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Practice scores based on the guideline checklist indicated that </w:t>
      </w:r>
      <w:r w:rsidR="00023DE7" w:rsidRPr="000E0D70">
        <w:rPr>
          <w:rFonts w:ascii="Times New Roman" w:eastAsia="Times New Roman" w:hAnsi="Times New Roman" w:cs="Times New Roman"/>
        </w:rPr>
        <w:t>38.7%</w:t>
      </w:r>
      <w:r w:rsidRPr="000E0D70">
        <w:rPr>
          <w:rFonts w:ascii="Times New Roman" w:eastAsia="Times New Roman" w:hAnsi="Times New Roman" w:cs="Times New Roman"/>
        </w:rPr>
        <w:t xml:space="preserve"> demonstrated good practice, </w:t>
      </w:r>
      <w:r w:rsidR="00023DE7" w:rsidRPr="000E0D70">
        <w:rPr>
          <w:rFonts w:ascii="Times New Roman" w:eastAsia="Times New Roman" w:hAnsi="Times New Roman" w:cs="Times New Roman"/>
        </w:rPr>
        <w:t>44%</w:t>
      </w:r>
      <w:r w:rsidRPr="000E0D70">
        <w:rPr>
          <w:rFonts w:ascii="Times New Roman" w:eastAsia="Times New Roman" w:hAnsi="Times New Roman" w:cs="Times New Roman"/>
        </w:rPr>
        <w:t xml:space="preserve"> fell into fair practice, and </w:t>
      </w:r>
      <w:r w:rsidR="00023DE7" w:rsidRPr="000E0D70">
        <w:rPr>
          <w:rFonts w:ascii="Times New Roman" w:eastAsia="Times New Roman" w:hAnsi="Times New Roman" w:cs="Times New Roman"/>
        </w:rPr>
        <w:t>17.3%</w:t>
      </w:r>
      <w:r w:rsidRPr="000E0D70">
        <w:rPr>
          <w:rFonts w:ascii="Times New Roman" w:eastAsia="Times New Roman" w:hAnsi="Times New Roman" w:cs="Times New Roman"/>
        </w:rPr>
        <w:t xml:space="preserve"> showed poor practice. These distributions are illustrated in Figure 1.</w:t>
      </w:r>
    </w:p>
    <w:p w14:paraId="6423DF18" w14:textId="4C221B1C"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Facility readiness varied considerably across the eight assessed units. While most units had functioning ultrasound services, trained sonographers and dependable blood bank support, only half had methotrexate routinely available</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fewer than four in ten had a dedicated ectopic management protocol. All units had emergency theatre access within thirty minutes (Table 3).</w:t>
      </w:r>
    </w:p>
    <w:p w14:paraId="4F3291BB"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Clinical records from 87 patients revealed that abdominal pain was the most common presenting symptom, followed by vaginal bleeding. Transvaginal ultrasound was the dominant method of diagnosis and seven in ten patients were hemodynamically stable at presentation. The median time from presentation to diagnosis was eight hours (Table 4).</w:t>
      </w:r>
    </w:p>
    <w:p w14:paraId="620D8FFE" w14:textId="66745ACB"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Surgical management was the primary treatment in nearly </w:t>
      </w:r>
      <w:r w:rsidR="00023DE7" w:rsidRPr="000E0D70">
        <w:rPr>
          <w:rFonts w:ascii="Times New Roman" w:eastAsia="Times New Roman" w:hAnsi="Times New Roman" w:cs="Times New Roman"/>
        </w:rPr>
        <w:t>three-quarters</w:t>
      </w:r>
      <w:r w:rsidRPr="000E0D70">
        <w:rPr>
          <w:rFonts w:ascii="Times New Roman" w:eastAsia="Times New Roman" w:hAnsi="Times New Roman" w:cs="Times New Roman"/>
        </w:rPr>
        <w:t xml:space="preserve"> of the cases, with salpingectomy being the most common procedure. Blood transfusion was required in about </w:t>
      </w:r>
      <w:r w:rsidR="00023DE7" w:rsidRPr="000E0D70">
        <w:rPr>
          <w:rFonts w:ascii="Times New Roman" w:eastAsia="Times New Roman" w:hAnsi="Times New Roman" w:cs="Times New Roman"/>
        </w:rPr>
        <w:t>one-third</w:t>
      </w:r>
      <w:r w:rsidRPr="000E0D70">
        <w:rPr>
          <w:rFonts w:ascii="Times New Roman" w:eastAsia="Times New Roman" w:hAnsi="Times New Roman" w:cs="Times New Roman"/>
        </w:rPr>
        <w:t xml:space="preserve"> of cases</w:t>
      </w:r>
      <w:r w:rsidR="00023DE7"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maternal mortality was low at just over </w:t>
      </w:r>
      <w:r w:rsidR="00023DE7" w:rsidRPr="000E0D70">
        <w:rPr>
          <w:rFonts w:ascii="Times New Roman" w:eastAsia="Times New Roman" w:hAnsi="Times New Roman" w:cs="Times New Roman"/>
        </w:rPr>
        <w:t>2%</w:t>
      </w:r>
      <w:r w:rsidRPr="000E0D70">
        <w:rPr>
          <w:rFonts w:ascii="Times New Roman" w:eastAsia="Times New Roman" w:hAnsi="Times New Roman" w:cs="Times New Roman"/>
        </w:rPr>
        <w:t>. The average hospital stay was roughly five days (Table 5). Comparison of time intervals showed that patients managed surgically had quicker diagnosis to treatment times but greater blood loss and longer hospital stay compared with those managed medically or expectantly (Table 6).</w:t>
      </w:r>
    </w:p>
    <w:p w14:paraId="3D59F40A" w14:textId="19F39D14"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Correlation analyses demonstrated that practice scores increased with greater clinical experience, higher facility readiness scores and the number of ectopic cases previously managed, while age did not show a significant correlation (Table 7). </w:t>
      </w:r>
      <w:r w:rsidR="00023DE7" w:rsidRPr="000E0D70">
        <w:rPr>
          <w:rFonts w:ascii="Times New Roman" w:eastAsia="Times New Roman" w:hAnsi="Times New Roman" w:cs="Times New Roman"/>
        </w:rPr>
        <w:t>Chi-square</w:t>
      </w:r>
      <w:r w:rsidRPr="000E0D70">
        <w:rPr>
          <w:rFonts w:ascii="Times New Roman" w:eastAsia="Times New Roman" w:hAnsi="Times New Roman" w:cs="Times New Roman"/>
        </w:rPr>
        <w:t xml:space="preserve"> tests revealed significant associations between </w:t>
      </w:r>
      <w:r w:rsidR="00023DE7" w:rsidRPr="000E0D70">
        <w:rPr>
          <w:rFonts w:ascii="Times New Roman" w:eastAsia="Times New Roman" w:hAnsi="Times New Roman" w:cs="Times New Roman"/>
        </w:rPr>
        <w:t>guideline-compliant</w:t>
      </w:r>
      <w:r w:rsidRPr="000E0D70">
        <w:rPr>
          <w:rFonts w:ascii="Times New Roman" w:eastAsia="Times New Roman" w:hAnsi="Times New Roman" w:cs="Times New Roman"/>
        </w:rPr>
        <w:t xml:space="preserve"> practice and practitioner cadre, recent formal training and facility factors such as availability of functioning ultrasound. Hemodynamic stability at presentation was strongly associated with the need for blood transfusion (Table 8).</w:t>
      </w:r>
    </w:p>
    <w:p w14:paraId="3EF40BA2"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Multivariable logistic regression confirmed that recent training and higher facility readiness remained independent predictors of good practice. Clinical experience also maintained a modest but significant effect, while sex and practitioner cadre were not statistically significant after adjustment (Table 9).</w:t>
      </w:r>
    </w:p>
    <w:p w14:paraId="336F2430" w14:textId="77777777"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Outcomes among ectopic pregnancy cases showed that complications were relatively low, with most patients discharged home in stable condition. Blood transfusion remained the most frequent intervention (Table 10).</w:t>
      </w:r>
    </w:p>
    <w:p w14:paraId="49CC1336" w14:textId="749EFF18" w:rsidR="00841106" w:rsidRPr="000E0D70" w:rsidRDefault="00841106"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Qualitative interviews reinforced the quantitative findings. Respondents highlighted delays in diagnosis due to inconsistent imaging availability, methotrexate stockouts, training gaps and referral delays from </w:t>
      </w:r>
      <w:r w:rsidRPr="000E0D70">
        <w:rPr>
          <w:rFonts w:ascii="Times New Roman" w:eastAsia="Times New Roman" w:hAnsi="Times New Roman" w:cs="Times New Roman"/>
        </w:rPr>
        <w:lastRenderedPageBreak/>
        <w:t>peripheral facilities. They also pointed to strengths</w:t>
      </w:r>
      <w:r w:rsidR="000E0D70" w:rsidRPr="000E0D70">
        <w:rPr>
          <w:rFonts w:ascii="Times New Roman" w:eastAsia="Times New Roman" w:hAnsi="Times New Roman" w:cs="Times New Roman"/>
        </w:rPr>
        <w:t>,</w:t>
      </w:r>
      <w:r w:rsidRPr="000E0D70">
        <w:rPr>
          <w:rFonts w:ascii="Times New Roman" w:eastAsia="Times New Roman" w:hAnsi="Times New Roman" w:cs="Times New Roman"/>
        </w:rPr>
        <w:t xml:space="preserve"> including responsive emergency theatre teams and functional blood bank services. Calls for written protocols and regular audits were widely echoed (Table 11).</w:t>
      </w:r>
    </w:p>
    <w:p w14:paraId="6B8C3221" w14:textId="7C6C1764" w:rsidR="001D008D" w:rsidRPr="000E0D70" w:rsidRDefault="001D008D" w:rsidP="00841106">
      <w:pPr>
        <w:spacing w:line="276" w:lineRule="auto"/>
        <w:jc w:val="both"/>
        <w:rPr>
          <w:rFonts w:ascii="Times New Roman" w:hAnsi="Times New Roman" w:cs="Times New Roman"/>
        </w:rPr>
      </w:pPr>
    </w:p>
    <w:p w14:paraId="253808F5" w14:textId="1A0ECE0C"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 Practitioner sociodemographic characteristics</w:t>
      </w:r>
    </w:p>
    <w:tbl>
      <w:tblPr>
        <w:tblStyle w:val="TableGrid"/>
        <w:tblW w:w="0" w:type="auto"/>
        <w:tblLook w:val="04A0" w:firstRow="1" w:lastRow="0" w:firstColumn="1" w:lastColumn="0" w:noHBand="0" w:noVBand="1"/>
      </w:tblPr>
      <w:tblGrid>
        <w:gridCol w:w="5125"/>
        <w:gridCol w:w="2520"/>
        <w:gridCol w:w="1676"/>
      </w:tblGrid>
      <w:tr w:rsidR="001D008D" w:rsidRPr="000E0D70" w14:paraId="32BEE39C" w14:textId="77777777" w:rsidTr="00023DE7">
        <w:tc>
          <w:tcPr>
            <w:tcW w:w="5125" w:type="dxa"/>
            <w:hideMark/>
          </w:tcPr>
          <w:p w14:paraId="71BC6CC7" w14:textId="777777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Variable</w:t>
            </w:r>
          </w:p>
        </w:tc>
        <w:tc>
          <w:tcPr>
            <w:tcW w:w="2520" w:type="dxa"/>
            <w:hideMark/>
          </w:tcPr>
          <w:p w14:paraId="64A613F7" w14:textId="17BB5C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Frequency (n = 150)</w:t>
            </w:r>
          </w:p>
        </w:tc>
        <w:tc>
          <w:tcPr>
            <w:tcW w:w="0" w:type="auto"/>
            <w:hideMark/>
          </w:tcPr>
          <w:p w14:paraId="5258C65E" w14:textId="77777777" w:rsidR="001D008D" w:rsidRPr="000E0D70" w:rsidRDefault="001D008D" w:rsidP="00841106">
            <w:pPr>
              <w:spacing w:line="276" w:lineRule="auto"/>
              <w:jc w:val="both"/>
              <w:rPr>
                <w:rFonts w:ascii="Times New Roman" w:eastAsia="Times New Roman" w:hAnsi="Times New Roman" w:cs="Times New Roman"/>
                <w:b/>
                <w:bCs/>
              </w:rPr>
            </w:pPr>
            <w:r w:rsidRPr="000E0D70">
              <w:rPr>
                <w:rFonts w:ascii="Times New Roman" w:eastAsia="Times New Roman" w:hAnsi="Times New Roman" w:cs="Times New Roman"/>
                <w:b/>
                <w:bCs/>
              </w:rPr>
              <w:t>Percentage (%)</w:t>
            </w:r>
          </w:p>
        </w:tc>
      </w:tr>
      <w:tr w:rsidR="001D008D" w:rsidRPr="000E0D70" w14:paraId="40B76E00" w14:textId="77777777" w:rsidTr="00023DE7">
        <w:tc>
          <w:tcPr>
            <w:tcW w:w="5125" w:type="dxa"/>
            <w:hideMark/>
          </w:tcPr>
          <w:p w14:paraId="602E9AE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Sex</w:t>
            </w:r>
          </w:p>
        </w:tc>
        <w:tc>
          <w:tcPr>
            <w:tcW w:w="2520" w:type="dxa"/>
            <w:hideMark/>
          </w:tcPr>
          <w:p w14:paraId="76F8A751"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3C37B8C0"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5D2F02BE" w14:textId="77777777" w:rsidTr="00023DE7">
        <w:tc>
          <w:tcPr>
            <w:tcW w:w="5125" w:type="dxa"/>
            <w:hideMark/>
          </w:tcPr>
          <w:p w14:paraId="5803BE1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Male</w:t>
            </w:r>
          </w:p>
        </w:tc>
        <w:tc>
          <w:tcPr>
            <w:tcW w:w="2520" w:type="dxa"/>
            <w:hideMark/>
          </w:tcPr>
          <w:p w14:paraId="229FFB6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82</w:t>
            </w:r>
          </w:p>
        </w:tc>
        <w:tc>
          <w:tcPr>
            <w:tcW w:w="0" w:type="auto"/>
            <w:hideMark/>
          </w:tcPr>
          <w:p w14:paraId="6E7D6F9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54.67</w:t>
            </w:r>
          </w:p>
        </w:tc>
      </w:tr>
      <w:tr w:rsidR="001D008D" w:rsidRPr="000E0D70" w14:paraId="1FB28C4A" w14:textId="77777777" w:rsidTr="00023DE7">
        <w:tc>
          <w:tcPr>
            <w:tcW w:w="5125" w:type="dxa"/>
            <w:hideMark/>
          </w:tcPr>
          <w:p w14:paraId="6F891BD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Female</w:t>
            </w:r>
          </w:p>
        </w:tc>
        <w:tc>
          <w:tcPr>
            <w:tcW w:w="2520" w:type="dxa"/>
            <w:hideMark/>
          </w:tcPr>
          <w:p w14:paraId="79FE321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68</w:t>
            </w:r>
          </w:p>
        </w:tc>
        <w:tc>
          <w:tcPr>
            <w:tcW w:w="0" w:type="auto"/>
            <w:hideMark/>
          </w:tcPr>
          <w:p w14:paraId="27D489A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45.33</w:t>
            </w:r>
          </w:p>
        </w:tc>
      </w:tr>
      <w:tr w:rsidR="001D008D" w:rsidRPr="000E0D70" w14:paraId="5A52E456" w14:textId="77777777" w:rsidTr="00023DE7">
        <w:tc>
          <w:tcPr>
            <w:tcW w:w="5125" w:type="dxa"/>
            <w:hideMark/>
          </w:tcPr>
          <w:p w14:paraId="1FBCAF9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Age group (years)</w:t>
            </w:r>
          </w:p>
        </w:tc>
        <w:tc>
          <w:tcPr>
            <w:tcW w:w="2520" w:type="dxa"/>
            <w:hideMark/>
          </w:tcPr>
          <w:p w14:paraId="24A87930"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6E3DF7A8"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29949CB3" w14:textId="77777777" w:rsidTr="00023DE7">
        <w:tc>
          <w:tcPr>
            <w:tcW w:w="5125" w:type="dxa"/>
            <w:hideMark/>
          </w:tcPr>
          <w:p w14:paraId="390E9E4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&lt;30</w:t>
            </w:r>
          </w:p>
        </w:tc>
        <w:tc>
          <w:tcPr>
            <w:tcW w:w="2520" w:type="dxa"/>
            <w:hideMark/>
          </w:tcPr>
          <w:p w14:paraId="00DA8D8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22</w:t>
            </w:r>
          </w:p>
        </w:tc>
        <w:tc>
          <w:tcPr>
            <w:tcW w:w="0" w:type="auto"/>
            <w:hideMark/>
          </w:tcPr>
          <w:p w14:paraId="5B74C41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14.67</w:t>
            </w:r>
          </w:p>
        </w:tc>
      </w:tr>
      <w:tr w:rsidR="001D008D" w:rsidRPr="000E0D70" w14:paraId="01CA609F" w14:textId="77777777" w:rsidTr="00023DE7">
        <w:tc>
          <w:tcPr>
            <w:tcW w:w="5125" w:type="dxa"/>
            <w:hideMark/>
          </w:tcPr>
          <w:p w14:paraId="454C504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 to 39</w:t>
            </w:r>
          </w:p>
        </w:tc>
        <w:tc>
          <w:tcPr>
            <w:tcW w:w="2520" w:type="dxa"/>
            <w:hideMark/>
          </w:tcPr>
          <w:p w14:paraId="1BAF7D3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57</w:t>
            </w:r>
          </w:p>
        </w:tc>
        <w:tc>
          <w:tcPr>
            <w:tcW w:w="0" w:type="auto"/>
            <w:hideMark/>
          </w:tcPr>
          <w:p w14:paraId="3662A7C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38.00</w:t>
            </w:r>
          </w:p>
        </w:tc>
      </w:tr>
      <w:tr w:rsidR="001D008D" w:rsidRPr="000E0D70" w14:paraId="6107C3C1" w14:textId="77777777" w:rsidTr="00023DE7">
        <w:tc>
          <w:tcPr>
            <w:tcW w:w="5125" w:type="dxa"/>
            <w:hideMark/>
          </w:tcPr>
          <w:p w14:paraId="4BE96E8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40 to 49</w:t>
            </w:r>
          </w:p>
        </w:tc>
        <w:tc>
          <w:tcPr>
            <w:tcW w:w="2520" w:type="dxa"/>
            <w:hideMark/>
          </w:tcPr>
          <w:p w14:paraId="5541344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45</w:t>
            </w:r>
          </w:p>
        </w:tc>
        <w:tc>
          <w:tcPr>
            <w:tcW w:w="0" w:type="auto"/>
            <w:hideMark/>
          </w:tcPr>
          <w:p w14:paraId="417FDB2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30.00</w:t>
            </w:r>
          </w:p>
        </w:tc>
      </w:tr>
      <w:tr w:rsidR="001D008D" w:rsidRPr="000E0D70" w14:paraId="4204513B" w14:textId="77777777" w:rsidTr="00023DE7">
        <w:tc>
          <w:tcPr>
            <w:tcW w:w="5125" w:type="dxa"/>
            <w:hideMark/>
          </w:tcPr>
          <w:p w14:paraId="01EDB9B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≥50</w:t>
            </w:r>
          </w:p>
        </w:tc>
        <w:tc>
          <w:tcPr>
            <w:tcW w:w="2520" w:type="dxa"/>
            <w:hideMark/>
          </w:tcPr>
          <w:p w14:paraId="17FADCA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26</w:t>
            </w:r>
          </w:p>
        </w:tc>
        <w:tc>
          <w:tcPr>
            <w:tcW w:w="0" w:type="auto"/>
            <w:hideMark/>
          </w:tcPr>
          <w:p w14:paraId="0DEFC279"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17.33</w:t>
            </w:r>
          </w:p>
        </w:tc>
      </w:tr>
      <w:tr w:rsidR="001D008D" w:rsidRPr="000E0D70" w14:paraId="6E43022C" w14:textId="77777777" w:rsidTr="00023DE7">
        <w:tc>
          <w:tcPr>
            <w:tcW w:w="5125" w:type="dxa"/>
            <w:hideMark/>
          </w:tcPr>
          <w:p w14:paraId="3AAD23E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Professional cadre</w:t>
            </w:r>
          </w:p>
        </w:tc>
        <w:tc>
          <w:tcPr>
            <w:tcW w:w="2520" w:type="dxa"/>
            <w:hideMark/>
          </w:tcPr>
          <w:p w14:paraId="1F46CB68"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79F605A2"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5EA5A679" w14:textId="77777777" w:rsidTr="00023DE7">
        <w:tc>
          <w:tcPr>
            <w:tcW w:w="5125" w:type="dxa"/>
            <w:hideMark/>
          </w:tcPr>
          <w:p w14:paraId="1BB74899"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Consultant obstetrician</w:t>
            </w:r>
          </w:p>
        </w:tc>
        <w:tc>
          <w:tcPr>
            <w:tcW w:w="2520" w:type="dxa"/>
            <w:hideMark/>
          </w:tcPr>
          <w:p w14:paraId="6168DDB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28</w:t>
            </w:r>
          </w:p>
        </w:tc>
        <w:tc>
          <w:tcPr>
            <w:tcW w:w="0" w:type="auto"/>
            <w:hideMark/>
          </w:tcPr>
          <w:p w14:paraId="0F0F726E"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18.67</w:t>
            </w:r>
          </w:p>
        </w:tc>
      </w:tr>
      <w:tr w:rsidR="001D008D" w:rsidRPr="000E0D70" w14:paraId="6D950557" w14:textId="77777777" w:rsidTr="00023DE7">
        <w:tc>
          <w:tcPr>
            <w:tcW w:w="5125" w:type="dxa"/>
            <w:hideMark/>
          </w:tcPr>
          <w:p w14:paraId="13F058D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Resident doctor</w:t>
            </w:r>
          </w:p>
        </w:tc>
        <w:tc>
          <w:tcPr>
            <w:tcW w:w="2520" w:type="dxa"/>
            <w:hideMark/>
          </w:tcPr>
          <w:p w14:paraId="068DAECA"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44</w:t>
            </w:r>
          </w:p>
        </w:tc>
        <w:tc>
          <w:tcPr>
            <w:tcW w:w="0" w:type="auto"/>
            <w:hideMark/>
          </w:tcPr>
          <w:p w14:paraId="04773E13"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29.33</w:t>
            </w:r>
          </w:p>
        </w:tc>
      </w:tr>
      <w:tr w:rsidR="001D008D" w:rsidRPr="000E0D70" w14:paraId="24BAF4B0" w14:textId="77777777" w:rsidTr="00023DE7">
        <w:tc>
          <w:tcPr>
            <w:tcW w:w="5125" w:type="dxa"/>
            <w:hideMark/>
          </w:tcPr>
          <w:p w14:paraId="08FABB6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Medical officer</w:t>
            </w:r>
          </w:p>
        </w:tc>
        <w:tc>
          <w:tcPr>
            <w:tcW w:w="2520" w:type="dxa"/>
            <w:hideMark/>
          </w:tcPr>
          <w:p w14:paraId="15F49F1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20</w:t>
            </w:r>
          </w:p>
        </w:tc>
        <w:tc>
          <w:tcPr>
            <w:tcW w:w="0" w:type="auto"/>
            <w:hideMark/>
          </w:tcPr>
          <w:p w14:paraId="6486DC36"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13.33</w:t>
            </w:r>
          </w:p>
        </w:tc>
      </w:tr>
      <w:tr w:rsidR="001D008D" w:rsidRPr="000E0D70" w14:paraId="33E1FA9B" w14:textId="77777777" w:rsidTr="00023DE7">
        <w:tc>
          <w:tcPr>
            <w:tcW w:w="5125" w:type="dxa"/>
            <w:hideMark/>
          </w:tcPr>
          <w:p w14:paraId="3349BB16"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Nurse midwife</w:t>
            </w:r>
          </w:p>
        </w:tc>
        <w:tc>
          <w:tcPr>
            <w:tcW w:w="2520" w:type="dxa"/>
            <w:hideMark/>
          </w:tcPr>
          <w:p w14:paraId="2E9B08D8"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46</w:t>
            </w:r>
          </w:p>
        </w:tc>
        <w:tc>
          <w:tcPr>
            <w:tcW w:w="0" w:type="auto"/>
            <w:hideMark/>
          </w:tcPr>
          <w:p w14:paraId="0CAF15BF"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30.67</w:t>
            </w:r>
          </w:p>
        </w:tc>
      </w:tr>
      <w:tr w:rsidR="001D008D" w:rsidRPr="000E0D70" w14:paraId="5B98E847" w14:textId="77777777" w:rsidTr="00023DE7">
        <w:tc>
          <w:tcPr>
            <w:tcW w:w="5125" w:type="dxa"/>
            <w:hideMark/>
          </w:tcPr>
          <w:p w14:paraId="7F57EB5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Sonographer</w:t>
            </w:r>
          </w:p>
        </w:tc>
        <w:tc>
          <w:tcPr>
            <w:tcW w:w="2520" w:type="dxa"/>
            <w:hideMark/>
          </w:tcPr>
          <w:p w14:paraId="6AEB688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12</w:t>
            </w:r>
          </w:p>
        </w:tc>
        <w:tc>
          <w:tcPr>
            <w:tcW w:w="0" w:type="auto"/>
            <w:hideMark/>
          </w:tcPr>
          <w:p w14:paraId="6416D93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8.00</w:t>
            </w:r>
          </w:p>
        </w:tc>
      </w:tr>
      <w:tr w:rsidR="001D008D" w:rsidRPr="000E0D70" w14:paraId="1F6C7E7F" w14:textId="77777777" w:rsidTr="00023DE7">
        <w:tc>
          <w:tcPr>
            <w:tcW w:w="5125" w:type="dxa"/>
            <w:hideMark/>
          </w:tcPr>
          <w:p w14:paraId="1413D3F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Years of clinical experience</w:t>
            </w:r>
          </w:p>
        </w:tc>
        <w:tc>
          <w:tcPr>
            <w:tcW w:w="2520" w:type="dxa"/>
            <w:hideMark/>
          </w:tcPr>
          <w:p w14:paraId="57B6B0D2"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Mean 8.72 ± 6.31 years</w:t>
            </w:r>
          </w:p>
        </w:tc>
        <w:tc>
          <w:tcPr>
            <w:tcW w:w="0" w:type="auto"/>
            <w:hideMark/>
          </w:tcPr>
          <w:p w14:paraId="16AA543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w:t>
            </w:r>
          </w:p>
        </w:tc>
      </w:tr>
      <w:tr w:rsidR="001D008D" w:rsidRPr="000E0D70" w14:paraId="5D3E6602" w14:textId="77777777" w:rsidTr="00023DE7">
        <w:tc>
          <w:tcPr>
            <w:tcW w:w="5125" w:type="dxa"/>
            <w:hideMark/>
          </w:tcPr>
          <w:p w14:paraId="203D8570"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Experience category</w:t>
            </w:r>
          </w:p>
        </w:tc>
        <w:tc>
          <w:tcPr>
            <w:tcW w:w="2520" w:type="dxa"/>
            <w:hideMark/>
          </w:tcPr>
          <w:p w14:paraId="7334CF1C"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4BFA5291"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619AB55C" w14:textId="77777777" w:rsidTr="00023DE7">
        <w:tc>
          <w:tcPr>
            <w:tcW w:w="5125" w:type="dxa"/>
            <w:hideMark/>
          </w:tcPr>
          <w:p w14:paraId="3DDC32B1"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&lt;5 years</w:t>
            </w:r>
          </w:p>
        </w:tc>
        <w:tc>
          <w:tcPr>
            <w:tcW w:w="2520" w:type="dxa"/>
            <w:hideMark/>
          </w:tcPr>
          <w:p w14:paraId="4391939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52</w:t>
            </w:r>
          </w:p>
        </w:tc>
        <w:tc>
          <w:tcPr>
            <w:tcW w:w="0" w:type="auto"/>
            <w:hideMark/>
          </w:tcPr>
          <w:p w14:paraId="42D7887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34.67</w:t>
            </w:r>
          </w:p>
        </w:tc>
      </w:tr>
      <w:tr w:rsidR="001D008D" w:rsidRPr="000E0D70" w14:paraId="0E31593A" w14:textId="77777777" w:rsidTr="00023DE7">
        <w:tc>
          <w:tcPr>
            <w:tcW w:w="5125" w:type="dxa"/>
            <w:hideMark/>
          </w:tcPr>
          <w:p w14:paraId="072C87D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 to 10 years</w:t>
            </w:r>
          </w:p>
        </w:tc>
        <w:tc>
          <w:tcPr>
            <w:tcW w:w="2520" w:type="dxa"/>
            <w:hideMark/>
          </w:tcPr>
          <w:p w14:paraId="52649295"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46</w:t>
            </w:r>
          </w:p>
        </w:tc>
        <w:tc>
          <w:tcPr>
            <w:tcW w:w="0" w:type="auto"/>
            <w:hideMark/>
          </w:tcPr>
          <w:p w14:paraId="7758368B"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30.67</w:t>
            </w:r>
          </w:p>
        </w:tc>
      </w:tr>
      <w:tr w:rsidR="001D008D" w:rsidRPr="000E0D70" w14:paraId="49673E94" w14:textId="77777777" w:rsidTr="00023DE7">
        <w:tc>
          <w:tcPr>
            <w:tcW w:w="5125" w:type="dxa"/>
            <w:hideMark/>
          </w:tcPr>
          <w:p w14:paraId="1638BABF"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&gt;10 years</w:t>
            </w:r>
          </w:p>
        </w:tc>
        <w:tc>
          <w:tcPr>
            <w:tcW w:w="2520" w:type="dxa"/>
            <w:hideMark/>
          </w:tcPr>
          <w:p w14:paraId="1960FF7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52</w:t>
            </w:r>
          </w:p>
        </w:tc>
        <w:tc>
          <w:tcPr>
            <w:tcW w:w="0" w:type="auto"/>
            <w:hideMark/>
          </w:tcPr>
          <w:p w14:paraId="3935360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34.67</w:t>
            </w:r>
          </w:p>
        </w:tc>
      </w:tr>
      <w:tr w:rsidR="001D008D" w:rsidRPr="000E0D70" w14:paraId="10D468AA" w14:textId="77777777" w:rsidTr="00023DE7">
        <w:tc>
          <w:tcPr>
            <w:tcW w:w="5125" w:type="dxa"/>
            <w:hideMark/>
          </w:tcPr>
          <w:p w14:paraId="18D893E7"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b/>
                <w:bCs/>
              </w:rPr>
              <w:t>Received formal training on ectopic pregnancy management in the past 3 years</w:t>
            </w:r>
          </w:p>
        </w:tc>
        <w:tc>
          <w:tcPr>
            <w:tcW w:w="2520" w:type="dxa"/>
            <w:hideMark/>
          </w:tcPr>
          <w:p w14:paraId="47AEBA1E" w14:textId="77777777" w:rsidR="001D008D" w:rsidRPr="000E0D70" w:rsidRDefault="001D008D" w:rsidP="00841106">
            <w:pPr>
              <w:spacing w:line="276" w:lineRule="auto"/>
              <w:jc w:val="both"/>
              <w:rPr>
                <w:rFonts w:ascii="Times New Roman" w:eastAsia="Times New Roman" w:hAnsi="Times New Roman" w:cs="Times New Roman"/>
              </w:rPr>
            </w:pPr>
          </w:p>
        </w:tc>
        <w:tc>
          <w:tcPr>
            <w:tcW w:w="0" w:type="auto"/>
            <w:hideMark/>
          </w:tcPr>
          <w:p w14:paraId="1526E964" w14:textId="77777777" w:rsidR="001D008D" w:rsidRPr="000E0D70" w:rsidRDefault="001D008D" w:rsidP="00841106">
            <w:pPr>
              <w:spacing w:line="276" w:lineRule="auto"/>
              <w:jc w:val="both"/>
              <w:rPr>
                <w:rFonts w:ascii="Times New Roman" w:eastAsia="Times New Roman" w:hAnsi="Times New Roman" w:cs="Times New Roman"/>
              </w:rPr>
            </w:pPr>
          </w:p>
        </w:tc>
      </w:tr>
      <w:tr w:rsidR="001D008D" w:rsidRPr="000E0D70" w14:paraId="790B5DA8" w14:textId="77777777" w:rsidTr="00023DE7">
        <w:tc>
          <w:tcPr>
            <w:tcW w:w="5125" w:type="dxa"/>
            <w:hideMark/>
          </w:tcPr>
          <w:p w14:paraId="3FBFF23D"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Yes</w:t>
            </w:r>
          </w:p>
        </w:tc>
        <w:tc>
          <w:tcPr>
            <w:tcW w:w="2520" w:type="dxa"/>
            <w:hideMark/>
          </w:tcPr>
          <w:p w14:paraId="41BCD5A4"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63</w:t>
            </w:r>
          </w:p>
        </w:tc>
        <w:tc>
          <w:tcPr>
            <w:tcW w:w="0" w:type="auto"/>
            <w:hideMark/>
          </w:tcPr>
          <w:p w14:paraId="045CD95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42.00</w:t>
            </w:r>
          </w:p>
        </w:tc>
      </w:tr>
      <w:tr w:rsidR="001D008D" w:rsidRPr="000E0D70" w14:paraId="3F303472" w14:textId="77777777" w:rsidTr="00023DE7">
        <w:tc>
          <w:tcPr>
            <w:tcW w:w="5125" w:type="dxa"/>
            <w:hideMark/>
          </w:tcPr>
          <w:p w14:paraId="441501E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No</w:t>
            </w:r>
          </w:p>
        </w:tc>
        <w:tc>
          <w:tcPr>
            <w:tcW w:w="2520" w:type="dxa"/>
            <w:hideMark/>
          </w:tcPr>
          <w:p w14:paraId="74F7995E" w14:textId="0E62C895"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87</w:t>
            </w:r>
          </w:p>
        </w:tc>
        <w:tc>
          <w:tcPr>
            <w:tcW w:w="0" w:type="auto"/>
            <w:hideMark/>
          </w:tcPr>
          <w:p w14:paraId="59C394CC" w14:textId="77777777" w:rsidR="001D008D" w:rsidRPr="000E0D70" w:rsidRDefault="001D008D" w:rsidP="00841106">
            <w:pPr>
              <w:spacing w:line="276" w:lineRule="auto"/>
              <w:jc w:val="both"/>
              <w:rPr>
                <w:rFonts w:ascii="Times New Roman" w:eastAsia="Times New Roman" w:hAnsi="Times New Roman" w:cs="Times New Roman"/>
              </w:rPr>
            </w:pPr>
            <w:r w:rsidRPr="000E0D70">
              <w:rPr>
                <w:rFonts w:ascii="Times New Roman" w:eastAsia="Times New Roman" w:hAnsi="Times New Roman" w:cs="Times New Roman"/>
              </w:rPr>
              <w:t>58.00</w:t>
            </w:r>
          </w:p>
        </w:tc>
      </w:tr>
    </w:tbl>
    <w:p w14:paraId="080EAEF7" w14:textId="77777777" w:rsidR="001D008D" w:rsidRPr="000E0D70" w:rsidRDefault="001D008D" w:rsidP="00841106">
      <w:pPr>
        <w:pStyle w:val="Heading1"/>
        <w:spacing w:line="276" w:lineRule="auto"/>
        <w:jc w:val="both"/>
        <w:rPr>
          <w:rFonts w:ascii="Times New Roman" w:hAnsi="Times New Roman" w:cs="Times New Roman"/>
          <w:sz w:val="22"/>
          <w:szCs w:val="22"/>
        </w:rPr>
      </w:pPr>
    </w:p>
    <w:p w14:paraId="257C9B23" w14:textId="5E20D3E5"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2: Practitioners’ knowledge, attitudes and guideline familiarity </w:t>
      </w:r>
    </w:p>
    <w:tbl>
      <w:tblPr>
        <w:tblStyle w:val="TableGrid"/>
        <w:tblW w:w="0" w:type="auto"/>
        <w:tblLook w:val="04A0" w:firstRow="1" w:lastRow="0" w:firstColumn="1" w:lastColumn="0" w:noHBand="0" w:noVBand="1"/>
      </w:tblPr>
      <w:tblGrid>
        <w:gridCol w:w="4562"/>
        <w:gridCol w:w="1750"/>
        <w:gridCol w:w="1464"/>
        <w:gridCol w:w="1574"/>
      </w:tblGrid>
      <w:tr w:rsidR="00C65F23" w:rsidRPr="00C65F23" w14:paraId="2213C280" w14:textId="77777777" w:rsidTr="00C65F23">
        <w:tc>
          <w:tcPr>
            <w:tcW w:w="0" w:type="auto"/>
            <w:hideMark/>
          </w:tcPr>
          <w:p w14:paraId="3E715D32"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Variable</w:t>
            </w:r>
          </w:p>
        </w:tc>
        <w:tc>
          <w:tcPr>
            <w:tcW w:w="0" w:type="auto"/>
            <w:hideMark/>
          </w:tcPr>
          <w:p w14:paraId="1E1112EB" w14:textId="77777777" w:rsidR="00C65F23" w:rsidRPr="00C65F23" w:rsidRDefault="00C65F23" w:rsidP="00C65F23">
            <w:pPr>
              <w:jc w:val="center"/>
              <w:rPr>
                <w:rFonts w:ascii="Times New Roman" w:eastAsia="Times New Roman" w:hAnsi="Times New Roman" w:cs="Times New Roman"/>
                <w:b/>
                <w:bCs/>
              </w:rPr>
            </w:pPr>
            <w:r w:rsidRPr="00C65F23">
              <w:rPr>
                <w:rFonts w:ascii="Times New Roman" w:eastAsia="Times New Roman" w:hAnsi="Times New Roman" w:cs="Times New Roman"/>
                <w:b/>
                <w:bCs/>
              </w:rPr>
              <w:t>Response category</w:t>
            </w:r>
          </w:p>
        </w:tc>
        <w:tc>
          <w:tcPr>
            <w:tcW w:w="0" w:type="auto"/>
            <w:hideMark/>
          </w:tcPr>
          <w:p w14:paraId="100F8D5A" w14:textId="77777777" w:rsidR="00C65F23" w:rsidRPr="00C65F23" w:rsidRDefault="00C65F23" w:rsidP="004516E1">
            <w:pPr>
              <w:jc w:val="center"/>
              <w:rPr>
                <w:rFonts w:ascii="Times New Roman" w:eastAsia="Times New Roman" w:hAnsi="Times New Roman" w:cs="Times New Roman"/>
                <w:b/>
                <w:bCs/>
              </w:rPr>
            </w:pPr>
            <w:r w:rsidRPr="00C65F23">
              <w:rPr>
                <w:rFonts w:ascii="Times New Roman" w:eastAsia="Times New Roman" w:hAnsi="Times New Roman" w:cs="Times New Roman"/>
                <w:b/>
                <w:bCs/>
              </w:rPr>
              <w:t>Frequency (n)</w:t>
            </w:r>
          </w:p>
        </w:tc>
        <w:tc>
          <w:tcPr>
            <w:tcW w:w="0" w:type="auto"/>
            <w:hideMark/>
          </w:tcPr>
          <w:p w14:paraId="3FAE7037" w14:textId="77777777" w:rsidR="00C65F23" w:rsidRPr="00C65F23" w:rsidRDefault="00C65F23" w:rsidP="004516E1">
            <w:pPr>
              <w:jc w:val="center"/>
              <w:rPr>
                <w:rFonts w:ascii="Times New Roman" w:eastAsia="Times New Roman" w:hAnsi="Times New Roman" w:cs="Times New Roman"/>
                <w:b/>
                <w:bCs/>
              </w:rPr>
            </w:pPr>
            <w:r w:rsidRPr="00C65F23">
              <w:rPr>
                <w:rFonts w:ascii="Times New Roman" w:eastAsia="Times New Roman" w:hAnsi="Times New Roman" w:cs="Times New Roman"/>
                <w:b/>
                <w:bCs/>
              </w:rPr>
              <w:t>Percentage (%)</w:t>
            </w:r>
          </w:p>
        </w:tc>
      </w:tr>
      <w:tr w:rsidR="00C65F23" w:rsidRPr="000E0D70" w14:paraId="5B566FD7" w14:textId="77777777" w:rsidTr="00C65F23">
        <w:tc>
          <w:tcPr>
            <w:tcW w:w="0" w:type="auto"/>
            <w:vMerge w:val="restart"/>
            <w:hideMark/>
          </w:tcPr>
          <w:p w14:paraId="6B197E24" w14:textId="7A12385B"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 xml:space="preserve">Familiar with </w:t>
            </w:r>
            <w:r w:rsidRPr="000E0D70">
              <w:rPr>
                <w:rFonts w:ascii="Times New Roman" w:eastAsia="Times New Roman" w:hAnsi="Times New Roman" w:cs="Times New Roman"/>
                <w:b/>
                <w:bCs/>
              </w:rPr>
              <w:t xml:space="preserve">the </w:t>
            </w:r>
            <w:r w:rsidRPr="00C65F23">
              <w:rPr>
                <w:rFonts w:ascii="Times New Roman" w:eastAsia="Times New Roman" w:hAnsi="Times New Roman" w:cs="Times New Roman"/>
                <w:b/>
                <w:bCs/>
              </w:rPr>
              <w:t>national ectopic pregnancy guideline</w:t>
            </w:r>
          </w:p>
        </w:tc>
        <w:tc>
          <w:tcPr>
            <w:tcW w:w="0" w:type="auto"/>
            <w:hideMark/>
          </w:tcPr>
          <w:p w14:paraId="4C091C8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1497F475"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35</w:t>
            </w:r>
          </w:p>
        </w:tc>
        <w:tc>
          <w:tcPr>
            <w:tcW w:w="0" w:type="auto"/>
            <w:hideMark/>
          </w:tcPr>
          <w:p w14:paraId="2489F3B0"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23.33</w:t>
            </w:r>
          </w:p>
        </w:tc>
      </w:tr>
      <w:tr w:rsidR="00C65F23" w:rsidRPr="000E0D70" w14:paraId="16FE4062" w14:textId="77777777" w:rsidTr="00C65F23">
        <w:tc>
          <w:tcPr>
            <w:tcW w:w="0" w:type="auto"/>
            <w:vMerge/>
            <w:hideMark/>
          </w:tcPr>
          <w:p w14:paraId="1E0D8132" w14:textId="77777777" w:rsidR="00C65F23" w:rsidRPr="00C65F23" w:rsidRDefault="00C65F23" w:rsidP="00C65F23">
            <w:pPr>
              <w:rPr>
                <w:rFonts w:ascii="Times New Roman" w:eastAsia="Times New Roman" w:hAnsi="Times New Roman" w:cs="Times New Roman"/>
              </w:rPr>
            </w:pPr>
          </w:p>
        </w:tc>
        <w:tc>
          <w:tcPr>
            <w:tcW w:w="0" w:type="auto"/>
            <w:hideMark/>
          </w:tcPr>
          <w:p w14:paraId="072218D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421F69A9"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48</w:t>
            </w:r>
          </w:p>
        </w:tc>
        <w:tc>
          <w:tcPr>
            <w:tcW w:w="0" w:type="auto"/>
            <w:hideMark/>
          </w:tcPr>
          <w:p w14:paraId="4A2560C5"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32.00</w:t>
            </w:r>
          </w:p>
        </w:tc>
      </w:tr>
      <w:tr w:rsidR="00C65F23" w:rsidRPr="000E0D70" w14:paraId="0B2E6E13" w14:textId="77777777" w:rsidTr="00C65F23">
        <w:tc>
          <w:tcPr>
            <w:tcW w:w="0" w:type="auto"/>
            <w:vMerge/>
            <w:hideMark/>
          </w:tcPr>
          <w:p w14:paraId="32F8A8C6" w14:textId="77777777" w:rsidR="00C65F23" w:rsidRPr="00C65F23" w:rsidRDefault="00C65F23" w:rsidP="00C65F23">
            <w:pPr>
              <w:rPr>
                <w:rFonts w:ascii="Times New Roman" w:eastAsia="Times New Roman" w:hAnsi="Times New Roman" w:cs="Times New Roman"/>
              </w:rPr>
            </w:pPr>
          </w:p>
        </w:tc>
        <w:tc>
          <w:tcPr>
            <w:tcW w:w="0" w:type="auto"/>
            <w:hideMark/>
          </w:tcPr>
          <w:p w14:paraId="086F7E1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3845CB45"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32</w:t>
            </w:r>
          </w:p>
        </w:tc>
        <w:tc>
          <w:tcPr>
            <w:tcW w:w="0" w:type="auto"/>
            <w:hideMark/>
          </w:tcPr>
          <w:p w14:paraId="6893DA66"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21.33</w:t>
            </w:r>
          </w:p>
        </w:tc>
      </w:tr>
      <w:tr w:rsidR="00C65F23" w:rsidRPr="000E0D70" w14:paraId="1C768993" w14:textId="77777777" w:rsidTr="00C65F23">
        <w:tc>
          <w:tcPr>
            <w:tcW w:w="0" w:type="auto"/>
            <w:vMerge/>
            <w:hideMark/>
          </w:tcPr>
          <w:p w14:paraId="0F417B6A" w14:textId="77777777" w:rsidR="00C65F23" w:rsidRPr="00C65F23" w:rsidRDefault="00C65F23" w:rsidP="00C65F23">
            <w:pPr>
              <w:rPr>
                <w:rFonts w:ascii="Times New Roman" w:eastAsia="Times New Roman" w:hAnsi="Times New Roman" w:cs="Times New Roman"/>
              </w:rPr>
            </w:pPr>
          </w:p>
        </w:tc>
        <w:tc>
          <w:tcPr>
            <w:tcW w:w="0" w:type="auto"/>
            <w:hideMark/>
          </w:tcPr>
          <w:p w14:paraId="5E2840F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49501034"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19</w:t>
            </w:r>
          </w:p>
        </w:tc>
        <w:tc>
          <w:tcPr>
            <w:tcW w:w="0" w:type="auto"/>
            <w:hideMark/>
          </w:tcPr>
          <w:p w14:paraId="1F8A6CA4"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12.67</w:t>
            </w:r>
          </w:p>
        </w:tc>
      </w:tr>
      <w:tr w:rsidR="00C65F23" w:rsidRPr="000E0D70" w14:paraId="7B964DD3" w14:textId="77777777" w:rsidTr="00C65F23">
        <w:tc>
          <w:tcPr>
            <w:tcW w:w="0" w:type="auto"/>
            <w:vMerge/>
            <w:hideMark/>
          </w:tcPr>
          <w:p w14:paraId="0A889683" w14:textId="77777777" w:rsidR="00C65F23" w:rsidRPr="00C65F23" w:rsidRDefault="00C65F23" w:rsidP="00C65F23">
            <w:pPr>
              <w:rPr>
                <w:rFonts w:ascii="Times New Roman" w:eastAsia="Times New Roman" w:hAnsi="Times New Roman" w:cs="Times New Roman"/>
              </w:rPr>
            </w:pPr>
          </w:p>
        </w:tc>
        <w:tc>
          <w:tcPr>
            <w:tcW w:w="0" w:type="auto"/>
            <w:hideMark/>
          </w:tcPr>
          <w:p w14:paraId="3502C55B"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4659FC84"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16</w:t>
            </w:r>
          </w:p>
        </w:tc>
        <w:tc>
          <w:tcPr>
            <w:tcW w:w="0" w:type="auto"/>
            <w:hideMark/>
          </w:tcPr>
          <w:p w14:paraId="0539203C"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10.67</w:t>
            </w:r>
          </w:p>
        </w:tc>
      </w:tr>
      <w:tr w:rsidR="00C65F23" w:rsidRPr="000E0D70" w14:paraId="2C68951D" w14:textId="77777777" w:rsidTr="00C65F23">
        <w:tc>
          <w:tcPr>
            <w:tcW w:w="0" w:type="auto"/>
            <w:vMerge w:val="restart"/>
            <w:hideMark/>
          </w:tcPr>
          <w:p w14:paraId="5034820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Confidence in diagnosing ectopic pregnancy</w:t>
            </w:r>
          </w:p>
        </w:tc>
        <w:tc>
          <w:tcPr>
            <w:tcW w:w="0" w:type="auto"/>
            <w:hideMark/>
          </w:tcPr>
          <w:p w14:paraId="096E03DE"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5C9718A3"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28</w:t>
            </w:r>
          </w:p>
        </w:tc>
        <w:tc>
          <w:tcPr>
            <w:tcW w:w="0" w:type="auto"/>
            <w:hideMark/>
          </w:tcPr>
          <w:p w14:paraId="2B991FE0"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18.67</w:t>
            </w:r>
          </w:p>
        </w:tc>
      </w:tr>
      <w:tr w:rsidR="00C65F23" w:rsidRPr="000E0D70" w14:paraId="7CC61443" w14:textId="77777777" w:rsidTr="00C65F23">
        <w:tc>
          <w:tcPr>
            <w:tcW w:w="0" w:type="auto"/>
            <w:vMerge/>
            <w:hideMark/>
          </w:tcPr>
          <w:p w14:paraId="432D50FA" w14:textId="77777777" w:rsidR="00C65F23" w:rsidRPr="00C65F23" w:rsidRDefault="00C65F23" w:rsidP="00C65F23">
            <w:pPr>
              <w:rPr>
                <w:rFonts w:ascii="Times New Roman" w:eastAsia="Times New Roman" w:hAnsi="Times New Roman" w:cs="Times New Roman"/>
              </w:rPr>
            </w:pPr>
          </w:p>
        </w:tc>
        <w:tc>
          <w:tcPr>
            <w:tcW w:w="0" w:type="auto"/>
            <w:hideMark/>
          </w:tcPr>
          <w:p w14:paraId="3C885FB0"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56CBA6BF"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56</w:t>
            </w:r>
          </w:p>
        </w:tc>
        <w:tc>
          <w:tcPr>
            <w:tcW w:w="0" w:type="auto"/>
            <w:hideMark/>
          </w:tcPr>
          <w:p w14:paraId="5DC8D5FC"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37.33</w:t>
            </w:r>
          </w:p>
        </w:tc>
      </w:tr>
      <w:tr w:rsidR="00C65F23" w:rsidRPr="000E0D70" w14:paraId="6D05DB7B" w14:textId="77777777" w:rsidTr="00C65F23">
        <w:tc>
          <w:tcPr>
            <w:tcW w:w="0" w:type="auto"/>
            <w:vMerge/>
            <w:hideMark/>
          </w:tcPr>
          <w:p w14:paraId="560447DF" w14:textId="77777777" w:rsidR="00C65F23" w:rsidRPr="00C65F23" w:rsidRDefault="00C65F23" w:rsidP="00C65F23">
            <w:pPr>
              <w:rPr>
                <w:rFonts w:ascii="Times New Roman" w:eastAsia="Times New Roman" w:hAnsi="Times New Roman" w:cs="Times New Roman"/>
              </w:rPr>
            </w:pPr>
          </w:p>
        </w:tc>
        <w:tc>
          <w:tcPr>
            <w:tcW w:w="0" w:type="auto"/>
            <w:hideMark/>
          </w:tcPr>
          <w:p w14:paraId="7D4627D3"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0772C67D"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30</w:t>
            </w:r>
          </w:p>
        </w:tc>
        <w:tc>
          <w:tcPr>
            <w:tcW w:w="0" w:type="auto"/>
            <w:hideMark/>
          </w:tcPr>
          <w:p w14:paraId="59354E33"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20.00</w:t>
            </w:r>
          </w:p>
        </w:tc>
      </w:tr>
      <w:tr w:rsidR="00C65F23" w:rsidRPr="000E0D70" w14:paraId="2AD9BC58" w14:textId="77777777" w:rsidTr="00C65F23">
        <w:tc>
          <w:tcPr>
            <w:tcW w:w="0" w:type="auto"/>
            <w:vMerge/>
            <w:hideMark/>
          </w:tcPr>
          <w:p w14:paraId="14C1FF8A" w14:textId="77777777" w:rsidR="00C65F23" w:rsidRPr="00C65F23" w:rsidRDefault="00C65F23" w:rsidP="00C65F23">
            <w:pPr>
              <w:rPr>
                <w:rFonts w:ascii="Times New Roman" w:eastAsia="Times New Roman" w:hAnsi="Times New Roman" w:cs="Times New Roman"/>
              </w:rPr>
            </w:pPr>
          </w:p>
        </w:tc>
        <w:tc>
          <w:tcPr>
            <w:tcW w:w="0" w:type="auto"/>
            <w:hideMark/>
          </w:tcPr>
          <w:p w14:paraId="7174FC5D"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30027492"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20</w:t>
            </w:r>
          </w:p>
        </w:tc>
        <w:tc>
          <w:tcPr>
            <w:tcW w:w="0" w:type="auto"/>
            <w:hideMark/>
          </w:tcPr>
          <w:p w14:paraId="693ED762"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13.33</w:t>
            </w:r>
          </w:p>
        </w:tc>
      </w:tr>
      <w:tr w:rsidR="00C65F23" w:rsidRPr="000E0D70" w14:paraId="0ADA6CA6" w14:textId="77777777" w:rsidTr="00C65F23">
        <w:tc>
          <w:tcPr>
            <w:tcW w:w="0" w:type="auto"/>
            <w:vMerge/>
            <w:hideMark/>
          </w:tcPr>
          <w:p w14:paraId="7E1B4B77" w14:textId="77777777" w:rsidR="00C65F23" w:rsidRPr="00C65F23" w:rsidRDefault="00C65F23" w:rsidP="00C65F23">
            <w:pPr>
              <w:rPr>
                <w:rFonts w:ascii="Times New Roman" w:eastAsia="Times New Roman" w:hAnsi="Times New Roman" w:cs="Times New Roman"/>
              </w:rPr>
            </w:pPr>
          </w:p>
        </w:tc>
        <w:tc>
          <w:tcPr>
            <w:tcW w:w="0" w:type="auto"/>
            <w:hideMark/>
          </w:tcPr>
          <w:p w14:paraId="782B09B7"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2620AA7E"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16</w:t>
            </w:r>
          </w:p>
        </w:tc>
        <w:tc>
          <w:tcPr>
            <w:tcW w:w="0" w:type="auto"/>
            <w:hideMark/>
          </w:tcPr>
          <w:p w14:paraId="4E3964BC"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10.67</w:t>
            </w:r>
          </w:p>
        </w:tc>
      </w:tr>
      <w:tr w:rsidR="00C65F23" w:rsidRPr="000E0D70" w14:paraId="4527A94C" w14:textId="77777777" w:rsidTr="00C65F23">
        <w:tc>
          <w:tcPr>
            <w:tcW w:w="0" w:type="auto"/>
            <w:vMerge w:val="restart"/>
            <w:hideMark/>
          </w:tcPr>
          <w:p w14:paraId="7886C271"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b/>
                <w:bCs/>
              </w:rPr>
              <w:t>Perceived institutional capacity adequate for ectopic care</w:t>
            </w:r>
          </w:p>
        </w:tc>
        <w:tc>
          <w:tcPr>
            <w:tcW w:w="0" w:type="auto"/>
            <w:hideMark/>
          </w:tcPr>
          <w:p w14:paraId="64DE545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agree</w:t>
            </w:r>
          </w:p>
        </w:tc>
        <w:tc>
          <w:tcPr>
            <w:tcW w:w="0" w:type="auto"/>
            <w:hideMark/>
          </w:tcPr>
          <w:p w14:paraId="4056B85E"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17</w:t>
            </w:r>
          </w:p>
        </w:tc>
        <w:tc>
          <w:tcPr>
            <w:tcW w:w="0" w:type="auto"/>
            <w:hideMark/>
          </w:tcPr>
          <w:p w14:paraId="59EBC66A"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11.33</w:t>
            </w:r>
          </w:p>
        </w:tc>
      </w:tr>
      <w:tr w:rsidR="00C65F23" w:rsidRPr="000E0D70" w14:paraId="70145CB5" w14:textId="77777777" w:rsidTr="00C65F23">
        <w:tc>
          <w:tcPr>
            <w:tcW w:w="0" w:type="auto"/>
            <w:vMerge/>
            <w:hideMark/>
          </w:tcPr>
          <w:p w14:paraId="1D96ABD1" w14:textId="77777777" w:rsidR="00C65F23" w:rsidRPr="00C65F23" w:rsidRDefault="00C65F23" w:rsidP="00C65F23">
            <w:pPr>
              <w:rPr>
                <w:rFonts w:ascii="Times New Roman" w:eastAsia="Times New Roman" w:hAnsi="Times New Roman" w:cs="Times New Roman"/>
              </w:rPr>
            </w:pPr>
          </w:p>
        </w:tc>
        <w:tc>
          <w:tcPr>
            <w:tcW w:w="0" w:type="auto"/>
            <w:hideMark/>
          </w:tcPr>
          <w:p w14:paraId="384A374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Agree</w:t>
            </w:r>
          </w:p>
        </w:tc>
        <w:tc>
          <w:tcPr>
            <w:tcW w:w="0" w:type="auto"/>
            <w:hideMark/>
          </w:tcPr>
          <w:p w14:paraId="1237B481"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42</w:t>
            </w:r>
          </w:p>
        </w:tc>
        <w:tc>
          <w:tcPr>
            <w:tcW w:w="0" w:type="auto"/>
            <w:hideMark/>
          </w:tcPr>
          <w:p w14:paraId="7E146930"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28.00</w:t>
            </w:r>
          </w:p>
        </w:tc>
      </w:tr>
      <w:tr w:rsidR="00C65F23" w:rsidRPr="000E0D70" w14:paraId="02F01676" w14:textId="77777777" w:rsidTr="00C65F23">
        <w:tc>
          <w:tcPr>
            <w:tcW w:w="0" w:type="auto"/>
            <w:vMerge/>
            <w:hideMark/>
          </w:tcPr>
          <w:p w14:paraId="583578C6" w14:textId="77777777" w:rsidR="00C65F23" w:rsidRPr="00C65F23" w:rsidRDefault="00C65F23" w:rsidP="00C65F23">
            <w:pPr>
              <w:rPr>
                <w:rFonts w:ascii="Times New Roman" w:eastAsia="Times New Roman" w:hAnsi="Times New Roman" w:cs="Times New Roman"/>
              </w:rPr>
            </w:pPr>
          </w:p>
        </w:tc>
        <w:tc>
          <w:tcPr>
            <w:tcW w:w="0" w:type="auto"/>
            <w:hideMark/>
          </w:tcPr>
          <w:p w14:paraId="166728DC"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Neutral</w:t>
            </w:r>
          </w:p>
        </w:tc>
        <w:tc>
          <w:tcPr>
            <w:tcW w:w="0" w:type="auto"/>
            <w:hideMark/>
          </w:tcPr>
          <w:p w14:paraId="0E974D1A"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33</w:t>
            </w:r>
          </w:p>
        </w:tc>
        <w:tc>
          <w:tcPr>
            <w:tcW w:w="0" w:type="auto"/>
            <w:hideMark/>
          </w:tcPr>
          <w:p w14:paraId="5D75955E"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22.00</w:t>
            </w:r>
          </w:p>
        </w:tc>
      </w:tr>
      <w:tr w:rsidR="00C65F23" w:rsidRPr="000E0D70" w14:paraId="0EA58BD6" w14:textId="77777777" w:rsidTr="00C65F23">
        <w:tc>
          <w:tcPr>
            <w:tcW w:w="0" w:type="auto"/>
            <w:vMerge/>
            <w:hideMark/>
          </w:tcPr>
          <w:p w14:paraId="4F9A6224" w14:textId="77777777" w:rsidR="00C65F23" w:rsidRPr="00C65F23" w:rsidRDefault="00C65F23" w:rsidP="00C65F23">
            <w:pPr>
              <w:rPr>
                <w:rFonts w:ascii="Times New Roman" w:eastAsia="Times New Roman" w:hAnsi="Times New Roman" w:cs="Times New Roman"/>
              </w:rPr>
            </w:pPr>
          </w:p>
        </w:tc>
        <w:tc>
          <w:tcPr>
            <w:tcW w:w="0" w:type="auto"/>
            <w:hideMark/>
          </w:tcPr>
          <w:p w14:paraId="70B3DE89"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Disagree</w:t>
            </w:r>
          </w:p>
        </w:tc>
        <w:tc>
          <w:tcPr>
            <w:tcW w:w="0" w:type="auto"/>
            <w:hideMark/>
          </w:tcPr>
          <w:p w14:paraId="3F6D2E59"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31</w:t>
            </w:r>
          </w:p>
        </w:tc>
        <w:tc>
          <w:tcPr>
            <w:tcW w:w="0" w:type="auto"/>
            <w:hideMark/>
          </w:tcPr>
          <w:p w14:paraId="5A97DA7B"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20.67</w:t>
            </w:r>
          </w:p>
        </w:tc>
      </w:tr>
      <w:tr w:rsidR="00C65F23" w:rsidRPr="000E0D70" w14:paraId="13E32A73" w14:textId="77777777" w:rsidTr="00C65F23">
        <w:tc>
          <w:tcPr>
            <w:tcW w:w="0" w:type="auto"/>
            <w:vMerge/>
            <w:hideMark/>
          </w:tcPr>
          <w:p w14:paraId="7FF23A79" w14:textId="77777777" w:rsidR="00C65F23" w:rsidRPr="00C65F23" w:rsidRDefault="00C65F23" w:rsidP="00C65F23">
            <w:pPr>
              <w:rPr>
                <w:rFonts w:ascii="Times New Roman" w:eastAsia="Times New Roman" w:hAnsi="Times New Roman" w:cs="Times New Roman"/>
              </w:rPr>
            </w:pPr>
          </w:p>
        </w:tc>
        <w:tc>
          <w:tcPr>
            <w:tcW w:w="0" w:type="auto"/>
            <w:hideMark/>
          </w:tcPr>
          <w:p w14:paraId="0ABA3AD5" w14:textId="77777777" w:rsidR="00C65F23" w:rsidRPr="00C65F23" w:rsidRDefault="00C65F23" w:rsidP="00C65F23">
            <w:pPr>
              <w:rPr>
                <w:rFonts w:ascii="Times New Roman" w:eastAsia="Times New Roman" w:hAnsi="Times New Roman" w:cs="Times New Roman"/>
              </w:rPr>
            </w:pPr>
            <w:r w:rsidRPr="00C65F23">
              <w:rPr>
                <w:rFonts w:ascii="Times New Roman" w:eastAsia="Times New Roman" w:hAnsi="Times New Roman" w:cs="Times New Roman"/>
              </w:rPr>
              <w:t>Strongly disagree</w:t>
            </w:r>
          </w:p>
        </w:tc>
        <w:tc>
          <w:tcPr>
            <w:tcW w:w="0" w:type="auto"/>
            <w:hideMark/>
          </w:tcPr>
          <w:p w14:paraId="256FAF0F"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27</w:t>
            </w:r>
          </w:p>
        </w:tc>
        <w:tc>
          <w:tcPr>
            <w:tcW w:w="0" w:type="auto"/>
            <w:hideMark/>
          </w:tcPr>
          <w:p w14:paraId="489B9656" w14:textId="77777777" w:rsidR="00C65F23" w:rsidRPr="00C65F23" w:rsidRDefault="00C65F23" w:rsidP="004516E1">
            <w:pPr>
              <w:jc w:val="center"/>
              <w:rPr>
                <w:rFonts w:ascii="Times New Roman" w:eastAsia="Times New Roman" w:hAnsi="Times New Roman" w:cs="Times New Roman"/>
              </w:rPr>
            </w:pPr>
            <w:r w:rsidRPr="00C65F23">
              <w:rPr>
                <w:rFonts w:ascii="Times New Roman" w:eastAsia="Times New Roman" w:hAnsi="Times New Roman" w:cs="Times New Roman"/>
              </w:rPr>
              <w:t>18.00</w:t>
            </w:r>
          </w:p>
        </w:tc>
      </w:tr>
    </w:tbl>
    <w:p w14:paraId="2C6DDBD9" w14:textId="77777777" w:rsidR="00C65F23" w:rsidRPr="000E0D70" w:rsidRDefault="00C65F23" w:rsidP="00C65F23">
      <w:pPr>
        <w:rPr>
          <w:rFonts w:ascii="Times New Roman" w:hAnsi="Times New Roman" w:cs="Times New Roman"/>
        </w:rPr>
      </w:pPr>
    </w:p>
    <w:p w14:paraId="1A231FFD" w14:textId="4103A1E0" w:rsidR="001D008D" w:rsidRPr="000E0D70" w:rsidRDefault="001D008D" w:rsidP="00841106">
      <w:pPr>
        <w:pStyle w:val="Heading1"/>
        <w:spacing w:line="276" w:lineRule="auto"/>
        <w:jc w:val="both"/>
        <w:rPr>
          <w:rFonts w:ascii="Times New Roman" w:hAnsi="Times New Roman" w:cs="Times New Roman"/>
          <w:color w:val="auto"/>
          <w:sz w:val="22"/>
          <w:szCs w:val="22"/>
        </w:rPr>
      </w:pPr>
      <w:r w:rsidRPr="000E0D70">
        <w:rPr>
          <w:rFonts w:ascii="Times New Roman" w:hAnsi="Times New Roman" w:cs="Times New Roman"/>
          <w:b/>
          <w:bCs/>
          <w:color w:val="auto"/>
          <w:sz w:val="22"/>
          <w:szCs w:val="22"/>
        </w:rPr>
        <w:t>Note</w:t>
      </w:r>
      <w:r w:rsidRPr="000E0D70">
        <w:rPr>
          <w:rFonts w:ascii="Times New Roman" w:hAnsi="Times New Roman" w:cs="Times New Roman"/>
          <w:color w:val="auto"/>
          <w:sz w:val="22"/>
          <w:szCs w:val="22"/>
        </w:rPr>
        <w:t>: Likert scale coded 1 = Strongly disagree, 2 = Disagree, 3 = Neutral, 4 = Agree, 5 = Strongly agree.</w:t>
      </w:r>
    </w:p>
    <w:p w14:paraId="1542DC21" w14:textId="77777777" w:rsidR="001D008D" w:rsidRPr="000E0D70" w:rsidRDefault="001D008D" w:rsidP="00841106">
      <w:pPr>
        <w:pStyle w:val="Heading1"/>
        <w:spacing w:line="276" w:lineRule="auto"/>
        <w:jc w:val="both"/>
        <w:rPr>
          <w:rFonts w:ascii="Times New Roman" w:hAnsi="Times New Roman" w:cs="Times New Roman"/>
          <w:sz w:val="22"/>
          <w:szCs w:val="22"/>
        </w:rPr>
      </w:pPr>
    </w:p>
    <w:p w14:paraId="1849475A" w14:textId="4D355784" w:rsidR="001D008D" w:rsidRPr="000E0D70" w:rsidRDefault="001D008D" w:rsidP="00841106">
      <w:pPr>
        <w:pStyle w:val="Heading1"/>
        <w:spacing w:line="276" w:lineRule="auto"/>
        <w:jc w:val="both"/>
        <w:rPr>
          <w:rFonts w:ascii="Times New Roman" w:hAnsi="Times New Roman" w:cs="Times New Roman"/>
          <w:sz w:val="22"/>
          <w:szCs w:val="22"/>
        </w:rPr>
      </w:pPr>
      <w:r w:rsidRPr="000E0D70">
        <w:rPr>
          <w:rFonts w:ascii="Times New Roman" w:hAnsi="Times New Roman" w:cs="Times New Roman"/>
          <w:noProof/>
          <w:sz w:val="22"/>
          <w:szCs w:val="22"/>
        </w:rPr>
        <w:drawing>
          <wp:anchor distT="0" distB="0" distL="114300" distR="114300" simplePos="0" relativeHeight="251658240" behindDoc="0" locked="0" layoutInCell="1" allowOverlap="1" wp14:anchorId="6FD13979" wp14:editId="12314D34">
            <wp:simplePos x="914400" y="3581400"/>
            <wp:positionH relativeFrom="column">
              <wp:align>left</wp:align>
            </wp:positionH>
            <wp:positionV relativeFrom="paragraph">
              <wp:align>top</wp:align>
            </wp:positionV>
            <wp:extent cx="4572000" cy="2743200"/>
            <wp:effectExtent l="0" t="0" r="0" b="0"/>
            <wp:wrapSquare wrapText="bothSides"/>
            <wp:docPr id="1" name="Chart 1">
              <a:extLst xmlns:a="http://schemas.openxmlformats.org/drawingml/2006/main">
                <a:ext uri="{FF2B5EF4-FFF2-40B4-BE49-F238E27FC236}">
                  <a16:creationId xmlns:a16="http://schemas.microsoft.com/office/drawing/2014/main" id="{8290C287-43EF-4D16-9ABC-D1EA1D96E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3E7A2A">
        <w:rPr>
          <w:rFonts w:ascii="Times New Roman" w:hAnsi="Times New Roman" w:cs="Times New Roman"/>
          <w:sz w:val="22"/>
          <w:szCs w:val="22"/>
        </w:rPr>
        <w:br w:type="textWrapping" w:clear="all"/>
      </w:r>
    </w:p>
    <w:p w14:paraId="44FBC568" w14:textId="3516CF9D"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Figure 1: Practitioner practice categories based on </w:t>
      </w:r>
      <w:r w:rsidR="008565A1" w:rsidRPr="000E0D70">
        <w:rPr>
          <w:rFonts w:ascii="Times New Roman" w:hAnsi="Times New Roman" w:cs="Times New Roman"/>
          <w:b/>
          <w:bCs/>
          <w:color w:val="auto"/>
          <w:sz w:val="22"/>
          <w:szCs w:val="22"/>
        </w:rPr>
        <w:t xml:space="preserve">the </w:t>
      </w:r>
      <w:r w:rsidRPr="000E0D70">
        <w:rPr>
          <w:rFonts w:ascii="Times New Roman" w:hAnsi="Times New Roman" w:cs="Times New Roman"/>
          <w:b/>
          <w:bCs/>
          <w:color w:val="auto"/>
          <w:sz w:val="22"/>
          <w:szCs w:val="22"/>
        </w:rPr>
        <w:t>guideline checklist</w:t>
      </w:r>
    </w:p>
    <w:p w14:paraId="0E10C9B5" w14:textId="77777777" w:rsidR="008565A1" w:rsidRPr="000E0D70" w:rsidRDefault="008565A1" w:rsidP="008565A1">
      <w:pPr>
        <w:rPr>
          <w:rFonts w:ascii="Times New Roman" w:hAnsi="Times New Roman" w:cs="Times New Roman"/>
        </w:rPr>
      </w:pPr>
    </w:p>
    <w:p w14:paraId="279F730E" w14:textId="2412AD78"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3: Facility readiness indicators (units assessed n = 8)</w:t>
      </w:r>
    </w:p>
    <w:tbl>
      <w:tblPr>
        <w:tblStyle w:val="TableGrid"/>
        <w:tblW w:w="0" w:type="auto"/>
        <w:tblLook w:val="04A0" w:firstRow="1" w:lastRow="0" w:firstColumn="1" w:lastColumn="0" w:noHBand="0" w:noVBand="1"/>
      </w:tblPr>
      <w:tblGrid>
        <w:gridCol w:w="5232"/>
        <w:gridCol w:w="2826"/>
        <w:gridCol w:w="1255"/>
      </w:tblGrid>
      <w:tr w:rsidR="001D008D" w:rsidRPr="000E0D70" w14:paraId="62D097D3" w14:textId="77777777" w:rsidTr="00446608">
        <w:tc>
          <w:tcPr>
            <w:tcW w:w="0" w:type="auto"/>
            <w:hideMark/>
          </w:tcPr>
          <w:p w14:paraId="2B0DAF1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Facility item</w:t>
            </w:r>
          </w:p>
        </w:tc>
        <w:tc>
          <w:tcPr>
            <w:tcW w:w="0" w:type="auto"/>
            <w:hideMark/>
          </w:tcPr>
          <w:p w14:paraId="4701BD86"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Frequency (units with item)</w:t>
            </w:r>
          </w:p>
        </w:tc>
        <w:tc>
          <w:tcPr>
            <w:tcW w:w="0" w:type="auto"/>
            <w:hideMark/>
          </w:tcPr>
          <w:p w14:paraId="28D086D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Percentage</w:t>
            </w:r>
          </w:p>
        </w:tc>
      </w:tr>
      <w:tr w:rsidR="001D008D" w:rsidRPr="000E0D70" w14:paraId="06127EDF" w14:textId="77777777" w:rsidTr="00446608">
        <w:tc>
          <w:tcPr>
            <w:tcW w:w="0" w:type="auto"/>
            <w:hideMark/>
          </w:tcPr>
          <w:p w14:paraId="775D77AE" w14:textId="0E4988A9"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Functioning ultrasound available in </w:t>
            </w:r>
            <w:r w:rsidR="00446608" w:rsidRPr="000E0D70">
              <w:rPr>
                <w:rFonts w:ascii="Times New Roman" w:hAnsi="Times New Roman" w:cs="Times New Roman"/>
              </w:rPr>
              <w:t xml:space="preserve">the </w:t>
            </w:r>
            <w:r w:rsidRPr="000E0D70">
              <w:rPr>
                <w:rFonts w:ascii="Times New Roman" w:hAnsi="Times New Roman" w:cs="Times New Roman"/>
              </w:rPr>
              <w:t>unit</w:t>
            </w:r>
          </w:p>
        </w:tc>
        <w:tc>
          <w:tcPr>
            <w:tcW w:w="0" w:type="auto"/>
            <w:hideMark/>
          </w:tcPr>
          <w:p w14:paraId="57C53BF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w:t>
            </w:r>
          </w:p>
        </w:tc>
        <w:tc>
          <w:tcPr>
            <w:tcW w:w="0" w:type="auto"/>
            <w:hideMark/>
          </w:tcPr>
          <w:p w14:paraId="449AEA1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87.50</w:t>
            </w:r>
          </w:p>
        </w:tc>
      </w:tr>
      <w:tr w:rsidR="001D008D" w:rsidRPr="000E0D70" w14:paraId="45556D82" w14:textId="77777777" w:rsidTr="00446608">
        <w:tc>
          <w:tcPr>
            <w:tcW w:w="0" w:type="auto"/>
            <w:hideMark/>
          </w:tcPr>
          <w:p w14:paraId="0E99EBA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Trained sonographer available on duty</w:t>
            </w:r>
          </w:p>
        </w:tc>
        <w:tc>
          <w:tcPr>
            <w:tcW w:w="0" w:type="auto"/>
            <w:hideMark/>
          </w:tcPr>
          <w:p w14:paraId="41F354A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w:t>
            </w:r>
          </w:p>
        </w:tc>
        <w:tc>
          <w:tcPr>
            <w:tcW w:w="0" w:type="auto"/>
            <w:hideMark/>
          </w:tcPr>
          <w:p w14:paraId="2F03F18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75.00</w:t>
            </w:r>
          </w:p>
        </w:tc>
      </w:tr>
      <w:tr w:rsidR="001D008D" w:rsidRPr="000E0D70" w14:paraId="73791704" w14:textId="77777777" w:rsidTr="00446608">
        <w:tc>
          <w:tcPr>
            <w:tcW w:w="0" w:type="auto"/>
            <w:hideMark/>
          </w:tcPr>
          <w:p w14:paraId="7956E72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Serum beta </w:t>
            </w:r>
            <w:proofErr w:type="spellStart"/>
            <w:r w:rsidRPr="000E0D70">
              <w:rPr>
                <w:rFonts w:ascii="Times New Roman" w:hAnsi="Times New Roman" w:cs="Times New Roman"/>
              </w:rPr>
              <w:t>hCG</w:t>
            </w:r>
            <w:proofErr w:type="spellEnd"/>
            <w:r w:rsidRPr="000E0D70">
              <w:rPr>
                <w:rFonts w:ascii="Times New Roman" w:hAnsi="Times New Roman" w:cs="Times New Roman"/>
              </w:rPr>
              <w:t xml:space="preserve"> testing available on site</w:t>
            </w:r>
          </w:p>
        </w:tc>
        <w:tc>
          <w:tcPr>
            <w:tcW w:w="0" w:type="auto"/>
            <w:hideMark/>
          </w:tcPr>
          <w:p w14:paraId="15EF5F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w:t>
            </w:r>
          </w:p>
        </w:tc>
        <w:tc>
          <w:tcPr>
            <w:tcW w:w="0" w:type="auto"/>
            <w:hideMark/>
          </w:tcPr>
          <w:p w14:paraId="1B38F76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62.50</w:t>
            </w:r>
          </w:p>
        </w:tc>
      </w:tr>
      <w:tr w:rsidR="001D008D" w:rsidRPr="000E0D70" w14:paraId="6879BE94" w14:textId="77777777" w:rsidTr="00446608">
        <w:tc>
          <w:tcPr>
            <w:tcW w:w="0" w:type="auto"/>
            <w:hideMark/>
          </w:tcPr>
          <w:p w14:paraId="0774EF6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Methotrexate routinely available</w:t>
            </w:r>
          </w:p>
        </w:tc>
        <w:tc>
          <w:tcPr>
            <w:tcW w:w="0" w:type="auto"/>
            <w:hideMark/>
          </w:tcPr>
          <w:p w14:paraId="2C116BD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3362984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50.00</w:t>
            </w:r>
          </w:p>
        </w:tc>
      </w:tr>
      <w:tr w:rsidR="001D008D" w:rsidRPr="000E0D70" w14:paraId="3ED38EBA" w14:textId="77777777" w:rsidTr="00446608">
        <w:tc>
          <w:tcPr>
            <w:tcW w:w="0" w:type="auto"/>
            <w:hideMark/>
          </w:tcPr>
          <w:p w14:paraId="2191103B" w14:textId="360C77CA"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Emergency theatre </w:t>
            </w:r>
            <w:r w:rsidR="00446608" w:rsidRPr="000E0D70">
              <w:rPr>
                <w:rFonts w:ascii="Times New Roman" w:hAnsi="Times New Roman" w:cs="Times New Roman"/>
              </w:rPr>
              <w:t xml:space="preserve">is </w:t>
            </w:r>
            <w:r w:rsidRPr="000E0D70">
              <w:rPr>
                <w:rFonts w:ascii="Times New Roman" w:hAnsi="Times New Roman" w:cs="Times New Roman"/>
              </w:rPr>
              <w:t>readily available within 30 minutes</w:t>
            </w:r>
          </w:p>
        </w:tc>
        <w:tc>
          <w:tcPr>
            <w:tcW w:w="0" w:type="auto"/>
            <w:hideMark/>
          </w:tcPr>
          <w:p w14:paraId="5528607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w:t>
            </w:r>
          </w:p>
        </w:tc>
        <w:tc>
          <w:tcPr>
            <w:tcW w:w="0" w:type="auto"/>
            <w:hideMark/>
          </w:tcPr>
          <w:p w14:paraId="090924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100.00</w:t>
            </w:r>
          </w:p>
        </w:tc>
      </w:tr>
      <w:tr w:rsidR="001D008D" w:rsidRPr="000E0D70" w14:paraId="41ADC46E" w14:textId="77777777" w:rsidTr="00446608">
        <w:tc>
          <w:tcPr>
            <w:tcW w:w="0" w:type="auto"/>
            <w:hideMark/>
          </w:tcPr>
          <w:p w14:paraId="5517392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Adequate blood bank capacity for obstetric emergencies</w:t>
            </w:r>
          </w:p>
        </w:tc>
        <w:tc>
          <w:tcPr>
            <w:tcW w:w="0" w:type="auto"/>
            <w:hideMark/>
          </w:tcPr>
          <w:p w14:paraId="76F887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w:t>
            </w:r>
          </w:p>
        </w:tc>
        <w:tc>
          <w:tcPr>
            <w:tcW w:w="0" w:type="auto"/>
            <w:hideMark/>
          </w:tcPr>
          <w:p w14:paraId="376891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75.00</w:t>
            </w:r>
          </w:p>
        </w:tc>
      </w:tr>
      <w:tr w:rsidR="001D008D" w:rsidRPr="000E0D70" w14:paraId="76AB79DB" w14:textId="77777777" w:rsidTr="00446608">
        <w:tc>
          <w:tcPr>
            <w:tcW w:w="0" w:type="auto"/>
            <w:hideMark/>
          </w:tcPr>
          <w:p w14:paraId="425585D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Structured referral pathway documented</w:t>
            </w:r>
          </w:p>
        </w:tc>
        <w:tc>
          <w:tcPr>
            <w:tcW w:w="0" w:type="auto"/>
            <w:hideMark/>
          </w:tcPr>
          <w:p w14:paraId="65FBF5F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w:t>
            </w:r>
          </w:p>
        </w:tc>
        <w:tc>
          <w:tcPr>
            <w:tcW w:w="0" w:type="auto"/>
            <w:hideMark/>
          </w:tcPr>
          <w:p w14:paraId="0E192BA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62.50</w:t>
            </w:r>
          </w:p>
        </w:tc>
      </w:tr>
      <w:tr w:rsidR="001D008D" w:rsidRPr="000E0D70" w14:paraId="3E48C514" w14:textId="77777777" w:rsidTr="00446608">
        <w:tc>
          <w:tcPr>
            <w:tcW w:w="0" w:type="auto"/>
            <w:hideMark/>
          </w:tcPr>
          <w:p w14:paraId="2B6EB38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Dedicated ectopic management protocol available</w:t>
            </w:r>
          </w:p>
        </w:tc>
        <w:tc>
          <w:tcPr>
            <w:tcW w:w="0" w:type="auto"/>
            <w:hideMark/>
          </w:tcPr>
          <w:p w14:paraId="50E939E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w:t>
            </w:r>
          </w:p>
        </w:tc>
        <w:tc>
          <w:tcPr>
            <w:tcW w:w="0" w:type="auto"/>
            <w:hideMark/>
          </w:tcPr>
          <w:p w14:paraId="1E5F04D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37.50</w:t>
            </w:r>
          </w:p>
        </w:tc>
      </w:tr>
    </w:tbl>
    <w:p w14:paraId="06C983A6" w14:textId="77777777" w:rsidR="00446608" w:rsidRPr="000E0D70" w:rsidRDefault="00446608" w:rsidP="00841106">
      <w:pPr>
        <w:pStyle w:val="Heading1"/>
        <w:spacing w:line="276" w:lineRule="auto"/>
        <w:jc w:val="both"/>
        <w:rPr>
          <w:rFonts w:ascii="Times New Roman" w:hAnsi="Times New Roman" w:cs="Times New Roman"/>
          <w:sz w:val="22"/>
          <w:szCs w:val="22"/>
        </w:rPr>
      </w:pPr>
    </w:p>
    <w:p w14:paraId="08BD7379" w14:textId="5902804F"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4:</w:t>
      </w:r>
      <w:r w:rsidRPr="000E0D70">
        <w:rPr>
          <w:rFonts w:ascii="Times New Roman" w:hAnsi="Times New Roman" w:cs="Times New Roman"/>
          <w:b/>
          <w:bCs/>
          <w:color w:val="auto"/>
          <w:sz w:val="22"/>
          <w:szCs w:val="22"/>
        </w:rPr>
        <w:t xml:space="preserve"> Clinical presentation and diagnostic features among ectopic cases (records n = 87)</w:t>
      </w:r>
    </w:p>
    <w:p w14:paraId="50012FB7" w14:textId="5890513A" w:rsidR="003D0A54" w:rsidRPr="000E0D70" w:rsidRDefault="003D0A54" w:rsidP="003D0A54">
      <w:pPr>
        <w:rPr>
          <w:rFonts w:ascii="Times New Roman" w:hAnsi="Times New Roman" w:cs="Times New Roman"/>
        </w:rPr>
      </w:pPr>
    </w:p>
    <w:tbl>
      <w:tblPr>
        <w:tblStyle w:val="TableGrid"/>
        <w:tblW w:w="0" w:type="auto"/>
        <w:tblLook w:val="04A0" w:firstRow="1" w:lastRow="0" w:firstColumn="1" w:lastColumn="0" w:noHBand="0" w:noVBand="1"/>
      </w:tblPr>
      <w:tblGrid>
        <w:gridCol w:w="4084"/>
        <w:gridCol w:w="2612"/>
        <w:gridCol w:w="1505"/>
      </w:tblGrid>
      <w:tr w:rsidR="003D0A54" w:rsidRPr="003D0A54" w14:paraId="6A30A31D" w14:textId="77777777" w:rsidTr="003D0A54">
        <w:tc>
          <w:tcPr>
            <w:tcW w:w="0" w:type="auto"/>
            <w:hideMark/>
          </w:tcPr>
          <w:p w14:paraId="446270C5"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Variable</w:t>
            </w:r>
          </w:p>
        </w:tc>
        <w:tc>
          <w:tcPr>
            <w:tcW w:w="0" w:type="auto"/>
            <w:hideMark/>
          </w:tcPr>
          <w:p w14:paraId="0F8CFDE0"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Frequency</w:t>
            </w:r>
          </w:p>
        </w:tc>
        <w:tc>
          <w:tcPr>
            <w:tcW w:w="0" w:type="auto"/>
            <w:hideMark/>
          </w:tcPr>
          <w:p w14:paraId="2EF438B7"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Percentage</w:t>
            </w:r>
          </w:p>
        </w:tc>
      </w:tr>
      <w:tr w:rsidR="003D0A54" w:rsidRPr="003D0A54" w14:paraId="2D2E6543" w14:textId="77777777" w:rsidTr="003D0A54">
        <w:tc>
          <w:tcPr>
            <w:tcW w:w="0" w:type="auto"/>
            <w:hideMark/>
          </w:tcPr>
          <w:p w14:paraId="66EE792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Presenting complaint</w:t>
            </w:r>
          </w:p>
        </w:tc>
        <w:tc>
          <w:tcPr>
            <w:tcW w:w="0" w:type="auto"/>
            <w:hideMark/>
          </w:tcPr>
          <w:p w14:paraId="65ABDE42" w14:textId="77777777" w:rsidR="003D0A54" w:rsidRPr="003D0A54" w:rsidRDefault="003D0A54" w:rsidP="003D0A54">
            <w:pPr>
              <w:rPr>
                <w:rFonts w:ascii="Times New Roman" w:eastAsia="Times New Roman" w:hAnsi="Times New Roman" w:cs="Times New Roman"/>
              </w:rPr>
            </w:pPr>
          </w:p>
        </w:tc>
        <w:tc>
          <w:tcPr>
            <w:tcW w:w="0" w:type="auto"/>
            <w:hideMark/>
          </w:tcPr>
          <w:p w14:paraId="0D7A702F" w14:textId="77777777" w:rsidR="003D0A54" w:rsidRPr="003D0A54" w:rsidRDefault="003D0A54" w:rsidP="003D0A54">
            <w:pPr>
              <w:rPr>
                <w:rFonts w:ascii="Times New Roman" w:eastAsia="Times New Roman" w:hAnsi="Times New Roman" w:cs="Times New Roman"/>
              </w:rPr>
            </w:pPr>
          </w:p>
        </w:tc>
      </w:tr>
      <w:tr w:rsidR="003D0A54" w:rsidRPr="003D0A54" w14:paraId="4BEEF90E" w14:textId="77777777" w:rsidTr="003D0A54">
        <w:tc>
          <w:tcPr>
            <w:tcW w:w="0" w:type="auto"/>
            <w:hideMark/>
          </w:tcPr>
          <w:p w14:paraId="67EF78E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Abdominal pain</w:t>
            </w:r>
          </w:p>
        </w:tc>
        <w:tc>
          <w:tcPr>
            <w:tcW w:w="0" w:type="auto"/>
            <w:hideMark/>
          </w:tcPr>
          <w:p w14:paraId="68FF282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72</w:t>
            </w:r>
          </w:p>
        </w:tc>
        <w:tc>
          <w:tcPr>
            <w:tcW w:w="0" w:type="auto"/>
            <w:hideMark/>
          </w:tcPr>
          <w:p w14:paraId="1FB3B33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82.76</w:t>
            </w:r>
          </w:p>
        </w:tc>
      </w:tr>
      <w:tr w:rsidR="003D0A54" w:rsidRPr="003D0A54" w14:paraId="3A8AF42C" w14:textId="77777777" w:rsidTr="003D0A54">
        <w:tc>
          <w:tcPr>
            <w:tcW w:w="0" w:type="auto"/>
            <w:hideMark/>
          </w:tcPr>
          <w:p w14:paraId="29D5712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Vaginal bleeding</w:t>
            </w:r>
          </w:p>
        </w:tc>
        <w:tc>
          <w:tcPr>
            <w:tcW w:w="0" w:type="auto"/>
            <w:hideMark/>
          </w:tcPr>
          <w:p w14:paraId="7C6250D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58</w:t>
            </w:r>
          </w:p>
        </w:tc>
        <w:tc>
          <w:tcPr>
            <w:tcW w:w="0" w:type="auto"/>
            <w:hideMark/>
          </w:tcPr>
          <w:p w14:paraId="62C4FF8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66.67</w:t>
            </w:r>
          </w:p>
        </w:tc>
      </w:tr>
      <w:tr w:rsidR="003D0A54" w:rsidRPr="003D0A54" w14:paraId="1F8ECC43" w14:textId="77777777" w:rsidTr="003D0A54">
        <w:tc>
          <w:tcPr>
            <w:tcW w:w="0" w:type="auto"/>
            <w:hideMark/>
          </w:tcPr>
          <w:p w14:paraId="7FC5FC92"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Syncope or presyncope</w:t>
            </w:r>
          </w:p>
        </w:tc>
        <w:tc>
          <w:tcPr>
            <w:tcW w:w="0" w:type="auto"/>
            <w:hideMark/>
          </w:tcPr>
          <w:p w14:paraId="69775CE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9</w:t>
            </w:r>
          </w:p>
        </w:tc>
        <w:tc>
          <w:tcPr>
            <w:tcW w:w="0" w:type="auto"/>
            <w:hideMark/>
          </w:tcPr>
          <w:p w14:paraId="2334117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10.34</w:t>
            </w:r>
          </w:p>
        </w:tc>
      </w:tr>
      <w:tr w:rsidR="003D0A54" w:rsidRPr="003D0A54" w14:paraId="232FB48A" w14:textId="77777777" w:rsidTr="003D0A54">
        <w:tc>
          <w:tcPr>
            <w:tcW w:w="0" w:type="auto"/>
            <w:hideMark/>
          </w:tcPr>
          <w:p w14:paraId="443EEB8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Shoulder tip pain</w:t>
            </w:r>
          </w:p>
        </w:tc>
        <w:tc>
          <w:tcPr>
            <w:tcW w:w="0" w:type="auto"/>
            <w:hideMark/>
          </w:tcPr>
          <w:p w14:paraId="3CDD5A1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w:t>
            </w:r>
          </w:p>
        </w:tc>
        <w:tc>
          <w:tcPr>
            <w:tcW w:w="0" w:type="auto"/>
            <w:hideMark/>
          </w:tcPr>
          <w:p w14:paraId="12D57D2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8.05</w:t>
            </w:r>
          </w:p>
        </w:tc>
      </w:tr>
      <w:tr w:rsidR="003D0A54" w:rsidRPr="003D0A54" w14:paraId="6C48B424" w14:textId="77777777" w:rsidTr="003D0A54">
        <w:tc>
          <w:tcPr>
            <w:tcW w:w="0" w:type="auto"/>
            <w:hideMark/>
          </w:tcPr>
          <w:p w14:paraId="782DC46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Incidental finding on scan, asymptomatic</w:t>
            </w:r>
          </w:p>
        </w:tc>
        <w:tc>
          <w:tcPr>
            <w:tcW w:w="0" w:type="auto"/>
            <w:hideMark/>
          </w:tcPr>
          <w:p w14:paraId="0ED4C56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w:t>
            </w:r>
          </w:p>
        </w:tc>
        <w:tc>
          <w:tcPr>
            <w:tcW w:w="0" w:type="auto"/>
            <w:hideMark/>
          </w:tcPr>
          <w:p w14:paraId="13A6424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5.75</w:t>
            </w:r>
          </w:p>
        </w:tc>
      </w:tr>
      <w:tr w:rsidR="003D0A54" w:rsidRPr="003D0A54" w14:paraId="6DC4A822" w14:textId="77777777" w:rsidTr="003D0A54">
        <w:tc>
          <w:tcPr>
            <w:tcW w:w="0" w:type="auto"/>
            <w:hideMark/>
          </w:tcPr>
          <w:p w14:paraId="3C33C4E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Method of diagnosis</w:t>
            </w:r>
          </w:p>
        </w:tc>
        <w:tc>
          <w:tcPr>
            <w:tcW w:w="0" w:type="auto"/>
            <w:hideMark/>
          </w:tcPr>
          <w:p w14:paraId="2916E868" w14:textId="77777777" w:rsidR="003D0A54" w:rsidRPr="003D0A54" w:rsidRDefault="003D0A54" w:rsidP="003D0A54">
            <w:pPr>
              <w:rPr>
                <w:rFonts w:ascii="Times New Roman" w:eastAsia="Times New Roman" w:hAnsi="Times New Roman" w:cs="Times New Roman"/>
              </w:rPr>
            </w:pPr>
          </w:p>
        </w:tc>
        <w:tc>
          <w:tcPr>
            <w:tcW w:w="0" w:type="auto"/>
            <w:hideMark/>
          </w:tcPr>
          <w:p w14:paraId="6EDEA09D" w14:textId="77777777" w:rsidR="003D0A54" w:rsidRPr="003D0A54" w:rsidRDefault="003D0A54" w:rsidP="003D0A54">
            <w:pPr>
              <w:rPr>
                <w:rFonts w:ascii="Times New Roman" w:eastAsia="Times New Roman" w:hAnsi="Times New Roman" w:cs="Times New Roman"/>
              </w:rPr>
            </w:pPr>
          </w:p>
        </w:tc>
      </w:tr>
      <w:tr w:rsidR="003D0A54" w:rsidRPr="003D0A54" w14:paraId="5C673505" w14:textId="77777777" w:rsidTr="003D0A54">
        <w:tc>
          <w:tcPr>
            <w:tcW w:w="0" w:type="auto"/>
            <w:hideMark/>
          </w:tcPr>
          <w:p w14:paraId="2C731F5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Transvaginal ultrasound positive</w:t>
            </w:r>
          </w:p>
        </w:tc>
        <w:tc>
          <w:tcPr>
            <w:tcW w:w="0" w:type="auto"/>
            <w:hideMark/>
          </w:tcPr>
          <w:p w14:paraId="5786BB6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68</w:t>
            </w:r>
          </w:p>
        </w:tc>
        <w:tc>
          <w:tcPr>
            <w:tcW w:w="0" w:type="auto"/>
            <w:hideMark/>
          </w:tcPr>
          <w:p w14:paraId="66D033F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78.16</w:t>
            </w:r>
          </w:p>
        </w:tc>
      </w:tr>
      <w:tr w:rsidR="003D0A54" w:rsidRPr="003D0A54" w14:paraId="558A7C4F" w14:textId="77777777" w:rsidTr="003D0A54">
        <w:tc>
          <w:tcPr>
            <w:tcW w:w="0" w:type="auto"/>
            <w:hideMark/>
          </w:tcPr>
          <w:p w14:paraId="7E69DEE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Clinical diagnosis without imaging</w:t>
            </w:r>
          </w:p>
        </w:tc>
        <w:tc>
          <w:tcPr>
            <w:tcW w:w="0" w:type="auto"/>
            <w:hideMark/>
          </w:tcPr>
          <w:p w14:paraId="3E9A095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12</w:t>
            </w:r>
          </w:p>
        </w:tc>
        <w:tc>
          <w:tcPr>
            <w:tcW w:w="0" w:type="auto"/>
            <w:hideMark/>
          </w:tcPr>
          <w:p w14:paraId="3664D6A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13.79</w:t>
            </w:r>
          </w:p>
        </w:tc>
      </w:tr>
      <w:tr w:rsidR="003D0A54" w:rsidRPr="003D0A54" w14:paraId="1DFCB8B6" w14:textId="77777777" w:rsidTr="003D0A54">
        <w:tc>
          <w:tcPr>
            <w:tcW w:w="0" w:type="auto"/>
            <w:hideMark/>
          </w:tcPr>
          <w:p w14:paraId="3CCFC7C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Operative or histopathological confirmation</w:t>
            </w:r>
          </w:p>
        </w:tc>
        <w:tc>
          <w:tcPr>
            <w:tcW w:w="0" w:type="auto"/>
            <w:hideMark/>
          </w:tcPr>
          <w:p w14:paraId="0A2FF86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w:t>
            </w:r>
          </w:p>
        </w:tc>
        <w:tc>
          <w:tcPr>
            <w:tcW w:w="0" w:type="auto"/>
            <w:hideMark/>
          </w:tcPr>
          <w:p w14:paraId="6D5982D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8.05</w:t>
            </w:r>
          </w:p>
        </w:tc>
      </w:tr>
      <w:tr w:rsidR="003D0A54" w:rsidRPr="003D0A54" w14:paraId="52F14499" w14:textId="77777777" w:rsidTr="003D0A54">
        <w:tc>
          <w:tcPr>
            <w:tcW w:w="0" w:type="auto"/>
            <w:hideMark/>
          </w:tcPr>
          <w:p w14:paraId="0346F2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Hemodynamic status at presentation</w:t>
            </w:r>
          </w:p>
        </w:tc>
        <w:tc>
          <w:tcPr>
            <w:tcW w:w="0" w:type="auto"/>
            <w:hideMark/>
          </w:tcPr>
          <w:p w14:paraId="53DFCC78" w14:textId="77777777" w:rsidR="003D0A54" w:rsidRPr="003D0A54" w:rsidRDefault="003D0A54" w:rsidP="003D0A54">
            <w:pPr>
              <w:rPr>
                <w:rFonts w:ascii="Times New Roman" w:eastAsia="Times New Roman" w:hAnsi="Times New Roman" w:cs="Times New Roman"/>
              </w:rPr>
            </w:pPr>
          </w:p>
        </w:tc>
        <w:tc>
          <w:tcPr>
            <w:tcW w:w="0" w:type="auto"/>
            <w:hideMark/>
          </w:tcPr>
          <w:p w14:paraId="4BB3FCAD" w14:textId="77777777" w:rsidR="003D0A54" w:rsidRPr="003D0A54" w:rsidRDefault="003D0A54" w:rsidP="003D0A54">
            <w:pPr>
              <w:rPr>
                <w:rFonts w:ascii="Times New Roman" w:eastAsia="Times New Roman" w:hAnsi="Times New Roman" w:cs="Times New Roman"/>
              </w:rPr>
            </w:pPr>
          </w:p>
        </w:tc>
      </w:tr>
      <w:tr w:rsidR="003D0A54" w:rsidRPr="003D0A54" w14:paraId="3F7F7704" w14:textId="77777777" w:rsidTr="003D0A54">
        <w:tc>
          <w:tcPr>
            <w:tcW w:w="0" w:type="auto"/>
            <w:hideMark/>
          </w:tcPr>
          <w:p w14:paraId="0CE193E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Stable</w:t>
            </w:r>
          </w:p>
        </w:tc>
        <w:tc>
          <w:tcPr>
            <w:tcW w:w="0" w:type="auto"/>
            <w:hideMark/>
          </w:tcPr>
          <w:p w14:paraId="44F4A59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61</w:t>
            </w:r>
          </w:p>
        </w:tc>
        <w:tc>
          <w:tcPr>
            <w:tcW w:w="0" w:type="auto"/>
            <w:hideMark/>
          </w:tcPr>
          <w:p w14:paraId="788272E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70.11</w:t>
            </w:r>
          </w:p>
        </w:tc>
      </w:tr>
      <w:tr w:rsidR="003D0A54" w:rsidRPr="003D0A54" w14:paraId="63D7D352" w14:textId="77777777" w:rsidTr="003D0A54">
        <w:tc>
          <w:tcPr>
            <w:tcW w:w="0" w:type="auto"/>
            <w:hideMark/>
          </w:tcPr>
          <w:p w14:paraId="18059F9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Unstable</w:t>
            </w:r>
          </w:p>
        </w:tc>
        <w:tc>
          <w:tcPr>
            <w:tcW w:w="0" w:type="auto"/>
            <w:hideMark/>
          </w:tcPr>
          <w:p w14:paraId="2AC8DE4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26</w:t>
            </w:r>
          </w:p>
        </w:tc>
        <w:tc>
          <w:tcPr>
            <w:tcW w:w="0" w:type="auto"/>
            <w:hideMark/>
          </w:tcPr>
          <w:p w14:paraId="7703B23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29.89</w:t>
            </w:r>
          </w:p>
        </w:tc>
      </w:tr>
      <w:tr w:rsidR="003D0A54" w:rsidRPr="003D0A54" w14:paraId="43B039A1" w14:textId="77777777" w:rsidTr="003D0A54">
        <w:tc>
          <w:tcPr>
            <w:tcW w:w="0" w:type="auto"/>
            <w:hideMark/>
          </w:tcPr>
          <w:p w14:paraId="69D2E29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Time from presentation to diagnosis</w:t>
            </w:r>
          </w:p>
        </w:tc>
        <w:tc>
          <w:tcPr>
            <w:tcW w:w="0" w:type="auto"/>
            <w:hideMark/>
          </w:tcPr>
          <w:p w14:paraId="5A4C2AC6" w14:textId="77777777" w:rsidR="003D0A54" w:rsidRPr="003D0A54" w:rsidRDefault="003D0A54" w:rsidP="003D0A54">
            <w:pPr>
              <w:rPr>
                <w:rFonts w:ascii="Times New Roman" w:eastAsia="Times New Roman" w:hAnsi="Times New Roman" w:cs="Times New Roman"/>
              </w:rPr>
            </w:pPr>
          </w:p>
        </w:tc>
        <w:tc>
          <w:tcPr>
            <w:tcW w:w="0" w:type="auto"/>
            <w:hideMark/>
          </w:tcPr>
          <w:p w14:paraId="3711DF4C" w14:textId="77777777" w:rsidR="003D0A54" w:rsidRPr="003D0A54" w:rsidRDefault="003D0A54" w:rsidP="003D0A54">
            <w:pPr>
              <w:rPr>
                <w:rFonts w:ascii="Times New Roman" w:eastAsia="Times New Roman" w:hAnsi="Times New Roman" w:cs="Times New Roman"/>
              </w:rPr>
            </w:pPr>
          </w:p>
        </w:tc>
      </w:tr>
      <w:tr w:rsidR="003D0A54" w:rsidRPr="003D0A54" w14:paraId="01DAA303" w14:textId="77777777" w:rsidTr="003D0A54">
        <w:tc>
          <w:tcPr>
            <w:tcW w:w="0" w:type="auto"/>
            <w:hideMark/>
          </w:tcPr>
          <w:p w14:paraId="5A9FB93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Mean time (mean ± SD)</w:t>
            </w:r>
          </w:p>
        </w:tc>
        <w:tc>
          <w:tcPr>
            <w:tcW w:w="0" w:type="auto"/>
            <w:hideMark/>
          </w:tcPr>
          <w:p w14:paraId="3C916A1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18.4 ± 22.7 hours</w:t>
            </w:r>
          </w:p>
        </w:tc>
        <w:tc>
          <w:tcPr>
            <w:tcW w:w="0" w:type="auto"/>
            <w:hideMark/>
          </w:tcPr>
          <w:p w14:paraId="31A0D36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r w:rsidR="003D0A54" w:rsidRPr="003D0A54" w14:paraId="65AC1D71" w14:textId="77777777" w:rsidTr="003D0A54">
        <w:tc>
          <w:tcPr>
            <w:tcW w:w="0" w:type="auto"/>
            <w:hideMark/>
          </w:tcPr>
          <w:p w14:paraId="3BAC4AF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Median time (with IQR)</w:t>
            </w:r>
          </w:p>
        </w:tc>
        <w:tc>
          <w:tcPr>
            <w:tcW w:w="0" w:type="auto"/>
            <w:hideMark/>
          </w:tcPr>
          <w:p w14:paraId="5BC5756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8.0 hours (IQR 4.0 to 24.0)</w:t>
            </w:r>
          </w:p>
        </w:tc>
        <w:tc>
          <w:tcPr>
            <w:tcW w:w="0" w:type="auto"/>
            <w:hideMark/>
          </w:tcPr>
          <w:p w14:paraId="413692D7"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bl>
    <w:p w14:paraId="06928B86" w14:textId="77777777" w:rsidR="003D0A54" w:rsidRPr="000E0D70" w:rsidRDefault="003D0A54" w:rsidP="00841106">
      <w:pPr>
        <w:pStyle w:val="Heading1"/>
        <w:spacing w:line="276" w:lineRule="auto"/>
        <w:jc w:val="both"/>
        <w:rPr>
          <w:rFonts w:ascii="Times New Roman" w:hAnsi="Times New Roman" w:cs="Times New Roman"/>
          <w:sz w:val="22"/>
          <w:szCs w:val="22"/>
        </w:rPr>
      </w:pPr>
    </w:p>
    <w:p w14:paraId="05115981" w14:textId="3F860AD3" w:rsidR="003D0A54" w:rsidRPr="003D0A54" w:rsidRDefault="001D008D" w:rsidP="003D0A54">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5:</w:t>
      </w:r>
      <w:r w:rsidRPr="000E0D70">
        <w:rPr>
          <w:rFonts w:ascii="Times New Roman" w:hAnsi="Times New Roman" w:cs="Times New Roman"/>
          <w:b/>
          <w:bCs/>
          <w:color w:val="auto"/>
          <w:sz w:val="22"/>
          <w:szCs w:val="22"/>
        </w:rPr>
        <w:t xml:space="preserve"> Management </w:t>
      </w:r>
      <w:r w:rsidR="00446608" w:rsidRPr="000E0D70">
        <w:rPr>
          <w:rFonts w:ascii="Times New Roman" w:hAnsi="Times New Roman" w:cs="Times New Roman"/>
          <w:b/>
          <w:bCs/>
          <w:color w:val="auto"/>
          <w:sz w:val="22"/>
          <w:szCs w:val="22"/>
        </w:rPr>
        <w:t xml:space="preserve">Modalities </w:t>
      </w:r>
      <w:r w:rsidRPr="000E0D70">
        <w:rPr>
          <w:rFonts w:ascii="Times New Roman" w:hAnsi="Times New Roman" w:cs="Times New Roman"/>
          <w:b/>
          <w:bCs/>
          <w:color w:val="auto"/>
          <w:sz w:val="22"/>
          <w:szCs w:val="22"/>
        </w:rPr>
        <w:t xml:space="preserve">and </w:t>
      </w:r>
      <w:r w:rsidR="00446608" w:rsidRPr="000E0D70">
        <w:rPr>
          <w:rFonts w:ascii="Times New Roman" w:hAnsi="Times New Roman" w:cs="Times New Roman"/>
          <w:b/>
          <w:bCs/>
          <w:color w:val="auto"/>
          <w:sz w:val="22"/>
          <w:szCs w:val="22"/>
        </w:rPr>
        <w:t xml:space="preserve">Operative </w:t>
      </w:r>
      <w:r w:rsidRPr="000E0D70">
        <w:rPr>
          <w:rFonts w:ascii="Times New Roman" w:hAnsi="Times New Roman" w:cs="Times New Roman"/>
          <w:b/>
          <w:bCs/>
          <w:color w:val="auto"/>
          <w:sz w:val="22"/>
          <w:szCs w:val="22"/>
        </w:rPr>
        <w:t xml:space="preserve">details among ectopic cases </w:t>
      </w:r>
    </w:p>
    <w:tbl>
      <w:tblPr>
        <w:tblStyle w:val="TableGrid"/>
        <w:tblW w:w="0" w:type="auto"/>
        <w:tblLook w:val="04A0" w:firstRow="1" w:lastRow="0" w:firstColumn="1" w:lastColumn="0" w:noHBand="0" w:noVBand="1"/>
      </w:tblPr>
      <w:tblGrid>
        <w:gridCol w:w="4817"/>
        <w:gridCol w:w="1998"/>
        <w:gridCol w:w="1676"/>
      </w:tblGrid>
      <w:tr w:rsidR="003D0A54" w:rsidRPr="003D0A54" w14:paraId="6847A2B4" w14:textId="77777777" w:rsidTr="003D0A54">
        <w:tc>
          <w:tcPr>
            <w:tcW w:w="0" w:type="auto"/>
            <w:hideMark/>
          </w:tcPr>
          <w:p w14:paraId="05A36DC1"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Variable</w:t>
            </w:r>
          </w:p>
        </w:tc>
        <w:tc>
          <w:tcPr>
            <w:tcW w:w="0" w:type="auto"/>
            <w:hideMark/>
          </w:tcPr>
          <w:p w14:paraId="69B627F4"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Frequency (n = 87)</w:t>
            </w:r>
          </w:p>
        </w:tc>
        <w:tc>
          <w:tcPr>
            <w:tcW w:w="0" w:type="auto"/>
            <w:hideMark/>
          </w:tcPr>
          <w:p w14:paraId="0C27A73E" w14:textId="77777777" w:rsidR="003D0A54" w:rsidRPr="003D0A54" w:rsidRDefault="003D0A54" w:rsidP="003D0A54">
            <w:pPr>
              <w:jc w:val="center"/>
              <w:rPr>
                <w:rFonts w:ascii="Times New Roman" w:eastAsia="Times New Roman" w:hAnsi="Times New Roman" w:cs="Times New Roman"/>
                <w:b/>
                <w:bCs/>
              </w:rPr>
            </w:pPr>
            <w:r w:rsidRPr="003D0A54">
              <w:rPr>
                <w:rFonts w:ascii="Times New Roman" w:eastAsia="Times New Roman" w:hAnsi="Times New Roman" w:cs="Times New Roman"/>
                <w:b/>
                <w:bCs/>
              </w:rPr>
              <w:t>Percentage (%)</w:t>
            </w:r>
          </w:p>
        </w:tc>
      </w:tr>
      <w:tr w:rsidR="003D0A54" w:rsidRPr="003D0A54" w14:paraId="0B0D9CB5" w14:textId="77777777" w:rsidTr="003D0A54">
        <w:tc>
          <w:tcPr>
            <w:tcW w:w="0" w:type="auto"/>
            <w:hideMark/>
          </w:tcPr>
          <w:p w14:paraId="1F39C18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Primary management type</w:t>
            </w:r>
          </w:p>
        </w:tc>
        <w:tc>
          <w:tcPr>
            <w:tcW w:w="0" w:type="auto"/>
            <w:hideMark/>
          </w:tcPr>
          <w:p w14:paraId="05C27F10" w14:textId="77777777" w:rsidR="003D0A54" w:rsidRPr="003D0A54" w:rsidRDefault="003D0A54" w:rsidP="003D0A54">
            <w:pPr>
              <w:rPr>
                <w:rFonts w:ascii="Times New Roman" w:eastAsia="Times New Roman" w:hAnsi="Times New Roman" w:cs="Times New Roman"/>
              </w:rPr>
            </w:pPr>
          </w:p>
        </w:tc>
        <w:tc>
          <w:tcPr>
            <w:tcW w:w="0" w:type="auto"/>
            <w:hideMark/>
          </w:tcPr>
          <w:p w14:paraId="11913792" w14:textId="77777777" w:rsidR="003D0A54" w:rsidRPr="003D0A54" w:rsidRDefault="003D0A54" w:rsidP="003D0A54">
            <w:pPr>
              <w:rPr>
                <w:rFonts w:ascii="Times New Roman" w:eastAsia="Times New Roman" w:hAnsi="Times New Roman" w:cs="Times New Roman"/>
              </w:rPr>
            </w:pPr>
          </w:p>
        </w:tc>
      </w:tr>
      <w:tr w:rsidR="003D0A54" w:rsidRPr="003D0A54" w14:paraId="3C38A668" w14:textId="77777777" w:rsidTr="003D0A54">
        <w:tc>
          <w:tcPr>
            <w:tcW w:w="0" w:type="auto"/>
            <w:hideMark/>
          </w:tcPr>
          <w:p w14:paraId="244175D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Surgical</w:t>
            </w:r>
          </w:p>
        </w:tc>
        <w:tc>
          <w:tcPr>
            <w:tcW w:w="0" w:type="auto"/>
            <w:hideMark/>
          </w:tcPr>
          <w:p w14:paraId="7E537C45"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64</w:t>
            </w:r>
          </w:p>
        </w:tc>
        <w:tc>
          <w:tcPr>
            <w:tcW w:w="0" w:type="auto"/>
            <w:hideMark/>
          </w:tcPr>
          <w:p w14:paraId="63D34C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73.56</w:t>
            </w:r>
          </w:p>
        </w:tc>
      </w:tr>
      <w:tr w:rsidR="003D0A54" w:rsidRPr="003D0A54" w14:paraId="736B62DB" w14:textId="77777777" w:rsidTr="003D0A54">
        <w:tc>
          <w:tcPr>
            <w:tcW w:w="0" w:type="auto"/>
            <w:hideMark/>
          </w:tcPr>
          <w:p w14:paraId="6454C1BD" w14:textId="0157F9D1"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Medical therapy (single or </w:t>
            </w:r>
            <w:r w:rsidRPr="000E0D70">
              <w:rPr>
                <w:rFonts w:ascii="Times New Roman" w:eastAsia="Times New Roman" w:hAnsi="Times New Roman" w:cs="Times New Roman"/>
              </w:rPr>
              <w:t>multi-dose</w:t>
            </w:r>
            <w:r w:rsidRPr="003D0A54">
              <w:rPr>
                <w:rFonts w:ascii="Times New Roman" w:eastAsia="Times New Roman" w:hAnsi="Times New Roman" w:cs="Times New Roman"/>
              </w:rPr>
              <w:t xml:space="preserve"> methotrexate)</w:t>
            </w:r>
          </w:p>
        </w:tc>
        <w:tc>
          <w:tcPr>
            <w:tcW w:w="0" w:type="auto"/>
            <w:hideMark/>
          </w:tcPr>
          <w:p w14:paraId="2299675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13</w:t>
            </w:r>
          </w:p>
        </w:tc>
        <w:tc>
          <w:tcPr>
            <w:tcW w:w="0" w:type="auto"/>
            <w:hideMark/>
          </w:tcPr>
          <w:p w14:paraId="721D91B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14.94</w:t>
            </w:r>
          </w:p>
        </w:tc>
      </w:tr>
      <w:tr w:rsidR="003D0A54" w:rsidRPr="003D0A54" w14:paraId="13DB8D30" w14:textId="77777777" w:rsidTr="003D0A54">
        <w:tc>
          <w:tcPr>
            <w:tcW w:w="0" w:type="auto"/>
            <w:hideMark/>
          </w:tcPr>
          <w:p w14:paraId="79BC5BDF"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Expectant management</w:t>
            </w:r>
          </w:p>
        </w:tc>
        <w:tc>
          <w:tcPr>
            <w:tcW w:w="0" w:type="auto"/>
            <w:hideMark/>
          </w:tcPr>
          <w:p w14:paraId="4A1D850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10</w:t>
            </w:r>
          </w:p>
        </w:tc>
        <w:tc>
          <w:tcPr>
            <w:tcW w:w="0" w:type="auto"/>
            <w:hideMark/>
          </w:tcPr>
          <w:p w14:paraId="69844F1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11.49</w:t>
            </w:r>
          </w:p>
        </w:tc>
      </w:tr>
      <w:tr w:rsidR="003D0A54" w:rsidRPr="003D0A54" w14:paraId="32A600C4" w14:textId="77777777" w:rsidTr="003D0A54">
        <w:tc>
          <w:tcPr>
            <w:tcW w:w="0" w:type="auto"/>
            <w:hideMark/>
          </w:tcPr>
          <w:p w14:paraId="68C41DC3"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Details among surgical cases (n = 64)</w:t>
            </w:r>
          </w:p>
        </w:tc>
        <w:tc>
          <w:tcPr>
            <w:tcW w:w="0" w:type="auto"/>
            <w:hideMark/>
          </w:tcPr>
          <w:p w14:paraId="46B6ABF0" w14:textId="77777777" w:rsidR="003D0A54" w:rsidRPr="003D0A54" w:rsidRDefault="003D0A54" w:rsidP="003D0A54">
            <w:pPr>
              <w:rPr>
                <w:rFonts w:ascii="Times New Roman" w:eastAsia="Times New Roman" w:hAnsi="Times New Roman" w:cs="Times New Roman"/>
              </w:rPr>
            </w:pPr>
          </w:p>
        </w:tc>
        <w:tc>
          <w:tcPr>
            <w:tcW w:w="0" w:type="auto"/>
            <w:hideMark/>
          </w:tcPr>
          <w:p w14:paraId="68EEF7D1" w14:textId="77777777" w:rsidR="003D0A54" w:rsidRPr="003D0A54" w:rsidRDefault="003D0A54" w:rsidP="003D0A54">
            <w:pPr>
              <w:rPr>
                <w:rFonts w:ascii="Times New Roman" w:eastAsia="Times New Roman" w:hAnsi="Times New Roman" w:cs="Times New Roman"/>
              </w:rPr>
            </w:pPr>
          </w:p>
        </w:tc>
      </w:tr>
      <w:tr w:rsidR="003D0A54" w:rsidRPr="003D0A54" w14:paraId="50227DC1" w14:textId="77777777" w:rsidTr="003D0A54">
        <w:tc>
          <w:tcPr>
            <w:tcW w:w="0" w:type="auto"/>
            <w:hideMark/>
          </w:tcPr>
          <w:p w14:paraId="2578320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Salpingectomy</w:t>
            </w:r>
          </w:p>
        </w:tc>
        <w:tc>
          <w:tcPr>
            <w:tcW w:w="0" w:type="auto"/>
            <w:hideMark/>
          </w:tcPr>
          <w:p w14:paraId="0F22F8D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49</w:t>
            </w:r>
          </w:p>
        </w:tc>
        <w:tc>
          <w:tcPr>
            <w:tcW w:w="0" w:type="auto"/>
            <w:hideMark/>
          </w:tcPr>
          <w:p w14:paraId="4BB093CA" w14:textId="6162275C" w:rsidR="003D0A54" w:rsidRPr="003D0A54" w:rsidRDefault="003D0A54" w:rsidP="003D0A54">
            <w:pPr>
              <w:rPr>
                <w:rFonts w:ascii="Times New Roman" w:eastAsia="Times New Roman" w:hAnsi="Times New Roman" w:cs="Times New Roman"/>
              </w:rPr>
            </w:pPr>
            <w:r w:rsidRPr="000E0D70">
              <w:rPr>
                <w:rFonts w:ascii="Times New Roman" w:eastAsia="Times New Roman" w:hAnsi="Times New Roman" w:cs="Times New Roman"/>
              </w:rPr>
              <w:t>76.56</w:t>
            </w:r>
          </w:p>
        </w:tc>
      </w:tr>
      <w:tr w:rsidR="003D0A54" w:rsidRPr="003D0A54" w14:paraId="3F25C189" w14:textId="77777777" w:rsidTr="003D0A54">
        <w:tc>
          <w:tcPr>
            <w:tcW w:w="0" w:type="auto"/>
            <w:hideMark/>
          </w:tcPr>
          <w:p w14:paraId="563F38FE"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Salpingostomy</w:t>
            </w:r>
          </w:p>
        </w:tc>
        <w:tc>
          <w:tcPr>
            <w:tcW w:w="0" w:type="auto"/>
            <w:hideMark/>
          </w:tcPr>
          <w:p w14:paraId="527A46F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9</w:t>
            </w:r>
          </w:p>
        </w:tc>
        <w:tc>
          <w:tcPr>
            <w:tcW w:w="0" w:type="auto"/>
            <w:hideMark/>
          </w:tcPr>
          <w:p w14:paraId="3801FBCD" w14:textId="0D8CD4DC"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14.06 </w:t>
            </w:r>
          </w:p>
        </w:tc>
      </w:tr>
      <w:tr w:rsidR="003D0A54" w:rsidRPr="003D0A54" w14:paraId="44D0D71E" w14:textId="77777777" w:rsidTr="003D0A54">
        <w:tc>
          <w:tcPr>
            <w:tcW w:w="0" w:type="auto"/>
            <w:hideMark/>
          </w:tcPr>
          <w:p w14:paraId="267E8B5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Laparotomy for massive hemoperitoneum</w:t>
            </w:r>
          </w:p>
        </w:tc>
        <w:tc>
          <w:tcPr>
            <w:tcW w:w="0" w:type="auto"/>
            <w:hideMark/>
          </w:tcPr>
          <w:p w14:paraId="5FB4A25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6</w:t>
            </w:r>
          </w:p>
        </w:tc>
        <w:tc>
          <w:tcPr>
            <w:tcW w:w="0" w:type="auto"/>
            <w:hideMark/>
          </w:tcPr>
          <w:p w14:paraId="2FC572C6" w14:textId="6ECEA6A1"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 xml:space="preserve">9.38 </w:t>
            </w:r>
          </w:p>
        </w:tc>
      </w:tr>
      <w:tr w:rsidR="003D0A54" w:rsidRPr="003D0A54" w14:paraId="2DCB8922" w14:textId="77777777" w:rsidTr="003D0A54">
        <w:tc>
          <w:tcPr>
            <w:tcW w:w="0" w:type="auto"/>
            <w:hideMark/>
          </w:tcPr>
          <w:p w14:paraId="1AD974C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Clinical outcomes</w:t>
            </w:r>
          </w:p>
        </w:tc>
        <w:tc>
          <w:tcPr>
            <w:tcW w:w="0" w:type="auto"/>
            <w:hideMark/>
          </w:tcPr>
          <w:p w14:paraId="23622986" w14:textId="77777777" w:rsidR="003D0A54" w:rsidRPr="003D0A54" w:rsidRDefault="003D0A54" w:rsidP="003D0A54">
            <w:pPr>
              <w:rPr>
                <w:rFonts w:ascii="Times New Roman" w:eastAsia="Times New Roman" w:hAnsi="Times New Roman" w:cs="Times New Roman"/>
              </w:rPr>
            </w:pPr>
          </w:p>
        </w:tc>
        <w:tc>
          <w:tcPr>
            <w:tcW w:w="0" w:type="auto"/>
            <w:hideMark/>
          </w:tcPr>
          <w:p w14:paraId="07DFBFBE" w14:textId="77777777" w:rsidR="003D0A54" w:rsidRPr="003D0A54" w:rsidRDefault="003D0A54" w:rsidP="003D0A54">
            <w:pPr>
              <w:rPr>
                <w:rFonts w:ascii="Times New Roman" w:eastAsia="Times New Roman" w:hAnsi="Times New Roman" w:cs="Times New Roman"/>
              </w:rPr>
            </w:pPr>
          </w:p>
        </w:tc>
      </w:tr>
      <w:tr w:rsidR="003D0A54" w:rsidRPr="003D0A54" w14:paraId="66D973D5" w14:textId="77777777" w:rsidTr="003D0A54">
        <w:tc>
          <w:tcPr>
            <w:tcW w:w="0" w:type="auto"/>
            <w:hideMark/>
          </w:tcPr>
          <w:p w14:paraId="74589E2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Blood transfusion required</w:t>
            </w:r>
          </w:p>
        </w:tc>
        <w:tc>
          <w:tcPr>
            <w:tcW w:w="0" w:type="auto"/>
            <w:hideMark/>
          </w:tcPr>
          <w:p w14:paraId="06B88FA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31</w:t>
            </w:r>
          </w:p>
        </w:tc>
        <w:tc>
          <w:tcPr>
            <w:tcW w:w="0" w:type="auto"/>
            <w:hideMark/>
          </w:tcPr>
          <w:p w14:paraId="716C67D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35.63</w:t>
            </w:r>
          </w:p>
        </w:tc>
      </w:tr>
      <w:tr w:rsidR="003D0A54" w:rsidRPr="003D0A54" w14:paraId="4F645784" w14:textId="77777777" w:rsidTr="003D0A54">
        <w:tc>
          <w:tcPr>
            <w:tcW w:w="0" w:type="auto"/>
            <w:hideMark/>
          </w:tcPr>
          <w:p w14:paraId="3F3D979B"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ICU admission</w:t>
            </w:r>
          </w:p>
        </w:tc>
        <w:tc>
          <w:tcPr>
            <w:tcW w:w="0" w:type="auto"/>
            <w:hideMark/>
          </w:tcPr>
          <w:p w14:paraId="38EDFE5C"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w:t>
            </w:r>
          </w:p>
        </w:tc>
        <w:tc>
          <w:tcPr>
            <w:tcW w:w="0" w:type="auto"/>
            <w:hideMark/>
          </w:tcPr>
          <w:p w14:paraId="1D43DC3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4.60</w:t>
            </w:r>
          </w:p>
        </w:tc>
      </w:tr>
      <w:tr w:rsidR="003D0A54" w:rsidRPr="003D0A54" w14:paraId="2D90A250" w14:textId="77777777" w:rsidTr="003D0A54">
        <w:tc>
          <w:tcPr>
            <w:tcW w:w="0" w:type="auto"/>
            <w:hideMark/>
          </w:tcPr>
          <w:p w14:paraId="577E308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Reoperation during admission</w:t>
            </w:r>
          </w:p>
        </w:tc>
        <w:tc>
          <w:tcPr>
            <w:tcW w:w="0" w:type="auto"/>
            <w:hideMark/>
          </w:tcPr>
          <w:p w14:paraId="1F179EA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w:t>
            </w:r>
          </w:p>
        </w:tc>
        <w:tc>
          <w:tcPr>
            <w:tcW w:w="0" w:type="auto"/>
            <w:hideMark/>
          </w:tcPr>
          <w:p w14:paraId="682D5131"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2.30</w:t>
            </w:r>
          </w:p>
        </w:tc>
      </w:tr>
      <w:tr w:rsidR="003D0A54" w:rsidRPr="003D0A54" w14:paraId="4E8307AB" w14:textId="77777777" w:rsidTr="003D0A54">
        <w:tc>
          <w:tcPr>
            <w:tcW w:w="0" w:type="auto"/>
            <w:hideMark/>
          </w:tcPr>
          <w:p w14:paraId="20AFA4EA"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Maternal death</w:t>
            </w:r>
          </w:p>
        </w:tc>
        <w:tc>
          <w:tcPr>
            <w:tcW w:w="0" w:type="auto"/>
            <w:hideMark/>
          </w:tcPr>
          <w:p w14:paraId="0D567449"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w:t>
            </w:r>
          </w:p>
        </w:tc>
        <w:tc>
          <w:tcPr>
            <w:tcW w:w="0" w:type="auto"/>
            <w:hideMark/>
          </w:tcPr>
          <w:p w14:paraId="48B7CEBD"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2.30</w:t>
            </w:r>
          </w:p>
        </w:tc>
      </w:tr>
      <w:tr w:rsidR="003D0A54" w:rsidRPr="003D0A54" w14:paraId="48A4E5A9" w14:textId="77777777" w:rsidTr="003D0A54">
        <w:tc>
          <w:tcPr>
            <w:tcW w:w="0" w:type="auto"/>
            <w:hideMark/>
          </w:tcPr>
          <w:p w14:paraId="13CA1140"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b/>
                <w:bCs/>
              </w:rPr>
              <w:t>Length of hospital stay</w:t>
            </w:r>
          </w:p>
        </w:tc>
        <w:tc>
          <w:tcPr>
            <w:tcW w:w="0" w:type="auto"/>
            <w:hideMark/>
          </w:tcPr>
          <w:p w14:paraId="4A048DD4"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4.8 ± 3.7 days</w:t>
            </w:r>
          </w:p>
        </w:tc>
        <w:tc>
          <w:tcPr>
            <w:tcW w:w="0" w:type="auto"/>
            <w:hideMark/>
          </w:tcPr>
          <w:p w14:paraId="2BC1E618" w14:textId="77777777" w:rsidR="003D0A54" w:rsidRPr="003D0A54" w:rsidRDefault="003D0A54" w:rsidP="003D0A54">
            <w:pPr>
              <w:rPr>
                <w:rFonts w:ascii="Times New Roman" w:eastAsia="Times New Roman" w:hAnsi="Times New Roman" w:cs="Times New Roman"/>
              </w:rPr>
            </w:pPr>
            <w:r w:rsidRPr="003D0A54">
              <w:rPr>
                <w:rFonts w:ascii="Times New Roman" w:eastAsia="Times New Roman" w:hAnsi="Times New Roman" w:cs="Times New Roman"/>
              </w:rPr>
              <w:t>Not applicable</w:t>
            </w:r>
          </w:p>
        </w:tc>
      </w:tr>
    </w:tbl>
    <w:p w14:paraId="30A6F904" w14:textId="77777777" w:rsidR="003D0A54" w:rsidRPr="000E0D70" w:rsidRDefault="003D0A54" w:rsidP="00841106">
      <w:pPr>
        <w:pStyle w:val="Heading1"/>
        <w:spacing w:line="276" w:lineRule="auto"/>
        <w:jc w:val="both"/>
        <w:rPr>
          <w:rFonts w:ascii="Times New Roman" w:hAnsi="Times New Roman" w:cs="Times New Roman"/>
          <w:sz w:val="22"/>
          <w:szCs w:val="22"/>
        </w:rPr>
      </w:pPr>
    </w:p>
    <w:p w14:paraId="530A753E" w14:textId="3C91639B"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6:</w:t>
      </w:r>
      <w:r w:rsidRPr="000E0D70">
        <w:rPr>
          <w:rFonts w:ascii="Times New Roman" w:hAnsi="Times New Roman" w:cs="Times New Roman"/>
          <w:b/>
          <w:bCs/>
          <w:color w:val="auto"/>
          <w:sz w:val="22"/>
          <w:szCs w:val="22"/>
        </w:rPr>
        <w:t xml:space="preserve"> Time intervals by management group (n = 87); continuous variables shown as mean ± SD</w:t>
      </w:r>
    </w:p>
    <w:tbl>
      <w:tblPr>
        <w:tblStyle w:val="TableGrid"/>
        <w:tblW w:w="0" w:type="auto"/>
        <w:tblLook w:val="04A0" w:firstRow="1" w:lastRow="0" w:firstColumn="1" w:lastColumn="0" w:noHBand="0" w:noVBand="1"/>
      </w:tblPr>
      <w:tblGrid>
        <w:gridCol w:w="4204"/>
        <w:gridCol w:w="2078"/>
        <w:gridCol w:w="3068"/>
      </w:tblGrid>
      <w:tr w:rsidR="001D008D" w:rsidRPr="000E0D70" w14:paraId="20B3C6F9" w14:textId="77777777" w:rsidTr="00446608">
        <w:tc>
          <w:tcPr>
            <w:tcW w:w="0" w:type="auto"/>
            <w:hideMark/>
          </w:tcPr>
          <w:p w14:paraId="53409CAC"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Variable</w:t>
            </w:r>
          </w:p>
        </w:tc>
        <w:tc>
          <w:tcPr>
            <w:tcW w:w="0" w:type="auto"/>
            <w:hideMark/>
          </w:tcPr>
          <w:p w14:paraId="70C74175"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Surgical group (n = 64)</w:t>
            </w:r>
          </w:p>
        </w:tc>
        <w:tc>
          <w:tcPr>
            <w:tcW w:w="0" w:type="auto"/>
            <w:hideMark/>
          </w:tcPr>
          <w:p w14:paraId="27271094"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Medical/Expectant group (n = 23)</w:t>
            </w:r>
          </w:p>
        </w:tc>
      </w:tr>
      <w:tr w:rsidR="001D008D" w:rsidRPr="000E0D70" w14:paraId="384BED53" w14:textId="77777777" w:rsidTr="00446608">
        <w:tc>
          <w:tcPr>
            <w:tcW w:w="0" w:type="auto"/>
            <w:hideMark/>
          </w:tcPr>
          <w:p w14:paraId="2BE503B1" w14:textId="767D07A5"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Time from presentation to diagnosis (hours)</w:t>
            </w:r>
          </w:p>
        </w:tc>
        <w:tc>
          <w:tcPr>
            <w:tcW w:w="0" w:type="auto"/>
            <w:hideMark/>
          </w:tcPr>
          <w:p w14:paraId="0BCB70D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16.5 ± 18.9</w:t>
            </w:r>
          </w:p>
        </w:tc>
        <w:tc>
          <w:tcPr>
            <w:tcW w:w="0" w:type="auto"/>
            <w:hideMark/>
          </w:tcPr>
          <w:p w14:paraId="16B4FC9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24.2 ± 30.6</w:t>
            </w:r>
          </w:p>
        </w:tc>
      </w:tr>
      <w:tr w:rsidR="001D008D" w:rsidRPr="000E0D70" w14:paraId="5663DDC9" w14:textId="77777777" w:rsidTr="00446608">
        <w:tc>
          <w:tcPr>
            <w:tcW w:w="0" w:type="auto"/>
            <w:hideMark/>
          </w:tcPr>
          <w:p w14:paraId="53DC5E45" w14:textId="34ABC2C8"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lastRenderedPageBreak/>
              <w:t>Time from diagnosis to definitive management (hours)</w:t>
            </w:r>
          </w:p>
        </w:tc>
        <w:tc>
          <w:tcPr>
            <w:tcW w:w="0" w:type="auto"/>
            <w:hideMark/>
          </w:tcPr>
          <w:p w14:paraId="4819641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5.8 ± 6.2</w:t>
            </w:r>
          </w:p>
        </w:tc>
        <w:tc>
          <w:tcPr>
            <w:tcW w:w="0" w:type="auto"/>
            <w:hideMark/>
          </w:tcPr>
          <w:p w14:paraId="1121BD3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36.4 ± 48.8</w:t>
            </w:r>
          </w:p>
        </w:tc>
      </w:tr>
      <w:tr w:rsidR="001D008D" w:rsidRPr="000E0D70" w14:paraId="71B52015" w14:textId="77777777" w:rsidTr="00446608">
        <w:tc>
          <w:tcPr>
            <w:tcW w:w="0" w:type="auto"/>
            <w:hideMark/>
          </w:tcPr>
          <w:p w14:paraId="504051D1" w14:textId="242BEF83"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Estimated blood loss (mL)</w:t>
            </w:r>
          </w:p>
        </w:tc>
        <w:tc>
          <w:tcPr>
            <w:tcW w:w="0" w:type="auto"/>
            <w:hideMark/>
          </w:tcPr>
          <w:p w14:paraId="4E8FAB0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820 ± 540</w:t>
            </w:r>
          </w:p>
        </w:tc>
        <w:tc>
          <w:tcPr>
            <w:tcW w:w="0" w:type="auto"/>
            <w:hideMark/>
          </w:tcPr>
          <w:p w14:paraId="78A1C95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95 ± 40</w:t>
            </w:r>
          </w:p>
        </w:tc>
      </w:tr>
      <w:tr w:rsidR="001D008D" w:rsidRPr="000E0D70" w14:paraId="5326132B" w14:textId="77777777" w:rsidTr="00446608">
        <w:tc>
          <w:tcPr>
            <w:tcW w:w="0" w:type="auto"/>
            <w:hideMark/>
          </w:tcPr>
          <w:p w14:paraId="4C9CC8FA" w14:textId="77CFC0B9"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Length of stay (days)</w:t>
            </w:r>
          </w:p>
        </w:tc>
        <w:tc>
          <w:tcPr>
            <w:tcW w:w="0" w:type="auto"/>
            <w:hideMark/>
          </w:tcPr>
          <w:p w14:paraId="35D708B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5.6 ± 4.0</w:t>
            </w:r>
          </w:p>
        </w:tc>
        <w:tc>
          <w:tcPr>
            <w:tcW w:w="0" w:type="auto"/>
            <w:hideMark/>
          </w:tcPr>
          <w:p w14:paraId="1575616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2.1 ± 1.3</w:t>
            </w:r>
          </w:p>
        </w:tc>
      </w:tr>
    </w:tbl>
    <w:p w14:paraId="34DE3FE7" w14:textId="51EFE59C" w:rsidR="00446608" w:rsidRPr="000E0D70" w:rsidRDefault="003D0A54" w:rsidP="00841106">
      <w:pPr>
        <w:pStyle w:val="Heading1"/>
        <w:spacing w:line="276" w:lineRule="auto"/>
        <w:jc w:val="both"/>
        <w:rPr>
          <w:rFonts w:ascii="Times New Roman" w:hAnsi="Times New Roman" w:cs="Times New Roman"/>
          <w:color w:val="auto"/>
          <w:sz w:val="22"/>
          <w:szCs w:val="22"/>
        </w:rPr>
      </w:pPr>
      <w:r w:rsidRPr="000E0D70">
        <w:rPr>
          <w:rFonts w:ascii="Times New Roman" w:hAnsi="Times New Roman" w:cs="Times New Roman"/>
          <w:color w:val="auto"/>
          <w:sz w:val="22"/>
          <w:szCs w:val="22"/>
        </w:rPr>
        <w:t>Results are presented in mean ± SD</w:t>
      </w:r>
    </w:p>
    <w:p w14:paraId="76BA2A4A" w14:textId="4E45D70A"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7:</w:t>
      </w:r>
      <w:r w:rsidRPr="000E0D70">
        <w:rPr>
          <w:rFonts w:ascii="Times New Roman" w:hAnsi="Times New Roman" w:cs="Times New Roman"/>
          <w:b/>
          <w:bCs/>
          <w:color w:val="auto"/>
          <w:sz w:val="22"/>
          <w:szCs w:val="22"/>
        </w:rPr>
        <w:t xml:space="preserve"> Bivariate correlation analysis (Pearson r) between key continuous variables </w:t>
      </w:r>
    </w:p>
    <w:tbl>
      <w:tblPr>
        <w:tblStyle w:val="TableGrid"/>
        <w:tblW w:w="0" w:type="auto"/>
        <w:tblLook w:val="04A0" w:firstRow="1" w:lastRow="0" w:firstColumn="1" w:lastColumn="0" w:noHBand="0" w:noVBand="1"/>
      </w:tblPr>
      <w:tblGrid>
        <w:gridCol w:w="6826"/>
        <w:gridCol w:w="1127"/>
        <w:gridCol w:w="913"/>
      </w:tblGrid>
      <w:tr w:rsidR="00446608" w:rsidRPr="000E0D70" w14:paraId="76C127A5" w14:textId="77777777" w:rsidTr="00446608">
        <w:tc>
          <w:tcPr>
            <w:tcW w:w="0" w:type="auto"/>
            <w:hideMark/>
          </w:tcPr>
          <w:p w14:paraId="5EF558A2" w14:textId="77777777"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Variables compared</w:t>
            </w:r>
          </w:p>
        </w:tc>
        <w:tc>
          <w:tcPr>
            <w:tcW w:w="0" w:type="auto"/>
            <w:hideMark/>
          </w:tcPr>
          <w:p w14:paraId="05563385" w14:textId="77777777"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Pearson r</w:t>
            </w:r>
          </w:p>
        </w:tc>
        <w:tc>
          <w:tcPr>
            <w:tcW w:w="0" w:type="auto"/>
            <w:hideMark/>
          </w:tcPr>
          <w:p w14:paraId="570321AC" w14:textId="4BC313C3" w:rsidR="00446608"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w:t>
            </w:r>
            <w:r w:rsidR="004516E1">
              <w:rPr>
                <w:rFonts w:ascii="Times New Roman" w:hAnsi="Times New Roman" w:cs="Times New Roman"/>
                <w:b/>
                <w:bCs/>
              </w:rPr>
              <w:t>-</w:t>
            </w:r>
            <w:r w:rsidRPr="000E0D70">
              <w:rPr>
                <w:rFonts w:ascii="Times New Roman" w:hAnsi="Times New Roman" w:cs="Times New Roman"/>
                <w:b/>
                <w:bCs/>
              </w:rPr>
              <w:t>value</w:t>
            </w:r>
          </w:p>
        </w:tc>
      </w:tr>
      <w:tr w:rsidR="00446608" w:rsidRPr="000E0D70" w14:paraId="760AC4F5" w14:textId="77777777" w:rsidTr="00446608">
        <w:tc>
          <w:tcPr>
            <w:tcW w:w="0" w:type="auto"/>
            <w:hideMark/>
          </w:tcPr>
          <w:p w14:paraId="6B1ADC4D" w14:textId="7B488548"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 xml:space="preserve">Years </w:t>
            </w:r>
            <w:r w:rsidR="003D0A54" w:rsidRPr="000E0D70">
              <w:rPr>
                <w:rFonts w:ascii="Times New Roman" w:hAnsi="Times New Roman" w:cs="Times New Roman"/>
              </w:rPr>
              <w:t xml:space="preserve">of </w:t>
            </w:r>
            <w:r w:rsidRPr="000E0D70">
              <w:rPr>
                <w:rFonts w:ascii="Times New Roman" w:hAnsi="Times New Roman" w:cs="Times New Roman"/>
              </w:rPr>
              <w:t>clinical experience vs practice score</w:t>
            </w:r>
          </w:p>
        </w:tc>
        <w:tc>
          <w:tcPr>
            <w:tcW w:w="0" w:type="auto"/>
            <w:hideMark/>
          </w:tcPr>
          <w:p w14:paraId="00825D74"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0.34</w:t>
            </w:r>
          </w:p>
        </w:tc>
        <w:tc>
          <w:tcPr>
            <w:tcW w:w="0" w:type="auto"/>
            <w:hideMark/>
          </w:tcPr>
          <w:p w14:paraId="2447D8C6"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446608" w:rsidRPr="000E0D70" w14:paraId="365033D6" w14:textId="77777777" w:rsidTr="00446608">
        <w:tc>
          <w:tcPr>
            <w:tcW w:w="0" w:type="auto"/>
            <w:hideMark/>
          </w:tcPr>
          <w:p w14:paraId="1632D122"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Facility readiness composite score vs practice score</w:t>
            </w:r>
          </w:p>
        </w:tc>
        <w:tc>
          <w:tcPr>
            <w:tcW w:w="0" w:type="auto"/>
            <w:hideMark/>
          </w:tcPr>
          <w:p w14:paraId="368DCF02"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0.41</w:t>
            </w:r>
          </w:p>
        </w:tc>
        <w:tc>
          <w:tcPr>
            <w:tcW w:w="0" w:type="auto"/>
            <w:hideMark/>
          </w:tcPr>
          <w:p w14:paraId="794B4867"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446608" w:rsidRPr="000E0D70" w14:paraId="32A2D8E4" w14:textId="77777777" w:rsidTr="00446608">
        <w:tc>
          <w:tcPr>
            <w:tcW w:w="0" w:type="auto"/>
            <w:hideMark/>
          </w:tcPr>
          <w:p w14:paraId="3DE164DF" w14:textId="7E38D655"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Number of ectopic cases seen per clinician (self-reported) vs practice score</w:t>
            </w:r>
          </w:p>
        </w:tc>
        <w:tc>
          <w:tcPr>
            <w:tcW w:w="0" w:type="auto"/>
            <w:hideMark/>
          </w:tcPr>
          <w:p w14:paraId="0AE78779"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0.28</w:t>
            </w:r>
          </w:p>
        </w:tc>
        <w:tc>
          <w:tcPr>
            <w:tcW w:w="0" w:type="auto"/>
            <w:hideMark/>
          </w:tcPr>
          <w:p w14:paraId="6F44D2DE"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0.001</w:t>
            </w:r>
          </w:p>
        </w:tc>
      </w:tr>
      <w:tr w:rsidR="00446608" w:rsidRPr="000E0D70" w14:paraId="70A9D756" w14:textId="77777777" w:rsidTr="00446608">
        <w:tc>
          <w:tcPr>
            <w:tcW w:w="0" w:type="auto"/>
            <w:hideMark/>
          </w:tcPr>
          <w:p w14:paraId="2C6780F1"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Age (years) vs practice score</w:t>
            </w:r>
          </w:p>
        </w:tc>
        <w:tc>
          <w:tcPr>
            <w:tcW w:w="0" w:type="auto"/>
            <w:hideMark/>
          </w:tcPr>
          <w:p w14:paraId="19CA566D"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0.12</w:t>
            </w:r>
          </w:p>
        </w:tc>
        <w:tc>
          <w:tcPr>
            <w:tcW w:w="0" w:type="auto"/>
            <w:hideMark/>
          </w:tcPr>
          <w:p w14:paraId="026241E8" w14:textId="77777777" w:rsidR="00446608" w:rsidRPr="000E0D70" w:rsidRDefault="00446608" w:rsidP="00841106">
            <w:pPr>
              <w:spacing w:line="276" w:lineRule="auto"/>
              <w:jc w:val="both"/>
              <w:rPr>
                <w:rFonts w:ascii="Times New Roman" w:hAnsi="Times New Roman" w:cs="Times New Roman"/>
              </w:rPr>
            </w:pPr>
            <w:r w:rsidRPr="000E0D70">
              <w:rPr>
                <w:rFonts w:ascii="Times New Roman" w:hAnsi="Times New Roman" w:cs="Times New Roman"/>
              </w:rPr>
              <w:t>0.14</w:t>
            </w:r>
          </w:p>
        </w:tc>
      </w:tr>
    </w:tbl>
    <w:p w14:paraId="0234408E" w14:textId="77777777" w:rsidR="001238F0" w:rsidRPr="000E0D70" w:rsidRDefault="001238F0" w:rsidP="00841106">
      <w:pPr>
        <w:pStyle w:val="Heading1"/>
        <w:spacing w:line="276" w:lineRule="auto"/>
        <w:jc w:val="both"/>
        <w:rPr>
          <w:rFonts w:ascii="Times New Roman" w:hAnsi="Times New Roman" w:cs="Times New Roman"/>
          <w:b/>
          <w:bCs/>
          <w:color w:val="auto"/>
          <w:sz w:val="22"/>
          <w:szCs w:val="22"/>
        </w:rPr>
      </w:pPr>
    </w:p>
    <w:p w14:paraId="1B5A693A" w14:textId="7E75A47D"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8:</w:t>
      </w:r>
      <w:r w:rsidRPr="000E0D70">
        <w:rPr>
          <w:rFonts w:ascii="Times New Roman" w:hAnsi="Times New Roman" w:cs="Times New Roman"/>
          <w:b/>
          <w:bCs/>
          <w:color w:val="auto"/>
          <w:sz w:val="22"/>
          <w:szCs w:val="22"/>
        </w:rPr>
        <w:t xml:space="preserve"> </w:t>
      </w:r>
      <w:r w:rsidR="00446608" w:rsidRPr="000E0D70">
        <w:rPr>
          <w:rFonts w:ascii="Times New Roman" w:hAnsi="Times New Roman" w:cs="Times New Roman"/>
          <w:b/>
          <w:bCs/>
          <w:color w:val="auto"/>
          <w:sz w:val="22"/>
          <w:szCs w:val="22"/>
        </w:rPr>
        <w:t>Chi-square</w:t>
      </w:r>
      <w:r w:rsidRPr="000E0D70">
        <w:rPr>
          <w:rFonts w:ascii="Times New Roman" w:hAnsi="Times New Roman" w:cs="Times New Roman"/>
          <w:b/>
          <w:bCs/>
          <w:color w:val="auto"/>
          <w:sz w:val="22"/>
          <w:szCs w:val="22"/>
        </w:rPr>
        <w:t xml:space="preserve"> tests of association</w:t>
      </w:r>
    </w:p>
    <w:tbl>
      <w:tblPr>
        <w:tblStyle w:val="TableGrid"/>
        <w:tblW w:w="0" w:type="auto"/>
        <w:tblLook w:val="04A0" w:firstRow="1" w:lastRow="0" w:firstColumn="1" w:lastColumn="0" w:noHBand="0" w:noVBand="1"/>
      </w:tblPr>
      <w:tblGrid>
        <w:gridCol w:w="5224"/>
        <w:gridCol w:w="1822"/>
        <w:gridCol w:w="1427"/>
        <w:gridCol w:w="877"/>
      </w:tblGrid>
      <w:tr w:rsidR="001D008D" w:rsidRPr="000E0D70" w14:paraId="51D05CE8" w14:textId="77777777" w:rsidTr="00446608">
        <w:tc>
          <w:tcPr>
            <w:tcW w:w="0" w:type="auto"/>
            <w:hideMark/>
          </w:tcPr>
          <w:p w14:paraId="7683A079"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Comparison</w:t>
            </w:r>
          </w:p>
        </w:tc>
        <w:tc>
          <w:tcPr>
            <w:tcW w:w="0" w:type="auto"/>
            <w:hideMark/>
          </w:tcPr>
          <w:p w14:paraId="32B029F5" w14:textId="0927788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Test statistic (</w:t>
            </w:r>
            <w:r w:rsidR="00446608" w:rsidRPr="000E0D70">
              <w:rPr>
                <w:rFonts w:ascii="Times New Roman" w:hAnsi="Times New Roman" w:cs="Times New Roman"/>
                <w:b/>
                <w:bCs/>
              </w:rPr>
              <w:t>chi-square</w:t>
            </w:r>
            <w:r w:rsidRPr="000E0D70">
              <w:rPr>
                <w:rFonts w:ascii="Times New Roman" w:hAnsi="Times New Roman" w:cs="Times New Roman"/>
                <w:b/>
                <w:bCs/>
              </w:rPr>
              <w:t>)</w:t>
            </w:r>
          </w:p>
        </w:tc>
        <w:tc>
          <w:tcPr>
            <w:tcW w:w="0" w:type="auto"/>
            <w:hideMark/>
          </w:tcPr>
          <w:p w14:paraId="2B467A57"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Degrees freedom</w:t>
            </w:r>
          </w:p>
        </w:tc>
        <w:tc>
          <w:tcPr>
            <w:tcW w:w="0" w:type="auto"/>
            <w:hideMark/>
          </w:tcPr>
          <w:p w14:paraId="49D02961" w14:textId="446BFE00"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w:t>
            </w:r>
            <w:r w:rsidR="004516E1">
              <w:rPr>
                <w:rFonts w:ascii="Times New Roman" w:hAnsi="Times New Roman" w:cs="Times New Roman"/>
                <w:b/>
                <w:bCs/>
              </w:rPr>
              <w:t>-</w:t>
            </w:r>
            <w:r w:rsidRPr="000E0D70">
              <w:rPr>
                <w:rFonts w:ascii="Times New Roman" w:hAnsi="Times New Roman" w:cs="Times New Roman"/>
                <w:b/>
                <w:bCs/>
              </w:rPr>
              <w:t>value</w:t>
            </w:r>
          </w:p>
        </w:tc>
      </w:tr>
      <w:tr w:rsidR="001D008D" w:rsidRPr="000E0D70" w14:paraId="40C20783" w14:textId="77777777" w:rsidTr="00446608">
        <w:tc>
          <w:tcPr>
            <w:tcW w:w="0" w:type="auto"/>
            <w:hideMark/>
          </w:tcPr>
          <w:p w14:paraId="418914F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Cadre of practitioner vs guideline-compliant practice (Good vs Not Good)</w:t>
            </w:r>
          </w:p>
        </w:tc>
        <w:tc>
          <w:tcPr>
            <w:tcW w:w="0" w:type="auto"/>
            <w:hideMark/>
          </w:tcPr>
          <w:p w14:paraId="42F6E62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14.94</w:t>
            </w:r>
          </w:p>
        </w:tc>
        <w:tc>
          <w:tcPr>
            <w:tcW w:w="0" w:type="auto"/>
            <w:hideMark/>
          </w:tcPr>
          <w:p w14:paraId="14E95C5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5789139B" w14:textId="7AA25A62"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w:t>
            </w:r>
            <w:r w:rsidR="00446608" w:rsidRPr="000E0D70">
              <w:rPr>
                <w:rFonts w:ascii="Times New Roman" w:hAnsi="Times New Roman" w:cs="Times New Roman"/>
              </w:rPr>
              <w:t>5</w:t>
            </w:r>
          </w:p>
        </w:tc>
      </w:tr>
      <w:tr w:rsidR="001D008D" w:rsidRPr="000E0D70" w14:paraId="25AB5288" w14:textId="77777777" w:rsidTr="00446608">
        <w:tc>
          <w:tcPr>
            <w:tcW w:w="0" w:type="auto"/>
            <w:hideMark/>
          </w:tcPr>
          <w:p w14:paraId="6EA6FD23" w14:textId="299D45DA"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Received ectopic training in </w:t>
            </w:r>
            <w:r w:rsidR="001238F0" w:rsidRPr="000E0D70">
              <w:rPr>
                <w:rFonts w:ascii="Times New Roman" w:hAnsi="Times New Roman" w:cs="Times New Roman"/>
              </w:rPr>
              <w:t xml:space="preserve">the </w:t>
            </w:r>
            <w:r w:rsidRPr="000E0D70">
              <w:rPr>
                <w:rFonts w:ascii="Times New Roman" w:hAnsi="Times New Roman" w:cs="Times New Roman"/>
              </w:rPr>
              <w:t>last 3 years vs good practice</w:t>
            </w:r>
          </w:p>
        </w:tc>
        <w:tc>
          <w:tcPr>
            <w:tcW w:w="0" w:type="auto"/>
            <w:hideMark/>
          </w:tcPr>
          <w:p w14:paraId="174A0BA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46.81</w:t>
            </w:r>
          </w:p>
        </w:tc>
        <w:tc>
          <w:tcPr>
            <w:tcW w:w="0" w:type="auto"/>
            <w:hideMark/>
          </w:tcPr>
          <w:p w14:paraId="0EAE84F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582F325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1D008D" w:rsidRPr="000E0D70" w14:paraId="30601749" w14:textId="77777777" w:rsidTr="00446608">
        <w:tc>
          <w:tcPr>
            <w:tcW w:w="0" w:type="auto"/>
            <w:hideMark/>
          </w:tcPr>
          <w:p w14:paraId="3889E8D9" w14:textId="6FCFC71F"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Availability of functioning ultrasound in </w:t>
            </w:r>
            <w:r w:rsidR="001238F0" w:rsidRPr="000E0D70">
              <w:rPr>
                <w:rFonts w:ascii="Times New Roman" w:hAnsi="Times New Roman" w:cs="Times New Roman"/>
              </w:rPr>
              <w:t xml:space="preserve">the </w:t>
            </w:r>
            <w:r w:rsidRPr="000E0D70">
              <w:rPr>
                <w:rFonts w:ascii="Times New Roman" w:hAnsi="Times New Roman" w:cs="Times New Roman"/>
              </w:rPr>
              <w:t>unit vs facility perceived adequate (Yes/No)</w:t>
            </w:r>
          </w:p>
        </w:tc>
        <w:tc>
          <w:tcPr>
            <w:tcW w:w="0" w:type="auto"/>
            <w:hideMark/>
          </w:tcPr>
          <w:p w14:paraId="1DB6A49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5.12</w:t>
            </w:r>
          </w:p>
        </w:tc>
        <w:tc>
          <w:tcPr>
            <w:tcW w:w="0" w:type="auto"/>
            <w:hideMark/>
          </w:tcPr>
          <w:p w14:paraId="02D469C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29EAD0FC" w14:textId="549C09F6"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0.02</w:t>
            </w:r>
            <w:r w:rsidR="00446608" w:rsidRPr="000E0D70">
              <w:rPr>
                <w:rFonts w:ascii="Times New Roman" w:hAnsi="Times New Roman" w:cs="Times New Roman"/>
              </w:rPr>
              <w:t>4</w:t>
            </w:r>
          </w:p>
        </w:tc>
      </w:tr>
      <w:tr w:rsidR="001D008D" w:rsidRPr="000E0D70" w14:paraId="3756446E" w14:textId="77777777" w:rsidTr="00446608">
        <w:tc>
          <w:tcPr>
            <w:tcW w:w="0" w:type="auto"/>
            <w:hideMark/>
          </w:tcPr>
          <w:p w14:paraId="716A1D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Hemodynamic status at presentation (stable vs unstable) vs requirement for blood transfusion</w:t>
            </w:r>
          </w:p>
        </w:tc>
        <w:tc>
          <w:tcPr>
            <w:tcW w:w="0" w:type="auto"/>
            <w:hideMark/>
          </w:tcPr>
          <w:p w14:paraId="0F05B92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39.20</w:t>
            </w:r>
          </w:p>
        </w:tc>
        <w:tc>
          <w:tcPr>
            <w:tcW w:w="0" w:type="auto"/>
            <w:hideMark/>
          </w:tcPr>
          <w:p w14:paraId="699D07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w:t>
            </w:r>
          </w:p>
        </w:tc>
        <w:tc>
          <w:tcPr>
            <w:tcW w:w="0" w:type="auto"/>
            <w:hideMark/>
          </w:tcPr>
          <w:p w14:paraId="482B11C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bl>
    <w:p w14:paraId="2C1C01C2" w14:textId="77777777" w:rsidR="001238F0" w:rsidRPr="000E0D70" w:rsidRDefault="001238F0" w:rsidP="00841106">
      <w:pPr>
        <w:pStyle w:val="Heading1"/>
        <w:spacing w:line="276" w:lineRule="auto"/>
        <w:jc w:val="both"/>
        <w:rPr>
          <w:rFonts w:ascii="Times New Roman" w:hAnsi="Times New Roman" w:cs="Times New Roman"/>
          <w:sz w:val="22"/>
          <w:szCs w:val="22"/>
        </w:rPr>
      </w:pPr>
    </w:p>
    <w:p w14:paraId="1000C181" w14:textId="497C3C47"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 xml:space="preserve">Table </w:t>
      </w:r>
      <w:r w:rsidR="00446608" w:rsidRPr="000E0D70">
        <w:rPr>
          <w:rFonts w:ascii="Times New Roman" w:hAnsi="Times New Roman" w:cs="Times New Roman"/>
          <w:b/>
          <w:bCs/>
          <w:color w:val="auto"/>
          <w:sz w:val="22"/>
          <w:szCs w:val="22"/>
        </w:rPr>
        <w:t>9:</w:t>
      </w:r>
      <w:r w:rsidRPr="000E0D70">
        <w:rPr>
          <w:rFonts w:ascii="Times New Roman" w:hAnsi="Times New Roman" w:cs="Times New Roman"/>
          <w:b/>
          <w:bCs/>
          <w:color w:val="auto"/>
          <w:sz w:val="22"/>
          <w:szCs w:val="22"/>
        </w:rPr>
        <w:t xml:space="preserve"> Multivariable logistic regression for predictors of good practice (dependent variable: good practice</w:t>
      </w:r>
      <w:r w:rsidR="001238F0" w:rsidRPr="000E0D70">
        <w:rPr>
          <w:rFonts w:ascii="Times New Roman" w:hAnsi="Times New Roman" w:cs="Times New Roman"/>
          <w:b/>
          <w:bCs/>
          <w:color w:val="auto"/>
          <w:sz w:val="22"/>
          <w:szCs w:val="22"/>
        </w:rPr>
        <w:t>,</w:t>
      </w:r>
      <w:r w:rsidRPr="000E0D70">
        <w:rPr>
          <w:rFonts w:ascii="Times New Roman" w:hAnsi="Times New Roman" w:cs="Times New Roman"/>
          <w:b/>
          <w:bCs/>
          <w:color w:val="auto"/>
          <w:sz w:val="22"/>
          <w:szCs w:val="22"/>
        </w:rPr>
        <w:t xml:space="preserve"> yes = 1) among practitioners</w:t>
      </w:r>
    </w:p>
    <w:tbl>
      <w:tblPr>
        <w:tblStyle w:val="TableGrid"/>
        <w:tblW w:w="0" w:type="auto"/>
        <w:tblLook w:val="04A0" w:firstRow="1" w:lastRow="0" w:firstColumn="1" w:lastColumn="0" w:noHBand="0" w:noVBand="1"/>
      </w:tblPr>
      <w:tblGrid>
        <w:gridCol w:w="3812"/>
        <w:gridCol w:w="1756"/>
        <w:gridCol w:w="878"/>
        <w:gridCol w:w="2013"/>
        <w:gridCol w:w="891"/>
      </w:tblGrid>
      <w:tr w:rsidR="001D008D" w:rsidRPr="000E0D70" w14:paraId="6F52302F" w14:textId="77777777" w:rsidTr="00446608">
        <w:tc>
          <w:tcPr>
            <w:tcW w:w="0" w:type="auto"/>
            <w:hideMark/>
          </w:tcPr>
          <w:p w14:paraId="080C2A70"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Predictor</w:t>
            </w:r>
          </w:p>
        </w:tc>
        <w:tc>
          <w:tcPr>
            <w:tcW w:w="0" w:type="auto"/>
            <w:hideMark/>
          </w:tcPr>
          <w:p w14:paraId="55C4C37B"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Crude OR (95% CI)</w:t>
            </w:r>
          </w:p>
        </w:tc>
        <w:tc>
          <w:tcPr>
            <w:tcW w:w="0" w:type="auto"/>
            <w:hideMark/>
          </w:tcPr>
          <w:p w14:paraId="788C39BF"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 value</w:t>
            </w:r>
          </w:p>
        </w:tc>
        <w:tc>
          <w:tcPr>
            <w:tcW w:w="0" w:type="auto"/>
            <w:hideMark/>
          </w:tcPr>
          <w:p w14:paraId="36903C17"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Adjusted OR (95% CI)</w:t>
            </w:r>
          </w:p>
        </w:tc>
        <w:tc>
          <w:tcPr>
            <w:tcW w:w="0" w:type="auto"/>
            <w:hideMark/>
          </w:tcPr>
          <w:p w14:paraId="565E00D1" w14:textId="5E64C7C5"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w:t>
            </w:r>
            <w:r w:rsidR="004516E1">
              <w:rPr>
                <w:rFonts w:ascii="Times New Roman" w:hAnsi="Times New Roman" w:cs="Times New Roman"/>
                <w:b/>
                <w:bCs/>
              </w:rPr>
              <w:t>-</w:t>
            </w:r>
            <w:r w:rsidRPr="000E0D70">
              <w:rPr>
                <w:rFonts w:ascii="Times New Roman" w:hAnsi="Times New Roman" w:cs="Times New Roman"/>
                <w:b/>
                <w:bCs/>
              </w:rPr>
              <w:t>value</w:t>
            </w:r>
          </w:p>
        </w:tc>
      </w:tr>
      <w:tr w:rsidR="001D008D" w:rsidRPr="000E0D70" w14:paraId="1FA5AEDF" w14:textId="77777777" w:rsidTr="00446608">
        <w:tc>
          <w:tcPr>
            <w:tcW w:w="0" w:type="auto"/>
            <w:hideMark/>
          </w:tcPr>
          <w:p w14:paraId="3F0F683F"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Years of clinical experience (per year)</w:t>
            </w:r>
          </w:p>
        </w:tc>
        <w:tc>
          <w:tcPr>
            <w:tcW w:w="0" w:type="auto"/>
            <w:hideMark/>
          </w:tcPr>
          <w:p w14:paraId="4D1F056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1.05 (1.02–1.09)</w:t>
            </w:r>
          </w:p>
        </w:tc>
        <w:tc>
          <w:tcPr>
            <w:tcW w:w="0" w:type="auto"/>
            <w:hideMark/>
          </w:tcPr>
          <w:p w14:paraId="3A1E924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0.003</w:t>
            </w:r>
          </w:p>
        </w:tc>
        <w:tc>
          <w:tcPr>
            <w:tcW w:w="0" w:type="auto"/>
            <w:hideMark/>
          </w:tcPr>
          <w:p w14:paraId="41DDF26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1.04 (1.01–1.08)</w:t>
            </w:r>
          </w:p>
        </w:tc>
        <w:tc>
          <w:tcPr>
            <w:tcW w:w="0" w:type="auto"/>
            <w:hideMark/>
          </w:tcPr>
          <w:p w14:paraId="7AA8252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0.012</w:t>
            </w:r>
          </w:p>
        </w:tc>
      </w:tr>
      <w:tr w:rsidR="001D008D" w:rsidRPr="000E0D70" w14:paraId="184AE6F1" w14:textId="77777777" w:rsidTr="00446608">
        <w:tc>
          <w:tcPr>
            <w:tcW w:w="0" w:type="auto"/>
            <w:hideMark/>
          </w:tcPr>
          <w:p w14:paraId="32325DE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Received ectopic training last 3 years (Yes vs No)</w:t>
            </w:r>
          </w:p>
        </w:tc>
        <w:tc>
          <w:tcPr>
            <w:tcW w:w="0" w:type="auto"/>
            <w:hideMark/>
          </w:tcPr>
          <w:p w14:paraId="514A40C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14.23 (6.37–31.79)</w:t>
            </w:r>
          </w:p>
        </w:tc>
        <w:tc>
          <w:tcPr>
            <w:tcW w:w="0" w:type="auto"/>
            <w:hideMark/>
          </w:tcPr>
          <w:p w14:paraId="28A44A3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c>
          <w:tcPr>
            <w:tcW w:w="0" w:type="auto"/>
            <w:hideMark/>
          </w:tcPr>
          <w:p w14:paraId="41C1039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10.12 (4.20–24.38)</w:t>
            </w:r>
          </w:p>
        </w:tc>
        <w:tc>
          <w:tcPr>
            <w:tcW w:w="0" w:type="auto"/>
            <w:hideMark/>
          </w:tcPr>
          <w:p w14:paraId="24B3943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&lt;0.001</w:t>
            </w:r>
          </w:p>
        </w:tc>
      </w:tr>
      <w:tr w:rsidR="001D008D" w:rsidRPr="000E0D70" w14:paraId="19B60665" w14:textId="77777777" w:rsidTr="00446608">
        <w:tc>
          <w:tcPr>
            <w:tcW w:w="0" w:type="auto"/>
            <w:hideMark/>
          </w:tcPr>
          <w:p w14:paraId="0C8A6BE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Cadre: Consultant vs reference (medical officer)</w:t>
            </w:r>
          </w:p>
        </w:tc>
        <w:tc>
          <w:tcPr>
            <w:tcW w:w="0" w:type="auto"/>
            <w:hideMark/>
          </w:tcPr>
          <w:p w14:paraId="355ACAF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2.50 (1.10–5.68)</w:t>
            </w:r>
          </w:p>
        </w:tc>
        <w:tc>
          <w:tcPr>
            <w:tcW w:w="0" w:type="auto"/>
            <w:hideMark/>
          </w:tcPr>
          <w:p w14:paraId="7729799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0.029</w:t>
            </w:r>
          </w:p>
        </w:tc>
        <w:tc>
          <w:tcPr>
            <w:tcW w:w="0" w:type="auto"/>
            <w:hideMark/>
          </w:tcPr>
          <w:p w14:paraId="0D29719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2.10 (0.86–5.08)</w:t>
            </w:r>
          </w:p>
        </w:tc>
        <w:tc>
          <w:tcPr>
            <w:tcW w:w="0" w:type="auto"/>
            <w:hideMark/>
          </w:tcPr>
          <w:p w14:paraId="09F867E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0.10</w:t>
            </w:r>
          </w:p>
        </w:tc>
      </w:tr>
      <w:tr w:rsidR="001D008D" w:rsidRPr="000E0D70" w14:paraId="30534702" w14:textId="77777777" w:rsidTr="00446608">
        <w:tc>
          <w:tcPr>
            <w:tcW w:w="0" w:type="auto"/>
            <w:hideMark/>
          </w:tcPr>
          <w:p w14:paraId="77201A7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Facility readiness composite score (per unit increase)</w:t>
            </w:r>
          </w:p>
        </w:tc>
        <w:tc>
          <w:tcPr>
            <w:tcW w:w="0" w:type="auto"/>
            <w:hideMark/>
          </w:tcPr>
          <w:p w14:paraId="25A550C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1.35 (1.14–1.60)</w:t>
            </w:r>
          </w:p>
        </w:tc>
        <w:tc>
          <w:tcPr>
            <w:tcW w:w="0" w:type="auto"/>
            <w:hideMark/>
          </w:tcPr>
          <w:p w14:paraId="5217D50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0.001</w:t>
            </w:r>
          </w:p>
        </w:tc>
        <w:tc>
          <w:tcPr>
            <w:tcW w:w="0" w:type="auto"/>
            <w:hideMark/>
          </w:tcPr>
          <w:p w14:paraId="775544D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1.29 (1.07–1.56)</w:t>
            </w:r>
          </w:p>
        </w:tc>
        <w:tc>
          <w:tcPr>
            <w:tcW w:w="0" w:type="auto"/>
            <w:hideMark/>
          </w:tcPr>
          <w:p w14:paraId="1D3FB6C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0.007</w:t>
            </w:r>
          </w:p>
        </w:tc>
      </w:tr>
      <w:tr w:rsidR="001D008D" w:rsidRPr="000E0D70" w14:paraId="340DD745" w14:textId="77777777" w:rsidTr="00446608">
        <w:tc>
          <w:tcPr>
            <w:tcW w:w="0" w:type="auto"/>
            <w:hideMark/>
          </w:tcPr>
          <w:p w14:paraId="05D7EE5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Sex (Male vs Female)</w:t>
            </w:r>
          </w:p>
        </w:tc>
        <w:tc>
          <w:tcPr>
            <w:tcW w:w="0" w:type="auto"/>
            <w:hideMark/>
          </w:tcPr>
          <w:p w14:paraId="47DF7EE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1.12 (0.61–2.07)</w:t>
            </w:r>
          </w:p>
        </w:tc>
        <w:tc>
          <w:tcPr>
            <w:tcW w:w="0" w:type="auto"/>
            <w:hideMark/>
          </w:tcPr>
          <w:p w14:paraId="64147B6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0.72</w:t>
            </w:r>
          </w:p>
        </w:tc>
        <w:tc>
          <w:tcPr>
            <w:tcW w:w="0" w:type="auto"/>
            <w:hideMark/>
          </w:tcPr>
          <w:p w14:paraId="00CFC2B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1.03 (0.54–1.98)</w:t>
            </w:r>
          </w:p>
        </w:tc>
        <w:tc>
          <w:tcPr>
            <w:tcW w:w="0" w:type="auto"/>
            <w:hideMark/>
          </w:tcPr>
          <w:p w14:paraId="3D6DB03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0.94</w:t>
            </w:r>
          </w:p>
        </w:tc>
      </w:tr>
    </w:tbl>
    <w:p w14:paraId="4016078B" w14:textId="77777777" w:rsidR="001238F0" w:rsidRPr="000E0D70" w:rsidRDefault="001238F0" w:rsidP="00841106">
      <w:pPr>
        <w:pStyle w:val="Heading1"/>
        <w:spacing w:line="276" w:lineRule="auto"/>
        <w:jc w:val="both"/>
        <w:rPr>
          <w:rFonts w:ascii="Times New Roman" w:hAnsi="Times New Roman" w:cs="Times New Roman"/>
          <w:sz w:val="22"/>
          <w:szCs w:val="22"/>
        </w:rPr>
      </w:pPr>
    </w:p>
    <w:p w14:paraId="09A8F710" w14:textId="589AA76E"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w:t>
      </w:r>
      <w:r w:rsidR="00446608" w:rsidRPr="000E0D70">
        <w:rPr>
          <w:rFonts w:ascii="Times New Roman" w:hAnsi="Times New Roman" w:cs="Times New Roman"/>
          <w:b/>
          <w:bCs/>
          <w:color w:val="auto"/>
          <w:sz w:val="22"/>
          <w:szCs w:val="22"/>
        </w:rPr>
        <w:t>0:</w:t>
      </w:r>
      <w:r w:rsidRPr="000E0D70">
        <w:rPr>
          <w:rFonts w:ascii="Times New Roman" w:hAnsi="Times New Roman" w:cs="Times New Roman"/>
          <w:b/>
          <w:bCs/>
          <w:color w:val="auto"/>
          <w:sz w:val="22"/>
          <w:szCs w:val="22"/>
        </w:rPr>
        <w:t xml:space="preserve"> Record outcomes and complications among ectopic cases</w:t>
      </w:r>
    </w:p>
    <w:tbl>
      <w:tblPr>
        <w:tblStyle w:val="TableGrid"/>
        <w:tblW w:w="0" w:type="auto"/>
        <w:tblLook w:val="04A0" w:firstRow="1" w:lastRow="0" w:firstColumn="1" w:lastColumn="0" w:noHBand="0" w:noVBand="1"/>
      </w:tblPr>
      <w:tblGrid>
        <w:gridCol w:w="4206"/>
        <w:gridCol w:w="1219"/>
        <w:gridCol w:w="1255"/>
      </w:tblGrid>
      <w:tr w:rsidR="001D008D" w:rsidRPr="000E0D70" w14:paraId="58B18BBC" w14:textId="77777777" w:rsidTr="00446608">
        <w:tc>
          <w:tcPr>
            <w:tcW w:w="0" w:type="auto"/>
            <w:hideMark/>
          </w:tcPr>
          <w:p w14:paraId="321AC681" w14:textId="4466C0FE" w:rsidR="001D008D" w:rsidRPr="000E0D70" w:rsidRDefault="001238F0" w:rsidP="00841106">
            <w:pPr>
              <w:spacing w:line="276" w:lineRule="auto"/>
              <w:jc w:val="both"/>
              <w:rPr>
                <w:rFonts w:ascii="Times New Roman" w:hAnsi="Times New Roman" w:cs="Times New Roman"/>
                <w:b/>
                <w:bCs/>
              </w:rPr>
            </w:pPr>
            <w:r w:rsidRPr="000E0D70">
              <w:rPr>
                <w:rFonts w:ascii="Times New Roman" w:hAnsi="Times New Roman" w:cs="Times New Roman"/>
                <w:b/>
                <w:bCs/>
              </w:rPr>
              <w:t>Outcome/complication</w:t>
            </w:r>
          </w:p>
        </w:tc>
        <w:tc>
          <w:tcPr>
            <w:tcW w:w="0" w:type="auto"/>
            <w:hideMark/>
          </w:tcPr>
          <w:p w14:paraId="483E045A"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Frequency</w:t>
            </w:r>
          </w:p>
        </w:tc>
        <w:tc>
          <w:tcPr>
            <w:tcW w:w="0" w:type="auto"/>
            <w:hideMark/>
          </w:tcPr>
          <w:p w14:paraId="0E39C119"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Percentage</w:t>
            </w:r>
          </w:p>
        </w:tc>
      </w:tr>
      <w:tr w:rsidR="001D008D" w:rsidRPr="000E0D70" w14:paraId="496223B3" w14:textId="77777777" w:rsidTr="00446608">
        <w:tc>
          <w:tcPr>
            <w:tcW w:w="0" w:type="auto"/>
            <w:hideMark/>
          </w:tcPr>
          <w:p w14:paraId="2E4A993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Any intraoperative complication documented</w:t>
            </w:r>
          </w:p>
        </w:tc>
        <w:tc>
          <w:tcPr>
            <w:tcW w:w="0" w:type="auto"/>
            <w:hideMark/>
          </w:tcPr>
          <w:p w14:paraId="7EE4BEB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18</w:t>
            </w:r>
          </w:p>
        </w:tc>
        <w:tc>
          <w:tcPr>
            <w:tcW w:w="0" w:type="auto"/>
            <w:hideMark/>
          </w:tcPr>
          <w:p w14:paraId="2875C70E"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20.69</w:t>
            </w:r>
          </w:p>
        </w:tc>
      </w:tr>
      <w:tr w:rsidR="001D008D" w:rsidRPr="000E0D70" w14:paraId="6CACC509" w14:textId="77777777" w:rsidTr="00446608">
        <w:tc>
          <w:tcPr>
            <w:tcW w:w="0" w:type="auto"/>
            <w:hideMark/>
          </w:tcPr>
          <w:p w14:paraId="55006C08"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Blood transfusion given</w:t>
            </w:r>
          </w:p>
        </w:tc>
        <w:tc>
          <w:tcPr>
            <w:tcW w:w="0" w:type="auto"/>
            <w:hideMark/>
          </w:tcPr>
          <w:p w14:paraId="0C3D5F3A"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31</w:t>
            </w:r>
          </w:p>
        </w:tc>
        <w:tc>
          <w:tcPr>
            <w:tcW w:w="0" w:type="auto"/>
            <w:hideMark/>
          </w:tcPr>
          <w:p w14:paraId="297AF24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35.63</w:t>
            </w:r>
          </w:p>
        </w:tc>
      </w:tr>
      <w:tr w:rsidR="001D008D" w:rsidRPr="000E0D70" w14:paraId="6476813C" w14:textId="77777777" w:rsidTr="00446608">
        <w:tc>
          <w:tcPr>
            <w:tcW w:w="0" w:type="auto"/>
            <w:hideMark/>
          </w:tcPr>
          <w:p w14:paraId="3B0FDC2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Postoperative infection</w:t>
            </w:r>
          </w:p>
        </w:tc>
        <w:tc>
          <w:tcPr>
            <w:tcW w:w="0" w:type="auto"/>
            <w:hideMark/>
          </w:tcPr>
          <w:p w14:paraId="6A7DEE5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7</w:t>
            </w:r>
          </w:p>
        </w:tc>
        <w:tc>
          <w:tcPr>
            <w:tcW w:w="0" w:type="auto"/>
            <w:hideMark/>
          </w:tcPr>
          <w:p w14:paraId="7C2CF9C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8.05</w:t>
            </w:r>
          </w:p>
        </w:tc>
      </w:tr>
      <w:tr w:rsidR="001D008D" w:rsidRPr="000E0D70" w14:paraId="3BB40C39" w14:textId="77777777" w:rsidTr="00446608">
        <w:tc>
          <w:tcPr>
            <w:tcW w:w="0" w:type="auto"/>
            <w:hideMark/>
          </w:tcPr>
          <w:p w14:paraId="3148BB15"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Need for ICU care</w:t>
            </w:r>
          </w:p>
        </w:tc>
        <w:tc>
          <w:tcPr>
            <w:tcW w:w="0" w:type="auto"/>
            <w:hideMark/>
          </w:tcPr>
          <w:p w14:paraId="4E3DD7C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w:t>
            </w:r>
          </w:p>
        </w:tc>
        <w:tc>
          <w:tcPr>
            <w:tcW w:w="0" w:type="auto"/>
            <w:hideMark/>
          </w:tcPr>
          <w:p w14:paraId="358B4A74"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4.60</w:t>
            </w:r>
          </w:p>
        </w:tc>
      </w:tr>
      <w:tr w:rsidR="001D008D" w:rsidRPr="000E0D70" w14:paraId="78696329" w14:textId="77777777" w:rsidTr="00446608">
        <w:tc>
          <w:tcPr>
            <w:tcW w:w="0" w:type="auto"/>
            <w:hideMark/>
          </w:tcPr>
          <w:p w14:paraId="0545B68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Reoperation</w:t>
            </w:r>
          </w:p>
        </w:tc>
        <w:tc>
          <w:tcPr>
            <w:tcW w:w="0" w:type="auto"/>
            <w:hideMark/>
          </w:tcPr>
          <w:p w14:paraId="5E775DD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w:t>
            </w:r>
          </w:p>
        </w:tc>
        <w:tc>
          <w:tcPr>
            <w:tcW w:w="0" w:type="auto"/>
            <w:hideMark/>
          </w:tcPr>
          <w:p w14:paraId="2458A97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2.30</w:t>
            </w:r>
          </w:p>
        </w:tc>
      </w:tr>
      <w:tr w:rsidR="001D008D" w:rsidRPr="000E0D70" w14:paraId="2528F308" w14:textId="77777777" w:rsidTr="00446608">
        <w:tc>
          <w:tcPr>
            <w:tcW w:w="0" w:type="auto"/>
            <w:hideMark/>
          </w:tcPr>
          <w:p w14:paraId="7E0E198C"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Maternal death during admission</w:t>
            </w:r>
          </w:p>
        </w:tc>
        <w:tc>
          <w:tcPr>
            <w:tcW w:w="0" w:type="auto"/>
            <w:hideMark/>
          </w:tcPr>
          <w:p w14:paraId="7DF7013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w:t>
            </w:r>
          </w:p>
        </w:tc>
        <w:tc>
          <w:tcPr>
            <w:tcW w:w="0" w:type="auto"/>
            <w:hideMark/>
          </w:tcPr>
          <w:p w14:paraId="07F6E12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2.30</w:t>
            </w:r>
          </w:p>
        </w:tc>
      </w:tr>
      <w:tr w:rsidR="001D008D" w:rsidRPr="000E0D70" w14:paraId="6B4B1580" w14:textId="77777777" w:rsidTr="00446608">
        <w:tc>
          <w:tcPr>
            <w:tcW w:w="0" w:type="auto"/>
            <w:hideMark/>
          </w:tcPr>
          <w:p w14:paraId="2F004D8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Discharged home stable</w:t>
            </w:r>
          </w:p>
        </w:tc>
        <w:tc>
          <w:tcPr>
            <w:tcW w:w="0" w:type="auto"/>
            <w:hideMark/>
          </w:tcPr>
          <w:p w14:paraId="39AB02C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80</w:t>
            </w:r>
          </w:p>
        </w:tc>
        <w:tc>
          <w:tcPr>
            <w:tcW w:w="0" w:type="auto"/>
            <w:hideMark/>
          </w:tcPr>
          <w:p w14:paraId="7096FBE9"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91.95</w:t>
            </w:r>
          </w:p>
        </w:tc>
      </w:tr>
    </w:tbl>
    <w:p w14:paraId="55318078" w14:textId="77777777" w:rsidR="001238F0" w:rsidRPr="000E0D70" w:rsidRDefault="001238F0" w:rsidP="00841106">
      <w:pPr>
        <w:pStyle w:val="Heading1"/>
        <w:spacing w:line="276" w:lineRule="auto"/>
        <w:jc w:val="both"/>
        <w:rPr>
          <w:rFonts w:ascii="Times New Roman" w:hAnsi="Times New Roman" w:cs="Times New Roman"/>
          <w:b/>
          <w:bCs/>
          <w:color w:val="auto"/>
          <w:sz w:val="22"/>
          <w:szCs w:val="22"/>
        </w:rPr>
      </w:pPr>
    </w:p>
    <w:p w14:paraId="3A84B315" w14:textId="6C2B538F" w:rsidR="001D008D" w:rsidRPr="000E0D70" w:rsidRDefault="001D008D" w:rsidP="00841106">
      <w:pPr>
        <w:pStyle w:val="Heading1"/>
        <w:spacing w:line="276" w:lineRule="auto"/>
        <w:jc w:val="both"/>
        <w:rPr>
          <w:rFonts w:ascii="Times New Roman" w:hAnsi="Times New Roman" w:cs="Times New Roman"/>
          <w:b/>
          <w:bCs/>
          <w:color w:val="auto"/>
          <w:sz w:val="22"/>
          <w:szCs w:val="22"/>
        </w:rPr>
      </w:pPr>
      <w:r w:rsidRPr="000E0D70">
        <w:rPr>
          <w:rFonts w:ascii="Times New Roman" w:hAnsi="Times New Roman" w:cs="Times New Roman"/>
          <w:b/>
          <w:bCs/>
          <w:color w:val="auto"/>
          <w:sz w:val="22"/>
          <w:szCs w:val="22"/>
        </w:rPr>
        <w:t>Table 1</w:t>
      </w:r>
      <w:r w:rsidR="00446608" w:rsidRPr="000E0D70">
        <w:rPr>
          <w:rFonts w:ascii="Times New Roman" w:hAnsi="Times New Roman" w:cs="Times New Roman"/>
          <w:b/>
          <w:bCs/>
          <w:color w:val="auto"/>
          <w:sz w:val="22"/>
          <w:szCs w:val="22"/>
        </w:rPr>
        <w:t>1:</w:t>
      </w:r>
      <w:r w:rsidRPr="000E0D70">
        <w:rPr>
          <w:rFonts w:ascii="Times New Roman" w:hAnsi="Times New Roman" w:cs="Times New Roman"/>
          <w:b/>
          <w:bCs/>
          <w:color w:val="auto"/>
          <w:sz w:val="22"/>
          <w:szCs w:val="22"/>
        </w:rPr>
        <w:t xml:space="preserve"> Qualitative findings from key informant interviews (n = 16)</w:t>
      </w:r>
    </w:p>
    <w:tbl>
      <w:tblPr>
        <w:tblStyle w:val="TableGrid"/>
        <w:tblW w:w="9597" w:type="dxa"/>
        <w:tblLook w:val="04A0" w:firstRow="1" w:lastRow="0" w:firstColumn="1" w:lastColumn="0" w:noHBand="0" w:noVBand="1"/>
      </w:tblPr>
      <w:tblGrid>
        <w:gridCol w:w="3173"/>
        <w:gridCol w:w="2672"/>
        <w:gridCol w:w="3752"/>
      </w:tblGrid>
      <w:tr w:rsidR="001D008D" w:rsidRPr="000E0D70" w14:paraId="261E3DE6" w14:textId="77777777" w:rsidTr="004516E1">
        <w:tc>
          <w:tcPr>
            <w:tcW w:w="0" w:type="auto"/>
            <w:hideMark/>
          </w:tcPr>
          <w:p w14:paraId="0FD6EF8B" w14:textId="77777777" w:rsidR="001D008D" w:rsidRPr="000E0D70" w:rsidRDefault="001D008D" w:rsidP="00841106">
            <w:pPr>
              <w:spacing w:line="276" w:lineRule="auto"/>
              <w:jc w:val="both"/>
              <w:rPr>
                <w:rFonts w:ascii="Times New Roman" w:hAnsi="Times New Roman" w:cs="Times New Roman"/>
                <w:b/>
                <w:bCs/>
              </w:rPr>
            </w:pPr>
            <w:r w:rsidRPr="000E0D70">
              <w:rPr>
                <w:rFonts w:ascii="Times New Roman" w:hAnsi="Times New Roman" w:cs="Times New Roman"/>
                <w:b/>
                <w:bCs/>
              </w:rPr>
              <w:t>Major theme</w:t>
            </w:r>
          </w:p>
        </w:tc>
        <w:tc>
          <w:tcPr>
            <w:tcW w:w="2672" w:type="dxa"/>
            <w:hideMark/>
          </w:tcPr>
          <w:p w14:paraId="43B062D7" w14:textId="671A6E9B" w:rsidR="001D008D" w:rsidRPr="000E0D70" w:rsidRDefault="001D008D" w:rsidP="004516E1">
            <w:pPr>
              <w:spacing w:line="276" w:lineRule="auto"/>
              <w:jc w:val="center"/>
              <w:rPr>
                <w:rFonts w:ascii="Times New Roman" w:hAnsi="Times New Roman" w:cs="Times New Roman"/>
                <w:b/>
                <w:bCs/>
              </w:rPr>
            </w:pPr>
            <w:r w:rsidRPr="000E0D70">
              <w:rPr>
                <w:rFonts w:ascii="Times New Roman" w:hAnsi="Times New Roman" w:cs="Times New Roman"/>
                <w:b/>
                <w:bCs/>
              </w:rPr>
              <w:t xml:space="preserve">Number of respondents mentioning </w:t>
            </w:r>
            <w:r w:rsidR="001238F0" w:rsidRPr="000E0D70">
              <w:rPr>
                <w:rFonts w:ascii="Times New Roman" w:hAnsi="Times New Roman" w:cs="Times New Roman"/>
                <w:b/>
                <w:bCs/>
              </w:rPr>
              <w:t xml:space="preserve">the </w:t>
            </w:r>
            <w:r w:rsidRPr="000E0D70">
              <w:rPr>
                <w:rFonts w:ascii="Times New Roman" w:hAnsi="Times New Roman" w:cs="Times New Roman"/>
                <w:b/>
                <w:bCs/>
              </w:rPr>
              <w:t>theme</w:t>
            </w:r>
          </w:p>
        </w:tc>
        <w:tc>
          <w:tcPr>
            <w:tcW w:w="0" w:type="auto"/>
            <w:hideMark/>
          </w:tcPr>
          <w:p w14:paraId="60CCA68C" w14:textId="701AF8A2" w:rsidR="001D008D" w:rsidRPr="000E0D70" w:rsidRDefault="00446608" w:rsidP="00841106">
            <w:pPr>
              <w:spacing w:line="276" w:lineRule="auto"/>
              <w:jc w:val="both"/>
              <w:rPr>
                <w:rFonts w:ascii="Times New Roman" w:hAnsi="Times New Roman" w:cs="Times New Roman"/>
                <w:b/>
                <w:bCs/>
              </w:rPr>
            </w:pPr>
            <w:r w:rsidRPr="000E0D70">
              <w:rPr>
                <w:rFonts w:ascii="Times New Roman" w:hAnsi="Times New Roman" w:cs="Times New Roman"/>
                <w:b/>
                <w:bCs/>
              </w:rPr>
              <w:t>Paraphrased Quotation</w:t>
            </w:r>
          </w:p>
        </w:tc>
      </w:tr>
      <w:tr w:rsidR="001D008D" w:rsidRPr="000E0D70" w14:paraId="3CD60AC8" w14:textId="77777777" w:rsidTr="004516E1">
        <w:tc>
          <w:tcPr>
            <w:tcW w:w="0" w:type="auto"/>
            <w:hideMark/>
          </w:tcPr>
          <w:p w14:paraId="71396FC0"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Delays in diagnosis due to limited round-the-clock imaging</w:t>
            </w:r>
          </w:p>
        </w:tc>
        <w:tc>
          <w:tcPr>
            <w:tcW w:w="2672" w:type="dxa"/>
            <w:hideMark/>
          </w:tcPr>
          <w:p w14:paraId="438118BA"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12</w:t>
            </w:r>
          </w:p>
        </w:tc>
        <w:tc>
          <w:tcPr>
            <w:tcW w:w="0" w:type="auto"/>
            <w:hideMark/>
          </w:tcPr>
          <w:p w14:paraId="4A9E7AB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"Most delays happen at night when the ultrasound service is not fully available"</w:t>
            </w:r>
          </w:p>
        </w:tc>
      </w:tr>
      <w:tr w:rsidR="001D008D" w:rsidRPr="000E0D70" w14:paraId="1D3A779D" w14:textId="77777777" w:rsidTr="004516E1">
        <w:tc>
          <w:tcPr>
            <w:tcW w:w="0" w:type="auto"/>
            <w:hideMark/>
          </w:tcPr>
          <w:p w14:paraId="7A6867C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Medication stockouts and intermittent methotrexate availability</w:t>
            </w:r>
          </w:p>
        </w:tc>
        <w:tc>
          <w:tcPr>
            <w:tcW w:w="2672" w:type="dxa"/>
            <w:hideMark/>
          </w:tcPr>
          <w:p w14:paraId="126153CC"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10</w:t>
            </w:r>
          </w:p>
        </w:tc>
        <w:tc>
          <w:tcPr>
            <w:tcW w:w="0" w:type="auto"/>
            <w:hideMark/>
          </w:tcPr>
          <w:p w14:paraId="3AD8762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"There are times we do not have methotrexate so surgery becomes the only option"</w:t>
            </w:r>
          </w:p>
        </w:tc>
      </w:tr>
      <w:tr w:rsidR="001D008D" w:rsidRPr="000E0D70" w14:paraId="5E8C17E5" w14:textId="77777777" w:rsidTr="004516E1">
        <w:tc>
          <w:tcPr>
            <w:tcW w:w="0" w:type="auto"/>
            <w:hideMark/>
          </w:tcPr>
          <w:p w14:paraId="670B7EA6"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Staff training gaps and need for refresher courses</w:t>
            </w:r>
          </w:p>
        </w:tc>
        <w:tc>
          <w:tcPr>
            <w:tcW w:w="2672" w:type="dxa"/>
            <w:hideMark/>
          </w:tcPr>
          <w:p w14:paraId="3F06A47C"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13</w:t>
            </w:r>
          </w:p>
        </w:tc>
        <w:tc>
          <w:tcPr>
            <w:tcW w:w="0" w:type="auto"/>
            <w:hideMark/>
          </w:tcPr>
          <w:p w14:paraId="7CE0FE6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"Many junior staff have not had hands-on training on early pregnancy scanning"</w:t>
            </w:r>
          </w:p>
        </w:tc>
      </w:tr>
      <w:tr w:rsidR="001D008D" w:rsidRPr="000E0D70" w14:paraId="5FB5472D" w14:textId="77777777" w:rsidTr="004516E1">
        <w:tc>
          <w:tcPr>
            <w:tcW w:w="0" w:type="auto"/>
            <w:hideMark/>
          </w:tcPr>
          <w:p w14:paraId="3F7D96D1"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 xml:space="preserve">Referral system and transport barriers from peripheral </w:t>
            </w:r>
            <w:proofErr w:type="spellStart"/>
            <w:r w:rsidRPr="000E0D70">
              <w:rPr>
                <w:rFonts w:ascii="Times New Roman" w:hAnsi="Times New Roman" w:cs="Times New Roman"/>
              </w:rPr>
              <w:t>centres</w:t>
            </w:r>
            <w:proofErr w:type="spellEnd"/>
          </w:p>
        </w:tc>
        <w:tc>
          <w:tcPr>
            <w:tcW w:w="2672" w:type="dxa"/>
            <w:hideMark/>
          </w:tcPr>
          <w:p w14:paraId="500F959C"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9</w:t>
            </w:r>
          </w:p>
        </w:tc>
        <w:tc>
          <w:tcPr>
            <w:tcW w:w="0" w:type="auto"/>
            <w:hideMark/>
          </w:tcPr>
          <w:p w14:paraId="00EB58AB"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"Patients arrive late from the referring hospitals because there is no quick referral transport"</w:t>
            </w:r>
          </w:p>
        </w:tc>
      </w:tr>
      <w:tr w:rsidR="001D008D" w:rsidRPr="000E0D70" w14:paraId="2D653C1C" w14:textId="77777777" w:rsidTr="004516E1">
        <w:tc>
          <w:tcPr>
            <w:tcW w:w="0" w:type="auto"/>
            <w:hideMark/>
          </w:tcPr>
          <w:p w14:paraId="487865E3"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Strengths: dedicated emergency theatre and blood bank support</w:t>
            </w:r>
          </w:p>
        </w:tc>
        <w:tc>
          <w:tcPr>
            <w:tcW w:w="2672" w:type="dxa"/>
            <w:hideMark/>
          </w:tcPr>
          <w:p w14:paraId="4DE980EB"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6</w:t>
            </w:r>
          </w:p>
        </w:tc>
        <w:tc>
          <w:tcPr>
            <w:tcW w:w="0" w:type="auto"/>
            <w:hideMark/>
          </w:tcPr>
          <w:p w14:paraId="12038DD7"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"The theatre team responds quickly once the patient reaches us"</w:t>
            </w:r>
          </w:p>
        </w:tc>
      </w:tr>
      <w:tr w:rsidR="001D008D" w:rsidRPr="000E0D70" w14:paraId="58074935" w14:textId="77777777" w:rsidTr="004516E1">
        <w:tc>
          <w:tcPr>
            <w:tcW w:w="0" w:type="auto"/>
            <w:hideMark/>
          </w:tcPr>
          <w:p w14:paraId="1FBFD132"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Recommendation: protocol development and audits</w:t>
            </w:r>
          </w:p>
        </w:tc>
        <w:tc>
          <w:tcPr>
            <w:tcW w:w="2672" w:type="dxa"/>
            <w:hideMark/>
          </w:tcPr>
          <w:p w14:paraId="1CC92888" w14:textId="77777777" w:rsidR="001D008D" w:rsidRPr="000E0D70" w:rsidRDefault="001D008D" w:rsidP="004516E1">
            <w:pPr>
              <w:spacing w:line="276" w:lineRule="auto"/>
              <w:jc w:val="center"/>
              <w:rPr>
                <w:rFonts w:ascii="Times New Roman" w:hAnsi="Times New Roman" w:cs="Times New Roman"/>
              </w:rPr>
            </w:pPr>
            <w:r w:rsidRPr="000E0D70">
              <w:rPr>
                <w:rFonts w:ascii="Times New Roman" w:hAnsi="Times New Roman" w:cs="Times New Roman"/>
              </w:rPr>
              <w:t>11</w:t>
            </w:r>
          </w:p>
        </w:tc>
        <w:tc>
          <w:tcPr>
            <w:tcW w:w="0" w:type="auto"/>
            <w:hideMark/>
          </w:tcPr>
          <w:p w14:paraId="6C24BA2D" w14:textId="77777777" w:rsidR="001D008D" w:rsidRPr="000E0D70" w:rsidRDefault="001D008D" w:rsidP="00841106">
            <w:pPr>
              <w:spacing w:line="276" w:lineRule="auto"/>
              <w:jc w:val="both"/>
              <w:rPr>
                <w:rFonts w:ascii="Times New Roman" w:hAnsi="Times New Roman" w:cs="Times New Roman"/>
              </w:rPr>
            </w:pPr>
            <w:r w:rsidRPr="000E0D70">
              <w:rPr>
                <w:rFonts w:ascii="Times New Roman" w:hAnsi="Times New Roman" w:cs="Times New Roman"/>
              </w:rPr>
              <w:t>"We need a written protocol and regular audits to improve adherence"</w:t>
            </w:r>
          </w:p>
        </w:tc>
      </w:tr>
    </w:tbl>
    <w:p w14:paraId="59CA5DD3" w14:textId="72A6A19D" w:rsidR="001D008D" w:rsidRPr="000E0D70" w:rsidRDefault="001D008D" w:rsidP="00841106">
      <w:pPr>
        <w:spacing w:line="276" w:lineRule="auto"/>
        <w:jc w:val="both"/>
        <w:rPr>
          <w:rFonts w:ascii="Times New Roman" w:hAnsi="Times New Roman" w:cs="Times New Roman"/>
          <w:color w:val="FF0000"/>
        </w:rPr>
      </w:pPr>
    </w:p>
    <w:p w14:paraId="3C898FA8" w14:textId="637EC3BD" w:rsidR="003E5514" w:rsidRPr="000E0D70" w:rsidRDefault="003E5514"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hAnsi="Times New Roman" w:cs="Times New Roman"/>
        </w:rPr>
        <w:t>Ectopic pregnancy remains a significant cause of maternal morbidity and mortality in Nigeria, particularly in settings where diagnostic capacity, timely decision making and resource availability are variable. Understanding how healthcare practitioners diagnose and manage ectopic pregnancies is essential for improving outcomes. This study examined practitioner</w:t>
      </w:r>
      <w:r w:rsidR="004516E1">
        <w:rPr>
          <w:rFonts w:ascii="Times New Roman" w:hAnsi="Times New Roman" w:cs="Times New Roman"/>
        </w:rPr>
        <w:t>s’</w:t>
      </w:r>
      <w:r w:rsidRPr="000E0D70">
        <w:rPr>
          <w:rFonts w:ascii="Times New Roman" w:hAnsi="Times New Roman" w:cs="Times New Roman"/>
        </w:rPr>
        <w:t xml:space="preserve"> knowledge, clinical practices and facility readiness, and reviewed clinical outcomes of ectopic pregnancies managed at a major tertiary </w:t>
      </w:r>
      <w:proofErr w:type="spellStart"/>
      <w:r w:rsidRPr="000E0D70">
        <w:rPr>
          <w:rFonts w:ascii="Times New Roman" w:hAnsi="Times New Roman" w:cs="Times New Roman"/>
        </w:rPr>
        <w:t>centre</w:t>
      </w:r>
      <w:proofErr w:type="spellEnd"/>
      <w:r w:rsidRPr="000E0D70">
        <w:rPr>
          <w:rFonts w:ascii="Times New Roman" w:hAnsi="Times New Roman" w:cs="Times New Roman"/>
        </w:rPr>
        <w:t xml:space="preserve"> in </w:t>
      </w:r>
      <w:proofErr w:type="spellStart"/>
      <w:r w:rsidRPr="000E0D70">
        <w:rPr>
          <w:rFonts w:ascii="Times New Roman" w:hAnsi="Times New Roman" w:cs="Times New Roman"/>
        </w:rPr>
        <w:t>Abia</w:t>
      </w:r>
      <w:proofErr w:type="spellEnd"/>
      <w:r w:rsidRPr="000E0D70">
        <w:rPr>
          <w:rFonts w:ascii="Times New Roman" w:hAnsi="Times New Roman" w:cs="Times New Roman"/>
        </w:rPr>
        <w:t xml:space="preserve"> State.</w:t>
      </w:r>
    </w:p>
    <w:p w14:paraId="29F01603" w14:textId="39E18BBF"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The mix of cadres in our sample, with consultant obstetricians, resident doctors, medical officers, nurse midwives, and sonographers represented, mirrors staffing patterns reported in tertiary and referral facilities in Nigeria. The finding that 42</w:t>
      </w:r>
      <w:r w:rsidR="001238F0"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of practitioners had received formal ectopic management training in the </w:t>
      </w:r>
      <w:r w:rsidRPr="000E0D70">
        <w:rPr>
          <w:rFonts w:ascii="Times New Roman" w:eastAsia="Times New Roman" w:hAnsi="Times New Roman" w:cs="Times New Roman"/>
        </w:rPr>
        <w:lastRenderedPageBreak/>
        <w:t>last three years, while 58</w:t>
      </w:r>
      <w:r w:rsidR="001238F0" w:rsidRPr="000E0D70">
        <w:rPr>
          <w:rFonts w:ascii="Times New Roman" w:eastAsia="Times New Roman" w:hAnsi="Times New Roman" w:cs="Times New Roman"/>
        </w:rPr>
        <w:t>%</w:t>
      </w:r>
      <w:r w:rsidRPr="000E0D70">
        <w:rPr>
          <w:rFonts w:ascii="Times New Roman" w:eastAsia="Times New Roman" w:hAnsi="Times New Roman" w:cs="Times New Roman"/>
        </w:rPr>
        <w:t xml:space="preserve"> had not, is consistent with studies showing uneven access to structured refresher training and simulation-based skills updates across low and </w:t>
      </w:r>
      <w:r w:rsidR="001238F0" w:rsidRPr="000E0D70">
        <w:rPr>
          <w:rFonts w:ascii="Times New Roman" w:eastAsia="Times New Roman" w:hAnsi="Times New Roman" w:cs="Times New Roman"/>
        </w:rPr>
        <w:t>middle-income</w:t>
      </w:r>
      <w:r w:rsidRPr="000E0D70">
        <w:rPr>
          <w:rFonts w:ascii="Times New Roman" w:eastAsia="Times New Roman" w:hAnsi="Times New Roman" w:cs="Times New Roman"/>
        </w:rPr>
        <w:t xml:space="preserve"> settings. Training interventions, including simulation and case-based teaching, have been shown to increase clinician confidence and technical ability in early pregnancy assessment and emergency response; our quantitative result that recent training had the largest effect on guideline-compliant practice echoes these intervention studies and supports continuing professional development as a high-yield strategy</w:t>
      </w:r>
      <w:r w:rsidR="003064AB" w:rsidRPr="000E0D70">
        <w:rPr>
          <w:rFonts w:ascii="Times New Roman" w:eastAsia="Times New Roman" w:hAnsi="Times New Roman" w:cs="Times New Roman"/>
        </w:rPr>
        <w:t xml:space="preserve"> (</w:t>
      </w:r>
      <w:r w:rsidR="003064AB" w:rsidRPr="00CD4926">
        <w:rPr>
          <w:rFonts w:ascii="Times New Roman" w:eastAsia="Times New Roman" w:hAnsi="Times New Roman" w:cs="Times New Roman"/>
        </w:rPr>
        <w:t>Verhaeghe</w:t>
      </w:r>
      <w:r w:rsidR="003064AB" w:rsidRPr="000E0D70">
        <w:rPr>
          <w:rFonts w:ascii="Times New Roman" w:eastAsia="Times New Roman" w:hAnsi="Times New Roman" w:cs="Times New Roman"/>
        </w:rPr>
        <w:t xml:space="preserve"> et al., 2020)</w:t>
      </w:r>
      <w:r w:rsidRPr="000E0D70">
        <w:rPr>
          <w:rFonts w:ascii="Times New Roman" w:eastAsia="Times New Roman" w:hAnsi="Times New Roman" w:cs="Times New Roman"/>
        </w:rPr>
        <w:t xml:space="preserve">. </w:t>
      </w:r>
    </w:p>
    <w:p w14:paraId="7A893D97" w14:textId="72BC86CD"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Although a majority of respondents agreed or strongly agreed that they were familiar with national guidelines, a sizable minority were neutral or disagreed. This mixed picture aligns with prior reports that guideline awareness does not always translate into consistent practice, especially where protocols are absent at the unit level or where staff turnover and limited structured supervision occur. The strong association we observed between recent training and good practice suggests that active, hands-on training both raises awareness and helps convert knowledge into repeatable clinical actions. Our multivariable model, which retained training and facility readiness as independent predictors of good practice, supports the notion that knowledge and systems must advance together</w:t>
      </w:r>
      <w:r w:rsidR="003064AB" w:rsidRPr="000E0D70">
        <w:rPr>
          <w:rFonts w:ascii="Times New Roman" w:eastAsia="Times New Roman" w:hAnsi="Times New Roman" w:cs="Times New Roman"/>
        </w:rPr>
        <w:t xml:space="preserve"> (</w:t>
      </w:r>
      <w:r w:rsidR="003064AB" w:rsidRPr="00CD4926">
        <w:rPr>
          <w:rFonts w:ascii="Times New Roman" w:eastAsia="Times New Roman" w:hAnsi="Times New Roman" w:cs="Times New Roman"/>
        </w:rPr>
        <w:t>Madder</w:t>
      </w:r>
      <w:r w:rsidR="003064AB" w:rsidRPr="000E0D70">
        <w:rPr>
          <w:rFonts w:ascii="Times New Roman" w:eastAsia="Times New Roman" w:hAnsi="Times New Roman" w:cs="Times New Roman"/>
        </w:rPr>
        <w:t xml:space="preserve"> et al., 2024)</w:t>
      </w:r>
      <w:r w:rsidRPr="000E0D70">
        <w:rPr>
          <w:rFonts w:ascii="Times New Roman" w:eastAsia="Times New Roman" w:hAnsi="Times New Roman" w:cs="Times New Roman"/>
        </w:rPr>
        <w:t>.</w:t>
      </w:r>
    </w:p>
    <w:p w14:paraId="7E0CB526" w14:textId="0AED8265"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Transvaginal ultrasound accounted for about 78 percent of diagnoses in our case series, and the median time from presentation to diagnosis was eight hours. These findings are consistent with the established role of TVUS as the principal diagnostic tool for ectopic pregnancy and with prior work reporting high sensitivity and specificity when transvaginal scanning is available and operator skill is adequate. At the same time, our qualitative data and facility assessment reveal real constraints: many units lacked round-the-clock imaging cover and some scans were unavailable out of hours. Studies from sub-Saharan Africa and other low resource settings document similar barriers to continuous ultrasound access, and show that limited imaging availability contributes to delayed diagnosis and higher rates of operative management. Our observed delays from diagnosis to definitive management, particularly among patients managed non-surgically, are plausibly tied to these capacity shortfalls and to referral and logistical delays captured in interviews</w:t>
      </w:r>
      <w:r w:rsidR="003423D0" w:rsidRPr="000E0D70">
        <w:rPr>
          <w:rFonts w:ascii="Times New Roman" w:eastAsia="Times New Roman" w:hAnsi="Times New Roman" w:cs="Times New Roman"/>
        </w:rPr>
        <w:t xml:space="preserve"> (</w:t>
      </w:r>
      <w:r w:rsidR="003423D0" w:rsidRPr="000E0D70">
        <w:rPr>
          <w:rFonts w:ascii="Times New Roman" w:hAnsi="Times New Roman" w:cs="Times New Roman"/>
          <w:color w:val="1B1B1B"/>
          <w:shd w:val="clear" w:color="auto" w:fill="FFFFFF"/>
        </w:rPr>
        <w:t>Shetty et al., 2014</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w:t>
      </w:r>
    </w:p>
    <w:p w14:paraId="488E7734" w14:textId="4DDF5BF9"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Surgical treatment accounted for nearly </w:t>
      </w:r>
      <w:r w:rsidR="003423D0" w:rsidRPr="000E0D70">
        <w:rPr>
          <w:rFonts w:ascii="Times New Roman" w:eastAsia="Times New Roman" w:hAnsi="Times New Roman" w:cs="Times New Roman"/>
        </w:rPr>
        <w:t>three-quarters</w:t>
      </w:r>
      <w:r w:rsidRPr="000E0D70">
        <w:rPr>
          <w:rFonts w:ascii="Times New Roman" w:eastAsia="Times New Roman" w:hAnsi="Times New Roman" w:cs="Times New Roman"/>
        </w:rPr>
        <w:t xml:space="preserve"> of primary management choices in our series, with salpingectomy the most frequent procedure. Medical management with methotrexate was used far less often</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expectant care was uncommon. This predominance of surgery has been described repeatedly in tertiary </w:t>
      </w:r>
      <w:proofErr w:type="spellStart"/>
      <w:r w:rsidR="003423D0" w:rsidRPr="000E0D70">
        <w:rPr>
          <w:rFonts w:ascii="Times New Roman" w:eastAsia="Times New Roman" w:hAnsi="Times New Roman" w:cs="Times New Roman"/>
        </w:rPr>
        <w:t>centres</w:t>
      </w:r>
      <w:proofErr w:type="spellEnd"/>
      <w:r w:rsidRPr="000E0D70">
        <w:rPr>
          <w:rFonts w:ascii="Times New Roman" w:eastAsia="Times New Roman" w:hAnsi="Times New Roman" w:cs="Times New Roman"/>
        </w:rPr>
        <w:t xml:space="preserve"> in Nigeria and other </w:t>
      </w:r>
      <w:r w:rsidR="003423D0" w:rsidRPr="000E0D70">
        <w:rPr>
          <w:rFonts w:ascii="Times New Roman" w:eastAsia="Times New Roman" w:hAnsi="Times New Roman" w:cs="Times New Roman"/>
        </w:rPr>
        <w:t>low-resource</w:t>
      </w:r>
      <w:r w:rsidRPr="000E0D70">
        <w:rPr>
          <w:rFonts w:ascii="Times New Roman" w:eastAsia="Times New Roman" w:hAnsi="Times New Roman" w:cs="Times New Roman"/>
        </w:rPr>
        <w:t xml:space="preserve"> contexts where late presentation, diagnostic uncertainty, limited access to timely serial </w:t>
      </w:r>
      <w:r w:rsidR="003423D0" w:rsidRPr="000E0D70">
        <w:rPr>
          <w:rFonts w:ascii="Times New Roman" w:eastAsia="Times New Roman" w:hAnsi="Times New Roman" w:cs="Times New Roman"/>
        </w:rPr>
        <w:t>β-</w:t>
      </w:r>
      <w:proofErr w:type="spellStart"/>
      <w:r w:rsidR="003423D0" w:rsidRPr="000E0D70">
        <w:rPr>
          <w:rFonts w:ascii="Times New Roman" w:eastAsia="Times New Roman" w:hAnsi="Times New Roman" w:cs="Times New Roman"/>
        </w:rPr>
        <w:t>hCG</w:t>
      </w:r>
      <w:proofErr w:type="spellEnd"/>
      <w:r w:rsidRPr="000E0D70">
        <w:rPr>
          <w:rFonts w:ascii="Times New Roman" w:eastAsia="Times New Roman" w:hAnsi="Times New Roman" w:cs="Times New Roman"/>
        </w:rPr>
        <w:t xml:space="preserve"> testing, and intermittent methotrexate supply make conservative management less feasible. The substantially higher estimated blood loss, longer time to definitive management, greater length of stay, and increased requirement for blood transfusion among surgically managed patients in our data underline the clinical and system-level costs of a surgery-dominant management profile. Evidence from comparative studies shows that, when used in appropriately selected, stable patients with low and declining </w:t>
      </w:r>
      <w:r w:rsidR="003423D0" w:rsidRPr="000E0D70">
        <w:rPr>
          <w:rFonts w:ascii="Times New Roman" w:eastAsia="Times New Roman" w:hAnsi="Times New Roman" w:cs="Times New Roman"/>
        </w:rPr>
        <w:t>β-</w:t>
      </w:r>
      <w:proofErr w:type="spellStart"/>
      <w:r w:rsidR="003423D0" w:rsidRPr="000E0D70">
        <w:rPr>
          <w:rFonts w:ascii="Times New Roman" w:eastAsia="Times New Roman" w:hAnsi="Times New Roman" w:cs="Times New Roman"/>
        </w:rPr>
        <w:t>hCG</w:t>
      </w:r>
      <w:proofErr w:type="spellEnd"/>
      <w:r w:rsidRPr="000E0D70">
        <w:rPr>
          <w:rFonts w:ascii="Times New Roman" w:eastAsia="Times New Roman" w:hAnsi="Times New Roman" w:cs="Times New Roman"/>
        </w:rPr>
        <w:t>, methotrexate offers reduced morbidity and shorter hospitalization; however, its success depends on careful case selection, reliable follow-up, and drug availability</w:t>
      </w:r>
      <w:r w:rsidR="00E10972">
        <w:rPr>
          <w:rFonts w:ascii="Times New Roman" w:eastAsia="Times New Roman" w:hAnsi="Times New Roman" w:cs="Times New Roman"/>
        </w:rPr>
        <w:t xml:space="preserve">, </w:t>
      </w:r>
      <w:r w:rsidRPr="000E0D70">
        <w:rPr>
          <w:rFonts w:ascii="Times New Roman" w:eastAsia="Times New Roman" w:hAnsi="Times New Roman" w:cs="Times New Roman"/>
        </w:rPr>
        <w:t>conditions not uniformly met in our setting</w:t>
      </w:r>
      <w:r w:rsidR="003423D0" w:rsidRPr="000E0D70">
        <w:rPr>
          <w:rFonts w:ascii="Times New Roman" w:eastAsia="Times New Roman" w:hAnsi="Times New Roman" w:cs="Times New Roman"/>
        </w:rPr>
        <w:t xml:space="preserve"> (</w:t>
      </w:r>
      <w:r w:rsidR="003423D0" w:rsidRPr="000E0D70">
        <w:rPr>
          <w:rFonts w:ascii="Times New Roman" w:hAnsi="Times New Roman" w:cs="Times New Roman"/>
          <w:color w:val="1B1B1B"/>
          <w:shd w:val="clear" w:color="auto" w:fill="FFFFFF"/>
        </w:rPr>
        <w:t>Habib et al., 2025</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1C7FDE3C" w14:textId="2DE03791"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Our facility audit showed that functioning ultrasound and emergency theatre access were broadly present, which is a key strength. Nevertheless, only half of </w:t>
      </w:r>
      <w:r w:rsidR="003423D0" w:rsidRPr="000E0D70">
        <w:rPr>
          <w:rFonts w:ascii="Times New Roman" w:eastAsia="Times New Roman" w:hAnsi="Times New Roman" w:cs="Times New Roman"/>
        </w:rPr>
        <w:t xml:space="preserve">the </w:t>
      </w:r>
      <w:r w:rsidRPr="000E0D70">
        <w:rPr>
          <w:rFonts w:ascii="Times New Roman" w:eastAsia="Times New Roman" w:hAnsi="Times New Roman" w:cs="Times New Roman"/>
        </w:rPr>
        <w:t>units routinely stocked methotrexate</w:t>
      </w:r>
      <w:r w:rsidR="003423D0" w:rsidRPr="000E0D70">
        <w:rPr>
          <w:rFonts w:ascii="Times New Roman" w:eastAsia="Times New Roman" w:hAnsi="Times New Roman" w:cs="Times New Roman"/>
        </w:rPr>
        <w:t>,</w:t>
      </w:r>
      <w:r w:rsidRPr="000E0D70">
        <w:rPr>
          <w:rFonts w:ascii="Times New Roman" w:eastAsia="Times New Roman" w:hAnsi="Times New Roman" w:cs="Times New Roman"/>
        </w:rPr>
        <w:t xml:space="preserve"> and fewer than 40</w:t>
      </w:r>
      <w:r w:rsidR="003423D0" w:rsidRPr="000E0D70">
        <w:rPr>
          <w:rFonts w:ascii="Times New Roman" w:eastAsia="Times New Roman" w:hAnsi="Times New Roman" w:cs="Times New Roman"/>
        </w:rPr>
        <w:t xml:space="preserve">% </w:t>
      </w:r>
      <w:r w:rsidRPr="000E0D70">
        <w:rPr>
          <w:rFonts w:ascii="Times New Roman" w:eastAsia="Times New Roman" w:hAnsi="Times New Roman" w:cs="Times New Roman"/>
        </w:rPr>
        <w:t xml:space="preserve">had a dedicated ectopic management protocol. Qualitative interviews repeatedly mentioned </w:t>
      </w:r>
      <w:r w:rsidRPr="000E0D70">
        <w:rPr>
          <w:rFonts w:ascii="Times New Roman" w:eastAsia="Times New Roman" w:hAnsi="Times New Roman" w:cs="Times New Roman"/>
        </w:rPr>
        <w:lastRenderedPageBreak/>
        <w:t>intermittent methotrexate stockouts and lack of written protocols. These findings mirror reports from other African settings documenting supply chain fragility and variable adoption of local protocols for early pregnancy complications. Facility readiness correlated positively with practitioner practice scores in our analyses, indicating that investments in equipment, reliable drug supply, and local protocols can materially improve alignment with best practice</w:t>
      </w:r>
      <w:r w:rsidR="00714AAA" w:rsidRPr="000E0D70">
        <w:rPr>
          <w:rFonts w:ascii="Times New Roman" w:eastAsia="Times New Roman" w:hAnsi="Times New Roman" w:cs="Times New Roman"/>
        </w:rPr>
        <w:t xml:space="preserve"> (</w:t>
      </w:r>
      <w:r w:rsidR="00714AAA" w:rsidRPr="000E0D70">
        <w:rPr>
          <w:rFonts w:ascii="Times New Roman" w:hAnsi="Times New Roman" w:cs="Times New Roman"/>
        </w:rPr>
        <w:t>Stewart et al., 2020</w:t>
      </w:r>
      <w:r w:rsidR="00714AAA"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707D5D30" w14:textId="29FDF6BA"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Time intervals differed markedly by management approach. The surgical group had a shorter mean time from presentation to diagnosis but a much shorter interval from diagnosis to definitive management, reflecting the pathway for patients who require urgent operative intervention. The medical/expectant group had longer </w:t>
      </w:r>
      <w:proofErr w:type="gramStart"/>
      <w:r w:rsidR="00E10972">
        <w:rPr>
          <w:rFonts w:ascii="Times New Roman" w:eastAsia="Times New Roman" w:hAnsi="Times New Roman" w:cs="Times New Roman"/>
        </w:rPr>
        <w:t>delays</w:t>
      </w:r>
      <w:proofErr w:type="gramEnd"/>
      <w:r w:rsidRPr="000E0D70">
        <w:rPr>
          <w:rFonts w:ascii="Times New Roman" w:eastAsia="Times New Roman" w:hAnsi="Times New Roman" w:cs="Times New Roman"/>
        </w:rPr>
        <w:t xml:space="preserve"> between diagnosis and treatment, consistent with the need for serial monitoring and decision-making; however, some of that delay may represent avoidable system inefficiency rather than deliberate conservative management. The intraoperative complication rate, transfusion rate, need for ICU care, and a small but tragic number of maternal deaths underscore the high stakes of ectopic pregnancy in resource-limited settings. Comparative outcome data from other Nigerian and regional tertiary </w:t>
      </w:r>
      <w:proofErr w:type="spellStart"/>
      <w:r w:rsidR="00274EAA" w:rsidRPr="000E0D70">
        <w:rPr>
          <w:rFonts w:ascii="Times New Roman" w:eastAsia="Times New Roman" w:hAnsi="Times New Roman" w:cs="Times New Roman"/>
        </w:rPr>
        <w:t>centres</w:t>
      </w:r>
      <w:proofErr w:type="spellEnd"/>
      <w:r w:rsidRPr="000E0D70">
        <w:rPr>
          <w:rFonts w:ascii="Times New Roman" w:eastAsia="Times New Roman" w:hAnsi="Times New Roman" w:cs="Times New Roman"/>
        </w:rPr>
        <w:t xml:space="preserve"> report similar complication and mortality ranges</w:t>
      </w:r>
      <w:r w:rsidR="00274EAA" w:rsidRPr="000E0D70">
        <w:rPr>
          <w:rFonts w:ascii="Times New Roman" w:eastAsia="Times New Roman" w:hAnsi="Times New Roman" w:cs="Times New Roman"/>
        </w:rPr>
        <w:t>,</w:t>
      </w:r>
      <w:r w:rsidRPr="000E0D70">
        <w:rPr>
          <w:rFonts w:ascii="Times New Roman" w:eastAsia="Times New Roman" w:hAnsi="Times New Roman" w:cs="Times New Roman"/>
        </w:rPr>
        <w:t xml:space="preserve"> where late presentation and resource constraints persist. Prompt recognition, rapid transfusion capability, and streamlined pathways for timely surgery remain essential to reducing morbidity and mortality</w:t>
      </w:r>
      <w:r w:rsidR="00714AAA" w:rsidRPr="000E0D70">
        <w:rPr>
          <w:rFonts w:ascii="Times New Roman" w:eastAsia="Times New Roman" w:hAnsi="Times New Roman" w:cs="Times New Roman"/>
        </w:rPr>
        <w:t xml:space="preserve"> (</w:t>
      </w:r>
      <w:proofErr w:type="spellStart"/>
      <w:r w:rsidR="00714AAA" w:rsidRPr="000E0D70">
        <w:rPr>
          <w:rFonts w:ascii="Times New Roman" w:hAnsi="Times New Roman" w:cs="Times New Roman"/>
          <w:color w:val="1B1B1B"/>
          <w:shd w:val="clear" w:color="auto" w:fill="FFFFFF"/>
        </w:rPr>
        <w:t>Sefogah</w:t>
      </w:r>
      <w:proofErr w:type="spellEnd"/>
      <w:r w:rsidR="00714AAA" w:rsidRPr="000E0D70">
        <w:rPr>
          <w:rFonts w:ascii="Times New Roman" w:hAnsi="Times New Roman" w:cs="Times New Roman"/>
          <w:color w:val="1B1B1B"/>
          <w:shd w:val="clear" w:color="auto" w:fill="FFFFFF"/>
        </w:rPr>
        <w:t xml:space="preserve"> et al., 2020</w:t>
      </w:r>
      <w:r w:rsidR="00714AAA"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146CFFE3" w14:textId="01E21353"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The positive correlations between years of clinical experience, number of ectopic cases seen per clinician, facility readiness, and higher practice scores highlight both individual and system determinants of quality. In adjusted models, recent training and facility readiness remained powerful predictors of guideline-compliant practice. This pattern is aligned with evidence that experience and structured training improve clinicians’ decision-making, while environment and resources enable application of those skills. The very large adjusted odds ratio for recent training suggests that targeted, periodic refresher training would be a high-impact intervention to raise compliance with evidence-based management</w:t>
      </w:r>
      <w:r w:rsidR="00274EAA" w:rsidRPr="000E0D70">
        <w:rPr>
          <w:rFonts w:ascii="Times New Roman" w:eastAsia="Times New Roman" w:hAnsi="Times New Roman" w:cs="Times New Roman"/>
        </w:rPr>
        <w:t xml:space="preserve"> (</w:t>
      </w:r>
      <w:r w:rsidR="00274EAA" w:rsidRPr="00BE6C50">
        <w:rPr>
          <w:rFonts w:ascii="Times New Roman" w:eastAsia="Times New Roman" w:hAnsi="Times New Roman" w:cs="Times New Roman"/>
        </w:rPr>
        <w:t>Verhaeghe</w:t>
      </w:r>
      <w:r w:rsidR="00274EAA" w:rsidRPr="000E0D70">
        <w:rPr>
          <w:rFonts w:ascii="Times New Roman" w:eastAsia="Times New Roman" w:hAnsi="Times New Roman" w:cs="Times New Roman"/>
        </w:rPr>
        <w:t xml:space="preserve"> et al., 2020)</w:t>
      </w:r>
      <w:r w:rsidRPr="000E0D70">
        <w:rPr>
          <w:rFonts w:ascii="Times New Roman" w:eastAsia="Times New Roman" w:hAnsi="Times New Roman" w:cs="Times New Roman"/>
        </w:rPr>
        <w:t xml:space="preserve">. </w:t>
      </w:r>
    </w:p>
    <w:p w14:paraId="34A16E46" w14:textId="6187431A"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The themes that emerged from key informant interviews illuminate mechanisms underlying several quantitative findings. Night-time imaging gaps and referral transport barriers explain why some patients arrived unstable and why operative management remained common. Medication stockouts account for the limited use of methotrexate and a default to surgical care. Staff training gaps and calls for protocols and audits are consistent with the statistical associations linking training and facility readiness to better practice. Taken together, the qualitative and quantitative strands form a coherent picture: when personnel are trained and systems provide consistent access to diagnostic tools, drugs, blood, and written protocols, practice aligns more closely with guideline recommendations and patient outcomes improve. Studies of service delivery in similar settings report the same constellation of constraints and recommend integrated solutions that combine workforce development with supply chain and systems strengthening</w:t>
      </w:r>
      <w:r w:rsidR="008F2292" w:rsidRPr="000E0D70">
        <w:rPr>
          <w:rFonts w:ascii="Times New Roman" w:eastAsia="Times New Roman" w:hAnsi="Times New Roman" w:cs="Times New Roman"/>
        </w:rPr>
        <w:t xml:space="preserve"> (</w:t>
      </w:r>
      <w:r w:rsidR="008F2292" w:rsidRPr="000E0D70">
        <w:rPr>
          <w:rFonts w:ascii="Times New Roman" w:hAnsi="Times New Roman" w:cs="Times New Roman"/>
          <w:color w:val="1B1B1B"/>
          <w:shd w:val="clear" w:color="auto" w:fill="FFFFFF"/>
        </w:rPr>
        <w:t>Roro et al., 2022</w:t>
      </w:r>
      <w:r w:rsidR="008F2292"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30103FDC" w14:textId="07C6D0B5"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Our record review identified 87 confirmed ectopic pregnancies over the study period and an observed ratio of approximately 8.8 per 1,000 antenatal attendees. This incidence sits within the range reported across Nigerian tertiary </w:t>
      </w:r>
      <w:proofErr w:type="spellStart"/>
      <w:r w:rsidR="000F2D7C" w:rsidRPr="000E0D70">
        <w:rPr>
          <w:rFonts w:ascii="Times New Roman" w:eastAsia="Times New Roman" w:hAnsi="Times New Roman" w:cs="Times New Roman"/>
        </w:rPr>
        <w:t>centres</w:t>
      </w:r>
      <w:proofErr w:type="spellEnd"/>
      <w:r w:rsidRPr="000E0D70">
        <w:rPr>
          <w:rFonts w:ascii="Times New Roman" w:eastAsia="Times New Roman" w:hAnsi="Times New Roman" w:cs="Times New Roman"/>
        </w:rPr>
        <w:t xml:space="preserve"> and other African hospitals, where incidence estimates vary depending on denominators used and local referral patterns. The predominance of abdominal pain and vaginal bleeding as presenting complaints in our series replicates the usual clinical pattern described in both local and international series. The high diagnostic yield of TVUS in our cohort is consistent with </w:t>
      </w:r>
      <w:r w:rsidR="000F2D7C" w:rsidRPr="000E0D70">
        <w:rPr>
          <w:rFonts w:ascii="Times New Roman" w:eastAsia="Times New Roman" w:hAnsi="Times New Roman" w:cs="Times New Roman"/>
        </w:rPr>
        <w:t xml:space="preserve">the </w:t>
      </w:r>
      <w:r w:rsidRPr="000E0D70">
        <w:rPr>
          <w:rFonts w:ascii="Times New Roman" w:eastAsia="Times New Roman" w:hAnsi="Times New Roman" w:cs="Times New Roman"/>
        </w:rPr>
        <w:t xml:space="preserve">literature that places transvaginal sonography at the </w:t>
      </w:r>
      <w:proofErr w:type="spellStart"/>
      <w:r w:rsidR="000F2D7C" w:rsidRPr="000E0D70">
        <w:rPr>
          <w:rFonts w:ascii="Times New Roman" w:eastAsia="Times New Roman" w:hAnsi="Times New Roman" w:cs="Times New Roman"/>
        </w:rPr>
        <w:t>centre</w:t>
      </w:r>
      <w:proofErr w:type="spellEnd"/>
      <w:r w:rsidRPr="000E0D70">
        <w:rPr>
          <w:rFonts w:ascii="Times New Roman" w:eastAsia="Times New Roman" w:hAnsi="Times New Roman" w:cs="Times New Roman"/>
        </w:rPr>
        <w:t xml:space="preserve"> of ectopic diagnosis when available</w:t>
      </w:r>
      <w:r w:rsidR="000F2D7C" w:rsidRPr="000E0D70">
        <w:rPr>
          <w:rFonts w:ascii="Times New Roman" w:eastAsia="Times New Roman" w:hAnsi="Times New Roman" w:cs="Times New Roman"/>
        </w:rPr>
        <w:t xml:space="preserve"> (</w:t>
      </w:r>
      <w:r w:rsidR="000F2D7C" w:rsidRPr="000E0D70">
        <w:rPr>
          <w:rFonts w:ascii="Times New Roman" w:hAnsi="Times New Roman" w:cs="Times New Roman"/>
        </w:rPr>
        <w:t>Shittu et al., 2025</w:t>
      </w:r>
      <w:r w:rsidR="000F2D7C" w:rsidRPr="000E0D70">
        <w:rPr>
          <w:rFonts w:ascii="Times New Roman" w:eastAsia="Times New Roman" w:hAnsi="Times New Roman" w:cs="Times New Roman"/>
        </w:rPr>
        <w:t>)</w:t>
      </w:r>
      <w:r w:rsidRPr="000E0D70">
        <w:rPr>
          <w:rFonts w:ascii="Times New Roman" w:eastAsia="Times New Roman" w:hAnsi="Times New Roman" w:cs="Times New Roman"/>
        </w:rPr>
        <w:t xml:space="preserve">. </w:t>
      </w:r>
    </w:p>
    <w:p w14:paraId="7A6E98E2" w14:textId="51DF6EB4"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lastRenderedPageBreak/>
        <w:t xml:space="preserve">A strength of our work is the mixed-methods approach that </w:t>
      </w:r>
      <w:r w:rsidR="008829C5">
        <w:rPr>
          <w:rFonts w:ascii="Times New Roman" w:eastAsia="Times New Roman" w:hAnsi="Times New Roman" w:cs="Times New Roman"/>
        </w:rPr>
        <w:t xml:space="preserve">combines practitioner survey data, facility readiness audits, case record reviews, and key informant interviews, allowing for </w:t>
      </w:r>
      <w:r w:rsidRPr="000E0D70">
        <w:rPr>
          <w:rFonts w:ascii="Times New Roman" w:eastAsia="Times New Roman" w:hAnsi="Times New Roman" w:cs="Times New Roman"/>
        </w:rPr>
        <w:t xml:space="preserve">triangulation of findings. The inclusion of multiple cadres of practitioners and objective facility assessments enhances generalizability within similar tertiary and referral settings in Nigeria. Limitations include reliance on facility records for case ascertainment, which can undercount ectopic pregnancies managed elsewhere or cases that died before reaching care. The facility sample was small for the readiness audit and may not reflect more peripheral </w:t>
      </w:r>
      <w:proofErr w:type="spellStart"/>
      <w:r w:rsidR="0038205F">
        <w:rPr>
          <w:rFonts w:ascii="Times New Roman" w:eastAsia="Times New Roman" w:hAnsi="Times New Roman" w:cs="Times New Roman"/>
        </w:rPr>
        <w:t>centres</w:t>
      </w:r>
      <w:proofErr w:type="spellEnd"/>
      <w:r w:rsidRPr="000E0D70">
        <w:rPr>
          <w:rFonts w:ascii="Times New Roman" w:eastAsia="Times New Roman" w:hAnsi="Times New Roman" w:cs="Times New Roman"/>
        </w:rPr>
        <w:t>. Finally, the cross-sectional design precludes causal inference; associations between training, facility readiness, and practice quality are compelling but could be influenced by unmeasured confounders.</w:t>
      </w:r>
    </w:p>
    <w:p w14:paraId="65A173D7" w14:textId="3C2B6453" w:rsidR="000F2D7C" w:rsidRPr="000E0D70" w:rsidRDefault="000F2D7C" w:rsidP="00841106">
      <w:pPr>
        <w:spacing w:before="100" w:beforeAutospacing="1" w:after="100" w:afterAutospacing="1" w:line="276" w:lineRule="auto"/>
        <w:jc w:val="both"/>
        <w:rPr>
          <w:rFonts w:ascii="Times New Roman" w:eastAsia="Times New Roman" w:hAnsi="Times New Roman" w:cs="Times New Roman"/>
        </w:rPr>
      </w:pPr>
      <w:r w:rsidRPr="0038205F">
        <w:rPr>
          <w:rFonts w:ascii="Times New Roman" w:eastAsia="Times New Roman" w:hAnsi="Times New Roman" w:cs="Times New Roman"/>
          <w:b/>
          <w:bCs/>
          <w:highlight w:val="yellow"/>
        </w:rPr>
        <w:t>CONCLUSION</w:t>
      </w:r>
    </w:p>
    <w:p w14:paraId="205F91CE" w14:textId="58360040" w:rsidR="00BA0F7D" w:rsidRPr="000E0D70" w:rsidRDefault="00BA0F7D" w:rsidP="00841106">
      <w:pPr>
        <w:spacing w:before="100" w:beforeAutospacing="1" w:after="100" w:afterAutospacing="1" w:line="276" w:lineRule="auto"/>
        <w:jc w:val="both"/>
        <w:rPr>
          <w:rFonts w:ascii="Times New Roman" w:eastAsia="Times New Roman" w:hAnsi="Times New Roman" w:cs="Times New Roman"/>
        </w:rPr>
      </w:pPr>
      <w:r w:rsidRPr="000E0D70">
        <w:rPr>
          <w:rFonts w:ascii="Times New Roman" w:eastAsia="Times New Roman" w:hAnsi="Times New Roman" w:cs="Times New Roman"/>
        </w:rPr>
        <w:t xml:space="preserve">Our findings show that </w:t>
      </w:r>
      <w:r w:rsidR="008829C5">
        <w:rPr>
          <w:rFonts w:ascii="Times New Roman" w:eastAsia="Times New Roman" w:hAnsi="Times New Roman" w:cs="Times New Roman"/>
        </w:rPr>
        <w:t xml:space="preserve">the intersection of clinician experience and training, facility readiness, and system-level constraints shapes management of ectopic pregnancy in </w:t>
      </w:r>
      <w:proofErr w:type="spellStart"/>
      <w:r w:rsidR="008829C5">
        <w:rPr>
          <w:rFonts w:ascii="Times New Roman" w:eastAsia="Times New Roman" w:hAnsi="Times New Roman" w:cs="Times New Roman"/>
        </w:rPr>
        <w:t>Abia</w:t>
      </w:r>
      <w:proofErr w:type="spellEnd"/>
      <w:r w:rsidR="008829C5">
        <w:rPr>
          <w:rFonts w:ascii="Times New Roman" w:eastAsia="Times New Roman" w:hAnsi="Times New Roman" w:cs="Times New Roman"/>
        </w:rPr>
        <w:t xml:space="preserve"> State</w:t>
      </w:r>
      <w:r w:rsidRPr="000E0D70">
        <w:rPr>
          <w:rFonts w:ascii="Times New Roman" w:eastAsia="Times New Roman" w:hAnsi="Times New Roman" w:cs="Times New Roman"/>
        </w:rPr>
        <w:t>. Surgical treatment remains dominant, driven in part by late presentation, limited after-hours imaging, and intermittent methotrexate availability. Recent training and better-equipped facilities strongly predict guideline-compliant practice, suggesting clear targets for intervention. Focused investments in training, supply chain reliability for key drugs, continuous imaging availability, and local protocols with audit loops are likely to yield measurable improvements in care quality and patient outcomes.</w:t>
      </w:r>
    </w:p>
    <w:p w14:paraId="45F1413E" w14:textId="77777777" w:rsidR="00D240F8" w:rsidRPr="008D0E8B" w:rsidRDefault="00D240F8" w:rsidP="00D240F8">
      <w:pPr>
        <w:spacing w:line="360" w:lineRule="auto"/>
        <w:jc w:val="both"/>
        <w:rPr>
          <w:rFonts w:ascii="Times New Roman" w:hAnsi="Times New Roman" w:cs="Times New Roman"/>
          <w:b/>
          <w:sz w:val="24"/>
          <w:szCs w:val="24"/>
        </w:rPr>
      </w:pPr>
      <w:r w:rsidRPr="008D0E8B">
        <w:rPr>
          <w:rFonts w:ascii="Times New Roman" w:hAnsi="Times New Roman" w:cs="Times New Roman"/>
          <w:b/>
          <w:sz w:val="24"/>
          <w:szCs w:val="24"/>
        </w:rPr>
        <w:t>AVAILABILITY OF DATA AND MATERIAL</w:t>
      </w:r>
    </w:p>
    <w:p w14:paraId="5360C6D5" w14:textId="77777777" w:rsidR="00D240F8" w:rsidRPr="008D0E8B" w:rsidRDefault="00D240F8" w:rsidP="00D240F8">
      <w:pPr>
        <w:spacing w:line="360" w:lineRule="auto"/>
        <w:jc w:val="both"/>
        <w:rPr>
          <w:rFonts w:ascii="Times New Roman" w:hAnsi="Times New Roman" w:cs="Times New Roman"/>
          <w:sz w:val="24"/>
          <w:szCs w:val="24"/>
        </w:rPr>
      </w:pPr>
      <w:r w:rsidRPr="008D0E8B">
        <w:rPr>
          <w:rFonts w:ascii="Times New Roman" w:hAnsi="Times New Roman" w:cs="Times New Roman"/>
          <w:sz w:val="24"/>
          <w:szCs w:val="24"/>
        </w:rPr>
        <w:t xml:space="preserve">The datasets used and/or </w:t>
      </w:r>
      <w:proofErr w:type="spellStart"/>
      <w:r w:rsidRPr="008D0E8B">
        <w:rPr>
          <w:rFonts w:ascii="Times New Roman" w:hAnsi="Times New Roman" w:cs="Times New Roman"/>
          <w:sz w:val="24"/>
          <w:szCs w:val="24"/>
        </w:rPr>
        <w:t>analysed</w:t>
      </w:r>
      <w:proofErr w:type="spellEnd"/>
      <w:r w:rsidRPr="008D0E8B">
        <w:rPr>
          <w:rFonts w:ascii="Times New Roman" w:hAnsi="Times New Roman" w:cs="Times New Roman"/>
          <w:sz w:val="24"/>
          <w:szCs w:val="24"/>
        </w:rPr>
        <w:t xml:space="preserve"> during the current study are available from the corresponding author on reasonable request</w:t>
      </w:r>
    </w:p>
    <w:p w14:paraId="7A8023E0" w14:textId="77777777" w:rsidR="00780D3D" w:rsidRPr="004516E1" w:rsidRDefault="00780D3D" w:rsidP="00780D3D">
      <w:pPr>
        <w:spacing w:line="360" w:lineRule="auto"/>
        <w:jc w:val="both"/>
        <w:rPr>
          <w:rFonts w:ascii="Times New Roman" w:hAnsi="Times New Roman" w:cs="Times New Roman"/>
          <w:b/>
          <w:bCs/>
          <w:sz w:val="24"/>
          <w:szCs w:val="24"/>
        </w:rPr>
      </w:pPr>
      <w:r w:rsidRPr="004516E1">
        <w:rPr>
          <w:rFonts w:ascii="Times New Roman" w:hAnsi="Times New Roman" w:cs="Times New Roman"/>
          <w:b/>
          <w:bCs/>
          <w:sz w:val="24"/>
          <w:szCs w:val="24"/>
        </w:rPr>
        <w:t>COMPETING INTERESTS DISCLAIMER:</w:t>
      </w:r>
    </w:p>
    <w:p w14:paraId="71407032" w14:textId="75B9E36E" w:rsidR="00780D3D" w:rsidRDefault="00780D3D" w:rsidP="00780D3D">
      <w:pPr>
        <w:spacing w:line="360" w:lineRule="auto"/>
        <w:jc w:val="both"/>
        <w:rPr>
          <w:rFonts w:ascii="Times New Roman" w:hAnsi="Times New Roman" w:cs="Times New Roman"/>
          <w:sz w:val="24"/>
          <w:szCs w:val="24"/>
        </w:rPr>
      </w:pPr>
      <w:r w:rsidRPr="00780D3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756FA21" w14:textId="5EC6B7E7" w:rsidR="00F51ABD" w:rsidRDefault="00F51ABD" w:rsidP="00780D3D">
      <w:pPr>
        <w:spacing w:line="360" w:lineRule="auto"/>
        <w:jc w:val="both"/>
        <w:rPr>
          <w:rFonts w:ascii="Times New Roman" w:hAnsi="Times New Roman" w:cs="Times New Roman"/>
          <w:sz w:val="24"/>
          <w:szCs w:val="24"/>
        </w:rPr>
      </w:pPr>
    </w:p>
    <w:p w14:paraId="270980AF" w14:textId="77777777" w:rsidR="00F51ABD" w:rsidRPr="00740879" w:rsidRDefault="00F51ABD" w:rsidP="00F51ABD">
      <w:pPr>
        <w:rPr>
          <w:highlight w:val="yellow"/>
        </w:rPr>
      </w:pPr>
      <w:r w:rsidRPr="00740879">
        <w:rPr>
          <w:highlight w:val="yellow"/>
        </w:rPr>
        <w:t>Disclaimer (Artificial intelligence)</w:t>
      </w:r>
    </w:p>
    <w:p w14:paraId="6C643A37" w14:textId="77777777" w:rsidR="00F51ABD" w:rsidRPr="00740879" w:rsidRDefault="00F51ABD" w:rsidP="00F51AB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889F2C3" w14:textId="77777777" w:rsidR="00F51ABD" w:rsidRDefault="00F51ABD" w:rsidP="00780D3D">
      <w:pPr>
        <w:spacing w:line="360" w:lineRule="auto"/>
        <w:jc w:val="both"/>
        <w:rPr>
          <w:rFonts w:ascii="Times New Roman" w:hAnsi="Times New Roman" w:cs="Times New Roman"/>
          <w:sz w:val="24"/>
          <w:szCs w:val="24"/>
        </w:rPr>
      </w:pPr>
    </w:p>
    <w:p w14:paraId="44E8B9C6" w14:textId="05446D87" w:rsidR="00D240F8" w:rsidRDefault="00D240F8" w:rsidP="00D240F8">
      <w:pPr>
        <w:spacing w:line="360" w:lineRule="auto"/>
        <w:jc w:val="both"/>
        <w:rPr>
          <w:rFonts w:ascii="Times New Roman" w:hAnsi="Times New Roman" w:cs="Times New Roman"/>
          <w:sz w:val="24"/>
          <w:szCs w:val="24"/>
        </w:rPr>
      </w:pPr>
      <w:r w:rsidRPr="00D240F8">
        <w:rPr>
          <w:rFonts w:ascii="Times New Roman" w:hAnsi="Times New Roman" w:cs="Times New Roman"/>
          <w:b/>
          <w:bCs/>
          <w:sz w:val="24"/>
          <w:szCs w:val="24"/>
        </w:rPr>
        <w:t>REFERENCES</w:t>
      </w:r>
    </w:p>
    <w:p w14:paraId="33C00ED7" w14:textId="6E195B4D" w:rsidR="00D240F8" w:rsidRDefault="00D240F8" w:rsidP="00BD0BD5">
      <w:pPr>
        <w:spacing w:line="276" w:lineRule="auto"/>
        <w:jc w:val="both"/>
        <w:rPr>
          <w:rFonts w:ascii="Times New Roman" w:hAnsi="Times New Roman" w:cs="Times New Roman"/>
        </w:rPr>
      </w:pPr>
      <w:proofErr w:type="spellStart"/>
      <w:r w:rsidRPr="00BD0BD5">
        <w:rPr>
          <w:rFonts w:ascii="Times New Roman" w:hAnsi="Times New Roman" w:cs="Times New Roman"/>
        </w:rPr>
        <w:lastRenderedPageBreak/>
        <w:t>Akwuruoha</w:t>
      </w:r>
      <w:proofErr w:type="spellEnd"/>
      <w:r w:rsidRPr="00BD0BD5">
        <w:rPr>
          <w:rFonts w:ascii="Times New Roman" w:hAnsi="Times New Roman" w:cs="Times New Roman"/>
        </w:rPr>
        <w:t xml:space="preserve">, E. M., </w:t>
      </w:r>
      <w:proofErr w:type="spellStart"/>
      <w:r w:rsidRPr="00BD0BD5">
        <w:rPr>
          <w:rFonts w:ascii="Times New Roman" w:hAnsi="Times New Roman" w:cs="Times New Roman"/>
        </w:rPr>
        <w:t>Onwube</w:t>
      </w:r>
      <w:proofErr w:type="spellEnd"/>
      <w:r w:rsidRPr="00BD0BD5">
        <w:rPr>
          <w:rFonts w:ascii="Times New Roman" w:hAnsi="Times New Roman" w:cs="Times New Roman"/>
        </w:rPr>
        <w:t xml:space="preserve">, O. C., </w:t>
      </w:r>
      <w:proofErr w:type="spellStart"/>
      <w:r w:rsidRPr="00BD0BD5">
        <w:rPr>
          <w:rFonts w:ascii="Times New Roman" w:hAnsi="Times New Roman" w:cs="Times New Roman"/>
        </w:rPr>
        <w:t>Akwuruoha</w:t>
      </w:r>
      <w:proofErr w:type="spellEnd"/>
      <w:r w:rsidRPr="00BD0BD5">
        <w:rPr>
          <w:rFonts w:ascii="Times New Roman" w:hAnsi="Times New Roman" w:cs="Times New Roman"/>
        </w:rPr>
        <w:t xml:space="preserve">, C. U., &amp; Airaodion, A. I. (2025). Prevalence, causes and psychological effects of miscarriage among women in Abia State University Teaching Hospital, Aba, Nigeria. </w:t>
      </w:r>
      <w:r w:rsidRPr="00BD0BD5">
        <w:rPr>
          <w:rStyle w:val="Emphasis"/>
          <w:rFonts w:ascii="Times New Roman" w:hAnsi="Times New Roman" w:cs="Times New Roman"/>
        </w:rPr>
        <w:t>American Journal of Biomedical Science &amp; Research, 27</w:t>
      </w:r>
      <w:r w:rsidRPr="00BD0BD5">
        <w:rPr>
          <w:rFonts w:ascii="Times New Roman" w:hAnsi="Times New Roman" w:cs="Times New Roman"/>
        </w:rPr>
        <w:t xml:space="preserve">(5), 850-856. </w:t>
      </w:r>
    </w:p>
    <w:p w14:paraId="5DD09401" w14:textId="124714FB" w:rsidR="00554CD4" w:rsidRPr="00554CD4" w:rsidRDefault="00554CD4" w:rsidP="00554CD4">
      <w:pPr>
        <w:spacing w:before="100" w:beforeAutospacing="1" w:after="100" w:afterAutospacing="1" w:line="240" w:lineRule="auto"/>
        <w:rPr>
          <w:rFonts w:ascii="Times New Roman" w:eastAsia="Times New Roman" w:hAnsi="Times New Roman" w:cs="Times New Roman"/>
          <w:sz w:val="24"/>
          <w:szCs w:val="24"/>
        </w:rPr>
      </w:pPr>
      <w:proofErr w:type="spellStart"/>
      <w:r w:rsidRPr="00554CD4">
        <w:rPr>
          <w:rFonts w:ascii="Times New Roman" w:eastAsia="Times New Roman" w:hAnsi="Times New Roman" w:cs="Times New Roman"/>
          <w:sz w:val="24"/>
          <w:szCs w:val="24"/>
        </w:rPr>
        <w:t>Akwuruoha</w:t>
      </w:r>
      <w:proofErr w:type="spellEnd"/>
      <w:r w:rsidRPr="00554CD4">
        <w:rPr>
          <w:rFonts w:ascii="Times New Roman" w:eastAsia="Times New Roman" w:hAnsi="Times New Roman" w:cs="Times New Roman"/>
          <w:sz w:val="24"/>
          <w:szCs w:val="24"/>
        </w:rPr>
        <w:t xml:space="preserve">, E. M., &amp; Airaodion, A. I. (2025). Evaluation of causes, diagnosis and management of polycystic ovarian syndrome by healthcare providers in Nigeria: A mixed-method study. American Journal of Biomedical Science &amp; Research, 28(6), </w:t>
      </w:r>
      <w:r w:rsidR="00BD7B24">
        <w:rPr>
          <w:rFonts w:ascii="Times New Roman" w:eastAsia="Times New Roman" w:hAnsi="Times New Roman" w:cs="Times New Roman"/>
          <w:sz w:val="24"/>
          <w:szCs w:val="24"/>
        </w:rPr>
        <w:t xml:space="preserve">769-777. </w:t>
      </w:r>
      <w:r w:rsidRPr="00554CD4">
        <w:rPr>
          <w:rFonts w:ascii="Times New Roman" w:eastAsia="Times New Roman" w:hAnsi="Times New Roman" w:cs="Times New Roman"/>
          <w:sz w:val="24"/>
          <w:szCs w:val="24"/>
        </w:rPr>
        <w:t>https://doi.org/10.34297/AJBSR.2025.28.003748</w:t>
      </w:r>
    </w:p>
    <w:p w14:paraId="6A06174F" w14:textId="26AF5302" w:rsidR="00D240F8" w:rsidRPr="00BD0BD5" w:rsidRDefault="00582E10" w:rsidP="00BD0BD5">
      <w:pPr>
        <w:jc w:val="both"/>
        <w:rPr>
          <w:rFonts w:ascii="Times New Roman" w:hAnsi="Times New Roman" w:cs="Times New Roman"/>
        </w:rPr>
      </w:pPr>
      <w:r w:rsidRPr="00BD0BD5">
        <w:rPr>
          <w:rFonts w:ascii="Times New Roman" w:hAnsi="Times New Roman" w:cs="Times New Roman"/>
        </w:rPr>
        <w:t xml:space="preserve">Eke, K. O., Eke, E. O., </w:t>
      </w:r>
      <w:proofErr w:type="spellStart"/>
      <w:r w:rsidRPr="00BD0BD5">
        <w:rPr>
          <w:rFonts w:ascii="Times New Roman" w:hAnsi="Times New Roman" w:cs="Times New Roman"/>
        </w:rPr>
        <w:t>Ekeleme</w:t>
      </w:r>
      <w:proofErr w:type="spellEnd"/>
      <w:r w:rsidRPr="00BD0BD5">
        <w:rPr>
          <w:rFonts w:ascii="Times New Roman" w:hAnsi="Times New Roman" w:cs="Times New Roman"/>
        </w:rPr>
        <w:t xml:space="preserve">, N. C., </w:t>
      </w:r>
      <w:proofErr w:type="spellStart"/>
      <w:r w:rsidRPr="00BD0BD5">
        <w:rPr>
          <w:rFonts w:ascii="Times New Roman" w:hAnsi="Times New Roman" w:cs="Times New Roman"/>
        </w:rPr>
        <w:t>Ezirim</w:t>
      </w:r>
      <w:proofErr w:type="spellEnd"/>
      <w:r w:rsidRPr="00BD0BD5">
        <w:rPr>
          <w:rFonts w:ascii="Times New Roman" w:hAnsi="Times New Roman" w:cs="Times New Roman"/>
        </w:rPr>
        <w:t xml:space="preserve">, E. O., &amp; </w:t>
      </w:r>
      <w:proofErr w:type="spellStart"/>
      <w:r w:rsidRPr="00BD0BD5">
        <w:rPr>
          <w:rFonts w:ascii="Times New Roman" w:hAnsi="Times New Roman" w:cs="Times New Roman"/>
        </w:rPr>
        <w:t>Onwuka</w:t>
      </w:r>
      <w:proofErr w:type="spellEnd"/>
      <w:r w:rsidRPr="00BD0BD5">
        <w:rPr>
          <w:rFonts w:ascii="Times New Roman" w:hAnsi="Times New Roman" w:cs="Times New Roman"/>
        </w:rPr>
        <w:t xml:space="preserve">, C. J. (2022). Ectopic pregnancy: A ten-year review of cases in a tertiary health institution in Umuahia, South East, Nigeria. European Journal of Medical and Health Sciences, 4(4), 54-59. </w:t>
      </w:r>
      <w:hyperlink r:id="rId8" w:history="1">
        <w:r w:rsidRPr="00BD0BD5">
          <w:rPr>
            <w:rStyle w:val="Hyperlink"/>
            <w:rFonts w:ascii="Times New Roman" w:hAnsi="Times New Roman" w:cs="Times New Roman"/>
          </w:rPr>
          <w:t>https://doi.org/10.24018/ejmed.2022.4.4.1395</w:t>
        </w:r>
      </w:hyperlink>
      <w:r w:rsidRPr="00BD0BD5">
        <w:rPr>
          <w:rFonts w:ascii="Times New Roman" w:hAnsi="Times New Roman" w:cs="Times New Roman"/>
        </w:rPr>
        <w:t xml:space="preserve"> </w:t>
      </w:r>
    </w:p>
    <w:p w14:paraId="06B91D4D" w14:textId="7BFC21EB" w:rsidR="00D240F8" w:rsidRPr="00BD0BD5" w:rsidRDefault="00C9039E" w:rsidP="00BD0BD5">
      <w:pPr>
        <w:spacing w:line="276" w:lineRule="auto"/>
        <w:jc w:val="both"/>
        <w:rPr>
          <w:rFonts w:ascii="Times New Roman" w:eastAsia="Times New Roman" w:hAnsi="Times New Roman" w:cs="Times New Roman"/>
        </w:rPr>
      </w:pPr>
      <w:proofErr w:type="spellStart"/>
      <w:r w:rsidRPr="00BD0BD5">
        <w:rPr>
          <w:rFonts w:ascii="Times New Roman" w:hAnsi="Times New Roman" w:cs="Times New Roman"/>
        </w:rPr>
        <w:t>Ezirim</w:t>
      </w:r>
      <w:proofErr w:type="spellEnd"/>
      <w:r w:rsidRPr="00BD0BD5">
        <w:rPr>
          <w:rFonts w:ascii="Times New Roman" w:hAnsi="Times New Roman" w:cs="Times New Roman"/>
        </w:rPr>
        <w:t xml:space="preserve">, E. O., </w:t>
      </w:r>
      <w:proofErr w:type="spellStart"/>
      <w:r w:rsidRPr="00BD0BD5">
        <w:rPr>
          <w:rFonts w:ascii="Times New Roman" w:hAnsi="Times New Roman" w:cs="Times New Roman"/>
        </w:rPr>
        <w:t>Akwuruoha</w:t>
      </w:r>
      <w:proofErr w:type="spellEnd"/>
      <w:r w:rsidRPr="00BD0BD5">
        <w:rPr>
          <w:rFonts w:ascii="Times New Roman" w:hAnsi="Times New Roman" w:cs="Times New Roman"/>
        </w:rPr>
        <w:t xml:space="preserve">, E. M., Amah, C. I., </w:t>
      </w:r>
      <w:proofErr w:type="spellStart"/>
      <w:r w:rsidRPr="00BD0BD5">
        <w:rPr>
          <w:rFonts w:ascii="Times New Roman" w:hAnsi="Times New Roman" w:cs="Times New Roman"/>
        </w:rPr>
        <w:t>Onyemereze</w:t>
      </w:r>
      <w:proofErr w:type="spellEnd"/>
      <w:r w:rsidRPr="00BD0BD5">
        <w:rPr>
          <w:rFonts w:ascii="Times New Roman" w:hAnsi="Times New Roman" w:cs="Times New Roman"/>
        </w:rPr>
        <w:t>, C. O., &amp; Airaodion, A. I. (2025). Evaluation of the management of premature ovarian insufficiency in Nigerian women by healthcare professionals. Journal of Obstetrics Gynecology</w:t>
      </w:r>
      <w:r w:rsidR="00E10972">
        <w:rPr>
          <w:rFonts w:ascii="Times New Roman" w:hAnsi="Times New Roman" w:cs="Times New Roman"/>
        </w:rPr>
        <w:t>,</w:t>
      </w:r>
      <w:r w:rsidRPr="00BD0BD5">
        <w:rPr>
          <w:rFonts w:ascii="Times New Roman" w:hAnsi="Times New Roman" w:cs="Times New Roman"/>
        </w:rPr>
        <w:t xml:space="preserve"> and Reproductive Sciences, 9(6) </w:t>
      </w:r>
      <w:hyperlink r:id="rId9" w:history="1">
        <w:r w:rsidRPr="00BD0BD5">
          <w:rPr>
            <w:rStyle w:val="Hyperlink"/>
            <w:rFonts w:ascii="Times New Roman" w:hAnsi="Times New Roman" w:cs="Times New Roman"/>
          </w:rPr>
          <w:t>https://doi.org/10.31579/2578-8965/278</w:t>
        </w:r>
      </w:hyperlink>
      <w:r w:rsidRPr="00BD0BD5">
        <w:rPr>
          <w:rFonts w:ascii="Times New Roman" w:hAnsi="Times New Roman" w:cs="Times New Roman"/>
        </w:rPr>
        <w:t xml:space="preserve"> </w:t>
      </w:r>
    </w:p>
    <w:p w14:paraId="06A5C029" w14:textId="4C9798B6" w:rsidR="00D240F8" w:rsidRPr="00BD0BD5" w:rsidRDefault="006C3245"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t xml:space="preserve">Habib, A., Sardar, S., Iftikhar, A., </w:t>
      </w:r>
      <w:proofErr w:type="spellStart"/>
      <w:r w:rsidRPr="00BD0BD5">
        <w:rPr>
          <w:rFonts w:ascii="Times New Roman" w:hAnsi="Times New Roman" w:cs="Times New Roman"/>
          <w:color w:val="1B1B1B"/>
          <w:shd w:val="clear" w:color="auto" w:fill="FFFFFF"/>
        </w:rPr>
        <w:t>Lnu</w:t>
      </w:r>
      <w:proofErr w:type="spellEnd"/>
      <w:r w:rsidRPr="00BD0BD5">
        <w:rPr>
          <w:rFonts w:ascii="Times New Roman" w:hAnsi="Times New Roman" w:cs="Times New Roman"/>
          <w:color w:val="1B1B1B"/>
          <w:shd w:val="clear" w:color="auto" w:fill="FFFFFF"/>
        </w:rPr>
        <w:t xml:space="preserve">, L., Bokhari, M., Rukh, M., </w:t>
      </w:r>
      <w:proofErr w:type="spellStart"/>
      <w:r w:rsidRPr="00BD0BD5">
        <w:rPr>
          <w:rFonts w:ascii="Times New Roman" w:hAnsi="Times New Roman" w:cs="Times New Roman"/>
          <w:color w:val="1B1B1B"/>
          <w:shd w:val="clear" w:color="auto" w:fill="FFFFFF"/>
        </w:rPr>
        <w:t>Lnu</w:t>
      </w:r>
      <w:proofErr w:type="spellEnd"/>
      <w:r w:rsidRPr="00BD0BD5">
        <w:rPr>
          <w:rFonts w:ascii="Times New Roman" w:hAnsi="Times New Roman" w:cs="Times New Roman"/>
          <w:color w:val="1B1B1B"/>
          <w:shd w:val="clear" w:color="auto" w:fill="FFFFFF"/>
        </w:rPr>
        <w:t xml:space="preserve">, Y., </w:t>
      </w:r>
      <w:proofErr w:type="spellStart"/>
      <w:r w:rsidRPr="00BD0BD5">
        <w:rPr>
          <w:rFonts w:ascii="Times New Roman" w:hAnsi="Times New Roman" w:cs="Times New Roman"/>
          <w:color w:val="1B1B1B"/>
          <w:shd w:val="clear" w:color="auto" w:fill="FFFFFF"/>
        </w:rPr>
        <w:t>Asmat</w:t>
      </w:r>
      <w:proofErr w:type="spellEnd"/>
      <w:r w:rsidRPr="00BD0BD5">
        <w:rPr>
          <w:rFonts w:ascii="Times New Roman" w:hAnsi="Times New Roman" w:cs="Times New Roman"/>
          <w:color w:val="1B1B1B"/>
          <w:shd w:val="clear" w:color="auto" w:fill="FFFFFF"/>
        </w:rPr>
        <w:t xml:space="preserve">, S., Asma, B., &amp; Sikandar, M. (2025). Methotrexate vs. Surgery in the Management of Ectopic Pregnancy: A Comparative Analysis of Treatment Outcomes. </w:t>
      </w:r>
      <w:proofErr w:type="spellStart"/>
      <w:r w:rsidRPr="00BD0BD5">
        <w:rPr>
          <w:rFonts w:ascii="Times New Roman" w:hAnsi="Times New Roman" w:cs="Times New Roman"/>
          <w:color w:val="1B1B1B"/>
          <w:shd w:val="clear" w:color="auto" w:fill="FFFFFF"/>
        </w:rPr>
        <w:t>Cureus</w:t>
      </w:r>
      <w:proofErr w:type="spellEnd"/>
      <w:r w:rsidRPr="00BD0BD5">
        <w:rPr>
          <w:rFonts w:ascii="Times New Roman" w:hAnsi="Times New Roman" w:cs="Times New Roman"/>
          <w:color w:val="1B1B1B"/>
          <w:shd w:val="clear" w:color="auto" w:fill="FFFFFF"/>
        </w:rPr>
        <w:t xml:space="preserve">, 17(6), e85169 </w:t>
      </w:r>
      <w:hyperlink r:id="rId10" w:history="1">
        <w:r w:rsidRPr="00BD0BD5">
          <w:rPr>
            <w:rStyle w:val="Hyperlink"/>
            <w:rFonts w:ascii="Times New Roman" w:hAnsi="Times New Roman" w:cs="Times New Roman"/>
            <w:shd w:val="clear" w:color="auto" w:fill="FFFFFF"/>
          </w:rPr>
          <w:t>https://doi.org/10.7759/cureus.85169</w:t>
        </w:r>
      </w:hyperlink>
      <w:r w:rsidRPr="00BD0BD5">
        <w:rPr>
          <w:rFonts w:ascii="Times New Roman" w:hAnsi="Times New Roman" w:cs="Times New Roman"/>
          <w:color w:val="1B1B1B"/>
          <w:shd w:val="clear" w:color="auto" w:fill="FFFFFF"/>
        </w:rPr>
        <w:t xml:space="preserve"> </w:t>
      </w:r>
    </w:p>
    <w:p w14:paraId="1FC98651" w14:textId="5724CE75" w:rsidR="00D240F8" w:rsidRPr="00BD0BD5" w:rsidRDefault="006A5ED0" w:rsidP="00BD0BD5">
      <w:pPr>
        <w:spacing w:line="240" w:lineRule="auto"/>
        <w:jc w:val="both"/>
        <w:rPr>
          <w:rFonts w:ascii="Times New Roman" w:eastAsia="Times New Roman" w:hAnsi="Times New Roman" w:cs="Times New Roman"/>
        </w:rPr>
      </w:pPr>
      <w:r w:rsidRPr="00BD0BD5">
        <w:rPr>
          <w:rFonts w:ascii="Times New Roman" w:eastAsia="Times New Roman" w:hAnsi="Times New Roman" w:cs="Times New Roman"/>
        </w:rPr>
        <w:t xml:space="preserve">Madder, L. M. A., Stark, E., </w:t>
      </w:r>
      <w:proofErr w:type="spellStart"/>
      <w:r w:rsidRPr="00BD0BD5">
        <w:rPr>
          <w:rFonts w:ascii="Times New Roman" w:eastAsia="Times New Roman" w:hAnsi="Times New Roman" w:cs="Times New Roman"/>
        </w:rPr>
        <w:t>Woolderink</w:t>
      </w:r>
      <w:proofErr w:type="spellEnd"/>
      <w:r w:rsidRPr="00BD0BD5">
        <w:rPr>
          <w:rFonts w:ascii="Times New Roman" w:eastAsia="Times New Roman" w:hAnsi="Times New Roman" w:cs="Times New Roman"/>
        </w:rPr>
        <w:t xml:space="preserve">, J. M., Van der Linden, P. J. Q., Dijkstra, J. R., Van Boven, L. G., Keizer, M. C., Groen, H., </w:t>
      </w:r>
      <w:proofErr w:type="spellStart"/>
      <w:r w:rsidRPr="00BD0BD5">
        <w:rPr>
          <w:rFonts w:ascii="Times New Roman" w:eastAsia="Times New Roman" w:hAnsi="Times New Roman" w:cs="Times New Roman"/>
        </w:rPr>
        <w:t>Versluis</w:t>
      </w:r>
      <w:proofErr w:type="spellEnd"/>
      <w:r w:rsidRPr="00BD0BD5">
        <w:rPr>
          <w:rFonts w:ascii="Times New Roman" w:eastAsia="Times New Roman" w:hAnsi="Times New Roman" w:cs="Times New Roman"/>
        </w:rPr>
        <w:t xml:space="preserve">, M., &amp; Van der </w:t>
      </w:r>
      <w:proofErr w:type="spellStart"/>
      <w:r w:rsidRPr="00BD0BD5">
        <w:rPr>
          <w:rFonts w:ascii="Times New Roman" w:eastAsia="Times New Roman" w:hAnsi="Times New Roman" w:cs="Times New Roman"/>
        </w:rPr>
        <w:t>Tuuk</w:t>
      </w:r>
      <w:proofErr w:type="spellEnd"/>
      <w:r w:rsidRPr="00BD0BD5">
        <w:rPr>
          <w:rFonts w:ascii="Times New Roman" w:eastAsia="Times New Roman" w:hAnsi="Times New Roman" w:cs="Times New Roman"/>
        </w:rPr>
        <w:t xml:space="preserve">, K. (2025). A multicenter cohort study </w:t>
      </w:r>
      <w:proofErr w:type="spellStart"/>
      <w:r w:rsidRPr="00BD0BD5">
        <w:rPr>
          <w:rFonts w:ascii="Times New Roman" w:eastAsia="Times New Roman" w:hAnsi="Times New Roman" w:cs="Times New Roman"/>
        </w:rPr>
        <w:t>analysing</w:t>
      </w:r>
      <w:proofErr w:type="spellEnd"/>
      <w:r w:rsidRPr="00BD0BD5">
        <w:rPr>
          <w:rFonts w:ascii="Times New Roman" w:eastAsia="Times New Roman" w:hAnsi="Times New Roman" w:cs="Times New Roman"/>
        </w:rPr>
        <w:t xml:space="preserve"> the implementation of a new guideline for women with pregnancy of unknown location or ectopic pregnancy in the Netherlands. European Journal of Obstetrics &amp; Gynecology and Reproductive Biology, 304, 41-46. </w:t>
      </w:r>
      <w:hyperlink r:id="rId11" w:history="1">
        <w:r w:rsidRPr="00BD0BD5">
          <w:rPr>
            <w:rStyle w:val="Hyperlink"/>
            <w:rFonts w:ascii="Times New Roman" w:eastAsia="Times New Roman" w:hAnsi="Times New Roman" w:cs="Times New Roman"/>
          </w:rPr>
          <w:t>https://doi.org/10.1016/j.ejogrb.2024.10.058</w:t>
        </w:r>
      </w:hyperlink>
      <w:r w:rsidRPr="00BD0BD5">
        <w:rPr>
          <w:rFonts w:ascii="Times New Roman" w:eastAsia="Times New Roman" w:hAnsi="Times New Roman" w:cs="Times New Roman"/>
        </w:rPr>
        <w:t xml:space="preserve"> </w:t>
      </w:r>
    </w:p>
    <w:p w14:paraId="1132855B" w14:textId="77777777" w:rsidR="00D240F8" w:rsidRPr="00BD0BD5" w:rsidRDefault="00D240F8" w:rsidP="00BD0BD5">
      <w:pPr>
        <w:jc w:val="both"/>
        <w:rPr>
          <w:rFonts w:ascii="Times New Roman" w:hAnsi="Times New Roman" w:cs="Times New Roman"/>
        </w:rPr>
      </w:pPr>
      <w:r w:rsidRPr="00BD0BD5">
        <w:rPr>
          <w:rFonts w:ascii="Times New Roman" w:hAnsi="Times New Roman" w:cs="Times New Roman"/>
        </w:rPr>
        <w:t xml:space="preserve">Mbamba, C. C., Nduka, E. C., Agwu, F., Kalu, E., &amp; Okwara, C. E. (2020). </w:t>
      </w:r>
      <w:r w:rsidRPr="00BD0BD5">
        <w:rPr>
          <w:rStyle w:val="Emphasis"/>
          <w:rFonts w:ascii="Times New Roman" w:hAnsi="Times New Roman" w:cs="Times New Roman"/>
        </w:rPr>
        <w:t>Association between anti-Chlamydia trachomatis antibody and ectopic pregnancy at the Federal Medical Centre, Umuahia, Abia State</w:t>
      </w:r>
      <w:r w:rsidRPr="00BD0BD5">
        <w:rPr>
          <w:rFonts w:ascii="Times New Roman" w:hAnsi="Times New Roman" w:cs="Times New Roman"/>
        </w:rPr>
        <w:t xml:space="preserve">. </w:t>
      </w:r>
      <w:r w:rsidRPr="00BD0BD5">
        <w:rPr>
          <w:rStyle w:val="Strong"/>
          <w:rFonts w:ascii="Times New Roman" w:hAnsi="Times New Roman" w:cs="Times New Roman"/>
          <w:b w:val="0"/>
          <w:bCs w:val="0"/>
        </w:rPr>
        <w:t>Yenagoa Medical Journal</w:t>
      </w:r>
      <w:r w:rsidRPr="00BD0BD5">
        <w:rPr>
          <w:rFonts w:ascii="Times New Roman" w:hAnsi="Times New Roman" w:cs="Times New Roman"/>
        </w:rPr>
        <w:t>, 2(1), 105–118.</w:t>
      </w:r>
    </w:p>
    <w:p w14:paraId="5A32A2D0" w14:textId="475B6B61" w:rsidR="00D240F8" w:rsidRPr="00BD0BD5" w:rsidRDefault="00DB28D9" w:rsidP="00BD0BD5">
      <w:pPr>
        <w:jc w:val="both"/>
        <w:rPr>
          <w:rFonts w:ascii="Times New Roman" w:hAnsi="Times New Roman" w:cs="Times New Roman"/>
          <w:color w:val="1B1B1B"/>
          <w:shd w:val="clear" w:color="auto" w:fill="FFFFFF"/>
        </w:rPr>
      </w:pPr>
      <w:proofErr w:type="spellStart"/>
      <w:r w:rsidRPr="00BD0BD5">
        <w:rPr>
          <w:rFonts w:ascii="Times New Roman" w:hAnsi="Times New Roman" w:cs="Times New Roman"/>
          <w:color w:val="1B1B1B"/>
          <w:shd w:val="clear" w:color="auto" w:fill="FFFFFF"/>
        </w:rPr>
        <w:t>Mullany</w:t>
      </w:r>
      <w:proofErr w:type="spellEnd"/>
      <w:r w:rsidRPr="00BD0BD5">
        <w:rPr>
          <w:rFonts w:ascii="Times New Roman" w:hAnsi="Times New Roman" w:cs="Times New Roman"/>
          <w:color w:val="1B1B1B"/>
          <w:shd w:val="clear" w:color="auto" w:fill="FFFFFF"/>
        </w:rPr>
        <w:t xml:space="preserve">, K., </w:t>
      </w:r>
      <w:proofErr w:type="spellStart"/>
      <w:r w:rsidRPr="00BD0BD5">
        <w:rPr>
          <w:rFonts w:ascii="Times New Roman" w:hAnsi="Times New Roman" w:cs="Times New Roman"/>
          <w:color w:val="1B1B1B"/>
          <w:shd w:val="clear" w:color="auto" w:fill="FFFFFF"/>
        </w:rPr>
        <w:t>Minneci</w:t>
      </w:r>
      <w:proofErr w:type="spellEnd"/>
      <w:r w:rsidRPr="00BD0BD5">
        <w:rPr>
          <w:rFonts w:ascii="Times New Roman" w:hAnsi="Times New Roman" w:cs="Times New Roman"/>
          <w:color w:val="1B1B1B"/>
          <w:shd w:val="clear" w:color="auto" w:fill="FFFFFF"/>
        </w:rPr>
        <w:t xml:space="preserve">, M., </w:t>
      </w:r>
      <w:proofErr w:type="spellStart"/>
      <w:r w:rsidRPr="00BD0BD5">
        <w:rPr>
          <w:rFonts w:ascii="Times New Roman" w:hAnsi="Times New Roman" w:cs="Times New Roman"/>
          <w:color w:val="1B1B1B"/>
          <w:shd w:val="clear" w:color="auto" w:fill="FFFFFF"/>
        </w:rPr>
        <w:t>Monjazeb</w:t>
      </w:r>
      <w:proofErr w:type="spellEnd"/>
      <w:r w:rsidRPr="00BD0BD5">
        <w:rPr>
          <w:rFonts w:ascii="Times New Roman" w:hAnsi="Times New Roman" w:cs="Times New Roman"/>
          <w:color w:val="1B1B1B"/>
          <w:shd w:val="clear" w:color="auto" w:fill="FFFFFF"/>
        </w:rPr>
        <w:t xml:space="preserve">, R., &amp; </w:t>
      </w:r>
      <w:proofErr w:type="spellStart"/>
      <w:r w:rsidRPr="00BD0BD5">
        <w:rPr>
          <w:rFonts w:ascii="Times New Roman" w:hAnsi="Times New Roman" w:cs="Times New Roman"/>
          <w:color w:val="1B1B1B"/>
          <w:shd w:val="clear" w:color="auto" w:fill="FFFFFF"/>
        </w:rPr>
        <w:t>Coiado</w:t>
      </w:r>
      <w:proofErr w:type="spellEnd"/>
      <w:r w:rsidRPr="00BD0BD5">
        <w:rPr>
          <w:rFonts w:ascii="Times New Roman" w:hAnsi="Times New Roman" w:cs="Times New Roman"/>
          <w:color w:val="1B1B1B"/>
          <w:shd w:val="clear" w:color="auto" w:fill="FFFFFF"/>
        </w:rPr>
        <w:t xml:space="preserve">, O. C. (2023). Overview of ectopic pregnancy diagnosis, management, and innovation. Women's Health (London, England), 19, 17455057231160349. </w:t>
      </w:r>
      <w:hyperlink r:id="rId12" w:history="1">
        <w:r w:rsidRPr="00BD0BD5">
          <w:rPr>
            <w:rStyle w:val="Hyperlink"/>
            <w:rFonts w:ascii="Times New Roman" w:hAnsi="Times New Roman" w:cs="Times New Roman"/>
            <w:shd w:val="clear" w:color="auto" w:fill="FFFFFF"/>
          </w:rPr>
          <w:t>https://doi.org/10.1177/17455057231160349</w:t>
        </w:r>
      </w:hyperlink>
      <w:r w:rsidRPr="00BD0BD5">
        <w:rPr>
          <w:rFonts w:ascii="Times New Roman" w:hAnsi="Times New Roman" w:cs="Times New Roman"/>
          <w:color w:val="1B1B1B"/>
          <w:shd w:val="clear" w:color="auto" w:fill="FFFFFF"/>
        </w:rPr>
        <w:t xml:space="preserve"> </w:t>
      </w:r>
    </w:p>
    <w:p w14:paraId="639CEC96" w14:textId="1E11E5F0" w:rsidR="00D240F8" w:rsidRPr="00BD0BD5" w:rsidRDefault="00601058" w:rsidP="00BD0BD5">
      <w:pPr>
        <w:jc w:val="both"/>
        <w:rPr>
          <w:rFonts w:ascii="Times New Roman" w:hAnsi="Times New Roman" w:cs="Times New Roman"/>
        </w:rPr>
      </w:pPr>
      <w:proofErr w:type="spellStart"/>
      <w:r w:rsidRPr="00BD0BD5">
        <w:rPr>
          <w:rFonts w:ascii="Times New Roman" w:hAnsi="Times New Roman" w:cs="Times New Roman"/>
        </w:rPr>
        <w:t>Olamijulo</w:t>
      </w:r>
      <w:proofErr w:type="spellEnd"/>
      <w:r w:rsidRPr="00BD0BD5">
        <w:rPr>
          <w:rFonts w:ascii="Times New Roman" w:hAnsi="Times New Roman" w:cs="Times New Roman"/>
        </w:rPr>
        <w:t xml:space="preserve">, J. A., </w:t>
      </w:r>
      <w:proofErr w:type="spellStart"/>
      <w:r w:rsidRPr="00BD0BD5">
        <w:rPr>
          <w:rFonts w:ascii="Times New Roman" w:hAnsi="Times New Roman" w:cs="Times New Roman"/>
        </w:rPr>
        <w:t>Okusanya</w:t>
      </w:r>
      <w:proofErr w:type="spellEnd"/>
      <w:r w:rsidRPr="00BD0BD5">
        <w:rPr>
          <w:rFonts w:ascii="Times New Roman" w:hAnsi="Times New Roman" w:cs="Times New Roman"/>
        </w:rPr>
        <w:t xml:space="preserve">, B. O., </w:t>
      </w:r>
      <w:proofErr w:type="spellStart"/>
      <w:r w:rsidRPr="00BD0BD5">
        <w:rPr>
          <w:rFonts w:ascii="Times New Roman" w:hAnsi="Times New Roman" w:cs="Times New Roman"/>
        </w:rPr>
        <w:t>Adenekan</w:t>
      </w:r>
      <w:proofErr w:type="spellEnd"/>
      <w:r w:rsidRPr="00BD0BD5">
        <w:rPr>
          <w:rFonts w:ascii="Times New Roman" w:hAnsi="Times New Roman" w:cs="Times New Roman"/>
        </w:rPr>
        <w:t xml:space="preserve">, M. A., </w:t>
      </w:r>
      <w:proofErr w:type="spellStart"/>
      <w:r w:rsidRPr="00BD0BD5">
        <w:rPr>
          <w:rFonts w:ascii="Times New Roman" w:hAnsi="Times New Roman" w:cs="Times New Roman"/>
        </w:rPr>
        <w:t>Ugwu</w:t>
      </w:r>
      <w:proofErr w:type="spellEnd"/>
      <w:r w:rsidRPr="00BD0BD5">
        <w:rPr>
          <w:rFonts w:ascii="Times New Roman" w:hAnsi="Times New Roman" w:cs="Times New Roman"/>
        </w:rPr>
        <w:t xml:space="preserve">, A. O., </w:t>
      </w:r>
      <w:proofErr w:type="spellStart"/>
      <w:r w:rsidRPr="00BD0BD5">
        <w:rPr>
          <w:rFonts w:ascii="Times New Roman" w:hAnsi="Times New Roman" w:cs="Times New Roman"/>
        </w:rPr>
        <w:t>Olorunfemi</w:t>
      </w:r>
      <w:proofErr w:type="spellEnd"/>
      <w:r w:rsidRPr="00BD0BD5">
        <w:rPr>
          <w:rFonts w:ascii="Times New Roman" w:hAnsi="Times New Roman" w:cs="Times New Roman"/>
        </w:rPr>
        <w:t xml:space="preserve">, G., &amp; </w:t>
      </w:r>
      <w:proofErr w:type="spellStart"/>
      <w:r w:rsidRPr="00BD0BD5">
        <w:rPr>
          <w:rFonts w:ascii="Times New Roman" w:hAnsi="Times New Roman" w:cs="Times New Roman"/>
        </w:rPr>
        <w:t>Okojie</w:t>
      </w:r>
      <w:proofErr w:type="spellEnd"/>
      <w:r w:rsidRPr="00BD0BD5">
        <w:rPr>
          <w:rFonts w:ascii="Times New Roman" w:hAnsi="Times New Roman" w:cs="Times New Roman"/>
        </w:rPr>
        <w:t xml:space="preserve">, O. (2020). Ectopic pregnancy at the Lagos University Teaching Hospital, Lagos, South-Western Nigeria: Temporal trends, clinical presentation and management outcomes from 2005 to 2014. Nigerian Postgraduate Medical Journal, 27(3), 177–183. </w:t>
      </w:r>
      <w:hyperlink r:id="rId13" w:history="1">
        <w:r w:rsidRPr="00BD0BD5">
          <w:rPr>
            <w:rStyle w:val="Hyperlink"/>
            <w:rFonts w:ascii="Times New Roman" w:hAnsi="Times New Roman" w:cs="Times New Roman"/>
          </w:rPr>
          <w:t>https://doi.org/10.4103/npmj.npmj_35_20</w:t>
        </w:r>
      </w:hyperlink>
      <w:r w:rsidRPr="00BD0BD5">
        <w:rPr>
          <w:rFonts w:ascii="Times New Roman" w:hAnsi="Times New Roman" w:cs="Times New Roman"/>
        </w:rPr>
        <w:t xml:space="preserve"> </w:t>
      </w:r>
    </w:p>
    <w:p w14:paraId="162D2D55" w14:textId="238DD544" w:rsidR="00D240F8" w:rsidRPr="00A17865" w:rsidRDefault="00955F3F" w:rsidP="00BD0BD5">
      <w:pPr>
        <w:pStyle w:val="NormalWeb"/>
        <w:spacing w:after="160" w:afterAutospacing="0"/>
        <w:jc w:val="both"/>
        <w:rPr>
          <w:sz w:val="22"/>
          <w:szCs w:val="22"/>
        </w:rPr>
      </w:pPr>
      <w:proofErr w:type="spellStart"/>
      <w:r w:rsidRPr="00955F3F">
        <w:rPr>
          <w:sz w:val="22"/>
          <w:szCs w:val="22"/>
        </w:rPr>
        <w:t>Onyemereze</w:t>
      </w:r>
      <w:proofErr w:type="spellEnd"/>
      <w:r w:rsidRPr="00955F3F">
        <w:rPr>
          <w:sz w:val="22"/>
          <w:szCs w:val="22"/>
        </w:rPr>
        <w:t xml:space="preserve">, C. O., </w:t>
      </w:r>
      <w:proofErr w:type="spellStart"/>
      <w:r w:rsidRPr="00955F3F">
        <w:rPr>
          <w:sz w:val="22"/>
          <w:szCs w:val="22"/>
        </w:rPr>
        <w:t>Alumona</w:t>
      </w:r>
      <w:proofErr w:type="spellEnd"/>
      <w:r w:rsidRPr="00955F3F">
        <w:rPr>
          <w:sz w:val="22"/>
          <w:szCs w:val="22"/>
        </w:rPr>
        <w:t xml:space="preserve">, F. C., Adesina, O. O., </w:t>
      </w:r>
      <w:proofErr w:type="spellStart"/>
      <w:r w:rsidRPr="00955F3F">
        <w:rPr>
          <w:sz w:val="22"/>
          <w:szCs w:val="22"/>
        </w:rPr>
        <w:t>Mba</w:t>
      </w:r>
      <w:proofErr w:type="spellEnd"/>
      <w:r w:rsidRPr="00955F3F">
        <w:rPr>
          <w:sz w:val="22"/>
          <w:szCs w:val="22"/>
        </w:rPr>
        <w:t xml:space="preserve">, K. K., </w:t>
      </w:r>
      <w:proofErr w:type="spellStart"/>
      <w:r w:rsidRPr="00955F3F">
        <w:rPr>
          <w:sz w:val="22"/>
          <w:szCs w:val="22"/>
        </w:rPr>
        <w:t>Mba</w:t>
      </w:r>
      <w:proofErr w:type="spellEnd"/>
      <w:r w:rsidRPr="00955F3F">
        <w:rPr>
          <w:sz w:val="22"/>
          <w:szCs w:val="22"/>
        </w:rPr>
        <w:t xml:space="preserve">, C. J., </w:t>
      </w:r>
      <w:proofErr w:type="spellStart"/>
      <w:r w:rsidRPr="00955F3F">
        <w:rPr>
          <w:sz w:val="22"/>
          <w:szCs w:val="22"/>
        </w:rPr>
        <w:t>Ezirim</w:t>
      </w:r>
      <w:proofErr w:type="spellEnd"/>
      <w:r w:rsidRPr="00955F3F">
        <w:rPr>
          <w:sz w:val="22"/>
          <w:szCs w:val="22"/>
        </w:rPr>
        <w:t xml:space="preserve">, E. O., </w:t>
      </w:r>
      <w:proofErr w:type="spellStart"/>
      <w:r w:rsidRPr="00955F3F">
        <w:rPr>
          <w:sz w:val="22"/>
          <w:szCs w:val="22"/>
        </w:rPr>
        <w:t>Akwuruoha</w:t>
      </w:r>
      <w:proofErr w:type="spellEnd"/>
      <w:r w:rsidRPr="00955F3F">
        <w:rPr>
          <w:sz w:val="22"/>
          <w:szCs w:val="22"/>
        </w:rPr>
        <w:t xml:space="preserve">, E. M., </w:t>
      </w:r>
      <w:proofErr w:type="spellStart"/>
      <w:r w:rsidRPr="00955F3F">
        <w:rPr>
          <w:sz w:val="22"/>
          <w:szCs w:val="22"/>
        </w:rPr>
        <w:t>Abali</w:t>
      </w:r>
      <w:proofErr w:type="spellEnd"/>
      <w:r w:rsidRPr="00955F3F">
        <w:rPr>
          <w:sz w:val="22"/>
          <w:szCs w:val="22"/>
        </w:rPr>
        <w:t xml:space="preserve">, I. O., &amp; Airaodion, A. I. (2024). Assessment of risk factors associated with placenta previa in a tertiary health institution in Southeast Nigeria. Journal of Obstetrics Gynecology and Reproductive Sciences, 8(7). </w:t>
      </w:r>
      <w:hyperlink r:id="rId14" w:history="1">
        <w:r w:rsidRPr="0053487D">
          <w:rPr>
            <w:rStyle w:val="Hyperlink"/>
            <w:sz w:val="22"/>
            <w:szCs w:val="22"/>
          </w:rPr>
          <w:t>https://doi.org/10.31579/2578-8965/238</w:t>
        </w:r>
      </w:hyperlink>
      <w:r>
        <w:rPr>
          <w:sz w:val="22"/>
          <w:szCs w:val="22"/>
        </w:rPr>
        <w:t xml:space="preserve"> </w:t>
      </w:r>
    </w:p>
    <w:p w14:paraId="5E30CC80" w14:textId="6CD87C93" w:rsidR="00D240F8" w:rsidRPr="00BD0BD5" w:rsidRDefault="00A4243C" w:rsidP="00BD0BD5">
      <w:pPr>
        <w:jc w:val="both"/>
        <w:rPr>
          <w:rFonts w:ascii="Times New Roman" w:hAnsi="Times New Roman" w:cs="Times New Roman"/>
        </w:rPr>
      </w:pPr>
      <w:proofErr w:type="spellStart"/>
      <w:r w:rsidRPr="00BD0BD5">
        <w:rPr>
          <w:rFonts w:ascii="Times New Roman" w:hAnsi="Times New Roman" w:cs="Times New Roman"/>
        </w:rPr>
        <w:t>Osegi</w:t>
      </w:r>
      <w:proofErr w:type="spellEnd"/>
      <w:r w:rsidRPr="00BD0BD5">
        <w:rPr>
          <w:rFonts w:ascii="Times New Roman" w:hAnsi="Times New Roman" w:cs="Times New Roman"/>
        </w:rPr>
        <w:t xml:space="preserve">, N., </w:t>
      </w:r>
      <w:proofErr w:type="spellStart"/>
      <w:r w:rsidRPr="00BD0BD5">
        <w:rPr>
          <w:rFonts w:ascii="Times New Roman" w:hAnsi="Times New Roman" w:cs="Times New Roman"/>
        </w:rPr>
        <w:t>Omietimi</w:t>
      </w:r>
      <w:proofErr w:type="spellEnd"/>
      <w:r w:rsidRPr="00BD0BD5">
        <w:rPr>
          <w:rFonts w:ascii="Times New Roman" w:hAnsi="Times New Roman" w:cs="Times New Roman"/>
        </w:rPr>
        <w:t xml:space="preserve">, J., </w:t>
      </w:r>
      <w:proofErr w:type="spellStart"/>
      <w:r w:rsidRPr="00BD0BD5">
        <w:rPr>
          <w:rFonts w:ascii="Times New Roman" w:hAnsi="Times New Roman" w:cs="Times New Roman"/>
        </w:rPr>
        <w:t>Obagah</w:t>
      </w:r>
      <w:proofErr w:type="spellEnd"/>
      <w:r w:rsidRPr="00BD0BD5">
        <w:rPr>
          <w:rFonts w:ascii="Times New Roman" w:hAnsi="Times New Roman" w:cs="Times New Roman"/>
        </w:rPr>
        <w:t xml:space="preserve">, L., Okpara, L., &amp; </w:t>
      </w:r>
      <w:proofErr w:type="spellStart"/>
      <w:r w:rsidRPr="00BD0BD5">
        <w:rPr>
          <w:rFonts w:ascii="Times New Roman" w:hAnsi="Times New Roman" w:cs="Times New Roman"/>
        </w:rPr>
        <w:t>Dambo</w:t>
      </w:r>
      <w:proofErr w:type="spellEnd"/>
      <w:r w:rsidRPr="00BD0BD5">
        <w:rPr>
          <w:rFonts w:ascii="Times New Roman" w:hAnsi="Times New Roman" w:cs="Times New Roman"/>
        </w:rPr>
        <w:t xml:space="preserve">, N. (2020). Ectopic Pregnancy: A 10 Year Review in a Tertiary Hospital in South-South, Nigeria. International Journal of Research and Reports in </w:t>
      </w:r>
      <w:proofErr w:type="spellStart"/>
      <w:r w:rsidRPr="00BD0BD5">
        <w:rPr>
          <w:rFonts w:ascii="Times New Roman" w:hAnsi="Times New Roman" w:cs="Times New Roman"/>
        </w:rPr>
        <w:t>Gynaecology</w:t>
      </w:r>
      <w:proofErr w:type="spellEnd"/>
      <w:r w:rsidRPr="00BD0BD5">
        <w:rPr>
          <w:rFonts w:ascii="Times New Roman" w:hAnsi="Times New Roman" w:cs="Times New Roman"/>
        </w:rPr>
        <w:t xml:space="preserve">, 3(1), 83–88. </w:t>
      </w:r>
      <w:hyperlink r:id="rId15" w:history="1">
        <w:r w:rsidRPr="00BD0BD5">
          <w:rPr>
            <w:rStyle w:val="Hyperlink"/>
            <w:rFonts w:ascii="Times New Roman" w:hAnsi="Times New Roman" w:cs="Times New Roman"/>
          </w:rPr>
          <w:t>https://journalijrrgy.com/index.php/IJRRGY/article/view/32</w:t>
        </w:r>
      </w:hyperlink>
      <w:r w:rsidRPr="00BD0BD5">
        <w:rPr>
          <w:rFonts w:ascii="Times New Roman" w:hAnsi="Times New Roman" w:cs="Times New Roman"/>
        </w:rPr>
        <w:t xml:space="preserve"> </w:t>
      </w:r>
    </w:p>
    <w:p w14:paraId="1122344D" w14:textId="4EB261E3" w:rsidR="00D240F8" w:rsidRPr="00BD0BD5" w:rsidRDefault="00423676"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lastRenderedPageBreak/>
        <w:t xml:space="preserve">Roro, M. A., </w:t>
      </w:r>
      <w:proofErr w:type="spellStart"/>
      <w:r w:rsidRPr="00BD0BD5">
        <w:rPr>
          <w:rFonts w:ascii="Times New Roman" w:hAnsi="Times New Roman" w:cs="Times New Roman"/>
          <w:color w:val="1B1B1B"/>
          <w:shd w:val="clear" w:color="auto" w:fill="FFFFFF"/>
        </w:rPr>
        <w:t>Aredo</w:t>
      </w:r>
      <w:proofErr w:type="spellEnd"/>
      <w:r w:rsidRPr="00BD0BD5">
        <w:rPr>
          <w:rFonts w:ascii="Times New Roman" w:hAnsi="Times New Roman" w:cs="Times New Roman"/>
          <w:color w:val="1B1B1B"/>
          <w:shd w:val="clear" w:color="auto" w:fill="FFFFFF"/>
        </w:rPr>
        <w:t xml:space="preserve">, A. D., Kebede, T., &amp; </w:t>
      </w:r>
      <w:proofErr w:type="spellStart"/>
      <w:r w:rsidRPr="00BD0BD5">
        <w:rPr>
          <w:rFonts w:ascii="Times New Roman" w:hAnsi="Times New Roman" w:cs="Times New Roman"/>
          <w:color w:val="1B1B1B"/>
          <w:shd w:val="clear" w:color="auto" w:fill="FFFFFF"/>
        </w:rPr>
        <w:t>Estifanos</w:t>
      </w:r>
      <w:proofErr w:type="spellEnd"/>
      <w:r w:rsidRPr="00BD0BD5">
        <w:rPr>
          <w:rFonts w:ascii="Times New Roman" w:hAnsi="Times New Roman" w:cs="Times New Roman"/>
          <w:color w:val="1B1B1B"/>
          <w:shd w:val="clear" w:color="auto" w:fill="FFFFFF"/>
        </w:rPr>
        <w:t xml:space="preserve">, A. S. (2022). Enablers and barriers to introduction of obstetrics ultrasound service at primary care facilities in a resource-limited setting: a qualitative study in four regions of Ethiopia. BMC Pregnancy and Childbirth, 22(1), 278. </w:t>
      </w:r>
      <w:hyperlink r:id="rId16" w:history="1">
        <w:r w:rsidRPr="00BD0BD5">
          <w:rPr>
            <w:rStyle w:val="Hyperlink"/>
            <w:rFonts w:ascii="Times New Roman" w:hAnsi="Times New Roman" w:cs="Times New Roman"/>
            <w:shd w:val="clear" w:color="auto" w:fill="FFFFFF"/>
          </w:rPr>
          <w:t>https://doi.org/10.1186/s12884-022-04609-y</w:t>
        </w:r>
      </w:hyperlink>
      <w:r w:rsidRPr="00BD0BD5">
        <w:rPr>
          <w:rFonts w:ascii="Times New Roman" w:hAnsi="Times New Roman" w:cs="Times New Roman"/>
          <w:color w:val="1B1B1B"/>
          <w:shd w:val="clear" w:color="auto" w:fill="FFFFFF"/>
        </w:rPr>
        <w:t xml:space="preserve"> </w:t>
      </w:r>
    </w:p>
    <w:p w14:paraId="683D33BB" w14:textId="1BD767C7" w:rsidR="00D240F8" w:rsidRPr="00BD0BD5" w:rsidRDefault="003A77B2" w:rsidP="00BD0BD5">
      <w:pPr>
        <w:spacing w:line="240" w:lineRule="auto"/>
        <w:jc w:val="both"/>
        <w:rPr>
          <w:rFonts w:ascii="Times New Roman" w:eastAsia="Times New Roman" w:hAnsi="Times New Roman" w:cs="Times New Roman"/>
        </w:rPr>
      </w:pPr>
      <w:proofErr w:type="spellStart"/>
      <w:r w:rsidRPr="00BD0BD5">
        <w:rPr>
          <w:rFonts w:ascii="Times New Roman" w:hAnsi="Times New Roman" w:cs="Times New Roman"/>
          <w:color w:val="1B1B1B"/>
          <w:shd w:val="clear" w:color="auto" w:fill="FFFFFF"/>
        </w:rPr>
        <w:t>Sefogah</w:t>
      </w:r>
      <w:proofErr w:type="spellEnd"/>
      <w:r w:rsidRPr="00BD0BD5">
        <w:rPr>
          <w:rFonts w:ascii="Times New Roman" w:hAnsi="Times New Roman" w:cs="Times New Roman"/>
          <w:color w:val="1B1B1B"/>
          <w:shd w:val="clear" w:color="auto" w:fill="FFFFFF"/>
        </w:rPr>
        <w:t xml:space="preserve">, P. E., Oduro, N. E., </w:t>
      </w:r>
      <w:proofErr w:type="spellStart"/>
      <w:r w:rsidRPr="00BD0BD5">
        <w:rPr>
          <w:rFonts w:ascii="Times New Roman" w:hAnsi="Times New Roman" w:cs="Times New Roman"/>
          <w:color w:val="1B1B1B"/>
          <w:shd w:val="clear" w:color="auto" w:fill="FFFFFF"/>
        </w:rPr>
        <w:t>Swarray-Deen</w:t>
      </w:r>
      <w:proofErr w:type="spellEnd"/>
      <w:r w:rsidRPr="00BD0BD5">
        <w:rPr>
          <w:rFonts w:ascii="Times New Roman" w:hAnsi="Times New Roman" w:cs="Times New Roman"/>
          <w:color w:val="1B1B1B"/>
          <w:shd w:val="clear" w:color="auto" w:fill="FFFFFF"/>
        </w:rPr>
        <w:t xml:space="preserve">, A., </w:t>
      </w:r>
      <w:proofErr w:type="spellStart"/>
      <w:r w:rsidRPr="00BD0BD5">
        <w:rPr>
          <w:rFonts w:ascii="Times New Roman" w:hAnsi="Times New Roman" w:cs="Times New Roman"/>
          <w:color w:val="1B1B1B"/>
          <w:shd w:val="clear" w:color="auto" w:fill="FFFFFF"/>
        </w:rPr>
        <w:t>Nuamah</w:t>
      </w:r>
      <w:proofErr w:type="spellEnd"/>
      <w:r w:rsidRPr="00BD0BD5">
        <w:rPr>
          <w:rFonts w:ascii="Times New Roman" w:hAnsi="Times New Roman" w:cs="Times New Roman"/>
          <w:color w:val="1B1B1B"/>
          <w:shd w:val="clear" w:color="auto" w:fill="FFFFFF"/>
        </w:rPr>
        <w:t xml:space="preserve">, H. G., </w:t>
      </w:r>
      <w:proofErr w:type="spellStart"/>
      <w:r w:rsidRPr="00BD0BD5">
        <w:rPr>
          <w:rFonts w:ascii="Times New Roman" w:hAnsi="Times New Roman" w:cs="Times New Roman"/>
          <w:color w:val="1B1B1B"/>
          <w:shd w:val="clear" w:color="auto" w:fill="FFFFFF"/>
        </w:rPr>
        <w:t>Takyi</w:t>
      </w:r>
      <w:proofErr w:type="spellEnd"/>
      <w:r w:rsidRPr="00BD0BD5">
        <w:rPr>
          <w:rFonts w:ascii="Times New Roman" w:hAnsi="Times New Roman" w:cs="Times New Roman"/>
          <w:color w:val="1B1B1B"/>
          <w:shd w:val="clear" w:color="auto" w:fill="FFFFFF"/>
        </w:rPr>
        <w:t xml:space="preserve">, R. B., </w:t>
      </w:r>
      <w:proofErr w:type="spellStart"/>
      <w:r w:rsidRPr="00BD0BD5">
        <w:rPr>
          <w:rFonts w:ascii="Times New Roman" w:hAnsi="Times New Roman" w:cs="Times New Roman"/>
          <w:color w:val="1B1B1B"/>
          <w:shd w:val="clear" w:color="auto" w:fill="FFFFFF"/>
        </w:rPr>
        <w:t>Nuamah</w:t>
      </w:r>
      <w:proofErr w:type="spellEnd"/>
      <w:r w:rsidRPr="00BD0BD5">
        <w:rPr>
          <w:rFonts w:ascii="Times New Roman" w:hAnsi="Times New Roman" w:cs="Times New Roman"/>
          <w:color w:val="1B1B1B"/>
          <w:shd w:val="clear" w:color="auto" w:fill="FFFFFF"/>
        </w:rPr>
        <w:t xml:space="preserve">, M. A., &amp; Oppong, S. A. (2022). Factors Associated with Ruptured Ectopic Pregnancy: A 10-Year Review at a District Hospital in Ghana. Obstetrics and </w:t>
      </w:r>
      <w:proofErr w:type="spellStart"/>
      <w:r w:rsidRPr="00BD0BD5">
        <w:rPr>
          <w:rFonts w:ascii="Times New Roman" w:hAnsi="Times New Roman" w:cs="Times New Roman"/>
          <w:color w:val="1B1B1B"/>
          <w:shd w:val="clear" w:color="auto" w:fill="FFFFFF"/>
        </w:rPr>
        <w:t>Gynaecology</w:t>
      </w:r>
      <w:proofErr w:type="spellEnd"/>
      <w:r w:rsidRPr="00BD0BD5">
        <w:rPr>
          <w:rFonts w:ascii="Times New Roman" w:hAnsi="Times New Roman" w:cs="Times New Roman"/>
          <w:color w:val="1B1B1B"/>
          <w:shd w:val="clear" w:color="auto" w:fill="FFFFFF"/>
        </w:rPr>
        <w:t xml:space="preserve"> International, 2022, 1491419. </w:t>
      </w:r>
      <w:hyperlink r:id="rId17" w:history="1">
        <w:r w:rsidRPr="00BD0BD5">
          <w:rPr>
            <w:rStyle w:val="Hyperlink"/>
            <w:rFonts w:ascii="Times New Roman" w:hAnsi="Times New Roman" w:cs="Times New Roman"/>
            <w:shd w:val="clear" w:color="auto" w:fill="FFFFFF"/>
          </w:rPr>
          <w:t>https://doi.org/10.1155/2022/1491419</w:t>
        </w:r>
      </w:hyperlink>
      <w:r w:rsidRPr="00BD0BD5">
        <w:rPr>
          <w:rFonts w:ascii="Times New Roman" w:hAnsi="Times New Roman" w:cs="Times New Roman"/>
          <w:color w:val="1B1B1B"/>
          <w:shd w:val="clear" w:color="auto" w:fill="FFFFFF"/>
        </w:rPr>
        <w:t xml:space="preserve"> </w:t>
      </w:r>
    </w:p>
    <w:p w14:paraId="0EF66AE6" w14:textId="3A41A88F" w:rsidR="00D240F8" w:rsidRPr="00BD0BD5" w:rsidRDefault="00AE5B8D" w:rsidP="00BD0BD5">
      <w:pPr>
        <w:spacing w:line="240" w:lineRule="auto"/>
        <w:jc w:val="both"/>
        <w:rPr>
          <w:rFonts w:ascii="Times New Roman" w:hAnsi="Times New Roman" w:cs="Times New Roman"/>
          <w:color w:val="1B1B1B"/>
          <w:shd w:val="clear" w:color="auto" w:fill="FFFFFF"/>
        </w:rPr>
      </w:pPr>
      <w:r w:rsidRPr="00BD0BD5">
        <w:rPr>
          <w:rFonts w:ascii="Times New Roman" w:hAnsi="Times New Roman" w:cs="Times New Roman"/>
          <w:color w:val="1B1B1B"/>
          <w:shd w:val="clear" w:color="auto" w:fill="FFFFFF"/>
        </w:rPr>
        <w:t xml:space="preserve">Shetty, V. H., Gowda, S., &amp; </w:t>
      </w:r>
      <w:proofErr w:type="spellStart"/>
      <w:r w:rsidRPr="00BD0BD5">
        <w:rPr>
          <w:rFonts w:ascii="Times New Roman" w:hAnsi="Times New Roman" w:cs="Times New Roman"/>
          <w:color w:val="1B1B1B"/>
          <w:shd w:val="clear" w:color="auto" w:fill="FFFFFF"/>
        </w:rPr>
        <w:t>Muralidhar</w:t>
      </w:r>
      <w:proofErr w:type="spellEnd"/>
      <w:r w:rsidRPr="00BD0BD5">
        <w:rPr>
          <w:rFonts w:ascii="Times New Roman" w:hAnsi="Times New Roman" w:cs="Times New Roman"/>
          <w:color w:val="1B1B1B"/>
          <w:shd w:val="clear" w:color="auto" w:fill="FFFFFF"/>
        </w:rPr>
        <w:t xml:space="preserve">, L. (2014). Role of ultrasonography in the diagnosis of ectopic pregnancy with clinical analysis and management in a tertiary care hospital. Journal of obstetrics and </w:t>
      </w:r>
      <w:proofErr w:type="spellStart"/>
      <w:r w:rsidRPr="00BD0BD5">
        <w:rPr>
          <w:rFonts w:ascii="Times New Roman" w:hAnsi="Times New Roman" w:cs="Times New Roman"/>
          <w:color w:val="1B1B1B"/>
          <w:shd w:val="clear" w:color="auto" w:fill="FFFFFF"/>
        </w:rPr>
        <w:t>gynaecology</w:t>
      </w:r>
      <w:proofErr w:type="spellEnd"/>
      <w:r w:rsidRPr="00BD0BD5">
        <w:rPr>
          <w:rFonts w:ascii="Times New Roman" w:hAnsi="Times New Roman" w:cs="Times New Roman"/>
          <w:color w:val="1B1B1B"/>
          <w:shd w:val="clear" w:color="auto" w:fill="FFFFFF"/>
        </w:rPr>
        <w:t xml:space="preserve"> of India, 64(5), 354–357. </w:t>
      </w:r>
      <w:hyperlink r:id="rId18" w:history="1">
        <w:r w:rsidRPr="00BD0BD5">
          <w:rPr>
            <w:rStyle w:val="Hyperlink"/>
            <w:rFonts w:ascii="Times New Roman" w:hAnsi="Times New Roman" w:cs="Times New Roman"/>
            <w:shd w:val="clear" w:color="auto" w:fill="FFFFFF"/>
          </w:rPr>
          <w:t>https://doi.org/10.1007/s13224-014-0529-0</w:t>
        </w:r>
      </w:hyperlink>
      <w:r w:rsidRPr="00BD0BD5">
        <w:rPr>
          <w:rFonts w:ascii="Times New Roman" w:hAnsi="Times New Roman" w:cs="Times New Roman"/>
          <w:color w:val="1B1B1B"/>
          <w:shd w:val="clear" w:color="auto" w:fill="FFFFFF"/>
        </w:rPr>
        <w:t xml:space="preserve"> </w:t>
      </w:r>
    </w:p>
    <w:p w14:paraId="1E6FA47E" w14:textId="26452061" w:rsidR="00D240F8" w:rsidRPr="00BD0BD5" w:rsidRDefault="00B40882" w:rsidP="00BD0BD5">
      <w:pPr>
        <w:spacing w:line="240" w:lineRule="auto"/>
        <w:jc w:val="both"/>
        <w:rPr>
          <w:rFonts w:ascii="Times New Roman" w:eastAsia="Times New Roman" w:hAnsi="Times New Roman" w:cs="Times New Roman"/>
        </w:rPr>
      </w:pPr>
      <w:r w:rsidRPr="00BD0BD5">
        <w:rPr>
          <w:rFonts w:ascii="Times New Roman" w:hAnsi="Times New Roman" w:cs="Times New Roman"/>
        </w:rPr>
        <w:t xml:space="preserve">Shittu, A. M., </w:t>
      </w:r>
      <w:proofErr w:type="spellStart"/>
      <w:r w:rsidRPr="00BD0BD5">
        <w:rPr>
          <w:rFonts w:ascii="Times New Roman" w:hAnsi="Times New Roman" w:cs="Times New Roman"/>
        </w:rPr>
        <w:t>Olaoye</w:t>
      </w:r>
      <w:proofErr w:type="spellEnd"/>
      <w:r w:rsidRPr="00BD0BD5">
        <w:rPr>
          <w:rFonts w:ascii="Times New Roman" w:hAnsi="Times New Roman" w:cs="Times New Roman"/>
        </w:rPr>
        <w:t xml:space="preserve">, S. O., </w:t>
      </w:r>
      <w:proofErr w:type="spellStart"/>
      <w:r w:rsidRPr="00BD0BD5">
        <w:rPr>
          <w:rFonts w:ascii="Times New Roman" w:hAnsi="Times New Roman" w:cs="Times New Roman"/>
        </w:rPr>
        <w:t>Aremu-Kasumu</w:t>
      </w:r>
      <w:proofErr w:type="spellEnd"/>
      <w:r w:rsidRPr="00BD0BD5">
        <w:rPr>
          <w:rFonts w:ascii="Times New Roman" w:hAnsi="Times New Roman" w:cs="Times New Roman"/>
        </w:rPr>
        <w:t xml:space="preserve">, T. B., &amp; </w:t>
      </w:r>
      <w:proofErr w:type="spellStart"/>
      <w:r w:rsidRPr="00BD0BD5">
        <w:rPr>
          <w:rFonts w:ascii="Times New Roman" w:hAnsi="Times New Roman" w:cs="Times New Roman"/>
        </w:rPr>
        <w:t>Fasanu</w:t>
      </w:r>
      <w:proofErr w:type="spellEnd"/>
      <w:r w:rsidRPr="00BD0BD5">
        <w:rPr>
          <w:rFonts w:ascii="Times New Roman" w:hAnsi="Times New Roman" w:cs="Times New Roman"/>
        </w:rPr>
        <w:t xml:space="preserve">, O. T. (2025). Ectopic pregnancy: A review of prevalence, clinical presentation and outcome in Gusau, Northwest, Nigeria. Ibom Medical Journal, 18, 40-44. </w:t>
      </w:r>
      <w:hyperlink r:id="rId19" w:history="1">
        <w:r w:rsidRPr="00BD0BD5">
          <w:rPr>
            <w:rStyle w:val="Hyperlink"/>
            <w:rFonts w:ascii="Times New Roman" w:hAnsi="Times New Roman" w:cs="Times New Roman"/>
          </w:rPr>
          <w:t>https://doi.org/10.61386/imj.v18i1.588</w:t>
        </w:r>
      </w:hyperlink>
      <w:r w:rsidRPr="00BD0BD5">
        <w:rPr>
          <w:rFonts w:ascii="Times New Roman" w:hAnsi="Times New Roman" w:cs="Times New Roman"/>
        </w:rPr>
        <w:t xml:space="preserve"> </w:t>
      </w:r>
    </w:p>
    <w:p w14:paraId="3C062C52" w14:textId="5F63F919" w:rsidR="00D240F8" w:rsidRPr="00BD0BD5" w:rsidRDefault="00195FE0" w:rsidP="00BD0BD5">
      <w:pPr>
        <w:spacing w:line="240" w:lineRule="auto"/>
        <w:jc w:val="both"/>
        <w:rPr>
          <w:rFonts w:ascii="Times New Roman" w:eastAsia="Times New Roman" w:hAnsi="Times New Roman" w:cs="Times New Roman"/>
        </w:rPr>
      </w:pPr>
      <w:r w:rsidRPr="00BD0BD5">
        <w:rPr>
          <w:rFonts w:ascii="Times New Roman" w:hAnsi="Times New Roman" w:cs="Times New Roman"/>
        </w:rPr>
        <w:t xml:space="preserve">Stewart, K. A., Navarro, S. M., </w:t>
      </w:r>
      <w:proofErr w:type="spellStart"/>
      <w:r w:rsidRPr="00BD0BD5">
        <w:rPr>
          <w:rFonts w:ascii="Times New Roman" w:hAnsi="Times New Roman" w:cs="Times New Roman"/>
        </w:rPr>
        <w:t>Kambala</w:t>
      </w:r>
      <w:proofErr w:type="spellEnd"/>
      <w:r w:rsidRPr="00BD0BD5">
        <w:rPr>
          <w:rFonts w:ascii="Times New Roman" w:hAnsi="Times New Roman" w:cs="Times New Roman"/>
        </w:rPr>
        <w:t xml:space="preserve">, S., Tan, G., </w:t>
      </w:r>
      <w:proofErr w:type="spellStart"/>
      <w:r w:rsidRPr="00BD0BD5">
        <w:rPr>
          <w:rFonts w:ascii="Times New Roman" w:hAnsi="Times New Roman" w:cs="Times New Roman"/>
        </w:rPr>
        <w:t>Poondla</w:t>
      </w:r>
      <w:proofErr w:type="spellEnd"/>
      <w:r w:rsidRPr="00BD0BD5">
        <w:rPr>
          <w:rFonts w:ascii="Times New Roman" w:hAnsi="Times New Roman" w:cs="Times New Roman"/>
        </w:rPr>
        <w:t xml:space="preserve">, R., Lederman, S., Barbour, K., &amp; </w:t>
      </w:r>
      <w:proofErr w:type="spellStart"/>
      <w:r w:rsidRPr="00BD0BD5">
        <w:rPr>
          <w:rFonts w:ascii="Times New Roman" w:hAnsi="Times New Roman" w:cs="Times New Roman"/>
        </w:rPr>
        <w:t>Lavy</w:t>
      </w:r>
      <w:proofErr w:type="spellEnd"/>
      <w:r w:rsidRPr="00BD0BD5">
        <w:rPr>
          <w:rFonts w:ascii="Times New Roman" w:hAnsi="Times New Roman" w:cs="Times New Roman"/>
        </w:rPr>
        <w:t xml:space="preserve">, C. (2020). Trends in ultrasound use in </w:t>
      </w:r>
      <w:proofErr w:type="gramStart"/>
      <w:r w:rsidRPr="00BD0BD5">
        <w:rPr>
          <w:rFonts w:ascii="Times New Roman" w:hAnsi="Times New Roman" w:cs="Times New Roman"/>
        </w:rPr>
        <w:t>low and middle income</w:t>
      </w:r>
      <w:proofErr w:type="gramEnd"/>
      <w:r w:rsidRPr="00BD0BD5">
        <w:rPr>
          <w:rFonts w:ascii="Times New Roman" w:hAnsi="Times New Roman" w:cs="Times New Roman"/>
        </w:rPr>
        <w:t xml:space="preserve"> countries: A systematic review. International Journal of Maternal and Child Health and AIDS, 9(1), 103-120. </w:t>
      </w:r>
      <w:hyperlink r:id="rId20" w:history="1">
        <w:r w:rsidRPr="00BD0BD5">
          <w:rPr>
            <w:rStyle w:val="Hyperlink"/>
            <w:rFonts w:ascii="Times New Roman" w:hAnsi="Times New Roman" w:cs="Times New Roman"/>
          </w:rPr>
          <w:t>https://doi.org/10.21106/ijma.294</w:t>
        </w:r>
      </w:hyperlink>
      <w:r w:rsidRPr="00BD0BD5">
        <w:rPr>
          <w:rFonts w:ascii="Times New Roman" w:hAnsi="Times New Roman" w:cs="Times New Roman"/>
        </w:rPr>
        <w:t xml:space="preserve"> </w:t>
      </w:r>
    </w:p>
    <w:p w14:paraId="53DF289E" w14:textId="5BEC39EB" w:rsidR="00D240F8" w:rsidRPr="00BD0BD5" w:rsidRDefault="00DE75E1" w:rsidP="00BD0BD5">
      <w:pPr>
        <w:spacing w:line="240" w:lineRule="auto"/>
        <w:jc w:val="both"/>
        <w:rPr>
          <w:rFonts w:ascii="Times New Roman" w:eastAsia="Times New Roman" w:hAnsi="Times New Roman" w:cs="Times New Roman"/>
        </w:rPr>
      </w:pPr>
      <w:r w:rsidRPr="00BD0BD5">
        <w:rPr>
          <w:rFonts w:ascii="Times New Roman" w:eastAsia="Times New Roman" w:hAnsi="Times New Roman" w:cs="Times New Roman"/>
        </w:rPr>
        <w:t xml:space="preserve">Verhaeghe, C., </w:t>
      </w:r>
      <w:proofErr w:type="spellStart"/>
      <w:r w:rsidRPr="00BD0BD5">
        <w:rPr>
          <w:rFonts w:ascii="Times New Roman" w:eastAsia="Times New Roman" w:hAnsi="Times New Roman" w:cs="Times New Roman"/>
        </w:rPr>
        <w:t>Gicquel</w:t>
      </w:r>
      <w:proofErr w:type="spellEnd"/>
      <w:r w:rsidRPr="00BD0BD5">
        <w:rPr>
          <w:rFonts w:ascii="Times New Roman" w:eastAsia="Times New Roman" w:hAnsi="Times New Roman" w:cs="Times New Roman"/>
        </w:rPr>
        <w:t xml:space="preserve">, M., </w:t>
      </w:r>
      <w:proofErr w:type="spellStart"/>
      <w:r w:rsidRPr="00BD0BD5">
        <w:rPr>
          <w:rFonts w:ascii="Times New Roman" w:eastAsia="Times New Roman" w:hAnsi="Times New Roman" w:cs="Times New Roman"/>
        </w:rPr>
        <w:t>Bouet</w:t>
      </w:r>
      <w:proofErr w:type="spellEnd"/>
      <w:r w:rsidRPr="00BD0BD5">
        <w:rPr>
          <w:rFonts w:ascii="Times New Roman" w:eastAsia="Times New Roman" w:hAnsi="Times New Roman" w:cs="Times New Roman"/>
        </w:rPr>
        <w:t xml:space="preserve">, P. E., </w:t>
      </w:r>
      <w:proofErr w:type="spellStart"/>
      <w:r w:rsidRPr="00BD0BD5">
        <w:rPr>
          <w:rFonts w:ascii="Times New Roman" w:eastAsia="Times New Roman" w:hAnsi="Times New Roman" w:cs="Times New Roman"/>
        </w:rPr>
        <w:t>Corroenne</w:t>
      </w:r>
      <w:proofErr w:type="spellEnd"/>
      <w:r w:rsidRPr="00BD0BD5">
        <w:rPr>
          <w:rFonts w:ascii="Times New Roman" w:eastAsia="Times New Roman" w:hAnsi="Times New Roman" w:cs="Times New Roman"/>
        </w:rPr>
        <w:t xml:space="preserve">, R., Descamps, P., &amp; Legendre, G. (2020). Positive impact of simulation training of residents on the patients' psychological experience following pregnancy loss. Journal of Gynecology Obstetrics and Human Reproduction </w:t>
      </w:r>
      <w:hyperlink r:id="rId21" w:history="1">
        <w:r w:rsidRPr="00BD0BD5">
          <w:rPr>
            <w:rStyle w:val="Hyperlink"/>
            <w:rFonts w:ascii="Times New Roman" w:eastAsia="Times New Roman" w:hAnsi="Times New Roman" w:cs="Times New Roman"/>
          </w:rPr>
          <w:t>https://doi.org/10.1016/j.jogoh.2019.101650</w:t>
        </w:r>
      </w:hyperlink>
      <w:r w:rsidRPr="00BD0BD5">
        <w:rPr>
          <w:rFonts w:ascii="Times New Roman" w:eastAsia="Times New Roman" w:hAnsi="Times New Roman" w:cs="Times New Roman"/>
        </w:rPr>
        <w:t xml:space="preserve"> </w:t>
      </w:r>
    </w:p>
    <w:p w14:paraId="332625A4" w14:textId="77777777" w:rsidR="00D240F8" w:rsidRPr="00A17865" w:rsidRDefault="00D240F8" w:rsidP="00D240F8">
      <w:pPr>
        <w:spacing w:line="240" w:lineRule="auto"/>
        <w:jc w:val="both"/>
        <w:rPr>
          <w:rFonts w:ascii="Times New Roman" w:eastAsia="Times New Roman" w:hAnsi="Times New Roman" w:cs="Times New Roman"/>
        </w:rPr>
      </w:pPr>
    </w:p>
    <w:p w14:paraId="2D2A7DC8" w14:textId="77777777" w:rsidR="00D240F8" w:rsidRPr="00D240F8" w:rsidRDefault="00D240F8" w:rsidP="00D240F8">
      <w:pPr>
        <w:spacing w:line="360" w:lineRule="auto"/>
        <w:jc w:val="both"/>
        <w:rPr>
          <w:rFonts w:ascii="Times New Roman" w:hAnsi="Times New Roman" w:cs="Times New Roman"/>
          <w:sz w:val="24"/>
          <w:szCs w:val="24"/>
        </w:rPr>
      </w:pPr>
    </w:p>
    <w:sectPr w:rsidR="00D240F8" w:rsidRPr="00D240F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4FD1" w14:textId="77777777" w:rsidR="001613C3" w:rsidRDefault="001613C3" w:rsidP="00F06E00">
      <w:pPr>
        <w:spacing w:after="0" w:line="240" w:lineRule="auto"/>
      </w:pPr>
      <w:r>
        <w:separator/>
      </w:r>
    </w:p>
  </w:endnote>
  <w:endnote w:type="continuationSeparator" w:id="0">
    <w:p w14:paraId="01CFB491" w14:textId="77777777" w:rsidR="001613C3" w:rsidRDefault="001613C3" w:rsidP="00F0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B569" w14:textId="77777777" w:rsidR="00F06E00" w:rsidRDefault="00F0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C6B" w14:textId="77777777" w:rsidR="00F06E00" w:rsidRDefault="00F06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5E1F" w14:textId="77777777" w:rsidR="00F06E00" w:rsidRDefault="00F0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C5CB" w14:textId="77777777" w:rsidR="001613C3" w:rsidRDefault="001613C3" w:rsidP="00F06E00">
      <w:pPr>
        <w:spacing w:after="0" w:line="240" w:lineRule="auto"/>
      </w:pPr>
      <w:r>
        <w:separator/>
      </w:r>
    </w:p>
  </w:footnote>
  <w:footnote w:type="continuationSeparator" w:id="0">
    <w:p w14:paraId="02A6BC67" w14:textId="77777777" w:rsidR="001613C3" w:rsidRDefault="001613C3" w:rsidP="00F0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E33F" w14:textId="68899ADF" w:rsidR="00F06E00" w:rsidRDefault="001613C3">
    <w:pPr>
      <w:pStyle w:val="Header"/>
    </w:pPr>
    <w:r>
      <w:rPr>
        <w:noProof/>
      </w:rPr>
      <w:pict w14:anchorId="6ACA2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E1E7" w14:textId="4F483D45" w:rsidR="00F06E00" w:rsidRDefault="001613C3">
    <w:pPr>
      <w:pStyle w:val="Header"/>
    </w:pPr>
    <w:r>
      <w:rPr>
        <w:noProof/>
      </w:rPr>
      <w:pict w14:anchorId="54976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CB6D" w14:textId="48AFC044" w:rsidR="00F06E00" w:rsidRDefault="001613C3">
    <w:pPr>
      <w:pStyle w:val="Header"/>
    </w:pPr>
    <w:r>
      <w:rPr>
        <w:noProof/>
      </w:rPr>
      <w:pict w14:anchorId="1DB1C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9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0E2"/>
    <w:multiLevelType w:val="multilevel"/>
    <w:tmpl w:val="E260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B7D13"/>
    <w:multiLevelType w:val="multilevel"/>
    <w:tmpl w:val="2FD4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65623"/>
    <w:multiLevelType w:val="multilevel"/>
    <w:tmpl w:val="A56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14A8D"/>
    <w:multiLevelType w:val="multilevel"/>
    <w:tmpl w:val="A25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77D5A"/>
    <w:multiLevelType w:val="multilevel"/>
    <w:tmpl w:val="76D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B1DDB"/>
    <w:multiLevelType w:val="hybridMultilevel"/>
    <w:tmpl w:val="4072E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E34B8A"/>
    <w:multiLevelType w:val="multilevel"/>
    <w:tmpl w:val="8044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E3E8A"/>
    <w:multiLevelType w:val="hybridMultilevel"/>
    <w:tmpl w:val="CB2C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A4C32"/>
    <w:multiLevelType w:val="multilevel"/>
    <w:tmpl w:val="D5B6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2"/>
  </w:num>
  <w:num w:numId="5">
    <w:abstractNumId w:val="7"/>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90"/>
    <w:rsid w:val="00023DE7"/>
    <w:rsid w:val="00094B97"/>
    <w:rsid w:val="00096B5F"/>
    <w:rsid w:val="000E0D70"/>
    <w:rsid w:val="000F2D7C"/>
    <w:rsid w:val="001238F0"/>
    <w:rsid w:val="00134E2C"/>
    <w:rsid w:val="001613C3"/>
    <w:rsid w:val="00195FE0"/>
    <w:rsid w:val="001D008D"/>
    <w:rsid w:val="001F1A41"/>
    <w:rsid w:val="002046A1"/>
    <w:rsid w:val="002319E4"/>
    <w:rsid w:val="00274EAA"/>
    <w:rsid w:val="00304BBF"/>
    <w:rsid w:val="003064AB"/>
    <w:rsid w:val="003423D0"/>
    <w:rsid w:val="0035716A"/>
    <w:rsid w:val="00364ECD"/>
    <w:rsid w:val="0037065B"/>
    <w:rsid w:val="0038205F"/>
    <w:rsid w:val="00395483"/>
    <w:rsid w:val="003A77B2"/>
    <w:rsid w:val="003A795C"/>
    <w:rsid w:val="003C62FB"/>
    <w:rsid w:val="003D0A54"/>
    <w:rsid w:val="003E3090"/>
    <w:rsid w:val="003E5514"/>
    <w:rsid w:val="003E7A2A"/>
    <w:rsid w:val="00423676"/>
    <w:rsid w:val="00446608"/>
    <w:rsid w:val="004516E1"/>
    <w:rsid w:val="004660CC"/>
    <w:rsid w:val="004D2F3F"/>
    <w:rsid w:val="00554CD4"/>
    <w:rsid w:val="0057581A"/>
    <w:rsid w:val="00582E10"/>
    <w:rsid w:val="00593B85"/>
    <w:rsid w:val="005A6496"/>
    <w:rsid w:val="005A70EC"/>
    <w:rsid w:val="005E1EA8"/>
    <w:rsid w:val="00601058"/>
    <w:rsid w:val="00615194"/>
    <w:rsid w:val="00626586"/>
    <w:rsid w:val="00645562"/>
    <w:rsid w:val="006A5ED0"/>
    <w:rsid w:val="006C3245"/>
    <w:rsid w:val="006F4765"/>
    <w:rsid w:val="00714AAA"/>
    <w:rsid w:val="00780D3D"/>
    <w:rsid w:val="00827D51"/>
    <w:rsid w:val="00832A72"/>
    <w:rsid w:val="00841106"/>
    <w:rsid w:val="008565A1"/>
    <w:rsid w:val="008678D7"/>
    <w:rsid w:val="008829C5"/>
    <w:rsid w:val="00890DF1"/>
    <w:rsid w:val="008D721D"/>
    <w:rsid w:val="008F09F2"/>
    <w:rsid w:val="008F2292"/>
    <w:rsid w:val="0092454D"/>
    <w:rsid w:val="00955F3F"/>
    <w:rsid w:val="00A30B94"/>
    <w:rsid w:val="00A4243C"/>
    <w:rsid w:val="00A659B2"/>
    <w:rsid w:val="00AA733E"/>
    <w:rsid w:val="00AE5B8D"/>
    <w:rsid w:val="00AE7FE1"/>
    <w:rsid w:val="00B40882"/>
    <w:rsid w:val="00B73D08"/>
    <w:rsid w:val="00B748C5"/>
    <w:rsid w:val="00BA0F7D"/>
    <w:rsid w:val="00BD0BD5"/>
    <w:rsid w:val="00BD2153"/>
    <w:rsid w:val="00BD7B24"/>
    <w:rsid w:val="00C106E0"/>
    <w:rsid w:val="00C630A7"/>
    <w:rsid w:val="00C65F23"/>
    <w:rsid w:val="00C9039E"/>
    <w:rsid w:val="00D240F8"/>
    <w:rsid w:val="00D948DB"/>
    <w:rsid w:val="00DB28D9"/>
    <w:rsid w:val="00DE31A0"/>
    <w:rsid w:val="00DE75E1"/>
    <w:rsid w:val="00E10972"/>
    <w:rsid w:val="00E37D28"/>
    <w:rsid w:val="00ED50A1"/>
    <w:rsid w:val="00F06E00"/>
    <w:rsid w:val="00F51ABD"/>
    <w:rsid w:val="00F8085D"/>
    <w:rsid w:val="00FB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1966A1"/>
  <w15:chartTrackingRefBased/>
  <w15:docId w15:val="{BE77158E-4DA5-4B79-97EA-05111FF4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0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E30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0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30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0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0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30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E30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3090"/>
    <w:pPr>
      <w:ind w:left="720"/>
      <w:contextualSpacing/>
    </w:pPr>
  </w:style>
  <w:style w:type="character" w:customStyle="1" w:styleId="ms-1">
    <w:name w:val="ms-1"/>
    <w:basedOn w:val="DefaultParagraphFont"/>
    <w:rsid w:val="00D948DB"/>
  </w:style>
  <w:style w:type="character" w:customStyle="1" w:styleId="max-w-15ch">
    <w:name w:val="max-w-[15ch]"/>
    <w:basedOn w:val="DefaultParagraphFont"/>
    <w:rsid w:val="00D948DB"/>
  </w:style>
  <w:style w:type="character" w:customStyle="1" w:styleId="-me-1">
    <w:name w:val="-me-1"/>
    <w:basedOn w:val="DefaultParagraphFont"/>
    <w:rsid w:val="00D948DB"/>
  </w:style>
  <w:style w:type="character" w:customStyle="1" w:styleId="Heading1Char">
    <w:name w:val="Heading 1 Char"/>
    <w:basedOn w:val="DefaultParagraphFont"/>
    <w:link w:val="Heading1"/>
    <w:uiPriority w:val="9"/>
    <w:rsid w:val="001D008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D008D"/>
    <w:rPr>
      <w:b/>
      <w:bCs/>
    </w:rPr>
  </w:style>
  <w:style w:type="table" w:styleId="TableGrid">
    <w:name w:val="Table Grid"/>
    <w:basedOn w:val="TableNormal"/>
    <w:uiPriority w:val="39"/>
    <w:rsid w:val="001D0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D240F8"/>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D240F8"/>
    <w:rPr>
      <w:color w:val="0563C1" w:themeColor="hyperlink"/>
      <w:u w:val="single"/>
    </w:rPr>
  </w:style>
  <w:style w:type="character" w:styleId="Emphasis">
    <w:name w:val="Emphasis"/>
    <w:basedOn w:val="DefaultParagraphFont"/>
    <w:uiPriority w:val="20"/>
    <w:qFormat/>
    <w:rsid w:val="00D240F8"/>
    <w:rPr>
      <w:i/>
      <w:iCs/>
    </w:rPr>
  </w:style>
  <w:style w:type="character" w:styleId="UnresolvedMention">
    <w:name w:val="Unresolved Mention"/>
    <w:basedOn w:val="DefaultParagraphFont"/>
    <w:uiPriority w:val="99"/>
    <w:semiHidden/>
    <w:unhideWhenUsed/>
    <w:rsid w:val="008678D7"/>
    <w:rPr>
      <w:color w:val="605E5C"/>
      <w:shd w:val="clear" w:color="auto" w:fill="E1DFDD"/>
    </w:rPr>
  </w:style>
  <w:style w:type="paragraph" w:styleId="Header">
    <w:name w:val="header"/>
    <w:basedOn w:val="Normal"/>
    <w:link w:val="HeaderChar"/>
    <w:uiPriority w:val="99"/>
    <w:unhideWhenUsed/>
    <w:rsid w:val="00F0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00"/>
  </w:style>
  <w:style w:type="paragraph" w:styleId="Footer">
    <w:name w:val="footer"/>
    <w:basedOn w:val="Normal"/>
    <w:link w:val="FooterChar"/>
    <w:uiPriority w:val="99"/>
    <w:unhideWhenUsed/>
    <w:rsid w:val="00F0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667">
      <w:bodyDiv w:val="1"/>
      <w:marLeft w:val="0"/>
      <w:marRight w:val="0"/>
      <w:marTop w:val="0"/>
      <w:marBottom w:val="0"/>
      <w:divBdr>
        <w:top w:val="none" w:sz="0" w:space="0" w:color="auto"/>
        <w:left w:val="none" w:sz="0" w:space="0" w:color="auto"/>
        <w:bottom w:val="none" w:sz="0" w:space="0" w:color="auto"/>
        <w:right w:val="none" w:sz="0" w:space="0" w:color="auto"/>
      </w:divBdr>
    </w:div>
    <w:div w:id="180977643">
      <w:bodyDiv w:val="1"/>
      <w:marLeft w:val="0"/>
      <w:marRight w:val="0"/>
      <w:marTop w:val="0"/>
      <w:marBottom w:val="0"/>
      <w:divBdr>
        <w:top w:val="none" w:sz="0" w:space="0" w:color="auto"/>
        <w:left w:val="none" w:sz="0" w:space="0" w:color="auto"/>
        <w:bottom w:val="none" w:sz="0" w:space="0" w:color="auto"/>
        <w:right w:val="none" w:sz="0" w:space="0" w:color="auto"/>
      </w:divBdr>
      <w:divsChild>
        <w:div w:id="1946309551">
          <w:marLeft w:val="0"/>
          <w:marRight w:val="0"/>
          <w:marTop w:val="0"/>
          <w:marBottom w:val="0"/>
          <w:divBdr>
            <w:top w:val="none" w:sz="0" w:space="0" w:color="auto"/>
            <w:left w:val="none" w:sz="0" w:space="0" w:color="auto"/>
            <w:bottom w:val="none" w:sz="0" w:space="0" w:color="auto"/>
            <w:right w:val="none" w:sz="0" w:space="0" w:color="auto"/>
          </w:divBdr>
          <w:divsChild>
            <w:div w:id="2089304041">
              <w:marLeft w:val="0"/>
              <w:marRight w:val="0"/>
              <w:marTop w:val="0"/>
              <w:marBottom w:val="0"/>
              <w:divBdr>
                <w:top w:val="none" w:sz="0" w:space="0" w:color="auto"/>
                <w:left w:val="none" w:sz="0" w:space="0" w:color="auto"/>
                <w:bottom w:val="none" w:sz="0" w:space="0" w:color="auto"/>
                <w:right w:val="none" w:sz="0" w:space="0" w:color="auto"/>
              </w:divBdr>
              <w:divsChild>
                <w:div w:id="689795243">
                  <w:marLeft w:val="0"/>
                  <w:marRight w:val="0"/>
                  <w:marTop w:val="0"/>
                  <w:marBottom w:val="0"/>
                  <w:divBdr>
                    <w:top w:val="none" w:sz="0" w:space="0" w:color="auto"/>
                    <w:left w:val="none" w:sz="0" w:space="0" w:color="auto"/>
                    <w:bottom w:val="none" w:sz="0" w:space="0" w:color="auto"/>
                    <w:right w:val="none" w:sz="0" w:space="0" w:color="auto"/>
                  </w:divBdr>
                  <w:divsChild>
                    <w:div w:id="1666396705">
                      <w:marLeft w:val="0"/>
                      <w:marRight w:val="0"/>
                      <w:marTop w:val="0"/>
                      <w:marBottom w:val="0"/>
                      <w:divBdr>
                        <w:top w:val="none" w:sz="0" w:space="0" w:color="auto"/>
                        <w:left w:val="none" w:sz="0" w:space="0" w:color="auto"/>
                        <w:bottom w:val="none" w:sz="0" w:space="0" w:color="auto"/>
                        <w:right w:val="none" w:sz="0" w:space="0" w:color="auto"/>
                      </w:divBdr>
                      <w:divsChild>
                        <w:div w:id="2067797126">
                          <w:marLeft w:val="0"/>
                          <w:marRight w:val="0"/>
                          <w:marTop w:val="0"/>
                          <w:marBottom w:val="0"/>
                          <w:divBdr>
                            <w:top w:val="none" w:sz="0" w:space="0" w:color="auto"/>
                            <w:left w:val="none" w:sz="0" w:space="0" w:color="auto"/>
                            <w:bottom w:val="none" w:sz="0" w:space="0" w:color="auto"/>
                            <w:right w:val="none" w:sz="0" w:space="0" w:color="auto"/>
                          </w:divBdr>
                          <w:divsChild>
                            <w:div w:id="20130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7947">
      <w:bodyDiv w:val="1"/>
      <w:marLeft w:val="0"/>
      <w:marRight w:val="0"/>
      <w:marTop w:val="0"/>
      <w:marBottom w:val="0"/>
      <w:divBdr>
        <w:top w:val="none" w:sz="0" w:space="0" w:color="auto"/>
        <w:left w:val="none" w:sz="0" w:space="0" w:color="auto"/>
        <w:bottom w:val="none" w:sz="0" w:space="0" w:color="auto"/>
        <w:right w:val="none" w:sz="0" w:space="0" w:color="auto"/>
      </w:divBdr>
      <w:divsChild>
        <w:div w:id="1264804622">
          <w:marLeft w:val="0"/>
          <w:marRight w:val="0"/>
          <w:marTop w:val="0"/>
          <w:marBottom w:val="0"/>
          <w:divBdr>
            <w:top w:val="none" w:sz="0" w:space="0" w:color="auto"/>
            <w:left w:val="none" w:sz="0" w:space="0" w:color="auto"/>
            <w:bottom w:val="none" w:sz="0" w:space="0" w:color="auto"/>
            <w:right w:val="none" w:sz="0" w:space="0" w:color="auto"/>
          </w:divBdr>
          <w:divsChild>
            <w:div w:id="785933127">
              <w:marLeft w:val="0"/>
              <w:marRight w:val="0"/>
              <w:marTop w:val="0"/>
              <w:marBottom w:val="0"/>
              <w:divBdr>
                <w:top w:val="none" w:sz="0" w:space="0" w:color="auto"/>
                <w:left w:val="none" w:sz="0" w:space="0" w:color="auto"/>
                <w:bottom w:val="none" w:sz="0" w:space="0" w:color="auto"/>
                <w:right w:val="none" w:sz="0" w:space="0" w:color="auto"/>
              </w:divBdr>
            </w:div>
          </w:divsChild>
        </w:div>
        <w:div w:id="766117994">
          <w:marLeft w:val="0"/>
          <w:marRight w:val="0"/>
          <w:marTop w:val="0"/>
          <w:marBottom w:val="0"/>
          <w:divBdr>
            <w:top w:val="none" w:sz="0" w:space="0" w:color="auto"/>
            <w:left w:val="none" w:sz="0" w:space="0" w:color="auto"/>
            <w:bottom w:val="none" w:sz="0" w:space="0" w:color="auto"/>
            <w:right w:val="none" w:sz="0" w:space="0" w:color="auto"/>
          </w:divBdr>
          <w:divsChild>
            <w:div w:id="323582766">
              <w:marLeft w:val="0"/>
              <w:marRight w:val="0"/>
              <w:marTop w:val="0"/>
              <w:marBottom w:val="0"/>
              <w:divBdr>
                <w:top w:val="none" w:sz="0" w:space="0" w:color="auto"/>
                <w:left w:val="none" w:sz="0" w:space="0" w:color="auto"/>
                <w:bottom w:val="none" w:sz="0" w:space="0" w:color="auto"/>
                <w:right w:val="none" w:sz="0" w:space="0" w:color="auto"/>
              </w:divBdr>
            </w:div>
          </w:divsChild>
        </w:div>
        <w:div w:id="1294556743">
          <w:marLeft w:val="0"/>
          <w:marRight w:val="0"/>
          <w:marTop w:val="0"/>
          <w:marBottom w:val="0"/>
          <w:divBdr>
            <w:top w:val="none" w:sz="0" w:space="0" w:color="auto"/>
            <w:left w:val="none" w:sz="0" w:space="0" w:color="auto"/>
            <w:bottom w:val="none" w:sz="0" w:space="0" w:color="auto"/>
            <w:right w:val="none" w:sz="0" w:space="0" w:color="auto"/>
          </w:divBdr>
          <w:divsChild>
            <w:div w:id="1313218044">
              <w:marLeft w:val="0"/>
              <w:marRight w:val="0"/>
              <w:marTop w:val="0"/>
              <w:marBottom w:val="0"/>
              <w:divBdr>
                <w:top w:val="none" w:sz="0" w:space="0" w:color="auto"/>
                <w:left w:val="none" w:sz="0" w:space="0" w:color="auto"/>
                <w:bottom w:val="none" w:sz="0" w:space="0" w:color="auto"/>
                <w:right w:val="none" w:sz="0" w:space="0" w:color="auto"/>
              </w:divBdr>
            </w:div>
          </w:divsChild>
        </w:div>
        <w:div w:id="567879987">
          <w:marLeft w:val="0"/>
          <w:marRight w:val="0"/>
          <w:marTop w:val="0"/>
          <w:marBottom w:val="0"/>
          <w:divBdr>
            <w:top w:val="none" w:sz="0" w:space="0" w:color="auto"/>
            <w:left w:val="none" w:sz="0" w:space="0" w:color="auto"/>
            <w:bottom w:val="none" w:sz="0" w:space="0" w:color="auto"/>
            <w:right w:val="none" w:sz="0" w:space="0" w:color="auto"/>
          </w:divBdr>
          <w:divsChild>
            <w:div w:id="733510135">
              <w:marLeft w:val="0"/>
              <w:marRight w:val="0"/>
              <w:marTop w:val="0"/>
              <w:marBottom w:val="0"/>
              <w:divBdr>
                <w:top w:val="none" w:sz="0" w:space="0" w:color="auto"/>
                <w:left w:val="none" w:sz="0" w:space="0" w:color="auto"/>
                <w:bottom w:val="none" w:sz="0" w:space="0" w:color="auto"/>
                <w:right w:val="none" w:sz="0" w:space="0" w:color="auto"/>
              </w:divBdr>
            </w:div>
          </w:divsChild>
        </w:div>
        <w:div w:id="1475371078">
          <w:marLeft w:val="0"/>
          <w:marRight w:val="0"/>
          <w:marTop w:val="0"/>
          <w:marBottom w:val="0"/>
          <w:divBdr>
            <w:top w:val="none" w:sz="0" w:space="0" w:color="auto"/>
            <w:left w:val="none" w:sz="0" w:space="0" w:color="auto"/>
            <w:bottom w:val="none" w:sz="0" w:space="0" w:color="auto"/>
            <w:right w:val="none" w:sz="0" w:space="0" w:color="auto"/>
          </w:divBdr>
          <w:divsChild>
            <w:div w:id="1539780840">
              <w:marLeft w:val="0"/>
              <w:marRight w:val="0"/>
              <w:marTop w:val="0"/>
              <w:marBottom w:val="0"/>
              <w:divBdr>
                <w:top w:val="none" w:sz="0" w:space="0" w:color="auto"/>
                <w:left w:val="none" w:sz="0" w:space="0" w:color="auto"/>
                <w:bottom w:val="none" w:sz="0" w:space="0" w:color="auto"/>
                <w:right w:val="none" w:sz="0" w:space="0" w:color="auto"/>
              </w:divBdr>
            </w:div>
          </w:divsChild>
        </w:div>
        <w:div w:id="975184888">
          <w:marLeft w:val="0"/>
          <w:marRight w:val="0"/>
          <w:marTop w:val="0"/>
          <w:marBottom w:val="0"/>
          <w:divBdr>
            <w:top w:val="none" w:sz="0" w:space="0" w:color="auto"/>
            <w:left w:val="none" w:sz="0" w:space="0" w:color="auto"/>
            <w:bottom w:val="none" w:sz="0" w:space="0" w:color="auto"/>
            <w:right w:val="none" w:sz="0" w:space="0" w:color="auto"/>
          </w:divBdr>
          <w:divsChild>
            <w:div w:id="2124959984">
              <w:marLeft w:val="0"/>
              <w:marRight w:val="0"/>
              <w:marTop w:val="0"/>
              <w:marBottom w:val="0"/>
              <w:divBdr>
                <w:top w:val="none" w:sz="0" w:space="0" w:color="auto"/>
                <w:left w:val="none" w:sz="0" w:space="0" w:color="auto"/>
                <w:bottom w:val="none" w:sz="0" w:space="0" w:color="auto"/>
                <w:right w:val="none" w:sz="0" w:space="0" w:color="auto"/>
              </w:divBdr>
            </w:div>
          </w:divsChild>
        </w:div>
        <w:div w:id="361787503">
          <w:marLeft w:val="0"/>
          <w:marRight w:val="0"/>
          <w:marTop w:val="0"/>
          <w:marBottom w:val="0"/>
          <w:divBdr>
            <w:top w:val="none" w:sz="0" w:space="0" w:color="auto"/>
            <w:left w:val="none" w:sz="0" w:space="0" w:color="auto"/>
            <w:bottom w:val="none" w:sz="0" w:space="0" w:color="auto"/>
            <w:right w:val="none" w:sz="0" w:space="0" w:color="auto"/>
          </w:divBdr>
          <w:divsChild>
            <w:div w:id="996811585">
              <w:marLeft w:val="0"/>
              <w:marRight w:val="0"/>
              <w:marTop w:val="0"/>
              <w:marBottom w:val="0"/>
              <w:divBdr>
                <w:top w:val="none" w:sz="0" w:space="0" w:color="auto"/>
                <w:left w:val="none" w:sz="0" w:space="0" w:color="auto"/>
                <w:bottom w:val="none" w:sz="0" w:space="0" w:color="auto"/>
                <w:right w:val="none" w:sz="0" w:space="0" w:color="auto"/>
              </w:divBdr>
            </w:div>
          </w:divsChild>
        </w:div>
        <w:div w:id="512452075">
          <w:marLeft w:val="0"/>
          <w:marRight w:val="0"/>
          <w:marTop w:val="0"/>
          <w:marBottom w:val="0"/>
          <w:divBdr>
            <w:top w:val="none" w:sz="0" w:space="0" w:color="auto"/>
            <w:left w:val="none" w:sz="0" w:space="0" w:color="auto"/>
            <w:bottom w:val="none" w:sz="0" w:space="0" w:color="auto"/>
            <w:right w:val="none" w:sz="0" w:space="0" w:color="auto"/>
          </w:divBdr>
          <w:divsChild>
            <w:div w:id="2047826387">
              <w:marLeft w:val="0"/>
              <w:marRight w:val="0"/>
              <w:marTop w:val="0"/>
              <w:marBottom w:val="0"/>
              <w:divBdr>
                <w:top w:val="none" w:sz="0" w:space="0" w:color="auto"/>
                <w:left w:val="none" w:sz="0" w:space="0" w:color="auto"/>
                <w:bottom w:val="none" w:sz="0" w:space="0" w:color="auto"/>
                <w:right w:val="none" w:sz="0" w:space="0" w:color="auto"/>
              </w:divBdr>
            </w:div>
          </w:divsChild>
        </w:div>
        <w:div w:id="849098188">
          <w:marLeft w:val="0"/>
          <w:marRight w:val="0"/>
          <w:marTop w:val="0"/>
          <w:marBottom w:val="0"/>
          <w:divBdr>
            <w:top w:val="none" w:sz="0" w:space="0" w:color="auto"/>
            <w:left w:val="none" w:sz="0" w:space="0" w:color="auto"/>
            <w:bottom w:val="none" w:sz="0" w:space="0" w:color="auto"/>
            <w:right w:val="none" w:sz="0" w:space="0" w:color="auto"/>
          </w:divBdr>
          <w:divsChild>
            <w:div w:id="1081872583">
              <w:marLeft w:val="0"/>
              <w:marRight w:val="0"/>
              <w:marTop w:val="0"/>
              <w:marBottom w:val="0"/>
              <w:divBdr>
                <w:top w:val="none" w:sz="0" w:space="0" w:color="auto"/>
                <w:left w:val="none" w:sz="0" w:space="0" w:color="auto"/>
                <w:bottom w:val="none" w:sz="0" w:space="0" w:color="auto"/>
                <w:right w:val="none" w:sz="0" w:space="0" w:color="auto"/>
              </w:divBdr>
            </w:div>
          </w:divsChild>
        </w:div>
        <w:div w:id="1483958840">
          <w:marLeft w:val="0"/>
          <w:marRight w:val="0"/>
          <w:marTop w:val="0"/>
          <w:marBottom w:val="0"/>
          <w:divBdr>
            <w:top w:val="none" w:sz="0" w:space="0" w:color="auto"/>
            <w:left w:val="none" w:sz="0" w:space="0" w:color="auto"/>
            <w:bottom w:val="none" w:sz="0" w:space="0" w:color="auto"/>
            <w:right w:val="none" w:sz="0" w:space="0" w:color="auto"/>
          </w:divBdr>
          <w:divsChild>
            <w:div w:id="448666144">
              <w:marLeft w:val="0"/>
              <w:marRight w:val="0"/>
              <w:marTop w:val="0"/>
              <w:marBottom w:val="0"/>
              <w:divBdr>
                <w:top w:val="none" w:sz="0" w:space="0" w:color="auto"/>
                <w:left w:val="none" w:sz="0" w:space="0" w:color="auto"/>
                <w:bottom w:val="none" w:sz="0" w:space="0" w:color="auto"/>
                <w:right w:val="none" w:sz="0" w:space="0" w:color="auto"/>
              </w:divBdr>
            </w:div>
          </w:divsChild>
        </w:div>
        <w:div w:id="474371584">
          <w:marLeft w:val="0"/>
          <w:marRight w:val="0"/>
          <w:marTop w:val="0"/>
          <w:marBottom w:val="0"/>
          <w:divBdr>
            <w:top w:val="none" w:sz="0" w:space="0" w:color="auto"/>
            <w:left w:val="none" w:sz="0" w:space="0" w:color="auto"/>
            <w:bottom w:val="none" w:sz="0" w:space="0" w:color="auto"/>
            <w:right w:val="none" w:sz="0" w:space="0" w:color="auto"/>
          </w:divBdr>
          <w:divsChild>
            <w:div w:id="1699116224">
              <w:marLeft w:val="0"/>
              <w:marRight w:val="0"/>
              <w:marTop w:val="0"/>
              <w:marBottom w:val="0"/>
              <w:divBdr>
                <w:top w:val="none" w:sz="0" w:space="0" w:color="auto"/>
                <w:left w:val="none" w:sz="0" w:space="0" w:color="auto"/>
                <w:bottom w:val="none" w:sz="0" w:space="0" w:color="auto"/>
                <w:right w:val="none" w:sz="0" w:space="0" w:color="auto"/>
              </w:divBdr>
            </w:div>
          </w:divsChild>
        </w:div>
        <w:div w:id="1803185394">
          <w:marLeft w:val="0"/>
          <w:marRight w:val="0"/>
          <w:marTop w:val="0"/>
          <w:marBottom w:val="0"/>
          <w:divBdr>
            <w:top w:val="none" w:sz="0" w:space="0" w:color="auto"/>
            <w:left w:val="none" w:sz="0" w:space="0" w:color="auto"/>
            <w:bottom w:val="none" w:sz="0" w:space="0" w:color="auto"/>
            <w:right w:val="none" w:sz="0" w:space="0" w:color="auto"/>
          </w:divBdr>
          <w:divsChild>
            <w:div w:id="55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5246">
      <w:bodyDiv w:val="1"/>
      <w:marLeft w:val="0"/>
      <w:marRight w:val="0"/>
      <w:marTop w:val="0"/>
      <w:marBottom w:val="0"/>
      <w:divBdr>
        <w:top w:val="none" w:sz="0" w:space="0" w:color="auto"/>
        <w:left w:val="none" w:sz="0" w:space="0" w:color="auto"/>
        <w:bottom w:val="none" w:sz="0" w:space="0" w:color="auto"/>
        <w:right w:val="none" w:sz="0" w:space="0" w:color="auto"/>
      </w:divBdr>
      <w:divsChild>
        <w:div w:id="358241980">
          <w:marLeft w:val="0"/>
          <w:marRight w:val="0"/>
          <w:marTop w:val="0"/>
          <w:marBottom w:val="0"/>
          <w:divBdr>
            <w:top w:val="none" w:sz="0" w:space="0" w:color="auto"/>
            <w:left w:val="none" w:sz="0" w:space="0" w:color="auto"/>
            <w:bottom w:val="none" w:sz="0" w:space="0" w:color="auto"/>
            <w:right w:val="none" w:sz="0" w:space="0" w:color="auto"/>
          </w:divBdr>
          <w:divsChild>
            <w:div w:id="18017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99407">
      <w:bodyDiv w:val="1"/>
      <w:marLeft w:val="0"/>
      <w:marRight w:val="0"/>
      <w:marTop w:val="0"/>
      <w:marBottom w:val="0"/>
      <w:divBdr>
        <w:top w:val="none" w:sz="0" w:space="0" w:color="auto"/>
        <w:left w:val="none" w:sz="0" w:space="0" w:color="auto"/>
        <w:bottom w:val="none" w:sz="0" w:space="0" w:color="auto"/>
        <w:right w:val="none" w:sz="0" w:space="0" w:color="auto"/>
      </w:divBdr>
    </w:div>
    <w:div w:id="582299458">
      <w:bodyDiv w:val="1"/>
      <w:marLeft w:val="0"/>
      <w:marRight w:val="0"/>
      <w:marTop w:val="0"/>
      <w:marBottom w:val="0"/>
      <w:divBdr>
        <w:top w:val="none" w:sz="0" w:space="0" w:color="auto"/>
        <w:left w:val="none" w:sz="0" w:space="0" w:color="auto"/>
        <w:bottom w:val="none" w:sz="0" w:space="0" w:color="auto"/>
        <w:right w:val="none" w:sz="0" w:space="0" w:color="auto"/>
      </w:divBdr>
    </w:div>
    <w:div w:id="791675607">
      <w:bodyDiv w:val="1"/>
      <w:marLeft w:val="0"/>
      <w:marRight w:val="0"/>
      <w:marTop w:val="0"/>
      <w:marBottom w:val="0"/>
      <w:divBdr>
        <w:top w:val="none" w:sz="0" w:space="0" w:color="auto"/>
        <w:left w:val="none" w:sz="0" w:space="0" w:color="auto"/>
        <w:bottom w:val="none" w:sz="0" w:space="0" w:color="auto"/>
        <w:right w:val="none" w:sz="0" w:space="0" w:color="auto"/>
      </w:divBdr>
    </w:div>
    <w:div w:id="951134531">
      <w:bodyDiv w:val="1"/>
      <w:marLeft w:val="0"/>
      <w:marRight w:val="0"/>
      <w:marTop w:val="0"/>
      <w:marBottom w:val="0"/>
      <w:divBdr>
        <w:top w:val="none" w:sz="0" w:space="0" w:color="auto"/>
        <w:left w:val="none" w:sz="0" w:space="0" w:color="auto"/>
        <w:bottom w:val="none" w:sz="0" w:space="0" w:color="auto"/>
        <w:right w:val="none" w:sz="0" w:space="0" w:color="auto"/>
      </w:divBdr>
      <w:divsChild>
        <w:div w:id="2051223860">
          <w:marLeft w:val="0"/>
          <w:marRight w:val="0"/>
          <w:marTop w:val="0"/>
          <w:marBottom w:val="0"/>
          <w:divBdr>
            <w:top w:val="none" w:sz="0" w:space="0" w:color="auto"/>
            <w:left w:val="none" w:sz="0" w:space="0" w:color="auto"/>
            <w:bottom w:val="none" w:sz="0" w:space="0" w:color="auto"/>
            <w:right w:val="none" w:sz="0" w:space="0" w:color="auto"/>
          </w:divBdr>
          <w:divsChild>
            <w:div w:id="2021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253">
      <w:bodyDiv w:val="1"/>
      <w:marLeft w:val="0"/>
      <w:marRight w:val="0"/>
      <w:marTop w:val="0"/>
      <w:marBottom w:val="0"/>
      <w:divBdr>
        <w:top w:val="none" w:sz="0" w:space="0" w:color="auto"/>
        <w:left w:val="none" w:sz="0" w:space="0" w:color="auto"/>
        <w:bottom w:val="none" w:sz="0" w:space="0" w:color="auto"/>
        <w:right w:val="none" w:sz="0" w:space="0" w:color="auto"/>
      </w:divBdr>
    </w:div>
    <w:div w:id="1653829826">
      <w:bodyDiv w:val="1"/>
      <w:marLeft w:val="0"/>
      <w:marRight w:val="0"/>
      <w:marTop w:val="0"/>
      <w:marBottom w:val="0"/>
      <w:divBdr>
        <w:top w:val="none" w:sz="0" w:space="0" w:color="auto"/>
        <w:left w:val="none" w:sz="0" w:space="0" w:color="auto"/>
        <w:bottom w:val="none" w:sz="0" w:space="0" w:color="auto"/>
        <w:right w:val="none" w:sz="0" w:space="0" w:color="auto"/>
      </w:divBdr>
    </w:div>
    <w:div w:id="1669867966">
      <w:bodyDiv w:val="1"/>
      <w:marLeft w:val="0"/>
      <w:marRight w:val="0"/>
      <w:marTop w:val="0"/>
      <w:marBottom w:val="0"/>
      <w:divBdr>
        <w:top w:val="none" w:sz="0" w:space="0" w:color="auto"/>
        <w:left w:val="none" w:sz="0" w:space="0" w:color="auto"/>
        <w:bottom w:val="none" w:sz="0" w:space="0" w:color="auto"/>
        <w:right w:val="none" w:sz="0" w:space="0" w:color="auto"/>
      </w:divBdr>
    </w:div>
    <w:div w:id="1765955132">
      <w:bodyDiv w:val="1"/>
      <w:marLeft w:val="0"/>
      <w:marRight w:val="0"/>
      <w:marTop w:val="0"/>
      <w:marBottom w:val="0"/>
      <w:divBdr>
        <w:top w:val="none" w:sz="0" w:space="0" w:color="auto"/>
        <w:left w:val="none" w:sz="0" w:space="0" w:color="auto"/>
        <w:bottom w:val="none" w:sz="0" w:space="0" w:color="auto"/>
        <w:right w:val="none" w:sz="0" w:space="0" w:color="auto"/>
      </w:divBdr>
      <w:divsChild>
        <w:div w:id="1614094584">
          <w:marLeft w:val="0"/>
          <w:marRight w:val="0"/>
          <w:marTop w:val="0"/>
          <w:marBottom w:val="0"/>
          <w:divBdr>
            <w:top w:val="none" w:sz="0" w:space="0" w:color="auto"/>
            <w:left w:val="none" w:sz="0" w:space="0" w:color="auto"/>
            <w:bottom w:val="none" w:sz="0" w:space="0" w:color="auto"/>
            <w:right w:val="none" w:sz="0" w:space="0" w:color="auto"/>
          </w:divBdr>
          <w:divsChild>
            <w:div w:id="17639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18/ejmed.2022.4.4.1395" TargetMode="External"/><Relationship Id="rId13" Type="http://schemas.openxmlformats.org/officeDocument/2006/relationships/hyperlink" Target="https://doi.org/10.4103/npmj.npmj_35_20" TargetMode="External"/><Relationship Id="rId18" Type="http://schemas.openxmlformats.org/officeDocument/2006/relationships/hyperlink" Target="https://doi.org/10.1007/s13224-014-0529-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jogoh.2019.101650" TargetMode="External"/><Relationship Id="rId7" Type="http://schemas.openxmlformats.org/officeDocument/2006/relationships/chart" Target="charts/chart1.xml"/><Relationship Id="rId12" Type="http://schemas.openxmlformats.org/officeDocument/2006/relationships/hyperlink" Target="https://doi.org/10.1177/17455057231160349" TargetMode="External"/><Relationship Id="rId17" Type="http://schemas.openxmlformats.org/officeDocument/2006/relationships/hyperlink" Target="https://doi.org/10.1155/2022/14914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12884-022-04609-y" TargetMode="External"/><Relationship Id="rId20" Type="http://schemas.openxmlformats.org/officeDocument/2006/relationships/hyperlink" Target="https://doi.org/10.21106/ijma.29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jogrb.2024.10.05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ournalijrrgy.com/index.php/IJRRGY/article/view/3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7759/cureus.85169" TargetMode="External"/><Relationship Id="rId19" Type="http://schemas.openxmlformats.org/officeDocument/2006/relationships/hyperlink" Target="https://doi.org/10.61386/imj.v18i1.588" TargetMode="External"/><Relationship Id="rId4" Type="http://schemas.openxmlformats.org/officeDocument/2006/relationships/webSettings" Target="webSettings.xml"/><Relationship Id="rId9" Type="http://schemas.openxmlformats.org/officeDocument/2006/relationships/hyperlink" Target="https://doi.org/10.31579/2578-8965/278" TargetMode="External"/><Relationship Id="rId14" Type="http://schemas.openxmlformats.org/officeDocument/2006/relationships/hyperlink" Target="https://doi.org/10.31579/2578-8965/238"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Good practice (≥75% score)</c:v>
                </c:pt>
                <c:pt idx="1">
                  <c:v>Fair practice (50–74% score)</c:v>
                </c:pt>
                <c:pt idx="2">
                  <c:v>Poor practice (&lt;50% score)</c:v>
                </c:pt>
              </c:strCache>
            </c:strRef>
          </c:cat>
          <c:val>
            <c:numRef>
              <c:f>Sheet1!$B$2:$B$4</c:f>
              <c:numCache>
                <c:formatCode>General</c:formatCode>
                <c:ptCount val="3"/>
                <c:pt idx="0">
                  <c:v>58</c:v>
                </c:pt>
                <c:pt idx="1">
                  <c:v>66</c:v>
                </c:pt>
                <c:pt idx="2">
                  <c:v>26</c:v>
                </c:pt>
              </c:numCache>
            </c:numRef>
          </c:val>
          <c:extLst>
            <c:ext xmlns:c16="http://schemas.microsoft.com/office/drawing/2014/chart" uri="{C3380CC4-5D6E-409C-BE32-E72D297353CC}">
              <c16:uniqueId val="{00000000-61B3-4A4C-9DD3-FD17E5871F59}"/>
            </c:ext>
          </c:extLst>
        </c:ser>
        <c:dLbls>
          <c:dLblPos val="inEnd"/>
          <c:showLegendKey val="0"/>
          <c:showVal val="1"/>
          <c:showCatName val="0"/>
          <c:showSerName val="0"/>
          <c:showPercent val="0"/>
          <c:showBubbleSize val="0"/>
        </c:dLbls>
        <c:gapWidth val="150"/>
        <c:overlap val="100"/>
        <c:axId val="1512996032"/>
        <c:axId val="1512988544"/>
      </c:barChart>
      <c:catAx>
        <c:axId val="151299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Practice Category</a:t>
                </a:r>
                <a:r>
                  <a:rPr lang="en-US" sz="10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12988544"/>
        <c:crosses val="autoZero"/>
        <c:auto val="1"/>
        <c:lblAlgn val="ctr"/>
        <c:lblOffset val="100"/>
        <c:noMultiLvlLbl val="0"/>
      </c:catAx>
      <c:valAx>
        <c:axId val="1512988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Frequency</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12996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19</Pages>
  <Words>7347</Words>
  <Characters>41880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Final Solution</cp:lastModifiedBy>
  <cp:revision>79</cp:revision>
  <dcterms:created xsi:type="dcterms:W3CDTF">2025-12-03T19:44:00Z</dcterms:created>
  <dcterms:modified xsi:type="dcterms:W3CDTF">2025-12-12T06:17:00Z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203b1be4-f04a-4e94-ba7c-241b070ee6f1</vt:lpwstr>
  </property>
</Properties>
</file>