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146C" w14:textId="0DD846CE" w:rsidR="00D21771" w:rsidRPr="00EB21AA" w:rsidRDefault="00D21771" w:rsidP="00D21771">
      <w:pPr>
        <w:spacing w:after="240" w:line="240" w:lineRule="auto"/>
        <w:jc w:val="both"/>
        <w:rPr>
          <w:rFonts w:ascii="Times New Roman" w:hAnsi="Times New Roman" w:cs="Times New Roman"/>
          <w:b/>
          <w:bCs/>
          <w:sz w:val="32"/>
          <w:szCs w:val="32"/>
        </w:rPr>
      </w:pPr>
      <w:r w:rsidRPr="00B93730">
        <w:rPr>
          <w:rFonts w:ascii="Times New Roman" w:hAnsi="Times New Roman" w:cs="Times New Roman"/>
          <w:b/>
          <w:bCs/>
          <w:sz w:val="32"/>
          <w:szCs w:val="32"/>
        </w:rPr>
        <w:t>Distribution of Selected Occlusal Traits among a Sample of Sudanese Orthodontic Patients</w:t>
      </w:r>
      <w:r w:rsidR="00521A38">
        <w:rPr>
          <w:rFonts w:ascii="Times New Roman" w:hAnsi="Times New Roman" w:cs="Times New Roman"/>
          <w:b/>
          <w:bCs/>
          <w:sz w:val="32"/>
          <w:szCs w:val="32"/>
        </w:rPr>
        <w:t xml:space="preserve">: </w:t>
      </w:r>
      <w:r w:rsidR="00B93730" w:rsidRPr="00EB21AA">
        <w:rPr>
          <w:rFonts w:ascii="Times New Roman" w:hAnsi="Times New Roman" w:cs="Times New Roman"/>
          <w:b/>
          <w:bCs/>
          <w:sz w:val="32"/>
          <w:szCs w:val="32"/>
        </w:rPr>
        <w:t>A descriptive cross-sectional study</w:t>
      </w:r>
    </w:p>
    <w:p w14:paraId="36A28672" w14:textId="77777777" w:rsidR="005D7F3C" w:rsidRDefault="005D7F3C" w:rsidP="00D21771">
      <w:pPr>
        <w:spacing w:after="120" w:line="240" w:lineRule="auto"/>
        <w:rPr>
          <w:rFonts w:ascii="Times New Roman" w:hAnsi="Times New Roman" w:cs="Times New Roman"/>
          <w:b/>
          <w:bCs/>
          <w:sz w:val="24"/>
          <w:szCs w:val="24"/>
        </w:rPr>
      </w:pPr>
      <w:bookmarkStart w:id="0" w:name="_Hlk66441550"/>
    </w:p>
    <w:p w14:paraId="0DC6FEDA" w14:textId="4F20C140" w:rsidR="00D21771" w:rsidRDefault="00D21771" w:rsidP="00D21771">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62BA4E6" w14:textId="1F1B3DA1" w:rsidR="00D21771" w:rsidRDefault="00D21771" w:rsidP="00D21771">
      <w:pPr>
        <w:spacing w:after="120" w:line="240" w:lineRule="auto"/>
        <w:jc w:val="both"/>
        <w:rPr>
          <w:rFonts w:ascii="Times New Roman" w:eastAsia="Times New Roman" w:hAnsi="Times New Roman" w:cs="Times New Roman"/>
          <w:sz w:val="20"/>
          <w:szCs w:val="20"/>
          <w:vertAlign w:val="superscript"/>
        </w:rPr>
      </w:pPr>
      <w:r>
        <w:rPr>
          <w:rFonts w:ascii="Times New Roman" w:hAnsi="Times New Roman" w:cs="Times New Roman"/>
          <w:b/>
          <w:bCs/>
          <w:sz w:val="20"/>
          <w:szCs w:val="20"/>
        </w:rPr>
        <w:t xml:space="preserve">Background: </w:t>
      </w:r>
      <w:r>
        <w:rPr>
          <w:rFonts w:ascii="Times New Roman" w:eastAsia="Times New Roman" w:hAnsi="Times New Roman" w:cs="Times New Roman"/>
          <w:sz w:val="20"/>
          <w:szCs w:val="20"/>
        </w:rPr>
        <w:t>The objectives of this study were to assess the prevalence of malocclusion among a sample of Sudanese patients seeking orthodontic treatment</w:t>
      </w:r>
      <w:r w:rsidR="00EC515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to estimate the distribution of various malocclusion traits in the same cohort</w:t>
      </w:r>
      <w:r w:rsidR="00EC5150">
        <w:rPr>
          <w:rFonts w:ascii="Times New Roman" w:eastAsia="Times New Roman" w:hAnsi="Times New Roman" w:cs="Times New Roman"/>
          <w:sz w:val="20"/>
          <w:szCs w:val="20"/>
        </w:rPr>
        <w:t xml:space="preserve">, and </w:t>
      </w:r>
      <w:r w:rsidR="00EC5150" w:rsidRPr="00EC5150">
        <w:rPr>
          <w:rFonts w:ascii="Times New Roman" w:eastAsia="Times New Roman" w:hAnsi="Times New Roman" w:cs="Times New Roman"/>
          <w:sz w:val="20"/>
          <w:szCs w:val="20"/>
        </w:rPr>
        <w:t xml:space="preserve">to </w:t>
      </w:r>
      <w:r w:rsidR="00EC5150">
        <w:rPr>
          <w:rFonts w:ascii="Times New Roman" w:eastAsia="Times New Roman" w:hAnsi="Times New Roman" w:cs="Times New Roman"/>
          <w:sz w:val="20"/>
          <w:szCs w:val="20"/>
        </w:rPr>
        <w:t>evaluate the link between various malocclusion categories and specific malocclusion traits.</w:t>
      </w:r>
    </w:p>
    <w:p w14:paraId="7361CBC4" w14:textId="268D9664" w:rsidR="00D21771" w:rsidRDefault="00D21771" w:rsidP="00D21771">
      <w:pPr>
        <w:spacing w:after="120" w:line="240" w:lineRule="auto"/>
        <w:jc w:val="both"/>
        <w:rPr>
          <w:rFonts w:ascii="Times New Roman" w:eastAsia="Times New Roman" w:hAnsi="Times New Roman" w:cs="Times New Roman"/>
          <w:sz w:val="20"/>
          <w:szCs w:val="20"/>
          <w:vertAlign w:val="superscript"/>
        </w:rPr>
      </w:pPr>
      <w:r>
        <w:rPr>
          <w:rFonts w:ascii="Times New Roman" w:hAnsi="Times New Roman" w:cs="Times New Roman"/>
          <w:b/>
          <w:bCs/>
          <w:sz w:val="20"/>
          <w:szCs w:val="20"/>
        </w:rPr>
        <w:t xml:space="preserve">Methods: </w:t>
      </w:r>
      <w:r>
        <w:rPr>
          <w:rFonts w:ascii="Times New Roman" w:hAnsi="Times New Roman" w:cs="Times New Roman"/>
          <w:sz w:val="20"/>
          <w:szCs w:val="20"/>
        </w:rPr>
        <w:t>A descriptive cross-sectional study o</w:t>
      </w:r>
      <w:bookmarkStart w:id="1" w:name="_GoBack"/>
      <w:bookmarkEnd w:id="1"/>
      <w:r>
        <w:rPr>
          <w:rFonts w:ascii="Times New Roman" w:hAnsi="Times New Roman" w:cs="Times New Roman"/>
          <w:sz w:val="20"/>
          <w:szCs w:val="20"/>
        </w:rPr>
        <w:t xml:space="preserve">f </w:t>
      </w:r>
      <w:r w:rsidR="00EB21AA">
        <w:rPr>
          <w:rFonts w:ascii="Times New Roman" w:hAnsi="Times New Roman" w:cs="Times New Roman"/>
          <w:sz w:val="20"/>
          <w:szCs w:val="20"/>
        </w:rPr>
        <w:t>300 Sudanese patients’ casts was conducted</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The casts were collected from patients attending the Orthodontic Training </w:t>
      </w:r>
      <w:r w:rsidR="00EB21AA">
        <w:rPr>
          <w:rFonts w:ascii="Times New Roman" w:hAnsi="Times New Roman" w:cs="Times New Roman"/>
          <w:sz w:val="20"/>
          <w:szCs w:val="20"/>
          <w:lang w:val="en-US"/>
        </w:rPr>
        <w:t>Centre</w:t>
      </w:r>
      <w:r>
        <w:rPr>
          <w:rFonts w:ascii="Times New Roman" w:hAnsi="Times New Roman" w:cs="Times New Roman"/>
          <w:sz w:val="20"/>
          <w:szCs w:val="20"/>
          <w:lang w:val="en-US"/>
        </w:rPr>
        <w:t xml:space="preserve"> in Khartoum, Sudan.</w:t>
      </w:r>
      <w:r>
        <w:rPr>
          <w:rFonts w:ascii="Times New Roman" w:hAnsi="Times New Roman" w:cs="Times New Roman"/>
          <w:sz w:val="20"/>
          <w:szCs w:val="20"/>
        </w:rPr>
        <w:t xml:space="preserve"> The data were obtained from 300 sets of pretreatment orthodontic study models, which were articulated through bite registration using silicone material to assess the prevalence of malocclusion.</w:t>
      </w:r>
    </w:p>
    <w:p w14:paraId="09D31199" w14:textId="683E12BD" w:rsidR="00D21771" w:rsidRDefault="00D21771" w:rsidP="00D21771">
      <w:pPr>
        <w:spacing w:after="120" w:line="240" w:lineRule="auto"/>
        <w:jc w:val="both"/>
        <w:rPr>
          <w:rFonts w:ascii="Times New Roman" w:hAnsi="Times New Roman" w:cs="Times New Roman"/>
          <w:sz w:val="20"/>
          <w:szCs w:val="20"/>
          <w:lang w:val="en-US"/>
        </w:rPr>
      </w:pPr>
      <w:r>
        <w:rPr>
          <w:rFonts w:ascii="Times New Roman" w:hAnsi="Times New Roman" w:cs="Times New Roman"/>
          <w:b/>
          <w:bCs/>
          <w:sz w:val="20"/>
          <w:szCs w:val="20"/>
        </w:rPr>
        <w:t xml:space="preserve">Results: </w:t>
      </w:r>
      <w:r>
        <w:rPr>
          <w:rFonts w:ascii="Times New Roman" w:hAnsi="Times New Roman" w:cs="Times New Roman"/>
          <w:sz w:val="20"/>
          <w:szCs w:val="20"/>
          <w:lang w:val="en-US"/>
        </w:rPr>
        <w:t xml:space="preserve">Three hundred participants met the inclusion criteria (Mean age 21.42; SD 7.91). Of these, 95 (32%) were males and 205 (68%) were females. In order of prevalence, Class II division 1 malocclusion was the most prevalent type (126; 42%). Class I malocclusion was the second most prevalent type (118; 39%), followed by Class III malocclusion (47; 16%). Class II division 2 was present among 9 (3%) participants. No significant </w:t>
      </w:r>
      <w:r w:rsidR="00EC5150">
        <w:rPr>
          <w:rFonts w:ascii="Times New Roman" w:hAnsi="Times New Roman" w:cs="Times New Roman"/>
          <w:sz w:val="20"/>
          <w:szCs w:val="20"/>
          <w:lang w:val="en-US"/>
        </w:rPr>
        <w:t xml:space="preserve">differences related to age (p = 0.231) and gender (p = 0.496) </w:t>
      </w:r>
      <w:r>
        <w:rPr>
          <w:rFonts w:ascii="Times New Roman" w:hAnsi="Times New Roman" w:cs="Times New Roman"/>
          <w:sz w:val="20"/>
          <w:szCs w:val="20"/>
          <w:lang w:val="en-US"/>
        </w:rPr>
        <w:t xml:space="preserve">were found. </w:t>
      </w:r>
    </w:p>
    <w:p w14:paraId="0156C392" w14:textId="31E40AFE" w:rsidR="00D21771" w:rsidRDefault="00D21771" w:rsidP="00D21771">
      <w:pP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Conclusion: </w:t>
      </w:r>
      <w:r>
        <w:rPr>
          <w:rFonts w:ascii="Times New Roman" w:eastAsia="Times New Roman" w:hAnsi="Times New Roman" w:cs="Times New Roman"/>
          <w:sz w:val="20"/>
          <w:szCs w:val="20"/>
          <w:shd w:val="clear" w:color="auto" w:fill="FFFFFF"/>
        </w:rPr>
        <w:t xml:space="preserve">Class II division 1 malocclusion displayed the most significant prevalence in the sample, while Class III malocclusion showed the lowest prevalence. </w:t>
      </w:r>
      <w:r>
        <w:rPr>
          <w:rFonts w:ascii="Times New Roman" w:hAnsi="Times New Roman" w:cs="Times New Roman"/>
          <w:sz w:val="20"/>
          <w:szCs w:val="20"/>
        </w:rPr>
        <w:t>An open bite was primarily associated with Class III malocclusion. The prevalence of malocclusion in this study was comparable to that reported in regional populations.</w:t>
      </w:r>
    </w:p>
    <w:p w14:paraId="78997939" w14:textId="459B6145" w:rsidR="00D21771" w:rsidRDefault="00D21771" w:rsidP="00D21771">
      <w:pPr>
        <w:pBdr>
          <w:bottom w:val="single" w:sz="6" w:space="1" w:color="auto"/>
        </w:pBd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Keywords:</w:t>
      </w:r>
      <w:r>
        <w:rPr>
          <w:rFonts w:ascii="Times New Roman" w:hAnsi="Times New Roman" w:cs="Times New Roman"/>
          <w:sz w:val="20"/>
          <w:szCs w:val="20"/>
        </w:rPr>
        <w:t xml:space="preserve"> Deep bite, open bite, malocclusion, dental classification, skeletal classification.</w:t>
      </w:r>
    </w:p>
    <w:p w14:paraId="32CC80F6" w14:textId="77777777" w:rsidR="00D21771" w:rsidRDefault="00D21771" w:rsidP="00D21771">
      <w:pPr>
        <w:spacing w:before="100" w:beforeAutospacing="1"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A7C291E" w14:textId="20EA2EB1"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Malocclusion is defined as a deviation from the normal occlusion. Occasionally, it </w:t>
      </w:r>
      <w:r w:rsidR="00EB21AA">
        <w:rPr>
          <w:rFonts w:ascii="Times New Roman" w:hAnsi="Times New Roman" w:cs="Times New Roman"/>
          <w:sz w:val="24"/>
          <w:szCs w:val="24"/>
        </w:rPr>
        <w:t xml:space="preserve">results from abnormalities in skeletal growth and dental development, as well as from </w:t>
      </w:r>
      <w:r>
        <w:rPr>
          <w:rFonts w:ascii="Times New Roman" w:hAnsi="Times New Roman" w:cs="Times New Roman"/>
          <w:sz w:val="24"/>
          <w:szCs w:val="24"/>
        </w:rPr>
        <w:t>various environmental influences.</w:t>
      </w:r>
      <w:r>
        <w:rPr>
          <w:rFonts w:ascii="Times New Roman" w:hAnsi="Times New Roman" w:cs="Times New Roman"/>
          <w:sz w:val="24"/>
          <w:szCs w:val="24"/>
          <w:vertAlign w:val="superscript"/>
        </w:rPr>
        <w:t>1</w:t>
      </w:r>
      <w:r w:rsidR="00521A38">
        <w:rPr>
          <w:rFonts w:ascii="Times New Roman" w:hAnsi="Times New Roman" w:cs="Times New Roman"/>
          <w:sz w:val="24"/>
          <w:szCs w:val="24"/>
          <w:vertAlign w:val="superscript"/>
        </w:rPr>
        <w:t>,23</w:t>
      </w:r>
      <w:r>
        <w:rPr>
          <w:rFonts w:ascii="Times New Roman" w:hAnsi="Times New Roman" w:cs="Times New Roman"/>
          <w:sz w:val="24"/>
          <w:szCs w:val="24"/>
        </w:rPr>
        <w:t xml:space="preserve"> It is deemed a dental public health concern with a relatively high prevalence in some populations.</w:t>
      </w:r>
      <w:r>
        <w:rPr>
          <w:rFonts w:ascii="Times New Roman" w:hAnsi="Times New Roman" w:cs="Times New Roman"/>
          <w:sz w:val="24"/>
          <w:szCs w:val="24"/>
          <w:vertAlign w:val="superscript"/>
        </w:rPr>
        <w:t xml:space="preserve">2 </w:t>
      </w:r>
    </w:p>
    <w:p w14:paraId="3842563D" w14:textId="0940D4F9"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context, malocclusion has been described </w:t>
      </w:r>
      <w:r w:rsidR="00EB21AA">
        <w:rPr>
          <w:rFonts w:ascii="Times New Roman" w:hAnsi="Times New Roman" w:cs="Times New Roman"/>
          <w:sz w:val="24"/>
          <w:szCs w:val="24"/>
        </w:rPr>
        <w:t>as having negative, detrimental impacts on individuals across</w:t>
      </w:r>
      <w:r>
        <w:rPr>
          <w:rFonts w:ascii="Times New Roman" w:hAnsi="Times New Roman" w:cs="Times New Roman"/>
          <w:sz w:val="24"/>
          <w:szCs w:val="24"/>
        </w:rPr>
        <w:t xml:space="preserve"> several areas, including dental health, psychological well-being, and social well-being.</w:t>
      </w:r>
      <w:r>
        <w:rPr>
          <w:rFonts w:ascii="Times New Roman" w:hAnsi="Times New Roman" w:cs="Times New Roman"/>
          <w:sz w:val="24"/>
          <w:szCs w:val="24"/>
          <w:vertAlign w:val="superscript"/>
        </w:rPr>
        <w:t xml:space="preserve">3-6 </w:t>
      </w:r>
      <w:r>
        <w:rPr>
          <w:rFonts w:ascii="Times New Roman" w:hAnsi="Times New Roman" w:cs="Times New Roman"/>
          <w:sz w:val="24"/>
          <w:szCs w:val="24"/>
        </w:rPr>
        <w:t xml:space="preserve">Hence, adversely affecting individuals’ social interaction is due to patient-reported </w:t>
      </w:r>
      <w:r w:rsidR="00EB21AA">
        <w:rPr>
          <w:rFonts w:ascii="Times New Roman" w:hAnsi="Times New Roman" w:cs="Times New Roman"/>
          <w:sz w:val="24"/>
          <w:szCs w:val="24"/>
        </w:rPr>
        <w:t xml:space="preserve">impairment in oral aesthetics, as well as to </w:t>
      </w:r>
      <w:r>
        <w:rPr>
          <w:rFonts w:ascii="Times New Roman" w:hAnsi="Times New Roman" w:cs="Times New Roman"/>
          <w:sz w:val="24"/>
          <w:szCs w:val="24"/>
        </w:rPr>
        <w:t>predisposing them to the development of function-related problems, such as speech issues.</w:t>
      </w:r>
    </w:p>
    <w:p w14:paraId="63F3430A" w14:textId="608DB2AB" w:rsidR="00D21771" w:rsidRDefault="00D21771" w:rsidP="00D21771">
      <w:pPr>
        <w:spacing w:after="12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Therefore, orthodontic treatment is highly sought after; it is plausible to assume that there is a contingent of individuals with malocclusion in specific populations who are in great need yet lack treatment.</w:t>
      </w:r>
      <w:r>
        <w:rPr>
          <w:rFonts w:ascii="Times New Roman" w:hAnsi="Times New Roman" w:cs="Times New Roman"/>
          <w:sz w:val="24"/>
          <w:szCs w:val="24"/>
          <w:vertAlign w:val="superscript"/>
        </w:rPr>
        <w:t xml:space="preserve">7 </w:t>
      </w:r>
      <w:r>
        <w:rPr>
          <w:rFonts w:ascii="Times New Roman" w:hAnsi="Times New Roman" w:cs="Times New Roman"/>
          <w:sz w:val="24"/>
          <w:szCs w:val="24"/>
        </w:rPr>
        <w:t xml:space="preserve">Nevertheless, </w:t>
      </w:r>
      <w:r>
        <w:rPr>
          <w:rFonts w:ascii="Times New Roman" w:eastAsia="Times New Roman" w:hAnsi="Times New Roman" w:cs="Times New Roman"/>
          <w:sz w:val="24"/>
          <w:szCs w:val="24"/>
          <w:shd w:val="clear" w:color="auto" w:fill="FFFFFF"/>
        </w:rPr>
        <w:t>such a high prevalence of malocclusion in some populations (97.6%) does not reflect a burgeoning </w:t>
      </w:r>
      <w:r>
        <w:rPr>
          <w:rFonts w:ascii="Times New Roman" w:eastAsia="Times New Roman" w:hAnsi="Times New Roman" w:cs="Times New Roman"/>
          <w:sz w:val="24"/>
          <w:szCs w:val="24"/>
        </w:rPr>
        <w:t>demand</w:t>
      </w:r>
      <w:r>
        <w:rPr>
          <w:rFonts w:ascii="Times New Roman" w:eastAsia="Times New Roman" w:hAnsi="Times New Roman" w:cs="Times New Roman"/>
          <w:sz w:val="24"/>
          <w:szCs w:val="24"/>
          <w:shd w:val="clear" w:color="auto" w:fill="FFFFFF"/>
        </w:rPr>
        <w:t> for</w:t>
      </w:r>
      <w:r>
        <w:rPr>
          <w:rFonts w:ascii="Times New Roman" w:eastAsia="Times New Roman" w:hAnsi="Times New Roman" w:cs="Times New Roman"/>
          <w:sz w:val="24"/>
          <w:szCs w:val="24"/>
        </w:rPr>
        <w:t xml:space="preserve"> treatment.</w:t>
      </w:r>
      <w:r>
        <w:rPr>
          <w:rFonts w:ascii="Times New Roman" w:eastAsia="Times New Roman" w:hAnsi="Times New Roman" w:cs="Times New Roman"/>
          <w:sz w:val="24"/>
          <w:szCs w:val="24"/>
          <w:vertAlign w:val="superscript"/>
        </w:rPr>
        <w:t>8</w:t>
      </w:r>
      <w:r>
        <w:rPr>
          <w:rFonts w:ascii="Times New Roman" w:hAnsi="Times New Roman" w:cs="Times New Roman"/>
          <w:sz w:val="24"/>
          <w:szCs w:val="24"/>
        </w:rPr>
        <w:t xml:space="preserve"> Thus, knowledge of malocclusion prevalence is equally essential for both orthodontists and healthcare commissioners. For instance, it has been estimated that 11% of the National Health Service (England, UK) spending on dentistry is directed to orthodontic treatment.</w:t>
      </w:r>
      <w:r>
        <w:rPr>
          <w:rFonts w:ascii="Times New Roman" w:hAnsi="Times New Roman" w:cs="Times New Roman"/>
          <w:sz w:val="24"/>
          <w:szCs w:val="24"/>
          <w:vertAlign w:val="superscript"/>
        </w:rPr>
        <w:t>9</w:t>
      </w:r>
    </w:p>
    <w:p w14:paraId="065FD185" w14:textId="627080D5" w:rsidR="00D21771" w:rsidRDefault="00D21771" w:rsidP="00D21771">
      <w:pPr>
        <w:spacing w:after="12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Several objective measures have been used to assess and describe malocclusion. Among these are the Angle’s malocclusion classification and the British Standards Institute’s incisor classification (BSI). The Angle’s system has been widely used as a qualitative epidemiological instrument; however, it is associated with high inter-examiner reliability errors.</w:t>
      </w:r>
      <w:r>
        <w:rPr>
          <w:rFonts w:ascii="Times New Roman" w:hAnsi="Times New Roman" w:cs="Times New Roman"/>
          <w:sz w:val="24"/>
          <w:szCs w:val="24"/>
          <w:vertAlign w:val="superscript"/>
        </w:rPr>
        <w:t xml:space="preserve">10 </w:t>
      </w:r>
      <w:r>
        <w:rPr>
          <w:rFonts w:ascii="Times New Roman" w:hAnsi="Times New Roman" w:cs="Times New Roman"/>
          <w:sz w:val="24"/>
          <w:szCs w:val="24"/>
        </w:rPr>
        <w:t xml:space="preserve">Unlike the Angle’s system, the BSI has shown good </w:t>
      </w:r>
      <w:r>
        <w:rPr>
          <w:rFonts w:ascii="Times New Roman" w:eastAsia="Times New Roman" w:hAnsi="Times New Roman" w:cs="Times New Roman"/>
          <w:sz w:val="24"/>
          <w:szCs w:val="24"/>
        </w:rPr>
        <w:t>inter-examiner and intra-examiner agreement</w:t>
      </w:r>
      <w:r>
        <w:rPr>
          <w:rFonts w:ascii="Times New Roman" w:hAnsi="Times New Roman" w:cs="Times New Roman"/>
          <w:sz w:val="24"/>
          <w:szCs w:val="24"/>
        </w:rPr>
        <w:t>, hence rendering it reliable.</w:t>
      </w:r>
      <w:r>
        <w:rPr>
          <w:rFonts w:ascii="Times New Roman" w:hAnsi="Times New Roman" w:cs="Times New Roman"/>
          <w:sz w:val="24"/>
          <w:szCs w:val="24"/>
          <w:vertAlign w:val="superscript"/>
        </w:rPr>
        <w:t>11</w:t>
      </w:r>
    </w:p>
    <w:p w14:paraId="24F58A99" w14:textId="550C484D" w:rsidR="00D21771" w:rsidRDefault="00D21771" w:rsidP="00D21771">
      <w:pPr>
        <w:spacing w:after="120" w:line="240" w:lineRule="auto"/>
        <w:jc w:val="both"/>
        <w:rPr>
          <w:rFonts w:ascii="Times New Roman" w:hAnsi="Times New Roman" w:cs="Times New Roman"/>
          <w:sz w:val="24"/>
          <w:szCs w:val="24"/>
          <w:vertAlign w:val="superscript"/>
        </w:rPr>
      </w:pPr>
      <w:r>
        <w:rPr>
          <w:rFonts w:ascii="Times New Roman" w:eastAsia="Times New Roman" w:hAnsi="Times New Roman" w:cs="Times New Roman"/>
          <w:sz w:val="24"/>
          <w:szCs w:val="24"/>
        </w:rPr>
        <w:lastRenderedPageBreak/>
        <w:t>Regarding the prevalence and distribution of malocclusion traits and features, differences exist among populations.</w:t>
      </w:r>
      <w:r>
        <w:rPr>
          <w:rFonts w:ascii="Times New Roman" w:eastAsia="Times New Roman" w:hAnsi="Times New Roman" w:cs="Times New Roman"/>
          <w:sz w:val="24"/>
          <w:szCs w:val="24"/>
          <w:vertAlign w:val="superscript"/>
        </w:rPr>
        <w:t xml:space="preserve">12,13 </w:t>
      </w:r>
      <w:r>
        <w:rPr>
          <w:rFonts w:ascii="Times New Roman" w:eastAsia="Times New Roman" w:hAnsi="Times New Roman" w:cs="Times New Roman"/>
          <w:sz w:val="24"/>
          <w:szCs w:val="24"/>
          <w:shd w:val="clear" w:color="auto" w:fill="FFFFFF"/>
          <w:lang w:val="en-US"/>
        </w:rPr>
        <w:t>This wide range of distribution is attributed to an interplay of racial, genetic, and environmental factors.</w:t>
      </w:r>
      <w:r>
        <w:rPr>
          <w:rFonts w:ascii="Times New Roman" w:eastAsia="Times New Roman" w:hAnsi="Times New Roman" w:cs="Times New Roman"/>
          <w:sz w:val="24"/>
          <w:szCs w:val="24"/>
          <w:shd w:val="clear" w:color="auto" w:fill="FFFFFF"/>
          <w:vertAlign w:val="superscript"/>
          <w:lang w:val="en-US"/>
        </w:rPr>
        <w:t>12</w:t>
      </w:r>
      <w:r>
        <w:rPr>
          <w:rFonts w:ascii="Times New Roman" w:eastAsia="Times New Roman" w:hAnsi="Times New Roman" w:cs="Times New Roman"/>
          <w:sz w:val="24"/>
          <w:szCs w:val="24"/>
          <w:shd w:val="clear" w:color="auto" w:fill="FFFFFF"/>
          <w:lang w:val="en-US"/>
        </w:rPr>
        <w:t xml:space="preserve"> For instance, Class III malocclusions are more common among Asian races, while Class II malocclusions are more common in individuals of European descent.</w:t>
      </w:r>
      <w:r>
        <w:rPr>
          <w:rFonts w:ascii="Times New Roman" w:eastAsia="Times New Roman" w:hAnsi="Times New Roman" w:cs="Times New Roman"/>
          <w:sz w:val="24"/>
          <w:szCs w:val="24"/>
          <w:shd w:val="clear" w:color="auto" w:fill="FFFFFF"/>
          <w:vertAlign w:val="superscript"/>
          <w:lang w:val="en-US"/>
        </w:rPr>
        <w:t>12</w:t>
      </w:r>
      <w:r>
        <w:rPr>
          <w:rFonts w:ascii="Times New Roman" w:eastAsia="Times New Roman" w:hAnsi="Times New Roman" w:cs="Times New Roman"/>
          <w:sz w:val="24"/>
          <w:szCs w:val="24"/>
          <w:shd w:val="clear" w:color="auto" w:fill="FFFFFF"/>
          <w:lang w:val="en-US"/>
        </w:rPr>
        <w:t xml:space="preserve"> </w:t>
      </w:r>
    </w:p>
    <w:p w14:paraId="7AD2DAA8" w14:textId="4BFCC0C3" w:rsidR="00D21771" w:rsidRDefault="00D21771" w:rsidP="00D21771">
      <w:pPr>
        <w:pStyle w:val="NormalWeb"/>
        <w:spacing w:before="0" w:beforeAutospacing="0" w:after="240" w:afterAutospacing="0"/>
        <w:jc w:val="both"/>
        <w:rPr>
          <w:vertAlign w:val="superscript"/>
          <w:lang w:val="en-GB"/>
        </w:rPr>
      </w:pPr>
      <w:r>
        <w:rPr>
          <w:rFonts w:eastAsia="Times New Roman"/>
        </w:rPr>
        <w:t>In the literature, few studies have investigated the prevalence of malocclusion in Sudan.</w:t>
      </w:r>
      <w:r>
        <w:rPr>
          <w:rFonts w:eastAsia="Times New Roman"/>
          <w:vertAlign w:val="superscript"/>
        </w:rPr>
        <w:t xml:space="preserve">14,15,16 </w:t>
      </w:r>
      <w:r>
        <w:rPr>
          <w:rFonts w:eastAsia="Times New Roman"/>
        </w:rPr>
        <w:t>Thus, the objectives of this study were to: (</w:t>
      </w:r>
      <w:proofErr w:type="spellStart"/>
      <w:r>
        <w:rPr>
          <w:rFonts w:eastAsia="Times New Roman"/>
        </w:rPr>
        <w:t>i</w:t>
      </w:r>
      <w:proofErr w:type="spellEnd"/>
      <w:r>
        <w:rPr>
          <w:rFonts w:eastAsia="Times New Roman"/>
        </w:rPr>
        <w:t>) estimate the prevalence of malocclusion among a sample of Sudanese orthodontic patients; and to (ii) estimate the prevalence of individual traits of malocclusion in the same cohort.</w:t>
      </w:r>
    </w:p>
    <w:p w14:paraId="061B5F63" w14:textId="77777777" w:rsidR="00D21771" w:rsidRDefault="00D21771" w:rsidP="00D21771">
      <w:pPr>
        <w:spacing w:after="120" w:line="240" w:lineRule="auto"/>
        <w:jc w:val="both"/>
        <w:rPr>
          <w:rFonts w:ascii="Times New Roman" w:hAnsi="Times New Roman" w:cs="Times New Roman"/>
          <w:b/>
          <w:bCs/>
          <w:sz w:val="24"/>
          <w:szCs w:val="24"/>
          <w:rtl/>
        </w:rPr>
      </w:pPr>
      <w:r>
        <w:rPr>
          <w:rFonts w:ascii="Times New Roman" w:hAnsi="Times New Roman" w:cs="Times New Roman"/>
          <w:b/>
          <w:bCs/>
          <w:sz w:val="24"/>
          <w:szCs w:val="24"/>
        </w:rPr>
        <w:t>MATERIAL AND METHODS</w:t>
      </w:r>
    </w:p>
    <w:p w14:paraId="63271248" w14:textId="6ADECD31" w:rsidR="00D21771" w:rsidRDefault="00D21771" w:rsidP="00D21771">
      <w:pPr>
        <w:widowControl w:val="0"/>
        <w:autoSpaceDE w:val="0"/>
        <w:autoSpaceDN w:val="0"/>
        <w:adjustRightInd w:val="0"/>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 cross-sectional study of a Sudanese sample of 300 patients (95 males and 205 females), aged </w:t>
      </w:r>
      <w:r w:rsidR="00EC08E0">
        <w:rPr>
          <w:rFonts w:ascii="Times New Roman" w:hAnsi="Times New Roman" w:cs="Times New Roman"/>
          <w:sz w:val="24"/>
          <w:szCs w:val="24"/>
        </w:rPr>
        <w:t xml:space="preserve">9 to 51 years, who </w:t>
      </w:r>
      <w:r>
        <w:rPr>
          <w:rFonts w:ascii="Times New Roman" w:hAnsi="Times New Roman" w:cs="Times New Roman"/>
          <w:sz w:val="24"/>
          <w:szCs w:val="24"/>
        </w:rPr>
        <w:t xml:space="preserve">visited the </w:t>
      </w:r>
      <w:r w:rsidR="006F6A8A">
        <w:rPr>
          <w:rFonts w:ascii="Times New Roman" w:hAnsi="Times New Roman" w:cs="Times New Roman"/>
          <w:sz w:val="24"/>
          <w:szCs w:val="24"/>
        </w:rPr>
        <w:t xml:space="preserve">Mageet </w:t>
      </w:r>
      <w:r>
        <w:rPr>
          <w:rFonts w:ascii="Times New Roman" w:hAnsi="Times New Roman" w:cs="Times New Roman"/>
          <w:sz w:val="24"/>
          <w:szCs w:val="24"/>
        </w:rPr>
        <w:t xml:space="preserve">Orthodontic Training </w:t>
      </w:r>
      <w:r w:rsidR="00EB21AA">
        <w:rPr>
          <w:rFonts w:ascii="Times New Roman" w:hAnsi="Times New Roman" w:cs="Times New Roman"/>
          <w:sz w:val="24"/>
          <w:szCs w:val="24"/>
        </w:rPr>
        <w:t>Centre</w:t>
      </w:r>
      <w:r>
        <w:rPr>
          <w:rFonts w:ascii="Times New Roman" w:hAnsi="Times New Roman" w:cs="Times New Roman"/>
          <w:sz w:val="24"/>
          <w:szCs w:val="24"/>
        </w:rPr>
        <w:t xml:space="preserve"> for dental treatment. </w:t>
      </w:r>
      <w:r w:rsidR="00133F29">
        <w:rPr>
          <w:rFonts w:ascii="Times New Roman" w:hAnsi="Times New Roman" w:cs="Times New Roman"/>
          <w:sz w:val="24"/>
          <w:szCs w:val="24"/>
        </w:rPr>
        <w:t>Informed</w:t>
      </w:r>
      <w:r>
        <w:rPr>
          <w:rFonts w:ascii="Times New Roman" w:hAnsi="Times New Roman" w:cs="Times New Roman"/>
          <w:sz w:val="24"/>
          <w:szCs w:val="24"/>
        </w:rPr>
        <w:t xml:space="preserve"> consent is </w:t>
      </w:r>
      <w:r w:rsidR="00EB21AA">
        <w:rPr>
          <w:rFonts w:ascii="Times New Roman" w:hAnsi="Times New Roman" w:cs="Times New Roman"/>
          <w:sz w:val="24"/>
          <w:szCs w:val="24"/>
        </w:rPr>
        <w:t xml:space="preserve">obtained at the beginning of orthodontic records, before starting </w:t>
      </w:r>
      <w:r>
        <w:rPr>
          <w:rFonts w:ascii="Times New Roman" w:hAnsi="Times New Roman" w:cs="Times New Roman"/>
          <w:sz w:val="24"/>
          <w:szCs w:val="24"/>
        </w:rPr>
        <w:t xml:space="preserve">treatment. </w:t>
      </w:r>
      <w:r>
        <w:rPr>
          <w:rFonts w:ascii="Times New Roman" w:hAnsi="Times New Roman" w:cs="Times New Roman"/>
          <w:sz w:val="24"/>
          <w:szCs w:val="24"/>
          <w:lang w:val="en-US"/>
        </w:rPr>
        <w:t xml:space="preserve">Informed consents were </w:t>
      </w:r>
      <w:r w:rsidR="00133F29">
        <w:rPr>
          <w:rFonts w:ascii="Times New Roman" w:hAnsi="Times New Roman" w:cs="Times New Roman"/>
          <w:sz w:val="24"/>
          <w:szCs w:val="24"/>
          <w:lang w:val="en-US"/>
        </w:rPr>
        <w:t xml:space="preserve">routinely obtained from all patients, parents, and/or guardians before commencing </w:t>
      </w:r>
      <w:r>
        <w:rPr>
          <w:rFonts w:ascii="Times New Roman" w:hAnsi="Times New Roman" w:cs="Times New Roman"/>
          <w:sz w:val="24"/>
          <w:szCs w:val="24"/>
          <w:lang w:val="en-US"/>
        </w:rPr>
        <w:t xml:space="preserve">orthodontic treatment. </w:t>
      </w:r>
    </w:p>
    <w:p w14:paraId="6CF552A2" w14:textId="6BFB9480"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vertical relationship was classified as complete deep bite</w:t>
      </w:r>
      <w:r w:rsidR="00133F29">
        <w:rPr>
          <w:rFonts w:ascii="Times New Roman" w:hAnsi="Times New Roman" w:cs="Times New Roman"/>
          <w:sz w:val="24"/>
          <w:szCs w:val="24"/>
        </w:rPr>
        <w:t>, ⅔ deep bite, normal bite (⅓), edge-to-edge, 0.1-2.9mm open bite,</w:t>
      </w:r>
      <w:r>
        <w:rPr>
          <w:rFonts w:ascii="Times New Roman" w:hAnsi="Times New Roman" w:cs="Times New Roman"/>
          <w:sz w:val="24"/>
          <w:szCs w:val="24"/>
        </w:rPr>
        <w:t xml:space="preserve"> and 3-8mm open bite (Figure 1). </w:t>
      </w:r>
    </w:p>
    <w:p w14:paraId="1A700212" w14:textId="77777777" w:rsidR="00D21771" w:rsidRDefault="00D21771" w:rsidP="00D217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1. Vertical classification</w:t>
      </w:r>
    </w:p>
    <w:p w14:paraId="560C31B2" w14:textId="1401D515" w:rsidR="00D21771" w:rsidRDefault="002F7E26" w:rsidP="00D21771">
      <w:pPr>
        <w:spacing w:after="120" w:line="240" w:lineRule="auto"/>
        <w:jc w:val="both"/>
        <w:rPr>
          <w:rFonts w:ascii="Times New Roman" w:hAnsi="Times New Roman" w:cs="Times New Roman"/>
          <w:sz w:val="24"/>
          <w:szCs w:val="24"/>
        </w:rPr>
      </w:pPr>
      <w:r w:rsidRPr="002F7E26">
        <w:rPr>
          <w:rFonts w:ascii="Times New Roman" w:hAnsi="Times New Roman" w:cs="Times New Roman"/>
          <w:noProof/>
          <w:sz w:val="24"/>
          <w:szCs w:val="24"/>
        </w:rPr>
        <w:drawing>
          <wp:inline distT="0" distB="0" distL="0" distR="0" wp14:anchorId="25584A37" wp14:editId="37BDB75B">
            <wp:extent cx="5731510" cy="2604135"/>
            <wp:effectExtent l="0" t="0" r="2540" b="5715"/>
            <wp:docPr id="5" name="Picture 4">
              <a:extLst xmlns:a="http://schemas.openxmlformats.org/drawingml/2006/main">
                <a:ext uri="{FF2B5EF4-FFF2-40B4-BE49-F238E27FC236}">
                  <a16:creationId xmlns:a16="http://schemas.microsoft.com/office/drawing/2014/main" id="{E57A1C52-1B14-3AAB-F284-48C58005E4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57A1C52-1B14-3AAB-F284-48C58005E418}"/>
                        </a:ext>
                      </a:extLst>
                    </pic:cNvPr>
                    <pic:cNvPicPr>
                      <a:picLocks noChangeAspect="1"/>
                    </pic:cNvPicPr>
                  </pic:nvPicPr>
                  <pic:blipFill>
                    <a:blip r:embed="rId8"/>
                    <a:stretch>
                      <a:fillRect/>
                    </a:stretch>
                  </pic:blipFill>
                  <pic:spPr>
                    <a:xfrm>
                      <a:off x="0" y="0"/>
                      <a:ext cx="5731510" cy="2604135"/>
                    </a:xfrm>
                    <a:prstGeom prst="rect">
                      <a:avLst/>
                    </a:prstGeom>
                  </pic:spPr>
                </pic:pic>
              </a:graphicData>
            </a:graphic>
          </wp:inline>
        </w:drawing>
      </w:r>
      <w:r w:rsidR="00D21771">
        <w:rPr>
          <w:rFonts w:ascii="Times New Roman" w:hAnsi="Times New Roman" w:cs="Times New Roman"/>
          <w:sz w:val="24"/>
          <w:szCs w:val="24"/>
        </w:rPr>
        <w:t xml:space="preserve"> </w:t>
      </w:r>
    </w:p>
    <w:p w14:paraId="2CDB6C9B" w14:textId="2E546135" w:rsidR="00D21771" w:rsidRDefault="00D21771" w:rsidP="00D21771">
      <w:pPr>
        <w:widowControl w:val="0"/>
        <w:autoSpaceDE w:val="0"/>
        <w:autoSpaceDN w:val="0"/>
        <w:adjustRightInd w:val="0"/>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Ethical approval was obtained from the Ethics </w:t>
      </w:r>
      <w:r w:rsidR="00133F29">
        <w:rPr>
          <w:rFonts w:ascii="Times New Roman" w:hAnsi="Times New Roman" w:cs="Times New Roman"/>
          <w:sz w:val="24"/>
          <w:szCs w:val="24"/>
        </w:rPr>
        <w:t>Committee</w:t>
      </w:r>
      <w:r>
        <w:rPr>
          <w:rFonts w:ascii="Times New Roman" w:hAnsi="Times New Roman" w:cs="Times New Roman"/>
          <w:sz w:val="24"/>
          <w:szCs w:val="24"/>
        </w:rPr>
        <w:t xml:space="preserve"> of the Orthodontic Training </w:t>
      </w:r>
      <w:r w:rsidR="00F370E8">
        <w:rPr>
          <w:rFonts w:ascii="Times New Roman" w:hAnsi="Times New Roman" w:cs="Times New Roman"/>
          <w:sz w:val="24"/>
          <w:szCs w:val="24"/>
        </w:rPr>
        <w:t>Centre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14:paraId="78E24235" w14:textId="46D909CA" w:rsidR="00D21771" w:rsidRDefault="00D21771" w:rsidP="00D2177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was conducted in the capital of Sudan, Khartoum. It has a population of </w:t>
      </w:r>
      <w:r>
        <w:rPr>
          <w:rFonts w:ascii="Times New Roman" w:hAnsi="Times New Roman" w:cs="Times New Roman"/>
          <w:sz w:val="24"/>
          <w:szCs w:val="24"/>
          <w:shd w:val="clear" w:color="auto" w:fill="FFFFFF"/>
        </w:rPr>
        <w:t>6,344,348 as of the year 2023</w:t>
      </w:r>
      <w:r w:rsidR="00133F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with a growth rate of 2.99% from 2022.</w:t>
      </w:r>
    </w:p>
    <w:p w14:paraId="1B12EB89" w14:textId="77777777" w:rsidR="00D21771" w:rsidRDefault="00D21771" w:rsidP="00D21771">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Power analysis (sample size calculation):</w:t>
      </w:r>
    </w:p>
    <w:p w14:paraId="0DAF52C8" w14:textId="77777777" w:rsidR="00D53C69" w:rsidRDefault="00D21771" w:rsidP="00D21771">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Power analysis was done based on the results of the paper entitled: The prevalence of malocclusion and the need for orthodontic treatment among adolescents in the northern border region of Saudi Arabia: An epidemiological study.</w:t>
      </w:r>
      <w:r w:rsidR="005D7F3C">
        <w:rPr>
          <w:rFonts w:ascii="Times New Roman" w:hAnsi="Times New Roman" w:cs="Times New Roman"/>
          <w:sz w:val="24"/>
          <w:szCs w:val="24"/>
          <w:vertAlign w:val="superscript"/>
        </w:rPr>
        <w:t>20</w:t>
      </w:r>
    </w:p>
    <w:p w14:paraId="629825F2" w14:textId="77777777" w:rsidR="002F7E26" w:rsidRDefault="00D21771" w:rsidP="00D21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EC3C0C" w14:textId="77777777" w:rsidR="002F7E26" w:rsidRDefault="002F7E26" w:rsidP="00D21771">
      <w:pPr>
        <w:spacing w:after="0" w:line="240" w:lineRule="auto"/>
        <w:jc w:val="both"/>
        <w:rPr>
          <w:rFonts w:ascii="Times New Roman" w:hAnsi="Times New Roman" w:cs="Times New Roman"/>
          <w:sz w:val="24"/>
          <w:szCs w:val="24"/>
        </w:rPr>
      </w:pPr>
    </w:p>
    <w:p w14:paraId="3208EBC4" w14:textId="77777777" w:rsidR="002F7E26" w:rsidRDefault="002F7E26" w:rsidP="00D21771">
      <w:pPr>
        <w:spacing w:after="0" w:line="240" w:lineRule="auto"/>
        <w:jc w:val="both"/>
        <w:rPr>
          <w:rFonts w:ascii="Times New Roman" w:hAnsi="Times New Roman" w:cs="Times New Roman"/>
          <w:sz w:val="24"/>
          <w:szCs w:val="24"/>
        </w:rPr>
      </w:pPr>
    </w:p>
    <w:p w14:paraId="731636A0" w14:textId="5BC86649" w:rsidR="00D21771" w:rsidRDefault="00D21771" w:rsidP="00D21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Sample size can be estimated using the formula:</w:t>
      </w:r>
    </w:p>
    <w:p w14:paraId="363A8D17" w14:textId="77777777" w:rsidR="00D21771" w:rsidRDefault="00D21771" w:rsidP="00D21771">
      <w:pPr>
        <w:pBdr>
          <w:between w:val="single" w:sz="4" w:space="1" w:color="auto"/>
        </w:pBdr>
        <w:spacing w:after="0" w:line="240" w:lineRule="auto"/>
        <w:ind w:left="2880"/>
        <w:jc w:val="both"/>
        <w:rPr>
          <w:rFonts w:ascii="Times New Roman" w:eastAsiaTheme="minorEastAsia" w:hAnsi="Times New Roman" w:cs="Times New Roman"/>
          <w:sz w:val="36"/>
          <w:szCs w:val="36"/>
        </w:rPr>
      </w:pPr>
      <w:r>
        <w:rPr>
          <w:rFonts w:ascii="Times New Roman" w:hAnsi="Times New Roman" w:cs="Times New Roman"/>
          <w:sz w:val="36"/>
          <w:szCs w:val="36"/>
        </w:rPr>
        <w:t xml:space="preserve">n =  </w:t>
      </w:r>
      <m:oMath>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Z</m:t>
                </m:r>
              </m:e>
              <m:sup>
                <m:r>
                  <w:rPr>
                    <w:rFonts w:ascii="Cambria Math" w:hAnsi="Cambria Math" w:cs="Times New Roman"/>
                    <w:sz w:val="36"/>
                    <w:szCs w:val="36"/>
                  </w:rPr>
                  <m:t>2</m:t>
                </m:r>
              </m:sup>
            </m:sSup>
            <m:r>
              <w:rPr>
                <w:rFonts w:ascii="Cambria Math" w:hAnsi="Cambria Math" w:cs="Times New Roman"/>
                <w:sz w:val="36"/>
                <w:szCs w:val="36"/>
              </w:rPr>
              <m:t xml:space="preserve"> P(1-P)</m:t>
            </m:r>
          </m:num>
          <m:den>
            <m:sSup>
              <m:sSupPr>
                <m:ctrlPr>
                  <w:rPr>
                    <w:rFonts w:ascii="Cambria Math" w:hAnsi="Cambria Math" w:cs="Times New Roman"/>
                    <w:i/>
                    <w:sz w:val="36"/>
                    <w:szCs w:val="36"/>
                  </w:rPr>
                </m:ctrlPr>
              </m:sSupPr>
              <m:e>
                <m:r>
                  <w:rPr>
                    <w:rFonts w:ascii="Cambria Math" w:hAnsi="Cambria Math" w:cs="Times New Roman"/>
                    <w:sz w:val="36"/>
                    <w:szCs w:val="36"/>
                  </w:rPr>
                  <m:t>d</m:t>
                </m:r>
              </m:e>
              <m:sup>
                <m:r>
                  <w:rPr>
                    <w:rFonts w:ascii="Cambria Math" w:hAnsi="Cambria Math" w:cs="Times New Roman"/>
                    <w:sz w:val="36"/>
                    <w:szCs w:val="36"/>
                  </w:rPr>
                  <m:t>2</m:t>
                </m:r>
              </m:sup>
            </m:sSup>
          </m:den>
        </m:f>
      </m:oMath>
    </w:p>
    <w:p w14:paraId="291F40B8" w14:textId="437D252B" w:rsidR="00D21771" w:rsidRPr="00D717B3" w:rsidRDefault="00D21771" w:rsidP="00D717B3">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Where n is the sample size, Z is the statistic corresponding to the level of confidence, </w:t>
      </w:r>
      <w:r w:rsidR="00EC5150">
        <w:rPr>
          <w:rFonts w:ascii="Times New Roman" w:eastAsiaTheme="minorEastAsia" w:hAnsi="Times New Roman" w:cs="Times New Roman"/>
          <w:sz w:val="24"/>
          <w:szCs w:val="24"/>
        </w:rPr>
        <w:t xml:space="preserve">and </w:t>
      </w:r>
      <w:r w:rsidRPr="00EC5150">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 is the expected prevalence. The level of confidence usually aimed for is 95%.</w:t>
      </w:r>
      <w:r w:rsidR="00D717B3">
        <w:rPr>
          <w:rFonts w:ascii="Times New Roman" w:eastAsiaTheme="minorEastAsia" w:hAnsi="Times New Roman" w:cs="Times New Roman"/>
          <w:sz w:val="24"/>
          <w:szCs w:val="24"/>
        </w:rPr>
        <w:t xml:space="preserve"> </w:t>
      </w:r>
      <w:r>
        <w:rPr>
          <w:rFonts w:ascii="Times New Roman" w:hAnsi="Times New Roman" w:cs="Times New Roman"/>
          <w:sz w:val="24"/>
          <w:szCs w:val="24"/>
          <w:u w:val="single"/>
        </w:rPr>
        <w:t>d</w:t>
      </w:r>
      <w:r>
        <w:rPr>
          <w:rFonts w:ascii="Times New Roman" w:hAnsi="Times New Roman" w:cs="Times New Roman"/>
          <w:sz w:val="24"/>
          <w:szCs w:val="24"/>
        </w:rPr>
        <w:t xml:space="preserve"> is the Precision (or margin of error) with which a researcher is willing to measure the variables. The margin of error is set </w:t>
      </w:r>
      <w:r w:rsidR="00EC5150">
        <w:rPr>
          <w:rFonts w:ascii="Times New Roman" w:hAnsi="Times New Roman" w:cs="Times New Roman"/>
          <w:sz w:val="24"/>
          <w:szCs w:val="24"/>
        </w:rPr>
        <w:t>at</w:t>
      </w:r>
      <w:r>
        <w:rPr>
          <w:rFonts w:ascii="Times New Roman" w:hAnsi="Times New Roman" w:cs="Times New Roman"/>
          <w:sz w:val="24"/>
          <w:szCs w:val="24"/>
        </w:rPr>
        <w:t xml:space="preserve"> 5%. The estimated Sample Size is </w:t>
      </w:r>
      <w:r>
        <w:rPr>
          <w:rFonts w:ascii="Times New Roman" w:hAnsi="Times New Roman" w:cs="Times New Roman"/>
          <w:b/>
          <w:bCs/>
          <w:sz w:val="24"/>
          <w:szCs w:val="24"/>
        </w:rPr>
        <w:t>272.</w:t>
      </w:r>
      <w:r>
        <w:rPr>
          <w:rFonts w:ascii="Times New Roman" w:hAnsi="Times New Roman" w:cs="Times New Roman"/>
          <w:sz w:val="24"/>
          <w:szCs w:val="24"/>
        </w:rPr>
        <w:t xml:space="preserve"> </w:t>
      </w:r>
    </w:p>
    <w:p w14:paraId="2F029621" w14:textId="6F9AD10D"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descriptive cross-sectional prospective study of </w:t>
      </w:r>
      <w:r w:rsidR="00EB21AA">
        <w:rPr>
          <w:rFonts w:ascii="Times New Roman" w:hAnsi="Times New Roman" w:cs="Times New Roman"/>
          <w:sz w:val="24"/>
          <w:szCs w:val="24"/>
        </w:rPr>
        <w:t xml:space="preserve">300 Sudanese </w:t>
      </w:r>
      <w:r>
        <w:rPr>
          <w:rFonts w:ascii="Times New Roman" w:hAnsi="Times New Roman" w:cs="Times New Roman"/>
          <w:sz w:val="24"/>
          <w:szCs w:val="24"/>
        </w:rPr>
        <w:t xml:space="preserve">orthodontic patients (88 males and 212 females) </w:t>
      </w:r>
      <w:r w:rsidR="00133F29">
        <w:rPr>
          <w:rFonts w:ascii="Times New Roman" w:hAnsi="Times New Roman" w:cs="Times New Roman"/>
          <w:sz w:val="24"/>
          <w:szCs w:val="24"/>
        </w:rPr>
        <w:t>was conducted</w:t>
      </w:r>
      <w:r>
        <w:rPr>
          <w:rFonts w:ascii="Times New Roman" w:hAnsi="Times New Roman" w:cs="Times New Roman"/>
          <w:sz w:val="24"/>
          <w:szCs w:val="24"/>
        </w:rPr>
        <w:t xml:space="preserve">. The </w:t>
      </w:r>
      <w:r>
        <w:rPr>
          <w:rFonts w:ascii="Times New Roman" w:hAnsi="Times New Roman" w:cs="Times New Roman"/>
          <w:sz w:val="24"/>
          <w:szCs w:val="24"/>
          <w:lang w:val="en-US"/>
        </w:rPr>
        <w:t xml:space="preserve">mean age of the participants was 21.42; SD 7.91 years. The participants were patients attending the Orthodontic Training Centre in Khartoum, Sudan. </w:t>
      </w:r>
      <w:r>
        <w:rPr>
          <w:rFonts w:ascii="Times New Roman" w:hAnsi="Times New Roman" w:cs="Times New Roman"/>
          <w:sz w:val="24"/>
          <w:szCs w:val="24"/>
        </w:rPr>
        <w:t xml:space="preserve">Data collection and orthodontic assessments were </w:t>
      </w:r>
      <w:r w:rsidR="00133F29">
        <w:rPr>
          <w:rFonts w:ascii="Times New Roman" w:hAnsi="Times New Roman" w:cs="Times New Roman"/>
          <w:sz w:val="24"/>
          <w:szCs w:val="24"/>
        </w:rPr>
        <w:t>conducted by the first author (</w:t>
      </w:r>
      <w:r w:rsidR="00230D96">
        <w:rPr>
          <w:rFonts w:ascii="Times New Roman" w:hAnsi="Times New Roman" w:cs="Times New Roman"/>
          <w:sz w:val="24"/>
          <w:szCs w:val="24"/>
        </w:rPr>
        <w:t>AOM</w:t>
      </w:r>
      <w:r w:rsidR="00133F29">
        <w:rPr>
          <w:rFonts w:ascii="Times New Roman" w:hAnsi="Times New Roman" w:cs="Times New Roman"/>
          <w:sz w:val="24"/>
          <w:szCs w:val="24"/>
        </w:rPr>
        <w:t xml:space="preserve">) </w:t>
      </w:r>
      <w:r w:rsidR="00EB21AA">
        <w:rPr>
          <w:rFonts w:ascii="Times New Roman" w:hAnsi="Times New Roman" w:cs="Times New Roman"/>
          <w:sz w:val="24"/>
          <w:szCs w:val="24"/>
        </w:rPr>
        <w:t>for the participants over a 9-month period, from June 2021 to</w:t>
      </w:r>
      <w:r>
        <w:rPr>
          <w:rFonts w:ascii="Times New Roman" w:hAnsi="Times New Roman" w:cs="Times New Roman"/>
          <w:sz w:val="24"/>
          <w:szCs w:val="24"/>
        </w:rPr>
        <w:t xml:space="preserve"> March 2022.</w:t>
      </w:r>
    </w:p>
    <w:p w14:paraId="11464E2D" w14:textId="475772FC"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Patients were included according to the following criteria: Subjects from </w:t>
      </w:r>
      <w:r w:rsidR="00133F29">
        <w:rPr>
          <w:rFonts w:ascii="Times New Roman" w:hAnsi="Times New Roman" w:cs="Times New Roman"/>
          <w:sz w:val="24"/>
          <w:szCs w:val="24"/>
        </w:rPr>
        <w:t xml:space="preserve">a </w:t>
      </w:r>
      <w:r>
        <w:rPr>
          <w:rFonts w:ascii="Times New Roman" w:hAnsi="Times New Roman" w:cs="Times New Roman"/>
          <w:sz w:val="24"/>
          <w:szCs w:val="24"/>
        </w:rPr>
        <w:t xml:space="preserve">Sudanese ethnic background; permanent dentition; no abnormal tooth morphology; </w:t>
      </w:r>
      <w:r w:rsidR="00F11BA8" w:rsidRPr="00EB21AA">
        <w:rPr>
          <w:rFonts w:ascii="Times New Roman" w:hAnsi="Times New Roman" w:cs="Times New Roman"/>
          <w:sz w:val="24"/>
          <w:szCs w:val="24"/>
        </w:rPr>
        <w:t xml:space="preserve">no hypodontia or supernumerary teeth, </w:t>
      </w:r>
      <w:r w:rsidRPr="00EB21AA">
        <w:rPr>
          <w:rFonts w:ascii="Times New Roman" w:hAnsi="Times New Roman" w:cs="Times New Roman"/>
          <w:sz w:val="24"/>
          <w:szCs w:val="24"/>
        </w:rPr>
        <w:t>no prior history of orthodontic treatment; no previo</w:t>
      </w:r>
      <w:r>
        <w:rPr>
          <w:rFonts w:ascii="Times New Roman" w:hAnsi="Times New Roman" w:cs="Times New Roman"/>
          <w:sz w:val="24"/>
          <w:szCs w:val="24"/>
        </w:rPr>
        <w:t>us maxillofacial surgery; no factors which prevented accurate measurement of vertical relationship</w:t>
      </w:r>
      <w:r w:rsidR="00133F29">
        <w:rPr>
          <w:rFonts w:ascii="Times New Roman" w:hAnsi="Times New Roman" w:cs="Times New Roman"/>
          <w:sz w:val="24"/>
          <w:szCs w:val="24"/>
        </w:rPr>
        <w:t>,</w:t>
      </w:r>
      <w:r>
        <w:rPr>
          <w:rFonts w:ascii="Times New Roman" w:hAnsi="Times New Roman" w:cs="Times New Roman"/>
          <w:sz w:val="24"/>
          <w:szCs w:val="24"/>
        </w:rPr>
        <w:t xml:space="preserve"> including tooth restorations; no crown and bridges or broken anterior teeth altering tooth morphology on study models.</w:t>
      </w:r>
    </w:p>
    <w:p w14:paraId="5131D430" w14:textId="18406729"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three-hundred set of orthodontic study models </w:t>
      </w:r>
      <w:r w:rsidR="006C6CAA">
        <w:rPr>
          <w:rFonts w:ascii="Times New Roman" w:hAnsi="Times New Roman" w:cs="Times New Roman"/>
          <w:sz w:val="24"/>
          <w:szCs w:val="24"/>
        </w:rPr>
        <w:t>was</w:t>
      </w:r>
      <w:r>
        <w:rPr>
          <w:rFonts w:ascii="Times New Roman" w:hAnsi="Times New Roman" w:cs="Times New Roman"/>
          <w:sz w:val="24"/>
          <w:szCs w:val="24"/>
        </w:rPr>
        <w:t xml:space="preserve"> therefore examined. After articulating the casts using a wax bite guide, the anteroposterior relationship was </w:t>
      </w:r>
      <w:r w:rsidR="00EB21AA">
        <w:rPr>
          <w:rFonts w:ascii="Times New Roman" w:hAnsi="Times New Roman" w:cs="Times New Roman"/>
          <w:sz w:val="24"/>
          <w:szCs w:val="24"/>
        </w:rPr>
        <w:t>assessed using the Angle and BSI classification systems</w:t>
      </w:r>
      <w:r>
        <w:rPr>
          <w:rFonts w:ascii="Times New Roman" w:hAnsi="Times New Roman" w:cs="Times New Roman"/>
          <w:sz w:val="24"/>
          <w:szCs w:val="24"/>
        </w:rPr>
        <w:t>. Vertical measurements were measured using a sharp pencil to mark complete overbite, ⅔</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and ⅓</w:t>
      </w:r>
      <w:r>
        <w:rPr>
          <w:rFonts w:ascii="Times New Roman" w:hAnsi="Times New Roman" w:cs="Times New Roman"/>
          <w:sz w:val="24"/>
          <w:szCs w:val="24"/>
          <w:vertAlign w:val="superscript"/>
        </w:rPr>
        <w:t>rd</w:t>
      </w:r>
      <w:r>
        <w:rPr>
          <w:rFonts w:ascii="Times New Roman" w:hAnsi="Times New Roman" w:cs="Times New Roman"/>
          <w:sz w:val="24"/>
          <w:szCs w:val="24"/>
        </w:rPr>
        <w:t xml:space="preserve"> vertical relation. Then, the measurement was taken from the marked area on the incisal edge and divided by the total </w:t>
      </w:r>
      <w:r w:rsidR="00133F29">
        <w:rPr>
          <w:rFonts w:ascii="Times New Roman" w:hAnsi="Times New Roman" w:cs="Times New Roman"/>
          <w:sz w:val="24"/>
          <w:szCs w:val="24"/>
        </w:rPr>
        <w:t>incisogingival</w:t>
      </w:r>
      <w:r>
        <w:rPr>
          <w:rFonts w:ascii="Times New Roman" w:hAnsi="Times New Roman" w:cs="Times New Roman"/>
          <w:sz w:val="24"/>
          <w:szCs w:val="24"/>
        </w:rPr>
        <w:t xml:space="preserve"> height of the lower incisor (Figure 2</w:t>
      </w:r>
      <w:r w:rsidR="002C3E25">
        <w:rPr>
          <w:rFonts w:ascii="Times New Roman" w:hAnsi="Times New Roman" w:cs="Times New Roman"/>
          <w:sz w:val="24"/>
          <w:szCs w:val="24"/>
        </w:rPr>
        <w:t>A</w:t>
      </w:r>
      <w:r>
        <w:rPr>
          <w:rFonts w:ascii="Times New Roman" w:hAnsi="Times New Roman" w:cs="Times New Roman"/>
          <w:sz w:val="24"/>
          <w:szCs w:val="24"/>
        </w:rPr>
        <w:t>).</w:t>
      </w:r>
    </w:p>
    <w:p w14:paraId="7FA605FB" w14:textId="454D624A" w:rsidR="00D21771" w:rsidRPr="00F11BA8" w:rsidRDefault="00D21771" w:rsidP="00D21771">
      <w:pPr>
        <w:autoSpaceDE w:val="0"/>
        <w:autoSpaceDN w:val="0"/>
        <w:adjustRightInd w:val="0"/>
        <w:spacing w:after="0" w:line="240" w:lineRule="auto"/>
        <w:jc w:val="center"/>
        <w:rPr>
          <w:rFonts w:ascii="Times New Roman" w:hAnsi="Times New Roman" w:cs="Times New Roman"/>
          <w:b/>
          <w:bCs/>
          <w:color w:val="0070C0"/>
          <w:sz w:val="20"/>
          <w:szCs w:val="20"/>
        </w:rPr>
      </w:pPr>
      <w:r w:rsidRPr="0088177E">
        <w:rPr>
          <w:rFonts w:ascii="Times New Roman" w:hAnsi="Times New Roman" w:cs="Times New Roman"/>
          <w:b/>
          <w:bCs/>
          <w:sz w:val="20"/>
          <w:szCs w:val="20"/>
        </w:rPr>
        <w:t>Figure 2</w:t>
      </w:r>
      <w:r w:rsidR="00521A38">
        <w:rPr>
          <w:rFonts w:ascii="Times New Roman" w:hAnsi="Times New Roman" w:cs="Times New Roman"/>
          <w:b/>
          <w:bCs/>
          <w:sz w:val="20"/>
          <w:szCs w:val="20"/>
        </w:rPr>
        <w:t xml:space="preserve">. </w:t>
      </w:r>
      <w:r w:rsidR="002F6F20" w:rsidRPr="0088177E">
        <w:rPr>
          <w:rFonts w:ascii="Times New Roman" w:hAnsi="Times New Roman" w:cs="Times New Roman"/>
          <w:b/>
          <w:bCs/>
          <w:sz w:val="20"/>
          <w:szCs w:val="20"/>
        </w:rPr>
        <w:t>A</w:t>
      </w:r>
      <w:r w:rsidR="00F11BA8" w:rsidRPr="0088177E">
        <w:rPr>
          <w:rFonts w:ascii="Times New Roman" w:hAnsi="Times New Roman" w:cs="Times New Roman"/>
          <w:b/>
          <w:bCs/>
          <w:sz w:val="20"/>
          <w:szCs w:val="20"/>
        </w:rPr>
        <w:t xml:space="preserve"> (deep bite)</w:t>
      </w:r>
      <w:r w:rsidR="002F6F20" w:rsidRPr="0088177E">
        <w:rPr>
          <w:rFonts w:ascii="Times New Roman" w:hAnsi="Times New Roman" w:cs="Times New Roman"/>
          <w:b/>
          <w:bCs/>
          <w:sz w:val="20"/>
          <w:szCs w:val="20"/>
        </w:rPr>
        <w:t>, B</w:t>
      </w:r>
      <w:r w:rsidR="00F11BA8" w:rsidRPr="0088177E">
        <w:rPr>
          <w:rFonts w:ascii="Times New Roman" w:hAnsi="Times New Roman" w:cs="Times New Roman"/>
          <w:b/>
          <w:bCs/>
          <w:sz w:val="20"/>
          <w:szCs w:val="20"/>
        </w:rPr>
        <w:t xml:space="preserve"> (anterior open bite),</w:t>
      </w:r>
      <w:r w:rsidR="002F6F20" w:rsidRPr="0088177E">
        <w:rPr>
          <w:rFonts w:ascii="Times New Roman" w:hAnsi="Times New Roman" w:cs="Times New Roman"/>
          <w:b/>
          <w:bCs/>
          <w:sz w:val="20"/>
          <w:szCs w:val="20"/>
        </w:rPr>
        <w:t xml:space="preserve"> </w:t>
      </w:r>
      <w:r w:rsidR="00F11BA8" w:rsidRPr="0088177E">
        <w:rPr>
          <w:rFonts w:ascii="Times New Roman" w:hAnsi="Times New Roman" w:cs="Times New Roman"/>
          <w:b/>
          <w:bCs/>
          <w:sz w:val="20"/>
          <w:szCs w:val="20"/>
        </w:rPr>
        <w:t>v</w:t>
      </w:r>
      <w:r w:rsidRPr="0088177E">
        <w:rPr>
          <w:rFonts w:ascii="Times New Roman" w:hAnsi="Times New Roman" w:cs="Times New Roman"/>
          <w:b/>
          <w:bCs/>
          <w:sz w:val="20"/>
          <w:szCs w:val="20"/>
        </w:rPr>
        <w:t>ertical assessment</w:t>
      </w:r>
      <w:r w:rsidR="002F6F20" w:rsidRPr="0088177E">
        <w:rPr>
          <w:rFonts w:ascii="Times New Roman" w:hAnsi="Times New Roman" w:cs="Times New Roman"/>
          <w:b/>
          <w:bCs/>
          <w:sz w:val="20"/>
          <w:szCs w:val="20"/>
        </w:rPr>
        <w:t xml:space="preserve"> </w:t>
      </w:r>
      <w:r w:rsidR="00F11BA8" w:rsidRPr="0088177E">
        <w:rPr>
          <w:rFonts w:ascii="Times New Roman" w:hAnsi="Times New Roman" w:cs="Times New Roman"/>
          <w:b/>
          <w:bCs/>
          <w:sz w:val="20"/>
          <w:szCs w:val="20"/>
        </w:rPr>
        <w:t>and C (</w:t>
      </w:r>
      <w:r w:rsidR="002F6F20" w:rsidRPr="0088177E">
        <w:rPr>
          <w:rFonts w:ascii="Times New Roman" w:hAnsi="Times New Roman" w:cs="Times New Roman"/>
          <w:b/>
          <w:bCs/>
          <w:sz w:val="20"/>
          <w:szCs w:val="20"/>
        </w:rPr>
        <w:t>electric digital calliper</w:t>
      </w:r>
      <w:r w:rsidR="00F11BA8" w:rsidRPr="0088177E">
        <w:rPr>
          <w:rFonts w:ascii="Times New Roman" w:hAnsi="Times New Roman" w:cs="Times New Roman"/>
          <w:b/>
          <w:bCs/>
          <w:sz w:val="20"/>
          <w:szCs w:val="20"/>
        </w:rPr>
        <w:t>)</w:t>
      </w:r>
    </w:p>
    <w:p w14:paraId="31E09524" w14:textId="0D96943E" w:rsidR="002F6F20" w:rsidRPr="006F6A8A" w:rsidRDefault="002F6F20" w:rsidP="006F6A8A">
      <w:pPr>
        <w:autoSpaceDE w:val="0"/>
        <w:autoSpaceDN w:val="0"/>
        <w:adjustRightInd w:val="0"/>
        <w:spacing w:after="0" w:line="240" w:lineRule="auto"/>
        <w:jc w:val="center"/>
        <w:rPr>
          <w:rFonts w:ascii="Times New Roman" w:hAnsi="Times New Roman" w:cs="Times New Roman"/>
          <w:sz w:val="24"/>
          <w:szCs w:val="24"/>
          <w:lang w:val="en-AE"/>
        </w:rPr>
      </w:pPr>
      <w:r w:rsidRPr="002F6F20">
        <w:rPr>
          <w:rFonts w:ascii="Times New Roman" w:hAnsi="Times New Roman" w:cs="Times New Roman"/>
          <w:noProof/>
          <w:sz w:val="24"/>
          <w:szCs w:val="24"/>
          <w:lang w:val="en-AE"/>
        </w:rPr>
        <w:drawing>
          <wp:inline distT="0" distB="0" distL="0" distR="0" wp14:anchorId="71CAE165" wp14:editId="127E9A25">
            <wp:extent cx="2292173" cy="403200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2173" cy="4032000"/>
                    </a:xfrm>
                    <a:prstGeom prst="rect">
                      <a:avLst/>
                    </a:prstGeom>
                    <a:noFill/>
                    <a:ln>
                      <a:noFill/>
                    </a:ln>
                  </pic:spPr>
                </pic:pic>
              </a:graphicData>
            </a:graphic>
          </wp:inline>
        </w:drawing>
      </w:r>
    </w:p>
    <w:p w14:paraId="075BAC55" w14:textId="1D3CCF00"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overbite was measured and subgrouped </w:t>
      </w:r>
      <w:r w:rsidR="00133F29">
        <w:rPr>
          <w:rFonts w:ascii="Times New Roman" w:hAnsi="Times New Roman" w:cs="Times New Roman"/>
          <w:sz w:val="24"/>
          <w:szCs w:val="24"/>
        </w:rPr>
        <w:t>into</w:t>
      </w:r>
      <w:r>
        <w:rPr>
          <w:rFonts w:ascii="Times New Roman" w:hAnsi="Times New Roman" w:cs="Times New Roman"/>
          <w:sz w:val="24"/>
          <w:szCs w:val="24"/>
        </w:rPr>
        <w:t xml:space="preserve"> complete deep bite</w:t>
      </w:r>
      <w:r w:rsidR="00133F29">
        <w:rPr>
          <w:rFonts w:ascii="Times New Roman" w:hAnsi="Times New Roman" w:cs="Times New Roman"/>
          <w:sz w:val="24"/>
          <w:szCs w:val="24"/>
        </w:rPr>
        <w:t>, deep bite ⅔, normal bite ⅓, and edge-to-edge</w:t>
      </w:r>
      <w:r>
        <w:rPr>
          <w:rFonts w:ascii="Times New Roman" w:hAnsi="Times New Roman" w:cs="Times New Roman"/>
          <w:sz w:val="24"/>
          <w:szCs w:val="24"/>
        </w:rPr>
        <w:t xml:space="preserve">. </w:t>
      </w:r>
    </w:p>
    <w:p w14:paraId="1D2443F3" w14:textId="0DC5819E" w:rsidR="00D21771" w:rsidRDefault="00D21771" w:rsidP="0024129F">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Edge-to-edge relation was recorded when the tips of the upper incisors touch the tips of the lower incisors. The open bite was measured using an electronic digital </w:t>
      </w:r>
      <w:r w:rsidR="00133F29">
        <w:rPr>
          <w:rFonts w:ascii="Times New Roman" w:hAnsi="Times New Roman" w:cs="Times New Roman"/>
          <w:sz w:val="24"/>
          <w:szCs w:val="24"/>
        </w:rPr>
        <w:t>calliper</w:t>
      </w:r>
      <w:r>
        <w:rPr>
          <w:rFonts w:ascii="Times New Roman" w:hAnsi="Times New Roman" w:cs="Times New Roman"/>
          <w:sz w:val="24"/>
          <w:szCs w:val="24"/>
        </w:rPr>
        <w:t xml:space="preserve"> (</w:t>
      </w:r>
      <w:r w:rsidR="00133F29">
        <w:rPr>
          <w:rFonts w:ascii="Times New Roman" w:hAnsi="Times New Roman" w:cs="Times New Roman"/>
          <w:sz w:val="24"/>
          <w:szCs w:val="24"/>
        </w:rPr>
        <w:t>Figure</w:t>
      </w:r>
      <w:r w:rsidR="002F6F20">
        <w:rPr>
          <w:rFonts w:ascii="Times New Roman" w:hAnsi="Times New Roman" w:cs="Times New Roman"/>
          <w:sz w:val="24"/>
          <w:szCs w:val="24"/>
        </w:rPr>
        <w:t xml:space="preserve"> 2B</w:t>
      </w:r>
      <w:r>
        <w:rPr>
          <w:rFonts w:ascii="Times New Roman" w:hAnsi="Times New Roman" w:cs="Times New Roman"/>
          <w:sz w:val="24"/>
          <w:szCs w:val="24"/>
        </w:rPr>
        <w:t xml:space="preserve">). Two open bite groups were formed: 0.1-2.99mm and 3-8mm. </w:t>
      </w:r>
    </w:p>
    <w:p w14:paraId="134F7D00" w14:textId="555595E0"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To test for int</w:t>
      </w:r>
      <w:r w:rsidR="006C6CAA">
        <w:rPr>
          <w:rFonts w:ascii="Times New Roman" w:hAnsi="Times New Roman" w:cs="Times New Roman"/>
          <w:sz w:val="24"/>
          <w:szCs w:val="24"/>
        </w:rPr>
        <w:t>ra</w:t>
      </w:r>
      <w:r>
        <w:rPr>
          <w:rFonts w:ascii="Times New Roman" w:hAnsi="Times New Roman" w:cs="Times New Roman"/>
          <w:sz w:val="24"/>
          <w:szCs w:val="24"/>
        </w:rPr>
        <w:t xml:space="preserve">-examiner reliability, measurements were repeated by the same examiner one month after initial assessment for 30 study models using the same electronic digital </w:t>
      </w:r>
      <w:r w:rsidR="00133F29">
        <w:rPr>
          <w:rFonts w:ascii="Times New Roman" w:hAnsi="Times New Roman" w:cs="Times New Roman"/>
          <w:sz w:val="24"/>
          <w:szCs w:val="24"/>
        </w:rPr>
        <w:t>calliper</w:t>
      </w:r>
      <w:r w:rsidR="002C3E25">
        <w:rPr>
          <w:rFonts w:ascii="Times New Roman" w:hAnsi="Times New Roman" w:cs="Times New Roman"/>
          <w:sz w:val="24"/>
          <w:szCs w:val="24"/>
        </w:rPr>
        <w:t xml:space="preserve"> (Figure 2C</w:t>
      </w:r>
      <w:r>
        <w:rPr>
          <w:rFonts w:ascii="Times New Roman" w:hAnsi="Times New Roman" w:cs="Times New Roman"/>
          <w:sz w:val="24"/>
          <w:szCs w:val="24"/>
        </w:rPr>
        <w:t>. The intraclass correlation coefficient was excellent (0.91-1).</w:t>
      </w:r>
    </w:p>
    <w:p w14:paraId="6B7B138F" w14:textId="5B427593" w:rsidR="00D21771" w:rsidRDefault="00D21771" w:rsidP="00D2177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obtained data were analysed using </w:t>
      </w:r>
      <w:r w:rsidR="00F370E8">
        <w:rPr>
          <w:rFonts w:ascii="Times New Roman" w:hAnsi="Times New Roman" w:cs="Times New Roman"/>
          <w:sz w:val="24"/>
          <w:szCs w:val="24"/>
        </w:rPr>
        <w:t xml:space="preserve">descriptive statistics (frequencies and percentages) in the Statistical Package for Social Sciences (SPSS version 19, IBM Statistics, Chicago, IL), and </w:t>
      </w:r>
      <w:r>
        <w:rPr>
          <w:rFonts w:ascii="Times New Roman" w:hAnsi="Times New Roman" w:cs="Times New Roman"/>
          <w:sz w:val="24"/>
          <w:szCs w:val="24"/>
        </w:rPr>
        <w:t xml:space="preserve">statistical significance was set at </w:t>
      </w:r>
      <w:r>
        <w:rPr>
          <w:rFonts w:ascii="Times New Roman" w:hAnsi="Times New Roman" w:cs="Times New Roman"/>
          <w:i/>
          <w:iCs/>
          <w:sz w:val="24"/>
          <w:szCs w:val="24"/>
        </w:rPr>
        <w:t>p</w:t>
      </w:r>
      <w:r>
        <w:rPr>
          <w:rFonts w:ascii="Times New Roman" w:hAnsi="Times New Roman" w:cs="Times New Roman"/>
          <w:sz w:val="24"/>
          <w:szCs w:val="24"/>
        </w:rPr>
        <w:t>&lt;0.05.</w:t>
      </w:r>
    </w:p>
    <w:p w14:paraId="6BAA3561" w14:textId="77777777" w:rsidR="00D21771" w:rsidRDefault="00D21771" w:rsidP="00D2177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RESULTS</w:t>
      </w:r>
    </w:p>
    <w:p w14:paraId="7BCEC1BF" w14:textId="32824F48" w:rsidR="00D21771" w:rsidRDefault="00D21771" w:rsidP="00D2177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Three hundred participants met the inclusion criteria (Mean age 21.42; SD 7.91). Of these, 95 (32%) were males and 205 (68%) were females. As shown in Figure </w:t>
      </w:r>
      <w:r w:rsidR="0049691F">
        <w:rPr>
          <w:rFonts w:ascii="Times New Roman" w:hAnsi="Times New Roman" w:cs="Times New Roman"/>
          <w:sz w:val="24"/>
          <w:szCs w:val="24"/>
          <w:lang w:val="en-US"/>
        </w:rPr>
        <w:t>3</w:t>
      </w:r>
      <w:r>
        <w:rPr>
          <w:rFonts w:ascii="Times New Roman" w:hAnsi="Times New Roman" w:cs="Times New Roman"/>
          <w:sz w:val="24"/>
          <w:szCs w:val="24"/>
          <w:lang w:val="en-US"/>
        </w:rPr>
        <w:t>, according to the BSI classification, Class II, division 1 malocclusion was the most prevalent type among the participants (126; 42%). Class I malocclusion was the second most prevalent type (118; 39%), followed by Class III malocclusion (47; 16%). Whereas Class II division 2 was present among 9 (3%) participants.</w:t>
      </w:r>
    </w:p>
    <w:p w14:paraId="45EBB1CD" w14:textId="46AE4A9D" w:rsidR="00D21771" w:rsidRDefault="00D21771" w:rsidP="00D2177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Gender-related differences among </w:t>
      </w:r>
      <w:r w:rsidR="00EB21AA">
        <w:rPr>
          <w:rFonts w:ascii="Times New Roman" w:hAnsi="Times New Roman" w:cs="Times New Roman"/>
          <w:sz w:val="24"/>
          <w:szCs w:val="24"/>
          <w:lang w:val="en-US"/>
        </w:rPr>
        <w:t>participants were not significant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0.496) (Table 1). Moreover, age-related differences were examined (</w:t>
      </w:r>
      <w:r>
        <w:rPr>
          <w:rFonts w:ascii="Times New Roman" w:hAnsi="Times New Roman" w:cs="Times New Roman"/>
          <w:i/>
          <w:iCs/>
          <w:sz w:val="24"/>
          <w:szCs w:val="24"/>
          <w:lang w:val="en-US"/>
        </w:rPr>
        <w:t>p =</w:t>
      </w:r>
      <w:r>
        <w:rPr>
          <w:rFonts w:ascii="Times New Roman" w:hAnsi="Times New Roman" w:cs="Times New Roman"/>
          <w:sz w:val="24"/>
          <w:szCs w:val="24"/>
          <w:lang w:val="en-US"/>
        </w:rPr>
        <w:t xml:space="preserve"> 0.231) (Table </w:t>
      </w:r>
      <w:r w:rsidR="00D36B73">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14:paraId="7E10D139" w14:textId="7BAFD492" w:rsidR="00D21771" w:rsidRPr="0088177E" w:rsidRDefault="00D21771" w:rsidP="00D21771">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Tabl</w:t>
      </w:r>
      <w:r w:rsidRPr="0088177E">
        <w:rPr>
          <w:rFonts w:ascii="Times New Roman" w:hAnsi="Times New Roman" w:cs="Times New Roman"/>
          <w:b/>
          <w:bCs/>
          <w:sz w:val="20"/>
          <w:szCs w:val="20"/>
          <w:lang w:val="en-US"/>
        </w:rPr>
        <w:t xml:space="preserve">e 1. Gender </w:t>
      </w:r>
      <w:r w:rsidR="00D36B73" w:rsidRPr="0088177E">
        <w:rPr>
          <w:rFonts w:ascii="Times New Roman" w:hAnsi="Times New Roman" w:cs="Times New Roman"/>
          <w:b/>
          <w:bCs/>
          <w:sz w:val="20"/>
          <w:szCs w:val="20"/>
          <w:lang w:val="en-US"/>
        </w:rPr>
        <w:t xml:space="preserve">and age </w:t>
      </w:r>
      <w:r w:rsidRPr="0088177E">
        <w:rPr>
          <w:rFonts w:ascii="Times New Roman" w:hAnsi="Times New Roman" w:cs="Times New Roman"/>
          <w:b/>
          <w:bCs/>
          <w:sz w:val="20"/>
          <w:szCs w:val="20"/>
          <w:lang w:val="en-US"/>
        </w:rPr>
        <w:t>distribution</w:t>
      </w:r>
      <w:r w:rsidR="002E095F" w:rsidRPr="0088177E">
        <w:rPr>
          <w:rFonts w:ascii="Times New Roman" w:hAnsi="Times New Roman" w:cs="Times New Roman"/>
          <w:b/>
          <w:bCs/>
          <w:sz w:val="20"/>
          <w:szCs w:val="20"/>
          <w:lang w:val="en-US"/>
        </w:rPr>
        <w:t xml:space="preserve"> / malocclusion</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134"/>
        <w:gridCol w:w="1984"/>
        <w:gridCol w:w="1843"/>
        <w:gridCol w:w="1417"/>
      </w:tblGrid>
      <w:tr w:rsidR="00D21771" w14:paraId="7C0B3C89" w14:textId="77777777" w:rsidTr="0002554C">
        <w:trPr>
          <w:trHeight w:val="553"/>
        </w:trPr>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376A0C" w14:textId="601F559C" w:rsidR="00D21771" w:rsidRDefault="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Description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EC2F63"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E2F1C8"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II division 1</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627991"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II division 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DEAFCD"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III</w:t>
            </w:r>
          </w:p>
        </w:tc>
      </w:tr>
      <w:tr w:rsidR="00D36B73" w14:paraId="53F27737" w14:textId="77777777" w:rsidTr="00D36B73">
        <w:trPr>
          <w:trHeight w:val="315"/>
        </w:trPr>
        <w:tc>
          <w:tcPr>
            <w:tcW w:w="1418" w:type="dxa"/>
            <w:vMerge w:val="restart"/>
            <w:tcBorders>
              <w:top w:val="single" w:sz="4" w:space="0" w:color="auto"/>
              <w:left w:val="single" w:sz="4" w:space="0" w:color="auto"/>
              <w:right w:val="single" w:sz="4" w:space="0" w:color="auto"/>
            </w:tcBorders>
            <w:noWrap/>
            <w:vAlign w:val="bottom"/>
            <w:hideMark/>
          </w:tcPr>
          <w:p w14:paraId="561E57B8" w14:textId="62AA212A"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Gender</w:t>
            </w:r>
          </w:p>
        </w:tc>
        <w:tc>
          <w:tcPr>
            <w:tcW w:w="1134" w:type="dxa"/>
            <w:tcBorders>
              <w:top w:val="single" w:sz="4" w:space="0" w:color="auto"/>
              <w:left w:val="single" w:sz="4" w:space="0" w:color="auto"/>
              <w:bottom w:val="single" w:sz="4" w:space="0" w:color="auto"/>
              <w:right w:val="single" w:sz="4" w:space="0" w:color="auto"/>
            </w:tcBorders>
            <w:vAlign w:val="bottom"/>
          </w:tcPr>
          <w:p w14:paraId="6D85D393" w14:textId="5D4A2751"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Male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1802BC" w14:textId="27D33ADC"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34 (35.8)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52DDEC8"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41 (43.2)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BC87B7E"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 (2.1)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366CA3"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 (18.9)</w:t>
            </w:r>
          </w:p>
        </w:tc>
      </w:tr>
      <w:tr w:rsidR="00D36B73" w14:paraId="30749C36" w14:textId="77777777" w:rsidTr="00D36B73">
        <w:trPr>
          <w:trHeight w:val="253"/>
        </w:trPr>
        <w:tc>
          <w:tcPr>
            <w:tcW w:w="1418" w:type="dxa"/>
            <w:vMerge/>
            <w:tcBorders>
              <w:left w:val="single" w:sz="4" w:space="0" w:color="auto"/>
              <w:right w:val="single" w:sz="4" w:space="0" w:color="auto"/>
            </w:tcBorders>
            <w:noWrap/>
            <w:vAlign w:val="bottom"/>
            <w:hideMark/>
          </w:tcPr>
          <w:p w14:paraId="17D45632" w14:textId="1BC66636" w:rsidR="00D36B73" w:rsidRDefault="00D36B73" w:rsidP="00D36B73">
            <w:pPr>
              <w:spacing w:line="240" w:lineRule="auto"/>
              <w:jc w:val="center"/>
              <w:rPr>
                <w:rFonts w:ascii="Times New Roman" w:eastAsia="Times New Roman" w:hAnsi="Times New Roman" w:cs="Times New Roman"/>
                <w:b/>
                <w:bCs/>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bottom"/>
          </w:tcPr>
          <w:p w14:paraId="50244DB8" w14:textId="61258A35"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Female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FB6E24" w14:textId="1DF16109"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84 (41)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3BD3AD7"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85 (41.5)</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D8702D3"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 (3.4)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8445C0"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29 (14.1)</w:t>
            </w:r>
          </w:p>
        </w:tc>
      </w:tr>
      <w:tr w:rsidR="00D36B73" w14:paraId="41F5C5A1" w14:textId="77777777" w:rsidTr="00D36B73">
        <w:trPr>
          <w:trHeight w:val="369"/>
        </w:trPr>
        <w:tc>
          <w:tcPr>
            <w:tcW w:w="1418" w:type="dxa"/>
            <w:vMerge w:val="restart"/>
            <w:tcBorders>
              <w:top w:val="single" w:sz="4" w:space="0" w:color="auto"/>
              <w:left w:val="single" w:sz="4" w:space="0" w:color="auto"/>
              <w:right w:val="single" w:sz="4" w:space="0" w:color="auto"/>
            </w:tcBorders>
            <w:noWrap/>
            <w:vAlign w:val="bottom"/>
          </w:tcPr>
          <w:p w14:paraId="70710824" w14:textId="36DB2EDE"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Age / years</w:t>
            </w:r>
          </w:p>
        </w:tc>
        <w:tc>
          <w:tcPr>
            <w:tcW w:w="1134" w:type="dxa"/>
            <w:tcBorders>
              <w:top w:val="single" w:sz="4" w:space="0" w:color="auto"/>
              <w:left w:val="single" w:sz="4" w:space="0" w:color="auto"/>
              <w:bottom w:val="single" w:sz="4" w:space="0" w:color="auto"/>
              <w:right w:val="single" w:sz="4" w:space="0" w:color="auto"/>
            </w:tcBorders>
            <w:vAlign w:val="bottom"/>
          </w:tcPr>
          <w:p w14:paraId="7CCD526F" w14:textId="4599C9B7"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kern w:val="2"/>
                <w:sz w:val="20"/>
                <w:szCs w:val="20"/>
                <w:lang w:eastAsia="en-GB"/>
                <w14:ligatures w14:val="standardContextual"/>
              </w:rPr>
              <w:t>9-13</w:t>
            </w:r>
          </w:p>
        </w:tc>
        <w:tc>
          <w:tcPr>
            <w:tcW w:w="1134" w:type="dxa"/>
            <w:tcBorders>
              <w:top w:val="single" w:sz="4" w:space="0" w:color="auto"/>
              <w:left w:val="single" w:sz="4" w:space="0" w:color="auto"/>
              <w:bottom w:val="single" w:sz="4" w:space="0" w:color="auto"/>
              <w:right w:val="single" w:sz="4" w:space="0" w:color="auto"/>
            </w:tcBorders>
            <w:noWrap/>
            <w:vAlign w:val="bottom"/>
          </w:tcPr>
          <w:p w14:paraId="3B5231DB" w14:textId="37DC5B6E"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34 (30.2)</w:t>
            </w:r>
          </w:p>
        </w:tc>
        <w:tc>
          <w:tcPr>
            <w:tcW w:w="1984" w:type="dxa"/>
            <w:tcBorders>
              <w:top w:val="single" w:sz="4" w:space="0" w:color="auto"/>
              <w:left w:val="single" w:sz="4" w:space="0" w:color="auto"/>
              <w:bottom w:val="single" w:sz="4" w:space="0" w:color="auto"/>
              <w:right w:val="single" w:sz="4" w:space="0" w:color="auto"/>
            </w:tcBorders>
            <w:noWrap/>
            <w:vAlign w:val="bottom"/>
          </w:tcPr>
          <w:p w14:paraId="5B4F843C" w14:textId="1BAC5EA9"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18 (41.9)</w:t>
            </w:r>
          </w:p>
        </w:tc>
        <w:tc>
          <w:tcPr>
            <w:tcW w:w="1843" w:type="dxa"/>
            <w:tcBorders>
              <w:top w:val="single" w:sz="4" w:space="0" w:color="auto"/>
              <w:left w:val="single" w:sz="4" w:space="0" w:color="auto"/>
              <w:bottom w:val="single" w:sz="4" w:space="0" w:color="auto"/>
              <w:right w:val="single" w:sz="4" w:space="0" w:color="auto"/>
            </w:tcBorders>
            <w:noWrap/>
            <w:vAlign w:val="bottom"/>
          </w:tcPr>
          <w:p w14:paraId="1490DE4C" w14:textId="3EB828C0"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2 (24.7)</w:t>
            </w:r>
          </w:p>
        </w:tc>
        <w:tc>
          <w:tcPr>
            <w:tcW w:w="1417" w:type="dxa"/>
            <w:tcBorders>
              <w:top w:val="single" w:sz="4" w:space="0" w:color="auto"/>
              <w:left w:val="single" w:sz="4" w:space="0" w:color="auto"/>
              <w:bottom w:val="single" w:sz="4" w:space="0" w:color="auto"/>
              <w:right w:val="single" w:sz="4" w:space="0" w:color="auto"/>
            </w:tcBorders>
            <w:noWrap/>
            <w:vAlign w:val="bottom"/>
          </w:tcPr>
          <w:p w14:paraId="14ACBDB0" w14:textId="3A001FCC"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10 (23.3)</w:t>
            </w:r>
          </w:p>
        </w:tc>
      </w:tr>
      <w:tr w:rsidR="00D36B73" w14:paraId="7BA31499" w14:textId="77777777" w:rsidTr="00D36B73">
        <w:trPr>
          <w:trHeight w:val="105"/>
        </w:trPr>
        <w:tc>
          <w:tcPr>
            <w:tcW w:w="1418" w:type="dxa"/>
            <w:vMerge/>
            <w:tcBorders>
              <w:left w:val="single" w:sz="4" w:space="0" w:color="auto"/>
              <w:bottom w:val="single" w:sz="4" w:space="0" w:color="auto"/>
              <w:right w:val="single" w:sz="4" w:space="0" w:color="auto"/>
            </w:tcBorders>
            <w:noWrap/>
            <w:vAlign w:val="bottom"/>
          </w:tcPr>
          <w:p w14:paraId="4F0B8FA9" w14:textId="77777777" w:rsidR="00D36B73" w:rsidRDefault="00D36B73" w:rsidP="00D36B73">
            <w:pPr>
              <w:spacing w:line="240" w:lineRule="auto"/>
              <w:jc w:val="center"/>
              <w:rPr>
                <w:rFonts w:ascii="Times New Roman" w:eastAsia="Times New Roman" w:hAnsi="Times New Roman" w:cs="Times New Roman"/>
                <w:b/>
                <w:bCs/>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bottom"/>
          </w:tcPr>
          <w:p w14:paraId="099329AE" w14:textId="31D0AAFA"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kern w:val="2"/>
                <w:sz w:val="20"/>
                <w:szCs w:val="20"/>
                <w:lang w:eastAsia="en-GB"/>
                <w14:ligatures w14:val="standardContextual"/>
              </w:rPr>
              <w:t>&gt;13</w:t>
            </w:r>
          </w:p>
        </w:tc>
        <w:tc>
          <w:tcPr>
            <w:tcW w:w="1134" w:type="dxa"/>
            <w:tcBorders>
              <w:top w:val="single" w:sz="4" w:space="0" w:color="auto"/>
              <w:left w:val="single" w:sz="4" w:space="0" w:color="auto"/>
              <w:bottom w:val="single" w:sz="4" w:space="0" w:color="auto"/>
              <w:right w:val="single" w:sz="4" w:space="0" w:color="auto"/>
            </w:tcBorders>
            <w:noWrap/>
            <w:vAlign w:val="bottom"/>
          </w:tcPr>
          <w:p w14:paraId="6DB29F2C" w14:textId="2D3C18CE"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105 (40.9)</w:t>
            </w:r>
          </w:p>
        </w:tc>
        <w:tc>
          <w:tcPr>
            <w:tcW w:w="1984" w:type="dxa"/>
            <w:tcBorders>
              <w:top w:val="single" w:sz="4" w:space="0" w:color="auto"/>
              <w:left w:val="single" w:sz="4" w:space="0" w:color="auto"/>
              <w:bottom w:val="single" w:sz="4" w:space="0" w:color="auto"/>
              <w:right w:val="single" w:sz="4" w:space="0" w:color="auto"/>
            </w:tcBorders>
            <w:noWrap/>
            <w:vAlign w:val="bottom"/>
          </w:tcPr>
          <w:p w14:paraId="78914634" w14:textId="75906475"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108 (42)</w:t>
            </w:r>
          </w:p>
        </w:tc>
        <w:tc>
          <w:tcPr>
            <w:tcW w:w="1843" w:type="dxa"/>
            <w:tcBorders>
              <w:top w:val="single" w:sz="4" w:space="0" w:color="auto"/>
              <w:left w:val="single" w:sz="4" w:space="0" w:color="auto"/>
              <w:bottom w:val="single" w:sz="4" w:space="0" w:color="auto"/>
              <w:right w:val="single" w:sz="4" w:space="0" w:color="auto"/>
            </w:tcBorders>
            <w:noWrap/>
            <w:vAlign w:val="bottom"/>
          </w:tcPr>
          <w:p w14:paraId="783F3664" w14:textId="3F6AE39A"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7 (2.7)</w:t>
            </w:r>
          </w:p>
        </w:tc>
        <w:tc>
          <w:tcPr>
            <w:tcW w:w="1417" w:type="dxa"/>
            <w:tcBorders>
              <w:top w:val="single" w:sz="4" w:space="0" w:color="auto"/>
              <w:left w:val="single" w:sz="4" w:space="0" w:color="auto"/>
              <w:bottom w:val="single" w:sz="4" w:space="0" w:color="auto"/>
              <w:right w:val="single" w:sz="4" w:space="0" w:color="auto"/>
            </w:tcBorders>
            <w:noWrap/>
            <w:vAlign w:val="bottom"/>
          </w:tcPr>
          <w:p w14:paraId="2C16A41F" w14:textId="02AA519B"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37 (14.4)</w:t>
            </w:r>
          </w:p>
        </w:tc>
      </w:tr>
    </w:tbl>
    <w:p w14:paraId="310EB6C1" w14:textId="0DA7E496" w:rsidR="00D21771" w:rsidRDefault="00D21771" w:rsidP="00703E99">
      <w:pPr>
        <w:spacing w:before="120" w:after="120" w:line="240" w:lineRule="auto"/>
        <w:jc w:val="both"/>
        <w:rPr>
          <w:rFonts w:ascii="Times New Roman" w:eastAsia="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The </w:t>
      </w:r>
      <w:r>
        <w:rPr>
          <w:rFonts w:ascii="Times New Roman" w:eastAsia="Times New Roman" w:hAnsi="Times New Roman" w:cs="Times New Roman"/>
          <w:sz w:val="24"/>
          <w:szCs w:val="24"/>
          <w:shd w:val="clear" w:color="auto" w:fill="FFFFFF"/>
          <w:lang w:val="en-US"/>
        </w:rPr>
        <w:t xml:space="preserve">distribution of the range of bite depth for the total sample is shown in Figure </w:t>
      </w:r>
      <w:r w:rsidR="0049691F">
        <w:rPr>
          <w:rFonts w:ascii="Times New Roman" w:eastAsia="Times New Roman" w:hAnsi="Times New Roman" w:cs="Times New Roman"/>
          <w:sz w:val="24"/>
          <w:szCs w:val="24"/>
          <w:shd w:val="clear" w:color="auto" w:fill="FFFFFF"/>
          <w:lang w:val="en-US"/>
        </w:rPr>
        <w:t>4</w:t>
      </w:r>
      <w:r>
        <w:rPr>
          <w:rFonts w:ascii="Times New Roman" w:eastAsia="Times New Roman" w:hAnsi="Times New Roman" w:cs="Times New Roman"/>
          <w:sz w:val="24"/>
          <w:szCs w:val="24"/>
          <w:shd w:val="clear" w:color="auto" w:fill="FFFFFF"/>
          <w:lang w:val="en-US"/>
        </w:rPr>
        <w:t xml:space="preserve">. One hundred and sixty-eight participants (56%) of the total sample had normal bite depth; 65 participants (22%) had a deep bite of ⅔; 27 participants (9%) had an open bite of </w:t>
      </w:r>
      <w:r>
        <w:rPr>
          <w:rFonts w:ascii="Times New Roman" w:hAnsi="Times New Roman" w:cs="Times New Roman"/>
          <w:sz w:val="24"/>
          <w:szCs w:val="24"/>
        </w:rPr>
        <w:t>0.1-2.99mm</w:t>
      </w:r>
      <w:r>
        <w:rPr>
          <w:rFonts w:ascii="Times New Roman" w:eastAsia="Times New Roman" w:hAnsi="Times New Roman" w:cs="Times New Roman"/>
          <w:sz w:val="24"/>
          <w:szCs w:val="24"/>
          <w:shd w:val="clear" w:color="auto" w:fill="FFFFFF"/>
          <w:lang w:val="en-US"/>
        </w:rPr>
        <w:t xml:space="preserve">; 21 participants (7%) had a complete deep bite; 10 participants (3%) had an open bite of 3-8mm, whereas 9 participants (3%) had an edge-to-edge bite tendency. </w:t>
      </w:r>
    </w:p>
    <w:p w14:paraId="1C85D917" w14:textId="184CF4DC"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of different malocclusion types with the selected occlusal traits is illustrated in </w:t>
      </w:r>
      <w:r w:rsidR="00133F29">
        <w:rPr>
          <w:rFonts w:ascii="Times New Roman" w:eastAsia="Times New Roman" w:hAnsi="Times New Roman" w:cs="Times New Roman"/>
          <w:sz w:val="24"/>
          <w:szCs w:val="24"/>
        </w:rPr>
        <w:t xml:space="preserve">Figures </w:t>
      </w:r>
      <w:r w:rsidR="0049691F">
        <w:rPr>
          <w:rFonts w:ascii="Times New Roman" w:eastAsia="Times New Roman" w:hAnsi="Times New Roman" w:cs="Times New Roman"/>
          <w:sz w:val="24"/>
          <w:szCs w:val="24"/>
        </w:rPr>
        <w:t>4</w:t>
      </w:r>
      <w:r w:rsidR="00133F29">
        <w:rPr>
          <w:rFonts w:ascii="Times New Roman" w:eastAsia="Times New Roman" w:hAnsi="Times New Roman" w:cs="Times New Roman"/>
          <w:sz w:val="24"/>
          <w:szCs w:val="24"/>
        </w:rPr>
        <w:t xml:space="preserve"> and </w:t>
      </w:r>
      <w:r w:rsidR="0049691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According to the BSI classification, Class II division 1 </w:t>
      </w:r>
      <w:r w:rsidR="00133F29">
        <w:rPr>
          <w:rFonts w:ascii="Times New Roman" w:eastAsia="Times New Roman" w:hAnsi="Times New Roman" w:cs="Times New Roman"/>
          <w:sz w:val="24"/>
          <w:szCs w:val="24"/>
        </w:rPr>
        <w:t>was mainly</w:t>
      </w:r>
      <w:r>
        <w:rPr>
          <w:rFonts w:ascii="Times New Roman" w:eastAsia="Times New Roman" w:hAnsi="Times New Roman" w:cs="Times New Roman"/>
          <w:sz w:val="24"/>
          <w:szCs w:val="24"/>
        </w:rPr>
        <w:t xml:space="preserve"> associated with complete deep bites (67%) and 2/3 deep bites (60%). Class III was </w:t>
      </w:r>
      <w:r w:rsidR="00133F29">
        <w:rPr>
          <w:rFonts w:ascii="Times New Roman" w:eastAsia="Times New Roman" w:hAnsi="Times New Roman" w:cs="Times New Roman"/>
          <w:sz w:val="24"/>
          <w:szCs w:val="24"/>
        </w:rPr>
        <w:t>primarily</w:t>
      </w:r>
      <w:r>
        <w:rPr>
          <w:rFonts w:ascii="Times New Roman" w:eastAsia="Times New Roman" w:hAnsi="Times New Roman" w:cs="Times New Roman"/>
          <w:sz w:val="24"/>
          <w:szCs w:val="24"/>
        </w:rPr>
        <w:t xml:space="preserve"> associated with edge-to-edge bite (89%), open bites </w:t>
      </w:r>
      <w:r w:rsidR="006C6CAA">
        <w:rPr>
          <w:rFonts w:ascii="Times New Roman" w:eastAsia="Times New Roman" w:hAnsi="Times New Roman" w:cs="Times New Roman"/>
          <w:sz w:val="24"/>
          <w:szCs w:val="24"/>
        </w:rPr>
        <w:t>measuring 3-8 mm (50%), and open bites measuring</w:t>
      </w:r>
      <w:r>
        <w:rPr>
          <w:rFonts w:ascii="Times New Roman" w:eastAsia="Times New Roman" w:hAnsi="Times New Roman" w:cs="Times New Roman"/>
          <w:sz w:val="24"/>
          <w:szCs w:val="24"/>
        </w:rPr>
        <w:t xml:space="preserve"> 0.1-2.99 mm (30%). </w:t>
      </w:r>
    </w:p>
    <w:p w14:paraId="55E60C10" w14:textId="3E76B629" w:rsidR="00D21771" w:rsidRDefault="00D21771" w:rsidP="00D21771">
      <w:pPr>
        <w:spacing w:after="0" w:line="240" w:lineRule="auto"/>
        <w:jc w:val="center"/>
        <w:rPr>
          <w:rFonts w:ascii="Times New Roman" w:hAnsi="Times New Roman" w:cs="Times New Roman"/>
          <w:b/>
          <w:bCs/>
          <w:sz w:val="20"/>
          <w:szCs w:val="20"/>
          <w:lang w:val="en-US"/>
        </w:rPr>
      </w:pPr>
      <w:r>
        <w:rPr>
          <w:noProof/>
        </w:rPr>
        <w:lastRenderedPageBreak/>
        <w:drawing>
          <wp:anchor distT="0" distB="0" distL="114300" distR="114300" simplePos="0" relativeHeight="251658240" behindDoc="0" locked="0" layoutInCell="1" allowOverlap="1" wp14:anchorId="50EF274D" wp14:editId="6B5D5DEC">
            <wp:simplePos x="0" y="0"/>
            <wp:positionH relativeFrom="margin">
              <wp:align>left</wp:align>
            </wp:positionH>
            <wp:positionV relativeFrom="paragraph">
              <wp:posOffset>152400</wp:posOffset>
            </wp:positionV>
            <wp:extent cx="5687695" cy="2030095"/>
            <wp:effectExtent l="0" t="0" r="8255" b="8255"/>
            <wp:wrapSquare wrapText="right"/>
            <wp:docPr id="1631743486" name="Chart 7">
              <a:extLst xmlns:a="http://schemas.openxmlformats.org/drawingml/2006/main">
                <a:ext uri="{FF2B5EF4-FFF2-40B4-BE49-F238E27FC236}">
                  <a16:creationId xmlns:a16="http://schemas.microsoft.com/office/drawing/2014/main" id="{B0488615-24B6-413A-9C52-B282CC8A5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0"/>
          <w:szCs w:val="20"/>
          <w:lang w:val="en-US"/>
        </w:rPr>
        <w:t xml:space="preserve">Figure </w:t>
      </w:r>
      <w:r w:rsidR="0049691F">
        <w:rPr>
          <w:rFonts w:ascii="Times New Roman" w:hAnsi="Times New Roman" w:cs="Times New Roman"/>
          <w:b/>
          <w:bCs/>
          <w:sz w:val="20"/>
          <w:szCs w:val="20"/>
          <w:lang w:val="en-US"/>
        </w:rPr>
        <w:t>3</w:t>
      </w:r>
      <w:r>
        <w:rPr>
          <w:rFonts w:ascii="Times New Roman" w:hAnsi="Times New Roman" w:cs="Times New Roman"/>
          <w:b/>
          <w:bCs/>
          <w:sz w:val="20"/>
          <w:szCs w:val="20"/>
          <w:lang w:val="en-US"/>
        </w:rPr>
        <w:t>.</w:t>
      </w:r>
      <w:r>
        <w:rPr>
          <w:rFonts w:ascii="Times New Roman" w:hAnsi="Times New Roman" w:cs="Times New Roman"/>
          <w:b/>
          <w:bCs/>
          <w:sz w:val="20"/>
          <w:szCs w:val="20"/>
        </w:rPr>
        <w:t xml:space="preserve"> Distribution of malocclusion types of </w:t>
      </w:r>
      <w:r w:rsidR="00133F29">
        <w:rPr>
          <w:rFonts w:ascii="Times New Roman" w:hAnsi="Times New Roman" w:cs="Times New Roman"/>
          <w:b/>
          <w:bCs/>
          <w:sz w:val="20"/>
          <w:szCs w:val="20"/>
        </w:rPr>
        <w:t xml:space="preserve">the </w:t>
      </w:r>
      <w:r>
        <w:rPr>
          <w:rFonts w:ascii="Times New Roman" w:hAnsi="Times New Roman" w:cs="Times New Roman"/>
          <w:b/>
          <w:bCs/>
          <w:sz w:val="20"/>
          <w:szCs w:val="20"/>
        </w:rPr>
        <w:t>total sample in percentages</w:t>
      </w:r>
    </w:p>
    <w:p w14:paraId="7569B14E" w14:textId="3ACF3B8F" w:rsidR="00D21771" w:rsidRDefault="00D21771" w:rsidP="00D21771">
      <w:pPr>
        <w:spacing w:before="100" w:beforeAutospacing="1" w:after="0" w:line="240" w:lineRule="auto"/>
        <w:jc w:val="center"/>
        <w:rPr>
          <w:rFonts w:ascii="Times New Roman" w:hAnsi="Times New Roman" w:cs="Times New Roman"/>
          <w:b/>
          <w:bCs/>
          <w:sz w:val="20"/>
          <w:szCs w:val="20"/>
          <w:lang w:val="en-US"/>
        </w:rPr>
      </w:pPr>
      <w:r>
        <w:rPr>
          <w:rFonts w:ascii="Times New Roman" w:eastAsia="Times New Roman" w:hAnsi="Times New Roman" w:cs="Times New Roman"/>
          <w:b/>
          <w:bCs/>
          <w:sz w:val="20"/>
          <w:szCs w:val="20"/>
        </w:rPr>
        <w:t xml:space="preserve">Figure </w:t>
      </w:r>
      <w:r w:rsidR="0049691F">
        <w:rPr>
          <w:rFonts w:ascii="Times New Roman" w:eastAsia="Times New Roman" w:hAnsi="Times New Roman" w:cs="Times New Roman"/>
          <w:b/>
          <w:bCs/>
          <w:sz w:val="20"/>
          <w:szCs w:val="20"/>
        </w:rPr>
        <w:t>4</w:t>
      </w: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lang w:val="en-US"/>
        </w:rPr>
        <w:t>Distribution of overbite depth in percentages</w:t>
      </w:r>
    </w:p>
    <w:p w14:paraId="72C3E1F6" w14:textId="4B2D9C5F"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shd w:val="clear" w:color="auto" w:fill="92D050"/>
          <w:lang w:val="en-US"/>
        </w:rPr>
        <w:drawing>
          <wp:inline distT="0" distB="0" distL="0" distR="0" wp14:anchorId="19F5021A" wp14:editId="71DEBF68">
            <wp:extent cx="5661660" cy="2238375"/>
            <wp:effectExtent l="0" t="0" r="15240" b="9525"/>
            <wp:docPr id="1160090173" name="Chart 2">
              <a:extLst xmlns:a="http://schemas.openxmlformats.org/drawingml/2006/main">
                <a:ext uri="{FF2B5EF4-FFF2-40B4-BE49-F238E27FC236}">
                  <a16:creationId xmlns:a16="http://schemas.microsoft.com/office/drawing/2014/main" id="{0CD85139-6375-4948-B55F-BA8B36924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68FE70" w14:textId="3B22CF70" w:rsidR="00D21771" w:rsidRDefault="00D21771" w:rsidP="00D36B73">
      <w:pPr>
        <w:spacing w:before="100" w:beforeAutospacing="1" w:after="0" w:line="240" w:lineRule="auto"/>
        <w:rPr>
          <w:rFonts w:ascii="Times New Roman" w:hAnsi="Times New Roman" w:cs="Times New Roman"/>
          <w:b/>
          <w:bCs/>
          <w:sz w:val="20"/>
          <w:szCs w:val="20"/>
          <w:lang w:val="en-US"/>
        </w:rPr>
      </w:pPr>
      <w:r>
        <w:rPr>
          <w:rFonts w:ascii="Times New Roman" w:eastAsia="Times New Roman" w:hAnsi="Times New Roman" w:cs="Times New Roman"/>
          <w:b/>
          <w:bCs/>
          <w:sz w:val="20"/>
          <w:szCs w:val="20"/>
        </w:rPr>
        <w:t xml:space="preserve">Figure </w:t>
      </w:r>
      <w:r w:rsidR="0049691F">
        <w:rPr>
          <w:rFonts w:ascii="Times New Roman" w:eastAsia="Times New Roman" w:hAnsi="Times New Roman" w:cs="Times New Roman"/>
          <w:b/>
          <w:bCs/>
          <w:sz w:val="20"/>
          <w:szCs w:val="20"/>
        </w:rPr>
        <w:t>5</w:t>
      </w:r>
      <w:r>
        <w:rPr>
          <w:rFonts w:ascii="Times New Roman" w:eastAsia="Times New Roman" w:hAnsi="Times New Roman" w:cs="Times New Roman"/>
          <w:b/>
          <w:bCs/>
          <w:sz w:val="20"/>
          <w:szCs w:val="20"/>
        </w:rPr>
        <w:t xml:space="preserve">. Association of malocclusion types (BSI) of </w:t>
      </w:r>
      <w:r w:rsidR="00133F29">
        <w:rPr>
          <w:rFonts w:ascii="Times New Roman" w:eastAsia="Times New Roman" w:hAnsi="Times New Roman" w:cs="Times New Roman"/>
          <w:b/>
          <w:bCs/>
          <w:sz w:val="20"/>
          <w:szCs w:val="20"/>
        </w:rPr>
        <w:t xml:space="preserve">the </w:t>
      </w:r>
      <w:r>
        <w:rPr>
          <w:rFonts w:ascii="Times New Roman" w:eastAsia="Times New Roman" w:hAnsi="Times New Roman" w:cs="Times New Roman"/>
          <w:b/>
          <w:bCs/>
          <w:sz w:val="20"/>
          <w:szCs w:val="20"/>
        </w:rPr>
        <w:t xml:space="preserve">total sample with </w:t>
      </w:r>
      <w:r w:rsidR="00133F29">
        <w:rPr>
          <w:rFonts w:ascii="Times New Roman" w:eastAsia="Times New Roman" w:hAnsi="Times New Roman" w:cs="Times New Roman"/>
          <w:b/>
          <w:bCs/>
          <w:sz w:val="20"/>
          <w:szCs w:val="20"/>
        </w:rPr>
        <w:t xml:space="preserve">the </w:t>
      </w:r>
      <w:r>
        <w:rPr>
          <w:rFonts w:ascii="Times New Roman" w:eastAsia="Times New Roman" w:hAnsi="Times New Roman" w:cs="Times New Roman"/>
          <w:b/>
          <w:bCs/>
          <w:sz w:val="20"/>
          <w:szCs w:val="20"/>
        </w:rPr>
        <w:t>range of bite depth in percentages</w:t>
      </w:r>
    </w:p>
    <w:p w14:paraId="5FBDBF81" w14:textId="417CD1C8"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5E6859" wp14:editId="12307A43">
            <wp:extent cx="5638800" cy="2918460"/>
            <wp:effectExtent l="19050" t="19050" r="19050" b="15240"/>
            <wp:docPr id="527228777"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28777" name="Picture 1" descr="A graph of different colored ba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2918460"/>
                    </a:xfrm>
                    <a:prstGeom prst="rect">
                      <a:avLst/>
                    </a:prstGeom>
                    <a:noFill/>
                    <a:ln w="9525" cmpd="sng">
                      <a:solidFill>
                        <a:srgbClr val="000000"/>
                      </a:solidFill>
                      <a:miter lim="800000"/>
                      <a:headEnd/>
                      <a:tailEnd/>
                    </a:ln>
                    <a:effectLst/>
                  </pic:spPr>
                </pic:pic>
              </a:graphicData>
            </a:graphic>
          </wp:inline>
        </w:drawing>
      </w:r>
    </w:p>
    <w:p w14:paraId="53753056" w14:textId="77777777" w:rsidR="0049691F" w:rsidRDefault="0049691F" w:rsidP="00D21771">
      <w:pPr>
        <w:spacing w:after="120" w:line="240" w:lineRule="auto"/>
        <w:jc w:val="both"/>
        <w:rPr>
          <w:rFonts w:ascii="Times New Roman" w:eastAsia="Times New Roman" w:hAnsi="Times New Roman" w:cs="Times New Roman"/>
          <w:sz w:val="24"/>
          <w:szCs w:val="24"/>
        </w:rPr>
      </w:pPr>
    </w:p>
    <w:p w14:paraId="2220C256" w14:textId="77777777" w:rsidR="0049691F" w:rsidRDefault="0049691F" w:rsidP="00D21771">
      <w:pPr>
        <w:spacing w:after="120" w:line="240" w:lineRule="auto"/>
        <w:jc w:val="both"/>
        <w:rPr>
          <w:rFonts w:ascii="Times New Roman" w:eastAsia="Times New Roman" w:hAnsi="Times New Roman" w:cs="Times New Roman"/>
          <w:sz w:val="24"/>
          <w:szCs w:val="24"/>
        </w:rPr>
      </w:pPr>
    </w:p>
    <w:p w14:paraId="0D68A018" w14:textId="51CC352C" w:rsidR="00D21771" w:rsidRDefault="00D21771" w:rsidP="00D21771">
      <w:pPr>
        <w:spacing w:after="12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According to Angle’s system, among the participants, </w:t>
      </w:r>
      <w:r>
        <w:rPr>
          <w:rFonts w:ascii="Times New Roman" w:hAnsi="Times New Roman" w:cs="Times New Roman"/>
          <w:sz w:val="24"/>
          <w:szCs w:val="24"/>
          <w:lang w:val="en-US"/>
        </w:rPr>
        <w:t xml:space="preserve">Class II malocclusion </w:t>
      </w:r>
      <w:r w:rsidR="00133F29">
        <w:rPr>
          <w:rFonts w:ascii="Times New Roman" w:hAnsi="Times New Roman" w:cs="Times New Roman"/>
          <w:sz w:val="24"/>
          <w:szCs w:val="24"/>
          <w:lang w:val="en-US"/>
        </w:rPr>
        <w:t>was mainly</w:t>
      </w:r>
      <w:r>
        <w:rPr>
          <w:rFonts w:ascii="Times New Roman" w:hAnsi="Times New Roman" w:cs="Times New Roman"/>
          <w:sz w:val="24"/>
          <w:szCs w:val="24"/>
          <w:lang w:val="en-US"/>
        </w:rPr>
        <w:t xml:space="preserve"> linked with deep bites (61; 45.2%) but was much less associated with open bites (11; 8.1%). Class III malocclusion </w:t>
      </w:r>
      <w:r w:rsidR="00133F29">
        <w:rPr>
          <w:rFonts w:ascii="Times New Roman" w:hAnsi="Times New Roman" w:cs="Times New Roman"/>
          <w:sz w:val="24"/>
          <w:szCs w:val="24"/>
          <w:lang w:val="en-US"/>
        </w:rPr>
        <w:t>was mainly</w:t>
      </w:r>
      <w:r>
        <w:rPr>
          <w:rFonts w:ascii="Times New Roman" w:hAnsi="Times New Roman" w:cs="Times New Roman"/>
          <w:sz w:val="24"/>
          <w:szCs w:val="24"/>
          <w:lang w:val="en-US"/>
        </w:rPr>
        <w:t xml:space="preserve"> </w:t>
      </w:r>
      <w:r w:rsidR="00133F29">
        <w:rPr>
          <w:rFonts w:ascii="Times New Roman" w:hAnsi="Times New Roman" w:cs="Times New Roman"/>
          <w:sz w:val="24"/>
          <w:szCs w:val="24"/>
          <w:lang w:val="en-US"/>
        </w:rPr>
        <w:t>related to</w:t>
      </w:r>
      <w:r>
        <w:rPr>
          <w:rFonts w:ascii="Times New Roman" w:hAnsi="Times New Roman" w:cs="Times New Roman"/>
          <w:sz w:val="24"/>
          <w:szCs w:val="24"/>
          <w:lang w:val="en-US"/>
        </w:rPr>
        <w:t xml:space="preserve"> open bites (21; 44.7%) but was much less linked with deep bites (4; 8.5%). These results were statistically significant (</w:t>
      </w:r>
      <w:r>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&lt; 0.001).</w:t>
      </w:r>
    </w:p>
    <w:p w14:paraId="794C0698" w14:textId="5A1C809B" w:rsidR="00D21771" w:rsidRPr="00123609" w:rsidRDefault="00D21771" w:rsidP="00123609">
      <w:pPr>
        <w:spacing w:after="24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shd w:val="clear" w:color="auto" w:fill="FFFFFF"/>
          <w:lang w:val="en-US"/>
        </w:rPr>
        <w:t xml:space="preserve">Distribution of the total samples based on the range of bite depth </w:t>
      </w:r>
      <w:r>
        <w:rPr>
          <w:rFonts w:ascii="Times New Roman" w:eastAsia="Times New Roman" w:hAnsi="Times New Roman" w:cs="Times New Roman"/>
          <w:sz w:val="24"/>
          <w:szCs w:val="24"/>
        </w:rPr>
        <w:t xml:space="preserve">in frequency and percentages are as follows: </w:t>
      </w:r>
      <w:r>
        <w:rPr>
          <w:rFonts w:ascii="Times New Roman" w:eastAsia="Times New Roman" w:hAnsi="Times New Roman" w:cs="Times New Roman"/>
          <w:sz w:val="24"/>
          <w:szCs w:val="24"/>
          <w:lang w:eastAsia="en-GB"/>
        </w:rPr>
        <w:t xml:space="preserve">complete deep bite (21; 7%); deep bite 2/3 (65; 22%); normal bite (168; 56%); edge to edge (9; 3%); open bite 0.1-2.99 mm (27; 9%); open bite 3-8 mm (10; 3%). </w:t>
      </w:r>
      <w:r>
        <w:rPr>
          <w:rFonts w:ascii="Times New Roman" w:hAnsi="Times New Roman" w:cs="Times New Roman"/>
          <w:sz w:val="24"/>
          <w:szCs w:val="24"/>
          <w:lang w:val="en-US"/>
        </w:rPr>
        <w:t xml:space="preserve">Gender and age-related differences among the participants are shown in </w:t>
      </w:r>
      <w:r w:rsidR="00133F29">
        <w:rPr>
          <w:rFonts w:ascii="Times New Roman" w:hAnsi="Times New Roman" w:cs="Times New Roman"/>
          <w:sz w:val="24"/>
          <w:szCs w:val="24"/>
          <w:lang w:val="en-US"/>
        </w:rPr>
        <w:t xml:space="preserve">Tables </w:t>
      </w:r>
      <w:r w:rsidR="0002554C">
        <w:rPr>
          <w:rFonts w:ascii="Times New Roman" w:hAnsi="Times New Roman" w:cs="Times New Roman"/>
          <w:sz w:val="24"/>
          <w:szCs w:val="24"/>
          <w:lang w:val="en-US"/>
        </w:rPr>
        <w:t>2</w:t>
      </w:r>
      <w:r w:rsidR="00133F29">
        <w:rPr>
          <w:rFonts w:ascii="Times New Roman" w:hAnsi="Times New Roman" w:cs="Times New Roman"/>
          <w:sz w:val="24"/>
          <w:szCs w:val="24"/>
          <w:lang w:val="en-US"/>
        </w:rPr>
        <w:t xml:space="preserve"> and </w:t>
      </w:r>
      <w:r w:rsidR="0002554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p>
    <w:p w14:paraId="74A5F39F" w14:textId="6A5B2C58" w:rsidR="00D21771" w:rsidRPr="00E72211" w:rsidRDefault="00D21771" w:rsidP="00D21771">
      <w:pPr>
        <w:autoSpaceDE w:val="0"/>
        <w:autoSpaceDN w:val="0"/>
        <w:adjustRightInd w:val="0"/>
        <w:spacing w:after="0" w:line="240" w:lineRule="auto"/>
        <w:jc w:val="center"/>
        <w:rPr>
          <w:rFonts w:asciiTheme="majorBidi" w:hAnsiTheme="majorBidi" w:cstheme="majorBidi"/>
          <w:b/>
          <w:bCs/>
          <w:color w:val="000000" w:themeColor="text1"/>
          <w:sz w:val="20"/>
          <w:szCs w:val="20"/>
        </w:rPr>
      </w:pPr>
      <w:r w:rsidRPr="00E72211">
        <w:rPr>
          <w:rFonts w:asciiTheme="majorBidi" w:hAnsiTheme="majorBidi" w:cstheme="majorBidi"/>
          <w:b/>
          <w:bCs/>
          <w:color w:val="000000" w:themeColor="text1"/>
          <w:sz w:val="20"/>
          <w:szCs w:val="20"/>
        </w:rPr>
        <w:t xml:space="preserve">Table </w:t>
      </w:r>
      <w:r w:rsidR="0002554C" w:rsidRPr="00E72211">
        <w:rPr>
          <w:rFonts w:asciiTheme="majorBidi" w:hAnsiTheme="majorBidi" w:cstheme="majorBidi"/>
          <w:b/>
          <w:bCs/>
          <w:color w:val="000000" w:themeColor="text1"/>
          <w:sz w:val="20"/>
          <w:szCs w:val="20"/>
        </w:rPr>
        <w:t>2</w:t>
      </w:r>
      <w:r w:rsidRPr="00E72211">
        <w:rPr>
          <w:rFonts w:asciiTheme="majorBidi" w:hAnsiTheme="majorBidi" w:cstheme="majorBidi"/>
          <w:b/>
          <w:bCs/>
          <w:color w:val="000000" w:themeColor="text1"/>
          <w:sz w:val="20"/>
          <w:szCs w:val="20"/>
        </w:rPr>
        <w:t xml:space="preserve">. </w:t>
      </w:r>
      <w:r w:rsidRPr="00E72211">
        <w:rPr>
          <w:rFonts w:asciiTheme="majorBidi" w:hAnsiTheme="majorBidi" w:cstheme="majorBidi"/>
          <w:b/>
          <w:bCs/>
          <w:color w:val="000000" w:themeColor="text1"/>
          <w:sz w:val="20"/>
          <w:szCs w:val="20"/>
          <w:lang w:val="en-US"/>
        </w:rPr>
        <w:t>Crosstabulation of gender and malocclusion types (Angle’s) in frequency and percentages</w:t>
      </w:r>
    </w:p>
    <w:tbl>
      <w:tblPr>
        <w:tblStyle w:val="TableGrid"/>
        <w:tblW w:w="9060" w:type="dxa"/>
        <w:tblInd w:w="0" w:type="dxa"/>
        <w:tblLayout w:type="fixed"/>
        <w:tblLook w:val="04A0" w:firstRow="1" w:lastRow="0" w:firstColumn="1" w:lastColumn="0" w:noHBand="0" w:noVBand="1"/>
      </w:tblPr>
      <w:tblGrid>
        <w:gridCol w:w="1129"/>
        <w:gridCol w:w="850"/>
        <w:gridCol w:w="878"/>
        <w:gridCol w:w="1958"/>
        <w:gridCol w:w="1134"/>
        <w:gridCol w:w="1130"/>
        <w:gridCol w:w="990"/>
        <w:gridCol w:w="991"/>
      </w:tblGrid>
      <w:tr w:rsidR="00D21771" w:rsidRPr="0002554C" w14:paraId="3DA0D65D" w14:textId="77777777" w:rsidTr="00123609">
        <w:trPr>
          <w:trHeight w:val="579"/>
        </w:trPr>
        <w:tc>
          <w:tcPr>
            <w:tcW w:w="48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00516" w14:textId="77777777" w:rsidR="00D21771" w:rsidRPr="0002554C" w:rsidRDefault="00D21771">
            <w:pPr>
              <w:autoSpaceDE w:val="0"/>
              <w:autoSpaceDN w:val="0"/>
              <w:adjustRightInd w:val="0"/>
              <w:spacing w:line="276" w:lineRule="auto"/>
              <w:rPr>
                <w:rFonts w:ascii="Times New Roman" w:hAnsi="Times New Roman" w:cs="Times New Roman"/>
                <w:b/>
                <w:bCs/>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FED3D" w14:textId="77777777" w:rsidR="00D21771" w:rsidRPr="0002554C" w:rsidRDefault="00D21771">
            <w:pPr>
              <w:autoSpaceDE w:val="0"/>
              <w:autoSpaceDN w:val="0"/>
              <w:adjustRightInd w:val="0"/>
              <w:spacing w:line="276" w:lineRule="auto"/>
              <w:ind w:left="60"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Deep bite</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D2B9B" w14:textId="77777777" w:rsidR="00D21771" w:rsidRPr="0002554C" w:rsidRDefault="00D21771">
            <w:pPr>
              <w:autoSpaceDE w:val="0"/>
              <w:autoSpaceDN w:val="0"/>
              <w:adjustRightInd w:val="0"/>
              <w:spacing w:line="276" w:lineRule="auto"/>
              <w:ind w:left="60"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Normal</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EA91B" w14:textId="77777777" w:rsidR="00D21771" w:rsidRPr="0002554C" w:rsidRDefault="00D21771">
            <w:pPr>
              <w:autoSpaceDE w:val="0"/>
              <w:autoSpaceDN w:val="0"/>
              <w:adjustRightInd w:val="0"/>
              <w:spacing w:line="276" w:lineRule="auto"/>
              <w:ind w:left="60"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Open bite</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A5BCF" w14:textId="77777777" w:rsidR="00D21771" w:rsidRPr="0002554C" w:rsidRDefault="00D21771">
            <w:pPr>
              <w:autoSpaceDE w:val="0"/>
              <w:autoSpaceDN w:val="0"/>
              <w:adjustRightInd w:val="0"/>
              <w:spacing w:line="276" w:lineRule="auto"/>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r>
      <w:tr w:rsidR="00D21771" w:rsidRPr="0002554C" w14:paraId="207B8DE4" w14:textId="77777777" w:rsidTr="00123609">
        <w:tc>
          <w:tcPr>
            <w:tcW w:w="1129"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E4C702C"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5781F47"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5C54B1B8"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832D243"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10B915D5"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787366A"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093F5687"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5DE74099"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BA6195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7E268CF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7FBF88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7AA12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385E30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2649AA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8CE6B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34</w:t>
            </w:r>
          </w:p>
        </w:tc>
      </w:tr>
      <w:tr w:rsidR="00D21771" w:rsidRPr="0002554C" w14:paraId="0B39B934"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EFF190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6FFA08"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1D7F29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482D4CB" w14:textId="34527B41"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A2A10F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14.3%</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AD8B2F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30.1%</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555C4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42.9%</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3C3023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28.8%</w:t>
            </w:r>
          </w:p>
        </w:tc>
      </w:tr>
      <w:tr w:rsidR="00D21771" w:rsidRPr="0002554C" w14:paraId="6DB0709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4082A79A"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64A31F"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2D2D6D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6D88FC9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B4F7B83"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34219C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9E46C5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58</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B1D3F8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C1A72B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84</w:t>
            </w:r>
          </w:p>
        </w:tc>
      </w:tr>
      <w:tr w:rsidR="00D21771" w:rsidRPr="0002554C" w14:paraId="14627FFD"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4DBFF9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E9EAB3"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6DDA57F"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022FC7D" w14:textId="3E878B60"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93D0AE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85.7%</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5D8CC7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69.9%</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28A4B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57.1%</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743856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71.2%</w:t>
            </w:r>
          </w:p>
        </w:tc>
      </w:tr>
      <w:tr w:rsidR="00D21771" w:rsidRPr="0002554C" w14:paraId="20EF4653"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1D4DB23"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DE79977"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38F75C9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4A72E13"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C9F4AF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60CE60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83</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7E1D97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E6056D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118</w:t>
            </w:r>
          </w:p>
        </w:tc>
      </w:tr>
      <w:tr w:rsidR="00D21771" w:rsidRPr="0002554C" w14:paraId="29F9E9B0"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1669B30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7006A57A"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A073C85" w14:textId="4E9B51C8"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w:t>
            </w:r>
            <w:r w:rsidRPr="0002554C">
              <w:rPr>
                <w:rFonts w:ascii="Times New Roman" w:hAnsi="Times New Roman" w:cs="Times New Roman"/>
                <w:color w:val="000000" w:themeColor="text1"/>
                <w:sz w:val="20"/>
                <w:szCs w:val="20"/>
              </w:rPr>
              <w:t>ew complication</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2A9964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EF6109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0E6FD3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8D261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41EC4472" w14:textId="77777777" w:rsidTr="00123609">
        <w:tc>
          <w:tcPr>
            <w:tcW w:w="1129"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386CF6A"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15D0047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6848969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43C6B3CA"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8EC3369"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87D139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5166716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6218A666"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6B4832D"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619334F"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FD22EF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D61C98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24</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B7DE2B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76E6A2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43</w:t>
            </w:r>
          </w:p>
        </w:tc>
      </w:tr>
      <w:tr w:rsidR="00D21771" w:rsidRPr="0002554C" w14:paraId="02421A40"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00AAC2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7BD6E5"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DEFF0E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8F97BFF" w14:textId="1C533D3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616DAA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31.1%</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5CFEE0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38.1%</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EC1BF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0.0%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0FA029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31.9%</w:t>
            </w:r>
          </w:p>
        </w:tc>
      </w:tr>
      <w:tr w:rsidR="00D21771" w:rsidRPr="0002554C" w14:paraId="18F5A51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CF5AFF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6D533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51ED28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A7E7110"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FC4304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42</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47C055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39</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E6428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09255E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92</w:t>
            </w:r>
          </w:p>
        </w:tc>
      </w:tr>
      <w:tr w:rsidR="00D21771" w:rsidRPr="0002554C" w14:paraId="520B7F5E"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2CAD246"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F19162"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3634128"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1C76C3B" w14:textId="484802F6"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A8FDEF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68.9%</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C6960C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61.9%</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1B385B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F1DB73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68.1%</w:t>
            </w:r>
          </w:p>
        </w:tc>
      </w:tr>
      <w:tr w:rsidR="00D21771" w:rsidRPr="0002554C" w14:paraId="688B4E1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1E221BAE"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D8CB69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3A4539D6"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CC89A11"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6CB310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C25A66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B6C84E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D322A3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135</w:t>
            </w:r>
          </w:p>
        </w:tc>
      </w:tr>
      <w:tr w:rsidR="00D21771" w:rsidRPr="0002554C" w14:paraId="4FD6C66A"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433F795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751F9051"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6F061B8" w14:textId="3D3ADED9"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EE1B81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45F576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8A9654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59F6AF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45C945E8" w14:textId="77777777" w:rsidTr="00123609">
        <w:tc>
          <w:tcPr>
            <w:tcW w:w="1129" w:type="dxa"/>
            <w:vMerge w:val="restart"/>
            <w:tcBorders>
              <w:top w:val="single" w:sz="4" w:space="0" w:color="auto"/>
              <w:left w:val="single" w:sz="4" w:space="0" w:color="auto"/>
              <w:bottom w:val="single" w:sz="4" w:space="0" w:color="auto"/>
              <w:right w:val="single" w:sz="4" w:space="0" w:color="auto"/>
            </w:tcBorders>
            <w:shd w:val="clear" w:color="auto" w:fill="FFFFCC"/>
          </w:tcPr>
          <w:p w14:paraId="7D86BE0D"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535E7FE"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7011CB12"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75A85C89"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56F2DC4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CC"/>
          </w:tcPr>
          <w:p w14:paraId="3DFA121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3D941ACD"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75D4F147"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05392396"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7C16EF74"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16ED3DA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2663547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4BAB109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7CA7A09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w:t>
            </w:r>
          </w:p>
        </w:tc>
      </w:tr>
      <w:tr w:rsidR="00D21771" w:rsidRPr="0002554C" w14:paraId="3AF1A7E7"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558BA8D3"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D894C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34D1306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583A8E2C" w14:textId="288F197B"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596D150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25.0%</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48CBE49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36.4%</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510C454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42.9%</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5ECB5E6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38.3%</w:t>
            </w:r>
          </w:p>
        </w:tc>
      </w:tr>
      <w:tr w:rsidR="00D21771" w:rsidRPr="0002554C" w14:paraId="0EC7F914"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63C326E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B7570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2492D12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2F6FB48B"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6B6E026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765DFA7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0E5E55C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12</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540CEC0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29</w:t>
            </w:r>
          </w:p>
        </w:tc>
      </w:tr>
      <w:tr w:rsidR="00D21771" w:rsidRPr="0002554C" w14:paraId="141BF09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8AB25A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CFF951"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9C721D"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25D2ACA3" w14:textId="70E04DD1"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 xml:space="preserve">new </w:t>
            </w:r>
            <w:r w:rsidRPr="0002554C">
              <w:rPr>
                <w:rFonts w:ascii="Times New Roman" w:hAnsi="Times New Roman" w:cs="Times New Roman"/>
                <w:color w:val="000000" w:themeColor="text1"/>
                <w:sz w:val="20"/>
                <w:szCs w:val="20"/>
              </w:rPr>
              <w:t>complication</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1E35A47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75.0%</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0AF3F68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63.6%</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4C45457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57.1%</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1887282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61.7%</w:t>
            </w:r>
          </w:p>
        </w:tc>
      </w:tr>
      <w:tr w:rsidR="00D21771" w:rsidRPr="0002554C" w14:paraId="6362200B"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0EE92F24"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shd w:val="clear" w:color="auto" w:fill="FFFFCC"/>
          </w:tcPr>
          <w:p w14:paraId="22C2359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0F8EE6E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783E02B6"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7DFB008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2150BB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22</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312B54B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665EF17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47</w:t>
            </w:r>
          </w:p>
        </w:tc>
      </w:tr>
      <w:tr w:rsidR="00D21771" w:rsidRPr="0002554C" w14:paraId="574DB218"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46744094"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74DE4DE5"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0F5F4C1F" w14:textId="35FA549A"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55F7F38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2446CA6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4ACFA00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1A3AA80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0B3782A1" w14:textId="77777777" w:rsidTr="00123609">
        <w:tc>
          <w:tcPr>
            <w:tcW w:w="1129" w:type="dxa"/>
            <w:vMerge w:val="restart"/>
            <w:tcBorders>
              <w:top w:val="single" w:sz="4" w:space="0" w:color="auto"/>
              <w:left w:val="single" w:sz="4" w:space="0" w:color="auto"/>
              <w:bottom w:val="single" w:sz="4" w:space="0" w:color="auto"/>
              <w:right w:val="single" w:sz="4" w:space="0" w:color="auto"/>
            </w:tcBorders>
          </w:tcPr>
          <w:p w14:paraId="5AB62579"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18C87C3C"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5E52C523"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2861CA86"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4AA3455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c>
          <w:tcPr>
            <w:tcW w:w="850" w:type="dxa"/>
            <w:vMerge w:val="restart"/>
            <w:tcBorders>
              <w:top w:val="single" w:sz="4" w:space="0" w:color="auto"/>
              <w:left w:val="single" w:sz="4" w:space="0" w:color="auto"/>
              <w:bottom w:val="single" w:sz="4" w:space="0" w:color="auto"/>
              <w:right w:val="single" w:sz="4" w:space="0" w:color="auto"/>
            </w:tcBorders>
          </w:tcPr>
          <w:p w14:paraId="74A8834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7FC05496"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107A07FD"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hideMark/>
          </w:tcPr>
          <w:p w14:paraId="34913460"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hideMark/>
          </w:tcPr>
          <w:p w14:paraId="41931AF2"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hideMark/>
          </w:tcPr>
          <w:p w14:paraId="437D881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23</w:t>
            </w:r>
          </w:p>
        </w:tc>
        <w:tc>
          <w:tcPr>
            <w:tcW w:w="1130" w:type="dxa"/>
            <w:tcBorders>
              <w:top w:val="single" w:sz="4" w:space="0" w:color="auto"/>
              <w:left w:val="single" w:sz="4" w:space="0" w:color="auto"/>
              <w:bottom w:val="single" w:sz="4" w:space="0" w:color="auto"/>
              <w:right w:val="single" w:sz="4" w:space="0" w:color="auto"/>
            </w:tcBorders>
            <w:hideMark/>
          </w:tcPr>
          <w:p w14:paraId="41DB7DF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57</w:t>
            </w:r>
          </w:p>
        </w:tc>
        <w:tc>
          <w:tcPr>
            <w:tcW w:w="990" w:type="dxa"/>
            <w:tcBorders>
              <w:top w:val="single" w:sz="4" w:space="0" w:color="auto"/>
              <w:left w:val="single" w:sz="4" w:space="0" w:color="auto"/>
              <w:bottom w:val="single" w:sz="4" w:space="0" w:color="auto"/>
              <w:right w:val="single" w:sz="4" w:space="0" w:color="auto"/>
            </w:tcBorders>
            <w:hideMark/>
          </w:tcPr>
          <w:p w14:paraId="1C7CB79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15</w:t>
            </w:r>
          </w:p>
        </w:tc>
        <w:tc>
          <w:tcPr>
            <w:tcW w:w="991" w:type="dxa"/>
            <w:tcBorders>
              <w:top w:val="single" w:sz="4" w:space="0" w:color="auto"/>
              <w:left w:val="single" w:sz="4" w:space="0" w:color="auto"/>
              <w:bottom w:val="single" w:sz="4" w:space="0" w:color="auto"/>
              <w:right w:val="single" w:sz="4" w:space="0" w:color="auto"/>
            </w:tcBorders>
            <w:hideMark/>
          </w:tcPr>
          <w:p w14:paraId="779ADDA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95</w:t>
            </w:r>
          </w:p>
        </w:tc>
      </w:tr>
      <w:tr w:rsidR="00D21771" w:rsidRPr="0002554C" w14:paraId="01DFA3B6"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6B9B1E4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E6323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2210AF8"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hideMark/>
          </w:tcPr>
          <w:p w14:paraId="78AEC5A0" w14:textId="2AC255E1"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hideMark/>
          </w:tcPr>
          <w:p w14:paraId="63E07CF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26.7%</w:t>
            </w:r>
          </w:p>
        </w:tc>
        <w:tc>
          <w:tcPr>
            <w:tcW w:w="1130" w:type="dxa"/>
            <w:tcBorders>
              <w:top w:val="single" w:sz="4" w:space="0" w:color="auto"/>
              <w:left w:val="single" w:sz="4" w:space="0" w:color="auto"/>
              <w:bottom w:val="single" w:sz="4" w:space="0" w:color="auto"/>
              <w:right w:val="single" w:sz="4" w:space="0" w:color="auto"/>
            </w:tcBorders>
            <w:hideMark/>
          </w:tcPr>
          <w:p w14:paraId="3626001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33.9%</w:t>
            </w:r>
          </w:p>
        </w:tc>
        <w:tc>
          <w:tcPr>
            <w:tcW w:w="990" w:type="dxa"/>
            <w:tcBorders>
              <w:top w:val="single" w:sz="4" w:space="0" w:color="auto"/>
              <w:left w:val="single" w:sz="4" w:space="0" w:color="auto"/>
              <w:bottom w:val="single" w:sz="4" w:space="0" w:color="auto"/>
              <w:right w:val="single" w:sz="4" w:space="0" w:color="auto"/>
            </w:tcBorders>
            <w:hideMark/>
          </w:tcPr>
          <w:p w14:paraId="6ADE6AB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32.6%</w:t>
            </w:r>
          </w:p>
        </w:tc>
        <w:tc>
          <w:tcPr>
            <w:tcW w:w="991" w:type="dxa"/>
            <w:tcBorders>
              <w:top w:val="single" w:sz="4" w:space="0" w:color="auto"/>
              <w:left w:val="single" w:sz="4" w:space="0" w:color="auto"/>
              <w:bottom w:val="single" w:sz="4" w:space="0" w:color="auto"/>
              <w:right w:val="single" w:sz="4" w:space="0" w:color="auto"/>
            </w:tcBorders>
            <w:hideMark/>
          </w:tcPr>
          <w:p w14:paraId="71AFD7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31.7%</w:t>
            </w:r>
          </w:p>
        </w:tc>
      </w:tr>
      <w:tr w:rsidR="00D21771" w:rsidRPr="0002554C" w14:paraId="68B6568D"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7B982B0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B85277"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hideMark/>
          </w:tcPr>
          <w:p w14:paraId="15406764"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hideMark/>
          </w:tcPr>
          <w:p w14:paraId="62CB17BB"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hideMark/>
          </w:tcPr>
          <w:p w14:paraId="245A47D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w:t>
            </w:r>
          </w:p>
        </w:tc>
        <w:tc>
          <w:tcPr>
            <w:tcW w:w="1130" w:type="dxa"/>
            <w:tcBorders>
              <w:top w:val="single" w:sz="4" w:space="0" w:color="auto"/>
              <w:left w:val="single" w:sz="4" w:space="0" w:color="auto"/>
              <w:bottom w:val="single" w:sz="4" w:space="0" w:color="auto"/>
              <w:right w:val="single" w:sz="4" w:space="0" w:color="auto"/>
            </w:tcBorders>
            <w:hideMark/>
          </w:tcPr>
          <w:p w14:paraId="3681B91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111</w:t>
            </w:r>
          </w:p>
        </w:tc>
        <w:tc>
          <w:tcPr>
            <w:tcW w:w="990" w:type="dxa"/>
            <w:tcBorders>
              <w:top w:val="single" w:sz="4" w:space="0" w:color="auto"/>
              <w:left w:val="single" w:sz="4" w:space="0" w:color="auto"/>
              <w:bottom w:val="single" w:sz="4" w:space="0" w:color="auto"/>
              <w:right w:val="single" w:sz="4" w:space="0" w:color="auto"/>
            </w:tcBorders>
            <w:hideMark/>
          </w:tcPr>
          <w:p w14:paraId="29A6D95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w:t>
            </w:r>
          </w:p>
        </w:tc>
        <w:tc>
          <w:tcPr>
            <w:tcW w:w="991" w:type="dxa"/>
            <w:tcBorders>
              <w:top w:val="single" w:sz="4" w:space="0" w:color="auto"/>
              <w:left w:val="single" w:sz="4" w:space="0" w:color="auto"/>
              <w:bottom w:val="single" w:sz="4" w:space="0" w:color="auto"/>
              <w:right w:val="single" w:sz="4" w:space="0" w:color="auto"/>
            </w:tcBorders>
            <w:hideMark/>
          </w:tcPr>
          <w:p w14:paraId="00EB94C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205</w:t>
            </w:r>
          </w:p>
        </w:tc>
      </w:tr>
      <w:tr w:rsidR="00D21771" w:rsidRPr="0002554C" w14:paraId="2525B361"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6234008"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5C4BED"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4CD96E7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hideMark/>
          </w:tcPr>
          <w:p w14:paraId="4C70450B" w14:textId="207BF0BE"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 xml:space="preserve">new </w:t>
            </w:r>
            <w:r w:rsidRPr="0002554C">
              <w:rPr>
                <w:rFonts w:ascii="Times New Roman" w:hAnsi="Times New Roman" w:cs="Times New Roman"/>
                <w:color w:val="000000" w:themeColor="text1"/>
                <w:sz w:val="20"/>
                <w:szCs w:val="20"/>
              </w:rPr>
              <w:t>complication</w:t>
            </w:r>
          </w:p>
        </w:tc>
        <w:tc>
          <w:tcPr>
            <w:tcW w:w="1134" w:type="dxa"/>
            <w:tcBorders>
              <w:top w:val="single" w:sz="4" w:space="0" w:color="auto"/>
              <w:left w:val="single" w:sz="4" w:space="0" w:color="auto"/>
              <w:bottom w:val="single" w:sz="4" w:space="0" w:color="auto"/>
              <w:right w:val="single" w:sz="4" w:space="0" w:color="auto"/>
            </w:tcBorders>
            <w:hideMark/>
          </w:tcPr>
          <w:p w14:paraId="0A158C9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73.3%</w:t>
            </w:r>
          </w:p>
        </w:tc>
        <w:tc>
          <w:tcPr>
            <w:tcW w:w="1130" w:type="dxa"/>
            <w:tcBorders>
              <w:top w:val="single" w:sz="4" w:space="0" w:color="auto"/>
              <w:left w:val="single" w:sz="4" w:space="0" w:color="auto"/>
              <w:bottom w:val="single" w:sz="4" w:space="0" w:color="auto"/>
              <w:right w:val="single" w:sz="4" w:space="0" w:color="auto"/>
            </w:tcBorders>
            <w:hideMark/>
          </w:tcPr>
          <w:p w14:paraId="77BE5AC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66.1%</w:t>
            </w:r>
          </w:p>
        </w:tc>
        <w:tc>
          <w:tcPr>
            <w:tcW w:w="990" w:type="dxa"/>
            <w:tcBorders>
              <w:top w:val="single" w:sz="4" w:space="0" w:color="auto"/>
              <w:left w:val="single" w:sz="4" w:space="0" w:color="auto"/>
              <w:bottom w:val="single" w:sz="4" w:space="0" w:color="auto"/>
              <w:right w:val="single" w:sz="4" w:space="0" w:color="auto"/>
            </w:tcBorders>
            <w:hideMark/>
          </w:tcPr>
          <w:p w14:paraId="5CADAF2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67.4%</w:t>
            </w:r>
          </w:p>
        </w:tc>
        <w:tc>
          <w:tcPr>
            <w:tcW w:w="991" w:type="dxa"/>
            <w:tcBorders>
              <w:top w:val="single" w:sz="4" w:space="0" w:color="auto"/>
              <w:left w:val="single" w:sz="4" w:space="0" w:color="auto"/>
              <w:bottom w:val="single" w:sz="4" w:space="0" w:color="auto"/>
              <w:right w:val="single" w:sz="4" w:space="0" w:color="auto"/>
            </w:tcBorders>
            <w:hideMark/>
          </w:tcPr>
          <w:p w14:paraId="0E2464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68.3%</w:t>
            </w:r>
          </w:p>
        </w:tc>
      </w:tr>
      <w:tr w:rsidR="00D21771" w:rsidRPr="0002554C" w14:paraId="0FE2743C"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25F4D7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tcPr>
          <w:p w14:paraId="0D2B4458"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4FE99858"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hideMark/>
          </w:tcPr>
          <w:p w14:paraId="4F864089"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hideMark/>
          </w:tcPr>
          <w:p w14:paraId="6C66961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86</w:t>
            </w:r>
          </w:p>
        </w:tc>
        <w:tc>
          <w:tcPr>
            <w:tcW w:w="1130" w:type="dxa"/>
            <w:tcBorders>
              <w:top w:val="single" w:sz="4" w:space="0" w:color="auto"/>
              <w:left w:val="single" w:sz="4" w:space="0" w:color="auto"/>
              <w:bottom w:val="single" w:sz="4" w:space="0" w:color="auto"/>
              <w:right w:val="single" w:sz="4" w:space="0" w:color="auto"/>
            </w:tcBorders>
            <w:hideMark/>
          </w:tcPr>
          <w:p w14:paraId="3698034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168</w:t>
            </w:r>
          </w:p>
        </w:tc>
        <w:tc>
          <w:tcPr>
            <w:tcW w:w="990" w:type="dxa"/>
            <w:tcBorders>
              <w:top w:val="single" w:sz="4" w:space="0" w:color="auto"/>
              <w:left w:val="single" w:sz="4" w:space="0" w:color="auto"/>
              <w:bottom w:val="single" w:sz="4" w:space="0" w:color="auto"/>
              <w:right w:val="single" w:sz="4" w:space="0" w:color="auto"/>
            </w:tcBorders>
            <w:hideMark/>
          </w:tcPr>
          <w:p w14:paraId="00C1E9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46</w:t>
            </w:r>
          </w:p>
        </w:tc>
        <w:tc>
          <w:tcPr>
            <w:tcW w:w="991" w:type="dxa"/>
            <w:tcBorders>
              <w:top w:val="single" w:sz="4" w:space="0" w:color="auto"/>
              <w:left w:val="single" w:sz="4" w:space="0" w:color="auto"/>
              <w:bottom w:val="single" w:sz="4" w:space="0" w:color="auto"/>
              <w:right w:val="single" w:sz="4" w:space="0" w:color="auto"/>
            </w:tcBorders>
            <w:hideMark/>
          </w:tcPr>
          <w:p w14:paraId="2A1C046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300</w:t>
            </w:r>
          </w:p>
        </w:tc>
      </w:tr>
      <w:tr w:rsidR="00D21771" w:rsidRPr="0002554C" w14:paraId="4151DD07"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7D91EE5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627134D7"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hideMark/>
          </w:tcPr>
          <w:p w14:paraId="2C050B60" w14:textId="79B0A139"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 xml:space="preserve">new </w:t>
            </w:r>
            <w:r w:rsidRPr="0002554C">
              <w:rPr>
                <w:rFonts w:ascii="Times New Roman" w:hAnsi="Times New Roman" w:cs="Times New Roman"/>
                <w:color w:val="000000" w:themeColor="text1"/>
                <w:sz w:val="20"/>
                <w:szCs w:val="20"/>
              </w:rPr>
              <w:t>complication</w:t>
            </w:r>
          </w:p>
        </w:tc>
        <w:tc>
          <w:tcPr>
            <w:tcW w:w="1134" w:type="dxa"/>
            <w:tcBorders>
              <w:top w:val="single" w:sz="4" w:space="0" w:color="auto"/>
              <w:left w:val="single" w:sz="4" w:space="0" w:color="auto"/>
              <w:bottom w:val="single" w:sz="4" w:space="0" w:color="auto"/>
              <w:right w:val="single" w:sz="4" w:space="0" w:color="auto"/>
            </w:tcBorders>
            <w:hideMark/>
          </w:tcPr>
          <w:p w14:paraId="5892319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hideMark/>
          </w:tcPr>
          <w:p w14:paraId="7B859E9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hideMark/>
          </w:tcPr>
          <w:p w14:paraId="5022B35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hideMark/>
          </w:tcPr>
          <w:p w14:paraId="5E4612F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bl>
    <w:p w14:paraId="7C992CD5" w14:textId="77777777" w:rsidR="00D21771" w:rsidRDefault="00D21771" w:rsidP="00D21771">
      <w:pPr>
        <w:spacing w:after="0" w:line="240" w:lineRule="auto"/>
        <w:ind w:right="283"/>
        <w:rPr>
          <w:rFonts w:asciiTheme="majorBidi" w:hAnsiTheme="majorBidi" w:cstheme="majorBidi"/>
          <w:color w:val="000000" w:themeColor="text1"/>
          <w:lang w:val="en-US"/>
        </w:rPr>
      </w:pPr>
    </w:p>
    <w:p w14:paraId="1B59D8AC" w14:textId="77777777" w:rsidR="00D21771" w:rsidRDefault="00D21771" w:rsidP="00D21771">
      <w:pPr>
        <w:spacing w:after="0" w:line="240" w:lineRule="auto"/>
        <w:ind w:right="283"/>
        <w:rPr>
          <w:rFonts w:asciiTheme="majorBidi" w:hAnsiTheme="majorBidi" w:cstheme="majorBidi"/>
          <w:color w:val="000000" w:themeColor="text1"/>
          <w:lang w:val="en-US"/>
        </w:rPr>
      </w:pPr>
    </w:p>
    <w:p w14:paraId="75E385BA" w14:textId="77777777" w:rsidR="00D21771" w:rsidRDefault="00D21771" w:rsidP="00D21771">
      <w:pPr>
        <w:spacing w:after="0" w:line="240" w:lineRule="auto"/>
        <w:ind w:right="283"/>
        <w:rPr>
          <w:rFonts w:asciiTheme="majorBidi" w:hAnsiTheme="majorBidi" w:cstheme="majorBidi"/>
          <w:color w:val="000000" w:themeColor="text1"/>
          <w:lang w:val="en-US"/>
        </w:rPr>
      </w:pPr>
    </w:p>
    <w:p w14:paraId="348E14C0" w14:textId="7B248D06" w:rsidR="00D21771" w:rsidRPr="00E72211" w:rsidRDefault="00D21771" w:rsidP="00D21771">
      <w:pPr>
        <w:spacing w:after="0" w:line="240" w:lineRule="auto"/>
        <w:ind w:right="283"/>
        <w:rPr>
          <w:rFonts w:asciiTheme="majorBidi" w:hAnsiTheme="majorBidi" w:cstheme="majorBidi"/>
          <w:b/>
          <w:bCs/>
          <w:color w:val="000000" w:themeColor="text1"/>
          <w:sz w:val="20"/>
          <w:szCs w:val="20"/>
          <w:lang w:val="en-US"/>
        </w:rPr>
      </w:pPr>
      <w:r w:rsidRPr="00E72211">
        <w:rPr>
          <w:rFonts w:asciiTheme="majorBidi" w:hAnsiTheme="majorBidi" w:cstheme="majorBidi"/>
          <w:b/>
          <w:bCs/>
          <w:color w:val="000000" w:themeColor="text1"/>
          <w:sz w:val="20"/>
          <w:szCs w:val="20"/>
          <w:lang w:val="en-US"/>
        </w:rPr>
        <w:lastRenderedPageBreak/>
        <w:t xml:space="preserve">Table </w:t>
      </w:r>
      <w:r w:rsidR="0002554C" w:rsidRPr="00E72211">
        <w:rPr>
          <w:rFonts w:asciiTheme="majorBidi" w:hAnsiTheme="majorBidi" w:cstheme="majorBidi"/>
          <w:b/>
          <w:bCs/>
          <w:color w:val="000000" w:themeColor="text1"/>
          <w:sz w:val="20"/>
          <w:szCs w:val="20"/>
          <w:lang w:val="en-US"/>
        </w:rPr>
        <w:t>3</w:t>
      </w:r>
      <w:r w:rsidRPr="00E72211">
        <w:rPr>
          <w:rFonts w:asciiTheme="majorBidi" w:hAnsiTheme="majorBidi" w:cstheme="majorBidi"/>
          <w:b/>
          <w:bCs/>
          <w:color w:val="000000" w:themeColor="text1"/>
          <w:sz w:val="20"/>
          <w:szCs w:val="20"/>
          <w:lang w:val="en-US"/>
        </w:rPr>
        <w:t>. Crosstabulation of age groups and malocclusion types (Angle’s) in frequency and percentages</w:t>
      </w:r>
    </w:p>
    <w:tbl>
      <w:tblPr>
        <w:tblStyle w:val="TableGrid"/>
        <w:tblW w:w="8955" w:type="dxa"/>
        <w:jc w:val="center"/>
        <w:tblInd w:w="0" w:type="dxa"/>
        <w:tblLayout w:type="fixed"/>
        <w:tblLook w:val="04A0" w:firstRow="1" w:lastRow="0" w:firstColumn="1" w:lastColumn="0" w:noHBand="0" w:noVBand="1"/>
      </w:tblPr>
      <w:tblGrid>
        <w:gridCol w:w="1129"/>
        <w:gridCol w:w="851"/>
        <w:gridCol w:w="850"/>
        <w:gridCol w:w="2127"/>
        <w:gridCol w:w="999"/>
        <w:gridCol w:w="1000"/>
        <w:gridCol w:w="999"/>
        <w:gridCol w:w="1000"/>
      </w:tblGrid>
      <w:tr w:rsidR="00D21771" w:rsidRPr="0002554C" w14:paraId="6C4A34B8" w14:textId="77777777" w:rsidTr="0002554C">
        <w:trPr>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DE0B" w14:textId="77777777" w:rsidR="00D21771" w:rsidRPr="0002554C" w:rsidRDefault="00D21771">
            <w:pPr>
              <w:autoSpaceDE w:val="0"/>
              <w:autoSpaceDN w:val="0"/>
              <w:adjustRightInd w:val="0"/>
              <w:spacing w:line="276" w:lineRule="auto"/>
              <w:rPr>
                <w:rFonts w:ascii="Times New Roman" w:hAnsi="Times New Roman" w:cs="Times New Roman"/>
                <w:b/>
                <w:bCs/>
                <w:color w:val="000000" w:themeColor="text1"/>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93319" w14:textId="77777777" w:rsidR="00D21771" w:rsidRPr="0002554C" w:rsidRDefault="00D21771">
            <w:pPr>
              <w:autoSpaceDE w:val="0"/>
              <w:autoSpaceDN w:val="0"/>
              <w:adjustRightInd w:val="0"/>
              <w:spacing w:line="276" w:lineRule="auto"/>
              <w:ind w:left="-57"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Deep bite</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A1D87" w14:textId="77777777" w:rsidR="00D21771" w:rsidRPr="0002554C" w:rsidRDefault="00D21771">
            <w:pPr>
              <w:autoSpaceDE w:val="0"/>
              <w:autoSpaceDN w:val="0"/>
              <w:adjustRightInd w:val="0"/>
              <w:spacing w:line="276" w:lineRule="auto"/>
              <w:ind w:left="-57"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Normal</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B768C" w14:textId="77777777" w:rsidR="00D21771" w:rsidRPr="0002554C" w:rsidRDefault="00D21771">
            <w:pPr>
              <w:autoSpaceDE w:val="0"/>
              <w:autoSpaceDN w:val="0"/>
              <w:adjustRightInd w:val="0"/>
              <w:spacing w:line="276" w:lineRule="auto"/>
              <w:ind w:left="-57"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Open bite</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F9CAC" w14:textId="77777777" w:rsidR="00D21771" w:rsidRPr="0002554C" w:rsidRDefault="00D21771">
            <w:pPr>
              <w:autoSpaceDE w:val="0"/>
              <w:autoSpaceDN w:val="0"/>
              <w:adjustRightInd w:val="0"/>
              <w:spacing w:line="276" w:lineRule="auto"/>
              <w:ind w:left="-57"/>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r>
      <w:tr w:rsidR="00D21771" w:rsidRPr="0002554C" w14:paraId="1DF2091E"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5D5668F"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16CC7590"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3CC6C14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2FF24BFD"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D59F868"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F9BA344"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10D360B7"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p>
          <w:p w14:paraId="18320D72"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p>
          <w:p w14:paraId="533A9465"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years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95BD98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3B607E3"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959472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10AE1F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98C32F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28C5DA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13</w:t>
            </w:r>
          </w:p>
        </w:tc>
      </w:tr>
      <w:tr w:rsidR="00D21771" w:rsidRPr="0002554C" w14:paraId="6B559F58"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9548CE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AD6A6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D8DDD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C47AAA" w14:textId="42B4D828"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4A2D70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9.5%</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620DAF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9.6%</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57D66B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21.4%</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6DA2F4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11.0%</w:t>
            </w:r>
          </w:p>
        </w:tc>
      </w:tr>
      <w:tr w:rsidR="00D21771" w:rsidRPr="0002554C" w14:paraId="7FB0282B"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ECEF54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A42D1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9636B3B"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158B2D"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38927E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FCC614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75</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EBC6F2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E020CC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105</w:t>
            </w:r>
          </w:p>
        </w:tc>
      </w:tr>
      <w:tr w:rsidR="00D21771" w:rsidRPr="0002554C" w14:paraId="2A446C5A"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401F49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10AE73"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016610"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9B5706B" w14:textId="28AAB7D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0A6956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90.5%</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1BE9D2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90.4%</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89EFFF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78.6%</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6CF50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89.0%</w:t>
            </w:r>
          </w:p>
        </w:tc>
      </w:tr>
      <w:tr w:rsidR="00D21771" w:rsidRPr="0002554C" w14:paraId="07361555"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DFD7889"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005F05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EE13762"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11669E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3EA228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83</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83A894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8B2320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118</w:t>
            </w:r>
          </w:p>
        </w:tc>
      </w:tr>
      <w:tr w:rsidR="00D21771" w:rsidRPr="0002554C" w14:paraId="7A278F52"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0DD08B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AA5109A"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7ACAE6" w14:textId="25BDFDE6"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C6A33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D70174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03A9FC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410F8D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167A0DC8"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AB239FE"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0267B333"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5F524A8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302BE57"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4B4D0C83"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5E5CFA2"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3C5B7615"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1BCDE39D"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r w:rsidRPr="0002554C">
              <w:rPr>
                <w:rFonts w:ascii="Times New Roman" w:hAnsi="Times New Roman" w:cs="Times New Roman"/>
                <w:color w:val="000000" w:themeColor="text1"/>
                <w:sz w:val="20"/>
                <w:szCs w:val="20"/>
              </w:rPr>
              <w:t xml:space="preserve"> years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A1CBA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E0EF321"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E91FF9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20661E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9E78B8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2DF959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20</w:t>
            </w:r>
          </w:p>
        </w:tc>
      </w:tr>
      <w:tr w:rsidR="00D21771" w:rsidRPr="0002554C" w14:paraId="40693E2A"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36F824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E5C8B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1F60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58A424" w14:textId="0D0DA282"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79DCFF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C41381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11.1%</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D1184A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18.2%</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41ABA4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14.8%</w:t>
            </w:r>
          </w:p>
        </w:tc>
      </w:tr>
      <w:tr w:rsidR="00D21771" w:rsidRPr="0002554C" w14:paraId="76582A01"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0829B3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894B2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715A7A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4CEB01B"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846B2E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B494EF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56</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667ECF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BF9B9C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115</w:t>
            </w:r>
          </w:p>
        </w:tc>
      </w:tr>
      <w:tr w:rsidR="00D21771" w:rsidRPr="0002554C" w14:paraId="14E1C93A"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F506319"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F67DF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4A4172"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BBD8369" w14:textId="3A7E457F"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0673A8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82.0%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33DD9D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88.9%</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6D9C8F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81.8%</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BFEB1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85.2%</w:t>
            </w:r>
          </w:p>
        </w:tc>
      </w:tr>
      <w:tr w:rsidR="00D21771" w:rsidRPr="0002554C" w14:paraId="3E213596"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F170AA"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D7C053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9E2136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10F6E9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812BA0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1784FB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F97659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135</w:t>
            </w:r>
          </w:p>
        </w:tc>
      </w:tr>
      <w:tr w:rsidR="00D21771" w:rsidRPr="0002554C" w14:paraId="4C90CC8E"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B118C44"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0B3EDF34"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60580D9" w14:textId="167F62C6"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C2CA5B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7DEA07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2BE010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E39DAE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69F7DCB6"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CC"/>
          </w:tcPr>
          <w:p w14:paraId="6A04333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3E2E61D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146CFF54"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348BFB27"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92EE580"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CC"/>
          </w:tcPr>
          <w:p w14:paraId="172753A4"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5AC08308"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266FBC8C"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r w:rsidRPr="0002554C">
              <w:rPr>
                <w:rFonts w:ascii="Times New Roman" w:hAnsi="Times New Roman" w:cs="Times New Roman"/>
                <w:color w:val="000000" w:themeColor="text1"/>
                <w:sz w:val="20"/>
                <w:szCs w:val="20"/>
              </w:rPr>
              <w:t xml:space="preserve"> years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27A11D4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6AEC0AA5"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7C61597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DB14DD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560432C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7A1DF2C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w:t>
            </w:r>
          </w:p>
        </w:tc>
      </w:tr>
      <w:tr w:rsidR="00D21771" w:rsidRPr="0002554C" w14:paraId="174700C9"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DB2E4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8B0C72"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69432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2D425C41" w14:textId="05AC2E1F"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65D9F3B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7567A5F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22.7%</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245709E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A24225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21.3%</w:t>
            </w:r>
          </w:p>
        </w:tc>
      </w:tr>
      <w:tr w:rsidR="00D21771" w:rsidRPr="0002554C" w14:paraId="78360AD3"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9F5DEF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764E58"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3DA83F70"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7A9691BD"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7D61E8A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0267B2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17</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4F4E403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17</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08030DD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37</w:t>
            </w:r>
          </w:p>
        </w:tc>
      </w:tr>
      <w:tr w:rsidR="00D21771" w:rsidRPr="0002554C" w14:paraId="29F883BC"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C4A432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FFFF5F"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F4BA2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519721F2" w14:textId="27AAB265"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2DFE135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75.0%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07389C9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77.3%</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21DC183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81.0%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139A854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78.7%</w:t>
            </w:r>
          </w:p>
        </w:tc>
      </w:tr>
      <w:tr w:rsidR="00D21771" w:rsidRPr="0002554C" w14:paraId="645BD1DF"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DE295F1"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CC"/>
            <w:hideMark/>
          </w:tcPr>
          <w:p w14:paraId="389F25C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4C7A0ED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019891D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551EE9D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22</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1DFE0B6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607CD4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47</w:t>
            </w:r>
          </w:p>
        </w:tc>
      </w:tr>
      <w:tr w:rsidR="00D21771" w:rsidRPr="0002554C" w14:paraId="20C164F5"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18F3C1E"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5F02182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6E654E0E" w14:textId="61026C4F"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3F7070A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579DF94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6271E1E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45F3459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0C45509F"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tcPr>
          <w:p w14:paraId="364AE033"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187CC28"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01B00D40"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59F90752"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419AC209"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c>
          <w:tcPr>
            <w:tcW w:w="851" w:type="dxa"/>
            <w:vMerge w:val="restart"/>
            <w:tcBorders>
              <w:top w:val="single" w:sz="4" w:space="0" w:color="auto"/>
              <w:left w:val="single" w:sz="4" w:space="0" w:color="auto"/>
              <w:bottom w:val="single" w:sz="4" w:space="0" w:color="auto"/>
              <w:right w:val="single" w:sz="4" w:space="0" w:color="auto"/>
            </w:tcBorders>
          </w:tcPr>
          <w:p w14:paraId="6912BDAA"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p>
          <w:p w14:paraId="0F032044"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p>
          <w:p w14:paraId="05F98DB3"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r w:rsidRPr="0002554C">
              <w:rPr>
                <w:rFonts w:ascii="Times New Roman" w:hAnsi="Times New Roman" w:cs="Times New Roman"/>
                <w:color w:val="000000" w:themeColor="text1"/>
                <w:sz w:val="20"/>
                <w:szCs w:val="20"/>
              </w:rPr>
              <w:t xml:space="preserve"> years</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1BDB9F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hideMark/>
          </w:tcPr>
          <w:p w14:paraId="7693D31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hideMark/>
          </w:tcPr>
          <w:p w14:paraId="20168A4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1000" w:type="dxa"/>
            <w:tcBorders>
              <w:top w:val="single" w:sz="4" w:space="0" w:color="auto"/>
              <w:left w:val="single" w:sz="4" w:space="0" w:color="auto"/>
              <w:bottom w:val="single" w:sz="4" w:space="0" w:color="auto"/>
              <w:right w:val="single" w:sz="4" w:space="0" w:color="auto"/>
            </w:tcBorders>
            <w:hideMark/>
          </w:tcPr>
          <w:p w14:paraId="1BC2923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20</w:t>
            </w:r>
          </w:p>
        </w:tc>
        <w:tc>
          <w:tcPr>
            <w:tcW w:w="999" w:type="dxa"/>
            <w:tcBorders>
              <w:top w:val="single" w:sz="4" w:space="0" w:color="auto"/>
              <w:left w:val="single" w:sz="4" w:space="0" w:color="auto"/>
              <w:bottom w:val="single" w:sz="4" w:space="0" w:color="auto"/>
              <w:right w:val="single" w:sz="4" w:space="0" w:color="auto"/>
            </w:tcBorders>
            <w:hideMark/>
          </w:tcPr>
          <w:p w14:paraId="126F2C9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w:t>
            </w:r>
          </w:p>
        </w:tc>
        <w:tc>
          <w:tcPr>
            <w:tcW w:w="1000" w:type="dxa"/>
            <w:tcBorders>
              <w:top w:val="single" w:sz="4" w:space="0" w:color="auto"/>
              <w:left w:val="single" w:sz="4" w:space="0" w:color="auto"/>
              <w:bottom w:val="single" w:sz="4" w:space="0" w:color="auto"/>
              <w:right w:val="single" w:sz="4" w:space="0" w:color="auto"/>
            </w:tcBorders>
            <w:hideMark/>
          </w:tcPr>
          <w:p w14:paraId="4E0E0E3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43</w:t>
            </w:r>
          </w:p>
        </w:tc>
      </w:tr>
      <w:tr w:rsidR="00D21771" w:rsidRPr="0002554C" w14:paraId="5D524548"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A328D0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59E26B"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5013A3"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620E3C37" w14:textId="431E303B"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hideMark/>
          </w:tcPr>
          <w:p w14:paraId="5728E85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16.3%</w:t>
            </w:r>
          </w:p>
        </w:tc>
        <w:tc>
          <w:tcPr>
            <w:tcW w:w="1000" w:type="dxa"/>
            <w:tcBorders>
              <w:top w:val="single" w:sz="4" w:space="0" w:color="auto"/>
              <w:left w:val="single" w:sz="4" w:space="0" w:color="auto"/>
              <w:bottom w:val="single" w:sz="4" w:space="0" w:color="auto"/>
              <w:right w:val="single" w:sz="4" w:space="0" w:color="auto"/>
            </w:tcBorders>
            <w:hideMark/>
          </w:tcPr>
          <w:p w14:paraId="576539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11.9%</w:t>
            </w:r>
          </w:p>
        </w:tc>
        <w:tc>
          <w:tcPr>
            <w:tcW w:w="999" w:type="dxa"/>
            <w:tcBorders>
              <w:top w:val="single" w:sz="4" w:space="0" w:color="auto"/>
              <w:left w:val="single" w:sz="4" w:space="0" w:color="auto"/>
              <w:bottom w:val="single" w:sz="4" w:space="0" w:color="auto"/>
              <w:right w:val="single" w:sz="4" w:space="0" w:color="auto"/>
            </w:tcBorders>
            <w:hideMark/>
          </w:tcPr>
          <w:p w14:paraId="6150483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19.6%</w:t>
            </w:r>
          </w:p>
        </w:tc>
        <w:tc>
          <w:tcPr>
            <w:tcW w:w="1000" w:type="dxa"/>
            <w:tcBorders>
              <w:top w:val="single" w:sz="4" w:space="0" w:color="auto"/>
              <w:left w:val="single" w:sz="4" w:space="0" w:color="auto"/>
              <w:bottom w:val="single" w:sz="4" w:space="0" w:color="auto"/>
              <w:right w:val="single" w:sz="4" w:space="0" w:color="auto"/>
            </w:tcBorders>
            <w:hideMark/>
          </w:tcPr>
          <w:p w14:paraId="5FEE8AD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14.3%</w:t>
            </w:r>
          </w:p>
        </w:tc>
      </w:tr>
      <w:tr w:rsidR="00D21771" w:rsidRPr="0002554C" w14:paraId="04A42837"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838C4CE"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2F10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4145330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hideMark/>
          </w:tcPr>
          <w:p w14:paraId="16C3175E"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hideMark/>
          </w:tcPr>
          <w:p w14:paraId="55642EB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72</w:t>
            </w:r>
          </w:p>
        </w:tc>
        <w:tc>
          <w:tcPr>
            <w:tcW w:w="1000" w:type="dxa"/>
            <w:tcBorders>
              <w:top w:val="single" w:sz="4" w:space="0" w:color="auto"/>
              <w:left w:val="single" w:sz="4" w:space="0" w:color="auto"/>
              <w:bottom w:val="single" w:sz="4" w:space="0" w:color="auto"/>
              <w:right w:val="single" w:sz="4" w:space="0" w:color="auto"/>
            </w:tcBorders>
            <w:hideMark/>
          </w:tcPr>
          <w:p w14:paraId="7F61EE5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148</w:t>
            </w:r>
          </w:p>
        </w:tc>
        <w:tc>
          <w:tcPr>
            <w:tcW w:w="999" w:type="dxa"/>
            <w:tcBorders>
              <w:top w:val="single" w:sz="4" w:space="0" w:color="auto"/>
              <w:left w:val="single" w:sz="4" w:space="0" w:color="auto"/>
              <w:bottom w:val="single" w:sz="4" w:space="0" w:color="auto"/>
              <w:right w:val="single" w:sz="4" w:space="0" w:color="auto"/>
            </w:tcBorders>
            <w:hideMark/>
          </w:tcPr>
          <w:p w14:paraId="6B0145B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37</w:t>
            </w:r>
          </w:p>
        </w:tc>
        <w:tc>
          <w:tcPr>
            <w:tcW w:w="1000" w:type="dxa"/>
            <w:tcBorders>
              <w:top w:val="single" w:sz="4" w:space="0" w:color="auto"/>
              <w:left w:val="single" w:sz="4" w:space="0" w:color="auto"/>
              <w:bottom w:val="single" w:sz="4" w:space="0" w:color="auto"/>
              <w:right w:val="single" w:sz="4" w:space="0" w:color="auto"/>
            </w:tcBorders>
            <w:hideMark/>
          </w:tcPr>
          <w:p w14:paraId="2ADD3E1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257</w:t>
            </w:r>
          </w:p>
        </w:tc>
      </w:tr>
      <w:tr w:rsidR="00D21771" w:rsidRPr="0002554C" w14:paraId="543898EF"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8A7855F"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B45A9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050F5A"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1C2AD321" w14:textId="35E24270"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hideMark/>
          </w:tcPr>
          <w:p w14:paraId="31F24DE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83.7%</w:t>
            </w:r>
          </w:p>
        </w:tc>
        <w:tc>
          <w:tcPr>
            <w:tcW w:w="1000" w:type="dxa"/>
            <w:tcBorders>
              <w:top w:val="single" w:sz="4" w:space="0" w:color="auto"/>
              <w:left w:val="single" w:sz="4" w:space="0" w:color="auto"/>
              <w:bottom w:val="single" w:sz="4" w:space="0" w:color="auto"/>
              <w:right w:val="single" w:sz="4" w:space="0" w:color="auto"/>
            </w:tcBorders>
            <w:hideMark/>
          </w:tcPr>
          <w:p w14:paraId="37A2E07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88.1%</w:t>
            </w:r>
          </w:p>
        </w:tc>
        <w:tc>
          <w:tcPr>
            <w:tcW w:w="999" w:type="dxa"/>
            <w:tcBorders>
              <w:top w:val="single" w:sz="4" w:space="0" w:color="auto"/>
              <w:left w:val="single" w:sz="4" w:space="0" w:color="auto"/>
              <w:bottom w:val="single" w:sz="4" w:space="0" w:color="auto"/>
              <w:right w:val="single" w:sz="4" w:space="0" w:color="auto"/>
            </w:tcBorders>
            <w:hideMark/>
          </w:tcPr>
          <w:p w14:paraId="7E894D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80.4%</w:t>
            </w:r>
          </w:p>
        </w:tc>
        <w:tc>
          <w:tcPr>
            <w:tcW w:w="1000" w:type="dxa"/>
            <w:tcBorders>
              <w:top w:val="single" w:sz="4" w:space="0" w:color="auto"/>
              <w:left w:val="single" w:sz="4" w:space="0" w:color="auto"/>
              <w:bottom w:val="single" w:sz="4" w:space="0" w:color="auto"/>
              <w:right w:val="single" w:sz="4" w:space="0" w:color="auto"/>
            </w:tcBorders>
            <w:hideMark/>
          </w:tcPr>
          <w:p w14:paraId="7464A5C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85.7%</w:t>
            </w:r>
          </w:p>
        </w:tc>
      </w:tr>
      <w:tr w:rsidR="00D21771" w:rsidRPr="0002554C" w14:paraId="5FC9AF20"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A4FFA58"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0943BC9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hideMark/>
          </w:tcPr>
          <w:p w14:paraId="06A5BBCE"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hideMark/>
          </w:tcPr>
          <w:p w14:paraId="1F2278F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86</w:t>
            </w:r>
          </w:p>
        </w:tc>
        <w:tc>
          <w:tcPr>
            <w:tcW w:w="1000" w:type="dxa"/>
            <w:tcBorders>
              <w:top w:val="single" w:sz="4" w:space="0" w:color="auto"/>
              <w:left w:val="single" w:sz="4" w:space="0" w:color="auto"/>
              <w:bottom w:val="single" w:sz="4" w:space="0" w:color="auto"/>
              <w:right w:val="single" w:sz="4" w:space="0" w:color="auto"/>
            </w:tcBorders>
            <w:hideMark/>
          </w:tcPr>
          <w:p w14:paraId="08889A1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168</w:t>
            </w:r>
          </w:p>
        </w:tc>
        <w:tc>
          <w:tcPr>
            <w:tcW w:w="999" w:type="dxa"/>
            <w:tcBorders>
              <w:top w:val="single" w:sz="4" w:space="0" w:color="auto"/>
              <w:left w:val="single" w:sz="4" w:space="0" w:color="auto"/>
              <w:bottom w:val="single" w:sz="4" w:space="0" w:color="auto"/>
              <w:right w:val="single" w:sz="4" w:space="0" w:color="auto"/>
            </w:tcBorders>
            <w:hideMark/>
          </w:tcPr>
          <w:p w14:paraId="7B8C3AD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46</w:t>
            </w:r>
          </w:p>
        </w:tc>
        <w:tc>
          <w:tcPr>
            <w:tcW w:w="1000" w:type="dxa"/>
            <w:tcBorders>
              <w:top w:val="single" w:sz="4" w:space="0" w:color="auto"/>
              <w:left w:val="single" w:sz="4" w:space="0" w:color="auto"/>
              <w:bottom w:val="single" w:sz="4" w:space="0" w:color="auto"/>
              <w:right w:val="single" w:sz="4" w:space="0" w:color="auto"/>
            </w:tcBorders>
            <w:hideMark/>
          </w:tcPr>
          <w:p w14:paraId="4DB97BA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300</w:t>
            </w:r>
          </w:p>
        </w:tc>
      </w:tr>
      <w:tr w:rsidR="00D21771" w:rsidRPr="0002554C" w14:paraId="0B84D412"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7504952"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E19C1C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7D2CCEB4" w14:textId="5808A8B8"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hideMark/>
          </w:tcPr>
          <w:p w14:paraId="3B02CB8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hideMark/>
          </w:tcPr>
          <w:p w14:paraId="754792F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hideMark/>
          </w:tcPr>
          <w:p w14:paraId="55DD4CF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hideMark/>
          </w:tcPr>
          <w:p w14:paraId="25DF888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bl>
    <w:p w14:paraId="01C87F26" w14:textId="77777777" w:rsidR="00D21771" w:rsidRDefault="00D21771" w:rsidP="00D21771">
      <w:pPr>
        <w:spacing w:after="120" w:line="240" w:lineRule="auto"/>
        <w:jc w:val="both"/>
        <w:rPr>
          <w:rFonts w:ascii="Times New Roman" w:hAnsi="Times New Roman" w:cs="Times New Roman"/>
          <w:sz w:val="24"/>
          <w:szCs w:val="24"/>
          <w:lang w:val="en-US"/>
        </w:rPr>
      </w:pPr>
    </w:p>
    <w:p w14:paraId="03C288A9" w14:textId="77777777" w:rsidR="00D21771" w:rsidRDefault="00D21771" w:rsidP="00D2177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5901632F" w14:textId="5A2F68DE"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study </w:t>
      </w:r>
      <w:r w:rsidR="00133F29">
        <w:rPr>
          <w:rFonts w:ascii="Times New Roman" w:hAnsi="Times New Roman" w:cs="Times New Roman"/>
          <w:sz w:val="24"/>
          <w:szCs w:val="24"/>
        </w:rPr>
        <w:t xml:space="preserve">aimed to quantify the prevalence of malocclusion among a sample of orthodontic patients in Sudan, estimate the distribution of </w:t>
      </w:r>
      <w:r w:rsidR="00EB21AA">
        <w:rPr>
          <w:rFonts w:ascii="Times New Roman" w:hAnsi="Times New Roman" w:cs="Times New Roman"/>
          <w:sz w:val="24"/>
          <w:szCs w:val="24"/>
        </w:rPr>
        <w:t>specific malocclusion features within the same cohort, and examine the association between different malocclusions and</w:t>
      </w:r>
      <w:r>
        <w:rPr>
          <w:rFonts w:ascii="Times New Roman" w:eastAsia="Times New Roman" w:hAnsi="Times New Roman" w:cs="Times New Roman"/>
          <w:sz w:val="24"/>
          <w:szCs w:val="24"/>
        </w:rPr>
        <w:t xml:space="preserve"> selected occlusal traits. </w:t>
      </w:r>
      <w:r w:rsidR="00133F29">
        <w:rPr>
          <w:rFonts w:ascii="Times New Roman" w:eastAsia="Times New Roman" w:hAnsi="Times New Roman" w:cs="Times New Roman"/>
          <w:sz w:val="24"/>
          <w:szCs w:val="24"/>
          <w:shd w:val="clear" w:color="auto" w:fill="FFFFFF"/>
          <w:lang w:val="en-US"/>
        </w:rPr>
        <w:t xml:space="preserve">Assessing patients seeking orthodontic treatment and evaluating the prevalence of malocclusion types are </w:t>
      </w:r>
      <w:r w:rsidR="006C6CAA">
        <w:rPr>
          <w:rFonts w:ascii="Times New Roman" w:eastAsia="Times New Roman" w:hAnsi="Times New Roman" w:cs="Times New Roman"/>
          <w:sz w:val="24"/>
          <w:szCs w:val="24"/>
          <w:shd w:val="clear" w:color="auto" w:fill="FFFFFF"/>
          <w:lang w:val="en-US"/>
        </w:rPr>
        <w:t>crucial for planning orthodontic service provision and influencing patients’ motivation to pursue</w:t>
      </w:r>
      <w:r w:rsidR="00133F29">
        <w:rPr>
          <w:rFonts w:ascii="Times New Roman" w:eastAsia="Times New Roman" w:hAnsi="Times New Roman" w:cs="Times New Roman"/>
          <w:sz w:val="24"/>
          <w:szCs w:val="24"/>
          <w:shd w:val="clear" w:color="auto" w:fill="FFFFFF"/>
          <w:lang w:val="en-US"/>
        </w:rPr>
        <w:t xml:space="preserve"> orthodontic treatment. </w:t>
      </w:r>
      <w:r>
        <w:rPr>
          <w:rFonts w:ascii="Times New Roman" w:eastAsia="Times New Roman" w:hAnsi="Times New Roman" w:cs="Times New Roman"/>
          <w:sz w:val="24"/>
          <w:szCs w:val="24"/>
          <w:shd w:val="clear" w:color="auto" w:fill="FFFFFF"/>
          <w:vertAlign w:val="superscript"/>
          <w:lang w:val="en-US"/>
        </w:rPr>
        <w:t>13,</w:t>
      </w:r>
      <w:r>
        <w:rPr>
          <w:rFonts w:ascii="Times New Roman" w:eastAsia="Times New Roman" w:hAnsi="Times New Roman" w:cs="Times New Roman"/>
          <w:sz w:val="24"/>
          <w:szCs w:val="24"/>
          <w:shd w:val="clear" w:color="auto" w:fill="FFFFFF"/>
          <w:vertAlign w:val="superscript"/>
        </w:rPr>
        <w:t>14,15,16.</w:t>
      </w:r>
    </w:p>
    <w:p w14:paraId="2546DDDB" w14:textId="16E1CC53" w:rsidR="00D21771" w:rsidRDefault="00D21771" w:rsidP="00D21771">
      <w:pPr>
        <w:spacing w:after="120" w:line="24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In our study, among the participants, </w:t>
      </w:r>
      <w:r>
        <w:rPr>
          <w:rFonts w:ascii="Times New Roman" w:eastAsia="Times New Roman" w:hAnsi="Times New Roman" w:cs="Times New Roman"/>
          <w:sz w:val="24"/>
          <w:szCs w:val="24"/>
          <w:shd w:val="clear" w:color="auto" w:fill="FFFFFF"/>
        </w:rPr>
        <w:t xml:space="preserve">39% had Class I malocclusion; 42% had Class II division 1 malocclusion; 16% had Class III malocclusion; and 3% had Class II division 2 malocclusion. While Class II division 1 malocclusion </w:t>
      </w:r>
      <w:r w:rsidR="002B5AA8">
        <w:rPr>
          <w:rFonts w:ascii="Times New Roman" w:eastAsia="Times New Roman" w:hAnsi="Times New Roman" w:cs="Times New Roman"/>
          <w:sz w:val="24"/>
          <w:szCs w:val="24"/>
          <w:shd w:val="clear" w:color="auto" w:fill="FFFFFF"/>
        </w:rPr>
        <w:t xml:space="preserve">had the highest prevalence, Class II division 2 </w:t>
      </w:r>
      <w:r w:rsidR="002B5AA8">
        <w:rPr>
          <w:rFonts w:ascii="Times New Roman" w:eastAsia="Times New Roman" w:hAnsi="Times New Roman" w:cs="Times New Roman"/>
          <w:sz w:val="24"/>
          <w:szCs w:val="24"/>
          <w:shd w:val="clear" w:color="auto" w:fill="FFFFFF"/>
        </w:rPr>
        <w:lastRenderedPageBreak/>
        <w:t>malocclusion had the lowest</w:t>
      </w:r>
      <w:r>
        <w:rPr>
          <w:rFonts w:ascii="Times New Roman" w:eastAsia="Times New Roman" w:hAnsi="Times New Roman" w:cs="Times New Roman"/>
          <w:sz w:val="24"/>
          <w:szCs w:val="24"/>
          <w:shd w:val="clear" w:color="auto" w:fill="FFFFFF"/>
        </w:rPr>
        <w:t xml:space="preserve">. Based on both Angle’s system and BSI classification, Class II malocclusion was the most prevalent type of malocclusion, followed by Class I malocclusion (Figure </w:t>
      </w:r>
      <w:r w:rsidR="00E72211">
        <w:rPr>
          <w:rFonts w:ascii="Times New Roman" w:eastAsia="Times New Roman" w:hAnsi="Times New Roman" w:cs="Times New Roman"/>
          <w:sz w:val="24"/>
          <w:szCs w:val="24"/>
          <w:shd w:val="clear" w:color="auto" w:fill="FFFFFF"/>
        </w:rPr>
        <w:t>3</w:t>
      </w:r>
      <w:r>
        <w:rPr>
          <w:rFonts w:ascii="Times New Roman" w:eastAsia="Times New Roman" w:hAnsi="Times New Roman" w:cs="Times New Roman"/>
          <w:sz w:val="24"/>
          <w:szCs w:val="24"/>
          <w:shd w:val="clear" w:color="auto" w:fill="FFFFFF"/>
        </w:rPr>
        <w:t xml:space="preserve">). These findings have implications </w:t>
      </w:r>
      <w:r w:rsidR="00133F29">
        <w:rPr>
          <w:rFonts w:ascii="Times New Roman" w:eastAsia="Times New Roman" w:hAnsi="Times New Roman" w:cs="Times New Roman"/>
          <w:sz w:val="24"/>
          <w:szCs w:val="24"/>
          <w:shd w:val="clear" w:color="auto" w:fill="FFFFFF"/>
        </w:rPr>
        <w:t>for</w:t>
      </w:r>
      <w:r>
        <w:rPr>
          <w:rFonts w:ascii="Times New Roman" w:eastAsia="Times New Roman" w:hAnsi="Times New Roman" w:cs="Times New Roman"/>
          <w:sz w:val="24"/>
          <w:szCs w:val="24"/>
          <w:shd w:val="clear" w:color="auto" w:fill="FFFFFF"/>
        </w:rPr>
        <w:t xml:space="preserve"> clinical practice, i.e., implying that orthodontists in Sudan are more likely to encounter and manage Class II malocclusions. </w:t>
      </w:r>
    </w:p>
    <w:p w14:paraId="2AB9D24F" w14:textId="7BD1A732" w:rsidR="00D21771" w:rsidRDefault="00D21771" w:rsidP="00D21771">
      <w:pPr>
        <w:widowControl w:val="0"/>
        <w:autoSpaceDE w:val="0"/>
        <w:autoSpaceDN w:val="0"/>
        <w:adjustRightInd w:val="0"/>
        <w:spacing w:after="12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shd w:val="clear" w:color="auto" w:fill="FFFFFF"/>
        </w:rPr>
        <w:t>In contrast to our findings, in Saudi Arabia</w:t>
      </w:r>
      <w:r w:rsidR="00EB21AA">
        <w:rPr>
          <w:rFonts w:ascii="Times New Roman" w:eastAsia="Times New Roman" w:hAnsi="Times New Roman" w:cs="Times New Roman"/>
          <w:sz w:val="24"/>
          <w:szCs w:val="24"/>
          <w:shd w:val="clear" w:color="auto" w:fill="FFFFFF"/>
        </w:rPr>
        <w:t xml:space="preserve">, a higher prevalence of Class I malocclusion </w:t>
      </w:r>
      <w:r w:rsidR="002B5AA8">
        <w:rPr>
          <w:rFonts w:ascii="Times New Roman" w:eastAsia="Times New Roman" w:hAnsi="Times New Roman" w:cs="Times New Roman"/>
          <w:sz w:val="24"/>
          <w:szCs w:val="24"/>
          <w:shd w:val="clear" w:color="auto" w:fill="FFFFFF"/>
        </w:rPr>
        <w:t>(52.8%) was reported</w:t>
      </w:r>
      <w:r w:rsidR="00EB21AA">
        <w:rPr>
          <w:rFonts w:ascii="Times New Roman" w:eastAsia="Times New Roman" w:hAnsi="Times New Roman" w:cs="Times New Roman"/>
          <w:sz w:val="24"/>
          <w:szCs w:val="24"/>
          <w:shd w:val="clear" w:color="auto" w:fill="FFFFFF"/>
        </w:rPr>
        <w:t xml:space="preserve">, while Class II malocclusion was </w:t>
      </w:r>
      <w:r>
        <w:rPr>
          <w:rFonts w:ascii="Times New Roman" w:eastAsia="Times New Roman" w:hAnsi="Times New Roman" w:cs="Times New Roman"/>
          <w:sz w:val="24"/>
          <w:szCs w:val="24"/>
          <w:shd w:val="clear" w:color="auto" w:fill="FFFFFF"/>
        </w:rPr>
        <w:t>lower among orthodontic patients (31.8%)</w:t>
      </w:r>
      <w:r w:rsidR="00133F29">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followed by Class III malocclusion (15.4%).</w:t>
      </w:r>
      <w:r>
        <w:rPr>
          <w:rFonts w:ascii="Times New Roman" w:eastAsia="Times New Roman" w:hAnsi="Times New Roman" w:cs="Times New Roman"/>
          <w:sz w:val="24"/>
          <w:szCs w:val="24"/>
          <w:shd w:val="clear" w:color="auto" w:fill="FFFFFF"/>
          <w:vertAlign w:val="superscript"/>
        </w:rPr>
        <w:t xml:space="preserve">15 </w:t>
      </w:r>
      <w:r>
        <w:rPr>
          <w:rFonts w:ascii="Times New Roman" w:eastAsia="Times New Roman" w:hAnsi="Times New Roman" w:cs="Times New Roman"/>
          <w:sz w:val="24"/>
          <w:szCs w:val="24"/>
          <w:shd w:val="clear" w:color="auto" w:fill="FFFFFF"/>
        </w:rPr>
        <w:t xml:space="preserve">Similarly, </w:t>
      </w:r>
      <w:r w:rsidR="00133F29">
        <w:rPr>
          <w:rFonts w:ascii="Times New Roman" w:eastAsia="Times New Roman" w:hAnsi="Times New Roman" w:cs="Times New Roman"/>
          <w:sz w:val="24"/>
          <w:szCs w:val="24"/>
          <w:shd w:val="clear" w:color="auto" w:fill="FFFFFF"/>
        </w:rPr>
        <w:t>in Nigeria (76.5%) and India (77.3%),</w:t>
      </w:r>
      <w:r>
        <w:rPr>
          <w:rFonts w:ascii="Times New Roman" w:eastAsia="Times New Roman" w:hAnsi="Times New Roman" w:cs="Times New Roman"/>
          <w:sz w:val="24"/>
          <w:szCs w:val="24"/>
          <w:shd w:val="clear" w:color="auto" w:fill="FFFFFF"/>
        </w:rPr>
        <w:t xml:space="preserve"> a greater prevalence of Class I malocclusion was reported.</w:t>
      </w:r>
      <w:r>
        <w:rPr>
          <w:rFonts w:ascii="Times New Roman" w:eastAsia="Times New Roman" w:hAnsi="Times New Roman" w:cs="Times New Roman"/>
          <w:sz w:val="24"/>
          <w:szCs w:val="24"/>
          <w:shd w:val="clear" w:color="auto" w:fill="FFFFFF"/>
          <w:vertAlign w:val="superscript"/>
        </w:rPr>
        <w:t xml:space="preserve">17,18 </w:t>
      </w:r>
      <w:r>
        <w:rPr>
          <w:rFonts w:ascii="Times New Roman" w:eastAsia="Times New Roman" w:hAnsi="Times New Roman" w:cs="Times New Roman"/>
          <w:sz w:val="24"/>
          <w:szCs w:val="24"/>
          <w:shd w:val="clear" w:color="auto" w:fill="FFFFFF"/>
        </w:rPr>
        <w:t xml:space="preserve">In Turkey, similar to our findings </w:t>
      </w:r>
      <w:r w:rsidR="00133F29">
        <w:rPr>
          <w:rFonts w:ascii="Times New Roman" w:eastAsia="Times New Roman" w:hAnsi="Times New Roman" w:cs="Times New Roman"/>
          <w:sz w:val="24"/>
          <w:szCs w:val="24"/>
          <w:shd w:val="clear" w:color="auto" w:fill="FFFFFF"/>
        </w:rPr>
        <w:t>regarding Class II division 2 malocclusion and Class III malocclusion, the frequencies were 5% and 12%, respectively, while Class I malocclusion was observed in 64% of cases</w:t>
      </w:r>
      <w:r>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vertAlign w:val="superscript"/>
        </w:rPr>
        <w:t xml:space="preserve">19 </w:t>
      </w:r>
      <w:r>
        <w:rPr>
          <w:rFonts w:ascii="Times New Roman" w:hAnsi="Times New Roman" w:cs="Times New Roman"/>
          <w:sz w:val="24"/>
          <w:szCs w:val="24"/>
          <w:lang w:val="en-US"/>
        </w:rPr>
        <w:t xml:space="preserve">Disparities in the context of sample size and methodology should be considered when taking these comparisons into account. </w:t>
      </w:r>
      <w:r>
        <w:rPr>
          <w:rFonts w:ascii="Times New Roman" w:hAnsi="Times New Roman" w:cs="Times New Roman"/>
          <w:sz w:val="24"/>
          <w:szCs w:val="24"/>
        </w:rPr>
        <w:t xml:space="preserve">In this study, we </w:t>
      </w:r>
      <w:r w:rsidR="00EB21AA">
        <w:rPr>
          <w:rFonts w:ascii="Times New Roman" w:hAnsi="Times New Roman" w:cs="Times New Roman"/>
          <w:sz w:val="24"/>
          <w:szCs w:val="24"/>
        </w:rPr>
        <w:t>also explored age-related differences (p = 0.231) and gender-related differences (p = 0.496)</w:t>
      </w:r>
      <w:r>
        <w:rPr>
          <w:rFonts w:ascii="Times New Roman" w:hAnsi="Times New Roman" w:cs="Times New Roman"/>
          <w:sz w:val="24"/>
          <w:szCs w:val="24"/>
        </w:rPr>
        <w:t xml:space="preserve">, </w:t>
      </w:r>
      <w:r w:rsidR="0088177E">
        <w:rPr>
          <w:rFonts w:ascii="Times New Roman" w:hAnsi="Times New Roman" w:cs="Times New Roman"/>
          <w:sz w:val="24"/>
          <w:szCs w:val="24"/>
        </w:rPr>
        <w:t>both of which</w:t>
      </w:r>
      <w:r>
        <w:rPr>
          <w:rFonts w:ascii="Times New Roman" w:hAnsi="Times New Roman" w:cs="Times New Roman"/>
          <w:sz w:val="24"/>
          <w:szCs w:val="24"/>
        </w:rPr>
        <w:t xml:space="preserve"> were statistically insignificant.</w:t>
      </w:r>
    </w:p>
    <w:p w14:paraId="35C5D992" w14:textId="4C8A9E8B" w:rsidR="00D21771" w:rsidRDefault="00D21771" w:rsidP="00D21771">
      <w:pPr>
        <w:spacing w:after="120" w:line="240" w:lineRule="auto"/>
        <w:jc w:val="both"/>
        <w:rPr>
          <w:rFonts w:ascii="Times New Roman" w:eastAsia="Times New Roman" w:hAnsi="Times New Roman" w:cs="Times New Roman"/>
          <w:sz w:val="24"/>
          <w:szCs w:val="24"/>
          <w:vertAlign w:val="superscript"/>
          <w:lang w:val="en-US"/>
        </w:rPr>
      </w:pPr>
      <w:r>
        <w:rPr>
          <w:rFonts w:ascii="Times New Roman" w:hAnsi="Times New Roman" w:cs="Times New Roman"/>
          <w:sz w:val="24"/>
          <w:szCs w:val="24"/>
        </w:rPr>
        <w:t>A distinct occlusal feature explored in this study was overbite. A full range of overbite depth</w:t>
      </w:r>
      <w:r w:rsidR="00133F29">
        <w:rPr>
          <w:rFonts w:ascii="Times New Roman" w:hAnsi="Times New Roman" w:cs="Times New Roman"/>
          <w:sz w:val="24"/>
          <w:szCs w:val="24"/>
        </w:rPr>
        <w:t>, from complete deep bites to open bites,</w:t>
      </w:r>
      <w:r>
        <w:rPr>
          <w:rFonts w:ascii="Times New Roman" w:hAnsi="Times New Roman" w:cs="Times New Roman"/>
          <w:sz w:val="24"/>
          <w:szCs w:val="24"/>
        </w:rPr>
        <w:t xml:space="preserve"> occurs with all types of malocclusions. Such occlusal features can be related to one </w:t>
      </w:r>
      <w:r w:rsidR="00EB21AA">
        <w:rPr>
          <w:rFonts w:ascii="Times New Roman" w:hAnsi="Times New Roman" w:cs="Times New Roman"/>
          <w:sz w:val="24"/>
          <w:szCs w:val="24"/>
        </w:rPr>
        <w:t>type of malocclusion more than the other, with wide individual variation</w:t>
      </w:r>
      <w:r>
        <w:rPr>
          <w:rFonts w:ascii="Times New Roman" w:hAnsi="Times New Roman" w:cs="Times New Roman"/>
          <w:sz w:val="24"/>
          <w:szCs w:val="24"/>
        </w:rPr>
        <w:t>. In the present study, the prevalence of normal overbite was 56%; Deep bite 2/3 was 22%; Open bite 0.1-2.99mm was 9%; Complete deep bite was 7%; and was 3% for open bite 3-8mm and edge-to-edge bite. Comparable results were observed among a sample of 500 in Saudi Arabia</w:t>
      </w:r>
      <w:r w:rsidR="00EC08E0">
        <w:rPr>
          <w:rFonts w:ascii="Times New Roman" w:hAnsi="Times New Roman" w:cs="Times New Roman"/>
          <w:sz w:val="24"/>
          <w:szCs w:val="24"/>
        </w:rPr>
        <w:t xml:space="preserve">: increased deep bite was observed in 23.4%, </w:t>
      </w:r>
      <w:r>
        <w:rPr>
          <w:rFonts w:ascii="Times New Roman" w:eastAsia="Times New Roman" w:hAnsi="Times New Roman" w:cs="Times New Roman"/>
          <w:sz w:val="24"/>
          <w:szCs w:val="24"/>
          <w:shd w:val="clear" w:color="auto" w:fill="FFFFFF"/>
          <w:lang w:val="en-US"/>
        </w:rPr>
        <w:t>and reduced overbite was observed in 12.2%. Similarly, 64.4% of their participants showed normal overbite.</w:t>
      </w:r>
      <w:r>
        <w:rPr>
          <w:rFonts w:ascii="Times New Roman" w:eastAsia="Times New Roman" w:hAnsi="Times New Roman" w:cs="Times New Roman"/>
          <w:sz w:val="24"/>
          <w:szCs w:val="24"/>
          <w:shd w:val="clear" w:color="auto" w:fill="FFFFFF"/>
          <w:vertAlign w:val="superscript"/>
          <w:lang w:val="en-US"/>
        </w:rPr>
        <w:t>19</w:t>
      </w:r>
      <w:r w:rsidR="00EB21AA">
        <w:rPr>
          <w:rFonts w:ascii="Times New Roman" w:eastAsia="Times New Roman" w:hAnsi="Times New Roman" w:cs="Times New Roman"/>
          <w:sz w:val="24"/>
          <w:szCs w:val="24"/>
          <w:shd w:val="clear" w:color="auto" w:fill="FFFFFF"/>
          <w:vertAlign w:val="superscript"/>
          <w:lang w:val="en-US"/>
        </w:rPr>
        <w:t>-22</w:t>
      </w:r>
    </w:p>
    <w:p w14:paraId="02388AB6" w14:textId="58555E63" w:rsidR="00D21771" w:rsidRDefault="00D21771" w:rsidP="00D21771">
      <w:pPr>
        <w:pStyle w:val="NormalWeb"/>
        <w:spacing w:before="0" w:beforeAutospacing="0" w:after="120" w:afterAutospacing="0"/>
        <w:jc w:val="both"/>
      </w:pPr>
      <w:r>
        <w:t xml:space="preserve">The relationship between malocclusion types and the range of bite depth is highlighted in Figure </w:t>
      </w:r>
      <w:r w:rsidR="00E72211">
        <w:t>5</w:t>
      </w:r>
      <w:r>
        <w:t xml:space="preserve">. In the present study, </w:t>
      </w:r>
      <w:r w:rsidR="00133F29">
        <w:t>an open bite of 3-8mm was primarily associated with Class III malocclusion (50%),</w:t>
      </w:r>
      <w:r>
        <w:t xml:space="preserve"> followed by Class I malocclusion (40%). Class III malocclusion was </w:t>
      </w:r>
      <w:r w:rsidR="00133F29">
        <w:t>mainly</w:t>
      </w:r>
      <w:r>
        <w:t xml:space="preserve"> associated with </w:t>
      </w:r>
      <w:r w:rsidR="00133F29">
        <w:t xml:space="preserve">an </w:t>
      </w:r>
      <w:r>
        <w:t xml:space="preserve">edge-to-edge bite (88.9%). Whereas Class II division 1 was </w:t>
      </w:r>
      <w:r w:rsidR="00133F29">
        <w:t>primarily related to</w:t>
      </w:r>
      <w:r>
        <w:t xml:space="preserve"> </w:t>
      </w:r>
      <w:r w:rsidR="00133F29">
        <w:t xml:space="preserve">a </w:t>
      </w:r>
      <w:r>
        <w:t xml:space="preserve">complete deep bite (approximately 67%). Deep overbite and open bite are among the most difficult malocclusion features to manage and treat, </w:t>
      </w:r>
      <w:r w:rsidR="00133F29">
        <w:t>partly due to</w:t>
      </w:r>
      <w:r>
        <w:t xml:space="preserve"> their detrimental impact on the stability of orthodontic treatment. Therefore, our findings may be used to reflect the status of these malocclusion features in Sudan. </w:t>
      </w:r>
    </w:p>
    <w:p w14:paraId="4E2E2555" w14:textId="170A59B6" w:rsidR="00D21771" w:rsidRDefault="00D21771" w:rsidP="00D21771">
      <w:pPr>
        <w:spacing w:after="2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Considering the limitations of this study is deemed appropriate at this stage. The lack of </w:t>
      </w:r>
      <w:r w:rsidR="00571355">
        <w:rPr>
          <w:rFonts w:ascii="Times New Roman" w:eastAsia="Times New Roman" w:hAnsi="Times New Roman" w:cs="Times New Roman"/>
          <w:sz w:val="24"/>
          <w:szCs w:val="24"/>
          <w:shd w:val="clear" w:color="auto" w:fill="FFFFFF"/>
        </w:rPr>
        <w:t xml:space="preserve">assessment </w:t>
      </w:r>
      <w:r w:rsidR="00EB21AA">
        <w:rPr>
          <w:rFonts w:ascii="Times New Roman" w:eastAsia="Times New Roman" w:hAnsi="Times New Roman" w:cs="Times New Roman"/>
          <w:sz w:val="24"/>
          <w:szCs w:val="24"/>
          <w:shd w:val="clear" w:color="auto" w:fill="FFFFFF"/>
        </w:rPr>
        <w:t xml:space="preserve">of orthodontic treatment needs is </w:t>
      </w:r>
      <w:r w:rsidR="002B5AA8">
        <w:rPr>
          <w:rFonts w:ascii="Times New Roman" w:eastAsia="Times New Roman" w:hAnsi="Times New Roman" w:cs="Times New Roman"/>
          <w:sz w:val="24"/>
          <w:szCs w:val="24"/>
          <w:shd w:val="clear" w:color="auto" w:fill="FFFFFF"/>
        </w:rPr>
        <w:t>considered a limitation; however, the sample size of the present study was comparable to that of other regional studies</w:t>
      </w:r>
      <w:r>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vertAlign w:val="superscript"/>
        </w:rPr>
        <w:t>16-</w:t>
      </w:r>
      <w:r w:rsidR="003F1DAA">
        <w:rPr>
          <w:rFonts w:ascii="Times New Roman" w:eastAsia="Times New Roman" w:hAnsi="Times New Roman" w:cs="Times New Roman"/>
          <w:sz w:val="24"/>
          <w:szCs w:val="24"/>
          <w:shd w:val="clear" w:color="auto" w:fill="FFFFFF"/>
          <w:vertAlign w:val="superscript"/>
        </w:rPr>
        <w:t>20</w:t>
      </w:r>
      <w:r>
        <w:rPr>
          <w:rFonts w:ascii="Times New Roman" w:eastAsia="Times New Roman" w:hAnsi="Times New Roman" w:cs="Times New Roman"/>
          <w:sz w:val="24"/>
          <w:szCs w:val="24"/>
          <w:shd w:val="clear" w:color="auto" w:fill="FFFFFF"/>
        </w:rPr>
        <w:t xml:space="preserve"> Prior research evaluating the prevalence of malocclusion in Sudan is limited; therefore, it was not possible to compare the results of this sample to a similar cohort in Sudan, also due to numerous methodological differences.</w:t>
      </w:r>
      <w:r>
        <w:rPr>
          <w:rFonts w:ascii="Times New Roman" w:eastAsia="Times New Roman" w:hAnsi="Times New Roman" w:cs="Times New Roman"/>
          <w:sz w:val="24"/>
          <w:szCs w:val="24"/>
          <w:shd w:val="clear" w:color="auto" w:fill="FFFFFF"/>
          <w:vertAlign w:val="superscript"/>
        </w:rPr>
        <w:t>14,15</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lang w:val="en-US"/>
        </w:rPr>
        <w:t xml:space="preserve"> The authors </w:t>
      </w:r>
      <w:r w:rsidR="00571355">
        <w:rPr>
          <w:rFonts w:ascii="Times New Roman" w:eastAsia="Times New Roman" w:hAnsi="Times New Roman" w:cs="Times New Roman"/>
          <w:sz w:val="24"/>
          <w:szCs w:val="24"/>
          <w:shd w:val="clear" w:color="auto" w:fill="FFFFFF"/>
          <w:lang w:val="en-US"/>
        </w:rPr>
        <w:t>will thus</w:t>
      </w:r>
      <w:r>
        <w:rPr>
          <w:rFonts w:ascii="Times New Roman" w:eastAsia="Times New Roman" w:hAnsi="Times New Roman" w:cs="Times New Roman"/>
          <w:sz w:val="24"/>
          <w:szCs w:val="24"/>
          <w:shd w:val="clear" w:color="auto" w:fill="FFFFFF"/>
          <w:lang w:val="en-US"/>
        </w:rPr>
        <w:t xml:space="preserve"> </w:t>
      </w:r>
      <w:r w:rsidR="00EB21AA">
        <w:rPr>
          <w:rFonts w:ascii="Times New Roman" w:eastAsia="Times New Roman" w:hAnsi="Times New Roman" w:cs="Times New Roman"/>
          <w:sz w:val="24"/>
          <w:szCs w:val="24"/>
          <w:shd w:val="clear" w:color="auto" w:fill="FFFFFF"/>
          <w:lang w:val="en-US"/>
        </w:rPr>
        <w:t>evaluate the orthodontic treatment needs of study participants and report these</w:t>
      </w:r>
      <w:r>
        <w:rPr>
          <w:rFonts w:ascii="Times New Roman" w:eastAsia="Times New Roman" w:hAnsi="Times New Roman" w:cs="Times New Roman"/>
          <w:sz w:val="24"/>
          <w:szCs w:val="24"/>
          <w:shd w:val="clear" w:color="auto" w:fill="FFFFFF"/>
          <w:lang w:val="en-US"/>
        </w:rPr>
        <w:t xml:space="preserve"> along with the prevalence of malocclusion in this sample of clinic patients. This will </w:t>
      </w:r>
      <w:r w:rsidR="00571355">
        <w:rPr>
          <w:rFonts w:ascii="Times New Roman" w:eastAsia="Times New Roman" w:hAnsi="Times New Roman" w:cs="Times New Roman"/>
          <w:sz w:val="24"/>
          <w:szCs w:val="24"/>
          <w:shd w:val="clear" w:color="auto" w:fill="FFFFFF"/>
          <w:lang w:val="en-US"/>
        </w:rPr>
        <w:t xml:space="preserve">provide more </w:t>
      </w:r>
      <w:r w:rsidR="00EB21AA">
        <w:rPr>
          <w:rFonts w:ascii="Times New Roman" w:eastAsia="Times New Roman" w:hAnsi="Times New Roman" w:cs="Times New Roman"/>
          <w:sz w:val="24"/>
          <w:szCs w:val="24"/>
          <w:shd w:val="clear" w:color="auto" w:fill="FFFFFF"/>
          <w:lang w:val="en-US"/>
        </w:rPr>
        <w:t xml:space="preserve">detailed information on malocclusion in the study sample, enabling comparison with relevant </w:t>
      </w:r>
      <w:r w:rsidR="00230D96">
        <w:rPr>
          <w:rFonts w:ascii="Times New Roman" w:eastAsia="Times New Roman" w:hAnsi="Times New Roman" w:cs="Times New Roman"/>
          <w:sz w:val="24"/>
          <w:szCs w:val="24"/>
          <w:shd w:val="clear" w:color="auto" w:fill="FFFFFF"/>
          <w:lang w:val="en-US"/>
        </w:rPr>
        <w:t>literature</w:t>
      </w:r>
      <w:r>
        <w:rPr>
          <w:rFonts w:ascii="Times New Roman" w:eastAsia="Times New Roman" w:hAnsi="Times New Roman" w:cs="Times New Roman"/>
          <w:sz w:val="24"/>
          <w:szCs w:val="24"/>
          <w:shd w:val="clear" w:color="auto" w:fill="FFFFFF"/>
          <w:lang w:val="en-US"/>
        </w:rPr>
        <w:t xml:space="preserve">. </w:t>
      </w:r>
      <w:r>
        <w:rPr>
          <w:rFonts w:ascii="Times New Roman" w:eastAsia="Times New Roman" w:hAnsi="Times New Roman" w:cs="Times New Roman"/>
          <w:sz w:val="24"/>
          <w:szCs w:val="24"/>
          <w:shd w:val="clear" w:color="auto" w:fill="FFFFFF"/>
        </w:rPr>
        <w:t>Examining other variables</w:t>
      </w:r>
      <w:r w:rsidR="00EB21AA">
        <w:rPr>
          <w:rFonts w:ascii="Times New Roman" w:eastAsia="Times New Roman" w:hAnsi="Times New Roman" w:cs="Times New Roman"/>
          <w:sz w:val="24"/>
          <w:szCs w:val="24"/>
          <w:shd w:val="clear" w:color="auto" w:fill="FFFFFF"/>
        </w:rPr>
        <w:t>, such as crowding, overjet, facial profile, and treatment needs, might also have been beneficial</w:t>
      </w:r>
      <w:r>
        <w:rPr>
          <w:rFonts w:ascii="Times New Roman" w:eastAsia="Times New Roman" w:hAnsi="Times New Roman" w:cs="Times New Roman"/>
          <w:sz w:val="24"/>
          <w:szCs w:val="24"/>
          <w:shd w:val="clear" w:color="auto" w:fill="FFFFFF"/>
        </w:rPr>
        <w:t xml:space="preserve">. The distribution of the prevalence of malocclusions into bilateral or unilateral would be of great importance for </w:t>
      </w:r>
      <w:r w:rsidR="00230D96">
        <w:rPr>
          <w:rFonts w:ascii="Times New Roman" w:eastAsia="Times New Roman" w:hAnsi="Times New Roman" w:cs="Times New Roman"/>
          <w:sz w:val="24"/>
          <w:szCs w:val="24"/>
          <w:shd w:val="clear" w:color="auto" w:fill="FFFFFF"/>
        </w:rPr>
        <w:t>the result</w:t>
      </w:r>
      <w:r>
        <w:rPr>
          <w:rFonts w:ascii="Times New Roman" w:eastAsia="Times New Roman" w:hAnsi="Times New Roman" w:cs="Times New Roman"/>
          <w:sz w:val="24"/>
          <w:szCs w:val="24"/>
          <w:shd w:val="clear" w:color="auto" w:fill="FFFFFF"/>
        </w:rPr>
        <w:t xml:space="preserve"> of the study, since not all malocclusions have the same sagittal severity bilaterally. That is, classifying the malocclusion in Class II or Class III </w:t>
      </w:r>
      <w:r w:rsidR="00571355">
        <w:rPr>
          <w:rFonts w:ascii="Times New Roman" w:eastAsia="Times New Roman" w:hAnsi="Times New Roman" w:cs="Times New Roman"/>
          <w:sz w:val="24"/>
          <w:szCs w:val="24"/>
          <w:shd w:val="clear" w:color="auto" w:fill="FFFFFF"/>
        </w:rPr>
        <w:t>subdivisions</w:t>
      </w:r>
      <w:r>
        <w:rPr>
          <w:rFonts w:ascii="Times New Roman" w:eastAsia="Times New Roman" w:hAnsi="Times New Roman" w:cs="Times New Roman"/>
          <w:sz w:val="24"/>
          <w:szCs w:val="24"/>
          <w:shd w:val="clear" w:color="auto" w:fill="FFFFFF"/>
        </w:rPr>
        <w:t xml:space="preserve"> would </w:t>
      </w:r>
      <w:r w:rsidR="00571355">
        <w:rPr>
          <w:rFonts w:ascii="Times New Roman" w:eastAsia="Times New Roman" w:hAnsi="Times New Roman" w:cs="Times New Roman"/>
          <w:sz w:val="24"/>
          <w:szCs w:val="24"/>
          <w:shd w:val="clear" w:color="auto" w:fill="FFFFFF"/>
        </w:rPr>
        <w:t>significantly enhance</w:t>
      </w:r>
      <w:r>
        <w:rPr>
          <w:rFonts w:ascii="Times New Roman" w:eastAsia="Times New Roman" w:hAnsi="Times New Roman" w:cs="Times New Roman"/>
          <w:sz w:val="24"/>
          <w:szCs w:val="24"/>
          <w:shd w:val="clear" w:color="auto" w:fill="FFFFFF"/>
        </w:rPr>
        <w:t xml:space="preserve"> the information provided by the study.</w:t>
      </w:r>
    </w:p>
    <w:p w14:paraId="54FD0FBF" w14:textId="77777777" w:rsidR="00EF77C6" w:rsidRDefault="00EF77C6" w:rsidP="00D21771">
      <w:pPr>
        <w:spacing w:after="240" w:line="240" w:lineRule="auto"/>
        <w:jc w:val="both"/>
        <w:rPr>
          <w:rFonts w:ascii="Times New Roman" w:eastAsia="Times New Roman" w:hAnsi="Times New Roman" w:cs="Times New Roman"/>
          <w:sz w:val="24"/>
          <w:szCs w:val="24"/>
          <w:shd w:val="clear" w:color="auto" w:fill="FFFFFF"/>
        </w:rPr>
      </w:pPr>
    </w:p>
    <w:p w14:paraId="65CF7F1B" w14:textId="77777777" w:rsidR="00EB21AA" w:rsidRDefault="00EB21AA" w:rsidP="00D21771">
      <w:pPr>
        <w:spacing w:after="120" w:line="240" w:lineRule="auto"/>
        <w:jc w:val="both"/>
        <w:rPr>
          <w:rFonts w:ascii="Times New Roman" w:hAnsi="Times New Roman" w:cs="Times New Roman"/>
          <w:b/>
          <w:bCs/>
          <w:sz w:val="24"/>
          <w:szCs w:val="24"/>
        </w:rPr>
      </w:pPr>
    </w:p>
    <w:p w14:paraId="5B5B1714" w14:textId="751879DA" w:rsidR="00D21771" w:rsidRDefault="00D21771" w:rsidP="00D2177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r w:rsidR="00521A38">
        <w:rPr>
          <w:rFonts w:ascii="Times New Roman" w:hAnsi="Times New Roman" w:cs="Times New Roman"/>
          <w:b/>
          <w:bCs/>
          <w:sz w:val="24"/>
          <w:szCs w:val="24"/>
        </w:rPr>
        <w:t xml:space="preserve"> and </w:t>
      </w:r>
      <w:r w:rsidR="00521A38" w:rsidRPr="00521A38">
        <w:rPr>
          <w:rFonts w:ascii="Times New Roman" w:hAnsi="Times New Roman" w:cs="Times New Roman"/>
          <w:b/>
          <w:bCs/>
          <w:sz w:val="24"/>
          <w:szCs w:val="24"/>
        </w:rPr>
        <w:t>Recommendations</w:t>
      </w:r>
    </w:p>
    <w:p w14:paraId="50914C02" w14:textId="77777777" w:rsidR="00D21771" w:rsidRDefault="00D21771" w:rsidP="00D2177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rPr>
        <w:t>Prevalence of malocclusion in Sudan is comparable to that reported in regional studies.</w:t>
      </w:r>
    </w:p>
    <w:p w14:paraId="711DB839" w14:textId="42B29C94" w:rsidR="00D21771" w:rsidRDefault="00D21771" w:rsidP="00D21771">
      <w:pPr>
        <w:pStyle w:val="ListParagraph"/>
        <w:numPr>
          <w:ilvl w:val="0"/>
          <w:numId w:val="1"/>
        </w:numPr>
        <w:spacing w:after="120" w:line="240" w:lineRule="auto"/>
        <w:jc w:val="both"/>
        <w:rPr>
          <w:rFonts w:ascii="Times New Roman" w:hAnsi="Times New Roman" w:cs="Times New Roman"/>
        </w:rPr>
      </w:pPr>
      <w:r>
        <w:rPr>
          <w:rFonts w:ascii="Times New Roman" w:eastAsia="Times New Roman" w:hAnsi="Times New Roman" w:cs="Times New Roman"/>
          <w:shd w:val="clear" w:color="auto" w:fill="FFFFFF"/>
        </w:rPr>
        <w:t xml:space="preserve">Class II division 1 displayed the </w:t>
      </w:r>
      <w:r w:rsidR="00571355">
        <w:rPr>
          <w:rFonts w:ascii="Times New Roman" w:eastAsia="Times New Roman" w:hAnsi="Times New Roman" w:cs="Times New Roman"/>
          <w:shd w:val="clear" w:color="auto" w:fill="FFFFFF"/>
        </w:rPr>
        <w:t>most significant</w:t>
      </w:r>
      <w:r>
        <w:rPr>
          <w:rFonts w:ascii="Times New Roman" w:eastAsia="Times New Roman" w:hAnsi="Times New Roman" w:cs="Times New Roman"/>
          <w:shd w:val="clear" w:color="auto" w:fill="FFFFFF"/>
        </w:rPr>
        <w:t xml:space="preserve"> prevalence, followed by Class I, then </w:t>
      </w:r>
      <w:r w:rsidR="00571355">
        <w:rPr>
          <w:rFonts w:ascii="Times New Roman" w:eastAsia="Times New Roman" w:hAnsi="Times New Roman" w:cs="Times New Roman"/>
          <w:shd w:val="clear" w:color="auto" w:fill="FFFFFF"/>
        </w:rPr>
        <w:t>Class III,</w:t>
      </w:r>
      <w:r>
        <w:rPr>
          <w:rFonts w:ascii="Times New Roman" w:eastAsia="Times New Roman" w:hAnsi="Times New Roman" w:cs="Times New Roman"/>
          <w:shd w:val="clear" w:color="auto" w:fill="FFFFFF"/>
        </w:rPr>
        <w:t xml:space="preserve"> and the least was Class II division 2.</w:t>
      </w:r>
    </w:p>
    <w:p w14:paraId="1C315832" w14:textId="69AA017E" w:rsidR="00D21771" w:rsidRDefault="00D21771" w:rsidP="00D21771">
      <w:pPr>
        <w:pStyle w:val="ListParagraph"/>
        <w:numPr>
          <w:ilvl w:val="0"/>
          <w:numId w:val="1"/>
        </w:numPr>
        <w:spacing w:before="100" w:beforeAutospacing="1" w:after="240" w:line="240" w:lineRule="auto"/>
        <w:ind w:left="357" w:hanging="357"/>
        <w:jc w:val="both"/>
        <w:rPr>
          <w:rFonts w:ascii="Times New Roman" w:hAnsi="Times New Roman" w:cs="Times New Roman"/>
        </w:rPr>
      </w:pPr>
      <w:r>
        <w:rPr>
          <w:rFonts w:ascii="Times New Roman" w:hAnsi="Times New Roman" w:cs="Times New Roman"/>
        </w:rPr>
        <w:t xml:space="preserve">Open bite was </w:t>
      </w:r>
      <w:r w:rsidR="00571355">
        <w:rPr>
          <w:rFonts w:ascii="Times New Roman" w:hAnsi="Times New Roman" w:cs="Times New Roman"/>
        </w:rPr>
        <w:t>associated mainly</w:t>
      </w:r>
      <w:r>
        <w:rPr>
          <w:rFonts w:ascii="Times New Roman" w:hAnsi="Times New Roman" w:cs="Times New Roman"/>
        </w:rPr>
        <w:t xml:space="preserve"> with Class III malocclusion in a sample of Sudanese patients. </w:t>
      </w:r>
    </w:p>
    <w:p w14:paraId="2E231474" w14:textId="22D89565" w:rsidR="00D21771" w:rsidRDefault="00D21771" w:rsidP="00D21771">
      <w:pPr>
        <w:spacing w:before="120" w:after="120" w:line="240" w:lineRule="auto"/>
        <w:jc w:val="both"/>
        <w:rPr>
          <w:rFonts w:ascii="Times New Roman" w:hAnsi="Times New Roman" w:cs="Times New Roman"/>
        </w:rPr>
      </w:pPr>
      <w:r>
        <w:rPr>
          <w:rFonts w:ascii="Times New Roman" w:hAnsi="Times New Roman" w:cs="Times New Roman"/>
        </w:rPr>
        <w:t>Further investigation</w:t>
      </w:r>
      <w:r w:rsidR="00571355">
        <w:rPr>
          <w:rFonts w:ascii="Times New Roman" w:hAnsi="Times New Roman" w:cs="Times New Roman"/>
        </w:rPr>
        <w:t>, including evaluation of orthodontic treatment needs among Sudanese patients,</w:t>
      </w:r>
      <w:r>
        <w:rPr>
          <w:rFonts w:ascii="Times New Roman" w:hAnsi="Times New Roman" w:cs="Times New Roman"/>
        </w:rPr>
        <w:t xml:space="preserve"> is needed. </w:t>
      </w:r>
    </w:p>
    <w:p w14:paraId="238F5249" w14:textId="5DBF4780" w:rsidR="00521A38" w:rsidRDefault="00521A38" w:rsidP="00D21771">
      <w:pPr>
        <w:spacing w:before="100" w:beforeAutospacing="1"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Consent: </w:t>
      </w:r>
    </w:p>
    <w:p w14:paraId="0E26D956" w14:textId="787A5B40" w:rsidR="00521A38" w:rsidRPr="00521A38" w:rsidRDefault="00521A38" w:rsidP="00D21771">
      <w:pPr>
        <w:spacing w:before="100" w:beforeAutospacing="1" w:after="0" w:line="240" w:lineRule="auto"/>
        <w:jc w:val="both"/>
        <w:rPr>
          <w:rFonts w:ascii="Times New Roman" w:hAnsi="Times New Roman" w:cs="Times New Roman"/>
          <w:bCs/>
          <w:sz w:val="24"/>
          <w:szCs w:val="24"/>
          <w:lang w:val="en-US"/>
        </w:rPr>
      </w:pPr>
      <w:r w:rsidRPr="00521A38">
        <w:rPr>
          <w:rFonts w:ascii="Times New Roman" w:hAnsi="Times New Roman" w:cs="Times New Roman"/>
          <w:bCs/>
          <w:sz w:val="24"/>
          <w:szCs w:val="24"/>
          <w:lang w:val="en-US"/>
        </w:rPr>
        <w:t>Witten informed consents were routinely obtained from all patients, parents, and/or guardians before commencing orthodontic treatment.</w:t>
      </w:r>
    </w:p>
    <w:p w14:paraId="5F88103C" w14:textId="77777777" w:rsidR="00521A38" w:rsidRDefault="00521A38" w:rsidP="00D21771">
      <w:pPr>
        <w:spacing w:before="100" w:beforeAutospacing="1" w:after="0" w:line="240" w:lineRule="auto"/>
        <w:jc w:val="both"/>
        <w:rPr>
          <w:rFonts w:ascii="Times New Roman" w:hAnsi="Times New Roman" w:cs="Times New Roman"/>
          <w:b/>
          <w:bCs/>
          <w:sz w:val="24"/>
          <w:szCs w:val="24"/>
          <w:lang w:val="en-US"/>
        </w:rPr>
      </w:pPr>
    </w:p>
    <w:p w14:paraId="12D46529" w14:textId="4C5477E3" w:rsidR="00D21771" w:rsidRDefault="00D21771" w:rsidP="00D21771">
      <w:pPr>
        <w:spacing w:before="100" w:beforeAutospacing="1"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LIST OF ABBREVIATIONS</w:t>
      </w:r>
    </w:p>
    <w:p w14:paraId="79398027" w14:textId="32C0B265" w:rsidR="00D21771" w:rsidRDefault="00D21771" w:rsidP="00D21771">
      <w:pPr>
        <w:spacing w:after="120" w:line="240" w:lineRule="auto"/>
        <w:jc w:val="both"/>
        <w:rPr>
          <w:rFonts w:ascii="Times New Roman" w:hAnsi="Times New Roman" w:cs="Times New Roman"/>
          <w:b/>
          <w:bCs/>
          <w:sz w:val="24"/>
          <w:szCs w:val="24"/>
          <w:lang w:val="en-US"/>
        </w:rPr>
      </w:pPr>
      <w:r>
        <w:rPr>
          <w:rFonts w:ascii="Times New Roman" w:hAnsi="Times New Roman" w:cs="Times New Roman"/>
          <w:sz w:val="24"/>
          <w:szCs w:val="24"/>
        </w:rPr>
        <w:t xml:space="preserve">(BSI) British </w:t>
      </w:r>
      <w:r w:rsidR="00571355">
        <w:rPr>
          <w:rFonts w:ascii="Times New Roman" w:hAnsi="Times New Roman" w:cs="Times New Roman"/>
          <w:sz w:val="24"/>
          <w:szCs w:val="24"/>
        </w:rPr>
        <w:t>Standards Institute’s</w:t>
      </w:r>
      <w:r>
        <w:rPr>
          <w:rFonts w:ascii="Times New Roman" w:hAnsi="Times New Roman" w:cs="Times New Roman"/>
          <w:sz w:val="24"/>
          <w:szCs w:val="24"/>
        </w:rPr>
        <w:t xml:space="preserve"> incisor classification</w:t>
      </w:r>
    </w:p>
    <w:p w14:paraId="5CAE9979" w14:textId="31429AEA" w:rsidR="00F93883" w:rsidRDefault="00F93883" w:rsidP="00D21771">
      <w:pPr>
        <w:widowControl w:val="0"/>
        <w:autoSpaceDE w:val="0"/>
        <w:autoSpaceDN w:val="0"/>
        <w:adjustRightInd w:val="0"/>
        <w:spacing w:after="240" w:line="240" w:lineRule="auto"/>
        <w:jc w:val="both"/>
        <w:rPr>
          <w:rFonts w:ascii="Times New Roman" w:eastAsia="Times New Roman" w:hAnsi="Times New Roman" w:cs="Times New Roman"/>
          <w:sz w:val="24"/>
          <w:szCs w:val="24"/>
          <w:lang w:val="en-US"/>
        </w:rPr>
      </w:pPr>
    </w:p>
    <w:p w14:paraId="633DC252" w14:textId="5354B049" w:rsidR="00F93883" w:rsidRDefault="00F93883" w:rsidP="00D21771">
      <w:pPr>
        <w:widowControl w:val="0"/>
        <w:autoSpaceDE w:val="0"/>
        <w:autoSpaceDN w:val="0"/>
        <w:adjustRightInd w:val="0"/>
        <w:spacing w:after="240" w:line="240" w:lineRule="auto"/>
        <w:jc w:val="both"/>
        <w:rPr>
          <w:rFonts w:ascii="Times New Roman" w:eastAsia="Times New Roman" w:hAnsi="Times New Roman" w:cs="Times New Roman"/>
          <w:sz w:val="24"/>
          <w:szCs w:val="24"/>
          <w:lang w:val="en-US"/>
        </w:rPr>
      </w:pPr>
    </w:p>
    <w:p w14:paraId="3E402C0F" w14:textId="77777777" w:rsidR="00F93883" w:rsidRPr="00521A38" w:rsidRDefault="00F93883" w:rsidP="00F93883">
      <w:pPr>
        <w:rPr>
          <w:rFonts w:ascii="Calibri" w:eastAsia="Calibri" w:hAnsi="Calibri" w:cs="Times New Roman"/>
          <w:b/>
          <w:kern w:val="2"/>
          <w:highlight w:val="yellow"/>
          <w:lang w:val="en-US"/>
        </w:rPr>
      </w:pPr>
      <w:bookmarkStart w:id="2" w:name="_Hlk204003461"/>
      <w:bookmarkStart w:id="3" w:name="_Hlk213070710"/>
      <w:r w:rsidRPr="00521A38">
        <w:rPr>
          <w:rFonts w:ascii="Calibri" w:eastAsia="Calibri" w:hAnsi="Calibri" w:cs="Times New Roman"/>
          <w:b/>
          <w:kern w:val="2"/>
          <w:highlight w:val="yellow"/>
          <w:lang w:val="en-US"/>
        </w:rPr>
        <w:t>Disclaimer (Artificial intelligence)</w:t>
      </w:r>
    </w:p>
    <w:p w14:paraId="3EE71A62"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2EC00C3"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2E6068A"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7D95C3D5"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86AB33"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A62C83A"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4AA826EC"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2FE9FB03" w14:textId="77777777" w:rsidR="00F93883" w:rsidRDefault="00F93883" w:rsidP="00F938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2"/>
    </w:p>
    <w:bookmarkEnd w:id="3"/>
    <w:p w14:paraId="72FBBAF5" w14:textId="77777777" w:rsidR="00F93883" w:rsidRDefault="00F93883" w:rsidP="00D21771">
      <w:pPr>
        <w:widowControl w:val="0"/>
        <w:autoSpaceDE w:val="0"/>
        <w:autoSpaceDN w:val="0"/>
        <w:adjustRightInd w:val="0"/>
        <w:spacing w:after="240" w:line="240" w:lineRule="auto"/>
        <w:jc w:val="both"/>
        <w:rPr>
          <w:rFonts w:ascii="Times New Roman" w:eastAsia="Times New Roman" w:hAnsi="Times New Roman" w:cs="Times New Roman"/>
          <w:sz w:val="24"/>
          <w:szCs w:val="24"/>
          <w:lang w:val="en-US"/>
        </w:rPr>
      </w:pPr>
    </w:p>
    <w:p w14:paraId="275B0915" w14:textId="77777777" w:rsidR="004C3A98" w:rsidRDefault="004C3A98" w:rsidP="00D21771">
      <w:pPr>
        <w:widowControl w:val="0"/>
        <w:autoSpaceDE w:val="0"/>
        <w:autoSpaceDN w:val="0"/>
        <w:adjustRightInd w:val="0"/>
        <w:spacing w:after="240" w:line="240" w:lineRule="auto"/>
        <w:jc w:val="both"/>
        <w:rPr>
          <w:rFonts w:ascii="Times New Roman" w:eastAsia="Times New Roman" w:hAnsi="Times New Roman" w:cs="Times New Roman"/>
          <w:sz w:val="24"/>
          <w:szCs w:val="24"/>
          <w:lang w:val="en-US"/>
        </w:rPr>
      </w:pPr>
    </w:p>
    <w:p w14:paraId="21FBCBDF" w14:textId="77777777" w:rsidR="004C3A98" w:rsidRDefault="004C3A98" w:rsidP="00D21771">
      <w:pPr>
        <w:widowControl w:val="0"/>
        <w:autoSpaceDE w:val="0"/>
        <w:autoSpaceDN w:val="0"/>
        <w:adjustRightInd w:val="0"/>
        <w:spacing w:after="240" w:line="240" w:lineRule="auto"/>
        <w:jc w:val="both"/>
        <w:rPr>
          <w:rFonts w:ascii="Times New Roman" w:eastAsia="Times New Roman" w:hAnsi="Times New Roman" w:cs="Times New Roman"/>
          <w:sz w:val="24"/>
          <w:szCs w:val="24"/>
          <w:lang w:val="en-US"/>
        </w:rPr>
      </w:pPr>
    </w:p>
    <w:p w14:paraId="733192AE" w14:textId="77777777" w:rsidR="00D21771" w:rsidRDefault="00D21771" w:rsidP="00D21771">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FD51372" w14:textId="06D7D9F9" w:rsidR="00D21771" w:rsidRDefault="002B5069"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sz w:val="24"/>
          <w:szCs w:val="24"/>
          <w:lang w:val="en-US"/>
        </w:rPr>
      </w:pPr>
      <w:r w:rsidRPr="002B5069">
        <w:rPr>
          <w:rFonts w:ascii="Times New Roman" w:eastAsia="Times New Roman" w:hAnsi="Times New Roman" w:cs="Times New Roman"/>
          <w:shd w:val="clear" w:color="auto" w:fill="FFFFFF"/>
          <w:lang w:val="en-US"/>
        </w:rPr>
        <w:lastRenderedPageBreak/>
        <w:t xml:space="preserve">Proffit, W. R. (1978). Equilibrium theory revisited: factors influencing position of the teeth. The Angle Orthodontist, 48(3), 175–186. </w:t>
      </w:r>
      <w:hyperlink r:id="rId13" w:history="1">
        <w:r w:rsidRPr="0058455E">
          <w:rPr>
            <w:rStyle w:val="Hyperlink"/>
            <w:rFonts w:ascii="Times New Roman" w:eastAsia="Times New Roman" w:hAnsi="Times New Roman" w:cs="Times New Roman"/>
            <w:shd w:val="clear" w:color="auto" w:fill="FFFFFF"/>
            <w:lang w:val="en-US"/>
          </w:rPr>
          <w:t>https://doi.org/10.1043/0003-3219(1978)048&lt;0175:ETRFIP&gt;2.0.CO;2</w:t>
        </w:r>
      </w:hyperlink>
      <w:r>
        <w:rPr>
          <w:rFonts w:ascii="Times New Roman" w:eastAsia="Times New Roman" w:hAnsi="Times New Roman" w:cs="Times New Roman"/>
          <w:shd w:val="clear" w:color="auto" w:fill="FFFFFF"/>
          <w:lang w:val="en-US"/>
        </w:rPr>
        <w:t xml:space="preserve"> </w:t>
      </w:r>
    </w:p>
    <w:p w14:paraId="3C57EE88" w14:textId="7270D1DC" w:rsidR="00D21771" w:rsidRDefault="00AB141F"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AB141F">
        <w:rPr>
          <w:rFonts w:ascii="Times New Roman" w:hAnsi="Times New Roman" w:cs="Times New Roman"/>
          <w:shd w:val="clear" w:color="auto" w:fill="FFFFFF"/>
        </w:rPr>
        <w:t xml:space="preserve">Proffit, W. R., Fields, H. W. Jr, &amp; Moray, L. J. (1998). Prevalence of malocclusion and orthodontic treatment need in the United States: estimates from the NHANES III survey. International Journal of Adult Orthodontics and Orthognathic Surgery, 13(2), 97-106. </w:t>
      </w:r>
      <w:hyperlink r:id="rId14" w:history="1">
        <w:r w:rsidRPr="0058455E">
          <w:rPr>
            <w:rStyle w:val="Hyperlink"/>
            <w:rFonts w:ascii="Times New Roman" w:hAnsi="Times New Roman" w:cs="Times New Roman"/>
            <w:shd w:val="clear" w:color="auto" w:fill="FFFFFF"/>
          </w:rPr>
          <w:t>https://pubmed.ncbi.nlm.nih.gov/9743642/</w:t>
        </w:r>
      </w:hyperlink>
      <w:r>
        <w:rPr>
          <w:rFonts w:ascii="Times New Roman" w:hAnsi="Times New Roman" w:cs="Times New Roman"/>
          <w:shd w:val="clear" w:color="auto" w:fill="FFFFFF"/>
        </w:rPr>
        <w:t xml:space="preserve"> </w:t>
      </w:r>
      <w:r w:rsidR="00D21771">
        <w:rPr>
          <w:rFonts w:ascii="Times New Roman" w:hAnsi="Times New Roman" w:cs="Times New Roman"/>
          <w:shd w:val="clear" w:color="auto" w:fill="FFFFFF"/>
        </w:rPr>
        <w:t> </w:t>
      </w:r>
    </w:p>
    <w:p w14:paraId="1466A363" w14:textId="77777777" w:rsidR="00D21771" w:rsidRDefault="00D21771"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Pr>
          <w:rFonts w:ascii="Times New Roman" w:eastAsia="Times New Roman" w:hAnsi="Times New Roman" w:cs="Times New Roman"/>
          <w:shd w:val="clear" w:color="auto" w:fill="FFFFFF"/>
          <w:lang w:val="en-US"/>
        </w:rPr>
        <w:t xml:space="preserve">Davies TM, Orth D, Shaw WC, Addy M, Dummer PM. The relationship of anterior overjet to plaque and gingivitis in children. Am J </w:t>
      </w:r>
      <w:proofErr w:type="spellStart"/>
      <w:r>
        <w:rPr>
          <w:rFonts w:ascii="Times New Roman" w:eastAsia="Times New Roman" w:hAnsi="Times New Roman" w:cs="Times New Roman"/>
          <w:shd w:val="clear" w:color="auto" w:fill="FFFFFF"/>
          <w:lang w:val="en-US"/>
        </w:rPr>
        <w:t>Orthod</w:t>
      </w:r>
      <w:proofErr w:type="spellEnd"/>
      <w:r>
        <w:rPr>
          <w:rFonts w:ascii="Times New Roman" w:eastAsia="Times New Roman" w:hAnsi="Times New Roman" w:cs="Times New Roman"/>
          <w:shd w:val="clear" w:color="auto" w:fill="FFFFFF"/>
          <w:lang w:val="en-US"/>
        </w:rPr>
        <w:t xml:space="preserve"> </w:t>
      </w:r>
      <w:proofErr w:type="spellStart"/>
      <w:r>
        <w:rPr>
          <w:rFonts w:ascii="Times New Roman" w:eastAsia="Times New Roman" w:hAnsi="Times New Roman" w:cs="Times New Roman"/>
          <w:shd w:val="clear" w:color="auto" w:fill="FFFFFF"/>
          <w:lang w:val="en-US"/>
        </w:rPr>
        <w:t>Dentofac</w:t>
      </w:r>
      <w:proofErr w:type="spellEnd"/>
      <w:r>
        <w:rPr>
          <w:rFonts w:ascii="Times New Roman" w:eastAsia="Times New Roman" w:hAnsi="Times New Roman" w:cs="Times New Roman"/>
          <w:shd w:val="clear" w:color="auto" w:fill="FFFFFF"/>
          <w:lang w:val="en-US"/>
        </w:rPr>
        <w:t xml:space="preserve"> </w:t>
      </w:r>
      <w:proofErr w:type="spellStart"/>
      <w:r>
        <w:rPr>
          <w:rFonts w:ascii="Times New Roman" w:eastAsia="Times New Roman" w:hAnsi="Times New Roman" w:cs="Times New Roman"/>
          <w:shd w:val="clear" w:color="auto" w:fill="FFFFFF"/>
          <w:lang w:val="en-US"/>
        </w:rPr>
        <w:t>Orthop</w:t>
      </w:r>
      <w:proofErr w:type="spellEnd"/>
      <w:r>
        <w:rPr>
          <w:rFonts w:ascii="Times New Roman" w:eastAsia="Times New Roman" w:hAnsi="Times New Roman" w:cs="Times New Roman"/>
          <w:shd w:val="clear" w:color="auto" w:fill="FFFFFF"/>
          <w:lang w:val="en-US"/>
        </w:rPr>
        <w:t>. 1988; 93(4): 303-309.</w:t>
      </w:r>
    </w:p>
    <w:p w14:paraId="4096C77C" w14:textId="7AA401ED" w:rsidR="00D21771" w:rsidRDefault="00425E69"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425E69">
        <w:rPr>
          <w:rFonts w:ascii="Times New Roman" w:eastAsia="Times New Roman" w:hAnsi="Times New Roman" w:cs="Times New Roman"/>
          <w:shd w:val="clear" w:color="auto" w:fill="FFFFFF"/>
          <w:lang w:val="en-US"/>
        </w:rPr>
        <w:t xml:space="preserve">Magalhães, I. B., Pereira, L. J., Marques, L. S., &amp; Gameiro, G. H. (2010). The influence of malocclusion on masticatory performance. A systematic review. Angle Orthodontist, 80(5), 981–987. </w:t>
      </w:r>
      <w:hyperlink r:id="rId15" w:history="1">
        <w:r w:rsidRPr="0058455E">
          <w:rPr>
            <w:rStyle w:val="Hyperlink"/>
            <w:rFonts w:ascii="Times New Roman" w:eastAsia="Times New Roman" w:hAnsi="Times New Roman" w:cs="Times New Roman"/>
            <w:shd w:val="clear" w:color="auto" w:fill="FFFFFF"/>
            <w:lang w:val="en-US"/>
          </w:rPr>
          <w:t>https://doi.org/10.2319/011910-33.1</w:t>
        </w:r>
      </w:hyperlink>
      <w:r>
        <w:rPr>
          <w:rFonts w:ascii="Times New Roman" w:eastAsia="Times New Roman" w:hAnsi="Times New Roman" w:cs="Times New Roman"/>
          <w:shd w:val="clear" w:color="auto" w:fill="FFFFFF"/>
          <w:lang w:val="en-US"/>
        </w:rPr>
        <w:t xml:space="preserve"> </w:t>
      </w:r>
    </w:p>
    <w:p w14:paraId="736FB490" w14:textId="7F7C7CF3" w:rsidR="00D21771" w:rsidRDefault="00425E69"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proofErr w:type="spellStart"/>
      <w:r w:rsidRPr="00425E69">
        <w:rPr>
          <w:rFonts w:ascii="Times New Roman" w:eastAsia="Times New Roman" w:hAnsi="Times New Roman" w:cs="Times New Roman"/>
          <w:shd w:val="clear" w:color="auto" w:fill="FFFFFF"/>
          <w:lang w:val="en-US"/>
        </w:rPr>
        <w:t>Agou</w:t>
      </w:r>
      <w:proofErr w:type="spellEnd"/>
      <w:r w:rsidRPr="00425E69">
        <w:rPr>
          <w:rFonts w:ascii="Times New Roman" w:eastAsia="Times New Roman" w:hAnsi="Times New Roman" w:cs="Times New Roman"/>
          <w:shd w:val="clear" w:color="auto" w:fill="FFFFFF"/>
          <w:lang w:val="en-US"/>
        </w:rPr>
        <w:t xml:space="preserve">, S., Locker, D., </w:t>
      </w:r>
      <w:proofErr w:type="spellStart"/>
      <w:r w:rsidRPr="00425E69">
        <w:rPr>
          <w:rFonts w:ascii="Times New Roman" w:eastAsia="Times New Roman" w:hAnsi="Times New Roman" w:cs="Times New Roman"/>
          <w:shd w:val="clear" w:color="auto" w:fill="FFFFFF"/>
          <w:lang w:val="en-US"/>
        </w:rPr>
        <w:t>Streiner</w:t>
      </w:r>
      <w:proofErr w:type="spellEnd"/>
      <w:r w:rsidRPr="00425E69">
        <w:rPr>
          <w:rFonts w:ascii="Times New Roman" w:eastAsia="Times New Roman" w:hAnsi="Times New Roman" w:cs="Times New Roman"/>
          <w:shd w:val="clear" w:color="auto" w:fill="FFFFFF"/>
          <w:lang w:val="en-US"/>
        </w:rPr>
        <w:t xml:space="preserve">, D. L., &amp; Tompson, B. (2008). Impact of self-esteem on the oral-health-related quality of life of children with malocclusion. American Journal of Orthodontics and Dentofacial Orthopedics, 134(4), 484-489. </w:t>
      </w:r>
      <w:hyperlink r:id="rId16" w:history="1">
        <w:r w:rsidRPr="0058455E">
          <w:rPr>
            <w:rStyle w:val="Hyperlink"/>
            <w:rFonts w:ascii="Times New Roman" w:eastAsia="Times New Roman" w:hAnsi="Times New Roman" w:cs="Times New Roman"/>
            <w:shd w:val="clear" w:color="auto" w:fill="FFFFFF"/>
            <w:lang w:val="en-US"/>
          </w:rPr>
          <w:t>https://doi.org/10.1016/j.ajodo.2006.11.021</w:t>
        </w:r>
      </w:hyperlink>
      <w:r>
        <w:rPr>
          <w:rFonts w:ascii="Times New Roman" w:eastAsia="Times New Roman" w:hAnsi="Times New Roman" w:cs="Times New Roman"/>
          <w:shd w:val="clear" w:color="auto" w:fill="FFFFFF"/>
          <w:lang w:val="en-US"/>
        </w:rPr>
        <w:t xml:space="preserve"> </w:t>
      </w:r>
    </w:p>
    <w:p w14:paraId="1F6EF452" w14:textId="4D77980F" w:rsidR="00D21771" w:rsidRDefault="000E5333"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proofErr w:type="spellStart"/>
      <w:r w:rsidRPr="000E5333">
        <w:rPr>
          <w:rFonts w:ascii="Times New Roman" w:eastAsia="Times New Roman" w:hAnsi="Times New Roman" w:cs="Times New Roman"/>
          <w:shd w:val="clear" w:color="auto" w:fill="FFFFFF"/>
          <w:lang w:val="en-US"/>
        </w:rPr>
        <w:t>Agou</w:t>
      </w:r>
      <w:proofErr w:type="spellEnd"/>
      <w:r w:rsidRPr="000E5333">
        <w:rPr>
          <w:rFonts w:ascii="Times New Roman" w:eastAsia="Times New Roman" w:hAnsi="Times New Roman" w:cs="Times New Roman"/>
          <w:shd w:val="clear" w:color="auto" w:fill="FFFFFF"/>
          <w:lang w:val="en-US"/>
        </w:rPr>
        <w:t xml:space="preserve">, S., Locker, D., Muirhead, V., Tompson, B., &amp; </w:t>
      </w:r>
      <w:proofErr w:type="spellStart"/>
      <w:r w:rsidRPr="000E5333">
        <w:rPr>
          <w:rFonts w:ascii="Times New Roman" w:eastAsia="Times New Roman" w:hAnsi="Times New Roman" w:cs="Times New Roman"/>
          <w:shd w:val="clear" w:color="auto" w:fill="FFFFFF"/>
          <w:lang w:val="en-US"/>
        </w:rPr>
        <w:t>Streiner</w:t>
      </w:r>
      <w:proofErr w:type="spellEnd"/>
      <w:r w:rsidRPr="000E5333">
        <w:rPr>
          <w:rFonts w:ascii="Times New Roman" w:eastAsia="Times New Roman" w:hAnsi="Times New Roman" w:cs="Times New Roman"/>
          <w:shd w:val="clear" w:color="auto" w:fill="FFFFFF"/>
          <w:lang w:val="en-US"/>
        </w:rPr>
        <w:t xml:space="preserve">, D. L. (2011). Does psychological well-being influence oral-health-related quality of life reports in children receiving orthodontic treatment? American Journal of Orthodontics and Dentofacial Orthopedics, 139(3), 369-377. </w:t>
      </w:r>
      <w:hyperlink r:id="rId17" w:history="1">
        <w:r w:rsidRPr="0058455E">
          <w:rPr>
            <w:rStyle w:val="Hyperlink"/>
            <w:rFonts w:ascii="Times New Roman" w:eastAsia="Times New Roman" w:hAnsi="Times New Roman" w:cs="Times New Roman"/>
            <w:shd w:val="clear" w:color="auto" w:fill="FFFFFF"/>
            <w:lang w:val="en-US"/>
          </w:rPr>
          <w:t>https://doi.org/10.1016/j.ajodo.2009.05.034</w:t>
        </w:r>
      </w:hyperlink>
      <w:r>
        <w:rPr>
          <w:rFonts w:ascii="Times New Roman" w:eastAsia="Times New Roman" w:hAnsi="Times New Roman" w:cs="Times New Roman"/>
          <w:shd w:val="clear" w:color="auto" w:fill="FFFFFF"/>
          <w:lang w:val="en-US"/>
        </w:rPr>
        <w:t xml:space="preserve"> </w:t>
      </w:r>
    </w:p>
    <w:p w14:paraId="7E9FB8F0" w14:textId="2F3F61B4" w:rsidR="00D21771" w:rsidRDefault="00A92CDF"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A92CDF">
        <w:rPr>
          <w:rFonts w:ascii="Times New Roman" w:eastAsia="Times New Roman" w:hAnsi="Times New Roman" w:cs="Times New Roman"/>
          <w:lang w:val="en-US"/>
        </w:rPr>
        <w:t xml:space="preserve">Abu Alhaija, E. S. J., Al-Nimri, K. S., &amp; Al-Khateeb, S. N. (2004). Orthodontic treatment need and demand in 12-14-year-old north Jordanian school children. *European Journal of Orthodontics*, *26*(3), 261-263. </w:t>
      </w:r>
      <w:hyperlink r:id="rId18" w:history="1">
        <w:r w:rsidRPr="0058455E">
          <w:rPr>
            <w:rStyle w:val="Hyperlink"/>
            <w:rFonts w:ascii="Times New Roman" w:eastAsia="Times New Roman" w:hAnsi="Times New Roman" w:cs="Times New Roman"/>
            <w:lang w:val="en-US"/>
          </w:rPr>
          <w:t>https://doi.org/10.1093/ejo/26.3.261</w:t>
        </w:r>
      </w:hyperlink>
      <w:r>
        <w:rPr>
          <w:rFonts w:ascii="Times New Roman" w:eastAsia="Times New Roman" w:hAnsi="Times New Roman" w:cs="Times New Roman"/>
          <w:lang w:val="en-US"/>
        </w:rPr>
        <w:t xml:space="preserve"> </w:t>
      </w:r>
    </w:p>
    <w:p w14:paraId="5086D682" w14:textId="5013F6D6" w:rsidR="00D21771" w:rsidRDefault="00A92CDF"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proofErr w:type="spellStart"/>
      <w:r w:rsidRPr="00A92CDF">
        <w:rPr>
          <w:rFonts w:ascii="Times New Roman" w:hAnsi="Times New Roman" w:cs="Times New Roman"/>
          <w:shd w:val="clear" w:color="auto" w:fill="FFFFFF"/>
        </w:rPr>
        <w:t>Rwakatema</w:t>
      </w:r>
      <w:proofErr w:type="spellEnd"/>
      <w:r w:rsidRPr="00A92CDF">
        <w:rPr>
          <w:rFonts w:ascii="Times New Roman" w:hAnsi="Times New Roman" w:cs="Times New Roman"/>
          <w:shd w:val="clear" w:color="auto" w:fill="FFFFFF"/>
        </w:rPr>
        <w:t xml:space="preserve">, D. S., Nganga, P. M., &amp; </w:t>
      </w:r>
      <w:proofErr w:type="spellStart"/>
      <w:r w:rsidRPr="00A92CDF">
        <w:rPr>
          <w:rFonts w:ascii="Times New Roman" w:hAnsi="Times New Roman" w:cs="Times New Roman"/>
          <w:shd w:val="clear" w:color="auto" w:fill="FFFFFF"/>
        </w:rPr>
        <w:t>Kemoli</w:t>
      </w:r>
      <w:proofErr w:type="spellEnd"/>
      <w:r w:rsidRPr="00A92CDF">
        <w:rPr>
          <w:rFonts w:ascii="Times New Roman" w:hAnsi="Times New Roman" w:cs="Times New Roman"/>
          <w:shd w:val="clear" w:color="auto" w:fill="FFFFFF"/>
        </w:rPr>
        <w:t xml:space="preserve">, A. M. (2006). Prevalence of malocclusion among 12-15-year-olds in Moshi, Tanzania, using Bjork's criteria. East African Medical Journal, 83(7), 372-379. </w:t>
      </w:r>
      <w:hyperlink r:id="rId19" w:history="1">
        <w:r w:rsidRPr="0058455E">
          <w:rPr>
            <w:rStyle w:val="Hyperlink"/>
            <w:rFonts w:ascii="Times New Roman" w:hAnsi="Times New Roman" w:cs="Times New Roman"/>
            <w:shd w:val="clear" w:color="auto" w:fill="FFFFFF"/>
          </w:rPr>
          <w:t>https://doi.org/10.4314/eamj.v83i7.9449</w:t>
        </w:r>
      </w:hyperlink>
      <w:r>
        <w:rPr>
          <w:rFonts w:ascii="Times New Roman" w:hAnsi="Times New Roman" w:cs="Times New Roman"/>
          <w:shd w:val="clear" w:color="auto" w:fill="FFFFFF"/>
        </w:rPr>
        <w:t xml:space="preserve"> </w:t>
      </w:r>
    </w:p>
    <w:p w14:paraId="5FE014DD" w14:textId="6A95D6EC" w:rsidR="00D21771" w:rsidRDefault="00935242"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935242">
        <w:rPr>
          <w:rFonts w:ascii="Times New Roman" w:eastAsia="Times New Roman" w:hAnsi="Times New Roman" w:cs="Times New Roman"/>
          <w:shd w:val="clear" w:color="auto" w:fill="FFFFFF"/>
          <w:lang w:val="en-US"/>
        </w:rPr>
        <w:t xml:space="preserve">NHS Digital. (2012). NHS Dental Statistics - England, 2011-2012: Annex 4 (Clinical). NHS Dental Statistics for England. </w:t>
      </w:r>
      <w:hyperlink r:id="rId20" w:history="1">
        <w:r w:rsidRPr="0058455E">
          <w:rPr>
            <w:rStyle w:val="Hyperlink"/>
            <w:rFonts w:ascii="Times New Roman" w:eastAsia="Times New Roman" w:hAnsi="Times New Roman" w:cs="Times New Roman"/>
            <w:shd w:val="clear" w:color="auto" w:fill="FFFFFF"/>
            <w:lang w:val="en-US"/>
          </w:rPr>
          <w:t>https://www.nhs.uk/nhs-dental-statistics-for-england-2011-12</w:t>
        </w:r>
      </w:hyperlink>
      <w:r>
        <w:rPr>
          <w:rFonts w:ascii="Times New Roman" w:eastAsia="Times New Roman" w:hAnsi="Times New Roman" w:cs="Times New Roman"/>
          <w:shd w:val="clear" w:color="auto" w:fill="FFFFFF"/>
          <w:lang w:val="en-US"/>
        </w:rPr>
        <w:t xml:space="preserve"> </w:t>
      </w:r>
    </w:p>
    <w:p w14:paraId="328D41BF" w14:textId="7DD4C391" w:rsidR="00D21771" w:rsidRDefault="00F672DF"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F672DF">
        <w:rPr>
          <w:rFonts w:ascii="Times New Roman" w:hAnsi="Times New Roman" w:cs="Times New Roman"/>
        </w:rPr>
        <w:t xml:space="preserve">Gravely, J. F., &amp; Johnson, D. B. (1974). Angle's classification of malocclusion: An assessment of reliability. British Journal of Orthodontics, 1(3), 79–86. </w:t>
      </w:r>
      <w:hyperlink r:id="rId21" w:history="1">
        <w:r w:rsidRPr="0058455E">
          <w:rPr>
            <w:rStyle w:val="Hyperlink"/>
            <w:rFonts w:ascii="Times New Roman" w:hAnsi="Times New Roman" w:cs="Times New Roman"/>
          </w:rPr>
          <w:t>https://doi.org/10.1179/bjo.1.3.79</w:t>
        </w:r>
      </w:hyperlink>
      <w:r>
        <w:rPr>
          <w:rFonts w:ascii="Times New Roman" w:hAnsi="Times New Roman" w:cs="Times New Roman"/>
        </w:rPr>
        <w:t xml:space="preserve"> </w:t>
      </w:r>
      <w:r w:rsidR="00D21771">
        <w:rPr>
          <w:rFonts w:ascii="Times New Roman" w:hAnsi="Times New Roman" w:cs="Times New Roman"/>
        </w:rPr>
        <w:t xml:space="preserve">  </w:t>
      </w:r>
    </w:p>
    <w:p w14:paraId="701FFF98" w14:textId="0BDFDBC3" w:rsidR="00D21771" w:rsidRDefault="005C01BA"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5C01BA">
        <w:rPr>
          <w:rFonts w:ascii="Times New Roman" w:hAnsi="Times New Roman" w:cs="Times New Roman"/>
          <w:shd w:val="clear" w:color="auto" w:fill="FFFFFF"/>
        </w:rPr>
        <w:t xml:space="preserve">Williams, A. C., &amp; Stephens, C. D. (1992). A modification to the incisor classification of malocclusion. British Journal of Orthodontics. </w:t>
      </w:r>
      <w:hyperlink r:id="rId22" w:history="1">
        <w:r w:rsidRPr="0058455E">
          <w:rPr>
            <w:rStyle w:val="Hyperlink"/>
            <w:rFonts w:ascii="Times New Roman" w:hAnsi="Times New Roman" w:cs="Times New Roman"/>
            <w:shd w:val="clear" w:color="auto" w:fill="FFFFFF"/>
          </w:rPr>
          <w:t>https://doi.org/10.1179/bjo.19.2.127</w:t>
        </w:r>
      </w:hyperlink>
      <w:r>
        <w:rPr>
          <w:rFonts w:ascii="Times New Roman" w:hAnsi="Times New Roman" w:cs="Times New Roman"/>
          <w:shd w:val="clear" w:color="auto" w:fill="FFFFFF"/>
        </w:rPr>
        <w:t xml:space="preserve"> </w:t>
      </w:r>
    </w:p>
    <w:p w14:paraId="169D67CD" w14:textId="35C35734" w:rsidR="00D21771" w:rsidRDefault="007B2BF5"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proofErr w:type="spellStart"/>
      <w:r w:rsidRPr="007B2BF5">
        <w:rPr>
          <w:rFonts w:ascii="Times New Roman" w:hAnsi="Times New Roman" w:cs="Times New Roman"/>
          <w:shd w:val="clear" w:color="auto" w:fill="FFFFFF"/>
        </w:rPr>
        <w:t>Alhammadi</w:t>
      </w:r>
      <w:proofErr w:type="spellEnd"/>
      <w:r w:rsidRPr="007B2BF5">
        <w:rPr>
          <w:rFonts w:ascii="Times New Roman" w:hAnsi="Times New Roman" w:cs="Times New Roman"/>
          <w:shd w:val="clear" w:color="auto" w:fill="FFFFFF"/>
        </w:rPr>
        <w:t xml:space="preserve">, M. S., </w:t>
      </w:r>
      <w:proofErr w:type="spellStart"/>
      <w:r w:rsidRPr="007B2BF5">
        <w:rPr>
          <w:rFonts w:ascii="Times New Roman" w:hAnsi="Times New Roman" w:cs="Times New Roman"/>
          <w:shd w:val="clear" w:color="auto" w:fill="FFFFFF"/>
        </w:rPr>
        <w:t>Halboub</w:t>
      </w:r>
      <w:proofErr w:type="spellEnd"/>
      <w:r w:rsidRPr="007B2BF5">
        <w:rPr>
          <w:rFonts w:ascii="Times New Roman" w:hAnsi="Times New Roman" w:cs="Times New Roman"/>
          <w:shd w:val="clear" w:color="auto" w:fill="FFFFFF"/>
        </w:rPr>
        <w:t>, E., Fayed, M. S., Labib, A., &amp; El-</w:t>
      </w:r>
      <w:proofErr w:type="spellStart"/>
      <w:r w:rsidRPr="007B2BF5">
        <w:rPr>
          <w:rFonts w:ascii="Times New Roman" w:hAnsi="Times New Roman" w:cs="Times New Roman"/>
          <w:shd w:val="clear" w:color="auto" w:fill="FFFFFF"/>
        </w:rPr>
        <w:t>Saaidi</w:t>
      </w:r>
      <w:proofErr w:type="spellEnd"/>
      <w:r w:rsidRPr="007B2BF5">
        <w:rPr>
          <w:rFonts w:ascii="Times New Roman" w:hAnsi="Times New Roman" w:cs="Times New Roman"/>
          <w:shd w:val="clear" w:color="auto" w:fill="FFFFFF"/>
        </w:rPr>
        <w:t xml:space="preserve">, C. (2018). Global distribution of malocclusion traits: A systematic review. Dental Press Journal of Orthodontics, 23(6), </w:t>
      </w:r>
      <w:proofErr w:type="gramStart"/>
      <w:r w:rsidRPr="007B2BF5">
        <w:rPr>
          <w:rFonts w:ascii="Times New Roman" w:hAnsi="Times New Roman" w:cs="Times New Roman"/>
          <w:shd w:val="clear" w:color="auto" w:fill="FFFFFF"/>
        </w:rPr>
        <w:t>40.e</w:t>
      </w:r>
      <w:proofErr w:type="gramEnd"/>
      <w:r w:rsidRPr="007B2BF5">
        <w:rPr>
          <w:rFonts w:ascii="Times New Roman" w:hAnsi="Times New Roman" w:cs="Times New Roman"/>
          <w:shd w:val="clear" w:color="auto" w:fill="FFFFFF"/>
        </w:rPr>
        <w:t xml:space="preserve">1-40.e10. </w:t>
      </w:r>
      <w:hyperlink r:id="rId23" w:history="1">
        <w:r w:rsidRPr="0058455E">
          <w:rPr>
            <w:rStyle w:val="Hyperlink"/>
            <w:rFonts w:ascii="Times New Roman" w:hAnsi="Times New Roman" w:cs="Times New Roman"/>
            <w:shd w:val="clear" w:color="auto" w:fill="FFFFFF"/>
          </w:rPr>
          <w:t>https://doi.org/10.1590/2177-6709.23.6.40.e1-10.onl</w:t>
        </w:r>
      </w:hyperlink>
      <w:r>
        <w:rPr>
          <w:rFonts w:ascii="Times New Roman" w:hAnsi="Times New Roman" w:cs="Times New Roman"/>
          <w:shd w:val="clear" w:color="auto" w:fill="FFFFFF"/>
        </w:rPr>
        <w:t xml:space="preserve"> </w:t>
      </w:r>
    </w:p>
    <w:p w14:paraId="2FA3E76F" w14:textId="5D080065" w:rsidR="00D21771" w:rsidRDefault="007B2BF5"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7B2BF5">
        <w:rPr>
          <w:rFonts w:ascii="Times New Roman" w:eastAsia="Times New Roman" w:hAnsi="Times New Roman" w:cs="Times New Roman"/>
          <w:shd w:val="clear" w:color="auto" w:fill="FFFFFF"/>
          <w:lang w:val="en-US"/>
        </w:rPr>
        <w:t xml:space="preserve">Wilmot, J. J., Barber, H. D., Chou, D. G., &amp; </w:t>
      </w:r>
      <w:proofErr w:type="spellStart"/>
      <w:r w:rsidRPr="007B2BF5">
        <w:rPr>
          <w:rFonts w:ascii="Times New Roman" w:eastAsia="Times New Roman" w:hAnsi="Times New Roman" w:cs="Times New Roman"/>
          <w:shd w:val="clear" w:color="auto" w:fill="FFFFFF"/>
          <w:lang w:val="en-US"/>
        </w:rPr>
        <w:t>Vig</w:t>
      </w:r>
      <w:proofErr w:type="spellEnd"/>
      <w:r w:rsidRPr="007B2BF5">
        <w:rPr>
          <w:rFonts w:ascii="Times New Roman" w:eastAsia="Times New Roman" w:hAnsi="Times New Roman" w:cs="Times New Roman"/>
          <w:shd w:val="clear" w:color="auto" w:fill="FFFFFF"/>
          <w:lang w:val="en-US"/>
        </w:rPr>
        <w:t xml:space="preserve">, K. W. (1993). Associations between severity of dentofacial deformity and motivation for orthodontic-orthognathic surgery treatment. The Angle Orthodontist, 63(4), 283-288. </w:t>
      </w:r>
      <w:hyperlink r:id="rId24" w:history="1">
        <w:r w:rsidRPr="0058455E">
          <w:rPr>
            <w:rStyle w:val="Hyperlink"/>
            <w:rFonts w:ascii="Times New Roman" w:eastAsia="Times New Roman" w:hAnsi="Times New Roman" w:cs="Times New Roman"/>
            <w:shd w:val="clear" w:color="auto" w:fill="FFFFFF"/>
            <w:lang w:val="en-US"/>
          </w:rPr>
          <w:t>https://doi.org/10.1043/0003-3219(1993)063&lt;0283:ABSODD&gt;2.0.CO;2</w:t>
        </w:r>
      </w:hyperlink>
      <w:r>
        <w:rPr>
          <w:rFonts w:ascii="Times New Roman" w:eastAsia="Times New Roman" w:hAnsi="Times New Roman" w:cs="Times New Roman"/>
          <w:shd w:val="clear" w:color="auto" w:fill="FFFFFF"/>
          <w:lang w:val="en-US"/>
        </w:rPr>
        <w:t xml:space="preserve"> </w:t>
      </w:r>
    </w:p>
    <w:p w14:paraId="3DF25D7F" w14:textId="415AD551" w:rsidR="00D21771" w:rsidRDefault="007B2BF5"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7B2BF5">
        <w:rPr>
          <w:rFonts w:ascii="Times New Roman" w:eastAsia="Times New Roman" w:hAnsi="Times New Roman" w:cs="Times New Roman"/>
          <w:shd w:val="clear" w:color="auto" w:fill="FFFFFF"/>
          <w:lang w:val="en-US"/>
        </w:rPr>
        <w:t xml:space="preserve">Ibrahim, H. A., &amp; </w:t>
      </w:r>
      <w:proofErr w:type="spellStart"/>
      <w:r w:rsidRPr="007B2BF5">
        <w:rPr>
          <w:rFonts w:ascii="Times New Roman" w:eastAsia="Times New Roman" w:hAnsi="Times New Roman" w:cs="Times New Roman"/>
          <w:shd w:val="clear" w:color="auto" w:fill="FFFFFF"/>
          <w:lang w:val="en-US"/>
        </w:rPr>
        <w:t>Abuaffan</w:t>
      </w:r>
      <w:proofErr w:type="spellEnd"/>
      <w:r w:rsidRPr="007B2BF5">
        <w:rPr>
          <w:rFonts w:ascii="Times New Roman" w:eastAsia="Times New Roman" w:hAnsi="Times New Roman" w:cs="Times New Roman"/>
          <w:shd w:val="clear" w:color="auto" w:fill="FFFFFF"/>
          <w:lang w:val="en-US"/>
        </w:rPr>
        <w:t xml:space="preserve">, A. H. (2014). Prevalence of malocclusion and orthodontic treatment needs in Down syndrome Sudanese individuals. Orthodontic Journal of Nepal, 4(2), 32–36. </w:t>
      </w:r>
      <w:hyperlink r:id="rId25" w:history="1">
        <w:r w:rsidRPr="0058455E">
          <w:rPr>
            <w:rStyle w:val="Hyperlink"/>
            <w:rFonts w:ascii="Times New Roman" w:eastAsia="Times New Roman" w:hAnsi="Times New Roman" w:cs="Times New Roman"/>
            <w:shd w:val="clear" w:color="auto" w:fill="FFFFFF"/>
            <w:lang w:val="en-US"/>
          </w:rPr>
          <w:t>https://doi.org/10.3126/ojn.v4i2.13896</w:t>
        </w:r>
      </w:hyperlink>
      <w:r>
        <w:rPr>
          <w:rFonts w:ascii="Times New Roman" w:eastAsia="Times New Roman" w:hAnsi="Times New Roman" w:cs="Times New Roman"/>
          <w:shd w:val="clear" w:color="auto" w:fill="FFFFFF"/>
          <w:lang w:val="en-US"/>
        </w:rPr>
        <w:t xml:space="preserve"> </w:t>
      </w:r>
    </w:p>
    <w:p w14:paraId="15F9B89E" w14:textId="77777777" w:rsidR="00D21771" w:rsidRDefault="00D21771"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Pr>
          <w:rFonts w:ascii="Times New Roman" w:hAnsi="Times New Roman" w:cs="Times New Roman"/>
        </w:rPr>
        <w:t xml:space="preserve">Razan A Awad and Amal H Abuaffan. Prevalence of Malocclusion in a Sample of Sudanese University Students by the Index of Orthodontic Treatment Need Index (IOTN). EC Dental Science. 2018 Jan; 17(1): 15-22. </w:t>
      </w:r>
    </w:p>
    <w:p w14:paraId="282C32F5" w14:textId="22F97953" w:rsidR="00D21771" w:rsidRDefault="00600F5C"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600F5C">
        <w:rPr>
          <w:rFonts w:ascii="Times New Roman" w:eastAsia="Times New Roman" w:hAnsi="Times New Roman" w:cs="Times New Roman"/>
          <w:bdr w:val="none" w:sz="0" w:space="0" w:color="auto" w:frame="1"/>
          <w:lang w:val="en-US"/>
        </w:rPr>
        <w:lastRenderedPageBreak/>
        <w:t xml:space="preserve">Mahmoud, N. M., Eltahir, H. E., &amp; Mageet, A. O. (2017). Tooth Size Discrepancy among Different Malocclusion Groups in a Sudanese Sample. Journal of Orthodontics &amp; Endodontics, 3(10). </w:t>
      </w:r>
      <w:hyperlink r:id="rId26" w:history="1">
        <w:r w:rsidRPr="0058455E">
          <w:rPr>
            <w:rStyle w:val="Hyperlink"/>
            <w:rFonts w:ascii="Times New Roman" w:eastAsia="Times New Roman" w:hAnsi="Times New Roman" w:cs="Times New Roman"/>
            <w:bdr w:val="none" w:sz="0" w:space="0" w:color="auto" w:frame="1"/>
            <w:lang w:val="en-US"/>
          </w:rPr>
          <w:t>https://doi.org/10.21767/2469-2980.100044</w:t>
        </w:r>
      </w:hyperlink>
      <w:r>
        <w:rPr>
          <w:rFonts w:ascii="Times New Roman" w:eastAsia="Times New Roman" w:hAnsi="Times New Roman" w:cs="Times New Roman"/>
          <w:bdr w:val="none" w:sz="0" w:space="0" w:color="auto" w:frame="1"/>
          <w:lang w:val="en-US"/>
        </w:rPr>
        <w:t xml:space="preserve"> </w:t>
      </w:r>
    </w:p>
    <w:p w14:paraId="42ABA544" w14:textId="580D5A35" w:rsidR="00D21771" w:rsidRDefault="000E17A4"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proofErr w:type="spellStart"/>
      <w:r w:rsidRPr="000E17A4">
        <w:rPr>
          <w:rFonts w:ascii="Times New Roman" w:eastAsia="Times New Roman" w:hAnsi="Times New Roman" w:cs="Times New Roman"/>
          <w:shd w:val="clear" w:color="auto" w:fill="FFFFFF"/>
          <w:lang w:val="en-US"/>
        </w:rPr>
        <w:t>Onyeaso</w:t>
      </w:r>
      <w:proofErr w:type="spellEnd"/>
      <w:r w:rsidRPr="000E17A4">
        <w:rPr>
          <w:rFonts w:ascii="Times New Roman" w:eastAsia="Times New Roman" w:hAnsi="Times New Roman" w:cs="Times New Roman"/>
          <w:shd w:val="clear" w:color="auto" w:fill="FFFFFF"/>
          <w:lang w:val="en-US"/>
        </w:rPr>
        <w:t xml:space="preserve">, C. O., </w:t>
      </w:r>
      <w:proofErr w:type="spellStart"/>
      <w:r w:rsidRPr="000E17A4">
        <w:rPr>
          <w:rFonts w:ascii="Times New Roman" w:eastAsia="Times New Roman" w:hAnsi="Times New Roman" w:cs="Times New Roman"/>
          <w:shd w:val="clear" w:color="auto" w:fill="FFFFFF"/>
          <w:lang w:val="en-US"/>
        </w:rPr>
        <w:t>Aderinokun</w:t>
      </w:r>
      <w:proofErr w:type="spellEnd"/>
      <w:r w:rsidRPr="000E17A4">
        <w:rPr>
          <w:rFonts w:ascii="Times New Roman" w:eastAsia="Times New Roman" w:hAnsi="Times New Roman" w:cs="Times New Roman"/>
          <w:shd w:val="clear" w:color="auto" w:fill="FFFFFF"/>
          <w:lang w:val="en-US"/>
        </w:rPr>
        <w:t xml:space="preserve">, G. A., &amp; </w:t>
      </w:r>
      <w:proofErr w:type="spellStart"/>
      <w:r w:rsidRPr="000E17A4">
        <w:rPr>
          <w:rFonts w:ascii="Times New Roman" w:eastAsia="Times New Roman" w:hAnsi="Times New Roman" w:cs="Times New Roman"/>
          <w:shd w:val="clear" w:color="auto" w:fill="FFFFFF"/>
          <w:lang w:val="en-US"/>
        </w:rPr>
        <w:t>Arowojolu</w:t>
      </w:r>
      <w:proofErr w:type="spellEnd"/>
      <w:r w:rsidRPr="000E17A4">
        <w:rPr>
          <w:rFonts w:ascii="Times New Roman" w:eastAsia="Times New Roman" w:hAnsi="Times New Roman" w:cs="Times New Roman"/>
          <w:shd w:val="clear" w:color="auto" w:fill="FFFFFF"/>
          <w:lang w:val="en-US"/>
        </w:rPr>
        <w:t xml:space="preserve">, M. O. (2002). The pattern of malocclusion among orthodontic patients seen in Dental Centre, University College Hospital, Ibadan, Nigeria. </w:t>
      </w:r>
      <w:proofErr w:type="spellStart"/>
      <w:r w:rsidRPr="000E17A4">
        <w:rPr>
          <w:rFonts w:ascii="Times New Roman" w:eastAsia="Times New Roman" w:hAnsi="Times New Roman" w:cs="Times New Roman"/>
          <w:shd w:val="clear" w:color="auto" w:fill="FFFFFF"/>
          <w:lang w:val="en-US"/>
        </w:rPr>
        <w:t>Afr</w:t>
      </w:r>
      <w:proofErr w:type="spellEnd"/>
      <w:r w:rsidRPr="000E17A4">
        <w:rPr>
          <w:rFonts w:ascii="Times New Roman" w:eastAsia="Times New Roman" w:hAnsi="Times New Roman" w:cs="Times New Roman"/>
          <w:shd w:val="clear" w:color="auto" w:fill="FFFFFF"/>
          <w:lang w:val="en-US"/>
        </w:rPr>
        <w:t xml:space="preserve"> J Med </w:t>
      </w:r>
      <w:proofErr w:type="spellStart"/>
      <w:r w:rsidRPr="000E17A4">
        <w:rPr>
          <w:rFonts w:ascii="Times New Roman" w:eastAsia="Times New Roman" w:hAnsi="Times New Roman" w:cs="Times New Roman"/>
          <w:shd w:val="clear" w:color="auto" w:fill="FFFFFF"/>
          <w:lang w:val="en-US"/>
        </w:rPr>
        <w:t>Med</w:t>
      </w:r>
      <w:proofErr w:type="spellEnd"/>
      <w:r w:rsidRPr="000E17A4">
        <w:rPr>
          <w:rFonts w:ascii="Times New Roman" w:eastAsia="Times New Roman" w:hAnsi="Times New Roman" w:cs="Times New Roman"/>
          <w:shd w:val="clear" w:color="auto" w:fill="FFFFFF"/>
          <w:lang w:val="en-US"/>
        </w:rPr>
        <w:t xml:space="preserve"> Sci, 31(3), 207-211. </w:t>
      </w:r>
      <w:hyperlink r:id="rId27" w:history="1">
        <w:r w:rsidRPr="0058455E">
          <w:rPr>
            <w:rStyle w:val="Hyperlink"/>
            <w:rFonts w:ascii="Times New Roman" w:eastAsia="Times New Roman" w:hAnsi="Times New Roman" w:cs="Times New Roman"/>
            <w:shd w:val="clear" w:color="auto" w:fill="FFFFFF"/>
            <w:lang w:val="en-US"/>
          </w:rPr>
          <w:t>https://pubmed.ncbi.nlm.nih.gov/12751558/</w:t>
        </w:r>
      </w:hyperlink>
      <w:r>
        <w:rPr>
          <w:rFonts w:ascii="Times New Roman" w:eastAsia="Times New Roman" w:hAnsi="Times New Roman" w:cs="Times New Roman"/>
          <w:shd w:val="clear" w:color="auto" w:fill="FFFFFF"/>
          <w:lang w:val="en-US"/>
        </w:rPr>
        <w:t xml:space="preserve"> </w:t>
      </w:r>
    </w:p>
    <w:p w14:paraId="4DEFE763" w14:textId="3CA34F43" w:rsidR="00D21771" w:rsidRDefault="000E17A4"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0E17A4">
        <w:rPr>
          <w:rFonts w:ascii="Times New Roman" w:eastAsia="Times New Roman" w:hAnsi="Times New Roman" w:cs="Times New Roman"/>
          <w:shd w:val="clear" w:color="auto" w:fill="FFFFFF"/>
          <w:lang w:val="en-US"/>
        </w:rPr>
        <w:t xml:space="preserve">Gul-e-Erum, &amp; Fida, M. (2008). Pattern of malocclusion in orthodontic patients: a </w:t>
      </w:r>
      <w:proofErr w:type="gramStart"/>
      <w:r w:rsidRPr="000E17A4">
        <w:rPr>
          <w:rFonts w:ascii="Times New Roman" w:eastAsia="Times New Roman" w:hAnsi="Times New Roman" w:cs="Times New Roman"/>
          <w:shd w:val="clear" w:color="auto" w:fill="FFFFFF"/>
          <w:lang w:val="en-US"/>
        </w:rPr>
        <w:t>hospital based</w:t>
      </w:r>
      <w:proofErr w:type="gramEnd"/>
      <w:r w:rsidRPr="000E17A4">
        <w:rPr>
          <w:rFonts w:ascii="Times New Roman" w:eastAsia="Times New Roman" w:hAnsi="Times New Roman" w:cs="Times New Roman"/>
          <w:shd w:val="clear" w:color="auto" w:fill="FFFFFF"/>
          <w:lang w:val="en-US"/>
        </w:rPr>
        <w:t xml:space="preserve"> study. *Journal of Ayub Medical College Abbottabad*, *20*(1), 43–47. </w:t>
      </w:r>
      <w:hyperlink r:id="rId28" w:history="1">
        <w:r w:rsidRPr="0058455E">
          <w:rPr>
            <w:rStyle w:val="Hyperlink"/>
            <w:rFonts w:ascii="Times New Roman" w:eastAsia="Times New Roman" w:hAnsi="Times New Roman" w:cs="Times New Roman"/>
            <w:shd w:val="clear" w:color="auto" w:fill="FFFFFF"/>
            <w:lang w:val="en-US"/>
          </w:rPr>
          <w:t>https://pubmed.ncbi.nlm.nih.gov/19024184/</w:t>
        </w:r>
      </w:hyperlink>
      <w:r>
        <w:rPr>
          <w:rFonts w:ascii="Times New Roman" w:eastAsia="Times New Roman" w:hAnsi="Times New Roman" w:cs="Times New Roman"/>
          <w:shd w:val="clear" w:color="auto" w:fill="FFFFFF"/>
          <w:lang w:val="en-US"/>
        </w:rPr>
        <w:t xml:space="preserve"> </w:t>
      </w:r>
    </w:p>
    <w:p w14:paraId="078C97F6" w14:textId="7A0E7D65" w:rsidR="00D21771" w:rsidRPr="004C3A98" w:rsidRDefault="000E17A4"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r w:rsidRPr="004C3A98">
        <w:rPr>
          <w:rFonts w:ascii="Times New Roman" w:eastAsia="Times New Roman" w:hAnsi="Times New Roman" w:cs="Times New Roman"/>
          <w:shd w:val="clear" w:color="auto" w:fill="FFFFFF"/>
          <w:lang w:val="en-US"/>
        </w:rPr>
        <w:t xml:space="preserve">Sayin, M. O., &amp; </w:t>
      </w:r>
      <w:proofErr w:type="spellStart"/>
      <w:r w:rsidRPr="004C3A98">
        <w:rPr>
          <w:rFonts w:ascii="Times New Roman" w:eastAsia="Times New Roman" w:hAnsi="Times New Roman" w:cs="Times New Roman"/>
          <w:shd w:val="clear" w:color="auto" w:fill="FFFFFF"/>
          <w:lang w:val="en-US"/>
        </w:rPr>
        <w:t>Türkkahraman</w:t>
      </w:r>
      <w:proofErr w:type="spellEnd"/>
      <w:r w:rsidRPr="004C3A98">
        <w:rPr>
          <w:rFonts w:ascii="Times New Roman" w:eastAsia="Times New Roman" w:hAnsi="Times New Roman" w:cs="Times New Roman"/>
          <w:shd w:val="clear" w:color="auto" w:fill="FFFFFF"/>
          <w:lang w:val="en-US"/>
        </w:rPr>
        <w:t xml:space="preserve">, H. (2004). Malocclusion and crowding in an orthodontically referred Turkish population. Angle Orthodontist, 74(5), 635-639. </w:t>
      </w:r>
      <w:hyperlink r:id="rId29" w:history="1">
        <w:r w:rsidRPr="004C3A98">
          <w:rPr>
            <w:rStyle w:val="Hyperlink"/>
            <w:rFonts w:ascii="Times New Roman" w:eastAsia="Times New Roman" w:hAnsi="Times New Roman" w:cs="Times New Roman"/>
            <w:shd w:val="clear" w:color="auto" w:fill="FFFFFF"/>
            <w:lang w:val="en-US"/>
          </w:rPr>
          <w:t>https://doi.org/10.1043/0003-3219(2004)074&lt;0635:MACIAO&gt;2.0.CO;2</w:t>
        </w:r>
      </w:hyperlink>
      <w:r w:rsidRPr="004C3A98">
        <w:rPr>
          <w:rFonts w:ascii="Times New Roman" w:eastAsia="Times New Roman" w:hAnsi="Times New Roman" w:cs="Times New Roman"/>
          <w:shd w:val="clear" w:color="auto" w:fill="FFFFFF"/>
          <w:lang w:val="en-US"/>
        </w:rPr>
        <w:t xml:space="preserve"> </w:t>
      </w:r>
    </w:p>
    <w:bookmarkEnd w:id="0"/>
    <w:p w14:paraId="37AE676C" w14:textId="3A3D2C6C" w:rsidR="00D21771" w:rsidRPr="004C3A98" w:rsidRDefault="000E17A4" w:rsidP="004C3A98">
      <w:pPr>
        <w:pStyle w:val="ListParagraph"/>
        <w:numPr>
          <w:ilvl w:val="0"/>
          <w:numId w:val="2"/>
        </w:numPr>
        <w:spacing w:before="100" w:beforeAutospacing="1" w:after="120" w:line="240" w:lineRule="auto"/>
        <w:ind w:left="357" w:hanging="357"/>
        <w:contextualSpacing w:val="0"/>
        <w:jc w:val="both"/>
        <w:rPr>
          <w:rFonts w:ascii="Times New Roman" w:eastAsia="Times New Roman" w:hAnsi="Times New Roman" w:cs="Times New Roman"/>
          <w:lang w:val="en-US"/>
        </w:rPr>
      </w:pPr>
      <w:proofErr w:type="spellStart"/>
      <w:r w:rsidRPr="004C3A98">
        <w:rPr>
          <w:rFonts w:ascii="Times New Roman" w:eastAsia="Times New Roman" w:hAnsi="Times New Roman" w:cs="Times New Roman"/>
          <w:shd w:val="clear" w:color="auto" w:fill="FFFFFF"/>
          <w:lang w:val="en-US"/>
        </w:rPr>
        <w:t>Gudipaneni</w:t>
      </w:r>
      <w:proofErr w:type="spellEnd"/>
      <w:r w:rsidRPr="004C3A98">
        <w:rPr>
          <w:rFonts w:ascii="Times New Roman" w:eastAsia="Times New Roman" w:hAnsi="Times New Roman" w:cs="Times New Roman"/>
          <w:shd w:val="clear" w:color="auto" w:fill="FFFFFF"/>
          <w:lang w:val="en-US"/>
        </w:rPr>
        <w:t xml:space="preserve">, R. K., </w:t>
      </w:r>
      <w:proofErr w:type="spellStart"/>
      <w:r w:rsidRPr="004C3A98">
        <w:rPr>
          <w:rFonts w:ascii="Times New Roman" w:eastAsia="Times New Roman" w:hAnsi="Times New Roman" w:cs="Times New Roman"/>
          <w:shd w:val="clear" w:color="auto" w:fill="FFFFFF"/>
          <w:lang w:val="en-US"/>
        </w:rPr>
        <w:t>Aldahmeshi</w:t>
      </w:r>
      <w:proofErr w:type="spellEnd"/>
      <w:r w:rsidRPr="004C3A98">
        <w:rPr>
          <w:rFonts w:ascii="Times New Roman" w:eastAsia="Times New Roman" w:hAnsi="Times New Roman" w:cs="Times New Roman"/>
          <w:shd w:val="clear" w:color="auto" w:fill="FFFFFF"/>
          <w:lang w:val="en-US"/>
        </w:rPr>
        <w:t xml:space="preserve">, R. F., Patil, S. R., &amp; Alam, M. K. (2018). The prevalence of malocclusion and the need for orthodontic treatment among adolescents in the northern border region of Saudi Arabia: An epidemiological study. BMC Oral Health, 18(1), 16. </w:t>
      </w:r>
      <w:hyperlink r:id="rId30" w:history="1">
        <w:r w:rsidRPr="004C3A98">
          <w:rPr>
            <w:rStyle w:val="Hyperlink"/>
            <w:rFonts w:ascii="Times New Roman" w:eastAsia="Times New Roman" w:hAnsi="Times New Roman" w:cs="Times New Roman"/>
            <w:shd w:val="clear" w:color="auto" w:fill="FFFFFF"/>
            <w:lang w:val="en-US"/>
          </w:rPr>
          <w:t>https://doi.org/10.1186/s12903-018-0476-8</w:t>
        </w:r>
      </w:hyperlink>
      <w:r w:rsidRPr="004C3A98">
        <w:rPr>
          <w:rFonts w:ascii="Times New Roman" w:eastAsia="Times New Roman" w:hAnsi="Times New Roman" w:cs="Times New Roman"/>
          <w:shd w:val="clear" w:color="auto" w:fill="FFFFFF"/>
          <w:lang w:val="en-US"/>
        </w:rPr>
        <w:t xml:space="preserve"> </w:t>
      </w:r>
    </w:p>
    <w:p w14:paraId="1FC7D209" w14:textId="6E5B86E3" w:rsidR="003F1DAA" w:rsidRPr="004C3A98" w:rsidRDefault="003F1DAA" w:rsidP="004C3A98">
      <w:pPr>
        <w:pStyle w:val="ListParagraph"/>
        <w:numPr>
          <w:ilvl w:val="0"/>
          <w:numId w:val="2"/>
        </w:numPr>
        <w:spacing w:after="120" w:line="240" w:lineRule="auto"/>
        <w:ind w:left="357" w:hanging="357"/>
        <w:contextualSpacing w:val="0"/>
        <w:jc w:val="both"/>
        <w:rPr>
          <w:rFonts w:ascii="Times New Roman" w:hAnsi="Times New Roman" w:cs="Times New Roman"/>
        </w:rPr>
      </w:pPr>
      <w:r w:rsidRPr="004C3A98">
        <w:rPr>
          <w:rFonts w:ascii="Times New Roman" w:hAnsi="Times New Roman" w:cs="Times New Roman"/>
        </w:rPr>
        <w:t>Mwangi, C. W., Richmond, S., &amp; Hunter, M. L. (2009). Relationship between malocclusion, orthodontic treatment, and tooth wear. American journal of orthodontics and dentofacial orthopedics,136(4),529-535.</w:t>
      </w:r>
      <w:hyperlink r:id="rId31" w:history="1">
        <w:r w:rsidR="00091C4D" w:rsidRPr="00CE73E9">
          <w:rPr>
            <w:rStyle w:val="Hyperlink"/>
            <w:rFonts w:ascii="Times New Roman" w:hAnsi="Times New Roman" w:cs="Times New Roman"/>
          </w:rPr>
          <w:t>https://www.sciencedirect.com/science/article/pii/S0889540609006763</w:t>
        </w:r>
      </w:hyperlink>
    </w:p>
    <w:p w14:paraId="2E07E2E7" w14:textId="0ABA3473" w:rsidR="003F1DAA" w:rsidRDefault="003F1DAA" w:rsidP="004C3A98">
      <w:pPr>
        <w:pStyle w:val="ListParagraph"/>
        <w:numPr>
          <w:ilvl w:val="0"/>
          <w:numId w:val="2"/>
        </w:numPr>
        <w:spacing w:after="120" w:line="240" w:lineRule="auto"/>
        <w:ind w:left="357" w:hanging="357"/>
        <w:contextualSpacing w:val="0"/>
        <w:jc w:val="both"/>
        <w:rPr>
          <w:rFonts w:ascii="Times New Roman" w:hAnsi="Times New Roman" w:cs="Times New Roman"/>
        </w:rPr>
      </w:pPr>
      <w:r w:rsidRPr="004C3A98">
        <w:rPr>
          <w:rFonts w:ascii="Times New Roman" w:hAnsi="Times New Roman" w:cs="Times New Roman"/>
        </w:rPr>
        <w:t xml:space="preserve">Shaw, W. C., Addy, M., &amp; Ray, E. C. (1980). Dental and social effects of malocclusion and effectiveness of orthodontic treatment: a review. Community dentistry and oral epidemiology, 8(1), 36-45. </w:t>
      </w:r>
      <w:hyperlink r:id="rId32" w:history="1">
        <w:r w:rsidRPr="004C3A98">
          <w:rPr>
            <w:rStyle w:val="Hyperlink"/>
            <w:rFonts w:ascii="Times New Roman" w:hAnsi="Times New Roman" w:cs="Times New Roman"/>
          </w:rPr>
          <w:t>https://onlinelibrary.wiley.com/doi/abs/10.1111/j.1600-0528.1980.tb01252.x</w:t>
        </w:r>
      </w:hyperlink>
      <w:r w:rsidRPr="004C3A98">
        <w:rPr>
          <w:rFonts w:ascii="Times New Roman" w:hAnsi="Times New Roman" w:cs="Times New Roman"/>
        </w:rPr>
        <w:t xml:space="preserve"> </w:t>
      </w:r>
    </w:p>
    <w:p w14:paraId="247ACF5C" w14:textId="2C8183F1" w:rsidR="00521A38" w:rsidRPr="004C3A98" w:rsidRDefault="00521A38" w:rsidP="004C3A98">
      <w:pPr>
        <w:pStyle w:val="ListParagraph"/>
        <w:numPr>
          <w:ilvl w:val="0"/>
          <w:numId w:val="2"/>
        </w:numPr>
        <w:spacing w:after="120" w:line="240" w:lineRule="auto"/>
        <w:ind w:left="357" w:hanging="357"/>
        <w:contextualSpacing w:val="0"/>
        <w:jc w:val="both"/>
        <w:rPr>
          <w:rFonts w:ascii="Times New Roman" w:hAnsi="Times New Roman" w:cs="Times New Roman"/>
        </w:rPr>
      </w:pPr>
      <w:r w:rsidRPr="00521A38">
        <w:rPr>
          <w:rFonts w:ascii="Times New Roman" w:hAnsi="Times New Roman" w:cs="Times New Roman"/>
        </w:rPr>
        <w:t xml:space="preserve">Mohammad </w:t>
      </w:r>
      <w:proofErr w:type="spellStart"/>
      <w:r w:rsidRPr="00521A38">
        <w:rPr>
          <w:rFonts w:ascii="Times New Roman" w:hAnsi="Times New Roman" w:cs="Times New Roman"/>
        </w:rPr>
        <w:t>Jaradat</w:t>
      </w:r>
      <w:proofErr w:type="spellEnd"/>
      <w:r w:rsidRPr="00521A38">
        <w:rPr>
          <w:rFonts w:ascii="Times New Roman" w:hAnsi="Times New Roman" w:cs="Times New Roman"/>
        </w:rPr>
        <w:t xml:space="preserve">. (2018). An Overview of Class III Malocclusion (Prevalence, </w:t>
      </w:r>
      <w:proofErr w:type="spellStart"/>
      <w:r w:rsidRPr="00521A38">
        <w:rPr>
          <w:rFonts w:ascii="Times New Roman" w:hAnsi="Times New Roman" w:cs="Times New Roman"/>
        </w:rPr>
        <w:t>Etiology</w:t>
      </w:r>
      <w:proofErr w:type="spellEnd"/>
      <w:r w:rsidRPr="00521A38">
        <w:rPr>
          <w:rFonts w:ascii="Times New Roman" w:hAnsi="Times New Roman" w:cs="Times New Roman"/>
        </w:rPr>
        <w:t xml:space="preserve"> and Management). Journal of Advances in Medicine and Medical Research, 25(7), 1–13. https://doi.org/10.9734/JAMMR/2018/39927</w:t>
      </w:r>
    </w:p>
    <w:p w14:paraId="4B9E936B" w14:textId="77777777" w:rsidR="003F1DAA" w:rsidRDefault="003F1DAA" w:rsidP="003F1DAA">
      <w:pPr>
        <w:pStyle w:val="ListParagraph"/>
        <w:spacing w:before="100" w:beforeAutospacing="1" w:after="120" w:line="240" w:lineRule="auto"/>
        <w:ind w:left="360"/>
        <w:jc w:val="both"/>
        <w:rPr>
          <w:rFonts w:ascii="Times New Roman" w:eastAsia="Times New Roman" w:hAnsi="Times New Roman" w:cs="Times New Roman"/>
          <w:lang w:val="en-US"/>
        </w:rPr>
      </w:pPr>
    </w:p>
    <w:p w14:paraId="11096774" w14:textId="77777777" w:rsidR="00C16612" w:rsidRDefault="00C16612"/>
    <w:sectPr w:rsidR="00C16612">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BFE3B" w14:textId="77777777" w:rsidR="006D4114" w:rsidRDefault="006D4114" w:rsidP="00294F39">
      <w:pPr>
        <w:spacing w:after="0" w:line="240" w:lineRule="auto"/>
      </w:pPr>
      <w:r>
        <w:separator/>
      </w:r>
    </w:p>
  </w:endnote>
  <w:endnote w:type="continuationSeparator" w:id="0">
    <w:p w14:paraId="7F9D7E42" w14:textId="77777777" w:rsidR="006D4114" w:rsidRDefault="006D4114" w:rsidP="0029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BB89" w14:textId="77777777" w:rsidR="00294F39" w:rsidRDefault="00294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8CF4" w14:textId="77777777" w:rsidR="00294F39" w:rsidRDefault="00294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76D7" w14:textId="77777777" w:rsidR="00294F39" w:rsidRDefault="0029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40620" w14:textId="77777777" w:rsidR="006D4114" w:rsidRDefault="006D4114" w:rsidP="00294F39">
      <w:pPr>
        <w:spacing w:after="0" w:line="240" w:lineRule="auto"/>
      </w:pPr>
      <w:r>
        <w:separator/>
      </w:r>
    </w:p>
  </w:footnote>
  <w:footnote w:type="continuationSeparator" w:id="0">
    <w:p w14:paraId="1AAD722C" w14:textId="77777777" w:rsidR="006D4114" w:rsidRDefault="006D4114" w:rsidP="0029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2854" w14:textId="5CEDA001" w:rsidR="00294F39" w:rsidRDefault="006D4114">
    <w:pPr>
      <w:pStyle w:val="Header"/>
    </w:pPr>
    <w:r>
      <w:rPr>
        <w:noProof/>
      </w:rPr>
      <w:pict w14:anchorId="2075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48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3099" w14:textId="7AE69A99" w:rsidR="00294F39" w:rsidRDefault="006D4114">
    <w:pPr>
      <w:pStyle w:val="Header"/>
    </w:pPr>
    <w:r>
      <w:rPr>
        <w:noProof/>
      </w:rPr>
      <w:pict w14:anchorId="5B30D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48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FE05" w14:textId="2FE087CC" w:rsidR="00294F39" w:rsidRDefault="006D4114">
    <w:pPr>
      <w:pStyle w:val="Header"/>
    </w:pPr>
    <w:r>
      <w:rPr>
        <w:noProof/>
      </w:rPr>
      <w:pict w14:anchorId="5965C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48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24D"/>
    <w:multiLevelType w:val="hybridMultilevel"/>
    <w:tmpl w:val="7A9E9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5D77E38"/>
    <w:multiLevelType w:val="hybridMultilevel"/>
    <w:tmpl w:val="5C34BC06"/>
    <w:lvl w:ilvl="0" w:tplc="BF2C7D00">
      <w:start w:val="1"/>
      <w:numFmt w:val="decimal"/>
      <w:lvlText w:val="%1."/>
      <w:lvlJc w:val="left"/>
      <w:pPr>
        <w:ind w:left="360"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NLM0sDAwNDcwtjRT0lEKTi0uzszPAykwrAUAlIqA7CwAAAA="/>
  </w:docVars>
  <w:rsids>
    <w:rsidRoot w:val="00C16612"/>
    <w:rsid w:val="0002554C"/>
    <w:rsid w:val="00091C4D"/>
    <w:rsid w:val="000E17A4"/>
    <w:rsid w:val="000E5333"/>
    <w:rsid w:val="00123609"/>
    <w:rsid w:val="00133F29"/>
    <w:rsid w:val="00155F55"/>
    <w:rsid w:val="00205646"/>
    <w:rsid w:val="00230D96"/>
    <w:rsid w:val="00232BD1"/>
    <w:rsid w:val="0024129F"/>
    <w:rsid w:val="00241952"/>
    <w:rsid w:val="00294F39"/>
    <w:rsid w:val="002A6D9A"/>
    <w:rsid w:val="002B5069"/>
    <w:rsid w:val="002B5AA8"/>
    <w:rsid w:val="002C3E25"/>
    <w:rsid w:val="002E095F"/>
    <w:rsid w:val="002F6F20"/>
    <w:rsid w:val="002F7E26"/>
    <w:rsid w:val="003F1DAA"/>
    <w:rsid w:val="003F297D"/>
    <w:rsid w:val="00424AE8"/>
    <w:rsid w:val="00425E69"/>
    <w:rsid w:val="0049691F"/>
    <w:rsid w:val="004C3A98"/>
    <w:rsid w:val="00521A38"/>
    <w:rsid w:val="00571355"/>
    <w:rsid w:val="005C01BA"/>
    <w:rsid w:val="005D7F3C"/>
    <w:rsid w:val="00600F5C"/>
    <w:rsid w:val="006B1363"/>
    <w:rsid w:val="006C6CAA"/>
    <w:rsid w:val="006D4114"/>
    <w:rsid w:val="006F6A8A"/>
    <w:rsid w:val="00703E99"/>
    <w:rsid w:val="007B2BF5"/>
    <w:rsid w:val="00874B06"/>
    <w:rsid w:val="0088177E"/>
    <w:rsid w:val="00935242"/>
    <w:rsid w:val="00A92CDF"/>
    <w:rsid w:val="00AB141F"/>
    <w:rsid w:val="00B13D25"/>
    <w:rsid w:val="00B93730"/>
    <w:rsid w:val="00C16612"/>
    <w:rsid w:val="00C965DA"/>
    <w:rsid w:val="00CF71BA"/>
    <w:rsid w:val="00D21771"/>
    <w:rsid w:val="00D36B73"/>
    <w:rsid w:val="00D53C69"/>
    <w:rsid w:val="00D717B3"/>
    <w:rsid w:val="00E72211"/>
    <w:rsid w:val="00EA266E"/>
    <w:rsid w:val="00EB21AA"/>
    <w:rsid w:val="00EC08E0"/>
    <w:rsid w:val="00EC5150"/>
    <w:rsid w:val="00EF12CB"/>
    <w:rsid w:val="00EF77C6"/>
    <w:rsid w:val="00F11BA8"/>
    <w:rsid w:val="00F159E6"/>
    <w:rsid w:val="00F370E8"/>
    <w:rsid w:val="00F672DF"/>
    <w:rsid w:val="00F93883"/>
    <w:rsid w:val="00FA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ECD62C"/>
  <w15:chartTrackingRefBased/>
  <w15:docId w15:val="{EF00BE2A-15DF-44EF-85B9-AE76689F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771"/>
    <w:pPr>
      <w:spacing w:line="256" w:lineRule="auto"/>
    </w:pPr>
    <w:rPr>
      <w:kern w:val="0"/>
      <w:sz w:val="22"/>
      <w:szCs w:val="22"/>
      <w14:ligatures w14:val="none"/>
    </w:rPr>
  </w:style>
  <w:style w:type="paragraph" w:styleId="Heading1">
    <w:name w:val="heading 1"/>
    <w:basedOn w:val="Normal"/>
    <w:next w:val="Normal"/>
    <w:link w:val="Heading1Char"/>
    <w:uiPriority w:val="9"/>
    <w:qFormat/>
    <w:rsid w:val="00C16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612"/>
    <w:rPr>
      <w:rFonts w:eastAsiaTheme="majorEastAsia" w:cstheme="majorBidi"/>
      <w:color w:val="272727" w:themeColor="text1" w:themeTint="D8"/>
    </w:rPr>
  </w:style>
  <w:style w:type="paragraph" w:styleId="Title">
    <w:name w:val="Title"/>
    <w:basedOn w:val="Normal"/>
    <w:next w:val="Normal"/>
    <w:link w:val="TitleChar"/>
    <w:uiPriority w:val="10"/>
    <w:qFormat/>
    <w:rsid w:val="00C16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612"/>
    <w:pPr>
      <w:spacing w:before="160"/>
      <w:jc w:val="center"/>
    </w:pPr>
    <w:rPr>
      <w:i/>
      <w:iCs/>
      <w:color w:val="404040" w:themeColor="text1" w:themeTint="BF"/>
    </w:rPr>
  </w:style>
  <w:style w:type="character" w:customStyle="1" w:styleId="QuoteChar">
    <w:name w:val="Quote Char"/>
    <w:basedOn w:val="DefaultParagraphFont"/>
    <w:link w:val="Quote"/>
    <w:uiPriority w:val="29"/>
    <w:rsid w:val="00C16612"/>
    <w:rPr>
      <w:i/>
      <w:iCs/>
      <w:color w:val="404040" w:themeColor="text1" w:themeTint="BF"/>
    </w:rPr>
  </w:style>
  <w:style w:type="paragraph" w:styleId="ListParagraph">
    <w:name w:val="List Paragraph"/>
    <w:basedOn w:val="Normal"/>
    <w:uiPriority w:val="34"/>
    <w:qFormat/>
    <w:rsid w:val="00C16612"/>
    <w:pPr>
      <w:ind w:left="720"/>
      <w:contextualSpacing/>
    </w:pPr>
  </w:style>
  <w:style w:type="character" w:styleId="IntenseEmphasis">
    <w:name w:val="Intense Emphasis"/>
    <w:basedOn w:val="DefaultParagraphFont"/>
    <w:uiPriority w:val="21"/>
    <w:qFormat/>
    <w:rsid w:val="00C16612"/>
    <w:rPr>
      <w:i/>
      <w:iCs/>
      <w:color w:val="0F4761" w:themeColor="accent1" w:themeShade="BF"/>
    </w:rPr>
  </w:style>
  <w:style w:type="paragraph" w:styleId="IntenseQuote">
    <w:name w:val="Intense Quote"/>
    <w:basedOn w:val="Normal"/>
    <w:next w:val="Normal"/>
    <w:link w:val="IntenseQuoteChar"/>
    <w:uiPriority w:val="30"/>
    <w:qFormat/>
    <w:rsid w:val="00C16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612"/>
    <w:rPr>
      <w:i/>
      <w:iCs/>
      <w:color w:val="0F4761" w:themeColor="accent1" w:themeShade="BF"/>
    </w:rPr>
  </w:style>
  <w:style w:type="character" w:styleId="IntenseReference">
    <w:name w:val="Intense Reference"/>
    <w:basedOn w:val="DefaultParagraphFont"/>
    <w:uiPriority w:val="32"/>
    <w:qFormat/>
    <w:rsid w:val="00C16612"/>
    <w:rPr>
      <w:b/>
      <w:bCs/>
      <w:smallCaps/>
      <w:color w:val="0F4761" w:themeColor="accent1" w:themeShade="BF"/>
      <w:spacing w:val="5"/>
    </w:rPr>
  </w:style>
  <w:style w:type="paragraph" w:styleId="NormalWeb">
    <w:name w:val="Normal (Web)"/>
    <w:basedOn w:val="Normal"/>
    <w:uiPriority w:val="99"/>
    <w:semiHidden/>
    <w:unhideWhenUsed/>
    <w:rsid w:val="00D21771"/>
    <w:pPr>
      <w:spacing w:before="100" w:beforeAutospacing="1" w:after="100" w:afterAutospacing="1" w:line="240" w:lineRule="auto"/>
    </w:pPr>
    <w:rPr>
      <w:rFonts w:ascii="Times New Roman" w:hAnsi="Times New Roman" w:cs="Times New Roman"/>
      <w:sz w:val="24"/>
      <w:szCs w:val="24"/>
      <w:lang w:val="en-US"/>
    </w:rPr>
  </w:style>
  <w:style w:type="paragraph" w:styleId="CommentText">
    <w:name w:val="annotation text"/>
    <w:basedOn w:val="Normal"/>
    <w:link w:val="CommentTextChar"/>
    <w:uiPriority w:val="99"/>
    <w:unhideWhenUsed/>
    <w:rsid w:val="00D21771"/>
    <w:pPr>
      <w:spacing w:line="240" w:lineRule="auto"/>
    </w:pPr>
    <w:rPr>
      <w:sz w:val="24"/>
      <w:szCs w:val="24"/>
    </w:rPr>
  </w:style>
  <w:style w:type="character" w:customStyle="1" w:styleId="CommentTextChar">
    <w:name w:val="Comment Text Char"/>
    <w:basedOn w:val="DefaultParagraphFont"/>
    <w:link w:val="CommentText"/>
    <w:uiPriority w:val="99"/>
    <w:rsid w:val="00D21771"/>
    <w:rPr>
      <w:kern w:val="0"/>
      <w14:ligatures w14:val="none"/>
    </w:rPr>
  </w:style>
  <w:style w:type="character" w:styleId="CommentReference">
    <w:name w:val="annotation reference"/>
    <w:basedOn w:val="DefaultParagraphFont"/>
    <w:uiPriority w:val="99"/>
    <w:semiHidden/>
    <w:unhideWhenUsed/>
    <w:rsid w:val="00D21771"/>
    <w:rPr>
      <w:sz w:val="18"/>
      <w:szCs w:val="18"/>
    </w:rPr>
  </w:style>
  <w:style w:type="table" w:styleId="TableGrid">
    <w:name w:val="Table Grid"/>
    <w:basedOn w:val="TableNormal"/>
    <w:uiPriority w:val="39"/>
    <w:rsid w:val="00D2177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B06"/>
    <w:rPr>
      <w:color w:val="467886" w:themeColor="hyperlink"/>
      <w:u w:val="single"/>
    </w:rPr>
  </w:style>
  <w:style w:type="character" w:styleId="UnresolvedMention">
    <w:name w:val="Unresolved Mention"/>
    <w:basedOn w:val="DefaultParagraphFont"/>
    <w:uiPriority w:val="99"/>
    <w:semiHidden/>
    <w:unhideWhenUsed/>
    <w:rsid w:val="00874B06"/>
    <w:rPr>
      <w:color w:val="605E5C"/>
      <w:shd w:val="clear" w:color="auto" w:fill="E1DFDD"/>
    </w:rPr>
  </w:style>
  <w:style w:type="paragraph" w:styleId="Header">
    <w:name w:val="header"/>
    <w:basedOn w:val="Normal"/>
    <w:link w:val="HeaderChar"/>
    <w:uiPriority w:val="99"/>
    <w:unhideWhenUsed/>
    <w:rsid w:val="0029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39"/>
    <w:rPr>
      <w:kern w:val="0"/>
      <w:sz w:val="22"/>
      <w:szCs w:val="22"/>
      <w14:ligatures w14:val="none"/>
    </w:rPr>
  </w:style>
  <w:style w:type="paragraph" w:styleId="Footer">
    <w:name w:val="footer"/>
    <w:basedOn w:val="Normal"/>
    <w:link w:val="FooterChar"/>
    <w:uiPriority w:val="99"/>
    <w:unhideWhenUsed/>
    <w:rsid w:val="0029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3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43/0003-3219(1978)048%3c0175:ETRFIP%3e2.0.CO;2" TargetMode="External"/><Relationship Id="rId18" Type="http://schemas.openxmlformats.org/officeDocument/2006/relationships/hyperlink" Target="https://doi.org/10.1093/ejo/26.3.261" TargetMode="External"/><Relationship Id="rId26" Type="http://schemas.openxmlformats.org/officeDocument/2006/relationships/hyperlink" Target="https://doi.org/10.21767/2469-2980.100044" TargetMode="External"/><Relationship Id="rId39" Type="http://schemas.openxmlformats.org/officeDocument/2006/relationships/fontTable" Target="fontTable.xml"/><Relationship Id="rId21" Type="http://schemas.openxmlformats.org/officeDocument/2006/relationships/hyperlink" Target="https://doi.org/10.1179/bjo.1.3.7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ajodo.2009.05.034" TargetMode="External"/><Relationship Id="rId25" Type="http://schemas.openxmlformats.org/officeDocument/2006/relationships/hyperlink" Target="https://doi.org/10.3126/ojn.v4i2.1389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ajodo.2006.11.021" TargetMode="External"/><Relationship Id="rId20" Type="http://schemas.openxmlformats.org/officeDocument/2006/relationships/hyperlink" Target="https://www.nhs.uk/nhs-dental-statistics-for-england-2011-12" TargetMode="External"/><Relationship Id="rId29" Type="http://schemas.openxmlformats.org/officeDocument/2006/relationships/hyperlink" Target="https://doi.org/10.1043/0003-3219(2004)074%3c0635:MACIAO%3e2.0.C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43/0003-3219(1993)063%3c0283:ABSODD%3e2.0.CO;2" TargetMode="External"/><Relationship Id="rId32" Type="http://schemas.openxmlformats.org/officeDocument/2006/relationships/hyperlink" Target="https://onlinelibrary.wiley.com/doi/abs/10.1111/j.1600-0528.1980.tb01252.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319/011910-33.1" TargetMode="External"/><Relationship Id="rId23" Type="http://schemas.openxmlformats.org/officeDocument/2006/relationships/hyperlink" Target="https://doi.org/10.1590/2177-6709.23.6.40.e1-10.onl" TargetMode="External"/><Relationship Id="rId28" Type="http://schemas.openxmlformats.org/officeDocument/2006/relationships/hyperlink" Target="https://pubmed.ncbi.nlm.nih.gov/19024184/" TargetMode="External"/><Relationship Id="rId36"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4314/eamj.v83i7.9449" TargetMode="External"/><Relationship Id="rId31" Type="http://schemas.openxmlformats.org/officeDocument/2006/relationships/hyperlink" Target="https://www.sciencedirect.com/science/article/pii/S088954060900676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med.ncbi.nlm.nih.gov/9743642/" TargetMode="External"/><Relationship Id="rId22" Type="http://schemas.openxmlformats.org/officeDocument/2006/relationships/hyperlink" Target="https://doi.org/10.1179/bjo.19.2.127" TargetMode="External"/><Relationship Id="rId27" Type="http://schemas.openxmlformats.org/officeDocument/2006/relationships/hyperlink" Target="https://pubmed.ncbi.nlm.nih.gov/12751558/" TargetMode="External"/><Relationship Id="rId30" Type="http://schemas.openxmlformats.org/officeDocument/2006/relationships/hyperlink" Target="https://doi.org/10.1186/s12903-018-0476-8"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Sheet1!$D$7</c:f>
              <c:strCache>
                <c:ptCount val="1"/>
                <c:pt idx="0">
                  <c:v>%</c:v>
                </c:pt>
              </c:strCache>
            </c:strRef>
          </c:tx>
          <c:spPr>
            <a:solidFill>
              <a:schemeClr val="accent1"/>
            </a:solidFill>
            <a:ln>
              <a:noFill/>
            </a:ln>
            <a:effectLst/>
            <a:sp3d/>
          </c:spPr>
          <c:invertIfNegative val="0"/>
          <c:dPt>
            <c:idx val="0"/>
            <c:invertIfNegative val="0"/>
            <c:bubble3D val="0"/>
            <c:spPr>
              <a:solidFill>
                <a:srgbClr val="9999FF"/>
              </a:solidFill>
              <a:ln>
                <a:noFill/>
              </a:ln>
              <a:effectLst/>
              <a:sp3d/>
            </c:spPr>
            <c:extLst>
              <c:ext xmlns:c16="http://schemas.microsoft.com/office/drawing/2014/chart" uri="{C3380CC4-5D6E-409C-BE32-E72D297353CC}">
                <c16:uniqueId val="{00000001-1C7A-4C0C-982E-E1DA1C2AE306}"/>
              </c:ext>
            </c:extLst>
          </c:dPt>
          <c:dPt>
            <c:idx val="1"/>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3-1C7A-4C0C-982E-E1DA1C2AE306}"/>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5-1C7A-4C0C-982E-E1DA1C2AE306}"/>
              </c:ext>
            </c:extLst>
          </c:dPt>
          <c:dPt>
            <c:idx val="3"/>
            <c:invertIfNegative val="0"/>
            <c:bubble3D val="0"/>
            <c:spPr>
              <a:solidFill>
                <a:schemeClr val="bg1">
                  <a:lumMod val="75000"/>
                </a:schemeClr>
              </a:solidFill>
              <a:ln>
                <a:noFill/>
              </a:ln>
              <a:effectLst/>
              <a:sp3d/>
            </c:spPr>
            <c:extLst>
              <c:ext xmlns:c16="http://schemas.microsoft.com/office/drawing/2014/chart" uri="{C3380CC4-5D6E-409C-BE32-E72D297353CC}">
                <c16:uniqueId val="{00000007-1C7A-4C0C-982E-E1DA1C2AE306}"/>
              </c:ext>
            </c:extLst>
          </c:dPt>
          <c:dLbls>
            <c:dLbl>
              <c:idx val="0"/>
              <c:layout>
                <c:manualLayout>
                  <c:x val="1.9955711408575882E-2"/>
                  <c:y val="-4.2668939138316188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fld id="{94281810-88D3-4335-8C46-7FD7705F07A1}" type="VALUE">
                      <a:rPr lang="en-US" sz="1000" b="1" baseline="0"/>
                      <a:pPr>
                        <a:defRPr sz="1000" b="1"/>
                      </a:pPr>
                      <a:t>[VALUE]</a:t>
                    </a:fld>
                    <a:r>
                      <a:rPr lang="en-US" sz="1000" b="1" baseline="0"/>
                      <a:t>%</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8.3953868834387213E-2"/>
                      <c:h val="8.1589777818279446E-2"/>
                    </c:manualLayout>
                  </c15:layout>
                  <c15:dlblFieldTable/>
                  <c15:showDataLabelsRange val="0"/>
                </c:ext>
                <c:ext xmlns:c16="http://schemas.microsoft.com/office/drawing/2014/chart" uri="{C3380CC4-5D6E-409C-BE32-E72D297353CC}">
                  <c16:uniqueId val="{00000001-1C7A-4C0C-982E-E1DA1C2AE306}"/>
                </c:ext>
              </c:extLst>
            </c:dLbl>
            <c:dLbl>
              <c:idx val="1"/>
              <c:layout>
                <c:manualLayout>
                  <c:x val="9.8509150015954686E-3"/>
                  <c:y val="-5.4036880047486895E-4"/>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r>
                      <a:rPr lang="en-US" sz="1050" b="1" baseline="0"/>
                      <a:t> </a:t>
                    </a:r>
                    <a:fld id="{FE106B36-F512-46A3-B3E8-4D65B3381101}" type="VALUE">
                      <a:rPr lang="en-US" sz="1050" b="1" baseline="0"/>
                      <a:pPr>
                        <a:defRPr sz="1050" b="1"/>
                      </a:pPr>
                      <a:t>[VALUE]</a:t>
                    </a:fld>
                    <a:r>
                      <a:rPr lang="en-US" sz="1050" b="1" baseline="0"/>
                      <a:t>%</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9.7816250695580545E-2"/>
                      <c:h val="0.15894822656082597"/>
                    </c:manualLayout>
                  </c15:layout>
                  <c15:dlblFieldTable/>
                  <c15:showDataLabelsRange val="0"/>
                </c:ext>
                <c:ext xmlns:c16="http://schemas.microsoft.com/office/drawing/2014/chart" uri="{C3380CC4-5D6E-409C-BE32-E72D297353CC}">
                  <c16:uniqueId val="{00000003-1C7A-4C0C-982E-E1DA1C2AE306}"/>
                </c:ext>
              </c:extLst>
            </c:dLbl>
            <c:dLbl>
              <c:idx val="2"/>
              <c:layout>
                <c:manualLayout>
                  <c:x val="1.9627799184676303E-2"/>
                  <c:y val="-2.6804461942257218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r>
                      <a:rPr lang="en-US" sz="1000" b="1"/>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7A-4C0C-982E-E1DA1C2AE306}"/>
                </c:ext>
              </c:extLst>
            </c:dLbl>
            <c:dLbl>
              <c:idx val="3"/>
              <c:layout>
                <c:manualLayout>
                  <c:x val="2.8829857039146704E-2"/>
                  <c:y val="-1.8215984720659984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ADE93A6E-229D-4E6A-810C-CA23578A189E}" type="VALUE">
                      <a:rPr lang="en-US" sz="1000" b="1" baseline="0"/>
                      <a:pPr>
                        <a:defRPr sz="1000" b="1"/>
                      </a:pPr>
                      <a:t>[VALUE]</a:t>
                    </a:fld>
                    <a:r>
                      <a:rPr lang="en-US" sz="1000" b="1" baseline="0"/>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C7A-4C0C-982E-E1DA1C2AE3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Sheet1!$C$8:$C$11</c:f>
              <c:strCache>
                <c:ptCount val="4"/>
                <c:pt idx="0">
                  <c:v>Class I</c:v>
                </c:pt>
                <c:pt idx="1">
                  <c:v>Class II division 1</c:v>
                </c:pt>
                <c:pt idx="2">
                  <c:v>Class II division 2</c:v>
                </c:pt>
                <c:pt idx="3">
                  <c:v>Class III</c:v>
                </c:pt>
              </c:strCache>
            </c:strRef>
          </c:cat>
          <c:val>
            <c:numRef>
              <c:f>Sheet1!$D$8:$D$11</c:f>
              <c:numCache>
                <c:formatCode>General</c:formatCode>
                <c:ptCount val="4"/>
                <c:pt idx="0">
                  <c:v>39.299999999999997</c:v>
                </c:pt>
                <c:pt idx="1">
                  <c:v>42</c:v>
                </c:pt>
                <c:pt idx="2">
                  <c:v>3</c:v>
                </c:pt>
                <c:pt idx="3">
                  <c:v>15.7</c:v>
                </c:pt>
              </c:numCache>
            </c:numRef>
          </c:val>
          <c:extLst>
            <c:ext xmlns:c16="http://schemas.microsoft.com/office/drawing/2014/chart" uri="{C3380CC4-5D6E-409C-BE32-E72D297353CC}">
              <c16:uniqueId val="{00000008-1C7A-4C0C-982E-E1DA1C2AE306}"/>
            </c:ext>
          </c:extLst>
        </c:ser>
        <c:dLbls>
          <c:showLegendKey val="0"/>
          <c:showVal val="0"/>
          <c:showCatName val="0"/>
          <c:showSerName val="0"/>
          <c:showPercent val="0"/>
          <c:showBubbleSize val="0"/>
        </c:dLbls>
        <c:gapWidth val="150"/>
        <c:shape val="box"/>
        <c:axId val="934718991"/>
        <c:axId val="934715247"/>
        <c:axId val="0"/>
      </c:bar3DChart>
      <c:catAx>
        <c:axId val="9347189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34715247"/>
        <c:crosses val="autoZero"/>
        <c:auto val="1"/>
        <c:lblAlgn val="ctr"/>
        <c:lblOffset val="100"/>
        <c:noMultiLvlLbl val="0"/>
      </c:catAx>
      <c:valAx>
        <c:axId val="934715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4718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Sheet1!$H$18</c:f>
              <c:strCache>
                <c:ptCount val="1"/>
                <c:pt idx="0">
                  <c:v>%</c:v>
                </c:pt>
              </c:strCache>
            </c:strRef>
          </c:tx>
          <c:spPr>
            <a:solidFill>
              <a:schemeClr val="accent5"/>
            </a:solidFill>
            <a:ln>
              <a:noFill/>
            </a:ln>
            <a:effectLst/>
            <a:sp3d/>
          </c:spPr>
          <c:invertIfNegative val="0"/>
          <c:dPt>
            <c:idx val="2"/>
            <c:invertIfNegative val="0"/>
            <c:bubble3D val="0"/>
            <c:spPr>
              <a:solidFill>
                <a:schemeClr val="accent6"/>
              </a:solidFill>
              <a:ln>
                <a:noFill/>
              </a:ln>
              <a:effectLst/>
              <a:sp3d/>
            </c:spPr>
            <c:extLst>
              <c:ext xmlns:c16="http://schemas.microsoft.com/office/drawing/2014/chart" uri="{C3380CC4-5D6E-409C-BE32-E72D297353CC}">
                <c16:uniqueId val="{00000001-C644-4877-B0A2-CB0A2926F79D}"/>
              </c:ext>
            </c:extLst>
          </c:dPt>
          <c:dLbls>
            <c:dLbl>
              <c:idx val="0"/>
              <c:layout>
                <c:manualLayout>
                  <c:x val="7.9621524429231011E-3"/>
                  <c:y val="-2.2890060562217818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fld id="{25C1B437-AC75-434C-92DD-E1C534B589F7}" type="VALUE">
                      <a:rPr lang="en-US" sz="1000" b="1">
                        <a:solidFill>
                          <a:sysClr val="windowText" lastClr="000000"/>
                        </a:solidFill>
                      </a:rPr>
                      <a:pPr>
                        <a:defRPr sz="1000" b="1">
                          <a:solidFill>
                            <a:sysClr val="windowText" lastClr="000000"/>
                          </a:solidFill>
                        </a:defRPr>
                      </a:pPr>
                      <a:t>[VALUE]</a:t>
                    </a:fld>
                    <a:r>
                      <a:rPr lang="en-US" sz="1000" b="1">
                        <a:solidFill>
                          <a:sysClr val="windowText" lastClr="000000"/>
                        </a:solidFill>
                      </a:rPr>
                      <a:t>%</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9129654553611487E-2"/>
                      <c:h val="5.1449483514131526E-2"/>
                    </c:manualLayout>
                  </c15:layout>
                  <c15:dlblFieldTable/>
                  <c15:showDataLabelsRange val="0"/>
                </c:ext>
                <c:ext xmlns:c16="http://schemas.microsoft.com/office/drawing/2014/chart" uri="{C3380CC4-5D6E-409C-BE32-E72D297353CC}">
                  <c16:uniqueId val="{00000002-C644-4877-B0A2-CB0A2926F79D}"/>
                </c:ext>
              </c:extLst>
            </c:dLbl>
            <c:dLbl>
              <c:idx val="1"/>
              <c:layout>
                <c:manualLayout>
                  <c:x val="1.5660954561029804E-2"/>
                  <c:y val="-1.351659664450071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r>
                      <a:rPr lang="en-US" sz="1000" b="1">
                        <a:solidFill>
                          <a:sysClr val="windowText" lastClr="000000"/>
                        </a:solidFill>
                      </a:rPr>
                      <a:t>21.7%</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805293853746074"/>
                      <c:h val="0.12126123368854512"/>
                    </c:manualLayout>
                  </c15:layout>
                </c:ext>
                <c:ext xmlns:c16="http://schemas.microsoft.com/office/drawing/2014/chart" uri="{C3380CC4-5D6E-409C-BE32-E72D297353CC}">
                  <c16:uniqueId val="{00000003-C644-4877-B0A2-CB0A2926F79D}"/>
                </c:ext>
              </c:extLst>
            </c:dLbl>
            <c:dLbl>
              <c:idx val="2"/>
              <c:layout>
                <c:manualLayout>
                  <c:x val="1.2073667440291281E-2"/>
                  <c:y val="-9.0131571536390485E-3"/>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3C984DD6-CCBF-4A07-8592-0A8D47F7E882}" type="VALUE">
                      <a:rPr lang="en-US" sz="1000" b="1">
                        <a:solidFill>
                          <a:sysClr val="windowText" lastClr="000000"/>
                        </a:solidFill>
                      </a:rPr>
                      <a:pPr>
                        <a:defRPr sz="1000" b="1">
                          <a:solidFill>
                            <a:sysClr val="windowText" lastClr="000000"/>
                          </a:solidFill>
                        </a:defRPr>
                      </a:pPr>
                      <a:t>[VALUE]</a:t>
                    </a:fld>
                    <a:r>
                      <a:rPr lang="en-US" sz="1000" b="1">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44-4877-B0A2-CB0A2926F79D}"/>
                </c:ext>
              </c:extLst>
            </c:dLbl>
            <c:dLbl>
              <c:idx val="3"/>
              <c:layout>
                <c:manualLayout>
                  <c:x val="1.3408611608609407E-2"/>
                  <c:y val="-3.4818174229988036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r>
                      <a:rPr lang="en-US" sz="1000" b="1">
                        <a:solidFill>
                          <a:sysClr val="windowText" lastClr="000000"/>
                        </a:solidFill>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5670704351727237E-2"/>
                      <c:h val="5.438139974992396E-2"/>
                    </c:manualLayout>
                  </c15:layout>
                </c:ext>
                <c:ext xmlns:c16="http://schemas.microsoft.com/office/drawing/2014/chart" uri="{C3380CC4-5D6E-409C-BE32-E72D297353CC}">
                  <c16:uniqueId val="{00000004-C644-4877-B0A2-CB0A2926F79D}"/>
                </c:ext>
              </c:extLst>
            </c:dLbl>
            <c:dLbl>
              <c:idx val="4"/>
              <c:layout>
                <c:manualLayout>
                  <c:x val="1.3431573072208504E-2"/>
                  <c:y val="-1.2704876482714339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r>
                      <a:rPr lang="en-US">
                        <a:solidFill>
                          <a:sysClr val="windowText" lastClr="000000"/>
                        </a:solidFill>
                      </a:rPr>
                      <a:t>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44-4877-B0A2-CB0A2926F79D}"/>
                </c:ext>
              </c:extLst>
            </c:dLbl>
            <c:dLbl>
              <c:idx val="5"/>
              <c:layout>
                <c:manualLayout>
                  <c:x val="1.0830215873083159E-2"/>
                  <c:y val="-1.0409696641997004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672E8365-40BB-4B10-967F-AED21E763593}" type="VALUE">
                      <a:rPr lang="en-US" sz="1000" b="1">
                        <a:solidFill>
                          <a:sysClr val="windowText" lastClr="000000"/>
                        </a:solidFill>
                      </a:rPr>
                      <a:pPr>
                        <a:defRPr sz="1000" b="1">
                          <a:solidFill>
                            <a:sysClr val="windowText" lastClr="000000"/>
                          </a:solidFill>
                        </a:defRPr>
                      </a:pPr>
                      <a:t>[VALUE]</a:t>
                    </a:fld>
                    <a:r>
                      <a:rPr lang="en-US" sz="1000" b="1">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644-4877-B0A2-CB0A2926F7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Sheet1!$G$19:$G$24</c:f>
              <c:strCache>
                <c:ptCount val="6"/>
                <c:pt idx="0">
                  <c:v>Complete deep bite</c:v>
                </c:pt>
                <c:pt idx="1">
                  <c:v>Deep bite 2/3</c:v>
                </c:pt>
                <c:pt idx="2">
                  <c:v>normal</c:v>
                </c:pt>
                <c:pt idx="3">
                  <c:v>Edge to edge</c:v>
                </c:pt>
                <c:pt idx="4">
                  <c:v>Open bite 1-3 mm</c:v>
                </c:pt>
                <c:pt idx="5">
                  <c:v>Open bite 4-8 mm</c:v>
                </c:pt>
              </c:strCache>
            </c:strRef>
          </c:cat>
          <c:val>
            <c:numRef>
              <c:f>Sheet1!$H$19:$H$24</c:f>
              <c:numCache>
                <c:formatCode>General</c:formatCode>
                <c:ptCount val="6"/>
                <c:pt idx="0">
                  <c:v>7</c:v>
                </c:pt>
                <c:pt idx="1">
                  <c:v>21.7</c:v>
                </c:pt>
                <c:pt idx="2">
                  <c:v>56</c:v>
                </c:pt>
                <c:pt idx="3">
                  <c:v>3</c:v>
                </c:pt>
                <c:pt idx="4">
                  <c:v>9</c:v>
                </c:pt>
                <c:pt idx="5">
                  <c:v>3.3</c:v>
                </c:pt>
              </c:numCache>
            </c:numRef>
          </c:val>
          <c:extLst>
            <c:ext xmlns:c16="http://schemas.microsoft.com/office/drawing/2014/chart" uri="{C3380CC4-5D6E-409C-BE32-E72D297353CC}">
              <c16:uniqueId val="{00000007-C644-4877-B0A2-CB0A2926F79D}"/>
            </c:ext>
          </c:extLst>
        </c:ser>
        <c:dLbls>
          <c:showLegendKey val="0"/>
          <c:showVal val="0"/>
          <c:showCatName val="0"/>
          <c:showSerName val="0"/>
          <c:showPercent val="0"/>
          <c:showBubbleSize val="0"/>
        </c:dLbls>
        <c:gapWidth val="150"/>
        <c:shape val="box"/>
        <c:axId val="928139247"/>
        <c:axId val="928154639"/>
        <c:axId val="0"/>
      </c:bar3DChart>
      <c:catAx>
        <c:axId val="9281392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28154639"/>
        <c:crosses val="autoZero"/>
        <c:auto val="0"/>
        <c:lblAlgn val="ctr"/>
        <c:lblOffset val="100"/>
        <c:noMultiLvlLbl val="0"/>
      </c:catAx>
      <c:valAx>
        <c:axId val="92815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28139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807DD-B6A2-4173-BC95-A654916C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11</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Mageet</dc:creator>
  <cp:keywords/>
  <dc:description/>
  <cp:lastModifiedBy>Editor-1183</cp:lastModifiedBy>
  <cp:revision>42</cp:revision>
  <dcterms:created xsi:type="dcterms:W3CDTF">2025-10-15T10:14:00Z</dcterms:created>
  <dcterms:modified xsi:type="dcterms:W3CDTF">2025-12-27T11:29:00Z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6fb888db-72da-42c9-b923-66ca1d085c65</vt:lpwstr>
  </property>
</Properties>
</file>