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7DDAA9" w14:textId="77777777" w:rsidR="00FB2344" w:rsidRDefault="00243FCF">
      <w:pPr>
        <w:spacing w:after="120" w:line="240" w:lineRule="auto"/>
        <w:jc w:val="center"/>
        <w:rPr>
          <w:rFonts w:ascii="Times New Roman" w:hAnsi="Times New Roman"/>
          <w:sz w:val="24"/>
          <w:szCs w:val="24"/>
        </w:rPr>
      </w:pP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shd w:val="clear" w:color="auto" w:fill="FFFF00"/>
        </w:rPr>
        <w:t xml:space="preserve">Hemoglobin Genotype Distribution </w:t>
      </w:r>
      <w:r>
        <w:rPr>
          <w:rFonts w:ascii="Times New Roman" w:hAnsi="Times New Roman"/>
          <w:b/>
          <w:bCs/>
          <w:sz w:val="24"/>
          <w:szCs w:val="24"/>
          <w:shd w:val="clear" w:color="auto" w:fill="FFFF00"/>
        </w:rPr>
        <w:t xml:space="preserve">Among Filipinos: A Historical Systematic Review </w:t>
      </w:r>
      <w:r>
        <w:rPr>
          <w:rFonts w:ascii="Times New Roman" w:eastAsia="Times New Roman" w:hAnsi="Times New Roman" w:cs="Times New Roman"/>
          <w:b/>
          <w:bCs/>
          <w:sz w:val="24"/>
          <w:szCs w:val="24"/>
          <w:shd w:val="clear" w:color="auto" w:fill="FFFF00"/>
        </w:rPr>
        <w:t xml:space="preserve">from 1958–2025 </w:t>
      </w:r>
    </w:p>
    <w:p w14:paraId="243A2F35" w14:textId="77777777" w:rsidR="00FB2344" w:rsidRDefault="00243FCF">
      <w:pPr>
        <w:spacing w:after="120" w:line="240" w:lineRule="auto"/>
        <w:jc w:val="both"/>
        <w:rPr>
          <w:rFonts w:ascii="Times New Roman" w:hAnsi="Times New Roman"/>
          <w:sz w:val="24"/>
          <w:szCs w:val="24"/>
        </w:rPr>
      </w:pPr>
      <w:r>
        <w:rPr>
          <w:rFonts w:ascii="Times New Roman" w:eastAsia="Times New Roman" w:hAnsi="Times New Roman" w:cs="Times New Roman"/>
          <w:b/>
          <w:bCs/>
          <w:sz w:val="24"/>
          <w:szCs w:val="24"/>
        </w:rPr>
        <w:br/>
      </w:r>
    </w:p>
    <w:p w14:paraId="6731C55D" w14:textId="77777777" w:rsidR="00FB2344" w:rsidRDefault="00FB2344">
      <w:pPr>
        <w:spacing w:after="120" w:line="240" w:lineRule="auto"/>
        <w:jc w:val="both"/>
        <w:rPr>
          <w:rFonts w:ascii="Times New Roman" w:eastAsia="Times New Roman" w:hAnsi="Times New Roman" w:cs="Times New Roman"/>
          <w:b/>
          <w:bCs/>
          <w:sz w:val="24"/>
          <w:szCs w:val="24"/>
        </w:rPr>
      </w:pPr>
    </w:p>
    <w:p w14:paraId="7B6D7B11" w14:textId="77777777" w:rsidR="00FB2344" w:rsidRDefault="00243FCF">
      <w:pPr>
        <w:pStyle w:val="BodyText"/>
        <w:spacing w:after="120" w:line="240" w:lineRule="auto"/>
        <w:jc w:val="both"/>
      </w:pPr>
      <w:r>
        <w:rPr>
          <w:rStyle w:val="Strong"/>
          <w:rFonts w:ascii="Times New Roman" w:eastAsia="Times New Roman" w:hAnsi="Times New Roman" w:cs="Times New Roman"/>
          <w:sz w:val="24"/>
          <w:szCs w:val="24"/>
        </w:rPr>
        <w:t>ABSTRACT</w:t>
      </w:r>
      <w:r>
        <w:rPr>
          <w:rFonts w:ascii="Times New Roman" w:eastAsia="Times New Roman" w:hAnsi="Times New Roman" w:cs="Times New Roman"/>
          <w:b/>
          <w:bCs/>
          <w:sz w:val="24"/>
          <w:szCs w:val="24"/>
        </w:rPr>
        <w:br/>
      </w:r>
      <w:r>
        <w:rPr>
          <w:rFonts w:ascii="Times New Roman" w:hAnsi="Times New Roman"/>
          <w:sz w:val="24"/>
          <w:szCs w:val="24"/>
        </w:rPr>
        <w:t xml:space="preserve">Hemoglobin genotype distribution is a critical population-health indicator for guiding screening, genetic counseling, and anemia control, yet </w:t>
      </w:r>
      <w:r>
        <w:rPr>
          <w:rFonts w:ascii="Times New Roman" w:hAnsi="Times New Roman"/>
          <w:sz w:val="24"/>
          <w:szCs w:val="24"/>
        </w:rPr>
        <w:t>Philippine evidence has accumulated in a fragmented and method-dependent manner. This historical systematic review synthesized evidence on hemoglobin genotype distribution among Filipinos from 1958–2025, prioritizing population-based Philippine studies and</w:t>
      </w:r>
      <w:r>
        <w:rPr>
          <w:rFonts w:ascii="Times New Roman" w:hAnsi="Times New Roman"/>
          <w:sz w:val="24"/>
          <w:szCs w:val="24"/>
        </w:rPr>
        <w:t xml:space="preserve"> incorporating historically important diaspora, referral, newborn screening, and molecular reports for contextual interpretation. Comprehensive searches of electronic databases, local journals, institutional repositories, and gray literature identified eli</w:t>
      </w:r>
      <w:r>
        <w:rPr>
          <w:rFonts w:ascii="Times New Roman" w:hAnsi="Times New Roman"/>
          <w:sz w:val="24"/>
          <w:szCs w:val="24"/>
        </w:rPr>
        <w:t>gible studies reporting genotype frequencies with defined denominators; studies were appraised for quality and synthesized narratively by diagnostic era and population frame. Across six decades, α-thalassemia and β-thalassemia consistently emerged as predo</w:t>
      </w:r>
      <w:r>
        <w:rPr>
          <w:rFonts w:ascii="Times New Roman" w:hAnsi="Times New Roman"/>
          <w:sz w:val="24"/>
          <w:szCs w:val="24"/>
        </w:rPr>
        <w:t>minant disorders, with hemoglobin E remaining clinically significant, particularly in coinheritance. Apparent variation in reported frequencies largely reflected diagnostic platforms, confirmation practices, and sampling frames rather than clear epidemiolo</w:t>
      </w:r>
      <w:r>
        <w:rPr>
          <w:rFonts w:ascii="Times New Roman" w:hAnsi="Times New Roman"/>
          <w:sz w:val="24"/>
          <w:szCs w:val="24"/>
        </w:rPr>
        <w:t>gic shifts. Molecular evidence converged on a limited mutation spectrum dominated by Southeast Asian (SEA) and Filipino (FIL) α-globin deletions and recurrent β-globin mutations, including the Filipino β⁰ deletion. Nationwide newborn screening marked a maj</w:t>
      </w:r>
      <w:r>
        <w:rPr>
          <w:rFonts w:ascii="Times New Roman" w:hAnsi="Times New Roman"/>
          <w:sz w:val="24"/>
          <w:szCs w:val="24"/>
        </w:rPr>
        <w:t xml:space="preserve">or inflection </w:t>
      </w:r>
      <w:proofErr w:type="gramStart"/>
      <w:r>
        <w:rPr>
          <w:rFonts w:ascii="Times New Roman" w:hAnsi="Times New Roman"/>
          <w:sz w:val="24"/>
          <w:szCs w:val="24"/>
        </w:rPr>
        <w:t>point</w:t>
      </w:r>
      <w:proofErr w:type="gramEnd"/>
      <w:r>
        <w:rPr>
          <w:rFonts w:ascii="Times New Roman" w:hAnsi="Times New Roman"/>
          <w:sz w:val="24"/>
          <w:szCs w:val="24"/>
        </w:rPr>
        <w:t xml:space="preserve"> toward population-level detection, though confirmatory and follow-up gaps persist.</w:t>
      </w:r>
    </w:p>
    <w:p w14:paraId="321725CD" w14:textId="77777777" w:rsidR="00FB2344" w:rsidRDefault="00243FCF">
      <w:pPr>
        <w:pStyle w:val="BodyText"/>
        <w:spacing w:after="120" w:line="240" w:lineRule="auto"/>
        <w:jc w:val="both"/>
      </w:pPr>
      <w:r>
        <w:rPr>
          <w:rStyle w:val="Strong"/>
          <w:rFonts w:ascii="Times New Roman" w:eastAsia="Times New Roman" w:hAnsi="Times New Roman" w:cs="Times New Roman"/>
          <w:sz w:val="24"/>
          <w:szCs w:val="24"/>
        </w:rPr>
        <w:t>Keywords:</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Hemoglobin genotype, Hemoglobinopathies, Thalassemia, Hemoglobin E, Newborn screening, Molecular genetics, Philippines</w:t>
      </w:r>
    </w:p>
    <w:p w14:paraId="3D11EF3B" w14:textId="77777777" w:rsidR="00FB2344" w:rsidRDefault="00FB2344">
      <w:pPr>
        <w:spacing w:after="120" w:line="240" w:lineRule="auto"/>
        <w:jc w:val="both"/>
        <w:rPr>
          <w:rFonts w:ascii="Times New Roman" w:eastAsia="Times New Roman" w:hAnsi="Times New Roman" w:cs="Times New Roman"/>
          <w:sz w:val="24"/>
          <w:szCs w:val="24"/>
        </w:rPr>
      </w:pPr>
    </w:p>
    <w:p w14:paraId="74138864" w14:textId="77777777" w:rsidR="00FB2344" w:rsidRDefault="00243FCF">
      <w:pPr>
        <w:spacing w:after="120" w:line="240" w:lineRule="auto"/>
        <w:jc w:val="both"/>
        <w:rPr>
          <w:rFonts w:ascii="Times New Roman" w:hAnsi="Times New Roman"/>
          <w:sz w:val="24"/>
          <w:szCs w:val="24"/>
        </w:rPr>
      </w:pPr>
      <w:r>
        <w:rPr>
          <w:rFonts w:ascii="Times New Roman" w:eastAsia="Times New Roman" w:hAnsi="Times New Roman" w:cs="Times New Roman"/>
          <w:b/>
          <w:bCs/>
          <w:sz w:val="24"/>
          <w:szCs w:val="24"/>
        </w:rPr>
        <w:t>INTRODUCTION</w:t>
      </w:r>
    </w:p>
    <w:p w14:paraId="2C645BFD"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Hemoglobin</w:t>
      </w:r>
      <w:r>
        <w:rPr>
          <w:rFonts w:ascii="Times New Roman" w:eastAsia="Times New Roman" w:hAnsi="Times New Roman" w:cs="Times New Roman"/>
          <w:sz w:val="24"/>
          <w:szCs w:val="24"/>
        </w:rPr>
        <w:t xml:space="preserve"> genotyping refers to the identification of inherited patterns of hemoglobin production resulting from genetic variation in the globin genes. Hemoglobin is a tetrameric oxygen-carrying protein composed of α- and β-like globin chains encoded by tightly regu</w:t>
      </w:r>
      <w:r>
        <w:rPr>
          <w:rFonts w:ascii="Times New Roman" w:eastAsia="Times New Roman" w:hAnsi="Times New Roman" w:cs="Times New Roman"/>
          <w:sz w:val="24"/>
          <w:szCs w:val="24"/>
        </w:rPr>
        <w:t>lated gene clusters. In this context, a genotype reflects the underlying globin gene constitution,</w:t>
      </w:r>
      <w:r>
        <w:rPr>
          <w:rFonts w:ascii="Times New Roman" w:eastAsia="Times New Roman" w:hAnsi="Times New Roman" w:cs="Times New Roman"/>
          <w:sz w:val="24"/>
          <w:szCs w:val="24"/>
        </w:rPr>
        <w:t xml:space="preserve"> such as point mutations, deletions, or rearrangements that affect hemoglobin structure or synthesis. Laboratory profiles detected through analytical techn</w:t>
      </w:r>
      <w:r>
        <w:rPr>
          <w:rFonts w:ascii="Times New Roman" w:eastAsia="Times New Roman" w:hAnsi="Times New Roman" w:cs="Times New Roman"/>
          <w:sz w:val="24"/>
          <w:szCs w:val="24"/>
        </w:rPr>
        <w:t>iques and reported as hemoglobin “types” or “variant patterns” serve as phenotypic proxies for these genotypes</w:t>
      </w:r>
      <w:r>
        <w:rPr>
          <w:rFonts w:ascii="Times New Roman" w:eastAsia="Times New Roman" w:hAnsi="Times New Roman" w:cs="Times New Roman"/>
          <w:sz w:val="24"/>
          <w:szCs w:val="24"/>
        </w:rPr>
        <w:t xml:space="preserve"> </w:t>
      </w:r>
      <w:r>
        <w:rPr>
          <w:rFonts w:ascii="Times New Roman" w:hAnsi="Times New Roman"/>
          <w:sz w:val="24"/>
          <w:szCs w:val="24"/>
          <w:shd w:val="clear" w:color="auto" w:fill="FFFF00"/>
        </w:rPr>
        <w:t>(Farid et al., 2023; Thein, 2017)</w:t>
      </w:r>
      <w:r>
        <w:rPr>
          <w:rFonts w:ascii="Times New Roman" w:eastAsia="Times New Roman" w:hAnsi="Times New Roman" w:cs="Times New Roman"/>
          <w:sz w:val="24"/>
          <w:szCs w:val="24"/>
          <w:shd w:val="clear" w:color="auto" w:fill="FFFF00"/>
        </w:rPr>
        <w:t>.</w:t>
      </w:r>
    </w:p>
    <w:p w14:paraId="676981DD"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 xml:space="preserve">Inherited hemoglobin disorders, collectively termed hemoglobinopathies, are broadly classified into structural variants (e.g.,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HbS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HbC</w:t>
      </w:r>
      <w:proofErr w:type="spellEnd"/>
      <w:r>
        <w:rPr>
          <w:rFonts w:ascii="Times New Roman" w:eastAsia="Times New Roman" w:hAnsi="Times New Roman" w:cs="Times New Roman"/>
          <w:sz w:val="24"/>
          <w:szCs w:val="24"/>
        </w:rPr>
        <w:t xml:space="preserve">, </w:t>
      </w:r>
      <w:proofErr w:type="spellStart"/>
      <w:r>
        <w:rPr>
          <w:rFonts w:ascii="Times New Roman" w:hAnsi="Times New Roman"/>
          <w:sz w:val="24"/>
          <w:szCs w:val="24"/>
        </w:rPr>
        <w:t>HbD</w:t>
      </w:r>
      <w:proofErr w:type="spellEnd"/>
      <w:r>
        <w:rPr>
          <w:rFonts w:ascii="Times New Roman" w:hAnsi="Times New Roman"/>
          <w:sz w:val="24"/>
          <w:szCs w:val="24"/>
        </w:rPr>
        <w:t>, and Hb Constant Spring</w:t>
      </w:r>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thalassemias</w:t>
      </w:r>
      <w:proofErr w:type="spellEnd"/>
      <w:r>
        <w:rPr>
          <w:rFonts w:ascii="Times New Roman" w:eastAsia="Times New Roman" w:hAnsi="Times New Roman" w:cs="Times New Roman"/>
          <w:sz w:val="24"/>
          <w:szCs w:val="24"/>
        </w:rPr>
        <w:t>, which result from reduced globin chain production, most commonly α-</w:t>
      </w:r>
      <w:r>
        <w:rPr>
          <w:rFonts w:ascii="Times New Roman" w:eastAsia="Times New Roman" w:hAnsi="Times New Roman" w:cs="Times New Roman"/>
          <w:sz w:val="24"/>
          <w:szCs w:val="24"/>
        </w:rPr>
        <w:t xml:space="preserve"> and β-thalassemia. These conditions are among the most prevalent monogenic disorders worldwide and remain major contributors to preventable anemia, childhood morbidity, pregnancy complications, and transfusion dependence when undiagnosed or misclassified</w:t>
      </w:r>
      <w:r>
        <w:rPr>
          <w:rFonts w:ascii="Times New Roman" w:eastAsia="Times New Roman" w:hAnsi="Times New Roman" w:cs="Times New Roman"/>
          <w:sz w:val="24"/>
          <w:szCs w:val="24"/>
        </w:rPr>
        <w:t xml:space="preserve"> </w:t>
      </w:r>
      <w:r>
        <w:rPr>
          <w:rFonts w:ascii="Times New Roman" w:hAnsi="Times New Roman"/>
          <w:sz w:val="24"/>
          <w:szCs w:val="24"/>
          <w:shd w:val="clear" w:color="auto" w:fill="FFFF00"/>
        </w:rPr>
        <w:t>(</w:t>
      </w:r>
      <w:proofErr w:type="spellStart"/>
      <w:r>
        <w:rPr>
          <w:rFonts w:ascii="Times New Roman" w:hAnsi="Times New Roman"/>
          <w:sz w:val="24"/>
          <w:szCs w:val="24"/>
          <w:shd w:val="clear" w:color="auto" w:fill="FFFF00"/>
        </w:rPr>
        <w:t>Kohne</w:t>
      </w:r>
      <w:proofErr w:type="spellEnd"/>
      <w:r>
        <w:rPr>
          <w:rFonts w:ascii="Times New Roman" w:hAnsi="Times New Roman"/>
          <w:sz w:val="24"/>
          <w:szCs w:val="24"/>
          <w:shd w:val="clear" w:color="auto" w:fill="FFFF00"/>
        </w:rPr>
        <w:t xml:space="preserve">, </w:t>
      </w:r>
      <w:proofErr w:type="gramStart"/>
      <w:r>
        <w:rPr>
          <w:rFonts w:ascii="Times New Roman" w:hAnsi="Times New Roman"/>
          <w:sz w:val="24"/>
          <w:szCs w:val="24"/>
          <w:shd w:val="clear" w:color="auto" w:fill="FFFF00"/>
        </w:rPr>
        <w:t>2011;Khandaker</w:t>
      </w:r>
      <w:proofErr w:type="gramEnd"/>
      <w:r>
        <w:rPr>
          <w:rFonts w:ascii="Times New Roman" w:hAnsi="Times New Roman"/>
          <w:sz w:val="24"/>
          <w:szCs w:val="24"/>
          <w:shd w:val="clear" w:color="auto" w:fill="FFFF00"/>
        </w:rPr>
        <w:t xml:space="preserve"> et al., 2025)</w:t>
      </w:r>
      <w:r>
        <w:rPr>
          <w:rFonts w:ascii="Times New Roman" w:hAnsi="Times New Roman"/>
          <w:sz w:val="24"/>
          <w:szCs w:val="24"/>
        </w:rPr>
        <w:t xml:space="preserve">. Hemoglobinopathies, including structural hemoglobin variants and </w:t>
      </w:r>
      <w:proofErr w:type="spellStart"/>
      <w:r>
        <w:rPr>
          <w:rFonts w:ascii="Times New Roman" w:hAnsi="Times New Roman"/>
          <w:sz w:val="24"/>
          <w:szCs w:val="24"/>
        </w:rPr>
        <w:t>thalassemias</w:t>
      </w:r>
      <w:proofErr w:type="spellEnd"/>
      <w:r>
        <w:rPr>
          <w:rFonts w:ascii="Times New Roman" w:hAnsi="Times New Roman"/>
          <w:sz w:val="24"/>
          <w:szCs w:val="24"/>
        </w:rPr>
        <w:t xml:space="preserve">, are highly prevalent in Southeast Asia, a region often described as part of the global ‘thalassemia belt’ </w:t>
      </w:r>
      <w:r>
        <w:rPr>
          <w:rFonts w:ascii="Times New Roman" w:hAnsi="Times New Roman"/>
          <w:sz w:val="24"/>
          <w:szCs w:val="24"/>
          <w:shd w:val="clear" w:color="auto" w:fill="FFFF00"/>
        </w:rPr>
        <w:t>(</w:t>
      </w:r>
      <w:proofErr w:type="spellStart"/>
      <w:r>
        <w:rPr>
          <w:rFonts w:ascii="Times New Roman" w:hAnsi="Times New Roman"/>
          <w:sz w:val="24"/>
          <w:szCs w:val="24"/>
          <w:shd w:val="clear" w:color="auto" w:fill="FFFF00"/>
        </w:rPr>
        <w:t>Fucharoen</w:t>
      </w:r>
      <w:proofErr w:type="spellEnd"/>
      <w:r>
        <w:rPr>
          <w:rFonts w:ascii="Times New Roman" w:hAnsi="Times New Roman"/>
          <w:sz w:val="24"/>
          <w:szCs w:val="24"/>
          <w:shd w:val="clear" w:color="auto" w:fill="FFFF00"/>
        </w:rPr>
        <w:t xml:space="preserve"> &amp; </w:t>
      </w:r>
      <w:proofErr w:type="spellStart"/>
      <w:r>
        <w:rPr>
          <w:rFonts w:ascii="Times New Roman" w:hAnsi="Times New Roman"/>
          <w:sz w:val="24"/>
          <w:szCs w:val="24"/>
          <w:shd w:val="clear" w:color="auto" w:fill="FFFF00"/>
        </w:rPr>
        <w:t>Winichagoon</w:t>
      </w:r>
      <w:proofErr w:type="spellEnd"/>
      <w:r>
        <w:rPr>
          <w:rFonts w:ascii="Times New Roman" w:hAnsi="Times New Roman"/>
          <w:sz w:val="24"/>
          <w:szCs w:val="24"/>
          <w:shd w:val="clear" w:color="auto" w:fill="FFFF00"/>
        </w:rPr>
        <w:t>, 2002</w:t>
      </w:r>
      <w:r>
        <w:rPr>
          <w:rFonts w:ascii="Times New Roman" w:hAnsi="Times New Roman"/>
          <w:sz w:val="24"/>
          <w:szCs w:val="24"/>
          <w:shd w:val="clear" w:color="auto" w:fill="FFFF00"/>
        </w:rPr>
        <w:t xml:space="preserve">) </w:t>
      </w:r>
    </w:p>
    <w:p w14:paraId="27200AD4"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lastRenderedPageBreak/>
        <w:t xml:space="preserve">Hemoglobin genotypes are identified using laboratory methods whose resolution has evolved over time. Classical electrophoresis enabled early variant detection, while high-performance liquid chromatography and capillary electrophoresis improved analytic </w:t>
      </w:r>
      <w:r>
        <w:rPr>
          <w:rFonts w:ascii="Times New Roman" w:eastAsia="Times New Roman" w:hAnsi="Times New Roman" w:cs="Times New Roman"/>
          <w:sz w:val="24"/>
          <w:szCs w:val="24"/>
        </w:rPr>
        <w:t xml:space="preserve">precision and throughput. </w:t>
      </w:r>
      <w:r>
        <w:rPr>
          <w:rFonts w:ascii="Times New Roman" w:eastAsia="Times New Roman" w:hAnsi="Times New Roman" w:cs="Times New Roman"/>
          <w:sz w:val="24"/>
          <w:szCs w:val="24"/>
        </w:rPr>
        <w:t>Molecular assays now provide definitive mutation characterization, particularly for silent carriers or population-specific variants. Because these methods differ in sensitivity, reported genotype frequencies are strongly influence</w:t>
      </w:r>
      <w:r>
        <w:rPr>
          <w:rFonts w:ascii="Times New Roman" w:eastAsia="Times New Roman" w:hAnsi="Times New Roman" w:cs="Times New Roman"/>
          <w:sz w:val="24"/>
          <w:szCs w:val="24"/>
        </w:rPr>
        <w:t xml:space="preserve">d by diagnostic platforms and confirmatory testing practices </w:t>
      </w:r>
      <w:r>
        <w:rPr>
          <w:rFonts w:ascii="Times New Roman" w:hAnsi="Times New Roman"/>
          <w:sz w:val="24"/>
          <w:szCs w:val="24"/>
          <w:shd w:val="clear" w:color="auto" w:fill="FFFF00"/>
        </w:rPr>
        <w:t>(</w:t>
      </w:r>
      <w:proofErr w:type="spellStart"/>
      <w:r>
        <w:rPr>
          <w:rFonts w:ascii="Times New Roman" w:hAnsi="Times New Roman"/>
          <w:sz w:val="24"/>
          <w:szCs w:val="24"/>
          <w:shd w:val="clear" w:color="auto" w:fill="FFFF00"/>
        </w:rPr>
        <w:t>Frömmel</w:t>
      </w:r>
      <w:proofErr w:type="spellEnd"/>
      <w:r>
        <w:rPr>
          <w:rFonts w:ascii="Times New Roman" w:hAnsi="Times New Roman"/>
          <w:sz w:val="24"/>
          <w:szCs w:val="24"/>
          <w:shd w:val="clear" w:color="auto" w:fill="FFFF00"/>
        </w:rPr>
        <w:t xml:space="preserve">, </w:t>
      </w:r>
      <w:proofErr w:type="gramStart"/>
      <w:r>
        <w:rPr>
          <w:rFonts w:ascii="Times New Roman" w:hAnsi="Times New Roman"/>
          <w:sz w:val="24"/>
          <w:szCs w:val="24"/>
          <w:shd w:val="clear" w:color="auto" w:fill="FFFF00"/>
        </w:rPr>
        <w:t>2018;American</w:t>
      </w:r>
      <w:proofErr w:type="gramEnd"/>
      <w:r>
        <w:rPr>
          <w:rFonts w:ascii="Times New Roman" w:hAnsi="Times New Roman"/>
          <w:sz w:val="24"/>
          <w:szCs w:val="24"/>
          <w:shd w:val="clear" w:color="auto" w:fill="FFFF00"/>
        </w:rPr>
        <w:t xml:space="preserve"> Society of Hematology, 2021;Achour et al., 2021)</w:t>
      </w:r>
      <w:r>
        <w:rPr>
          <w:rFonts w:ascii="Times New Roman" w:hAnsi="Times New Roman"/>
          <w:sz w:val="24"/>
          <w:szCs w:val="24"/>
        </w:rPr>
        <w:t xml:space="preserve"> </w:t>
      </w:r>
      <w:r>
        <w:rPr>
          <w:rFonts w:ascii="Times New Roman" w:eastAsia="Times New Roman" w:hAnsi="Times New Roman" w:cs="Times New Roman"/>
          <w:sz w:val="24"/>
          <w:szCs w:val="24"/>
        </w:rPr>
        <w:t>.</w:t>
      </w:r>
    </w:p>
    <w:p w14:paraId="6AFA15ED"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At the population level, hemoglobin genotype distribution describes the frequency of inherited hemoglobin patterns wi</w:t>
      </w:r>
      <w:r>
        <w:rPr>
          <w:rFonts w:ascii="Times New Roman" w:eastAsia="Times New Roman" w:hAnsi="Times New Roman" w:cs="Times New Roman"/>
          <w:sz w:val="24"/>
          <w:szCs w:val="24"/>
        </w:rPr>
        <w:t>thin defined populations and underpins screening policy, risk estimation for affected births, service planning, and genetic counseling. Distribution estimates vary by geography, ancestry, and sampling frame, and hospital-based or referral cohorts may not r</w:t>
      </w:r>
      <w:r>
        <w:rPr>
          <w:rFonts w:ascii="Times New Roman" w:eastAsia="Times New Roman" w:hAnsi="Times New Roman" w:cs="Times New Roman"/>
          <w:sz w:val="24"/>
          <w:szCs w:val="24"/>
        </w:rPr>
        <w:t>eflect true population prevalence</w:t>
      </w:r>
      <w:r>
        <w:rPr>
          <w:rFonts w:ascii="Times New Roman" w:eastAsia="Times New Roman" w:hAnsi="Times New Roman" w:cs="Times New Roman"/>
          <w:sz w:val="24"/>
          <w:szCs w:val="24"/>
        </w:rPr>
        <w:t xml:space="preserve"> </w:t>
      </w:r>
      <w:r>
        <w:rPr>
          <w:rFonts w:ascii="Times New Roman" w:hAnsi="Times New Roman"/>
          <w:sz w:val="24"/>
          <w:szCs w:val="24"/>
        </w:rPr>
        <w:t>(</w:t>
      </w:r>
      <w:r>
        <w:rPr>
          <w:rFonts w:ascii="Times New Roman" w:hAnsi="Times New Roman"/>
          <w:sz w:val="24"/>
          <w:szCs w:val="24"/>
          <w:shd w:val="clear" w:color="auto" w:fill="FFFF00"/>
        </w:rPr>
        <w:t>Giordano, 2013</w:t>
      </w:r>
      <w:proofErr w:type="gramStart"/>
      <w:r>
        <w:rPr>
          <w:rFonts w:ascii="Times New Roman" w:hAnsi="Times New Roman"/>
          <w:sz w:val="24"/>
          <w:szCs w:val="24"/>
          <w:shd w:val="clear" w:color="auto" w:fill="FFFF00"/>
        </w:rPr>
        <w:t xml:space="preserve">) </w:t>
      </w:r>
      <w:r>
        <w:rPr>
          <w:rFonts w:ascii="Times New Roman" w:eastAsia="Times New Roman" w:hAnsi="Times New Roman" w:cs="Times New Roman"/>
          <w:sz w:val="24"/>
          <w:szCs w:val="24"/>
        </w:rPr>
        <w:t>.</w:t>
      </w:r>
      <w:proofErr w:type="gramEnd"/>
    </w:p>
    <w:p w14:paraId="74FBC877"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Globally, genotype distribution is increasingly treated as a population-health metric integrated into screening systems, particularly through universal newborn screening. In Southeast Asia, the “thala</w:t>
      </w:r>
      <w:r>
        <w:rPr>
          <w:rFonts w:ascii="Times New Roman" w:eastAsia="Times New Roman" w:hAnsi="Times New Roman" w:cs="Times New Roman"/>
          <w:sz w:val="24"/>
          <w:szCs w:val="24"/>
        </w:rPr>
        <w:t xml:space="preserve">ssemia belt” is characterized by high frequencies of α-thalassemia, β-thalassemia, and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underscoring the need for accurate population-level data</w:t>
      </w:r>
      <w:r>
        <w:rPr>
          <w:rFonts w:ascii="Times New Roman" w:eastAsia="Times New Roman" w:hAnsi="Times New Roman" w:cs="Times New Roman"/>
          <w:sz w:val="24"/>
          <w:szCs w:val="24"/>
        </w:rPr>
        <w:t xml:space="preserve">. </w:t>
      </w:r>
      <w:r>
        <w:rPr>
          <w:rFonts w:ascii="Times New Roman" w:hAnsi="Times New Roman"/>
          <w:sz w:val="24"/>
          <w:szCs w:val="24"/>
        </w:rPr>
        <w:t>Hemoglobin E is a common structural variant in Southeast Asia and is clinically significant when coinhe</w:t>
      </w:r>
      <w:r>
        <w:rPr>
          <w:rFonts w:ascii="Times New Roman" w:hAnsi="Times New Roman"/>
          <w:sz w:val="24"/>
          <w:szCs w:val="24"/>
        </w:rPr>
        <w:t xml:space="preserve">rited with α- or β-thalassemia </w:t>
      </w:r>
      <w:r>
        <w:rPr>
          <w:rFonts w:ascii="Times New Roman" w:hAnsi="Times New Roman"/>
          <w:sz w:val="24"/>
          <w:szCs w:val="24"/>
          <w:shd w:val="clear" w:color="auto" w:fill="FFFF00"/>
        </w:rPr>
        <w:t>(</w:t>
      </w:r>
      <w:proofErr w:type="spellStart"/>
      <w:r>
        <w:rPr>
          <w:rFonts w:ascii="Times New Roman" w:hAnsi="Times New Roman"/>
          <w:sz w:val="24"/>
          <w:szCs w:val="24"/>
          <w:shd w:val="clear" w:color="auto" w:fill="FFFF00"/>
        </w:rPr>
        <w:t>Fucharoen</w:t>
      </w:r>
      <w:proofErr w:type="spellEnd"/>
      <w:r>
        <w:rPr>
          <w:rFonts w:ascii="Times New Roman" w:hAnsi="Times New Roman"/>
          <w:sz w:val="24"/>
          <w:szCs w:val="24"/>
          <w:shd w:val="clear" w:color="auto" w:fill="FFFF00"/>
        </w:rPr>
        <w:t xml:space="preserve"> &amp; </w:t>
      </w:r>
      <w:proofErr w:type="spellStart"/>
      <w:r>
        <w:rPr>
          <w:rFonts w:ascii="Times New Roman" w:hAnsi="Times New Roman"/>
          <w:sz w:val="24"/>
          <w:szCs w:val="24"/>
          <w:shd w:val="clear" w:color="auto" w:fill="FFFF00"/>
        </w:rPr>
        <w:t>Winichagoon</w:t>
      </w:r>
      <w:proofErr w:type="spellEnd"/>
      <w:r>
        <w:rPr>
          <w:rFonts w:ascii="Times New Roman" w:hAnsi="Times New Roman"/>
          <w:sz w:val="24"/>
          <w:szCs w:val="24"/>
          <w:shd w:val="clear" w:color="auto" w:fill="FFFF00"/>
        </w:rPr>
        <w:t>, 2002)</w:t>
      </w:r>
      <w:r>
        <w:rPr>
          <w:rFonts w:ascii="Times New Roman" w:hAnsi="Times New Roman"/>
          <w:sz w:val="24"/>
          <w:szCs w:val="24"/>
        </w:rPr>
        <w:t xml:space="preserve">. </w:t>
      </w:r>
    </w:p>
    <w:p w14:paraId="7C1ECA50"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 xml:space="preserve">Within this regional context of high hemoglobinopathy burden </w:t>
      </w:r>
      <w:r>
        <w:rPr>
          <w:rFonts w:ascii="Times New Roman" w:eastAsia="Times New Roman" w:hAnsi="Times New Roman" w:cs="Times New Roman"/>
          <w:sz w:val="24"/>
          <w:szCs w:val="24"/>
          <w:shd w:val="clear" w:color="auto" w:fill="FFFF00"/>
        </w:rPr>
        <w:t>(</w:t>
      </w:r>
      <w:proofErr w:type="spellStart"/>
      <w:r>
        <w:rPr>
          <w:rFonts w:ascii="Times New Roman" w:eastAsia="Times New Roman" w:hAnsi="Times New Roman" w:cs="Times New Roman"/>
          <w:sz w:val="24"/>
          <w:szCs w:val="24"/>
          <w:shd w:val="clear" w:color="auto" w:fill="FFFF00"/>
        </w:rPr>
        <w:t>Fucharoen</w:t>
      </w:r>
      <w:proofErr w:type="spellEnd"/>
      <w:r>
        <w:rPr>
          <w:rFonts w:ascii="Times New Roman" w:eastAsia="Times New Roman" w:hAnsi="Times New Roman" w:cs="Times New Roman"/>
          <w:sz w:val="24"/>
          <w:szCs w:val="24"/>
          <w:shd w:val="clear" w:color="auto" w:fill="FFFF00"/>
        </w:rPr>
        <w:t xml:space="preserve"> &amp; </w:t>
      </w:r>
      <w:proofErr w:type="spellStart"/>
      <w:r>
        <w:rPr>
          <w:rFonts w:ascii="Times New Roman" w:eastAsia="Times New Roman" w:hAnsi="Times New Roman" w:cs="Times New Roman"/>
          <w:sz w:val="24"/>
          <w:szCs w:val="24"/>
          <w:shd w:val="clear" w:color="auto" w:fill="FFFF00"/>
        </w:rPr>
        <w:t>Winichagoon</w:t>
      </w:r>
      <w:proofErr w:type="spellEnd"/>
      <w:r>
        <w:rPr>
          <w:rFonts w:ascii="Times New Roman" w:eastAsia="Times New Roman" w:hAnsi="Times New Roman" w:cs="Times New Roman"/>
          <w:sz w:val="24"/>
          <w:szCs w:val="24"/>
          <w:shd w:val="clear" w:color="auto" w:fill="FFFF00"/>
        </w:rPr>
        <w:t>, 2002)</w:t>
      </w:r>
      <w:r>
        <w:rPr>
          <w:rFonts w:ascii="Times New Roman" w:eastAsia="Times New Roman" w:hAnsi="Times New Roman" w:cs="Times New Roman"/>
          <w:sz w:val="24"/>
          <w:szCs w:val="24"/>
        </w:rPr>
        <w:t>, country-specific data are essential for effective screening and genetic counseling.  In the Phili</w:t>
      </w:r>
      <w:r>
        <w:rPr>
          <w:rFonts w:ascii="Times New Roman" w:eastAsia="Times New Roman" w:hAnsi="Times New Roman" w:cs="Times New Roman"/>
          <w:sz w:val="24"/>
          <w:szCs w:val="24"/>
        </w:rPr>
        <w:t>ppines, evidence on hemoglobin genotype distribution has accumulated through fragmented, method-dependent studies spanning several decades. Early electrophoretic surveys, later laboratory-based series, and recent molecular investigations often relied on co</w:t>
      </w:r>
      <w:r>
        <w:rPr>
          <w:rFonts w:ascii="Times New Roman" w:eastAsia="Times New Roman" w:hAnsi="Times New Roman" w:cs="Times New Roman"/>
          <w:sz w:val="24"/>
          <w:szCs w:val="24"/>
        </w:rPr>
        <w:t>nvenience samples, limiting comparability and representativeness. A major shift has occurred with the expansion of the national newborn screening program, which has enabled broader population coverage and earlier detection, complemented by emerging Philipp</w:t>
      </w:r>
      <w:r>
        <w:rPr>
          <w:rFonts w:ascii="Times New Roman" w:eastAsia="Times New Roman" w:hAnsi="Times New Roman" w:cs="Times New Roman"/>
          <w:sz w:val="24"/>
          <w:szCs w:val="24"/>
        </w:rPr>
        <w:t xml:space="preserve">ine-specific molecular data </w:t>
      </w:r>
      <w:r>
        <w:rPr>
          <w:rFonts w:ascii="Times New Roman" w:hAnsi="Times New Roman"/>
          <w:sz w:val="24"/>
          <w:szCs w:val="24"/>
          <w:shd w:val="clear" w:color="auto" w:fill="FFFF00"/>
        </w:rPr>
        <w:t xml:space="preserve">(Ko et al., 1998; </w:t>
      </w:r>
      <w:proofErr w:type="spellStart"/>
      <w:r>
        <w:rPr>
          <w:rFonts w:ascii="Times New Roman" w:hAnsi="Times New Roman"/>
          <w:sz w:val="24"/>
          <w:szCs w:val="24"/>
          <w:shd w:val="clear" w:color="auto" w:fill="FFFF00"/>
        </w:rPr>
        <w:t>Silao</w:t>
      </w:r>
      <w:proofErr w:type="spellEnd"/>
      <w:r>
        <w:rPr>
          <w:rFonts w:ascii="Times New Roman" w:hAnsi="Times New Roman"/>
          <w:sz w:val="24"/>
          <w:szCs w:val="24"/>
          <w:shd w:val="clear" w:color="auto" w:fill="FFFF00"/>
        </w:rPr>
        <w:t xml:space="preserve"> et al., 2015; Padilla &amp; </w:t>
      </w:r>
      <w:proofErr w:type="spellStart"/>
      <w:r>
        <w:rPr>
          <w:rFonts w:ascii="Times New Roman" w:hAnsi="Times New Roman"/>
          <w:sz w:val="24"/>
          <w:szCs w:val="24"/>
          <w:shd w:val="clear" w:color="auto" w:fill="FFFF00"/>
        </w:rPr>
        <w:t>Cutiongco</w:t>
      </w:r>
      <w:proofErr w:type="spellEnd"/>
      <w:r>
        <w:rPr>
          <w:rFonts w:ascii="Times New Roman" w:hAnsi="Times New Roman"/>
          <w:sz w:val="24"/>
          <w:szCs w:val="24"/>
          <w:shd w:val="clear" w:color="auto" w:fill="FFFF00"/>
        </w:rPr>
        <w:t xml:space="preserve">-de la Paz, 2016; Padilla et al., 2021; </w:t>
      </w:r>
      <w:proofErr w:type="spellStart"/>
      <w:r>
        <w:rPr>
          <w:rFonts w:ascii="Times New Roman" w:hAnsi="Times New Roman"/>
          <w:sz w:val="24"/>
          <w:szCs w:val="24"/>
          <w:shd w:val="clear" w:color="auto" w:fill="FFFF00"/>
        </w:rPr>
        <w:t>Silao</w:t>
      </w:r>
      <w:proofErr w:type="spellEnd"/>
      <w:r>
        <w:rPr>
          <w:rFonts w:ascii="Times New Roman" w:hAnsi="Times New Roman"/>
          <w:sz w:val="24"/>
          <w:szCs w:val="24"/>
          <w:shd w:val="clear" w:color="auto" w:fill="FFFF00"/>
        </w:rPr>
        <w:t xml:space="preserve"> et al., 2021</w:t>
      </w:r>
      <w:proofErr w:type="gramStart"/>
      <w:r>
        <w:rPr>
          <w:rFonts w:ascii="Times New Roman" w:hAnsi="Times New Roman"/>
          <w:sz w:val="24"/>
          <w:szCs w:val="24"/>
          <w:shd w:val="clear" w:color="auto" w:fill="FFFF00"/>
        </w:rPr>
        <w:t>)</w:t>
      </w:r>
      <w:r>
        <w:rPr>
          <w:rFonts w:ascii="Times New Roman" w:hAnsi="Times New Roman"/>
          <w:sz w:val="24"/>
          <w:szCs w:val="24"/>
        </w:rPr>
        <w:t xml:space="preserve"> </w:t>
      </w:r>
      <w:r>
        <w:rPr>
          <w:rFonts w:ascii="Times New Roman" w:eastAsia="Times New Roman" w:hAnsi="Times New Roman" w:cs="Times New Roman"/>
          <w:sz w:val="24"/>
          <w:szCs w:val="24"/>
        </w:rPr>
        <w:t>.</w:t>
      </w:r>
      <w:proofErr w:type="gramEnd"/>
    </w:p>
    <w:p w14:paraId="0E5801D5"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 xml:space="preserve">Despite these advances, no study has systematically integrated findings across regions, time periods, and </w:t>
      </w:r>
      <w:r>
        <w:rPr>
          <w:rFonts w:ascii="Times New Roman" w:eastAsia="Times New Roman" w:hAnsi="Times New Roman" w:cs="Times New Roman"/>
          <w:sz w:val="24"/>
          <w:szCs w:val="24"/>
        </w:rPr>
        <w:t>diagnostic eras. Consequently, it remains unclear whether observed variation in reported genotype frequencies reflects true epidemiologic differences or methodological heterogeneity. This review therefore aims to synthesize population-based Philippine stud</w:t>
      </w:r>
      <w:r>
        <w:rPr>
          <w:rFonts w:ascii="Times New Roman" w:eastAsia="Times New Roman" w:hAnsi="Times New Roman" w:cs="Times New Roman"/>
          <w:sz w:val="24"/>
          <w:szCs w:val="24"/>
        </w:rPr>
        <w:t xml:space="preserve">ies from </w:t>
      </w:r>
      <w:r>
        <w:rPr>
          <w:rFonts w:ascii="Times New Roman" w:eastAsia="Times New Roman" w:hAnsi="Times New Roman" w:cs="Times New Roman"/>
          <w:strike/>
          <w:sz w:val="24"/>
          <w:szCs w:val="24"/>
        </w:rPr>
        <w:t>1958 to 2025</w:t>
      </w:r>
      <w:r>
        <w:rPr>
          <w:rFonts w:ascii="Times New Roman" w:eastAsia="Times New Roman" w:hAnsi="Times New Roman" w:cs="Times New Roman"/>
          <w:sz w:val="24"/>
          <w:szCs w:val="24"/>
        </w:rPr>
        <w:t xml:space="preserve">, stratify findings by diagnostic era and population type, </w:t>
      </w:r>
      <w:r>
        <w:rPr>
          <w:rFonts w:ascii="Times New Roman" w:hAnsi="Times New Roman"/>
          <w:sz w:val="24"/>
          <w:szCs w:val="24"/>
        </w:rPr>
        <w:t>and summarize reported genotype frequencies by diagnostic era and population frame</w:t>
      </w:r>
      <w:r>
        <w:rPr>
          <w:rFonts w:ascii="Times New Roman" w:eastAsia="Times New Roman" w:hAnsi="Times New Roman" w:cs="Times New Roman"/>
          <w:sz w:val="24"/>
          <w:szCs w:val="24"/>
        </w:rPr>
        <w:t xml:space="preserve">. By integrating historical and contemporary data, this study provides the most </w:t>
      </w:r>
      <w:r>
        <w:rPr>
          <w:rFonts w:ascii="Times New Roman" w:eastAsia="Times New Roman" w:hAnsi="Times New Roman" w:cs="Times New Roman"/>
          <w:sz w:val="24"/>
          <w:szCs w:val="24"/>
        </w:rPr>
        <w:t>comprehensive framework to date for interpreting hemoglobin genotype distribution in the Philippines and informing screening, diagnostics, and genetic counseling strategies.</w:t>
      </w:r>
    </w:p>
    <w:p w14:paraId="159B6780"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This review synthesizes hemoglobin genotype evidence relevant to Filipinos, includ</w:t>
      </w:r>
      <w:r>
        <w:rPr>
          <w:rFonts w:ascii="Times New Roman" w:eastAsia="Times New Roman" w:hAnsi="Times New Roman" w:cs="Times New Roman"/>
          <w:sz w:val="24"/>
          <w:szCs w:val="24"/>
        </w:rPr>
        <w:t>ing population-based studies conducted in the Philippines as well as historically important laboratory, referral-based, newborn screening, and diaspora studies, recognizing that genotype distributions are inherently shaped by diagnostic era and sampling fr</w:t>
      </w:r>
      <w:r>
        <w:rPr>
          <w:rFonts w:ascii="Times New Roman" w:eastAsia="Times New Roman" w:hAnsi="Times New Roman" w:cs="Times New Roman"/>
          <w:sz w:val="24"/>
          <w:szCs w:val="24"/>
        </w:rPr>
        <w:t xml:space="preserve">ame </w:t>
      </w:r>
    </w:p>
    <w:p w14:paraId="05DE4FC1" w14:textId="77777777" w:rsidR="00FB2344" w:rsidRDefault="00FB2344">
      <w:pPr>
        <w:spacing w:after="120" w:line="240" w:lineRule="auto"/>
        <w:jc w:val="both"/>
        <w:rPr>
          <w:rFonts w:ascii="Times New Roman" w:eastAsia="Times New Roman" w:hAnsi="Times New Roman" w:cs="Times New Roman"/>
          <w:sz w:val="24"/>
          <w:szCs w:val="24"/>
        </w:rPr>
      </w:pPr>
    </w:p>
    <w:p w14:paraId="3CA63FB5" w14:textId="77777777" w:rsidR="00FB2344" w:rsidRDefault="00243FCF">
      <w:pPr>
        <w:spacing w:before="240" w:after="240" w:line="240" w:lineRule="auto"/>
        <w:jc w:val="both"/>
        <w:rPr>
          <w:rFonts w:ascii="Times New Roman" w:hAnsi="Times New Roman"/>
          <w:sz w:val="24"/>
          <w:szCs w:val="24"/>
        </w:rPr>
      </w:pPr>
      <w:r>
        <w:rPr>
          <w:rFonts w:ascii="Times New Roman" w:eastAsia="Times New Roman" w:hAnsi="Times New Roman" w:cs="Times New Roman"/>
          <w:b/>
          <w:bCs/>
          <w:sz w:val="24"/>
          <w:szCs w:val="24"/>
        </w:rPr>
        <w:t>METHODOLOGY</w:t>
      </w:r>
    </w:p>
    <w:p w14:paraId="43BDA3FC"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lastRenderedPageBreak/>
        <w:t>This study employed a historical systematic review to synthesize evidence on hemoglobin genotype distribution in the Philippines from 1958 to 2025. A protocol-driven approach consistent with systematic review best practices was used to capture temporal tre</w:t>
      </w:r>
      <w:r>
        <w:rPr>
          <w:rFonts w:ascii="Times New Roman" w:eastAsia="Times New Roman" w:hAnsi="Times New Roman" w:cs="Times New Roman"/>
          <w:sz w:val="24"/>
          <w:szCs w:val="24"/>
        </w:rPr>
        <w:t>nds, regional variation, and changes in diagnostic methodology, from early electrophoretic techniques to contemporary laboratory and newborn screening–based methods. The review focused on population-based studies conducted in the Philippines, including com</w:t>
      </w:r>
      <w:r>
        <w:rPr>
          <w:rFonts w:ascii="Times New Roman" w:eastAsia="Times New Roman" w:hAnsi="Times New Roman" w:cs="Times New Roman"/>
          <w:sz w:val="24"/>
          <w:szCs w:val="24"/>
        </w:rPr>
        <w:t xml:space="preserve">munity surveys, school- and blood donor–based studies, antenatal cohorts, and newborn screening populations, while excluding facility-based studies without a defined population denominator. </w:t>
      </w:r>
      <w:r>
        <w:rPr>
          <w:rFonts w:ascii="Times New Roman" w:hAnsi="Times New Roman"/>
          <w:sz w:val="24"/>
          <w:szCs w:val="24"/>
          <w:shd w:val="clear" w:color="auto" w:fill="FFFF00"/>
        </w:rPr>
        <w:t>This review specifically focused on hemoglobin genotypes epidemiol</w:t>
      </w:r>
      <w:r>
        <w:rPr>
          <w:rFonts w:ascii="Times New Roman" w:hAnsi="Times New Roman"/>
          <w:sz w:val="24"/>
          <w:szCs w:val="24"/>
          <w:shd w:val="clear" w:color="auto" w:fill="FFFF00"/>
        </w:rPr>
        <w:t>ogically relevant to the Filipino population, particularly α-thalassemia, β-thalassemia, and hemoglobin E. Other hemoglobinopathies such as sickle cell disease, hemoglobin C, sickle-thalassemia, and hereditary persistence of fetal hemoglobin (HPFH) were no</w:t>
      </w:r>
      <w:r>
        <w:rPr>
          <w:rFonts w:ascii="Times New Roman" w:hAnsi="Times New Roman"/>
          <w:sz w:val="24"/>
          <w:szCs w:val="24"/>
          <w:shd w:val="clear" w:color="auto" w:fill="FFFF00"/>
        </w:rPr>
        <w:t xml:space="preserve">t included because they are rare or non-endemic in the Philippines and are not consistently reported in population-based Philippine studies. </w:t>
      </w:r>
    </w:p>
    <w:p w14:paraId="5D48DD73"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A comprehensive search of electronic databases, local journals, institutional repositories, and gray literature wa</w:t>
      </w:r>
      <w:r>
        <w:rPr>
          <w:rFonts w:ascii="Times New Roman" w:eastAsia="Times New Roman" w:hAnsi="Times New Roman" w:cs="Times New Roman"/>
          <w:sz w:val="24"/>
          <w:szCs w:val="24"/>
        </w:rPr>
        <w:t>s conducted for studies published between January 1958 and December 2025. Search terms combined concepts related to hemoglobin genotypes, hemoglobin variants, thalassemia, screening, and the Philippines. Manual searches of reference lists, archival journal</w:t>
      </w:r>
      <w:r>
        <w:rPr>
          <w:rFonts w:ascii="Times New Roman" w:eastAsia="Times New Roman" w:hAnsi="Times New Roman" w:cs="Times New Roman"/>
          <w:sz w:val="24"/>
          <w:szCs w:val="24"/>
        </w:rPr>
        <w:t>s, libraries, and institutional reports were undertaken to ensure historical completeness, without restrictions on publication status.</w:t>
      </w:r>
    </w:p>
    <w:p w14:paraId="4F647BFD" w14:textId="77777777" w:rsidR="00FB2344" w:rsidRDefault="00243FCF">
      <w:pPr>
        <w:pStyle w:val="BodyText"/>
        <w:spacing w:before="240" w:after="240" w:line="240" w:lineRule="auto"/>
        <w:ind w:firstLine="720"/>
        <w:jc w:val="both"/>
        <w:rPr>
          <w:rFonts w:ascii="Times New Roman" w:hAnsi="Times New Roman"/>
          <w:sz w:val="24"/>
          <w:szCs w:val="24"/>
        </w:rPr>
      </w:pPr>
      <w:r>
        <w:rPr>
          <w:rFonts w:ascii="Times New Roman" w:hAnsi="Times New Roman"/>
          <w:sz w:val="24"/>
          <w:szCs w:val="24"/>
        </w:rPr>
        <w:t>Eligible studies reported hemoglobin genotype frequencies in defined Philippine population frames (e.g., community, schoo</w:t>
      </w:r>
      <w:r>
        <w:rPr>
          <w:rFonts w:ascii="Times New Roman" w:hAnsi="Times New Roman"/>
          <w:sz w:val="24"/>
          <w:szCs w:val="24"/>
        </w:rPr>
        <w:t>l, blood donor, antenatal, and newborn screening cohorts) with a clear denominator. Case reports, narrative reviews, studies without frequency data, and reports with insufficient methodological detail were excluded. To support historical interpretation acr</w:t>
      </w:r>
      <w:r>
        <w:rPr>
          <w:rFonts w:ascii="Times New Roman" w:hAnsi="Times New Roman"/>
          <w:sz w:val="24"/>
          <w:szCs w:val="24"/>
        </w:rPr>
        <w:t>oss diagnostic eras, selected Filipino-relevant diaspora screening studies and molecularly confirmed family/case reports were retained for narrative synthesis only. Data were extracted using a standardized form, studies were classified by diagnostic era an</w:t>
      </w:r>
      <w:r>
        <w:rPr>
          <w:rFonts w:ascii="Times New Roman" w:hAnsi="Times New Roman"/>
          <w:sz w:val="24"/>
          <w:szCs w:val="24"/>
        </w:rPr>
        <w:t>d population frame, and methodological quality was assessed using an adapted prevalence-study framework. Findings were synthesized narratively, with results summarized by diagnostic era, population frame, and testing platform; where appropriate, patterns w</w:t>
      </w:r>
      <w:r>
        <w:rPr>
          <w:rFonts w:ascii="Times New Roman" w:hAnsi="Times New Roman"/>
          <w:sz w:val="24"/>
          <w:szCs w:val="24"/>
        </w:rPr>
        <w:t xml:space="preserve">ere compared across regions and study types. Ethical approval was not required because only publicly available data were used. </w:t>
      </w:r>
    </w:p>
    <w:p w14:paraId="5CF57260" w14:textId="77777777" w:rsidR="00FB2344" w:rsidRDefault="00FB2344">
      <w:pPr>
        <w:spacing w:before="240" w:after="240" w:line="240" w:lineRule="auto"/>
        <w:ind w:firstLine="720"/>
        <w:jc w:val="both"/>
        <w:rPr>
          <w:rFonts w:ascii="Times New Roman" w:eastAsia="Times New Roman" w:hAnsi="Times New Roman" w:cs="Times New Roman"/>
          <w:sz w:val="24"/>
          <w:szCs w:val="24"/>
        </w:rPr>
      </w:pPr>
    </w:p>
    <w:p w14:paraId="4F31A211" w14:textId="77777777" w:rsidR="00FB2344" w:rsidRDefault="00243FCF">
      <w:pPr>
        <w:pStyle w:val="Heading2"/>
        <w:spacing w:before="240" w:line="240" w:lineRule="auto"/>
        <w:jc w:val="both"/>
        <w:rPr>
          <w:rFonts w:ascii="Times New Roman" w:hAnsi="Times New Roman"/>
          <w:sz w:val="24"/>
          <w:szCs w:val="24"/>
        </w:rPr>
      </w:pPr>
      <w:r>
        <w:rPr>
          <w:rFonts w:ascii="Times New Roman" w:eastAsia="Times New Roman" w:hAnsi="Times New Roman" w:cs="Times New Roman"/>
          <w:b/>
          <w:bCs/>
          <w:sz w:val="24"/>
          <w:szCs w:val="24"/>
        </w:rPr>
        <w:t>RESULTS</w:t>
      </w:r>
    </w:p>
    <w:p w14:paraId="3E23542C"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Results are presented by diagnostic era and population frame rather than as a single national prevalence estimate. Stud</w:t>
      </w:r>
      <w:r>
        <w:rPr>
          <w:rFonts w:ascii="Times New Roman" w:eastAsia="Times New Roman" w:hAnsi="Times New Roman" w:cs="Times New Roman"/>
          <w:sz w:val="24"/>
          <w:szCs w:val="24"/>
        </w:rPr>
        <w:t>ies describing hemoglobinopathies and hemoglobin genotype patterns relevant to the Philippines from 1958 to 2025 remain limited and methodologically heterogeneous, with most Philippines-relevant evidence appearing after 2000 and concentrating on α- and β-</w:t>
      </w:r>
      <w:proofErr w:type="spellStart"/>
      <w:r>
        <w:rPr>
          <w:rFonts w:ascii="Times New Roman" w:eastAsia="Times New Roman" w:hAnsi="Times New Roman" w:cs="Times New Roman"/>
          <w:sz w:val="24"/>
          <w:szCs w:val="24"/>
        </w:rPr>
        <w:t>t</w:t>
      </w:r>
      <w:r>
        <w:rPr>
          <w:rFonts w:ascii="Times New Roman" w:eastAsia="Times New Roman" w:hAnsi="Times New Roman" w:cs="Times New Roman"/>
          <w:sz w:val="24"/>
          <w:szCs w:val="24"/>
        </w:rPr>
        <w:t>halassemias</w:t>
      </w:r>
      <w:proofErr w:type="spellEnd"/>
      <w:r>
        <w:rPr>
          <w:rFonts w:ascii="Times New Roman" w:eastAsia="Times New Roman" w:hAnsi="Times New Roman" w:cs="Times New Roman"/>
          <w:sz w:val="24"/>
          <w:szCs w:val="24"/>
        </w:rPr>
        <w:t xml:space="preserve"> and variants such as hemoglobin E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These genotypes have been detected through evolving diagnostic approaches including electrophoresis, newborn screening, HPLC or capillary electrophoresis, and molecular genotyping, often within referral-</w:t>
      </w:r>
      <w:r>
        <w:rPr>
          <w:rFonts w:ascii="Times New Roman" w:eastAsia="Times New Roman" w:hAnsi="Times New Roman" w:cs="Times New Roman"/>
          <w:sz w:val="24"/>
          <w:szCs w:val="24"/>
        </w:rPr>
        <w:t>based clinical cohorts or diaspora/community screening settings. No single comprehensive historical systematic review spanning the full 1958 to 2025 interval was identified in the sources summarized; rather, the evidence base is composed of case reports an</w:t>
      </w:r>
      <w:r>
        <w:rPr>
          <w:rFonts w:ascii="Times New Roman" w:eastAsia="Times New Roman" w:hAnsi="Times New Roman" w:cs="Times New Roman"/>
          <w:sz w:val="24"/>
          <w:szCs w:val="24"/>
        </w:rPr>
        <w:t xml:space="preserve">d family series, population or community screenings (often outside the Philippines), facility-based laboratory datasets, and newborn screening outputs. </w:t>
      </w:r>
      <w:r>
        <w:rPr>
          <w:rFonts w:ascii="Times New Roman" w:eastAsia="Times New Roman" w:hAnsi="Times New Roman" w:cs="Times New Roman"/>
          <w:sz w:val="24"/>
          <w:szCs w:val="24"/>
        </w:rPr>
        <w:lastRenderedPageBreak/>
        <w:t>Consequently, reported “frequencies” reflect the sampling frame (newborns vs anemia/hematology referrals</w:t>
      </w:r>
      <w:r>
        <w:rPr>
          <w:rFonts w:ascii="Times New Roman" w:eastAsia="Times New Roman" w:hAnsi="Times New Roman" w:cs="Times New Roman"/>
          <w:sz w:val="24"/>
          <w:szCs w:val="24"/>
        </w:rPr>
        <w:t xml:space="preserve"> vs suspected cases vs diaspora primary care) and cannot be interpreted as a uniform national prevalence. Across selected screened cohorts, β-thalassemia traits were repeatedly described as prominent (reaching up to ~78% in some screening contexts), follow</w:t>
      </w:r>
      <w:r>
        <w:rPr>
          <w:rFonts w:ascii="Times New Roman" w:eastAsia="Times New Roman" w:hAnsi="Times New Roman" w:cs="Times New Roman"/>
          <w:sz w:val="24"/>
          <w:szCs w:val="24"/>
        </w:rPr>
        <w:t xml:space="preserve">ed by α-thalassemia (often ~65–85% in selected datasets), while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was commonly reported around ~1–10% but appeared higher in particular regional or ethnic subpopulations.</w:t>
      </w:r>
    </w:p>
    <w:p w14:paraId="6C60E855"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The earliest Philippines-relevant historical signals were largely clinical and infe</w:t>
      </w:r>
      <w:r>
        <w:rPr>
          <w:rFonts w:ascii="Times New Roman" w:eastAsia="Times New Roman" w:hAnsi="Times New Roman" w:cs="Times New Roman"/>
          <w:sz w:val="24"/>
          <w:szCs w:val="24"/>
        </w:rPr>
        <w:t>rential rather than population-based. Wolff et al. (1958) provided an early description of hemoglobin H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using hematologic evaluation and hemoglobin analysis methods typical of the era and situated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within an ancestry context that i</w:t>
      </w:r>
      <w:r>
        <w:rPr>
          <w:rFonts w:ascii="Times New Roman" w:eastAsia="Times New Roman" w:hAnsi="Times New Roman" w:cs="Times New Roman"/>
          <w:sz w:val="24"/>
          <w:szCs w:val="24"/>
        </w:rPr>
        <w:t xml:space="preserve">ncluded individuals of Filipino parentage. Two decades later, Horne III et al. (1978) described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in two Filipino families across generations and noted inheritance patterns comparable to those described in other Southeast Asian families, although</w:t>
      </w:r>
      <w:r>
        <w:rPr>
          <w:rFonts w:ascii="Times New Roman" w:eastAsia="Times New Roman" w:hAnsi="Times New Roman" w:cs="Times New Roman"/>
          <w:sz w:val="24"/>
          <w:szCs w:val="24"/>
        </w:rPr>
        <w:t xml:space="preserve"> prevalence estimates and population denominators were not reported, consistent with family-based reporting.</w:t>
      </w:r>
    </w:p>
    <w:p w14:paraId="5CBE089A"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 xml:space="preserve">Population screening involving Filipino participants became clearer in diaspora settings. Hall (1991) screened 2,644 individuals in </w:t>
      </w:r>
      <w:proofErr w:type="gramStart"/>
      <w:r>
        <w:rPr>
          <w:rFonts w:ascii="Times New Roman" w:eastAsia="Times New Roman" w:hAnsi="Times New Roman" w:cs="Times New Roman"/>
          <w:sz w:val="24"/>
          <w:szCs w:val="24"/>
        </w:rPr>
        <w:t>Hawai‘</w:t>
      </w:r>
      <w:proofErr w:type="gramEnd"/>
      <w:r>
        <w:rPr>
          <w:rFonts w:ascii="Times New Roman" w:eastAsia="Times New Roman" w:hAnsi="Times New Roman" w:cs="Times New Roman"/>
          <w:sz w:val="24"/>
          <w:szCs w:val="24"/>
        </w:rPr>
        <w:t xml:space="preserve">i across </w:t>
      </w:r>
      <w:r>
        <w:rPr>
          <w:rFonts w:ascii="Times New Roman" w:eastAsia="Times New Roman" w:hAnsi="Times New Roman" w:cs="Times New Roman"/>
          <w:sz w:val="24"/>
          <w:szCs w:val="24"/>
        </w:rPr>
        <w:t xml:space="preserve">Filipino and other communities using CBC-derived indices and </w:t>
      </w:r>
      <w:proofErr w:type="spellStart"/>
      <w:r>
        <w:rPr>
          <w:rFonts w:ascii="Times New Roman" w:eastAsia="Times New Roman" w:hAnsi="Times New Roman" w:cs="Times New Roman"/>
          <w:sz w:val="24"/>
          <w:szCs w:val="24"/>
        </w:rPr>
        <w:t>HbA</w:t>
      </w:r>
      <w:proofErr w:type="spellEnd"/>
      <w:r>
        <w:rPr>
          <w:rFonts w:ascii="Times New Roman" w:eastAsia="Times New Roman" w:hAnsi="Times New Roman" w:cs="Times New Roman"/>
          <w:sz w:val="24"/>
          <w:szCs w:val="24"/>
        </w:rPr>
        <w:t>₂-based differentiation, reporting a thalassemia prevalence of 40.5% among Filipinos and reconstructing gene-frequency patterns based on family origin. Ko et al. (1998) subsequently screened 2</w:t>
      </w:r>
      <w:r>
        <w:rPr>
          <w:rFonts w:ascii="Times New Roman" w:eastAsia="Times New Roman" w:hAnsi="Times New Roman" w:cs="Times New Roman"/>
          <w:sz w:val="24"/>
          <w:szCs w:val="24"/>
        </w:rPr>
        <w:t xml:space="preserve">,954 apparently healthy Filipinos and reported an overall β-thalassemia carrier prevalence of 0.9%, with molecular findings indicating the Filipino β⁰ deletion as the most frequent allele (45.8%), followed by codon 67 (–TG) and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accounting for most obse</w:t>
      </w:r>
      <w:r>
        <w:rPr>
          <w:rFonts w:ascii="Times New Roman" w:eastAsia="Times New Roman" w:hAnsi="Times New Roman" w:cs="Times New Roman"/>
          <w:sz w:val="24"/>
          <w:szCs w:val="24"/>
        </w:rPr>
        <w:t xml:space="preserve">rved alleles. </w:t>
      </w:r>
      <w:proofErr w:type="spellStart"/>
      <w:r>
        <w:rPr>
          <w:rFonts w:ascii="Times New Roman" w:eastAsia="Times New Roman" w:hAnsi="Times New Roman" w:cs="Times New Roman"/>
          <w:sz w:val="24"/>
          <w:szCs w:val="24"/>
        </w:rPr>
        <w:t>Setianingsih</w:t>
      </w:r>
      <w:proofErr w:type="spellEnd"/>
      <w:r>
        <w:rPr>
          <w:rFonts w:ascii="Times New Roman" w:eastAsia="Times New Roman" w:hAnsi="Times New Roman" w:cs="Times New Roman"/>
          <w:sz w:val="24"/>
          <w:szCs w:val="24"/>
        </w:rPr>
        <w:t xml:space="preserve"> et al. (1999) documented phenotypic variability among individuals sharing the same Filipino β⁰-thalassemia/</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genotype, ranging from mild transfusion-independent disease to severe transfusion-dependent anemia, underscoring that </w:t>
      </w:r>
      <w:r>
        <w:rPr>
          <w:rFonts w:ascii="Times New Roman" w:eastAsia="Times New Roman" w:hAnsi="Times New Roman" w:cs="Times New Roman"/>
          <w:sz w:val="24"/>
          <w:szCs w:val="24"/>
        </w:rPr>
        <w:t>identical genotypes may yield diverse clinical outcomes.</w:t>
      </w:r>
    </w:p>
    <w:p w14:paraId="015CE260"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 xml:space="preserve">As the literature matured into the 2010s, interpretive context increasingly drew on regional synthesis and screening science. </w:t>
      </w:r>
      <w:proofErr w:type="spellStart"/>
      <w:r>
        <w:rPr>
          <w:rFonts w:ascii="Times New Roman" w:eastAsia="Times New Roman" w:hAnsi="Times New Roman" w:cs="Times New Roman"/>
          <w:sz w:val="24"/>
          <w:szCs w:val="24"/>
        </w:rPr>
        <w:t>Fucharoen</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Winichagoon</w:t>
      </w:r>
      <w:proofErr w:type="spellEnd"/>
      <w:r>
        <w:rPr>
          <w:rFonts w:ascii="Times New Roman" w:eastAsia="Times New Roman" w:hAnsi="Times New Roman" w:cs="Times New Roman"/>
          <w:sz w:val="24"/>
          <w:szCs w:val="24"/>
        </w:rPr>
        <w:t xml:space="preserve"> (2011) emphasized the high prevalence of α-thal</w:t>
      </w:r>
      <w:r>
        <w:rPr>
          <w:rFonts w:ascii="Times New Roman" w:eastAsia="Times New Roman" w:hAnsi="Times New Roman" w:cs="Times New Roman"/>
          <w:sz w:val="24"/>
          <w:szCs w:val="24"/>
        </w:rPr>
        <w:t xml:space="preserve">assemia, β-thalassemia,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and related variants across Southeast Asia and highlighted the complexity of genotype interactions underlying broad clinical spectra. </w:t>
      </w:r>
      <w:proofErr w:type="spellStart"/>
      <w:r>
        <w:rPr>
          <w:rFonts w:ascii="Times New Roman" w:eastAsia="Times New Roman" w:hAnsi="Times New Roman" w:cs="Times New Roman"/>
          <w:sz w:val="24"/>
          <w:szCs w:val="24"/>
        </w:rPr>
        <w:t>Yamsri</w:t>
      </w:r>
      <w:proofErr w:type="spellEnd"/>
      <w:r>
        <w:rPr>
          <w:rFonts w:ascii="Times New Roman" w:eastAsia="Times New Roman" w:hAnsi="Times New Roman" w:cs="Times New Roman"/>
          <w:sz w:val="24"/>
          <w:szCs w:val="24"/>
        </w:rPr>
        <w:t xml:space="preserve"> et al. (2012) reported a prenatal molecular investigation in a Thai family confirming </w:t>
      </w:r>
      <w:r>
        <w:rPr>
          <w:rFonts w:ascii="Times New Roman" w:eastAsia="Times New Roman" w:hAnsi="Times New Roman" w:cs="Times New Roman"/>
          <w:sz w:val="24"/>
          <w:szCs w:val="24"/>
        </w:rPr>
        <w:t xml:space="preserve">the Filipino deletional β⁰-thalassemia in interaction with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and α⁺-thalassemia, illustrating cross-border dissemination of Filipino-associated alleles and the value of combined hematologic and molecular diagnostics in counseling. Giordano (2013) clarifi</w:t>
      </w:r>
      <w:r>
        <w:rPr>
          <w:rFonts w:ascii="Times New Roman" w:eastAsia="Times New Roman" w:hAnsi="Times New Roman" w:cs="Times New Roman"/>
          <w:sz w:val="24"/>
          <w:szCs w:val="24"/>
        </w:rPr>
        <w:t>ed methodological considerations for newborn screening interpretation, including how hemoglobin fraction patterns and confirmatory testing influence diagnostic reliability and apparent genotype distributions.</w:t>
      </w:r>
    </w:p>
    <w:p w14:paraId="63653BF6"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 xml:space="preserve">Philippines-based laboratory and screening-era </w:t>
      </w:r>
      <w:r>
        <w:rPr>
          <w:rFonts w:ascii="Times New Roman" w:eastAsia="Times New Roman" w:hAnsi="Times New Roman" w:cs="Times New Roman"/>
          <w:sz w:val="24"/>
          <w:szCs w:val="24"/>
        </w:rPr>
        <w:t xml:space="preserve">studies provided more direct evidence but often reflected clinically enriched or program-defined populations rather than random population samples. </w:t>
      </w:r>
      <w:proofErr w:type="spellStart"/>
      <w:r>
        <w:rPr>
          <w:rFonts w:ascii="Times New Roman" w:eastAsia="Times New Roman" w:hAnsi="Times New Roman" w:cs="Times New Roman"/>
          <w:sz w:val="24"/>
          <w:szCs w:val="24"/>
        </w:rPr>
        <w:t>Silao</w:t>
      </w:r>
      <w:proofErr w:type="spellEnd"/>
      <w:r>
        <w:rPr>
          <w:rFonts w:ascii="Times New Roman" w:eastAsia="Times New Roman" w:hAnsi="Times New Roman" w:cs="Times New Roman"/>
          <w:sz w:val="24"/>
          <w:szCs w:val="24"/>
        </w:rPr>
        <w:t xml:space="preserve"> et al. (2015) analyzed referred Filipino patients screened by HPLC and reported β-thalassemia as the m</w:t>
      </w:r>
      <w:r>
        <w:rPr>
          <w:rFonts w:ascii="Times New Roman" w:eastAsia="Times New Roman" w:hAnsi="Times New Roman" w:cs="Times New Roman"/>
          <w:sz w:val="24"/>
          <w:szCs w:val="24"/>
        </w:rPr>
        <w:t xml:space="preserve">ost prevalent disorder detected, followed by α-thalassemia, with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approximately 1% and β-thalassemia/</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around 2% in that referral-based dataset. Padilla and </w:t>
      </w:r>
      <w:proofErr w:type="spellStart"/>
      <w:r>
        <w:rPr>
          <w:rFonts w:ascii="Times New Roman" w:eastAsia="Times New Roman" w:hAnsi="Times New Roman" w:cs="Times New Roman"/>
          <w:sz w:val="24"/>
          <w:szCs w:val="24"/>
        </w:rPr>
        <w:t>Cutiongco</w:t>
      </w:r>
      <w:proofErr w:type="spellEnd"/>
      <w:r>
        <w:rPr>
          <w:rFonts w:ascii="Times New Roman" w:eastAsia="Times New Roman" w:hAnsi="Times New Roman" w:cs="Times New Roman"/>
          <w:sz w:val="24"/>
          <w:szCs w:val="24"/>
        </w:rPr>
        <w:t>-de la Paz (2016) provided national context on genetics and genomic medicine and high</w:t>
      </w:r>
      <w:r>
        <w:rPr>
          <w:rFonts w:ascii="Times New Roman" w:eastAsia="Times New Roman" w:hAnsi="Times New Roman" w:cs="Times New Roman"/>
          <w:sz w:val="24"/>
          <w:szCs w:val="24"/>
        </w:rPr>
        <w:t>lighted the expanding role of newborn screening and genetic services alongside persistent system constraints, although genotype frequencies were not reported. Galicia (2016–2017) evaluated 49,600 screened newborns in Central Luzon and confirmed 427 hemoglo</w:t>
      </w:r>
      <w:r>
        <w:rPr>
          <w:rFonts w:ascii="Times New Roman" w:eastAsia="Times New Roman" w:hAnsi="Times New Roman" w:cs="Times New Roman"/>
          <w:sz w:val="24"/>
          <w:szCs w:val="24"/>
        </w:rPr>
        <w:t xml:space="preserve">binopathy cases (~86 per 10,000), with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trait as the most </w:t>
      </w:r>
      <w:r>
        <w:rPr>
          <w:rFonts w:ascii="Times New Roman" w:eastAsia="Times New Roman" w:hAnsi="Times New Roman" w:cs="Times New Roman"/>
          <w:sz w:val="24"/>
          <w:szCs w:val="24"/>
        </w:rPr>
        <w:lastRenderedPageBreak/>
        <w:t xml:space="preserve">prevalent confirmed genotype (69.3%), followed by </w:t>
      </w:r>
      <w:proofErr w:type="spellStart"/>
      <w:r>
        <w:rPr>
          <w:rFonts w:ascii="Times New Roman" w:eastAsia="Times New Roman" w:hAnsi="Times New Roman" w:cs="Times New Roman"/>
          <w:sz w:val="24"/>
          <w:szCs w:val="24"/>
        </w:rPr>
        <w:t>HbD</w:t>
      </w:r>
      <w:proofErr w:type="spellEnd"/>
      <w:r>
        <w:rPr>
          <w:rFonts w:ascii="Times New Roman" w:eastAsia="Times New Roman" w:hAnsi="Times New Roman" w:cs="Times New Roman"/>
          <w:sz w:val="24"/>
          <w:szCs w:val="24"/>
        </w:rPr>
        <w:t xml:space="preserve"> trait (10.3%) and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disease/three α-gene deletions (8.4%), indicating that newborn screening can reveal regionally prominent genotype patte</w:t>
      </w:r>
      <w:r>
        <w:rPr>
          <w:rFonts w:ascii="Times New Roman" w:eastAsia="Times New Roman" w:hAnsi="Times New Roman" w:cs="Times New Roman"/>
          <w:sz w:val="24"/>
          <w:szCs w:val="24"/>
        </w:rPr>
        <w:t xml:space="preserve">rns. </w:t>
      </w:r>
      <w:proofErr w:type="spellStart"/>
      <w:r>
        <w:rPr>
          <w:rFonts w:ascii="Times New Roman" w:eastAsia="Times New Roman" w:hAnsi="Times New Roman" w:cs="Times New Roman"/>
          <w:sz w:val="24"/>
          <w:szCs w:val="24"/>
        </w:rPr>
        <w:t>Silao</w:t>
      </w:r>
      <w:proofErr w:type="spellEnd"/>
      <w:r>
        <w:rPr>
          <w:rFonts w:ascii="Times New Roman" w:eastAsia="Times New Roman" w:hAnsi="Times New Roman" w:cs="Times New Roman"/>
          <w:sz w:val="24"/>
          <w:szCs w:val="24"/>
        </w:rPr>
        <w:t xml:space="preserve"> et al. (2017) used an HBB strip assay in β-thalassemia patients and found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as the most frequent detected allele (20%) while many cases appeared “normal” on the strip panel, supporting the conclusion that targeted panels may miss Filipino-rele</w:t>
      </w:r>
      <w:r>
        <w:rPr>
          <w:rFonts w:ascii="Times New Roman" w:eastAsia="Times New Roman" w:hAnsi="Times New Roman" w:cs="Times New Roman"/>
          <w:sz w:val="24"/>
          <w:szCs w:val="24"/>
        </w:rPr>
        <w:t>vant β-globin mutations and that sequencing-based approaches may be needed for fuller characterization.</w:t>
      </w:r>
    </w:p>
    <w:p w14:paraId="3DBA4A53"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 xml:space="preserve">Studies focused on specific Philippine subpopulations further demonstrated how sampling frames shape observed genotype distributions. </w:t>
      </w:r>
      <w:proofErr w:type="spellStart"/>
      <w:r>
        <w:rPr>
          <w:rFonts w:ascii="Times New Roman" w:eastAsia="Times New Roman" w:hAnsi="Times New Roman" w:cs="Times New Roman"/>
          <w:sz w:val="24"/>
          <w:szCs w:val="24"/>
        </w:rPr>
        <w:t>Capanzana</w:t>
      </w:r>
      <w:proofErr w:type="spellEnd"/>
      <w:r>
        <w:rPr>
          <w:rFonts w:ascii="Times New Roman" w:eastAsia="Times New Roman" w:hAnsi="Times New Roman" w:cs="Times New Roman"/>
          <w:sz w:val="24"/>
          <w:szCs w:val="24"/>
        </w:rPr>
        <w:t xml:space="preserve"> et al. (</w:t>
      </w:r>
      <w:r>
        <w:rPr>
          <w:rFonts w:ascii="Times New Roman" w:eastAsia="Times New Roman" w:hAnsi="Times New Roman" w:cs="Times New Roman"/>
          <w:sz w:val="24"/>
          <w:szCs w:val="24"/>
        </w:rPr>
        <w:t xml:space="preserve">2018) assessed anemic individuals in Metro Manila using capillary electrophoresis and ferritin testing and found that 27.8% had underlying hemoglobinopathies, predominantly α-thalassemia trait (20.8%) and β-thalassemia trait (5%), with less frequent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-re</w:t>
      </w:r>
      <w:r>
        <w:rPr>
          <w:rFonts w:ascii="Times New Roman" w:eastAsia="Times New Roman" w:hAnsi="Times New Roman" w:cs="Times New Roman"/>
          <w:sz w:val="24"/>
          <w:szCs w:val="24"/>
        </w:rPr>
        <w:t>lated findings, and noted that many carriers had normal or elevated iron stores, highlighting risks of misclassifying inherited anemia as iron deficiency. Fabella et al. (2018) evaluated suspected α-thalassemia cases using an α-globin strip assay and repor</w:t>
      </w:r>
      <w:r>
        <w:rPr>
          <w:rFonts w:ascii="Times New Roman" w:eastAsia="Times New Roman" w:hAnsi="Times New Roman" w:cs="Times New Roman"/>
          <w:sz w:val="24"/>
          <w:szCs w:val="24"/>
        </w:rPr>
        <w:t xml:space="preserve">ted that two-gene deletions, particularly </w:t>
      </w:r>
      <w:r>
        <w:rPr>
          <w:rFonts w:ascii="Times New Roman" w:eastAsia="Times New Roman" w:hAnsi="Times New Roman" w:cs="Times New Roman"/>
          <w:sz w:val="24"/>
          <w:szCs w:val="24"/>
          <w:shd w:val="clear" w:color="auto" w:fill="FFFF00"/>
        </w:rPr>
        <w:t>(--FIL/αα) and (--SEA/αα),</w:t>
      </w:r>
      <w:r>
        <w:rPr>
          <w:rFonts w:ascii="Times New Roman" w:eastAsia="Times New Roman" w:hAnsi="Times New Roman" w:cs="Times New Roman"/>
          <w:sz w:val="24"/>
          <w:szCs w:val="24"/>
        </w:rPr>
        <w:t xml:space="preserve"> were most prevalent, while three-gene deletions were associated with lower hemoglobin levels. Lim et al. (2020) studied Filipino β⁰-deletion carriers in Sabah, including individuals co-in</w:t>
      </w:r>
      <w:r>
        <w:rPr>
          <w:rFonts w:ascii="Times New Roman" w:eastAsia="Times New Roman" w:hAnsi="Times New Roman" w:cs="Times New Roman"/>
          <w:sz w:val="24"/>
          <w:szCs w:val="24"/>
        </w:rPr>
        <w:t>heriting −α3.7, and identified modifier loci (HBS1L-MYB) associated with higher fetal hemoglobin, offering a mechanistic explanation for observed phenotype variability.</w:t>
      </w:r>
    </w:p>
    <w:p w14:paraId="2EC21E0E"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 xml:space="preserve">In the early 2020s, molecular and programmatic evidence expanded the mutation spectrum </w:t>
      </w:r>
      <w:r>
        <w:rPr>
          <w:rFonts w:ascii="Times New Roman" w:eastAsia="Times New Roman" w:hAnsi="Times New Roman" w:cs="Times New Roman"/>
          <w:sz w:val="24"/>
          <w:szCs w:val="24"/>
        </w:rPr>
        <w:t xml:space="preserve">and implementation context, although much of the molecular evidence remained referral-based. </w:t>
      </w:r>
      <w:proofErr w:type="spellStart"/>
      <w:r>
        <w:rPr>
          <w:rFonts w:ascii="Times New Roman" w:eastAsia="Times New Roman" w:hAnsi="Times New Roman" w:cs="Times New Roman"/>
          <w:sz w:val="24"/>
          <w:szCs w:val="24"/>
        </w:rPr>
        <w:t>Silao</w:t>
      </w:r>
      <w:proofErr w:type="spellEnd"/>
      <w:r>
        <w:rPr>
          <w:rFonts w:ascii="Times New Roman" w:eastAsia="Times New Roman" w:hAnsi="Times New Roman" w:cs="Times New Roman"/>
          <w:sz w:val="24"/>
          <w:szCs w:val="24"/>
        </w:rPr>
        <w:t xml:space="preserve"> et al. (2021) analyzed suspected α-thalassemia cases and reported common deletional genotypes including (–SEA/αα) 30.38%, (–α³·⁷/–SEA) 24.62%, and (–α³·⁷/–FI</w:t>
      </w:r>
      <w:r>
        <w:rPr>
          <w:rFonts w:ascii="Times New Roman" w:eastAsia="Times New Roman" w:hAnsi="Times New Roman" w:cs="Times New Roman"/>
          <w:sz w:val="24"/>
          <w:szCs w:val="24"/>
        </w:rPr>
        <w:t xml:space="preserve">L) 20.77%, concluding that the observed spectrum implies meaningful risk for severe α-thalassemia outcomes such as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and Hb Bart’s hydrops fetalis. Padilla et al. (2021) documented national implementation of newborn screening for hemoglobin disor</w:t>
      </w:r>
      <w:r>
        <w:rPr>
          <w:rFonts w:ascii="Times New Roman" w:eastAsia="Times New Roman" w:hAnsi="Times New Roman" w:cs="Times New Roman"/>
          <w:sz w:val="24"/>
          <w:szCs w:val="24"/>
        </w:rPr>
        <w:t xml:space="preserve">ders, emphasizing coverage exceeding 90% and confirmatory workflows using capillary electrophoresis and molecular methods, representing a transition from fragmented detection toward systematic population-level case finding. </w:t>
      </w:r>
      <w:proofErr w:type="spellStart"/>
      <w:r>
        <w:rPr>
          <w:rFonts w:ascii="Times New Roman" w:eastAsia="Times New Roman" w:hAnsi="Times New Roman" w:cs="Times New Roman"/>
          <w:sz w:val="24"/>
          <w:szCs w:val="24"/>
        </w:rPr>
        <w:t>Yuson</w:t>
      </w:r>
      <w:proofErr w:type="spellEnd"/>
      <w:r>
        <w:rPr>
          <w:rFonts w:ascii="Times New Roman" w:eastAsia="Times New Roman" w:hAnsi="Times New Roman" w:cs="Times New Roman"/>
          <w:sz w:val="24"/>
          <w:szCs w:val="24"/>
        </w:rPr>
        <w:t xml:space="preserve"> and Naranjo (2022) synthes</w:t>
      </w:r>
      <w:r>
        <w:rPr>
          <w:rFonts w:ascii="Times New Roman" w:eastAsia="Times New Roman" w:hAnsi="Times New Roman" w:cs="Times New Roman"/>
          <w:sz w:val="24"/>
          <w:szCs w:val="24"/>
        </w:rPr>
        <w:t>ized national experience and care gaps in a narrative review, reinforcing the need for sustained screening and health system strengthening. de Castro Jr. et al. (2023) surveyed pediatric hematologists nationwide and reported that most had managed newborn-s</w:t>
      </w:r>
      <w:r>
        <w:rPr>
          <w:rFonts w:ascii="Times New Roman" w:eastAsia="Times New Roman" w:hAnsi="Times New Roman" w:cs="Times New Roman"/>
          <w:sz w:val="24"/>
          <w:szCs w:val="24"/>
        </w:rPr>
        <w:t>creening–identified hemoglobinopathy cases while also identifying bottlenecks such as protocol uncertainty and confirmatory delays that can influence confirmation and recording of genotypes. Velasco et al. (2023) reviewed thalassemia genotyping records fro</w:t>
      </w:r>
      <w:r>
        <w:rPr>
          <w:rFonts w:ascii="Times New Roman" w:eastAsia="Times New Roman" w:hAnsi="Times New Roman" w:cs="Times New Roman"/>
          <w:sz w:val="24"/>
          <w:szCs w:val="24"/>
        </w:rPr>
        <w:t>m 2012–2022 and reported an overall positivity rate of approximately 69%, with α-thalassemia constituting 65.77% of positive results, β-thalassemia at 3.45%, and the SEA deletion as the most frequent finding, underscoring both the predominance of α-thalass</w:t>
      </w:r>
      <w:r>
        <w:rPr>
          <w:rFonts w:ascii="Times New Roman" w:eastAsia="Times New Roman" w:hAnsi="Times New Roman" w:cs="Times New Roman"/>
          <w:sz w:val="24"/>
          <w:szCs w:val="24"/>
        </w:rPr>
        <w:t>emia mutations and referral clustering toward areas with greater access to molecular testing.</w:t>
      </w:r>
    </w:p>
    <w:p w14:paraId="6807D8FF" w14:textId="77777777" w:rsidR="00FB2344" w:rsidRDefault="00243FCF">
      <w:pPr>
        <w:pStyle w:val="BodyText"/>
        <w:spacing w:before="240" w:after="120" w:line="240" w:lineRule="auto"/>
        <w:jc w:val="both"/>
        <w:rPr>
          <w:rFonts w:ascii="Times New Roman" w:hAnsi="Times New Roman"/>
          <w:sz w:val="24"/>
          <w:szCs w:val="24"/>
        </w:rPr>
      </w:pPr>
      <w:r>
        <w:rPr>
          <w:rFonts w:ascii="Times New Roman" w:eastAsia="Times New Roman" w:hAnsi="Times New Roman" w:cs="Times New Roman"/>
          <w:sz w:val="24"/>
          <w:szCs w:val="24"/>
        </w:rPr>
        <w:t>Late-period cross-border and diaspora reports reinforced the importance of diagnostic technology and follow-up in interpreting genotype “frequencies.” Chen et al.</w:t>
      </w:r>
      <w:r>
        <w:rPr>
          <w:rFonts w:ascii="Times New Roman" w:eastAsia="Times New Roman" w:hAnsi="Times New Roman" w:cs="Times New Roman"/>
          <w:sz w:val="24"/>
          <w:szCs w:val="24"/>
        </w:rPr>
        <w:t xml:space="preserve"> (2024) reported a Chinese family in which advanced molecular testing identified a paternal Filipino β⁰ deletion contributing to transfusion-dependent β-thalassemia, demonstrating how higher-resolution platforms can reveal Filipino-associated deletions in </w:t>
      </w:r>
      <w:r>
        <w:rPr>
          <w:rFonts w:ascii="Times New Roman" w:eastAsia="Times New Roman" w:hAnsi="Times New Roman" w:cs="Times New Roman"/>
          <w:sz w:val="24"/>
          <w:szCs w:val="24"/>
        </w:rPr>
        <w:t xml:space="preserve">unexpected settings. Catalan et al. (2025) reviewed Filipino adults in a diaspora primary care setting and found that despite large numbers screened and retained as suspected thalassemia, only a small fraction </w:t>
      </w:r>
      <w:proofErr w:type="gramStart"/>
      <w:r>
        <w:rPr>
          <w:rFonts w:ascii="Times New Roman" w:eastAsia="Times New Roman" w:hAnsi="Times New Roman" w:cs="Times New Roman"/>
          <w:sz w:val="24"/>
          <w:szCs w:val="24"/>
        </w:rPr>
        <w:t>were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laboratory-confirmed, with α-thalassemia </w:t>
      </w:r>
      <w:r>
        <w:rPr>
          <w:rFonts w:ascii="Times New Roman" w:eastAsia="Times New Roman" w:hAnsi="Times New Roman" w:cs="Times New Roman"/>
          <w:sz w:val="24"/>
          <w:szCs w:val="24"/>
        </w:rPr>
        <w:t xml:space="preserve">trait most common among confirmed cases, followed by β-thalassemia trait and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indicating that incomplete confirmatory testing can bias observed distributions toward suspected rather than confirmed genotypes. Taken together, these studies show t</w:t>
      </w:r>
      <w:r>
        <w:rPr>
          <w:rFonts w:ascii="Times New Roman" w:eastAsia="Times New Roman" w:hAnsi="Times New Roman" w:cs="Times New Roman"/>
          <w:sz w:val="24"/>
          <w:szCs w:val="24"/>
        </w:rPr>
        <w:t>hat Philippine hemoglobin genotype evidence has expanded most rapidly in the screening-and-genotyping era, but published estimates remain strongly contingent on diagnostic era, sampling frame, and confirmation practices; thus, the most defensible interpret</w:t>
      </w:r>
      <w:r>
        <w:rPr>
          <w:rFonts w:ascii="Times New Roman" w:eastAsia="Times New Roman" w:hAnsi="Times New Roman" w:cs="Times New Roman"/>
          <w:sz w:val="24"/>
          <w:szCs w:val="24"/>
        </w:rPr>
        <w:t>ation is era- and frame-specific while recognizing the consistent prominence of α- and β-</w:t>
      </w:r>
      <w:proofErr w:type="spellStart"/>
      <w:r>
        <w:rPr>
          <w:rFonts w:ascii="Times New Roman" w:eastAsia="Times New Roman" w:hAnsi="Times New Roman" w:cs="Times New Roman"/>
          <w:sz w:val="24"/>
          <w:szCs w:val="24"/>
        </w:rPr>
        <w:t>thalassemias</w:t>
      </w:r>
      <w:proofErr w:type="spellEnd"/>
      <w:r>
        <w:rPr>
          <w:rFonts w:ascii="Times New Roman" w:eastAsia="Times New Roman" w:hAnsi="Times New Roman" w:cs="Times New Roman"/>
          <w:sz w:val="24"/>
          <w:szCs w:val="24"/>
        </w:rPr>
        <w:t xml:space="preserve"> and the sustained clinical relevance of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across Filipino-related datasets.</w:t>
      </w:r>
    </w:p>
    <w:p w14:paraId="101CADA5" w14:textId="77777777" w:rsidR="00FB2344" w:rsidRDefault="00FB2344">
      <w:pPr>
        <w:pStyle w:val="BodyText"/>
        <w:spacing w:before="240" w:after="120" w:line="240" w:lineRule="auto"/>
        <w:jc w:val="both"/>
        <w:rPr>
          <w:rFonts w:ascii="Times New Roman" w:eastAsia="Times New Roman" w:hAnsi="Times New Roman" w:cs="Times New Roman"/>
          <w:sz w:val="24"/>
          <w:szCs w:val="24"/>
        </w:rPr>
      </w:pPr>
    </w:p>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2283"/>
        <w:gridCol w:w="2284"/>
        <w:gridCol w:w="2285"/>
        <w:gridCol w:w="2284"/>
      </w:tblGrid>
      <w:tr w:rsidR="00FB2344" w14:paraId="6A70F06E" w14:textId="77777777">
        <w:tc>
          <w:tcPr>
            <w:tcW w:w="9025" w:type="dxa"/>
            <w:gridSpan w:val="4"/>
            <w:tcBorders>
              <w:top w:val="single" w:sz="4" w:space="0" w:color="000000"/>
              <w:left w:val="single" w:sz="4" w:space="0" w:color="000000"/>
              <w:bottom w:val="single" w:sz="4" w:space="0" w:color="000000"/>
              <w:right w:val="single" w:sz="4" w:space="0" w:color="000000"/>
            </w:tcBorders>
          </w:tcPr>
          <w:p w14:paraId="373E41D9"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b/>
                <w:bCs/>
                <w:sz w:val="24"/>
                <w:szCs w:val="24"/>
              </w:rPr>
              <w:t xml:space="preserve">Table 1. Summary of Key Studies on Hemoglobin Genotype Distribution </w:t>
            </w:r>
            <w:r>
              <w:rPr>
                <w:rFonts w:ascii="Times New Roman" w:eastAsia="Times New Roman" w:hAnsi="Times New Roman" w:cs="Times New Roman"/>
                <w:b/>
                <w:bCs/>
                <w:sz w:val="24"/>
                <w:szCs w:val="24"/>
              </w:rPr>
              <w:t>Relevant to Filipinos (1958–2025)</w:t>
            </w:r>
          </w:p>
        </w:tc>
      </w:tr>
      <w:tr w:rsidR="00FB2344" w14:paraId="2FC40F46" w14:textId="77777777">
        <w:tc>
          <w:tcPr>
            <w:tcW w:w="2256" w:type="dxa"/>
            <w:tcBorders>
              <w:left w:val="single" w:sz="4" w:space="0" w:color="000000"/>
              <w:bottom w:val="single" w:sz="4" w:space="0" w:color="000000"/>
            </w:tcBorders>
          </w:tcPr>
          <w:p w14:paraId="09C49A8F"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b/>
                <w:bCs/>
                <w:sz w:val="24"/>
                <w:szCs w:val="24"/>
              </w:rPr>
              <w:t>Author(s), Year</w:t>
            </w:r>
          </w:p>
        </w:tc>
        <w:tc>
          <w:tcPr>
            <w:tcW w:w="2256" w:type="dxa"/>
            <w:tcBorders>
              <w:left w:val="single" w:sz="4" w:space="0" w:color="000000"/>
              <w:bottom w:val="single" w:sz="4" w:space="0" w:color="000000"/>
            </w:tcBorders>
          </w:tcPr>
          <w:p w14:paraId="566A1752"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b/>
                <w:bCs/>
                <w:sz w:val="24"/>
                <w:szCs w:val="24"/>
              </w:rPr>
              <w:t>Population frame / study design</w:t>
            </w:r>
          </w:p>
        </w:tc>
        <w:tc>
          <w:tcPr>
            <w:tcW w:w="2257" w:type="dxa"/>
            <w:tcBorders>
              <w:left w:val="single" w:sz="4" w:space="0" w:color="000000"/>
              <w:bottom w:val="single" w:sz="4" w:space="0" w:color="000000"/>
            </w:tcBorders>
          </w:tcPr>
          <w:p w14:paraId="3F0D878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b/>
                <w:bCs/>
                <w:sz w:val="24"/>
                <w:szCs w:val="24"/>
              </w:rPr>
              <w:t>Diagnostic platform or data source</w:t>
            </w:r>
          </w:p>
        </w:tc>
        <w:tc>
          <w:tcPr>
            <w:tcW w:w="2256" w:type="dxa"/>
            <w:tcBorders>
              <w:left w:val="single" w:sz="4" w:space="0" w:color="000000"/>
              <w:bottom w:val="single" w:sz="4" w:space="0" w:color="000000"/>
              <w:right w:val="single" w:sz="4" w:space="0" w:color="000000"/>
            </w:tcBorders>
          </w:tcPr>
          <w:p w14:paraId="0515C8C6"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b/>
                <w:bCs/>
                <w:sz w:val="24"/>
                <w:szCs w:val="24"/>
              </w:rPr>
              <w:t>Key genotype-related contribution</w:t>
            </w:r>
          </w:p>
        </w:tc>
      </w:tr>
      <w:tr w:rsidR="00FB2344" w14:paraId="2DE8A177" w14:textId="77777777">
        <w:tc>
          <w:tcPr>
            <w:tcW w:w="2256" w:type="dxa"/>
            <w:tcBorders>
              <w:left w:val="single" w:sz="4" w:space="0" w:color="000000"/>
              <w:bottom w:val="single" w:sz="4" w:space="0" w:color="000000"/>
            </w:tcBorders>
          </w:tcPr>
          <w:p w14:paraId="0F8AC4E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Wolff et al., 1958</w:t>
            </w:r>
          </w:p>
        </w:tc>
        <w:tc>
          <w:tcPr>
            <w:tcW w:w="2256" w:type="dxa"/>
            <w:tcBorders>
              <w:left w:val="single" w:sz="4" w:space="0" w:color="000000"/>
              <w:bottom w:val="single" w:sz="4" w:space="0" w:color="000000"/>
            </w:tcBorders>
          </w:tcPr>
          <w:p w14:paraId="59AF940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Clinical/ancestry-linked report</w:t>
            </w:r>
          </w:p>
        </w:tc>
        <w:tc>
          <w:tcPr>
            <w:tcW w:w="2257" w:type="dxa"/>
            <w:tcBorders>
              <w:left w:val="single" w:sz="4" w:space="0" w:color="000000"/>
              <w:bottom w:val="single" w:sz="4" w:space="0" w:color="000000"/>
            </w:tcBorders>
          </w:tcPr>
          <w:p w14:paraId="3FCF85E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Hematology + electrophoretic-era methods</w:t>
            </w:r>
          </w:p>
        </w:tc>
        <w:tc>
          <w:tcPr>
            <w:tcW w:w="2256" w:type="dxa"/>
            <w:tcBorders>
              <w:left w:val="single" w:sz="4" w:space="0" w:color="000000"/>
              <w:bottom w:val="single" w:sz="4" w:space="0" w:color="000000"/>
              <w:right w:val="single" w:sz="4" w:space="0" w:color="000000"/>
            </w:tcBorders>
          </w:tcPr>
          <w:p w14:paraId="1751885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Early </w:t>
            </w:r>
            <w:r>
              <w:rPr>
                <w:rFonts w:ascii="Times New Roman" w:eastAsia="Times New Roman" w:hAnsi="Times New Roman" w:cs="Times New Roman"/>
                <w:sz w:val="24"/>
                <w:szCs w:val="24"/>
              </w:rPr>
              <w:t xml:space="preserve">evidence of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in Filipino parentage context</w:t>
            </w:r>
          </w:p>
        </w:tc>
      </w:tr>
      <w:tr w:rsidR="00FB2344" w14:paraId="58E18E23" w14:textId="77777777">
        <w:tc>
          <w:tcPr>
            <w:tcW w:w="2256" w:type="dxa"/>
            <w:tcBorders>
              <w:left w:val="single" w:sz="4" w:space="0" w:color="000000"/>
              <w:bottom w:val="single" w:sz="4" w:space="0" w:color="000000"/>
            </w:tcBorders>
          </w:tcPr>
          <w:p w14:paraId="5087119E"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Horne et al., 1978</w:t>
            </w:r>
          </w:p>
        </w:tc>
        <w:tc>
          <w:tcPr>
            <w:tcW w:w="2256" w:type="dxa"/>
            <w:tcBorders>
              <w:left w:val="single" w:sz="4" w:space="0" w:color="000000"/>
              <w:bottom w:val="single" w:sz="4" w:space="0" w:color="000000"/>
            </w:tcBorders>
          </w:tcPr>
          <w:p w14:paraId="68BBCDD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Family series (Filipino families)</w:t>
            </w:r>
          </w:p>
        </w:tc>
        <w:tc>
          <w:tcPr>
            <w:tcW w:w="2257" w:type="dxa"/>
            <w:tcBorders>
              <w:left w:val="single" w:sz="4" w:space="0" w:color="000000"/>
              <w:bottom w:val="single" w:sz="4" w:space="0" w:color="000000"/>
            </w:tcBorders>
          </w:tcPr>
          <w:p w14:paraId="07D56D9B"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Electrophoretic-era methods</w:t>
            </w:r>
          </w:p>
        </w:tc>
        <w:tc>
          <w:tcPr>
            <w:tcW w:w="2256" w:type="dxa"/>
            <w:tcBorders>
              <w:left w:val="single" w:sz="4" w:space="0" w:color="000000"/>
              <w:bottom w:val="single" w:sz="4" w:space="0" w:color="000000"/>
              <w:right w:val="single" w:sz="4" w:space="0" w:color="000000"/>
            </w:tcBorders>
          </w:tcPr>
          <w:p w14:paraId="21DA9061"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in Filipino families; inheritance noted</w:t>
            </w:r>
          </w:p>
        </w:tc>
      </w:tr>
      <w:tr w:rsidR="00FB2344" w14:paraId="447A95A5" w14:textId="77777777">
        <w:tc>
          <w:tcPr>
            <w:tcW w:w="2256" w:type="dxa"/>
            <w:tcBorders>
              <w:left w:val="single" w:sz="4" w:space="0" w:color="000000"/>
              <w:bottom w:val="single" w:sz="4" w:space="0" w:color="000000"/>
            </w:tcBorders>
          </w:tcPr>
          <w:p w14:paraId="6016B7B2"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Hall, 1991</w:t>
            </w:r>
          </w:p>
        </w:tc>
        <w:tc>
          <w:tcPr>
            <w:tcW w:w="2256" w:type="dxa"/>
            <w:tcBorders>
              <w:left w:val="single" w:sz="4" w:space="0" w:color="000000"/>
              <w:bottom w:val="single" w:sz="4" w:space="0" w:color="000000"/>
            </w:tcBorders>
          </w:tcPr>
          <w:p w14:paraId="6291FF7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Community screening (diaspora)</w:t>
            </w:r>
          </w:p>
        </w:tc>
        <w:tc>
          <w:tcPr>
            <w:tcW w:w="2257" w:type="dxa"/>
            <w:tcBorders>
              <w:left w:val="single" w:sz="4" w:space="0" w:color="000000"/>
              <w:bottom w:val="single" w:sz="4" w:space="0" w:color="000000"/>
            </w:tcBorders>
          </w:tcPr>
          <w:p w14:paraId="1602E708"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CBC indices + </w:t>
            </w:r>
            <w:proofErr w:type="spellStart"/>
            <w:r>
              <w:rPr>
                <w:rFonts w:ascii="Times New Roman" w:eastAsia="Times New Roman" w:hAnsi="Times New Roman" w:cs="Times New Roman"/>
                <w:sz w:val="24"/>
                <w:szCs w:val="24"/>
              </w:rPr>
              <w:t>HbA</w:t>
            </w:r>
            <w:proofErr w:type="spellEnd"/>
            <w:r>
              <w:rPr>
                <w:rFonts w:ascii="Times New Roman" w:eastAsia="Times New Roman" w:hAnsi="Times New Roman" w:cs="Times New Roman"/>
                <w:sz w:val="24"/>
                <w:szCs w:val="24"/>
              </w:rPr>
              <w:t>₂</w:t>
            </w:r>
          </w:p>
        </w:tc>
        <w:tc>
          <w:tcPr>
            <w:tcW w:w="2256" w:type="dxa"/>
            <w:tcBorders>
              <w:left w:val="single" w:sz="4" w:space="0" w:color="000000"/>
              <w:bottom w:val="single" w:sz="4" w:space="0" w:color="000000"/>
              <w:right w:val="single" w:sz="4" w:space="0" w:color="000000"/>
            </w:tcBorders>
          </w:tcPr>
          <w:p w14:paraId="0865CD1D"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Thalassemia prevalence estimate among Filipinos (40.5%)</w:t>
            </w:r>
          </w:p>
        </w:tc>
      </w:tr>
      <w:tr w:rsidR="00FB2344" w14:paraId="303511C1" w14:textId="77777777">
        <w:tc>
          <w:tcPr>
            <w:tcW w:w="2256" w:type="dxa"/>
            <w:tcBorders>
              <w:left w:val="single" w:sz="4" w:space="0" w:color="000000"/>
              <w:bottom w:val="single" w:sz="4" w:space="0" w:color="000000"/>
            </w:tcBorders>
          </w:tcPr>
          <w:p w14:paraId="2DCBB90E"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Ko et al., 1998</w:t>
            </w:r>
          </w:p>
        </w:tc>
        <w:tc>
          <w:tcPr>
            <w:tcW w:w="2256" w:type="dxa"/>
            <w:tcBorders>
              <w:left w:val="single" w:sz="4" w:space="0" w:color="000000"/>
              <w:bottom w:val="single" w:sz="4" w:space="0" w:color="000000"/>
            </w:tcBorders>
          </w:tcPr>
          <w:p w14:paraId="7B8706F4"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Population screening (healthy Filipinos) + mutation analysis</w:t>
            </w:r>
          </w:p>
        </w:tc>
        <w:tc>
          <w:tcPr>
            <w:tcW w:w="2257" w:type="dxa"/>
            <w:tcBorders>
              <w:left w:val="single" w:sz="4" w:space="0" w:color="000000"/>
              <w:bottom w:val="single" w:sz="4" w:space="0" w:color="000000"/>
            </w:tcBorders>
          </w:tcPr>
          <w:p w14:paraId="0622B9AD"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Screening + molecular characterization</w:t>
            </w:r>
          </w:p>
        </w:tc>
        <w:tc>
          <w:tcPr>
            <w:tcW w:w="2256" w:type="dxa"/>
            <w:tcBorders>
              <w:left w:val="single" w:sz="4" w:space="0" w:color="000000"/>
              <w:bottom w:val="single" w:sz="4" w:space="0" w:color="000000"/>
              <w:right w:val="single" w:sz="4" w:space="0" w:color="000000"/>
            </w:tcBorders>
          </w:tcPr>
          <w:p w14:paraId="7D39DF36"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β-thalassemia carrier prevalence (0.9%); Filipino β⁰ deletion dominant allele</w:t>
            </w:r>
          </w:p>
        </w:tc>
      </w:tr>
      <w:tr w:rsidR="00FB2344" w14:paraId="3C6CE442" w14:textId="77777777">
        <w:tc>
          <w:tcPr>
            <w:tcW w:w="2256" w:type="dxa"/>
            <w:tcBorders>
              <w:left w:val="single" w:sz="4" w:space="0" w:color="000000"/>
              <w:bottom w:val="single" w:sz="4" w:space="0" w:color="000000"/>
            </w:tcBorders>
          </w:tcPr>
          <w:p w14:paraId="7EF6EBC1"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Seti</w:t>
            </w:r>
            <w:r>
              <w:rPr>
                <w:rFonts w:ascii="Times New Roman" w:eastAsia="Times New Roman" w:hAnsi="Times New Roman" w:cs="Times New Roman"/>
                <w:sz w:val="24"/>
                <w:szCs w:val="24"/>
              </w:rPr>
              <w:t>aningsih</w:t>
            </w:r>
            <w:proofErr w:type="spellEnd"/>
            <w:r>
              <w:rPr>
                <w:rFonts w:ascii="Times New Roman" w:eastAsia="Times New Roman" w:hAnsi="Times New Roman" w:cs="Times New Roman"/>
                <w:sz w:val="24"/>
                <w:szCs w:val="24"/>
              </w:rPr>
              <w:t xml:space="preserve"> et al., 1999</w:t>
            </w:r>
          </w:p>
        </w:tc>
        <w:tc>
          <w:tcPr>
            <w:tcW w:w="2256" w:type="dxa"/>
            <w:tcBorders>
              <w:left w:val="single" w:sz="4" w:space="0" w:color="000000"/>
              <w:bottom w:val="single" w:sz="4" w:space="0" w:color="000000"/>
            </w:tcBorders>
          </w:tcPr>
          <w:p w14:paraId="61BF58B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Genotype–phenotype report</w:t>
            </w:r>
          </w:p>
        </w:tc>
        <w:tc>
          <w:tcPr>
            <w:tcW w:w="2257" w:type="dxa"/>
            <w:tcBorders>
              <w:left w:val="single" w:sz="4" w:space="0" w:color="000000"/>
              <w:bottom w:val="single" w:sz="4" w:space="0" w:color="000000"/>
            </w:tcBorders>
          </w:tcPr>
          <w:p w14:paraId="04BBBD1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Molecular confirmation</w:t>
            </w:r>
          </w:p>
        </w:tc>
        <w:tc>
          <w:tcPr>
            <w:tcW w:w="2256" w:type="dxa"/>
            <w:tcBorders>
              <w:left w:val="single" w:sz="4" w:space="0" w:color="000000"/>
              <w:bottom w:val="single" w:sz="4" w:space="0" w:color="000000"/>
              <w:right w:val="single" w:sz="4" w:space="0" w:color="000000"/>
            </w:tcBorders>
          </w:tcPr>
          <w:p w14:paraId="315246A5"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Clinical variability in Filipino β⁰-thalassemia/</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genotype</w:t>
            </w:r>
          </w:p>
        </w:tc>
      </w:tr>
      <w:tr w:rsidR="00FB2344" w14:paraId="6C228219" w14:textId="77777777">
        <w:tc>
          <w:tcPr>
            <w:tcW w:w="2256" w:type="dxa"/>
            <w:tcBorders>
              <w:left w:val="single" w:sz="4" w:space="0" w:color="000000"/>
              <w:bottom w:val="single" w:sz="4" w:space="0" w:color="000000"/>
            </w:tcBorders>
          </w:tcPr>
          <w:p w14:paraId="387D9A49"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Fucharoen</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Winichagoon</w:t>
            </w:r>
            <w:proofErr w:type="spellEnd"/>
            <w:r>
              <w:rPr>
                <w:rFonts w:ascii="Times New Roman" w:eastAsia="Times New Roman" w:hAnsi="Times New Roman" w:cs="Times New Roman"/>
                <w:sz w:val="24"/>
                <w:szCs w:val="24"/>
              </w:rPr>
              <w:t>, 2011</w:t>
            </w:r>
          </w:p>
        </w:tc>
        <w:tc>
          <w:tcPr>
            <w:tcW w:w="2256" w:type="dxa"/>
            <w:tcBorders>
              <w:left w:val="single" w:sz="4" w:space="0" w:color="000000"/>
              <w:bottom w:val="single" w:sz="4" w:space="0" w:color="000000"/>
            </w:tcBorders>
          </w:tcPr>
          <w:p w14:paraId="4594A1F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Regional synthesis</w:t>
            </w:r>
          </w:p>
        </w:tc>
        <w:tc>
          <w:tcPr>
            <w:tcW w:w="2257" w:type="dxa"/>
            <w:tcBorders>
              <w:left w:val="single" w:sz="4" w:space="0" w:color="000000"/>
              <w:bottom w:val="single" w:sz="4" w:space="0" w:color="000000"/>
            </w:tcBorders>
          </w:tcPr>
          <w:p w14:paraId="7217149D"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Review of regional evidence</w:t>
            </w:r>
          </w:p>
        </w:tc>
        <w:tc>
          <w:tcPr>
            <w:tcW w:w="2256" w:type="dxa"/>
            <w:tcBorders>
              <w:left w:val="single" w:sz="4" w:space="0" w:color="000000"/>
              <w:bottom w:val="single" w:sz="4" w:space="0" w:color="000000"/>
              <w:right w:val="single" w:sz="4" w:space="0" w:color="000000"/>
            </w:tcBorders>
          </w:tcPr>
          <w:p w14:paraId="7A7EC397"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Contextualizes α-/β-</w:t>
            </w:r>
            <w:proofErr w:type="spellStart"/>
            <w:r>
              <w:rPr>
                <w:rFonts w:ascii="Times New Roman" w:eastAsia="Times New Roman" w:hAnsi="Times New Roman" w:cs="Times New Roman"/>
                <w:sz w:val="24"/>
                <w:szCs w:val="24"/>
              </w:rPr>
              <w:t>thal</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burden and in</w:t>
            </w:r>
            <w:r>
              <w:rPr>
                <w:rFonts w:ascii="Times New Roman" w:eastAsia="Times New Roman" w:hAnsi="Times New Roman" w:cs="Times New Roman"/>
                <w:sz w:val="24"/>
                <w:szCs w:val="24"/>
              </w:rPr>
              <w:t>teraction complexity</w:t>
            </w:r>
          </w:p>
        </w:tc>
      </w:tr>
      <w:tr w:rsidR="00FB2344" w14:paraId="2588C43A" w14:textId="77777777">
        <w:tc>
          <w:tcPr>
            <w:tcW w:w="2256" w:type="dxa"/>
            <w:tcBorders>
              <w:left w:val="single" w:sz="4" w:space="0" w:color="000000"/>
              <w:bottom w:val="single" w:sz="4" w:space="0" w:color="000000"/>
            </w:tcBorders>
          </w:tcPr>
          <w:p w14:paraId="02E5D7DF"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Yamsri</w:t>
            </w:r>
            <w:proofErr w:type="spellEnd"/>
            <w:r>
              <w:rPr>
                <w:rFonts w:ascii="Times New Roman" w:eastAsia="Times New Roman" w:hAnsi="Times New Roman" w:cs="Times New Roman"/>
                <w:sz w:val="24"/>
                <w:szCs w:val="24"/>
              </w:rPr>
              <w:t xml:space="preserve"> et al., 2012</w:t>
            </w:r>
          </w:p>
        </w:tc>
        <w:tc>
          <w:tcPr>
            <w:tcW w:w="2256" w:type="dxa"/>
            <w:tcBorders>
              <w:left w:val="single" w:sz="4" w:space="0" w:color="000000"/>
              <w:bottom w:val="single" w:sz="4" w:space="0" w:color="000000"/>
            </w:tcBorders>
          </w:tcPr>
          <w:p w14:paraId="469730F2"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Prenatal/family molecular case</w:t>
            </w:r>
          </w:p>
        </w:tc>
        <w:tc>
          <w:tcPr>
            <w:tcW w:w="2257" w:type="dxa"/>
            <w:tcBorders>
              <w:left w:val="single" w:sz="4" w:space="0" w:color="000000"/>
              <w:bottom w:val="single" w:sz="4" w:space="0" w:color="000000"/>
            </w:tcBorders>
          </w:tcPr>
          <w:p w14:paraId="313D90D4"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Hematology + molecular</w:t>
            </w:r>
          </w:p>
        </w:tc>
        <w:tc>
          <w:tcPr>
            <w:tcW w:w="2256" w:type="dxa"/>
            <w:tcBorders>
              <w:left w:val="single" w:sz="4" w:space="0" w:color="000000"/>
              <w:bottom w:val="single" w:sz="4" w:space="0" w:color="000000"/>
              <w:right w:val="single" w:sz="4" w:space="0" w:color="000000"/>
            </w:tcBorders>
          </w:tcPr>
          <w:p w14:paraId="21E9E87D"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Confirms Filipino β⁰ deletion in interaction with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/α⁺-</w:t>
            </w:r>
            <w:r>
              <w:rPr>
                <w:rFonts w:ascii="Times New Roman" w:eastAsia="Times New Roman" w:hAnsi="Times New Roman" w:cs="Times New Roman"/>
                <w:sz w:val="24"/>
                <w:szCs w:val="24"/>
              </w:rPr>
              <w:lastRenderedPageBreak/>
              <w:t>thalassemia</w:t>
            </w:r>
          </w:p>
        </w:tc>
      </w:tr>
      <w:tr w:rsidR="00FB2344" w14:paraId="4BA07E81" w14:textId="77777777">
        <w:tc>
          <w:tcPr>
            <w:tcW w:w="2256" w:type="dxa"/>
            <w:tcBorders>
              <w:left w:val="single" w:sz="4" w:space="0" w:color="000000"/>
              <w:bottom w:val="single" w:sz="4" w:space="0" w:color="000000"/>
            </w:tcBorders>
          </w:tcPr>
          <w:p w14:paraId="0ADC9D1F"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lastRenderedPageBreak/>
              <w:t>Giordano, 2013</w:t>
            </w:r>
          </w:p>
        </w:tc>
        <w:tc>
          <w:tcPr>
            <w:tcW w:w="2256" w:type="dxa"/>
            <w:tcBorders>
              <w:left w:val="single" w:sz="4" w:space="0" w:color="000000"/>
              <w:bottom w:val="single" w:sz="4" w:space="0" w:color="000000"/>
            </w:tcBorders>
          </w:tcPr>
          <w:p w14:paraId="4C845CA4"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Screening framework</w:t>
            </w:r>
          </w:p>
        </w:tc>
        <w:tc>
          <w:tcPr>
            <w:tcW w:w="2257" w:type="dxa"/>
            <w:tcBorders>
              <w:left w:val="single" w:sz="4" w:space="0" w:color="000000"/>
              <w:bottom w:val="single" w:sz="4" w:space="0" w:color="000000"/>
            </w:tcBorders>
          </w:tcPr>
          <w:p w14:paraId="0CE2EA2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Newborn screening principles</w:t>
            </w:r>
          </w:p>
        </w:tc>
        <w:tc>
          <w:tcPr>
            <w:tcW w:w="2256" w:type="dxa"/>
            <w:tcBorders>
              <w:left w:val="single" w:sz="4" w:space="0" w:color="000000"/>
              <w:bottom w:val="single" w:sz="4" w:space="0" w:color="000000"/>
              <w:right w:val="single" w:sz="4" w:space="0" w:color="000000"/>
            </w:tcBorders>
          </w:tcPr>
          <w:p w14:paraId="783CB2B3"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Clarifies NBS </w:t>
            </w:r>
            <w:r>
              <w:rPr>
                <w:rFonts w:ascii="Times New Roman" w:eastAsia="Times New Roman" w:hAnsi="Times New Roman" w:cs="Times New Roman"/>
                <w:sz w:val="24"/>
                <w:szCs w:val="24"/>
              </w:rPr>
              <w:t>interpretation and role of confirmation</w:t>
            </w:r>
          </w:p>
        </w:tc>
      </w:tr>
      <w:tr w:rsidR="00FB2344" w14:paraId="24CBAA0A" w14:textId="77777777">
        <w:tc>
          <w:tcPr>
            <w:tcW w:w="2256" w:type="dxa"/>
            <w:tcBorders>
              <w:left w:val="single" w:sz="4" w:space="0" w:color="000000"/>
              <w:bottom w:val="single" w:sz="4" w:space="0" w:color="000000"/>
            </w:tcBorders>
          </w:tcPr>
          <w:p w14:paraId="6721EFE8"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Silao</w:t>
            </w:r>
            <w:proofErr w:type="spellEnd"/>
            <w:r>
              <w:rPr>
                <w:rFonts w:ascii="Times New Roman" w:eastAsia="Times New Roman" w:hAnsi="Times New Roman" w:cs="Times New Roman"/>
                <w:sz w:val="24"/>
                <w:szCs w:val="24"/>
              </w:rPr>
              <w:t xml:space="preserve"> et al., 2015</w:t>
            </w:r>
          </w:p>
        </w:tc>
        <w:tc>
          <w:tcPr>
            <w:tcW w:w="2256" w:type="dxa"/>
            <w:tcBorders>
              <w:left w:val="single" w:sz="4" w:space="0" w:color="000000"/>
              <w:bottom w:val="single" w:sz="4" w:space="0" w:color="000000"/>
            </w:tcBorders>
          </w:tcPr>
          <w:p w14:paraId="1BFD7758"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Referral-based Filipino cohort</w:t>
            </w:r>
          </w:p>
        </w:tc>
        <w:tc>
          <w:tcPr>
            <w:tcW w:w="2257" w:type="dxa"/>
            <w:tcBorders>
              <w:left w:val="single" w:sz="4" w:space="0" w:color="000000"/>
              <w:bottom w:val="single" w:sz="4" w:space="0" w:color="000000"/>
            </w:tcBorders>
          </w:tcPr>
          <w:p w14:paraId="65D81933"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HPLC</w:t>
            </w:r>
          </w:p>
        </w:tc>
        <w:tc>
          <w:tcPr>
            <w:tcW w:w="2256" w:type="dxa"/>
            <w:tcBorders>
              <w:left w:val="single" w:sz="4" w:space="0" w:color="000000"/>
              <w:bottom w:val="single" w:sz="4" w:space="0" w:color="000000"/>
              <w:right w:val="single" w:sz="4" w:space="0" w:color="000000"/>
            </w:tcBorders>
          </w:tcPr>
          <w:p w14:paraId="2E4B9624"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β-</w:t>
            </w:r>
            <w:proofErr w:type="spellStart"/>
            <w:r>
              <w:rPr>
                <w:rFonts w:ascii="Times New Roman" w:eastAsia="Times New Roman" w:hAnsi="Times New Roman" w:cs="Times New Roman"/>
                <w:sz w:val="24"/>
                <w:szCs w:val="24"/>
              </w:rPr>
              <w:t>thal</w:t>
            </w:r>
            <w:proofErr w:type="spellEnd"/>
            <w:r>
              <w:rPr>
                <w:rFonts w:ascii="Times New Roman" w:eastAsia="Times New Roman" w:hAnsi="Times New Roman" w:cs="Times New Roman"/>
                <w:sz w:val="24"/>
                <w:szCs w:val="24"/>
              </w:rPr>
              <w:t xml:space="preserve"> predominant;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detected (~1%); β-</w:t>
            </w:r>
            <w:proofErr w:type="spellStart"/>
            <w:r>
              <w:rPr>
                <w:rFonts w:ascii="Times New Roman" w:eastAsia="Times New Roman" w:hAnsi="Times New Roman" w:cs="Times New Roman"/>
                <w:sz w:val="24"/>
                <w:szCs w:val="24"/>
              </w:rPr>
              <w:t>thal</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(~2%)</w:t>
            </w:r>
          </w:p>
        </w:tc>
      </w:tr>
      <w:tr w:rsidR="00FB2344" w14:paraId="5AC69224" w14:textId="77777777">
        <w:tc>
          <w:tcPr>
            <w:tcW w:w="2256" w:type="dxa"/>
            <w:tcBorders>
              <w:left w:val="single" w:sz="4" w:space="0" w:color="000000"/>
              <w:bottom w:val="single" w:sz="4" w:space="0" w:color="000000"/>
            </w:tcBorders>
          </w:tcPr>
          <w:p w14:paraId="3446F5A2"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Padilla &amp; </w:t>
            </w:r>
            <w:proofErr w:type="spellStart"/>
            <w:r>
              <w:rPr>
                <w:rFonts w:ascii="Times New Roman" w:eastAsia="Times New Roman" w:hAnsi="Times New Roman" w:cs="Times New Roman"/>
                <w:sz w:val="24"/>
                <w:szCs w:val="24"/>
              </w:rPr>
              <w:t>Cutiongco</w:t>
            </w:r>
            <w:proofErr w:type="spellEnd"/>
            <w:r>
              <w:rPr>
                <w:rFonts w:ascii="Times New Roman" w:eastAsia="Times New Roman" w:hAnsi="Times New Roman" w:cs="Times New Roman"/>
                <w:sz w:val="24"/>
                <w:szCs w:val="24"/>
              </w:rPr>
              <w:t>-de la Paz, 2016</w:t>
            </w:r>
          </w:p>
        </w:tc>
        <w:tc>
          <w:tcPr>
            <w:tcW w:w="2256" w:type="dxa"/>
            <w:tcBorders>
              <w:left w:val="single" w:sz="4" w:space="0" w:color="000000"/>
              <w:bottom w:val="single" w:sz="4" w:space="0" w:color="000000"/>
            </w:tcBorders>
          </w:tcPr>
          <w:p w14:paraId="214A23F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National context</w:t>
            </w:r>
          </w:p>
        </w:tc>
        <w:tc>
          <w:tcPr>
            <w:tcW w:w="2257" w:type="dxa"/>
            <w:tcBorders>
              <w:left w:val="single" w:sz="4" w:space="0" w:color="000000"/>
              <w:bottom w:val="single" w:sz="4" w:space="0" w:color="000000"/>
            </w:tcBorders>
          </w:tcPr>
          <w:p w14:paraId="34519118"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Program/service landscape</w:t>
            </w:r>
          </w:p>
        </w:tc>
        <w:tc>
          <w:tcPr>
            <w:tcW w:w="2256" w:type="dxa"/>
            <w:tcBorders>
              <w:left w:val="single" w:sz="4" w:space="0" w:color="000000"/>
              <w:bottom w:val="single" w:sz="4" w:space="0" w:color="000000"/>
              <w:right w:val="single" w:sz="4" w:space="0" w:color="000000"/>
            </w:tcBorders>
          </w:tcPr>
          <w:p w14:paraId="3838169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Contextualizes </w:t>
            </w:r>
            <w:r>
              <w:rPr>
                <w:rFonts w:ascii="Times New Roman" w:eastAsia="Times New Roman" w:hAnsi="Times New Roman" w:cs="Times New Roman"/>
                <w:sz w:val="24"/>
                <w:szCs w:val="24"/>
              </w:rPr>
              <w:t>expanding genetics/NBS capacity and barriers</w:t>
            </w:r>
          </w:p>
        </w:tc>
      </w:tr>
      <w:tr w:rsidR="00FB2344" w14:paraId="6A861A8B" w14:textId="77777777">
        <w:tc>
          <w:tcPr>
            <w:tcW w:w="2256" w:type="dxa"/>
            <w:tcBorders>
              <w:left w:val="single" w:sz="4" w:space="0" w:color="000000"/>
              <w:bottom w:val="single" w:sz="4" w:space="0" w:color="000000"/>
            </w:tcBorders>
          </w:tcPr>
          <w:p w14:paraId="0EE14446"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Galicia, 2018 (data 2016–2017)</w:t>
            </w:r>
          </w:p>
        </w:tc>
        <w:tc>
          <w:tcPr>
            <w:tcW w:w="2256" w:type="dxa"/>
            <w:tcBorders>
              <w:left w:val="single" w:sz="4" w:space="0" w:color="000000"/>
              <w:bottom w:val="single" w:sz="4" w:space="0" w:color="000000"/>
            </w:tcBorders>
          </w:tcPr>
          <w:p w14:paraId="7304F90F"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Newborn screening cohort (Central Luzon)</w:t>
            </w:r>
          </w:p>
        </w:tc>
        <w:tc>
          <w:tcPr>
            <w:tcW w:w="2257" w:type="dxa"/>
            <w:tcBorders>
              <w:left w:val="single" w:sz="4" w:space="0" w:color="000000"/>
              <w:bottom w:val="single" w:sz="4" w:space="0" w:color="000000"/>
            </w:tcBorders>
          </w:tcPr>
          <w:p w14:paraId="20D3A72B"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NBS workflow</w:t>
            </w:r>
          </w:p>
        </w:tc>
        <w:tc>
          <w:tcPr>
            <w:tcW w:w="2256" w:type="dxa"/>
            <w:tcBorders>
              <w:left w:val="single" w:sz="4" w:space="0" w:color="000000"/>
              <w:bottom w:val="single" w:sz="4" w:space="0" w:color="000000"/>
              <w:right w:val="single" w:sz="4" w:space="0" w:color="000000"/>
            </w:tcBorders>
          </w:tcPr>
          <w:p w14:paraId="72C0D3B1"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trait predominant; </w:t>
            </w:r>
            <w:proofErr w:type="spellStart"/>
            <w:r>
              <w:rPr>
                <w:rFonts w:ascii="Times New Roman" w:eastAsia="Times New Roman" w:hAnsi="Times New Roman" w:cs="Times New Roman"/>
                <w:sz w:val="24"/>
                <w:szCs w:val="24"/>
              </w:rPr>
              <w:t>HbD</w:t>
            </w:r>
            <w:proofErr w:type="spellEnd"/>
            <w:r>
              <w:rPr>
                <w:rFonts w:ascii="Times New Roman" w:eastAsia="Times New Roman" w:hAnsi="Times New Roman" w:cs="Times New Roman"/>
                <w:sz w:val="24"/>
                <w:szCs w:val="24"/>
              </w:rPr>
              <w:t xml:space="preserve"> trait and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reported</w:t>
            </w:r>
          </w:p>
        </w:tc>
      </w:tr>
      <w:tr w:rsidR="00FB2344" w14:paraId="33DE60D7" w14:textId="77777777">
        <w:tc>
          <w:tcPr>
            <w:tcW w:w="2256" w:type="dxa"/>
            <w:tcBorders>
              <w:left w:val="single" w:sz="4" w:space="0" w:color="000000"/>
              <w:bottom w:val="single" w:sz="4" w:space="0" w:color="000000"/>
            </w:tcBorders>
          </w:tcPr>
          <w:p w14:paraId="35B54068"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Silao</w:t>
            </w:r>
            <w:proofErr w:type="spellEnd"/>
            <w:r>
              <w:rPr>
                <w:rFonts w:ascii="Times New Roman" w:eastAsia="Times New Roman" w:hAnsi="Times New Roman" w:cs="Times New Roman"/>
                <w:sz w:val="24"/>
                <w:szCs w:val="24"/>
              </w:rPr>
              <w:t xml:space="preserve"> et al., 2017</w:t>
            </w:r>
          </w:p>
        </w:tc>
        <w:tc>
          <w:tcPr>
            <w:tcW w:w="2256" w:type="dxa"/>
            <w:tcBorders>
              <w:left w:val="single" w:sz="4" w:space="0" w:color="000000"/>
              <w:bottom w:val="single" w:sz="4" w:space="0" w:color="000000"/>
            </w:tcBorders>
          </w:tcPr>
          <w:p w14:paraId="05749D9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β-thalassemia patients</w:t>
            </w:r>
          </w:p>
        </w:tc>
        <w:tc>
          <w:tcPr>
            <w:tcW w:w="2257" w:type="dxa"/>
            <w:tcBorders>
              <w:left w:val="single" w:sz="4" w:space="0" w:color="000000"/>
              <w:bottom w:val="single" w:sz="4" w:space="0" w:color="000000"/>
            </w:tcBorders>
          </w:tcPr>
          <w:p w14:paraId="65CD7799"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Targeted mutation panel </w:t>
            </w:r>
            <w:r>
              <w:rPr>
                <w:rFonts w:ascii="Times New Roman" w:eastAsia="Times New Roman" w:hAnsi="Times New Roman" w:cs="Times New Roman"/>
                <w:sz w:val="24"/>
                <w:szCs w:val="24"/>
              </w:rPr>
              <w:t>(HBB strip)</w:t>
            </w:r>
          </w:p>
        </w:tc>
        <w:tc>
          <w:tcPr>
            <w:tcW w:w="2256" w:type="dxa"/>
            <w:tcBorders>
              <w:left w:val="single" w:sz="4" w:space="0" w:color="000000"/>
              <w:bottom w:val="single" w:sz="4" w:space="0" w:color="000000"/>
              <w:right w:val="single" w:sz="4" w:space="0" w:color="000000"/>
            </w:tcBorders>
          </w:tcPr>
          <w:p w14:paraId="1672241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Highlights limitations of targeted panels for Filipino mutations</w:t>
            </w:r>
          </w:p>
        </w:tc>
      </w:tr>
      <w:tr w:rsidR="00FB2344" w14:paraId="1EB47409" w14:textId="77777777">
        <w:tc>
          <w:tcPr>
            <w:tcW w:w="2256" w:type="dxa"/>
            <w:tcBorders>
              <w:left w:val="single" w:sz="4" w:space="0" w:color="000000"/>
              <w:bottom w:val="single" w:sz="4" w:space="0" w:color="000000"/>
            </w:tcBorders>
          </w:tcPr>
          <w:p w14:paraId="7535E893"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Capanzana</w:t>
            </w:r>
            <w:proofErr w:type="spellEnd"/>
            <w:r>
              <w:rPr>
                <w:rFonts w:ascii="Times New Roman" w:eastAsia="Times New Roman" w:hAnsi="Times New Roman" w:cs="Times New Roman"/>
                <w:sz w:val="24"/>
                <w:szCs w:val="24"/>
              </w:rPr>
              <w:t xml:space="preserve"> et al., 2018</w:t>
            </w:r>
          </w:p>
        </w:tc>
        <w:tc>
          <w:tcPr>
            <w:tcW w:w="2256" w:type="dxa"/>
            <w:tcBorders>
              <w:left w:val="single" w:sz="4" w:space="0" w:color="000000"/>
              <w:bottom w:val="single" w:sz="4" w:space="0" w:color="000000"/>
            </w:tcBorders>
          </w:tcPr>
          <w:p w14:paraId="302852C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Anemic adults (Metro Manila)</w:t>
            </w:r>
          </w:p>
        </w:tc>
        <w:tc>
          <w:tcPr>
            <w:tcW w:w="2257" w:type="dxa"/>
            <w:tcBorders>
              <w:left w:val="single" w:sz="4" w:space="0" w:color="000000"/>
              <w:bottom w:val="single" w:sz="4" w:space="0" w:color="000000"/>
            </w:tcBorders>
          </w:tcPr>
          <w:p w14:paraId="15FB79A0"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Capillary electrophoresis + ferritin</w:t>
            </w:r>
          </w:p>
        </w:tc>
        <w:tc>
          <w:tcPr>
            <w:tcW w:w="2256" w:type="dxa"/>
            <w:tcBorders>
              <w:left w:val="single" w:sz="4" w:space="0" w:color="000000"/>
              <w:bottom w:val="single" w:sz="4" w:space="0" w:color="000000"/>
              <w:right w:val="single" w:sz="4" w:space="0" w:color="000000"/>
            </w:tcBorders>
          </w:tcPr>
          <w:p w14:paraId="6B75BBD9"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Hemoglobinopathy proportion (27.8%); α-</w:t>
            </w:r>
            <w:proofErr w:type="spellStart"/>
            <w:r>
              <w:rPr>
                <w:rFonts w:ascii="Times New Roman" w:eastAsia="Times New Roman" w:hAnsi="Times New Roman" w:cs="Times New Roman"/>
                <w:sz w:val="24"/>
                <w:szCs w:val="24"/>
              </w:rPr>
              <w:t>thal</w:t>
            </w:r>
            <w:proofErr w:type="spellEnd"/>
            <w:r>
              <w:rPr>
                <w:rFonts w:ascii="Times New Roman" w:eastAsia="Times New Roman" w:hAnsi="Times New Roman" w:cs="Times New Roman"/>
                <w:sz w:val="24"/>
                <w:szCs w:val="24"/>
              </w:rPr>
              <w:t xml:space="preserve"> most common</w:t>
            </w:r>
          </w:p>
        </w:tc>
      </w:tr>
      <w:tr w:rsidR="00FB2344" w14:paraId="7D63B493" w14:textId="77777777">
        <w:tc>
          <w:tcPr>
            <w:tcW w:w="2256" w:type="dxa"/>
            <w:tcBorders>
              <w:left w:val="single" w:sz="4" w:space="0" w:color="000000"/>
              <w:bottom w:val="single" w:sz="4" w:space="0" w:color="000000"/>
            </w:tcBorders>
          </w:tcPr>
          <w:p w14:paraId="0BD44F05"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Fabella et al., 2018</w:t>
            </w:r>
          </w:p>
        </w:tc>
        <w:tc>
          <w:tcPr>
            <w:tcW w:w="2256" w:type="dxa"/>
            <w:tcBorders>
              <w:left w:val="single" w:sz="4" w:space="0" w:color="000000"/>
              <w:bottom w:val="single" w:sz="4" w:space="0" w:color="000000"/>
            </w:tcBorders>
          </w:tcPr>
          <w:p w14:paraId="6AE82CCF"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Suspected α</w:t>
            </w:r>
            <w:r>
              <w:rPr>
                <w:rFonts w:ascii="Times New Roman" w:eastAsia="Times New Roman" w:hAnsi="Times New Roman" w:cs="Times New Roman"/>
                <w:sz w:val="24"/>
                <w:szCs w:val="24"/>
              </w:rPr>
              <w:t>-thalassemia</w:t>
            </w:r>
          </w:p>
        </w:tc>
        <w:tc>
          <w:tcPr>
            <w:tcW w:w="2257" w:type="dxa"/>
            <w:tcBorders>
              <w:left w:val="single" w:sz="4" w:space="0" w:color="000000"/>
              <w:bottom w:val="single" w:sz="4" w:space="0" w:color="000000"/>
            </w:tcBorders>
          </w:tcPr>
          <w:p w14:paraId="680BF1A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α-globin strip assay</w:t>
            </w:r>
          </w:p>
        </w:tc>
        <w:tc>
          <w:tcPr>
            <w:tcW w:w="2256" w:type="dxa"/>
            <w:tcBorders>
              <w:left w:val="single" w:sz="4" w:space="0" w:color="000000"/>
              <w:bottom w:val="single" w:sz="4" w:space="0" w:color="000000"/>
              <w:right w:val="single" w:sz="4" w:space="0" w:color="000000"/>
            </w:tcBorders>
          </w:tcPr>
          <w:p w14:paraId="2D42F953"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SEA and FIL deletions common; 3-gene deletion linked to lower Hb</w:t>
            </w:r>
          </w:p>
        </w:tc>
      </w:tr>
      <w:tr w:rsidR="00FB2344" w14:paraId="23A6CB42" w14:textId="77777777">
        <w:tc>
          <w:tcPr>
            <w:tcW w:w="2256" w:type="dxa"/>
            <w:tcBorders>
              <w:left w:val="single" w:sz="4" w:space="0" w:color="000000"/>
              <w:bottom w:val="single" w:sz="4" w:space="0" w:color="000000"/>
            </w:tcBorders>
          </w:tcPr>
          <w:p w14:paraId="751359EB"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Lim et al., 2020</w:t>
            </w:r>
          </w:p>
        </w:tc>
        <w:tc>
          <w:tcPr>
            <w:tcW w:w="2256" w:type="dxa"/>
            <w:tcBorders>
              <w:left w:val="single" w:sz="4" w:space="0" w:color="000000"/>
              <w:bottom w:val="single" w:sz="4" w:space="0" w:color="000000"/>
            </w:tcBorders>
          </w:tcPr>
          <w:p w14:paraId="026D8995"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Filipino β⁰-deletion carriers (diaspora)</w:t>
            </w:r>
          </w:p>
        </w:tc>
        <w:tc>
          <w:tcPr>
            <w:tcW w:w="2257" w:type="dxa"/>
            <w:tcBorders>
              <w:left w:val="single" w:sz="4" w:space="0" w:color="000000"/>
              <w:bottom w:val="single" w:sz="4" w:space="0" w:color="000000"/>
            </w:tcBorders>
          </w:tcPr>
          <w:p w14:paraId="3F43BA53"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Molecular + modifier analysis</w:t>
            </w:r>
          </w:p>
        </w:tc>
        <w:tc>
          <w:tcPr>
            <w:tcW w:w="2256" w:type="dxa"/>
            <w:tcBorders>
              <w:left w:val="single" w:sz="4" w:space="0" w:color="000000"/>
              <w:bottom w:val="single" w:sz="4" w:space="0" w:color="000000"/>
              <w:right w:val="single" w:sz="4" w:space="0" w:color="000000"/>
            </w:tcBorders>
          </w:tcPr>
          <w:p w14:paraId="244FC78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 xml:space="preserve">HBS1L-MYB variants associated with higher </w:t>
            </w:r>
            <w:proofErr w:type="spellStart"/>
            <w:r>
              <w:rPr>
                <w:rFonts w:ascii="Times New Roman" w:eastAsia="Times New Roman" w:hAnsi="Times New Roman" w:cs="Times New Roman"/>
                <w:sz w:val="24"/>
                <w:szCs w:val="24"/>
              </w:rPr>
              <w:t>HbF</w:t>
            </w:r>
            <w:proofErr w:type="spellEnd"/>
          </w:p>
        </w:tc>
      </w:tr>
      <w:tr w:rsidR="00FB2344" w14:paraId="5ED53629" w14:textId="77777777">
        <w:tc>
          <w:tcPr>
            <w:tcW w:w="2256" w:type="dxa"/>
            <w:tcBorders>
              <w:left w:val="single" w:sz="4" w:space="0" w:color="000000"/>
              <w:bottom w:val="single" w:sz="4" w:space="0" w:color="000000"/>
            </w:tcBorders>
          </w:tcPr>
          <w:p w14:paraId="50D05973"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Silao</w:t>
            </w:r>
            <w:proofErr w:type="spellEnd"/>
            <w:r>
              <w:rPr>
                <w:rFonts w:ascii="Times New Roman" w:eastAsia="Times New Roman" w:hAnsi="Times New Roman" w:cs="Times New Roman"/>
                <w:sz w:val="24"/>
                <w:szCs w:val="24"/>
              </w:rPr>
              <w:t xml:space="preserve"> et al., 2021</w:t>
            </w:r>
          </w:p>
        </w:tc>
        <w:tc>
          <w:tcPr>
            <w:tcW w:w="2256" w:type="dxa"/>
            <w:tcBorders>
              <w:left w:val="single" w:sz="4" w:space="0" w:color="000000"/>
              <w:bottom w:val="single" w:sz="4" w:space="0" w:color="000000"/>
            </w:tcBorders>
          </w:tcPr>
          <w:p w14:paraId="64046CA3"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Suspected α-thalassemia cohort</w:t>
            </w:r>
          </w:p>
        </w:tc>
        <w:tc>
          <w:tcPr>
            <w:tcW w:w="2257" w:type="dxa"/>
            <w:tcBorders>
              <w:left w:val="single" w:sz="4" w:space="0" w:color="000000"/>
              <w:bottom w:val="single" w:sz="4" w:space="0" w:color="000000"/>
            </w:tcBorders>
          </w:tcPr>
          <w:p w14:paraId="18C89D95"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Molecular genotyping</w:t>
            </w:r>
          </w:p>
        </w:tc>
        <w:tc>
          <w:tcPr>
            <w:tcW w:w="2256" w:type="dxa"/>
            <w:tcBorders>
              <w:left w:val="single" w:sz="4" w:space="0" w:color="000000"/>
              <w:bottom w:val="single" w:sz="4" w:space="0" w:color="000000"/>
              <w:right w:val="single" w:sz="4" w:space="0" w:color="000000"/>
            </w:tcBorders>
          </w:tcPr>
          <w:p w14:paraId="635213F9"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Common deletional genotypes quantified; severe-risk implications</w:t>
            </w:r>
          </w:p>
        </w:tc>
      </w:tr>
      <w:tr w:rsidR="00FB2344" w14:paraId="53815E55" w14:textId="77777777">
        <w:tc>
          <w:tcPr>
            <w:tcW w:w="2256" w:type="dxa"/>
            <w:tcBorders>
              <w:left w:val="single" w:sz="4" w:space="0" w:color="000000"/>
              <w:bottom w:val="single" w:sz="4" w:space="0" w:color="000000"/>
            </w:tcBorders>
          </w:tcPr>
          <w:p w14:paraId="348BA2A7"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Padilla et al., 2021</w:t>
            </w:r>
          </w:p>
        </w:tc>
        <w:tc>
          <w:tcPr>
            <w:tcW w:w="2256" w:type="dxa"/>
            <w:tcBorders>
              <w:left w:val="single" w:sz="4" w:space="0" w:color="000000"/>
              <w:bottom w:val="single" w:sz="4" w:space="0" w:color="000000"/>
            </w:tcBorders>
          </w:tcPr>
          <w:p w14:paraId="6BEBBFC0"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National screening implementation</w:t>
            </w:r>
          </w:p>
        </w:tc>
        <w:tc>
          <w:tcPr>
            <w:tcW w:w="2257" w:type="dxa"/>
            <w:tcBorders>
              <w:left w:val="single" w:sz="4" w:space="0" w:color="000000"/>
              <w:bottom w:val="single" w:sz="4" w:space="0" w:color="000000"/>
            </w:tcBorders>
          </w:tcPr>
          <w:p w14:paraId="4E2815D8"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NBS system report</w:t>
            </w:r>
          </w:p>
        </w:tc>
        <w:tc>
          <w:tcPr>
            <w:tcW w:w="2256" w:type="dxa"/>
            <w:tcBorders>
              <w:left w:val="single" w:sz="4" w:space="0" w:color="000000"/>
              <w:bottom w:val="single" w:sz="4" w:space="0" w:color="000000"/>
              <w:right w:val="single" w:sz="4" w:space="0" w:color="000000"/>
            </w:tcBorders>
          </w:tcPr>
          <w:p w14:paraId="72DAEB4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&gt;90% coverage; confirmation pathways shaping detection</w:t>
            </w:r>
          </w:p>
        </w:tc>
      </w:tr>
      <w:tr w:rsidR="00FB2344" w14:paraId="7E8624A3" w14:textId="77777777">
        <w:tc>
          <w:tcPr>
            <w:tcW w:w="2256" w:type="dxa"/>
            <w:tcBorders>
              <w:left w:val="single" w:sz="4" w:space="0" w:color="000000"/>
              <w:bottom w:val="single" w:sz="4" w:space="0" w:color="000000"/>
            </w:tcBorders>
          </w:tcPr>
          <w:p w14:paraId="250CC4D0" w14:textId="77777777" w:rsidR="00FB2344" w:rsidRDefault="00243FCF">
            <w:pPr>
              <w:pStyle w:val="TableContents"/>
              <w:rPr>
                <w:rFonts w:ascii="Times New Roman" w:hAnsi="Times New Roman"/>
                <w:sz w:val="24"/>
                <w:szCs w:val="24"/>
              </w:rPr>
            </w:pPr>
            <w:proofErr w:type="spellStart"/>
            <w:r>
              <w:rPr>
                <w:rFonts w:ascii="Times New Roman" w:eastAsia="Times New Roman" w:hAnsi="Times New Roman" w:cs="Times New Roman"/>
                <w:sz w:val="24"/>
                <w:szCs w:val="24"/>
              </w:rPr>
              <w:t>Yuson</w:t>
            </w:r>
            <w:proofErr w:type="spellEnd"/>
            <w:r>
              <w:rPr>
                <w:rFonts w:ascii="Times New Roman" w:eastAsia="Times New Roman" w:hAnsi="Times New Roman" w:cs="Times New Roman"/>
                <w:sz w:val="24"/>
                <w:szCs w:val="24"/>
              </w:rPr>
              <w:t xml:space="preserve"> &amp; N</w:t>
            </w:r>
            <w:r>
              <w:rPr>
                <w:rFonts w:ascii="Times New Roman" w:eastAsia="Times New Roman" w:hAnsi="Times New Roman" w:cs="Times New Roman"/>
                <w:sz w:val="24"/>
                <w:szCs w:val="24"/>
              </w:rPr>
              <w:t>aranjo, 2022</w:t>
            </w:r>
          </w:p>
        </w:tc>
        <w:tc>
          <w:tcPr>
            <w:tcW w:w="2256" w:type="dxa"/>
            <w:tcBorders>
              <w:left w:val="single" w:sz="4" w:space="0" w:color="000000"/>
              <w:bottom w:val="single" w:sz="4" w:space="0" w:color="000000"/>
            </w:tcBorders>
          </w:tcPr>
          <w:p w14:paraId="75E7228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National synthesis</w:t>
            </w:r>
          </w:p>
        </w:tc>
        <w:tc>
          <w:tcPr>
            <w:tcW w:w="2257" w:type="dxa"/>
            <w:tcBorders>
              <w:left w:val="single" w:sz="4" w:space="0" w:color="000000"/>
              <w:bottom w:val="single" w:sz="4" w:space="0" w:color="000000"/>
            </w:tcBorders>
          </w:tcPr>
          <w:p w14:paraId="3F253D89"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Narrative review</w:t>
            </w:r>
          </w:p>
        </w:tc>
        <w:tc>
          <w:tcPr>
            <w:tcW w:w="2256" w:type="dxa"/>
            <w:tcBorders>
              <w:left w:val="single" w:sz="4" w:space="0" w:color="000000"/>
              <w:bottom w:val="single" w:sz="4" w:space="0" w:color="000000"/>
              <w:right w:val="single" w:sz="4" w:space="0" w:color="000000"/>
            </w:tcBorders>
          </w:tcPr>
          <w:p w14:paraId="12B6812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Summarizes Philippine experience and care gaps</w:t>
            </w:r>
          </w:p>
        </w:tc>
      </w:tr>
      <w:tr w:rsidR="00FB2344" w14:paraId="00AD781E" w14:textId="77777777">
        <w:tc>
          <w:tcPr>
            <w:tcW w:w="2256" w:type="dxa"/>
            <w:tcBorders>
              <w:left w:val="single" w:sz="4" w:space="0" w:color="000000"/>
              <w:bottom w:val="single" w:sz="4" w:space="0" w:color="000000"/>
            </w:tcBorders>
          </w:tcPr>
          <w:p w14:paraId="7B386F22"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lastRenderedPageBreak/>
              <w:t>de Castro Jr. et al., 2023</w:t>
            </w:r>
          </w:p>
        </w:tc>
        <w:tc>
          <w:tcPr>
            <w:tcW w:w="2256" w:type="dxa"/>
            <w:tcBorders>
              <w:left w:val="single" w:sz="4" w:space="0" w:color="000000"/>
              <w:bottom w:val="single" w:sz="4" w:space="0" w:color="000000"/>
            </w:tcBorders>
          </w:tcPr>
          <w:p w14:paraId="3F0C572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Provider survey</w:t>
            </w:r>
          </w:p>
        </w:tc>
        <w:tc>
          <w:tcPr>
            <w:tcW w:w="2257" w:type="dxa"/>
            <w:tcBorders>
              <w:left w:val="single" w:sz="4" w:space="0" w:color="000000"/>
              <w:bottom w:val="single" w:sz="4" w:space="0" w:color="000000"/>
            </w:tcBorders>
          </w:tcPr>
          <w:p w14:paraId="57791B82"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National hematologist experience</w:t>
            </w:r>
          </w:p>
        </w:tc>
        <w:tc>
          <w:tcPr>
            <w:tcW w:w="2256" w:type="dxa"/>
            <w:tcBorders>
              <w:left w:val="single" w:sz="4" w:space="0" w:color="000000"/>
              <w:bottom w:val="single" w:sz="4" w:space="0" w:color="000000"/>
              <w:right w:val="single" w:sz="4" w:space="0" w:color="000000"/>
            </w:tcBorders>
          </w:tcPr>
          <w:p w14:paraId="5C2132F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Confirms NBS case exposure; highlights confirmatory delays</w:t>
            </w:r>
          </w:p>
        </w:tc>
      </w:tr>
      <w:tr w:rsidR="00FB2344" w14:paraId="2D8C3AF9" w14:textId="77777777">
        <w:tc>
          <w:tcPr>
            <w:tcW w:w="2256" w:type="dxa"/>
            <w:tcBorders>
              <w:left w:val="single" w:sz="4" w:space="0" w:color="000000"/>
              <w:bottom w:val="single" w:sz="4" w:space="0" w:color="000000"/>
            </w:tcBorders>
          </w:tcPr>
          <w:p w14:paraId="19E5BB77"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Velasco et al., 2023</w:t>
            </w:r>
          </w:p>
        </w:tc>
        <w:tc>
          <w:tcPr>
            <w:tcW w:w="2256" w:type="dxa"/>
            <w:tcBorders>
              <w:left w:val="single" w:sz="4" w:space="0" w:color="000000"/>
              <w:bottom w:val="single" w:sz="4" w:space="0" w:color="000000"/>
            </w:tcBorders>
          </w:tcPr>
          <w:p w14:paraId="1D559049"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Genotyping record review</w:t>
            </w:r>
          </w:p>
        </w:tc>
        <w:tc>
          <w:tcPr>
            <w:tcW w:w="2257" w:type="dxa"/>
            <w:tcBorders>
              <w:left w:val="single" w:sz="4" w:space="0" w:color="000000"/>
              <w:bottom w:val="single" w:sz="4" w:space="0" w:color="000000"/>
            </w:tcBorders>
          </w:tcPr>
          <w:p w14:paraId="768D0D81"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Molecular laboratory dataset</w:t>
            </w:r>
          </w:p>
        </w:tc>
        <w:tc>
          <w:tcPr>
            <w:tcW w:w="2256" w:type="dxa"/>
            <w:tcBorders>
              <w:left w:val="single" w:sz="4" w:space="0" w:color="000000"/>
              <w:bottom w:val="single" w:sz="4" w:space="0" w:color="000000"/>
              <w:right w:val="single" w:sz="4" w:space="0" w:color="000000"/>
            </w:tcBorders>
          </w:tcPr>
          <w:p w14:paraId="1C4C1347"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α-</w:t>
            </w:r>
            <w:proofErr w:type="spellStart"/>
            <w:r>
              <w:rPr>
                <w:rFonts w:ascii="Times New Roman" w:eastAsia="Times New Roman" w:hAnsi="Times New Roman" w:cs="Times New Roman"/>
                <w:sz w:val="24"/>
                <w:szCs w:val="24"/>
              </w:rPr>
              <w:t>thal</w:t>
            </w:r>
            <w:proofErr w:type="spellEnd"/>
            <w:r>
              <w:rPr>
                <w:rFonts w:ascii="Times New Roman" w:eastAsia="Times New Roman" w:hAnsi="Times New Roman" w:cs="Times New Roman"/>
                <w:sz w:val="24"/>
                <w:szCs w:val="24"/>
              </w:rPr>
              <w:t xml:space="preserve"> majority of positives; SEA deletion most frequent</w:t>
            </w:r>
          </w:p>
        </w:tc>
      </w:tr>
      <w:tr w:rsidR="00FB2344" w14:paraId="5A8810C3" w14:textId="77777777">
        <w:tc>
          <w:tcPr>
            <w:tcW w:w="2256" w:type="dxa"/>
            <w:tcBorders>
              <w:left w:val="single" w:sz="4" w:space="0" w:color="000000"/>
              <w:bottom w:val="single" w:sz="4" w:space="0" w:color="000000"/>
            </w:tcBorders>
          </w:tcPr>
          <w:p w14:paraId="77BF346D"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Chen et al., 2024</w:t>
            </w:r>
          </w:p>
        </w:tc>
        <w:tc>
          <w:tcPr>
            <w:tcW w:w="2256" w:type="dxa"/>
            <w:tcBorders>
              <w:left w:val="single" w:sz="4" w:space="0" w:color="000000"/>
              <w:bottom w:val="single" w:sz="4" w:space="0" w:color="000000"/>
            </w:tcBorders>
          </w:tcPr>
          <w:p w14:paraId="7D4B2EDB"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Cross-border family case</w:t>
            </w:r>
          </w:p>
        </w:tc>
        <w:tc>
          <w:tcPr>
            <w:tcW w:w="2257" w:type="dxa"/>
            <w:tcBorders>
              <w:left w:val="single" w:sz="4" w:space="0" w:color="000000"/>
              <w:bottom w:val="single" w:sz="4" w:space="0" w:color="000000"/>
            </w:tcBorders>
          </w:tcPr>
          <w:p w14:paraId="4851921A"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High-resolution molecular testing</w:t>
            </w:r>
          </w:p>
        </w:tc>
        <w:tc>
          <w:tcPr>
            <w:tcW w:w="2256" w:type="dxa"/>
            <w:tcBorders>
              <w:left w:val="single" w:sz="4" w:space="0" w:color="000000"/>
              <w:bottom w:val="single" w:sz="4" w:space="0" w:color="000000"/>
              <w:right w:val="single" w:sz="4" w:space="0" w:color="000000"/>
            </w:tcBorders>
          </w:tcPr>
          <w:p w14:paraId="7C5EC3BC"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Identifies Filipino β⁰ deletion in a non-Philippine family context</w:t>
            </w:r>
          </w:p>
        </w:tc>
      </w:tr>
      <w:tr w:rsidR="00FB2344" w14:paraId="7F8D74F1" w14:textId="77777777">
        <w:tc>
          <w:tcPr>
            <w:tcW w:w="2256" w:type="dxa"/>
            <w:tcBorders>
              <w:left w:val="single" w:sz="4" w:space="0" w:color="000000"/>
              <w:bottom w:val="single" w:sz="4" w:space="0" w:color="000000"/>
            </w:tcBorders>
          </w:tcPr>
          <w:p w14:paraId="30F7E048"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Catalan et al., 2025</w:t>
            </w:r>
          </w:p>
        </w:tc>
        <w:tc>
          <w:tcPr>
            <w:tcW w:w="2256" w:type="dxa"/>
            <w:tcBorders>
              <w:left w:val="single" w:sz="4" w:space="0" w:color="000000"/>
              <w:bottom w:val="single" w:sz="4" w:space="0" w:color="000000"/>
            </w:tcBorders>
          </w:tcPr>
          <w:p w14:paraId="30640306"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Diaspora primary care cohort</w:t>
            </w:r>
          </w:p>
        </w:tc>
        <w:tc>
          <w:tcPr>
            <w:tcW w:w="2257" w:type="dxa"/>
            <w:tcBorders>
              <w:left w:val="single" w:sz="4" w:space="0" w:color="000000"/>
              <w:bottom w:val="single" w:sz="4" w:space="0" w:color="000000"/>
            </w:tcBorders>
          </w:tcPr>
          <w:p w14:paraId="07D4C0FE"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EMR review + variable confirmation</w:t>
            </w:r>
          </w:p>
        </w:tc>
        <w:tc>
          <w:tcPr>
            <w:tcW w:w="2256" w:type="dxa"/>
            <w:tcBorders>
              <w:left w:val="single" w:sz="4" w:space="0" w:color="000000"/>
              <w:bottom w:val="single" w:sz="4" w:space="0" w:color="000000"/>
              <w:right w:val="single" w:sz="4" w:space="0" w:color="000000"/>
            </w:tcBorders>
          </w:tcPr>
          <w:p w14:paraId="07FC9284" w14:textId="77777777" w:rsidR="00FB2344" w:rsidRDefault="00243FCF">
            <w:pPr>
              <w:pStyle w:val="TableContents"/>
              <w:rPr>
                <w:rFonts w:ascii="Times New Roman" w:hAnsi="Times New Roman"/>
                <w:sz w:val="24"/>
                <w:szCs w:val="24"/>
              </w:rPr>
            </w:pPr>
            <w:r>
              <w:rPr>
                <w:rFonts w:ascii="Times New Roman" w:eastAsia="Times New Roman" w:hAnsi="Times New Roman" w:cs="Times New Roman"/>
                <w:sz w:val="24"/>
                <w:szCs w:val="24"/>
              </w:rPr>
              <w:t>Low confirmation rate; α-</w:t>
            </w:r>
            <w:proofErr w:type="spellStart"/>
            <w:r>
              <w:rPr>
                <w:rFonts w:ascii="Times New Roman" w:eastAsia="Times New Roman" w:hAnsi="Times New Roman" w:cs="Times New Roman"/>
                <w:sz w:val="24"/>
                <w:szCs w:val="24"/>
              </w:rPr>
              <w:t>thal</w:t>
            </w:r>
            <w:proofErr w:type="spellEnd"/>
            <w:r>
              <w:rPr>
                <w:rFonts w:ascii="Times New Roman" w:eastAsia="Times New Roman" w:hAnsi="Times New Roman" w:cs="Times New Roman"/>
                <w:sz w:val="24"/>
                <w:szCs w:val="24"/>
              </w:rPr>
              <w:t xml:space="preserve"> trait most common among confirmed</w:t>
            </w:r>
          </w:p>
        </w:tc>
      </w:tr>
    </w:tbl>
    <w:p w14:paraId="70CC3B15" w14:textId="77777777" w:rsidR="00FB2344" w:rsidRDefault="00FB2344">
      <w:pPr>
        <w:spacing w:before="240" w:after="120" w:line="240" w:lineRule="auto"/>
        <w:jc w:val="both"/>
        <w:rPr>
          <w:rFonts w:ascii="Times New Roman" w:eastAsia="Times New Roman" w:hAnsi="Times New Roman" w:cs="Times New Roman"/>
          <w:sz w:val="24"/>
          <w:szCs w:val="24"/>
        </w:rPr>
      </w:pPr>
    </w:p>
    <w:p w14:paraId="66038671" w14:textId="77777777" w:rsidR="00FB2344" w:rsidRDefault="00FB2344">
      <w:pPr>
        <w:spacing w:before="240" w:after="240" w:line="240" w:lineRule="auto"/>
        <w:jc w:val="both"/>
        <w:rPr>
          <w:rFonts w:ascii="Times New Roman" w:eastAsia="Times New Roman" w:hAnsi="Times New Roman" w:cs="Times New Roman"/>
          <w:b/>
          <w:bCs/>
          <w:sz w:val="24"/>
          <w:szCs w:val="24"/>
        </w:rPr>
      </w:pPr>
    </w:p>
    <w:p w14:paraId="304999F5" w14:textId="77777777" w:rsidR="00FB2344" w:rsidRDefault="00243FCF">
      <w:pPr>
        <w:spacing w:before="240" w:after="240" w:line="240" w:lineRule="auto"/>
        <w:jc w:val="both"/>
        <w:rPr>
          <w:rFonts w:ascii="Times New Roman" w:hAnsi="Times New Roman"/>
          <w:sz w:val="24"/>
          <w:szCs w:val="24"/>
        </w:rPr>
      </w:pPr>
      <w:r>
        <w:rPr>
          <w:rFonts w:ascii="Times New Roman" w:eastAsia="Times New Roman" w:hAnsi="Times New Roman" w:cs="Times New Roman"/>
          <w:b/>
          <w:bCs/>
          <w:sz w:val="24"/>
          <w:szCs w:val="24"/>
        </w:rPr>
        <w:t>DISCUSSION</w:t>
      </w:r>
    </w:p>
    <w:p w14:paraId="12A41DFB"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 xml:space="preserve">This review demonstrates that reported hemoglobin genotype distribution relevant to </w:t>
      </w:r>
      <w:r>
        <w:rPr>
          <w:rFonts w:ascii="Times New Roman" w:eastAsia="Times New Roman" w:hAnsi="Times New Roman" w:cs="Times New Roman"/>
          <w:sz w:val="24"/>
          <w:szCs w:val="24"/>
        </w:rPr>
        <w:t>Filipinos has evolved in parallel with advances in diagnostic technology, shifts in population focus, and expansion of screening platforms from 1958 to 2025. The earliest studies, conducted during the electrophoresis-based era, were primarily descriptive a</w:t>
      </w:r>
      <w:r>
        <w:rPr>
          <w:rFonts w:ascii="Times New Roman" w:eastAsia="Times New Roman" w:hAnsi="Times New Roman" w:cs="Times New Roman"/>
          <w:sz w:val="24"/>
          <w:szCs w:val="24"/>
        </w:rPr>
        <w:t xml:space="preserve">nd family-centered. Reports from 1958 and 1978 established the presence of α-thalassemia–related disorders, particularly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among individuals of Filipino ancestry, but were limited to case and family series without prevalence estimates. As such, </w:t>
      </w:r>
      <w:r>
        <w:rPr>
          <w:rFonts w:ascii="Times New Roman" w:eastAsia="Times New Roman" w:hAnsi="Times New Roman" w:cs="Times New Roman"/>
          <w:sz w:val="24"/>
          <w:szCs w:val="24"/>
        </w:rPr>
        <w:t>these studies provided foundational recognition of disease occurrence rather than population-level distribution, reflecting both the technological constraints and clinical priorities of the period.</w:t>
      </w:r>
    </w:p>
    <w:p w14:paraId="3D1ECEB8"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The transition to hematologic index–based population scree</w:t>
      </w:r>
      <w:r>
        <w:rPr>
          <w:rFonts w:ascii="Times New Roman" w:eastAsia="Times New Roman" w:hAnsi="Times New Roman" w:cs="Times New Roman"/>
          <w:sz w:val="24"/>
          <w:szCs w:val="24"/>
        </w:rPr>
        <w:t xml:space="preserve">ning in the late 1980s and early 1990s marked the first attempt to quantify hemoglobin disorder burden among Filipinos. Hall’s 1991 community-based screening of Filipino immigrants in </w:t>
      </w:r>
      <w:proofErr w:type="spellStart"/>
      <w:r>
        <w:rPr>
          <w:rFonts w:ascii="Times New Roman" w:eastAsia="Times New Roman" w:hAnsi="Times New Roman" w:cs="Times New Roman"/>
          <w:strike/>
          <w:sz w:val="24"/>
          <w:szCs w:val="24"/>
          <w:shd w:val="clear" w:color="auto" w:fill="FFFF00"/>
        </w:rPr>
        <w:t>Hawai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provided early prevalence estimates, reporting a high overall t</w:t>
      </w:r>
      <w:r>
        <w:rPr>
          <w:rFonts w:ascii="Times New Roman" w:eastAsia="Times New Roman" w:hAnsi="Times New Roman" w:cs="Times New Roman"/>
          <w:sz w:val="24"/>
          <w:szCs w:val="24"/>
        </w:rPr>
        <w:t xml:space="preserve">halassemia prevalence. Although conducted in a diaspora setting, this study demonstrated the feasibility of large-scale community screening using red cell indices and </w:t>
      </w:r>
      <w:proofErr w:type="spellStart"/>
      <w:r>
        <w:rPr>
          <w:rFonts w:ascii="Times New Roman" w:eastAsia="Times New Roman" w:hAnsi="Times New Roman" w:cs="Times New Roman"/>
          <w:sz w:val="24"/>
          <w:szCs w:val="24"/>
        </w:rPr>
        <w:t>HbA</w:t>
      </w:r>
      <w:proofErr w:type="spellEnd"/>
      <w:r>
        <w:rPr>
          <w:rFonts w:ascii="Times New Roman" w:eastAsia="Times New Roman" w:hAnsi="Times New Roman" w:cs="Times New Roman"/>
          <w:sz w:val="24"/>
          <w:szCs w:val="24"/>
        </w:rPr>
        <w:t>₂ quantification and highlighted the substantial carrier burden among Filipinos. Howev</w:t>
      </w:r>
      <w:r>
        <w:rPr>
          <w:rFonts w:ascii="Times New Roman" w:eastAsia="Times New Roman" w:hAnsi="Times New Roman" w:cs="Times New Roman"/>
          <w:sz w:val="24"/>
          <w:szCs w:val="24"/>
        </w:rPr>
        <w:t>er, reliance on indirect hematologic algorithms and mixed ethnic samples limited precise genotype resolution.</w:t>
      </w:r>
    </w:p>
    <w:p w14:paraId="67ADD387"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The late 1990s introduced molecular-assisted diagnostics, integrating HPLC with DNA-based methods. Ko et al. (1998) provided the first robust β-th</w:t>
      </w:r>
      <w:r>
        <w:rPr>
          <w:rFonts w:ascii="Times New Roman" w:eastAsia="Times New Roman" w:hAnsi="Times New Roman" w:cs="Times New Roman"/>
          <w:sz w:val="24"/>
          <w:szCs w:val="24"/>
        </w:rPr>
        <w:t>alassemia carrier prevalence estimate among Filipinos and identified the Filipino β⁰ deletion as a dominant mutation, establishing a mutation spectrum relevant to diagnostic panel design. Subsequent molecular case studies in Southeast Asia confirmed the cl</w:t>
      </w:r>
      <w:r>
        <w:rPr>
          <w:rFonts w:ascii="Times New Roman" w:eastAsia="Times New Roman" w:hAnsi="Times New Roman" w:cs="Times New Roman"/>
          <w:sz w:val="24"/>
          <w:szCs w:val="24"/>
        </w:rPr>
        <w:t xml:space="preserve">inical significance of Filipino-origin mutations, particularly β⁰-thalassemia in combination with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but remained non-population-based and thus unsuitable for distributional inference.</w:t>
      </w:r>
    </w:p>
    <w:p w14:paraId="1298C64D"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lastRenderedPageBreak/>
        <w:t>From the late 2000s onward, HPLC- and capillary electrophoresis–based</w:t>
      </w:r>
      <w:r>
        <w:rPr>
          <w:rFonts w:ascii="Times New Roman" w:eastAsia="Times New Roman" w:hAnsi="Times New Roman" w:cs="Times New Roman"/>
          <w:sz w:val="24"/>
          <w:szCs w:val="24"/>
        </w:rPr>
        <w:t xml:space="preserve"> studies conducted within the Philippines largely relied on clinic- and referral-based populations. These studies consistently identified β-thalassemia and α-thalassemia as dominant disorders, with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detected at low to moderate frequencies. However, the </w:t>
      </w:r>
      <w:r>
        <w:rPr>
          <w:rFonts w:ascii="Times New Roman" w:eastAsia="Times New Roman" w:hAnsi="Times New Roman" w:cs="Times New Roman"/>
          <w:sz w:val="24"/>
          <w:szCs w:val="24"/>
        </w:rPr>
        <w:t>enrichment of anemic or suspected cases likely inflated apparent disease proportions relative to the general population. Community-based adult data, though limited, demonstrated that a substantial fraction of anemia in urban Filipinos is attributable to in</w:t>
      </w:r>
      <w:r>
        <w:rPr>
          <w:rFonts w:ascii="Times New Roman" w:eastAsia="Times New Roman" w:hAnsi="Times New Roman" w:cs="Times New Roman"/>
          <w:sz w:val="24"/>
          <w:szCs w:val="24"/>
        </w:rPr>
        <w:t>herited hemoglobin disorders rather than iron deficiency alone, underscoring the clinical relevance of genotype distribution beyond pediatric populations.</w:t>
      </w:r>
    </w:p>
    <w:p w14:paraId="09FC2CCD"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A decisive shift toward population-representative data occurred with the integration of hemoglobinopa</w:t>
      </w:r>
      <w:r>
        <w:rPr>
          <w:rFonts w:ascii="Times New Roman" w:eastAsia="Times New Roman" w:hAnsi="Times New Roman" w:cs="Times New Roman"/>
          <w:sz w:val="24"/>
          <w:szCs w:val="24"/>
        </w:rPr>
        <w:t xml:space="preserve">thies into the Expanded Newborn Screening program. Newborn screening studies from 2016 onward provided the least biased estimates of genotype distribution, revealing a predominance of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shd w:val="clear" w:color="auto" w:fill="FFFF00"/>
        </w:rPr>
        <w:t xml:space="preserve">the </w:t>
      </w:r>
      <w:r>
        <w:rPr>
          <w:rFonts w:ascii="Times New Roman" w:eastAsia="Times New Roman" w:hAnsi="Times New Roman" w:cs="Times New Roman"/>
          <w:sz w:val="24"/>
          <w:szCs w:val="24"/>
        </w:rPr>
        <w:t xml:space="preserve">trait, followed by </w:t>
      </w:r>
      <w:proofErr w:type="spellStart"/>
      <w:r>
        <w:rPr>
          <w:rFonts w:ascii="Times New Roman" w:eastAsia="Times New Roman" w:hAnsi="Times New Roman" w:cs="Times New Roman"/>
          <w:sz w:val="24"/>
          <w:szCs w:val="24"/>
        </w:rPr>
        <w:t>HbD</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shd w:val="clear" w:color="auto" w:fill="FFFF00"/>
        </w:rPr>
        <w:t>the</w:t>
      </w:r>
      <w:r>
        <w:rPr>
          <w:rFonts w:ascii="Times New Roman" w:eastAsia="Times New Roman" w:hAnsi="Times New Roman" w:cs="Times New Roman"/>
          <w:sz w:val="24"/>
          <w:szCs w:val="24"/>
        </w:rPr>
        <w:t xml:space="preserve"> trait and clinically significant α-thalassemia genotypes such as </w:t>
      </w:r>
      <w:proofErr w:type="spellStart"/>
      <w:r>
        <w:rPr>
          <w:rFonts w:ascii="Times New Roman" w:eastAsia="Times New Roman" w:hAnsi="Times New Roman" w:cs="Times New Roman"/>
          <w:sz w:val="24"/>
          <w:szCs w:val="24"/>
        </w:rPr>
        <w:t>HbH</w:t>
      </w:r>
      <w:proofErr w:type="spellEnd"/>
      <w:r>
        <w:rPr>
          <w:rFonts w:ascii="Times New Roman" w:eastAsia="Times New Roman" w:hAnsi="Times New Roman" w:cs="Times New Roman"/>
          <w:sz w:val="24"/>
          <w:szCs w:val="24"/>
        </w:rPr>
        <w:t xml:space="preserve"> disease. These findings contrast with clinic-based adult studies, where α- and β-thalassemia traits predominate, highlighting the strong influence of population type on observed distribu</w:t>
      </w:r>
      <w:r>
        <w:rPr>
          <w:rFonts w:ascii="Times New Roman" w:eastAsia="Times New Roman" w:hAnsi="Times New Roman" w:cs="Times New Roman"/>
          <w:sz w:val="24"/>
          <w:szCs w:val="24"/>
        </w:rPr>
        <w:t>tion patterns. Newborn screening data therefore represent a critical reference point for national surveillance.</w:t>
      </w:r>
    </w:p>
    <w:p w14:paraId="7932907E"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The increasing use of molecular diagnostics in the late 2010s and early 2020s refined understanding of the Philippine mutation spectrum. Facilit</w:t>
      </w:r>
      <w:r>
        <w:rPr>
          <w:rFonts w:ascii="Times New Roman" w:eastAsia="Times New Roman" w:hAnsi="Times New Roman" w:cs="Times New Roman"/>
          <w:sz w:val="24"/>
          <w:szCs w:val="24"/>
        </w:rPr>
        <w:t>y-based molecular studies consistently demonstrated the predominance of deletional α-thalassemia mutations, particularly SEA and FIL deletions, with β-thalassemia mutations occurring at lower frequencies. Large laboratory reviews further confirmed that α-t</w:t>
      </w:r>
      <w:r>
        <w:rPr>
          <w:rFonts w:ascii="Times New Roman" w:eastAsia="Times New Roman" w:hAnsi="Times New Roman" w:cs="Times New Roman"/>
          <w:sz w:val="24"/>
          <w:szCs w:val="24"/>
        </w:rPr>
        <w:t>halassemia accounts for the majority of molecularly confirmed cases, although these findings remain shaped by referral patterns and access to testing.</w:t>
      </w:r>
    </w:p>
    <w:p w14:paraId="23DE313A"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Taken together, the findings indicate that hemoglobin genotype distribution in Filipinos cannot be interp</w:t>
      </w:r>
      <w:r>
        <w:rPr>
          <w:rFonts w:ascii="Times New Roman" w:eastAsia="Times New Roman" w:hAnsi="Times New Roman" w:cs="Times New Roman"/>
          <w:sz w:val="24"/>
          <w:szCs w:val="24"/>
        </w:rPr>
        <w:t>reted independently of diagnostic era and population type. Early electrophoretic studies established presence, mid-period community and diaspora screenings provided initial prevalence signals, and contemporary newborn screening and molecular diagnostics cl</w:t>
      </w:r>
      <w:r>
        <w:rPr>
          <w:rFonts w:ascii="Times New Roman" w:eastAsia="Times New Roman" w:hAnsi="Times New Roman" w:cs="Times New Roman"/>
          <w:sz w:val="24"/>
          <w:szCs w:val="24"/>
        </w:rPr>
        <w:t>arified dominant genotypes and mutation spectra. Apparent differences across decades more often reflect changes in detection capacity and sampling frame than true temporal shifts in allele frequency. These results support the use of newborn screening as th</w:t>
      </w:r>
      <w:r>
        <w:rPr>
          <w:rFonts w:ascii="Times New Roman" w:eastAsia="Times New Roman" w:hAnsi="Times New Roman" w:cs="Times New Roman"/>
          <w:sz w:val="24"/>
          <w:szCs w:val="24"/>
        </w:rPr>
        <w:t>e backbone of population-level surveillance, complemented by molecular diagnostics to define clinically relevant genotypes and guide prevention, counseling, and health system planning.</w:t>
      </w:r>
    </w:p>
    <w:p w14:paraId="1E1356DD"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The inclusion of heterogeneous study designs is intentional, reflecting</w:t>
      </w:r>
      <w:r>
        <w:rPr>
          <w:rFonts w:ascii="Times New Roman" w:eastAsia="Times New Roman" w:hAnsi="Times New Roman" w:cs="Times New Roman"/>
          <w:sz w:val="24"/>
          <w:szCs w:val="24"/>
        </w:rPr>
        <w:t xml:space="preserve"> the historical reality of hemoglobin genotype detection in the Philippines, where population-representative data only became feasible with the expansion of newborn screening. </w:t>
      </w:r>
    </w:p>
    <w:p w14:paraId="66F81920" w14:textId="77777777" w:rsidR="00FB2344" w:rsidRDefault="00FB2344">
      <w:pPr>
        <w:spacing w:before="280" w:line="240" w:lineRule="auto"/>
        <w:jc w:val="both"/>
        <w:rPr>
          <w:rFonts w:ascii="Times New Roman" w:eastAsia="Times New Roman" w:hAnsi="Times New Roman" w:cs="Times New Roman"/>
          <w:b/>
          <w:bCs/>
          <w:sz w:val="24"/>
          <w:szCs w:val="24"/>
        </w:rPr>
      </w:pPr>
    </w:p>
    <w:p w14:paraId="56E8CD58" w14:textId="77777777" w:rsidR="00FB2344" w:rsidRDefault="00243FCF">
      <w:pPr>
        <w:spacing w:before="280" w:line="240" w:lineRule="auto"/>
        <w:jc w:val="both"/>
        <w:rPr>
          <w:rFonts w:ascii="Times New Roman" w:hAnsi="Times New Roman"/>
          <w:sz w:val="24"/>
          <w:szCs w:val="24"/>
        </w:rPr>
      </w:pPr>
      <w:r>
        <w:rPr>
          <w:rFonts w:ascii="Times New Roman" w:eastAsia="Times New Roman" w:hAnsi="Times New Roman" w:cs="Times New Roman"/>
          <w:b/>
          <w:bCs/>
          <w:sz w:val="24"/>
          <w:szCs w:val="24"/>
        </w:rPr>
        <w:t>CONCLUSION</w:t>
      </w:r>
    </w:p>
    <w:p w14:paraId="3C1A9850"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 xml:space="preserve">This historical systematic review shows that hemoglobin genotype </w:t>
      </w:r>
      <w:r>
        <w:rPr>
          <w:rFonts w:ascii="Times New Roman" w:eastAsia="Times New Roman" w:hAnsi="Times New Roman" w:cs="Times New Roman"/>
          <w:sz w:val="24"/>
          <w:szCs w:val="24"/>
        </w:rPr>
        <w:t>distribution in Filipinos is shaped by diagnostic era and population type from 1958 to 2025. Early electrophoresis-based studies established the presence of thalassemia but lacked population estimates, while later community and diaspora screenings provided</w:t>
      </w:r>
      <w:r>
        <w:rPr>
          <w:rFonts w:ascii="Times New Roman" w:eastAsia="Times New Roman" w:hAnsi="Times New Roman" w:cs="Times New Roman"/>
          <w:sz w:val="24"/>
          <w:szCs w:val="24"/>
        </w:rPr>
        <w:t xml:space="preserve"> initial quantitative evidence with limited genotype resolution. With the introduction of HPLC, capillary electrophoresis, and molecular diagnostics, a consistent pattern emerged: α-thalassemia is the </w:t>
      </w:r>
      <w:r>
        <w:rPr>
          <w:rFonts w:ascii="Times New Roman" w:eastAsia="Times New Roman" w:hAnsi="Times New Roman" w:cs="Times New Roman"/>
          <w:sz w:val="24"/>
          <w:szCs w:val="24"/>
        </w:rPr>
        <w:lastRenderedPageBreak/>
        <w:t xml:space="preserve">most prevalent inherited hemoglobin disorder, followed </w:t>
      </w:r>
      <w:r>
        <w:rPr>
          <w:rFonts w:ascii="Times New Roman" w:eastAsia="Times New Roman" w:hAnsi="Times New Roman" w:cs="Times New Roman"/>
          <w:sz w:val="24"/>
          <w:szCs w:val="24"/>
        </w:rPr>
        <w:t>by β-thalassemia, with hemoglobin E persistently present and clinically significant, especially in coinheritance. Variation in reported genotype frequencies largely reflects methodological and sampling differences rather than true temporal change. The inte</w:t>
      </w:r>
      <w:r>
        <w:rPr>
          <w:rFonts w:ascii="Times New Roman" w:eastAsia="Times New Roman" w:hAnsi="Times New Roman" w:cs="Times New Roman"/>
          <w:sz w:val="24"/>
          <w:szCs w:val="24"/>
        </w:rPr>
        <w:t xml:space="preserve">gration of hemoglobinopathies into the national newborn screening program represents a critical turning point, yielding the most population-representative data and highlighting the prominence of </w:t>
      </w:r>
      <w:proofErr w:type="spellStart"/>
      <w:r>
        <w:rPr>
          <w:rFonts w:ascii="Times New Roman" w:eastAsia="Times New Roman" w:hAnsi="Times New Roman" w:cs="Times New Roman"/>
          <w:sz w:val="24"/>
          <w:szCs w:val="24"/>
        </w:rPr>
        <w:t>HbE</w:t>
      </w:r>
      <w:proofErr w:type="spellEnd"/>
      <w:r>
        <w:rPr>
          <w:rFonts w:ascii="Times New Roman" w:eastAsia="Times New Roman" w:hAnsi="Times New Roman" w:cs="Times New Roman"/>
          <w:sz w:val="24"/>
          <w:szCs w:val="24"/>
        </w:rPr>
        <w:t xml:space="preserve">-related genotypes and clinically important α-thalassemia </w:t>
      </w:r>
      <w:r>
        <w:rPr>
          <w:rFonts w:ascii="Times New Roman" w:eastAsia="Times New Roman" w:hAnsi="Times New Roman" w:cs="Times New Roman"/>
          <w:sz w:val="24"/>
          <w:szCs w:val="24"/>
        </w:rPr>
        <w:t>at birth. Molecular studies further define a limited Philippine mutation spectrum dominated by SEA and FIL α-globin deletions and recurrent β-globin mutations. Overall, newborn screening, supported by molecular confirmation, provides the foundation for rel</w:t>
      </w:r>
      <w:r>
        <w:rPr>
          <w:rFonts w:ascii="Times New Roman" w:eastAsia="Times New Roman" w:hAnsi="Times New Roman" w:cs="Times New Roman"/>
          <w:sz w:val="24"/>
          <w:szCs w:val="24"/>
        </w:rPr>
        <w:t>iable surveillance, clinical care, and prevention of hemoglobinopathies in the Philippines.</w:t>
      </w:r>
    </w:p>
    <w:p w14:paraId="63520BC1" w14:textId="77777777" w:rsidR="00FB2344" w:rsidRDefault="00FB2344">
      <w:pPr>
        <w:spacing w:after="80" w:line="240" w:lineRule="auto"/>
        <w:jc w:val="both"/>
        <w:rPr>
          <w:rFonts w:ascii="Times New Roman" w:eastAsia="Times New Roman" w:hAnsi="Times New Roman" w:cs="Times New Roman"/>
          <w:b/>
          <w:bCs/>
          <w:sz w:val="24"/>
          <w:szCs w:val="24"/>
        </w:rPr>
      </w:pPr>
    </w:p>
    <w:p w14:paraId="5D99CB05" w14:textId="77777777" w:rsidR="00FB2344" w:rsidRDefault="00243FCF">
      <w:pPr>
        <w:spacing w:after="80" w:line="240" w:lineRule="auto"/>
        <w:jc w:val="both"/>
        <w:rPr>
          <w:rFonts w:ascii="Times New Roman" w:hAnsi="Times New Roman"/>
          <w:sz w:val="24"/>
          <w:szCs w:val="24"/>
        </w:rPr>
      </w:pPr>
      <w:r>
        <w:rPr>
          <w:rFonts w:ascii="Times New Roman" w:eastAsia="Times New Roman" w:hAnsi="Times New Roman" w:cs="Times New Roman"/>
          <w:b/>
          <w:bCs/>
          <w:sz w:val="24"/>
          <w:szCs w:val="24"/>
        </w:rPr>
        <w:t>RECOMMENDATIONS</w:t>
      </w:r>
    </w:p>
    <w:p w14:paraId="700E6BD6" w14:textId="77777777" w:rsidR="00FB2344" w:rsidRDefault="00243FCF">
      <w:pPr>
        <w:spacing w:before="240" w:after="240" w:line="240" w:lineRule="auto"/>
        <w:ind w:firstLine="720"/>
        <w:jc w:val="both"/>
        <w:rPr>
          <w:rFonts w:ascii="Times New Roman" w:hAnsi="Times New Roman"/>
          <w:sz w:val="24"/>
          <w:szCs w:val="24"/>
        </w:rPr>
      </w:pPr>
      <w:r>
        <w:rPr>
          <w:rFonts w:ascii="Times New Roman" w:eastAsia="Times New Roman" w:hAnsi="Times New Roman" w:cs="Times New Roman"/>
          <w:sz w:val="24"/>
          <w:szCs w:val="24"/>
        </w:rPr>
        <w:t xml:space="preserve">To strengthen hemoglobin genotype surveillance, care, and prevention in the Philippines, the national Newborn Screening (NBS) program should serve </w:t>
      </w:r>
      <w:r>
        <w:rPr>
          <w:rFonts w:ascii="Times New Roman" w:eastAsia="Times New Roman" w:hAnsi="Times New Roman" w:cs="Times New Roman"/>
          <w:sz w:val="24"/>
          <w:szCs w:val="24"/>
        </w:rPr>
        <w:t>as the primary source of population-level genotype data, supported by routine analysis, public reporting, and a centralized hemoglobinopathy registry. Access to confirmatory testing must be improved through efficient referral pathways and wider availabilit</w:t>
      </w:r>
      <w:r>
        <w:rPr>
          <w:rFonts w:ascii="Times New Roman" w:eastAsia="Times New Roman" w:hAnsi="Times New Roman" w:cs="Times New Roman"/>
          <w:sz w:val="24"/>
          <w:szCs w:val="24"/>
        </w:rPr>
        <w:t>y of capillary electrophoresis and molecular diagnostics using standardized, subsidized protocols. Newborn screening findings should be linked to parental testing, with antenatal carrier screening and genetic counseling integrated into maternal and newborn</w:t>
      </w:r>
      <w:r>
        <w:rPr>
          <w:rFonts w:ascii="Times New Roman" w:eastAsia="Times New Roman" w:hAnsi="Times New Roman" w:cs="Times New Roman"/>
          <w:sz w:val="24"/>
          <w:szCs w:val="24"/>
        </w:rPr>
        <w:t xml:space="preserve"> care, particularly in high-prevalence regions. Genotype reporting should be stratified by region, population type, and diagnostic era rather than relying on a single national prevalence estimate. Continuing professional education should reinforce accurate</w:t>
      </w:r>
      <w:r>
        <w:rPr>
          <w:rFonts w:ascii="Times New Roman" w:eastAsia="Times New Roman" w:hAnsi="Times New Roman" w:cs="Times New Roman"/>
          <w:sz w:val="24"/>
          <w:szCs w:val="24"/>
        </w:rPr>
        <w:t xml:space="preserve"> differentiation of thalassemia traits from iron deficiency anemia. Research priorities include population-based adult surveys, longitudinal follow-up of screened newborns, and optimization of molecular panels tailored to the Philippine mutation spectrum. </w:t>
      </w:r>
      <w:r>
        <w:rPr>
          <w:rFonts w:ascii="Times New Roman" w:eastAsia="Times New Roman" w:hAnsi="Times New Roman" w:cs="Times New Roman"/>
          <w:sz w:val="24"/>
          <w:szCs w:val="24"/>
        </w:rPr>
        <w:t>Sustainable policies and financing are essential to support screening, diagnostics, counseling, and long-term care, with genotype data used to guide public health planning, laboratory capacity, workforce training, and health education.</w:t>
      </w:r>
    </w:p>
    <w:p w14:paraId="744BD598" w14:textId="77777777" w:rsidR="00FB2344" w:rsidRDefault="00FB2344">
      <w:pPr>
        <w:spacing w:before="240" w:after="240" w:line="240" w:lineRule="auto"/>
        <w:jc w:val="both"/>
        <w:rPr>
          <w:rFonts w:ascii="Times New Roman" w:eastAsia="Times New Roman" w:hAnsi="Times New Roman" w:cs="Times New Roman"/>
          <w:b/>
          <w:bCs/>
          <w:sz w:val="24"/>
          <w:szCs w:val="24"/>
        </w:rPr>
      </w:pPr>
    </w:p>
    <w:p w14:paraId="1C4E14F1" w14:textId="77777777" w:rsidR="00FB2344" w:rsidRDefault="00243FCF">
      <w:pPr>
        <w:spacing w:before="240" w:after="240" w:line="240" w:lineRule="auto"/>
        <w:jc w:val="both"/>
        <w:rPr>
          <w:rFonts w:ascii="Times New Roman" w:hAnsi="Times New Roman"/>
          <w:sz w:val="24"/>
          <w:szCs w:val="24"/>
        </w:rPr>
      </w:pPr>
      <w:r>
        <w:rPr>
          <w:rFonts w:ascii="Times New Roman" w:eastAsia="Times New Roman" w:hAnsi="Times New Roman" w:cs="Times New Roman"/>
          <w:b/>
          <w:bCs/>
          <w:sz w:val="24"/>
          <w:szCs w:val="24"/>
        </w:rPr>
        <w:t>CONTRIBUTION TO KNO</w:t>
      </w:r>
      <w:r>
        <w:rPr>
          <w:rFonts w:ascii="Times New Roman" w:eastAsia="Times New Roman" w:hAnsi="Times New Roman" w:cs="Times New Roman"/>
          <w:b/>
          <w:bCs/>
          <w:sz w:val="24"/>
          <w:szCs w:val="24"/>
        </w:rPr>
        <w:t>WLEDGE</w:t>
      </w:r>
    </w:p>
    <w:p w14:paraId="7A862A9A" w14:textId="444DA016" w:rsidR="00FB2344" w:rsidRDefault="00243FCF">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provides the first comprehensive historical synthesis of hemoglobin genotype distribution in the Philippines, integrating evidence spanning 1958–2025. It demonstrates that reported genotype frequencies vary substantially according to diag</w:t>
      </w:r>
      <w:r>
        <w:rPr>
          <w:rFonts w:ascii="Times New Roman" w:eastAsia="Times New Roman" w:hAnsi="Times New Roman" w:cs="Times New Roman"/>
          <w:sz w:val="24"/>
          <w:szCs w:val="24"/>
        </w:rPr>
        <w:t>nostic era and methodology, emphasizing the need for era-stratified interpretation of prevalence data. The review clarifies disease predominance in Filipinos by confirming α-thalassemia and β-thalassemia as the most common inherited hemoglobin disorders, w</w:t>
      </w:r>
      <w:r>
        <w:rPr>
          <w:rFonts w:ascii="Times New Roman" w:eastAsia="Times New Roman" w:hAnsi="Times New Roman" w:cs="Times New Roman"/>
          <w:sz w:val="24"/>
          <w:szCs w:val="24"/>
        </w:rPr>
        <w:t>ith hemoglobin E consistently present and clinically significant, particularly in coinheritance. It further highlights the strong influence of sampling</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shd w:val="clear" w:color="auto" w:fill="FFFF00"/>
        </w:rPr>
        <w:t>the</w:t>
      </w:r>
      <w:r>
        <w:rPr>
          <w:rFonts w:ascii="Times New Roman" w:eastAsia="Times New Roman" w:hAnsi="Times New Roman" w:cs="Times New Roman"/>
          <w:sz w:val="24"/>
          <w:szCs w:val="24"/>
        </w:rPr>
        <w:t xml:space="preserve"> frame, showing how genotype distributions differ across newborn, community-based, clinic-based, a</w:t>
      </w:r>
      <w:r>
        <w:rPr>
          <w:rFonts w:ascii="Times New Roman" w:eastAsia="Times New Roman" w:hAnsi="Times New Roman" w:cs="Times New Roman"/>
          <w:sz w:val="24"/>
          <w:szCs w:val="24"/>
        </w:rPr>
        <w:t>nd diaspora populations, and cautioning against uncritical pooling of heterogeneous datasets. By identifying national newborn screening as a pivotal transition toward systematic, population-level surveillance, the study underscores both its strengths and r</w:t>
      </w:r>
      <w:r>
        <w:rPr>
          <w:rFonts w:ascii="Times New Roman" w:eastAsia="Times New Roman" w:hAnsi="Times New Roman" w:cs="Times New Roman"/>
          <w:sz w:val="24"/>
          <w:szCs w:val="24"/>
        </w:rPr>
        <w:t xml:space="preserve">emaining gaps. Integration of Philippine-specific molecular mutation data links population distributions to underlying genetic spectra, supporting locally appropriate diagnostic and screening strategies. Overall, the findings </w:t>
      </w:r>
      <w:r>
        <w:rPr>
          <w:rFonts w:ascii="Times New Roman" w:eastAsia="Times New Roman" w:hAnsi="Times New Roman" w:cs="Times New Roman"/>
          <w:sz w:val="24"/>
          <w:szCs w:val="24"/>
        </w:rPr>
        <w:lastRenderedPageBreak/>
        <w:t>provide a robust evidence base</w:t>
      </w:r>
      <w:r>
        <w:rPr>
          <w:rFonts w:ascii="Times New Roman" w:eastAsia="Times New Roman" w:hAnsi="Times New Roman" w:cs="Times New Roman"/>
          <w:sz w:val="24"/>
          <w:szCs w:val="24"/>
        </w:rPr>
        <w:t xml:space="preserve"> to inform screening policy, clinical practice, and future research priorities, including the need for adult population surveys and longitudinal follow-up of screened cohorts.</w:t>
      </w:r>
    </w:p>
    <w:p w14:paraId="6F6EDD0B" w14:textId="77777777" w:rsidR="00CA6B14" w:rsidRPr="00CA6B14" w:rsidRDefault="00CA6B14" w:rsidP="00CA6B14">
      <w:pPr>
        <w:rPr>
          <w:b/>
          <w:highlight w:val="yellow"/>
        </w:rPr>
      </w:pPr>
      <w:bookmarkStart w:id="0" w:name="_GoBack"/>
      <w:r w:rsidRPr="00CA6B14">
        <w:rPr>
          <w:b/>
          <w:highlight w:val="yellow"/>
        </w:rPr>
        <w:t>Disclaimer (Artificial intelligence)</w:t>
      </w:r>
    </w:p>
    <w:bookmarkEnd w:id="0"/>
    <w:p w14:paraId="0B22E2D7" w14:textId="77777777" w:rsidR="00CA6B14" w:rsidRDefault="00CA6B14" w:rsidP="00CA6B14">
      <w:pPr>
        <w:rPr>
          <w:highlight w:val="yellow"/>
        </w:rPr>
      </w:pPr>
      <w:r>
        <w:rPr>
          <w:highlight w:val="yellow"/>
        </w:rPr>
        <w:t xml:space="preserve">Option 1: </w:t>
      </w:r>
    </w:p>
    <w:p w14:paraId="5464FEB0" w14:textId="77777777" w:rsidR="00CA6B14" w:rsidRDefault="00CA6B14" w:rsidP="00CA6B14">
      <w:pPr>
        <w:rPr>
          <w:highlight w:val="yellow"/>
        </w:rPr>
      </w:pPr>
      <w:r>
        <w:rPr>
          <w:highlight w:val="yellow"/>
        </w:rPr>
        <w:t>Author(s) hereby declare that NO generative AI technologies such as Large Language Models (</w:t>
      </w:r>
      <w:proofErr w:type="spellStart"/>
      <w:r>
        <w:rPr>
          <w:highlight w:val="yellow"/>
        </w:rPr>
        <w:t>ChatGPT</w:t>
      </w:r>
      <w:proofErr w:type="spellEnd"/>
      <w:r>
        <w:rPr>
          <w:highlight w:val="yellow"/>
        </w:rPr>
        <w:t xml:space="preserve">, COPILOT, etc.) and text-to-image generators have been used during the writing or editing of this manuscript. </w:t>
      </w:r>
    </w:p>
    <w:p w14:paraId="418B82B3" w14:textId="77777777" w:rsidR="00CA6B14" w:rsidRDefault="00CA6B14" w:rsidP="00CA6B14">
      <w:pPr>
        <w:rPr>
          <w:highlight w:val="yellow"/>
        </w:rPr>
      </w:pPr>
      <w:r>
        <w:rPr>
          <w:highlight w:val="yellow"/>
        </w:rPr>
        <w:t xml:space="preserve">Option 2: </w:t>
      </w:r>
    </w:p>
    <w:p w14:paraId="2021E1EC" w14:textId="77777777" w:rsidR="00CA6B14" w:rsidRDefault="00CA6B14" w:rsidP="00CA6B14">
      <w:pPr>
        <w:rPr>
          <w:highlight w:val="yellow"/>
        </w:rPr>
      </w:pPr>
      <w:r>
        <w:rPr>
          <w:highlight w:val="yellow"/>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4EE4ECDB" w14:textId="77777777" w:rsidR="00CA6B14" w:rsidRDefault="00CA6B14" w:rsidP="00CA6B14">
      <w:pPr>
        <w:rPr>
          <w:highlight w:val="yellow"/>
        </w:rPr>
      </w:pPr>
      <w:r>
        <w:rPr>
          <w:highlight w:val="yellow"/>
        </w:rPr>
        <w:t>Details of the AI usage are given below:</w:t>
      </w:r>
    </w:p>
    <w:p w14:paraId="3F5F6A65" w14:textId="77777777" w:rsidR="00CA6B14" w:rsidRDefault="00CA6B14" w:rsidP="00CA6B14">
      <w:pPr>
        <w:rPr>
          <w:highlight w:val="yellow"/>
        </w:rPr>
      </w:pPr>
      <w:r>
        <w:rPr>
          <w:highlight w:val="yellow"/>
        </w:rPr>
        <w:t>1.</w:t>
      </w:r>
    </w:p>
    <w:p w14:paraId="4A81808E" w14:textId="77777777" w:rsidR="00CA6B14" w:rsidRDefault="00CA6B14" w:rsidP="00CA6B14">
      <w:pPr>
        <w:rPr>
          <w:highlight w:val="yellow"/>
        </w:rPr>
      </w:pPr>
      <w:r>
        <w:rPr>
          <w:highlight w:val="yellow"/>
        </w:rPr>
        <w:t>2.</w:t>
      </w:r>
    </w:p>
    <w:p w14:paraId="652D9596" w14:textId="77777777" w:rsidR="00CA6B14" w:rsidRDefault="00CA6B14" w:rsidP="00CA6B14">
      <w:r>
        <w:rPr>
          <w:highlight w:val="yellow"/>
        </w:rPr>
        <w:t>3.</w:t>
      </w:r>
    </w:p>
    <w:p w14:paraId="71033EA3" w14:textId="77777777" w:rsidR="00CA6B14" w:rsidRDefault="00CA6B14">
      <w:pPr>
        <w:spacing w:before="240" w:after="240" w:line="240" w:lineRule="auto"/>
        <w:ind w:firstLine="720"/>
        <w:jc w:val="both"/>
        <w:rPr>
          <w:rFonts w:ascii="Times New Roman" w:hAnsi="Times New Roman"/>
          <w:sz w:val="24"/>
          <w:szCs w:val="24"/>
        </w:rPr>
      </w:pPr>
    </w:p>
    <w:p w14:paraId="69115B07" w14:textId="77777777" w:rsidR="00FB2344" w:rsidRDefault="00FB2344">
      <w:pPr>
        <w:spacing w:after="120" w:line="240" w:lineRule="auto"/>
        <w:jc w:val="center"/>
        <w:rPr>
          <w:rFonts w:ascii="Times New Roman" w:eastAsia="Times New Roman" w:hAnsi="Times New Roman" w:cs="Times New Roman"/>
          <w:b/>
          <w:bCs/>
          <w:sz w:val="24"/>
          <w:szCs w:val="24"/>
        </w:rPr>
      </w:pPr>
    </w:p>
    <w:p w14:paraId="59DE16E0" w14:textId="77777777" w:rsidR="00FB2344" w:rsidRDefault="00243FCF">
      <w:pPr>
        <w:spacing w:after="120" w:line="240" w:lineRule="auto"/>
        <w:jc w:val="center"/>
        <w:rPr>
          <w:rFonts w:ascii="Times New Roman" w:hAnsi="Times New Roman"/>
          <w:sz w:val="24"/>
          <w:szCs w:val="24"/>
        </w:rPr>
      </w:pPr>
      <w:r>
        <w:rPr>
          <w:rFonts w:ascii="Times New Roman" w:eastAsia="Times New Roman" w:hAnsi="Times New Roman" w:cs="Times New Roman"/>
          <w:b/>
          <w:bCs/>
          <w:sz w:val="24"/>
          <w:szCs w:val="24"/>
        </w:rPr>
        <w:t>REFERENCES</w:t>
      </w:r>
    </w:p>
    <w:p w14:paraId="38206877"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Ai, S., Cliffe, C., &amp; </w:t>
      </w:r>
      <w:proofErr w:type="spellStart"/>
      <w:r w:rsidRPr="004C6967">
        <w:rPr>
          <w:rFonts w:ascii="Times New Roman" w:eastAsia="Times New Roman" w:hAnsi="Times New Roman" w:cs="Times New Roman"/>
          <w:sz w:val="24"/>
          <w:szCs w:val="24"/>
        </w:rPr>
        <w:t>Kidson</w:t>
      </w:r>
      <w:proofErr w:type="spellEnd"/>
      <w:r w:rsidRPr="004C6967">
        <w:rPr>
          <w:rFonts w:ascii="Times New Roman" w:eastAsia="Times New Roman" w:hAnsi="Times New Roman" w:cs="Times New Roman"/>
          <w:sz w:val="24"/>
          <w:szCs w:val="24"/>
        </w:rPr>
        <w:t>-Gerber, G. (2021). Antenatal haemoglobi</w:t>
      </w:r>
      <w:r w:rsidRPr="004C6967">
        <w:rPr>
          <w:rFonts w:ascii="Times New Roman" w:eastAsia="Times New Roman" w:hAnsi="Times New Roman" w:cs="Times New Roman"/>
          <w:sz w:val="24"/>
          <w:szCs w:val="24"/>
        </w:rPr>
        <w:t xml:space="preserve">nopathy screening: Experiences of a large Australian </w:t>
      </w:r>
      <w:proofErr w:type="spellStart"/>
      <w:r w:rsidRPr="004C6967">
        <w:rPr>
          <w:rFonts w:ascii="Times New Roman" w:eastAsia="Times New Roman" w:hAnsi="Times New Roman" w:cs="Times New Roman"/>
          <w:sz w:val="24"/>
          <w:szCs w:val="24"/>
        </w:rPr>
        <w:t>centre</w:t>
      </w:r>
      <w:proofErr w:type="spellEnd"/>
      <w:r w:rsidRPr="004C6967">
        <w:rPr>
          <w:rFonts w:ascii="Times New Roman" w:eastAsia="Times New Roman" w:hAnsi="Times New Roman" w:cs="Times New Roman"/>
          <w:sz w:val="24"/>
          <w:szCs w:val="24"/>
        </w:rPr>
        <w:t xml:space="preserve">. </w:t>
      </w:r>
      <w:r w:rsidRPr="004C6967">
        <w:rPr>
          <w:rFonts w:ascii="Times New Roman" w:eastAsia="Times New Roman" w:hAnsi="Times New Roman" w:cs="Times New Roman"/>
          <w:i/>
          <w:iCs/>
          <w:sz w:val="24"/>
          <w:szCs w:val="24"/>
        </w:rPr>
        <w:t>Obstetric Medicine, 14</w:t>
      </w:r>
      <w:r w:rsidRPr="004C6967">
        <w:rPr>
          <w:rFonts w:ascii="Times New Roman" w:eastAsia="Times New Roman" w:hAnsi="Times New Roman" w:cs="Times New Roman"/>
          <w:sz w:val="24"/>
          <w:szCs w:val="24"/>
        </w:rPr>
        <w:t>(2), 89–94.</w:t>
      </w:r>
      <w:hyperlink r:id="rId8">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https://doi.org/10.1177/1753495X20944708</w:t>
      </w:r>
      <w:r w:rsidRPr="004C6967">
        <w:rPr>
          <w:rFonts w:ascii="Times New Roman" w:eastAsia="Times New Roman" w:hAnsi="Times New Roman" w:cs="Times New Roman"/>
          <w:sz w:val="24"/>
          <w:szCs w:val="24"/>
          <w:u w:val="single"/>
        </w:rPr>
        <w:t xml:space="preserve"> </w:t>
      </w:r>
    </w:p>
    <w:p w14:paraId="4E5475F2"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shd w:val="clear" w:color="auto" w:fill="FFFF00"/>
        </w:rPr>
        <w:t>Achour</w:t>
      </w:r>
      <w:proofErr w:type="spellEnd"/>
      <w:r w:rsidRPr="004C6967">
        <w:rPr>
          <w:rFonts w:ascii="Times New Roman" w:eastAsia="Times New Roman" w:hAnsi="Times New Roman" w:cs="Times New Roman"/>
          <w:sz w:val="24"/>
          <w:szCs w:val="24"/>
          <w:shd w:val="clear" w:color="auto" w:fill="FFFF00"/>
        </w:rPr>
        <w:t xml:space="preserve">, A., </w:t>
      </w:r>
      <w:proofErr w:type="spellStart"/>
      <w:r w:rsidRPr="004C6967">
        <w:rPr>
          <w:rFonts w:ascii="Times New Roman" w:eastAsia="Times New Roman" w:hAnsi="Times New Roman" w:cs="Times New Roman"/>
          <w:sz w:val="24"/>
          <w:szCs w:val="24"/>
          <w:shd w:val="clear" w:color="auto" w:fill="FFFF00"/>
        </w:rPr>
        <w:t>Koopmann</w:t>
      </w:r>
      <w:proofErr w:type="spellEnd"/>
      <w:r w:rsidRPr="004C6967">
        <w:rPr>
          <w:rFonts w:ascii="Times New Roman" w:eastAsia="Times New Roman" w:hAnsi="Times New Roman" w:cs="Times New Roman"/>
          <w:sz w:val="24"/>
          <w:szCs w:val="24"/>
          <w:shd w:val="clear" w:color="auto" w:fill="FFFF00"/>
        </w:rPr>
        <w:t xml:space="preserve">, T. T., Baas, F., &amp; </w:t>
      </w:r>
      <w:proofErr w:type="spellStart"/>
      <w:r w:rsidRPr="004C6967">
        <w:rPr>
          <w:rFonts w:ascii="Times New Roman" w:eastAsia="Times New Roman" w:hAnsi="Times New Roman" w:cs="Times New Roman"/>
          <w:sz w:val="24"/>
          <w:szCs w:val="24"/>
          <w:shd w:val="clear" w:color="auto" w:fill="FFFF00"/>
        </w:rPr>
        <w:t>Harteveld</w:t>
      </w:r>
      <w:proofErr w:type="spellEnd"/>
      <w:r w:rsidRPr="004C6967">
        <w:rPr>
          <w:rFonts w:ascii="Times New Roman" w:eastAsia="Times New Roman" w:hAnsi="Times New Roman" w:cs="Times New Roman"/>
          <w:sz w:val="24"/>
          <w:szCs w:val="24"/>
          <w:shd w:val="clear" w:color="auto" w:fill="FFFF00"/>
        </w:rPr>
        <w:t xml:space="preserve">, C. L. (2021). </w:t>
      </w:r>
      <w:r w:rsidRPr="004C6967">
        <w:rPr>
          <w:rStyle w:val="Emphasis"/>
          <w:rFonts w:ascii="Times New Roman" w:eastAsia="Times New Roman" w:hAnsi="Times New Roman" w:cs="Times New Roman"/>
          <w:sz w:val="24"/>
          <w:szCs w:val="24"/>
          <w:shd w:val="clear" w:color="auto" w:fill="FFFF00"/>
        </w:rPr>
        <w:t>The evolving role of next</w:t>
      </w:r>
      <w:r w:rsidRPr="004C6967">
        <w:rPr>
          <w:rStyle w:val="Emphasis"/>
          <w:rFonts w:ascii="Times New Roman" w:eastAsia="Times New Roman" w:hAnsi="Times New Roman" w:cs="Times New Roman"/>
          <w:sz w:val="24"/>
          <w:szCs w:val="24"/>
          <w:shd w:val="clear" w:color="auto" w:fill="FFFF00"/>
        </w:rPr>
        <w:noBreakHyphen/>
        <w:t>generation sequencing in screening and diagnosis of hemoglobinopathies</w:t>
      </w:r>
      <w:r w:rsidRPr="004C6967">
        <w:rPr>
          <w:rFonts w:ascii="Times New Roman" w:eastAsia="Times New Roman" w:hAnsi="Times New Roman" w:cs="Times New Roman"/>
          <w:sz w:val="24"/>
          <w:szCs w:val="24"/>
          <w:shd w:val="clear" w:color="auto" w:fill="FFFF00"/>
        </w:rPr>
        <w:t xml:space="preserve">. </w:t>
      </w:r>
      <w:r w:rsidRPr="004C6967">
        <w:rPr>
          <w:rStyle w:val="Emphasis"/>
          <w:rFonts w:ascii="Times New Roman" w:eastAsia="Times New Roman" w:hAnsi="Times New Roman" w:cs="Times New Roman"/>
          <w:sz w:val="24"/>
          <w:szCs w:val="24"/>
          <w:shd w:val="clear" w:color="auto" w:fill="FFFF00"/>
        </w:rPr>
        <w:t>Frontiers in Physiology, 12</w:t>
      </w:r>
      <w:r w:rsidRPr="004C6967">
        <w:rPr>
          <w:rFonts w:ascii="Times New Roman" w:eastAsia="Times New Roman" w:hAnsi="Times New Roman" w:cs="Times New Roman"/>
          <w:sz w:val="24"/>
          <w:szCs w:val="24"/>
          <w:shd w:val="clear" w:color="auto" w:fill="FFFF00"/>
        </w:rPr>
        <w:t>, Article 686689.</w:t>
      </w:r>
      <w:r w:rsidRPr="004C6967">
        <w:rPr>
          <w:rFonts w:ascii="Times New Roman" w:eastAsia="Times New Roman" w:hAnsi="Times New Roman" w:cs="Times New Roman"/>
          <w:sz w:val="24"/>
          <w:szCs w:val="24"/>
          <w:u w:val="single"/>
          <w:shd w:val="clear" w:color="auto" w:fill="FFFF00"/>
        </w:rPr>
        <w:t xml:space="preserve"> </w:t>
      </w:r>
      <w:hyperlink r:id="rId9" w:tgtFrame="_new">
        <w:r w:rsidRPr="004C6967">
          <w:rPr>
            <w:rStyle w:val="Hyperlink"/>
            <w:rFonts w:ascii="Times New Roman" w:eastAsia="Times New Roman" w:hAnsi="Times New Roman" w:cs="Times New Roman"/>
            <w:sz w:val="24"/>
            <w:szCs w:val="24"/>
            <w:shd w:val="clear" w:color="auto" w:fill="FFFF00"/>
          </w:rPr>
          <w:t>https://doi.org/10.3389/fphys.2021.686689</w:t>
        </w:r>
      </w:hyperlink>
      <w:r w:rsidRPr="004C6967">
        <w:rPr>
          <w:rFonts w:ascii="Times New Roman" w:eastAsia="Times New Roman" w:hAnsi="Times New Roman" w:cs="Times New Roman"/>
          <w:sz w:val="24"/>
          <w:szCs w:val="24"/>
          <w:u w:val="single"/>
          <w:shd w:val="clear" w:color="auto" w:fill="FFFF00"/>
        </w:rPr>
        <w:t xml:space="preserve"> </w:t>
      </w:r>
    </w:p>
    <w:p w14:paraId="193DA127"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color w:val="000000"/>
          <w:sz w:val="24"/>
          <w:szCs w:val="24"/>
          <w:shd w:val="clear" w:color="auto" w:fill="FFFF00"/>
        </w:rPr>
        <w:t xml:space="preserve">American Society of Hematology. (2021). </w:t>
      </w:r>
      <w:r w:rsidRPr="004C6967">
        <w:rPr>
          <w:rStyle w:val="Emphasis"/>
          <w:rFonts w:ascii="Times New Roman" w:eastAsia="Times New Roman" w:hAnsi="Times New Roman" w:cs="Times New Roman"/>
          <w:color w:val="000000"/>
          <w:sz w:val="24"/>
          <w:szCs w:val="24"/>
          <w:shd w:val="clear" w:color="auto" w:fill="FFFF00"/>
        </w:rPr>
        <w:t>Hemoglobin electrophoresis in sickle cell disease: A primer for the clinician</w:t>
      </w:r>
      <w:r w:rsidRPr="004C6967">
        <w:rPr>
          <w:rFonts w:ascii="Times New Roman" w:eastAsia="Times New Roman" w:hAnsi="Times New Roman" w:cs="Times New Roman"/>
          <w:color w:val="000000"/>
          <w:sz w:val="24"/>
          <w:szCs w:val="24"/>
          <w:shd w:val="clear" w:color="auto" w:fill="FFFF00"/>
        </w:rPr>
        <w:t xml:space="preserve">. American Society of Hematology. </w:t>
      </w:r>
      <w:hyperlink r:id="rId10" w:tgtFrame="_new">
        <w:r w:rsidRPr="004C6967">
          <w:rPr>
            <w:rStyle w:val="Hyperlink"/>
            <w:rFonts w:ascii="Times New Roman" w:eastAsia="Times New Roman" w:hAnsi="Times New Roman" w:cs="Times New Roman"/>
            <w:color w:val="000000"/>
            <w:sz w:val="24"/>
            <w:szCs w:val="24"/>
            <w:u w:val="none"/>
            <w:shd w:val="clear" w:color="auto" w:fill="FFFF00"/>
          </w:rPr>
          <w:t>https://www.hematology.org/education/trainees/fellows/hematopoiesis/2021/hemoglobin-electrophoresis-in-sickle-cell-dise</w:t>
        </w:r>
        <w:r w:rsidRPr="004C6967">
          <w:rPr>
            <w:rStyle w:val="Hyperlink"/>
            <w:rFonts w:ascii="Times New Roman" w:eastAsia="Times New Roman" w:hAnsi="Times New Roman" w:cs="Times New Roman"/>
            <w:color w:val="000000"/>
            <w:sz w:val="24"/>
            <w:szCs w:val="24"/>
            <w:u w:val="none"/>
            <w:shd w:val="clear" w:color="auto" w:fill="FFFF00"/>
          </w:rPr>
          <w:t>ase</w:t>
        </w:r>
      </w:hyperlink>
      <w:r w:rsidRPr="004C6967">
        <w:rPr>
          <w:rFonts w:ascii="Times New Roman" w:eastAsia="Times New Roman" w:hAnsi="Times New Roman" w:cs="Times New Roman"/>
          <w:color w:val="000000"/>
          <w:sz w:val="24"/>
          <w:szCs w:val="24"/>
          <w:shd w:val="clear" w:color="auto" w:fill="FFFF00"/>
        </w:rPr>
        <w:t xml:space="preserve"> </w:t>
      </w:r>
    </w:p>
    <w:p w14:paraId="6C5C1FA5"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rPr>
        <w:t>Angastiniotis</w:t>
      </w:r>
      <w:proofErr w:type="spellEnd"/>
      <w:r w:rsidRPr="004C6967">
        <w:rPr>
          <w:rFonts w:ascii="Times New Roman" w:eastAsia="Times New Roman" w:hAnsi="Times New Roman" w:cs="Times New Roman"/>
          <w:sz w:val="24"/>
          <w:szCs w:val="24"/>
        </w:rPr>
        <w:t xml:space="preserve">, M., </w:t>
      </w:r>
      <w:proofErr w:type="spellStart"/>
      <w:r w:rsidRPr="004C6967">
        <w:rPr>
          <w:rFonts w:ascii="Times New Roman" w:eastAsia="Times New Roman" w:hAnsi="Times New Roman" w:cs="Times New Roman"/>
          <w:sz w:val="24"/>
          <w:szCs w:val="24"/>
        </w:rPr>
        <w:t>Eleftheriou</w:t>
      </w:r>
      <w:proofErr w:type="spellEnd"/>
      <w:r w:rsidRPr="004C6967">
        <w:rPr>
          <w:rFonts w:ascii="Times New Roman" w:eastAsia="Times New Roman" w:hAnsi="Times New Roman" w:cs="Times New Roman"/>
          <w:sz w:val="24"/>
          <w:szCs w:val="24"/>
        </w:rPr>
        <w:t xml:space="preserve">, A., </w:t>
      </w:r>
      <w:proofErr w:type="spellStart"/>
      <w:r w:rsidRPr="004C6967">
        <w:rPr>
          <w:rFonts w:ascii="Times New Roman" w:eastAsia="Times New Roman" w:hAnsi="Times New Roman" w:cs="Times New Roman"/>
          <w:sz w:val="24"/>
          <w:szCs w:val="24"/>
        </w:rPr>
        <w:t>Galanello</w:t>
      </w:r>
      <w:proofErr w:type="spellEnd"/>
      <w:r w:rsidRPr="004C6967">
        <w:rPr>
          <w:rFonts w:ascii="Times New Roman" w:eastAsia="Times New Roman" w:hAnsi="Times New Roman" w:cs="Times New Roman"/>
          <w:sz w:val="24"/>
          <w:szCs w:val="24"/>
        </w:rPr>
        <w:t xml:space="preserve">, R., et al. (2013). </w:t>
      </w:r>
      <w:r w:rsidRPr="004C6967">
        <w:rPr>
          <w:rFonts w:ascii="Times New Roman" w:eastAsia="Times New Roman" w:hAnsi="Times New Roman" w:cs="Times New Roman"/>
          <w:i/>
          <w:iCs/>
          <w:sz w:val="24"/>
          <w:szCs w:val="24"/>
        </w:rPr>
        <w:t xml:space="preserve">Prevention of </w:t>
      </w:r>
      <w:proofErr w:type="spellStart"/>
      <w:r w:rsidRPr="004C6967">
        <w:rPr>
          <w:rFonts w:ascii="Times New Roman" w:eastAsia="Times New Roman" w:hAnsi="Times New Roman" w:cs="Times New Roman"/>
          <w:i/>
          <w:iCs/>
          <w:sz w:val="24"/>
          <w:szCs w:val="24"/>
        </w:rPr>
        <w:t>thalassaemias</w:t>
      </w:r>
      <w:proofErr w:type="spellEnd"/>
      <w:r w:rsidRPr="004C6967">
        <w:rPr>
          <w:rFonts w:ascii="Times New Roman" w:eastAsia="Times New Roman" w:hAnsi="Times New Roman" w:cs="Times New Roman"/>
          <w:i/>
          <w:iCs/>
          <w:sz w:val="24"/>
          <w:szCs w:val="24"/>
        </w:rPr>
        <w:t xml:space="preserve"> and other </w:t>
      </w:r>
      <w:proofErr w:type="spellStart"/>
      <w:r w:rsidRPr="004C6967">
        <w:rPr>
          <w:rFonts w:ascii="Times New Roman" w:eastAsia="Times New Roman" w:hAnsi="Times New Roman" w:cs="Times New Roman"/>
          <w:i/>
          <w:iCs/>
          <w:sz w:val="24"/>
          <w:szCs w:val="24"/>
        </w:rPr>
        <w:t>haemoglobin</w:t>
      </w:r>
      <w:proofErr w:type="spellEnd"/>
      <w:r w:rsidRPr="004C6967">
        <w:rPr>
          <w:rFonts w:ascii="Times New Roman" w:eastAsia="Times New Roman" w:hAnsi="Times New Roman" w:cs="Times New Roman"/>
          <w:i/>
          <w:iCs/>
          <w:sz w:val="24"/>
          <w:szCs w:val="24"/>
        </w:rPr>
        <w:t xml:space="preserve"> disorders: Volume 1: Principles</w:t>
      </w:r>
      <w:r w:rsidRPr="004C6967">
        <w:rPr>
          <w:rFonts w:ascii="Times New Roman" w:eastAsia="Times New Roman" w:hAnsi="Times New Roman" w:cs="Times New Roman"/>
          <w:sz w:val="24"/>
          <w:szCs w:val="24"/>
        </w:rPr>
        <w:t xml:space="preserve"> (2nd ed., J. Old, Ed.). </w:t>
      </w:r>
      <w:proofErr w:type="spellStart"/>
      <w:r w:rsidRPr="004C6967">
        <w:rPr>
          <w:rFonts w:ascii="Times New Roman" w:eastAsia="Times New Roman" w:hAnsi="Times New Roman" w:cs="Times New Roman"/>
          <w:sz w:val="24"/>
          <w:szCs w:val="24"/>
        </w:rPr>
        <w:t>Thalassaemia</w:t>
      </w:r>
      <w:proofErr w:type="spellEnd"/>
      <w:r w:rsidRPr="004C6967">
        <w:rPr>
          <w:rFonts w:ascii="Times New Roman" w:eastAsia="Times New Roman" w:hAnsi="Times New Roman" w:cs="Times New Roman"/>
          <w:sz w:val="24"/>
          <w:szCs w:val="24"/>
        </w:rPr>
        <w:t xml:space="preserve"> International Federation.</w:t>
      </w:r>
      <w:hyperlink r:id="rId11">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https://www.ncbi.nlm.nih.gov/books/NBK190476/</w:t>
      </w:r>
      <w:r w:rsidRPr="004C6967">
        <w:rPr>
          <w:rFonts w:ascii="Times New Roman" w:eastAsia="Times New Roman" w:hAnsi="Times New Roman" w:cs="Times New Roman"/>
          <w:sz w:val="24"/>
          <w:szCs w:val="24"/>
          <w:u w:val="single"/>
        </w:rPr>
        <w:t xml:space="preserve"> </w:t>
      </w:r>
    </w:p>
    <w:p w14:paraId="2536EBEA"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rPr>
        <w:t>Capanzana</w:t>
      </w:r>
      <w:proofErr w:type="spellEnd"/>
      <w:r w:rsidRPr="004C6967">
        <w:rPr>
          <w:rFonts w:ascii="Times New Roman" w:eastAsia="Times New Roman" w:hAnsi="Times New Roman" w:cs="Times New Roman"/>
          <w:sz w:val="24"/>
          <w:szCs w:val="24"/>
        </w:rPr>
        <w:t xml:space="preserve">, M. V., </w:t>
      </w:r>
      <w:proofErr w:type="spellStart"/>
      <w:r w:rsidRPr="004C6967">
        <w:rPr>
          <w:rFonts w:ascii="Times New Roman" w:eastAsia="Times New Roman" w:hAnsi="Times New Roman" w:cs="Times New Roman"/>
          <w:sz w:val="24"/>
          <w:szCs w:val="24"/>
        </w:rPr>
        <w:t>Mirasol</w:t>
      </w:r>
      <w:proofErr w:type="spellEnd"/>
      <w:r w:rsidRPr="004C6967">
        <w:rPr>
          <w:rFonts w:ascii="Times New Roman" w:eastAsia="Times New Roman" w:hAnsi="Times New Roman" w:cs="Times New Roman"/>
          <w:sz w:val="24"/>
          <w:szCs w:val="24"/>
        </w:rPr>
        <w:t>, M. L. A., Smith, G., Angeles-</w:t>
      </w:r>
      <w:proofErr w:type="spellStart"/>
      <w:r w:rsidRPr="004C6967">
        <w:rPr>
          <w:rFonts w:ascii="Times New Roman" w:eastAsia="Times New Roman" w:hAnsi="Times New Roman" w:cs="Times New Roman"/>
          <w:sz w:val="24"/>
          <w:szCs w:val="24"/>
        </w:rPr>
        <w:t>Agdeppa</w:t>
      </w:r>
      <w:proofErr w:type="spellEnd"/>
      <w:r w:rsidRPr="004C6967">
        <w:rPr>
          <w:rFonts w:ascii="Times New Roman" w:eastAsia="Times New Roman" w:hAnsi="Times New Roman" w:cs="Times New Roman"/>
          <w:sz w:val="24"/>
          <w:szCs w:val="24"/>
        </w:rPr>
        <w:t xml:space="preserve">, I., </w:t>
      </w:r>
      <w:proofErr w:type="spellStart"/>
      <w:r w:rsidRPr="004C6967">
        <w:rPr>
          <w:rFonts w:ascii="Times New Roman" w:eastAsia="Times New Roman" w:hAnsi="Times New Roman" w:cs="Times New Roman"/>
          <w:sz w:val="24"/>
          <w:szCs w:val="24"/>
        </w:rPr>
        <w:t>Perlas</w:t>
      </w:r>
      <w:proofErr w:type="spellEnd"/>
      <w:r w:rsidRPr="004C6967">
        <w:rPr>
          <w:rFonts w:ascii="Times New Roman" w:eastAsia="Times New Roman" w:hAnsi="Times New Roman" w:cs="Times New Roman"/>
          <w:sz w:val="24"/>
          <w:szCs w:val="24"/>
        </w:rPr>
        <w:t xml:space="preserve">, L., de los Reyes, F., &amp; </w:t>
      </w:r>
      <w:proofErr w:type="spellStart"/>
      <w:r w:rsidRPr="004C6967">
        <w:rPr>
          <w:rFonts w:ascii="Times New Roman" w:eastAsia="Times New Roman" w:hAnsi="Times New Roman" w:cs="Times New Roman"/>
          <w:sz w:val="24"/>
          <w:szCs w:val="24"/>
        </w:rPr>
        <w:t>Amarra</w:t>
      </w:r>
      <w:proofErr w:type="spellEnd"/>
      <w:r w:rsidRPr="004C6967">
        <w:rPr>
          <w:rFonts w:ascii="Times New Roman" w:eastAsia="Times New Roman" w:hAnsi="Times New Roman" w:cs="Times New Roman"/>
          <w:sz w:val="24"/>
          <w:szCs w:val="24"/>
        </w:rPr>
        <w:t>, M. S. (2018). Thalassemia and other</w:t>
      </w:r>
      <w:r w:rsidRPr="004C6967">
        <w:rPr>
          <w:rFonts w:ascii="Times New Roman" w:eastAsia="Times New Roman" w:hAnsi="Times New Roman" w:cs="Times New Roman"/>
          <w:sz w:val="24"/>
          <w:szCs w:val="24"/>
        </w:rPr>
        <w:t xml:space="preserve"> hemoglobinopathies among anemic individuals in Metro Manila, Philippines and their intake of iron supplements. </w:t>
      </w:r>
      <w:r w:rsidRPr="004C6967">
        <w:rPr>
          <w:rFonts w:ascii="Times New Roman" w:eastAsia="Times New Roman" w:hAnsi="Times New Roman" w:cs="Times New Roman"/>
          <w:i/>
          <w:iCs/>
          <w:sz w:val="24"/>
          <w:szCs w:val="24"/>
        </w:rPr>
        <w:t>Asia Pacific Journal of Clinical Nutrition, 27</w:t>
      </w:r>
      <w:r w:rsidRPr="004C6967">
        <w:rPr>
          <w:rFonts w:ascii="Times New Roman" w:eastAsia="Times New Roman" w:hAnsi="Times New Roman" w:cs="Times New Roman"/>
          <w:sz w:val="24"/>
          <w:szCs w:val="24"/>
        </w:rPr>
        <w:t>(3), 519–526.</w:t>
      </w:r>
      <w:hyperlink r:id="rId12">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https://doi.org/10.6133/</w:t>
      </w:r>
      <w:r w:rsidRPr="004C6967">
        <w:rPr>
          <w:rFonts w:ascii="Times New Roman" w:eastAsia="Times New Roman" w:hAnsi="Times New Roman"/>
          <w:sz w:val="24"/>
          <w:szCs w:val="24"/>
        </w:rPr>
        <w:t>apjcn.092017.01</w:t>
      </w:r>
      <w:r w:rsidRPr="004C6967">
        <w:rPr>
          <w:rFonts w:ascii="Times New Roman" w:eastAsia="Times New Roman" w:hAnsi="Times New Roman" w:cs="Times New Roman"/>
          <w:sz w:val="24"/>
          <w:szCs w:val="24"/>
          <w:u w:val="single"/>
        </w:rPr>
        <w:t xml:space="preserve"> </w:t>
      </w:r>
    </w:p>
    <w:p w14:paraId="470523EF"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Catalan, L. B., </w:t>
      </w:r>
      <w:proofErr w:type="spellStart"/>
      <w:r w:rsidRPr="004C6967">
        <w:rPr>
          <w:rFonts w:ascii="Times New Roman" w:eastAsia="Times New Roman" w:hAnsi="Times New Roman" w:cs="Times New Roman"/>
          <w:sz w:val="24"/>
          <w:szCs w:val="24"/>
        </w:rPr>
        <w:t>Petalver</w:t>
      </w:r>
      <w:proofErr w:type="spellEnd"/>
      <w:r w:rsidRPr="004C6967">
        <w:rPr>
          <w:rFonts w:ascii="Times New Roman" w:eastAsia="Times New Roman" w:hAnsi="Times New Roman" w:cs="Times New Roman"/>
          <w:sz w:val="24"/>
          <w:szCs w:val="24"/>
        </w:rPr>
        <w:t xml:space="preserve">, S. L. C., Rehman, F., </w:t>
      </w:r>
      <w:proofErr w:type="spellStart"/>
      <w:r w:rsidRPr="004C6967">
        <w:rPr>
          <w:rFonts w:ascii="Times New Roman" w:eastAsia="Times New Roman" w:hAnsi="Times New Roman" w:cs="Times New Roman"/>
          <w:sz w:val="24"/>
          <w:szCs w:val="24"/>
        </w:rPr>
        <w:t>Afable</w:t>
      </w:r>
      <w:proofErr w:type="spellEnd"/>
      <w:r w:rsidRPr="004C6967">
        <w:rPr>
          <w:rFonts w:ascii="Times New Roman" w:eastAsia="Times New Roman" w:hAnsi="Times New Roman" w:cs="Times New Roman"/>
          <w:sz w:val="24"/>
          <w:szCs w:val="24"/>
        </w:rPr>
        <w:t xml:space="preserve">, A. C. F., Garcia, K. M. L. Q., Guerrero, J. A., </w:t>
      </w:r>
      <w:proofErr w:type="spellStart"/>
      <w:r w:rsidRPr="004C6967">
        <w:rPr>
          <w:rFonts w:ascii="Times New Roman" w:eastAsia="Times New Roman" w:hAnsi="Times New Roman" w:cs="Times New Roman"/>
          <w:sz w:val="24"/>
          <w:szCs w:val="24"/>
        </w:rPr>
        <w:t>Opulencia</w:t>
      </w:r>
      <w:proofErr w:type="spellEnd"/>
      <w:r w:rsidRPr="004C6967">
        <w:rPr>
          <w:rFonts w:ascii="Times New Roman" w:eastAsia="Times New Roman" w:hAnsi="Times New Roman" w:cs="Times New Roman"/>
          <w:sz w:val="24"/>
          <w:szCs w:val="24"/>
        </w:rPr>
        <w:t xml:space="preserve">, A. G. R., </w:t>
      </w:r>
      <w:proofErr w:type="spellStart"/>
      <w:r w:rsidRPr="004C6967">
        <w:rPr>
          <w:rFonts w:ascii="Times New Roman" w:eastAsia="Times New Roman" w:hAnsi="Times New Roman" w:cs="Times New Roman"/>
          <w:sz w:val="24"/>
          <w:szCs w:val="24"/>
        </w:rPr>
        <w:t>Tagufa</w:t>
      </w:r>
      <w:proofErr w:type="spellEnd"/>
      <w:r w:rsidRPr="004C6967">
        <w:rPr>
          <w:rFonts w:ascii="Times New Roman" w:eastAsia="Times New Roman" w:hAnsi="Times New Roman" w:cs="Times New Roman"/>
          <w:sz w:val="24"/>
          <w:szCs w:val="24"/>
        </w:rPr>
        <w:t xml:space="preserve">, G., </w:t>
      </w:r>
      <w:proofErr w:type="spellStart"/>
      <w:r w:rsidRPr="004C6967">
        <w:rPr>
          <w:rFonts w:ascii="Times New Roman" w:eastAsia="Times New Roman" w:hAnsi="Times New Roman" w:cs="Times New Roman"/>
          <w:sz w:val="24"/>
          <w:szCs w:val="24"/>
        </w:rPr>
        <w:t>Sonido</w:t>
      </w:r>
      <w:proofErr w:type="spellEnd"/>
      <w:r w:rsidRPr="004C6967">
        <w:rPr>
          <w:rFonts w:ascii="Times New Roman" w:eastAsia="Times New Roman" w:hAnsi="Times New Roman" w:cs="Times New Roman"/>
          <w:sz w:val="24"/>
          <w:szCs w:val="24"/>
        </w:rPr>
        <w:t xml:space="preserve">, C. Y., </w:t>
      </w:r>
      <w:proofErr w:type="spellStart"/>
      <w:r w:rsidRPr="004C6967">
        <w:rPr>
          <w:rFonts w:ascii="Times New Roman" w:eastAsia="Times New Roman" w:hAnsi="Times New Roman" w:cs="Times New Roman"/>
          <w:sz w:val="24"/>
          <w:szCs w:val="24"/>
        </w:rPr>
        <w:t>Imasa</w:t>
      </w:r>
      <w:proofErr w:type="spellEnd"/>
      <w:r w:rsidRPr="004C6967">
        <w:rPr>
          <w:rFonts w:ascii="Times New Roman" w:eastAsia="Times New Roman" w:hAnsi="Times New Roman" w:cs="Times New Roman"/>
          <w:sz w:val="24"/>
          <w:szCs w:val="24"/>
        </w:rPr>
        <w:t>, A., &amp; Yamada, S. (2025). A retrospective analysis of confirmed and suspected cas</w:t>
      </w:r>
      <w:r w:rsidRPr="004C6967">
        <w:rPr>
          <w:rFonts w:ascii="Times New Roman" w:eastAsia="Times New Roman" w:hAnsi="Times New Roman" w:cs="Times New Roman"/>
          <w:sz w:val="24"/>
          <w:szCs w:val="24"/>
        </w:rPr>
        <w:t xml:space="preserve">es of thalassemia among Filipino patients at a primary care clinic, Hawaii. </w:t>
      </w:r>
      <w:r w:rsidRPr="004C6967">
        <w:rPr>
          <w:rFonts w:ascii="Times New Roman" w:eastAsia="Times New Roman" w:hAnsi="Times New Roman" w:cs="Times New Roman"/>
          <w:i/>
          <w:iCs/>
          <w:sz w:val="24"/>
          <w:szCs w:val="24"/>
        </w:rPr>
        <w:t>Asian Hematology Research Journal, 8</w:t>
      </w:r>
      <w:r w:rsidRPr="004C6967">
        <w:rPr>
          <w:rFonts w:ascii="Times New Roman" w:eastAsia="Times New Roman" w:hAnsi="Times New Roman" w:cs="Times New Roman"/>
          <w:sz w:val="24"/>
          <w:szCs w:val="24"/>
        </w:rPr>
        <w:t>(4), 250–256.</w:t>
      </w:r>
      <w:hyperlink r:id="rId13">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https://doi.org/10.9734/ahrj/2025/v8i4218</w:t>
      </w:r>
      <w:r w:rsidRPr="004C6967">
        <w:rPr>
          <w:rFonts w:ascii="Times New Roman" w:eastAsia="Times New Roman" w:hAnsi="Times New Roman" w:cs="Times New Roman"/>
          <w:sz w:val="24"/>
          <w:szCs w:val="24"/>
          <w:u w:val="single"/>
        </w:rPr>
        <w:t xml:space="preserve"> </w:t>
      </w:r>
    </w:p>
    <w:p w14:paraId="2B405CF2"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r w:rsidRPr="004C6967">
        <w:rPr>
          <w:rFonts w:ascii="Times New Roman" w:eastAsia="Times New Roman" w:hAnsi="Times New Roman" w:cs="Times New Roman"/>
          <w:sz w:val="24"/>
          <w:szCs w:val="24"/>
        </w:rPr>
        <w:lastRenderedPageBreak/>
        <w:t xml:space="preserve">Chen, M., </w:t>
      </w:r>
      <w:proofErr w:type="spellStart"/>
      <w:r w:rsidRPr="004C6967">
        <w:rPr>
          <w:rFonts w:ascii="Times New Roman" w:eastAsia="Times New Roman" w:hAnsi="Times New Roman" w:cs="Times New Roman"/>
          <w:sz w:val="24"/>
          <w:szCs w:val="24"/>
        </w:rPr>
        <w:t>Lv</w:t>
      </w:r>
      <w:proofErr w:type="spellEnd"/>
      <w:r w:rsidRPr="004C6967">
        <w:rPr>
          <w:rFonts w:ascii="Times New Roman" w:eastAsia="Times New Roman" w:hAnsi="Times New Roman" w:cs="Times New Roman"/>
          <w:sz w:val="24"/>
          <w:szCs w:val="24"/>
        </w:rPr>
        <w:t xml:space="preserve">, A., Zhang, </w:t>
      </w:r>
      <w:r w:rsidRPr="004C6967">
        <w:rPr>
          <w:rFonts w:ascii="Times New Roman" w:eastAsia="Times New Roman" w:hAnsi="Times New Roman" w:cs="Times New Roman"/>
          <w:sz w:val="24"/>
          <w:szCs w:val="24"/>
        </w:rPr>
        <w:t xml:space="preserve">S., Zheng, J., Zhang, M., Chen, L., He, Q., Zhuang, J., Lin, N., Xu, L., &amp; Huang, H. (2024). First report of Filipino β⁰-thalassemia/β-thalassemia in a Chinese family. </w:t>
      </w:r>
      <w:r w:rsidRPr="004C6967">
        <w:rPr>
          <w:rFonts w:ascii="Times New Roman" w:eastAsia="Times New Roman" w:hAnsi="Times New Roman" w:cs="Times New Roman"/>
          <w:i/>
          <w:iCs/>
          <w:sz w:val="24"/>
          <w:szCs w:val="24"/>
        </w:rPr>
        <w:t>Hemoglobin, 48</w:t>
      </w:r>
      <w:r w:rsidRPr="004C6967">
        <w:rPr>
          <w:rFonts w:ascii="Times New Roman" w:eastAsia="Times New Roman" w:hAnsi="Times New Roman" w:cs="Times New Roman"/>
          <w:sz w:val="24"/>
          <w:szCs w:val="24"/>
        </w:rPr>
        <w:t xml:space="preserve">(1), 34–38. </w:t>
      </w:r>
      <w:r w:rsidRPr="004C6967">
        <w:rPr>
          <w:rFonts w:ascii="Times New Roman" w:eastAsia="Times New Roman" w:hAnsi="Times New Roman"/>
          <w:sz w:val="24"/>
          <w:szCs w:val="24"/>
        </w:rPr>
        <w:t>https://doi.org/10.1080/03630269.2023.2301487</w:t>
      </w:r>
    </w:p>
    <w:p w14:paraId="5F3A7093"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de Castro, R. C.</w:t>
      </w:r>
      <w:r w:rsidRPr="004C6967">
        <w:rPr>
          <w:rFonts w:ascii="Times New Roman" w:eastAsia="Times New Roman" w:hAnsi="Times New Roman" w:cs="Times New Roman"/>
          <w:sz w:val="24"/>
          <w:szCs w:val="24"/>
        </w:rPr>
        <w:t xml:space="preserve">, Jr., </w:t>
      </w:r>
      <w:proofErr w:type="spellStart"/>
      <w:r w:rsidRPr="004C6967">
        <w:rPr>
          <w:rFonts w:ascii="Times New Roman" w:eastAsia="Times New Roman" w:hAnsi="Times New Roman" w:cs="Times New Roman"/>
          <w:sz w:val="24"/>
          <w:szCs w:val="24"/>
        </w:rPr>
        <w:t>Maceda</w:t>
      </w:r>
      <w:proofErr w:type="spellEnd"/>
      <w:r w:rsidRPr="004C6967">
        <w:rPr>
          <w:rFonts w:ascii="Times New Roman" w:eastAsia="Times New Roman" w:hAnsi="Times New Roman" w:cs="Times New Roman"/>
          <w:sz w:val="24"/>
          <w:szCs w:val="24"/>
        </w:rPr>
        <w:t xml:space="preserve">, E. B. G., &amp; </w:t>
      </w:r>
      <w:proofErr w:type="spellStart"/>
      <w:r w:rsidRPr="004C6967">
        <w:rPr>
          <w:rFonts w:ascii="Times New Roman" w:eastAsia="Times New Roman" w:hAnsi="Times New Roman" w:cs="Times New Roman"/>
          <w:sz w:val="24"/>
          <w:szCs w:val="24"/>
        </w:rPr>
        <w:t>Alcausin</w:t>
      </w:r>
      <w:proofErr w:type="spellEnd"/>
      <w:r w:rsidRPr="004C6967">
        <w:rPr>
          <w:rFonts w:ascii="Times New Roman" w:eastAsia="Times New Roman" w:hAnsi="Times New Roman" w:cs="Times New Roman"/>
          <w:sz w:val="24"/>
          <w:szCs w:val="24"/>
        </w:rPr>
        <w:t xml:space="preserve">, M. M. L. B. (2023). Acceptance, knowledge, and experiences of pediatric hematologists in the Philippines on newborn screening for hemoglobinopathies. </w:t>
      </w:r>
      <w:r w:rsidRPr="004C6967">
        <w:rPr>
          <w:rFonts w:ascii="Times New Roman" w:eastAsia="Times New Roman" w:hAnsi="Times New Roman" w:cs="Times New Roman"/>
          <w:i/>
          <w:iCs/>
          <w:sz w:val="24"/>
          <w:szCs w:val="24"/>
        </w:rPr>
        <w:t xml:space="preserve">Acta </w:t>
      </w:r>
      <w:proofErr w:type="spellStart"/>
      <w:r w:rsidRPr="004C6967">
        <w:rPr>
          <w:rFonts w:ascii="Times New Roman" w:eastAsia="Times New Roman" w:hAnsi="Times New Roman" w:cs="Times New Roman"/>
          <w:i/>
          <w:iCs/>
          <w:sz w:val="24"/>
          <w:szCs w:val="24"/>
        </w:rPr>
        <w:t>Medica</w:t>
      </w:r>
      <w:proofErr w:type="spellEnd"/>
      <w:r w:rsidRPr="004C6967">
        <w:rPr>
          <w:rFonts w:ascii="Times New Roman" w:eastAsia="Times New Roman" w:hAnsi="Times New Roman" w:cs="Times New Roman"/>
          <w:i/>
          <w:iCs/>
          <w:sz w:val="24"/>
          <w:szCs w:val="24"/>
        </w:rPr>
        <w:t xml:space="preserve"> </w:t>
      </w:r>
      <w:proofErr w:type="spellStart"/>
      <w:r w:rsidRPr="004C6967">
        <w:rPr>
          <w:rFonts w:ascii="Times New Roman" w:eastAsia="Times New Roman" w:hAnsi="Times New Roman" w:cs="Times New Roman"/>
          <w:i/>
          <w:iCs/>
          <w:sz w:val="24"/>
          <w:szCs w:val="24"/>
        </w:rPr>
        <w:t>Philippina</w:t>
      </w:r>
      <w:proofErr w:type="spellEnd"/>
      <w:r w:rsidRPr="004C6967">
        <w:rPr>
          <w:rFonts w:ascii="Times New Roman" w:eastAsia="Times New Roman" w:hAnsi="Times New Roman" w:cs="Times New Roman"/>
          <w:i/>
          <w:iCs/>
          <w:sz w:val="24"/>
          <w:szCs w:val="24"/>
        </w:rPr>
        <w:t>, 57</w:t>
      </w:r>
      <w:r w:rsidRPr="004C6967">
        <w:rPr>
          <w:rFonts w:ascii="Times New Roman" w:eastAsia="Times New Roman" w:hAnsi="Times New Roman" w:cs="Times New Roman"/>
          <w:sz w:val="24"/>
          <w:szCs w:val="24"/>
        </w:rPr>
        <w:t>(7), 51–55.</w:t>
      </w:r>
      <w:hyperlink r:id="rId14">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https://doi.org/10.47895/amp.vi0.5800</w:t>
      </w:r>
      <w:r w:rsidRPr="004C6967">
        <w:rPr>
          <w:rFonts w:ascii="Times New Roman" w:eastAsia="Times New Roman" w:hAnsi="Times New Roman" w:cs="Times New Roman"/>
          <w:sz w:val="24"/>
          <w:szCs w:val="24"/>
          <w:u w:val="single"/>
        </w:rPr>
        <w:t xml:space="preserve"> </w:t>
      </w:r>
    </w:p>
    <w:p w14:paraId="5FFDAE3D"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Fabella, D. F., </w:t>
      </w:r>
      <w:proofErr w:type="spellStart"/>
      <w:r w:rsidRPr="004C6967">
        <w:rPr>
          <w:rFonts w:ascii="Times New Roman" w:eastAsia="Times New Roman" w:hAnsi="Times New Roman" w:cs="Times New Roman"/>
          <w:sz w:val="24"/>
          <w:szCs w:val="24"/>
        </w:rPr>
        <w:t>Silao</w:t>
      </w:r>
      <w:proofErr w:type="spellEnd"/>
      <w:r w:rsidRPr="004C6967">
        <w:rPr>
          <w:rFonts w:ascii="Times New Roman" w:eastAsia="Times New Roman" w:hAnsi="Times New Roman" w:cs="Times New Roman"/>
          <w:sz w:val="24"/>
          <w:szCs w:val="24"/>
        </w:rPr>
        <w:t xml:space="preserve">, C. L. T., Naranjo, M. L. T., Padilla, C. D., &amp; </w:t>
      </w:r>
      <w:proofErr w:type="spellStart"/>
      <w:r w:rsidRPr="004C6967">
        <w:rPr>
          <w:rFonts w:ascii="Times New Roman" w:eastAsia="Times New Roman" w:hAnsi="Times New Roman" w:cs="Times New Roman"/>
          <w:sz w:val="24"/>
          <w:szCs w:val="24"/>
        </w:rPr>
        <w:t>Yuson</w:t>
      </w:r>
      <w:proofErr w:type="spellEnd"/>
      <w:r w:rsidRPr="004C6967">
        <w:rPr>
          <w:rFonts w:ascii="Times New Roman" w:eastAsia="Times New Roman" w:hAnsi="Times New Roman" w:cs="Times New Roman"/>
          <w:sz w:val="24"/>
          <w:szCs w:val="24"/>
        </w:rPr>
        <w:t xml:space="preserve">, E. </w:t>
      </w:r>
      <w:proofErr w:type="spellStart"/>
      <w:r w:rsidRPr="004C6967">
        <w:rPr>
          <w:rFonts w:ascii="Times New Roman" w:eastAsia="Times New Roman" w:hAnsi="Times New Roman" w:cs="Times New Roman"/>
          <w:sz w:val="24"/>
          <w:szCs w:val="24"/>
        </w:rPr>
        <w:t>dJ</w:t>
      </w:r>
      <w:proofErr w:type="spellEnd"/>
      <w:r w:rsidRPr="004C6967">
        <w:rPr>
          <w:rFonts w:ascii="Times New Roman" w:eastAsia="Times New Roman" w:hAnsi="Times New Roman" w:cs="Times New Roman"/>
          <w:sz w:val="24"/>
          <w:szCs w:val="24"/>
        </w:rPr>
        <w:t xml:space="preserve">. (2018). Alpha globin genotypes and hematologic phenotypes of Filipino patients suspected with alpha thalassemia. </w:t>
      </w:r>
      <w:r w:rsidRPr="004C6967">
        <w:rPr>
          <w:rFonts w:ascii="Times New Roman" w:eastAsia="Times New Roman" w:hAnsi="Times New Roman" w:cs="Times New Roman"/>
          <w:i/>
          <w:iCs/>
          <w:sz w:val="24"/>
          <w:szCs w:val="24"/>
        </w:rPr>
        <w:t>Asian Journal of Medicine and Biomedicine</w:t>
      </w:r>
      <w:r w:rsidRPr="004C6967">
        <w:rPr>
          <w:rFonts w:ascii="Times New Roman" w:eastAsia="Times New Roman" w:hAnsi="Times New Roman" w:cs="Times New Roman"/>
          <w:sz w:val="24"/>
          <w:szCs w:val="24"/>
        </w:rPr>
        <w:t>, Supplementary 2,</w:t>
      </w:r>
      <w:r w:rsidRPr="004C6967">
        <w:rPr>
          <w:rFonts w:ascii="Times New Roman" w:eastAsia="Times New Roman" w:hAnsi="Times New Roman" w:cs="Times New Roman"/>
          <w:sz w:val="24"/>
          <w:szCs w:val="24"/>
        </w:rPr>
        <w:t xml:space="preserve"> Article 28.</w:t>
      </w:r>
      <w:hyperlink r:id="rId15">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https://journal.unisza.edu.my/ajmb/index.php/ajmb/article/view/201</w:t>
      </w:r>
      <w:r w:rsidRPr="004C6967">
        <w:rPr>
          <w:rFonts w:ascii="Times New Roman" w:eastAsia="Times New Roman" w:hAnsi="Times New Roman" w:cs="Times New Roman"/>
          <w:sz w:val="24"/>
          <w:szCs w:val="24"/>
          <w:u w:val="single"/>
        </w:rPr>
        <w:t xml:space="preserve"> </w:t>
      </w:r>
    </w:p>
    <w:p w14:paraId="22123726"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shd w:val="clear" w:color="auto" w:fill="FFFF00"/>
        </w:rPr>
        <w:t xml:space="preserve">Farid, Y., Bowman, N. S., &amp; </w:t>
      </w:r>
      <w:proofErr w:type="spellStart"/>
      <w:r w:rsidRPr="004C6967">
        <w:rPr>
          <w:rFonts w:ascii="Times New Roman" w:eastAsia="Times New Roman" w:hAnsi="Times New Roman" w:cs="Times New Roman"/>
          <w:sz w:val="24"/>
          <w:szCs w:val="24"/>
          <w:shd w:val="clear" w:color="auto" w:fill="FFFF00"/>
        </w:rPr>
        <w:t>Lecat</w:t>
      </w:r>
      <w:proofErr w:type="spellEnd"/>
      <w:r w:rsidRPr="004C6967">
        <w:rPr>
          <w:rFonts w:ascii="Times New Roman" w:eastAsia="Times New Roman" w:hAnsi="Times New Roman" w:cs="Times New Roman"/>
          <w:sz w:val="24"/>
          <w:szCs w:val="24"/>
          <w:shd w:val="clear" w:color="auto" w:fill="FFFF00"/>
        </w:rPr>
        <w:t xml:space="preserve">, P. (2023). </w:t>
      </w:r>
      <w:r w:rsidRPr="004C6967">
        <w:rPr>
          <w:rStyle w:val="Emphasis"/>
          <w:rFonts w:ascii="Times New Roman" w:eastAsia="Times New Roman" w:hAnsi="Times New Roman" w:cs="Times New Roman"/>
          <w:sz w:val="24"/>
          <w:szCs w:val="24"/>
          <w:shd w:val="clear" w:color="auto" w:fill="FFFF00"/>
        </w:rPr>
        <w:t>Biochemistry, hemoglobin synthesis.</w:t>
      </w:r>
      <w:r w:rsidRPr="004C6967">
        <w:rPr>
          <w:rFonts w:ascii="Times New Roman" w:eastAsia="Times New Roman" w:hAnsi="Times New Roman" w:cs="Times New Roman"/>
          <w:sz w:val="24"/>
          <w:szCs w:val="24"/>
          <w:shd w:val="clear" w:color="auto" w:fill="FFFF00"/>
        </w:rPr>
        <w:t xml:space="preserve"> In </w:t>
      </w:r>
      <w:proofErr w:type="spellStart"/>
      <w:r w:rsidRPr="004C6967">
        <w:rPr>
          <w:rStyle w:val="Emphasis"/>
          <w:rFonts w:ascii="Times New Roman" w:eastAsia="Times New Roman" w:hAnsi="Times New Roman" w:cs="Times New Roman"/>
          <w:sz w:val="24"/>
          <w:szCs w:val="24"/>
          <w:shd w:val="clear" w:color="auto" w:fill="FFFF00"/>
        </w:rPr>
        <w:t>StatPearls</w:t>
      </w:r>
      <w:proofErr w:type="spellEnd"/>
      <w:r w:rsidRPr="004C6967">
        <w:rPr>
          <w:rFonts w:ascii="Times New Roman" w:eastAsia="Times New Roman" w:hAnsi="Times New Roman" w:cs="Times New Roman"/>
          <w:sz w:val="24"/>
          <w:szCs w:val="24"/>
          <w:shd w:val="clear" w:color="auto" w:fill="FFFF00"/>
        </w:rPr>
        <w:t xml:space="preserve"> [Internet]. </w:t>
      </w:r>
      <w:proofErr w:type="spellStart"/>
      <w:r w:rsidRPr="004C6967">
        <w:rPr>
          <w:rFonts w:ascii="Times New Roman" w:eastAsia="Times New Roman" w:hAnsi="Times New Roman" w:cs="Times New Roman"/>
          <w:sz w:val="24"/>
          <w:szCs w:val="24"/>
          <w:shd w:val="clear" w:color="auto" w:fill="FFFF00"/>
        </w:rPr>
        <w:t>StatPearls</w:t>
      </w:r>
      <w:proofErr w:type="spellEnd"/>
      <w:r w:rsidRPr="004C6967">
        <w:rPr>
          <w:rFonts w:ascii="Times New Roman" w:eastAsia="Times New Roman" w:hAnsi="Times New Roman" w:cs="Times New Roman"/>
          <w:sz w:val="24"/>
          <w:szCs w:val="24"/>
          <w:shd w:val="clear" w:color="auto" w:fill="FFFF00"/>
        </w:rPr>
        <w:t xml:space="preserve"> Publishing. </w:t>
      </w:r>
      <w:r w:rsidRPr="004C6967">
        <w:rPr>
          <w:rStyle w:val="Emphasis"/>
          <w:rFonts w:ascii="Times New Roman" w:eastAsia="Times New Roman" w:hAnsi="Times New Roman" w:cs="Times New Roman"/>
          <w:sz w:val="24"/>
          <w:szCs w:val="24"/>
          <w:shd w:val="clear" w:color="auto" w:fill="FFFF00"/>
        </w:rPr>
        <w:t>NCBI Bookshelf</w:t>
      </w:r>
      <w:r w:rsidRPr="004C6967">
        <w:rPr>
          <w:rFonts w:ascii="Times New Roman" w:eastAsia="Times New Roman" w:hAnsi="Times New Roman" w:cs="Times New Roman"/>
          <w:sz w:val="24"/>
          <w:szCs w:val="24"/>
          <w:shd w:val="clear" w:color="auto" w:fill="FFFF00"/>
        </w:rPr>
        <w:t>.</w:t>
      </w:r>
      <w:r w:rsidRPr="004C6967">
        <w:rPr>
          <w:rFonts w:ascii="Times New Roman" w:eastAsia="Times New Roman" w:hAnsi="Times New Roman" w:cs="Times New Roman"/>
          <w:sz w:val="24"/>
          <w:szCs w:val="24"/>
          <w:u w:val="single"/>
          <w:shd w:val="clear" w:color="auto" w:fill="FFFF00"/>
        </w:rPr>
        <w:t xml:space="preserve"> </w:t>
      </w:r>
      <w:hyperlink r:id="rId16" w:tgtFrame="_new">
        <w:r w:rsidRPr="004C6967">
          <w:rPr>
            <w:rStyle w:val="Hyperlink"/>
            <w:rFonts w:ascii="Times New Roman" w:eastAsia="Times New Roman" w:hAnsi="Times New Roman" w:cs="Times New Roman"/>
            <w:sz w:val="24"/>
            <w:szCs w:val="24"/>
            <w:shd w:val="clear" w:color="auto" w:fill="FFFF00"/>
          </w:rPr>
          <w:t>https://www.ncbi.nlm.nih.gov/books/NBK536912/</w:t>
        </w:r>
      </w:hyperlink>
      <w:r w:rsidRPr="004C6967">
        <w:rPr>
          <w:rFonts w:ascii="Times New Roman" w:eastAsia="Times New Roman" w:hAnsi="Times New Roman" w:cs="Times New Roman"/>
          <w:sz w:val="24"/>
          <w:szCs w:val="24"/>
          <w:u w:val="single"/>
          <w:shd w:val="clear" w:color="auto" w:fill="FFFF00"/>
        </w:rPr>
        <w:t xml:space="preserve"> </w:t>
      </w:r>
    </w:p>
    <w:p w14:paraId="2FDA703E"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proofErr w:type="spellStart"/>
      <w:r w:rsidRPr="004C6967">
        <w:rPr>
          <w:rFonts w:ascii="Times New Roman" w:eastAsia="Times New Roman" w:hAnsi="Times New Roman" w:cs="Times New Roman"/>
          <w:color w:val="1B1B1B"/>
          <w:sz w:val="24"/>
          <w:szCs w:val="24"/>
          <w:shd w:val="clear" w:color="auto" w:fill="FFFF00"/>
        </w:rPr>
        <w:t>Frömmel</w:t>
      </w:r>
      <w:proofErr w:type="spellEnd"/>
      <w:r w:rsidRPr="004C6967">
        <w:rPr>
          <w:rFonts w:ascii="Times New Roman" w:eastAsia="Times New Roman" w:hAnsi="Times New Roman" w:cs="Times New Roman"/>
          <w:color w:val="1B1B1B"/>
          <w:sz w:val="24"/>
          <w:szCs w:val="24"/>
          <w:shd w:val="clear" w:color="auto" w:fill="FFFF00"/>
        </w:rPr>
        <w:t xml:space="preserve"> C. Newborn Screening for Sickle Cell Dise</w:t>
      </w:r>
      <w:r w:rsidRPr="004C6967">
        <w:rPr>
          <w:rFonts w:ascii="Times New Roman" w:eastAsia="Times New Roman" w:hAnsi="Times New Roman" w:cs="Times New Roman"/>
          <w:color w:val="1B1B1B"/>
          <w:sz w:val="24"/>
          <w:szCs w:val="24"/>
          <w:shd w:val="clear" w:color="auto" w:fill="FFFF00"/>
        </w:rPr>
        <w:t xml:space="preserve">ase and Other Hemoglobinopathies: A Short Review on Classical Laboratory Methods-Isoelectric Focusing, HPLC, and Capillary Electrophoresis. Int J Neonatal Screen. 2018 Dec 5;4(4):39. </w:t>
      </w:r>
      <w:proofErr w:type="spellStart"/>
      <w:r w:rsidRPr="004C6967">
        <w:rPr>
          <w:rFonts w:ascii="Times New Roman" w:eastAsia="Times New Roman" w:hAnsi="Times New Roman" w:cs="Times New Roman"/>
          <w:color w:val="1B1B1B"/>
          <w:sz w:val="24"/>
          <w:szCs w:val="24"/>
          <w:shd w:val="clear" w:color="auto" w:fill="FFFF00"/>
        </w:rPr>
        <w:t>doi</w:t>
      </w:r>
      <w:proofErr w:type="spellEnd"/>
      <w:r w:rsidRPr="004C6967">
        <w:rPr>
          <w:rFonts w:ascii="Times New Roman" w:eastAsia="Times New Roman" w:hAnsi="Times New Roman" w:cs="Times New Roman"/>
          <w:color w:val="1B1B1B"/>
          <w:sz w:val="24"/>
          <w:szCs w:val="24"/>
          <w:shd w:val="clear" w:color="auto" w:fill="FFFF00"/>
        </w:rPr>
        <w:t>: 10.3390/ijns4040039. PMID: 33072959; PMCID: PMC7548892.</w:t>
      </w:r>
      <w:r w:rsidRPr="004C6967">
        <w:rPr>
          <w:rFonts w:ascii="Times New Roman" w:eastAsia="Times New Roman" w:hAnsi="Times New Roman" w:cs="Times New Roman"/>
          <w:sz w:val="24"/>
          <w:szCs w:val="24"/>
          <w:shd w:val="clear" w:color="auto" w:fill="FFFF00"/>
        </w:rPr>
        <w:t xml:space="preserve"> </w:t>
      </w:r>
    </w:p>
    <w:p w14:paraId="6A10C048"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proofErr w:type="spellStart"/>
      <w:r w:rsidRPr="004C6967">
        <w:rPr>
          <w:rFonts w:ascii="Times New Roman" w:eastAsia="Times New Roman" w:hAnsi="Times New Roman" w:cs="Times New Roman"/>
          <w:sz w:val="24"/>
          <w:szCs w:val="24"/>
          <w:shd w:val="clear" w:color="auto" w:fill="FFFF00"/>
        </w:rPr>
        <w:t>Fucharoen</w:t>
      </w:r>
      <w:proofErr w:type="spellEnd"/>
      <w:r w:rsidRPr="004C6967">
        <w:rPr>
          <w:rFonts w:ascii="Times New Roman" w:eastAsia="Times New Roman" w:hAnsi="Times New Roman" w:cs="Times New Roman"/>
          <w:sz w:val="24"/>
          <w:szCs w:val="24"/>
          <w:shd w:val="clear" w:color="auto" w:fill="FFFF00"/>
        </w:rPr>
        <w:t xml:space="preserve">, </w:t>
      </w:r>
      <w:r w:rsidRPr="004C6967">
        <w:rPr>
          <w:rFonts w:ascii="Times New Roman" w:eastAsia="Times New Roman" w:hAnsi="Times New Roman" w:cs="Times New Roman"/>
          <w:sz w:val="24"/>
          <w:szCs w:val="24"/>
          <w:shd w:val="clear" w:color="auto" w:fill="FFFF00"/>
        </w:rPr>
        <w:t xml:space="preserve">S., &amp; </w:t>
      </w:r>
      <w:proofErr w:type="spellStart"/>
      <w:r w:rsidRPr="004C6967">
        <w:rPr>
          <w:rFonts w:ascii="Times New Roman" w:eastAsia="Times New Roman" w:hAnsi="Times New Roman" w:cs="Times New Roman"/>
          <w:sz w:val="24"/>
          <w:szCs w:val="24"/>
          <w:shd w:val="clear" w:color="auto" w:fill="FFFF00"/>
        </w:rPr>
        <w:t>Winichagoon</w:t>
      </w:r>
      <w:proofErr w:type="spellEnd"/>
      <w:r w:rsidRPr="004C6967">
        <w:rPr>
          <w:rFonts w:ascii="Times New Roman" w:eastAsia="Times New Roman" w:hAnsi="Times New Roman" w:cs="Times New Roman"/>
          <w:sz w:val="24"/>
          <w:szCs w:val="24"/>
          <w:shd w:val="clear" w:color="auto" w:fill="FFFF00"/>
        </w:rPr>
        <w:t xml:space="preserve">, P. (2002). Thalassemia and abnormal hemoglobin. International journal of hematology, 76(Suppl 2), 83-89. </w:t>
      </w:r>
    </w:p>
    <w:p w14:paraId="1FAD681E"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rPr>
        <w:t>Fucharoen</w:t>
      </w:r>
      <w:proofErr w:type="spellEnd"/>
      <w:r w:rsidRPr="004C6967">
        <w:rPr>
          <w:rFonts w:ascii="Times New Roman" w:eastAsia="Times New Roman" w:hAnsi="Times New Roman" w:cs="Times New Roman"/>
          <w:sz w:val="24"/>
          <w:szCs w:val="24"/>
        </w:rPr>
        <w:t xml:space="preserve">, S., &amp; </w:t>
      </w:r>
      <w:proofErr w:type="spellStart"/>
      <w:r w:rsidRPr="004C6967">
        <w:rPr>
          <w:rFonts w:ascii="Times New Roman" w:eastAsia="Times New Roman" w:hAnsi="Times New Roman" w:cs="Times New Roman"/>
          <w:sz w:val="24"/>
          <w:szCs w:val="24"/>
        </w:rPr>
        <w:t>Winichagoon</w:t>
      </w:r>
      <w:proofErr w:type="spellEnd"/>
      <w:r w:rsidRPr="004C6967">
        <w:rPr>
          <w:rFonts w:ascii="Times New Roman" w:eastAsia="Times New Roman" w:hAnsi="Times New Roman" w:cs="Times New Roman"/>
          <w:sz w:val="24"/>
          <w:szCs w:val="24"/>
        </w:rPr>
        <w:t xml:space="preserve">, P. (2011). Haemoglobinopathies in southeast Asia. </w:t>
      </w:r>
      <w:r w:rsidRPr="004C6967">
        <w:rPr>
          <w:rFonts w:ascii="Times New Roman" w:eastAsia="Times New Roman" w:hAnsi="Times New Roman" w:cs="Times New Roman"/>
          <w:i/>
          <w:iCs/>
          <w:sz w:val="24"/>
          <w:szCs w:val="24"/>
        </w:rPr>
        <w:t>The Indian Journal of Medical Research, 134</w:t>
      </w:r>
      <w:r w:rsidRPr="004C6967">
        <w:rPr>
          <w:rFonts w:ascii="Times New Roman" w:eastAsia="Times New Roman" w:hAnsi="Times New Roman" w:cs="Times New Roman"/>
          <w:sz w:val="24"/>
          <w:szCs w:val="24"/>
        </w:rPr>
        <w:t>(4), 498</w:t>
      </w:r>
      <w:r w:rsidRPr="004C6967">
        <w:rPr>
          <w:rFonts w:ascii="Times New Roman" w:eastAsia="Times New Roman" w:hAnsi="Times New Roman" w:cs="Times New Roman"/>
          <w:sz w:val="24"/>
          <w:szCs w:val="24"/>
        </w:rPr>
        <w:t>–506.</w:t>
      </w:r>
      <w:r w:rsidRPr="004C6967">
        <w:rPr>
          <w:rFonts w:ascii="Times New Roman" w:eastAsia="Times New Roman" w:hAnsi="Times New Roman"/>
          <w:sz w:val="24"/>
          <w:szCs w:val="24"/>
        </w:rPr>
        <w:t xml:space="preserve"> </w:t>
      </w:r>
      <w:hyperlink r:id="rId17">
        <w:r w:rsidRPr="004C6967">
          <w:rPr>
            <w:rStyle w:val="Hyperlink"/>
            <w:rFonts w:ascii="Times New Roman" w:eastAsia="Times New Roman" w:hAnsi="Times New Roman"/>
            <w:sz w:val="24"/>
            <w:szCs w:val="24"/>
          </w:rPr>
          <w:t>https://www.ncbi.nlm.nih.gov/pmc/articles/PMC3237250/</w:t>
        </w:r>
      </w:hyperlink>
    </w:p>
    <w:p w14:paraId="5A801832"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Galicia, M. (2018). Prevalence of hemoglobinopathies among infants referred at the Newborn Screening Center – Central Luzon from January 2016 to December 2017 [Conference poster]. </w:t>
      </w:r>
      <w:r w:rsidRPr="004C6967">
        <w:rPr>
          <w:rFonts w:ascii="Times New Roman" w:eastAsia="Times New Roman" w:hAnsi="Times New Roman" w:cs="Times New Roman"/>
          <w:i/>
          <w:iCs/>
          <w:sz w:val="24"/>
          <w:szCs w:val="24"/>
        </w:rPr>
        <w:t>Philippine Pediatric Society Annual Scientific Meeting</w:t>
      </w:r>
      <w:r w:rsidRPr="004C6967">
        <w:rPr>
          <w:rFonts w:ascii="Times New Roman" w:eastAsia="Times New Roman" w:hAnsi="Times New Roman" w:cs="Times New Roman"/>
          <w:sz w:val="24"/>
          <w:szCs w:val="24"/>
        </w:rPr>
        <w:t>.</w:t>
      </w:r>
      <w:hyperlink r:id="rId18">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https://pps.org.ph/wp-content/uploads/2018/10/SS11-5.pdf</w:t>
      </w:r>
      <w:r w:rsidRPr="004C6967">
        <w:rPr>
          <w:rFonts w:ascii="Times New Roman" w:eastAsia="Times New Roman" w:hAnsi="Times New Roman" w:cs="Times New Roman"/>
          <w:sz w:val="24"/>
          <w:szCs w:val="24"/>
          <w:u w:val="single"/>
        </w:rPr>
        <w:t xml:space="preserve"> </w:t>
      </w:r>
    </w:p>
    <w:p w14:paraId="7F2D1312"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Giordano, P. (2013). Newborn screening for haemoglobinopathies. In M. </w:t>
      </w:r>
      <w:proofErr w:type="spellStart"/>
      <w:r w:rsidRPr="004C6967">
        <w:rPr>
          <w:rFonts w:ascii="Times New Roman" w:eastAsia="Times New Roman" w:hAnsi="Times New Roman" w:cs="Times New Roman"/>
          <w:sz w:val="24"/>
          <w:szCs w:val="24"/>
        </w:rPr>
        <w:t>Angastiniotis</w:t>
      </w:r>
      <w:proofErr w:type="spellEnd"/>
      <w:r w:rsidRPr="004C6967">
        <w:rPr>
          <w:rFonts w:ascii="Times New Roman" w:eastAsia="Times New Roman" w:hAnsi="Times New Roman" w:cs="Times New Roman"/>
          <w:sz w:val="24"/>
          <w:szCs w:val="24"/>
        </w:rPr>
        <w:t xml:space="preserve"> et al. (Eds.), </w:t>
      </w:r>
      <w:r w:rsidRPr="004C6967">
        <w:rPr>
          <w:rFonts w:ascii="Times New Roman" w:eastAsia="Times New Roman" w:hAnsi="Times New Roman" w:cs="Times New Roman"/>
          <w:i/>
          <w:iCs/>
          <w:sz w:val="24"/>
          <w:szCs w:val="24"/>
        </w:rPr>
        <w:t xml:space="preserve">Prevention of </w:t>
      </w:r>
      <w:proofErr w:type="spellStart"/>
      <w:r w:rsidRPr="004C6967">
        <w:rPr>
          <w:rFonts w:ascii="Times New Roman" w:eastAsia="Times New Roman" w:hAnsi="Times New Roman" w:cs="Times New Roman"/>
          <w:i/>
          <w:iCs/>
          <w:sz w:val="24"/>
          <w:szCs w:val="24"/>
        </w:rPr>
        <w:t>thalassaemias</w:t>
      </w:r>
      <w:proofErr w:type="spellEnd"/>
      <w:r w:rsidRPr="004C6967">
        <w:rPr>
          <w:rFonts w:ascii="Times New Roman" w:eastAsia="Times New Roman" w:hAnsi="Times New Roman" w:cs="Times New Roman"/>
          <w:i/>
          <w:iCs/>
          <w:sz w:val="24"/>
          <w:szCs w:val="24"/>
        </w:rPr>
        <w:t xml:space="preserve"> and other </w:t>
      </w:r>
      <w:proofErr w:type="spellStart"/>
      <w:r w:rsidRPr="004C6967">
        <w:rPr>
          <w:rFonts w:ascii="Times New Roman" w:eastAsia="Times New Roman" w:hAnsi="Times New Roman" w:cs="Times New Roman"/>
          <w:i/>
          <w:iCs/>
          <w:sz w:val="24"/>
          <w:szCs w:val="24"/>
        </w:rPr>
        <w:t>haem</w:t>
      </w:r>
      <w:r w:rsidRPr="004C6967">
        <w:rPr>
          <w:rFonts w:ascii="Times New Roman" w:eastAsia="Times New Roman" w:hAnsi="Times New Roman" w:cs="Times New Roman"/>
          <w:i/>
          <w:iCs/>
          <w:sz w:val="24"/>
          <w:szCs w:val="24"/>
        </w:rPr>
        <w:t>oglobin</w:t>
      </w:r>
      <w:proofErr w:type="spellEnd"/>
      <w:r w:rsidRPr="004C6967">
        <w:rPr>
          <w:rFonts w:ascii="Times New Roman" w:eastAsia="Times New Roman" w:hAnsi="Times New Roman" w:cs="Times New Roman"/>
          <w:i/>
          <w:iCs/>
          <w:sz w:val="24"/>
          <w:szCs w:val="24"/>
        </w:rPr>
        <w:t xml:space="preserve"> disorders: Volume 1: Principles</w:t>
      </w:r>
      <w:r w:rsidRPr="004C6967">
        <w:rPr>
          <w:rFonts w:ascii="Times New Roman" w:eastAsia="Times New Roman" w:hAnsi="Times New Roman" w:cs="Times New Roman"/>
          <w:sz w:val="24"/>
          <w:szCs w:val="24"/>
        </w:rPr>
        <w:t xml:space="preserve"> (2nd ed.). </w:t>
      </w:r>
      <w:proofErr w:type="spellStart"/>
      <w:r w:rsidRPr="004C6967">
        <w:rPr>
          <w:rFonts w:ascii="Times New Roman" w:eastAsia="Times New Roman" w:hAnsi="Times New Roman" w:cs="Times New Roman"/>
          <w:sz w:val="24"/>
          <w:szCs w:val="24"/>
        </w:rPr>
        <w:t>Thalassaemia</w:t>
      </w:r>
      <w:proofErr w:type="spellEnd"/>
      <w:r w:rsidRPr="004C6967">
        <w:rPr>
          <w:rFonts w:ascii="Times New Roman" w:eastAsia="Times New Roman" w:hAnsi="Times New Roman" w:cs="Times New Roman"/>
          <w:sz w:val="24"/>
          <w:szCs w:val="24"/>
        </w:rPr>
        <w:t xml:space="preserve"> International Federation.</w:t>
      </w:r>
      <w:hyperlink r:id="rId19">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https://www.ncbi.nlm.nih.gov/books/NBK190476/</w:t>
      </w:r>
      <w:r w:rsidRPr="004C6967">
        <w:rPr>
          <w:rFonts w:ascii="Times New Roman" w:eastAsia="Times New Roman" w:hAnsi="Times New Roman" w:cs="Times New Roman"/>
          <w:sz w:val="24"/>
          <w:szCs w:val="24"/>
          <w:u w:val="single"/>
        </w:rPr>
        <w:t xml:space="preserve"> </w:t>
      </w:r>
    </w:p>
    <w:p w14:paraId="7F41A2BB"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Hall, J. (1991). </w:t>
      </w:r>
      <w:r w:rsidRPr="004C6967">
        <w:rPr>
          <w:rFonts w:ascii="Times New Roman" w:eastAsia="Times New Roman" w:hAnsi="Times New Roman" w:cs="Times New Roman"/>
          <w:i/>
          <w:iCs/>
          <w:sz w:val="24"/>
          <w:szCs w:val="24"/>
        </w:rPr>
        <w:t xml:space="preserve">The </w:t>
      </w:r>
      <w:proofErr w:type="spellStart"/>
      <w:r w:rsidRPr="004C6967">
        <w:rPr>
          <w:rFonts w:ascii="Times New Roman" w:eastAsia="Times New Roman" w:hAnsi="Times New Roman" w:cs="Times New Roman"/>
          <w:i/>
          <w:iCs/>
          <w:sz w:val="24"/>
          <w:szCs w:val="24"/>
        </w:rPr>
        <w:t>thalassemias</w:t>
      </w:r>
      <w:proofErr w:type="spellEnd"/>
      <w:r w:rsidRPr="004C6967">
        <w:rPr>
          <w:rFonts w:ascii="Times New Roman" w:eastAsia="Times New Roman" w:hAnsi="Times New Roman" w:cs="Times New Roman"/>
          <w:i/>
          <w:iCs/>
          <w:sz w:val="24"/>
          <w:szCs w:val="24"/>
        </w:rPr>
        <w:t xml:space="preserve"> among Laotians, Chi</w:t>
      </w:r>
      <w:r w:rsidRPr="004C6967">
        <w:rPr>
          <w:rFonts w:ascii="Times New Roman" w:eastAsia="Times New Roman" w:hAnsi="Times New Roman" w:cs="Times New Roman"/>
          <w:i/>
          <w:iCs/>
          <w:sz w:val="24"/>
          <w:szCs w:val="24"/>
        </w:rPr>
        <w:t xml:space="preserve">nese and Filipinos in Hawaii: </w:t>
      </w:r>
      <w:proofErr w:type="spellStart"/>
      <w:r w:rsidRPr="004C6967">
        <w:rPr>
          <w:rFonts w:ascii="Times New Roman" w:eastAsia="Times New Roman" w:hAnsi="Times New Roman" w:cs="Times New Roman"/>
          <w:i/>
          <w:iCs/>
          <w:sz w:val="24"/>
          <w:szCs w:val="24"/>
        </w:rPr>
        <w:t>Prevalences</w:t>
      </w:r>
      <w:proofErr w:type="spellEnd"/>
      <w:r w:rsidRPr="004C6967">
        <w:rPr>
          <w:rFonts w:ascii="Times New Roman" w:eastAsia="Times New Roman" w:hAnsi="Times New Roman" w:cs="Times New Roman"/>
          <w:i/>
          <w:iCs/>
          <w:sz w:val="24"/>
          <w:szCs w:val="24"/>
        </w:rPr>
        <w:t>, gene frequencies, geographic distributions, and screening strategy</w:t>
      </w:r>
      <w:r w:rsidRPr="004C6967">
        <w:rPr>
          <w:rFonts w:ascii="Times New Roman" w:eastAsia="Times New Roman" w:hAnsi="Times New Roman" w:cs="Times New Roman"/>
          <w:sz w:val="24"/>
          <w:szCs w:val="24"/>
        </w:rPr>
        <w:t xml:space="preserve"> (Doctoral dissertation). University of </w:t>
      </w:r>
      <w:proofErr w:type="spellStart"/>
      <w:r w:rsidRPr="004C6967">
        <w:rPr>
          <w:rFonts w:ascii="Times New Roman" w:eastAsia="Times New Roman" w:hAnsi="Times New Roman" w:cs="Times New Roman"/>
          <w:sz w:val="24"/>
          <w:szCs w:val="24"/>
        </w:rPr>
        <w:t>Hawaiʻi</w:t>
      </w:r>
      <w:proofErr w:type="spellEnd"/>
      <w:r w:rsidRPr="004C6967">
        <w:rPr>
          <w:rFonts w:ascii="Times New Roman" w:eastAsia="Times New Roman" w:hAnsi="Times New Roman" w:cs="Times New Roman"/>
          <w:sz w:val="24"/>
          <w:szCs w:val="24"/>
        </w:rPr>
        <w:t xml:space="preserve"> at </w:t>
      </w:r>
      <w:proofErr w:type="spellStart"/>
      <w:r w:rsidRPr="004C6967">
        <w:rPr>
          <w:rFonts w:ascii="Times New Roman" w:eastAsia="Times New Roman" w:hAnsi="Times New Roman" w:cs="Times New Roman"/>
          <w:sz w:val="24"/>
          <w:szCs w:val="24"/>
        </w:rPr>
        <w:t>Mānoa</w:t>
      </w:r>
      <w:proofErr w:type="spellEnd"/>
      <w:r w:rsidRPr="004C6967">
        <w:rPr>
          <w:rFonts w:ascii="Times New Roman" w:eastAsia="Times New Roman" w:hAnsi="Times New Roman" w:cs="Times New Roman"/>
          <w:sz w:val="24"/>
          <w:szCs w:val="24"/>
        </w:rPr>
        <w:t>.</w:t>
      </w:r>
      <w:hyperlink r:id="rId20">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https://scholarspace.manoa.hawaii.edu/server/api/core/bitstreams/1f995c0c-b91a-416e-b2e6-d6636d792ce3/content</w:t>
      </w:r>
      <w:r w:rsidRPr="004C6967">
        <w:rPr>
          <w:rFonts w:ascii="Times New Roman" w:eastAsia="Times New Roman" w:hAnsi="Times New Roman" w:cs="Times New Roman"/>
          <w:sz w:val="24"/>
          <w:szCs w:val="24"/>
          <w:u w:val="single"/>
        </w:rPr>
        <w:t xml:space="preserve"> </w:t>
      </w:r>
    </w:p>
    <w:p w14:paraId="140CD041"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r w:rsidRPr="004C6967">
        <w:rPr>
          <w:rFonts w:ascii="Times New Roman" w:eastAsia="Times New Roman" w:hAnsi="Times New Roman" w:cs="Times New Roman"/>
          <w:sz w:val="24"/>
          <w:szCs w:val="24"/>
        </w:rPr>
        <w:t xml:space="preserve">Horne, M. K., 3rd, Walters, C., &amp; Reeves, J. D. (1978). </w:t>
      </w:r>
      <w:proofErr w:type="spellStart"/>
      <w:r w:rsidRPr="004C6967">
        <w:rPr>
          <w:rFonts w:ascii="Times New Roman" w:eastAsia="Times New Roman" w:hAnsi="Times New Roman" w:cs="Times New Roman"/>
          <w:sz w:val="24"/>
          <w:szCs w:val="24"/>
        </w:rPr>
        <w:t>Haemoglobin</w:t>
      </w:r>
      <w:proofErr w:type="spellEnd"/>
      <w:r w:rsidRPr="004C6967">
        <w:rPr>
          <w:rFonts w:ascii="Times New Roman" w:eastAsia="Times New Roman" w:hAnsi="Times New Roman" w:cs="Times New Roman"/>
          <w:sz w:val="24"/>
          <w:szCs w:val="24"/>
        </w:rPr>
        <w:t xml:space="preserve"> H disease in 2 Filipino families. </w:t>
      </w:r>
      <w:r w:rsidRPr="004C6967">
        <w:rPr>
          <w:rFonts w:ascii="Times New Roman" w:eastAsia="Times New Roman" w:hAnsi="Times New Roman" w:cs="Times New Roman"/>
          <w:i/>
          <w:iCs/>
          <w:sz w:val="24"/>
          <w:szCs w:val="24"/>
        </w:rPr>
        <w:t>Jo</w:t>
      </w:r>
      <w:r w:rsidRPr="004C6967">
        <w:rPr>
          <w:rFonts w:ascii="Times New Roman" w:eastAsia="Times New Roman" w:hAnsi="Times New Roman" w:cs="Times New Roman"/>
          <w:i/>
          <w:iCs/>
          <w:sz w:val="24"/>
          <w:szCs w:val="24"/>
        </w:rPr>
        <w:t>urnal of Medical Genetics, 15</w:t>
      </w:r>
      <w:r w:rsidRPr="004C6967">
        <w:rPr>
          <w:rFonts w:ascii="Times New Roman" w:eastAsia="Times New Roman" w:hAnsi="Times New Roman" w:cs="Times New Roman"/>
          <w:sz w:val="24"/>
          <w:szCs w:val="24"/>
        </w:rPr>
        <w:t xml:space="preserve">(4), 294–295. </w:t>
      </w:r>
      <w:r w:rsidRPr="004C6967">
        <w:rPr>
          <w:rFonts w:ascii="Times New Roman" w:eastAsia="Times New Roman" w:hAnsi="Times New Roman"/>
          <w:sz w:val="24"/>
          <w:szCs w:val="24"/>
        </w:rPr>
        <w:t>https://doi.org/10.1136/jmg.15.4.294</w:t>
      </w:r>
    </w:p>
    <w:p w14:paraId="4A9E0BE1"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shd w:val="clear" w:color="auto" w:fill="FFFF00"/>
        </w:rPr>
        <w:t>Khandaker</w:t>
      </w:r>
      <w:proofErr w:type="spellEnd"/>
      <w:r w:rsidRPr="004C6967">
        <w:rPr>
          <w:rFonts w:ascii="Times New Roman" w:eastAsia="Times New Roman" w:hAnsi="Times New Roman" w:cs="Times New Roman"/>
          <w:sz w:val="24"/>
          <w:szCs w:val="24"/>
          <w:shd w:val="clear" w:color="auto" w:fill="FFFF00"/>
        </w:rPr>
        <w:t xml:space="preserve">, M., </w:t>
      </w:r>
      <w:proofErr w:type="spellStart"/>
      <w:r w:rsidRPr="004C6967">
        <w:rPr>
          <w:rFonts w:ascii="Times New Roman" w:eastAsia="Times New Roman" w:hAnsi="Times New Roman" w:cs="Times New Roman"/>
          <w:sz w:val="24"/>
          <w:szCs w:val="24"/>
          <w:shd w:val="clear" w:color="auto" w:fill="FFFF00"/>
        </w:rPr>
        <w:t>Ferdouse</w:t>
      </w:r>
      <w:proofErr w:type="spellEnd"/>
      <w:r w:rsidRPr="004C6967">
        <w:rPr>
          <w:rFonts w:ascii="Times New Roman" w:eastAsia="Times New Roman" w:hAnsi="Times New Roman" w:cs="Times New Roman"/>
          <w:sz w:val="24"/>
          <w:szCs w:val="24"/>
          <w:shd w:val="clear" w:color="auto" w:fill="FFFF00"/>
        </w:rPr>
        <w:t xml:space="preserve">, R., &amp; </w:t>
      </w:r>
      <w:proofErr w:type="spellStart"/>
      <w:r w:rsidRPr="004C6967">
        <w:rPr>
          <w:rFonts w:ascii="Times New Roman" w:eastAsia="Times New Roman" w:hAnsi="Times New Roman" w:cs="Times New Roman"/>
          <w:sz w:val="24"/>
          <w:szCs w:val="24"/>
          <w:shd w:val="clear" w:color="auto" w:fill="FFFF00"/>
        </w:rPr>
        <w:t>Shemu</w:t>
      </w:r>
      <w:proofErr w:type="spellEnd"/>
      <w:r w:rsidRPr="004C6967">
        <w:rPr>
          <w:rFonts w:ascii="Times New Roman" w:eastAsia="Times New Roman" w:hAnsi="Times New Roman" w:cs="Times New Roman"/>
          <w:sz w:val="24"/>
          <w:szCs w:val="24"/>
          <w:shd w:val="clear" w:color="auto" w:fill="FFFF00"/>
        </w:rPr>
        <w:t xml:space="preserve">, A. A. (2025). </w:t>
      </w:r>
      <w:r w:rsidRPr="004C6967">
        <w:rPr>
          <w:rStyle w:val="Emphasis"/>
          <w:rFonts w:ascii="Times New Roman" w:eastAsia="Times New Roman" w:hAnsi="Times New Roman" w:cs="Times New Roman"/>
          <w:sz w:val="24"/>
          <w:szCs w:val="24"/>
          <w:shd w:val="clear" w:color="auto" w:fill="FFFF00"/>
        </w:rPr>
        <w:t>Hemoglobinopathies &amp; types: Overview, pathophysiology, and epidemiology</w:t>
      </w:r>
      <w:r w:rsidRPr="004C6967">
        <w:rPr>
          <w:rFonts w:ascii="Times New Roman" w:eastAsia="Times New Roman" w:hAnsi="Times New Roman" w:cs="Times New Roman"/>
          <w:sz w:val="24"/>
          <w:szCs w:val="24"/>
          <w:shd w:val="clear" w:color="auto" w:fill="FFFF00"/>
        </w:rPr>
        <w:t xml:space="preserve">. </w:t>
      </w:r>
      <w:r w:rsidRPr="004C6967">
        <w:rPr>
          <w:rStyle w:val="Emphasis"/>
          <w:rFonts w:ascii="Times New Roman" w:eastAsia="Times New Roman" w:hAnsi="Times New Roman" w:cs="Times New Roman"/>
          <w:sz w:val="24"/>
          <w:szCs w:val="24"/>
          <w:shd w:val="clear" w:color="auto" w:fill="FFFF00"/>
        </w:rPr>
        <w:t>Journal of Medicine and Health Sciences Research</w:t>
      </w:r>
      <w:r w:rsidRPr="004C6967">
        <w:rPr>
          <w:rFonts w:ascii="Times New Roman" w:eastAsia="Times New Roman" w:hAnsi="Times New Roman" w:cs="Times New Roman"/>
          <w:sz w:val="24"/>
          <w:szCs w:val="24"/>
          <w:shd w:val="clear" w:color="auto" w:fill="FFFF00"/>
        </w:rPr>
        <w:t xml:space="preserve">, </w:t>
      </w:r>
      <w:r w:rsidRPr="004C6967">
        <w:rPr>
          <w:rStyle w:val="Emphasis"/>
          <w:rFonts w:ascii="Times New Roman" w:eastAsia="Times New Roman" w:hAnsi="Times New Roman" w:cs="Times New Roman"/>
          <w:sz w:val="24"/>
          <w:szCs w:val="24"/>
          <w:shd w:val="clear" w:color="auto" w:fill="FFFF00"/>
        </w:rPr>
        <w:t>8</w:t>
      </w:r>
      <w:r w:rsidRPr="004C6967">
        <w:rPr>
          <w:rFonts w:ascii="Times New Roman" w:eastAsia="Times New Roman" w:hAnsi="Times New Roman" w:cs="Times New Roman"/>
          <w:sz w:val="24"/>
          <w:szCs w:val="24"/>
          <w:shd w:val="clear" w:color="auto" w:fill="FFFF00"/>
        </w:rPr>
        <w:t xml:space="preserve">, 1–9. https://doi.org/10.21839/jmhsr.2025.v8.9567 </w:t>
      </w:r>
    </w:p>
    <w:p w14:paraId="2C3A8E68"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r w:rsidRPr="004C6967">
        <w:rPr>
          <w:rFonts w:ascii="Times New Roman" w:eastAsia="Times New Roman" w:hAnsi="Times New Roman" w:cs="Times New Roman"/>
          <w:sz w:val="24"/>
          <w:szCs w:val="24"/>
        </w:rPr>
        <w:t xml:space="preserve">Ko, T. M., </w:t>
      </w:r>
      <w:proofErr w:type="spellStart"/>
      <w:r w:rsidRPr="004C6967">
        <w:rPr>
          <w:rFonts w:ascii="Times New Roman" w:eastAsia="Times New Roman" w:hAnsi="Times New Roman" w:cs="Times New Roman"/>
          <w:sz w:val="24"/>
          <w:szCs w:val="24"/>
        </w:rPr>
        <w:t>Caviles</w:t>
      </w:r>
      <w:proofErr w:type="spellEnd"/>
      <w:r w:rsidRPr="004C6967">
        <w:rPr>
          <w:rFonts w:ascii="Times New Roman" w:eastAsia="Times New Roman" w:hAnsi="Times New Roman" w:cs="Times New Roman"/>
          <w:sz w:val="24"/>
          <w:szCs w:val="24"/>
        </w:rPr>
        <w:t xml:space="preserve">, A., Jr., Hwa, H. L., et al. (1998). Prevalence and molecular characterization of β-thalassemia in Filipinos. </w:t>
      </w:r>
      <w:r w:rsidRPr="004C6967">
        <w:rPr>
          <w:rFonts w:ascii="Times New Roman" w:eastAsia="Times New Roman" w:hAnsi="Times New Roman" w:cs="Times New Roman"/>
          <w:i/>
          <w:iCs/>
          <w:sz w:val="24"/>
          <w:szCs w:val="24"/>
        </w:rPr>
        <w:t>Annals of Hematology, 77</w:t>
      </w:r>
      <w:r w:rsidRPr="004C6967">
        <w:rPr>
          <w:rFonts w:ascii="Times New Roman" w:eastAsia="Times New Roman" w:hAnsi="Times New Roman" w:cs="Times New Roman"/>
          <w:sz w:val="24"/>
          <w:szCs w:val="24"/>
        </w:rPr>
        <w:t>, 257–260.</w:t>
      </w:r>
      <w:r w:rsidRPr="004C6967">
        <w:rPr>
          <w:rFonts w:ascii="Times New Roman" w:eastAsia="Times New Roman" w:hAnsi="Times New Roman"/>
          <w:sz w:val="24"/>
          <w:szCs w:val="24"/>
        </w:rPr>
        <w:t xml:space="preserve"> https://doi.org/10.1007/s002770050454</w:t>
      </w:r>
      <w:r w:rsidRPr="004C6967">
        <w:rPr>
          <w:rFonts w:ascii="Times New Roman" w:eastAsia="Times New Roman" w:hAnsi="Times New Roman" w:cs="Times New Roman"/>
          <w:sz w:val="24"/>
          <w:szCs w:val="24"/>
          <w:u w:val="single"/>
        </w:rPr>
        <w:t xml:space="preserve"> </w:t>
      </w:r>
    </w:p>
    <w:p w14:paraId="5D75F330" w14:textId="77777777" w:rsidR="00FB2344" w:rsidRDefault="00243FCF" w:rsidP="004C6967">
      <w:pPr>
        <w:pStyle w:val="ListParagraph"/>
        <w:numPr>
          <w:ilvl w:val="0"/>
          <w:numId w:val="1"/>
        </w:numPr>
        <w:spacing w:after="240" w:line="240" w:lineRule="auto"/>
        <w:jc w:val="both"/>
      </w:pPr>
      <w:r w:rsidRPr="004C6967">
        <w:rPr>
          <w:rFonts w:ascii="Times New Roman" w:eastAsia="Cardo" w:hAnsi="Times New Roman" w:cs="Cardo"/>
          <w:sz w:val="24"/>
          <w:szCs w:val="24"/>
        </w:rPr>
        <w:t xml:space="preserve">Lim, L. N., </w:t>
      </w:r>
      <w:proofErr w:type="spellStart"/>
      <w:r w:rsidRPr="004C6967">
        <w:rPr>
          <w:rFonts w:ascii="Times New Roman" w:eastAsia="Cardo" w:hAnsi="Times New Roman" w:cs="Cardo"/>
          <w:sz w:val="24"/>
          <w:szCs w:val="24"/>
        </w:rPr>
        <w:t>Teh</w:t>
      </w:r>
      <w:proofErr w:type="spellEnd"/>
      <w:r w:rsidRPr="004C6967">
        <w:rPr>
          <w:rFonts w:ascii="Times New Roman" w:eastAsia="Cardo" w:hAnsi="Times New Roman" w:cs="Cardo"/>
          <w:sz w:val="24"/>
          <w:szCs w:val="24"/>
        </w:rPr>
        <w:t>, L. K., Yu, K. S., Chua, S. M., George, E., Lai, M. I., &amp; Wong, L. (2020). Genetic variants of HBS1L-MYB with Hb subtypes level among Filipino β°-</w:t>
      </w:r>
      <w:r w:rsidRPr="004C6967">
        <w:rPr>
          <w:rFonts w:ascii="Times New Roman" w:eastAsia="Cardo" w:hAnsi="Times New Roman" w:cs="Cardo"/>
          <w:sz w:val="24"/>
          <w:szCs w:val="24"/>
        </w:rPr>
        <w:lastRenderedPageBreak/>
        <w:t xml:space="preserve">deletion carriers co-inherited with −α3.7 deletion </w:t>
      </w:r>
      <w:proofErr w:type="spellStart"/>
      <w:r w:rsidRPr="004C6967">
        <w:rPr>
          <w:rFonts w:ascii="Times New Roman" w:eastAsia="Cardo" w:hAnsi="Times New Roman" w:cs="Cardo"/>
          <w:sz w:val="24"/>
          <w:szCs w:val="24"/>
        </w:rPr>
        <w:t>thalassaemia</w:t>
      </w:r>
      <w:proofErr w:type="spellEnd"/>
      <w:r w:rsidRPr="004C6967">
        <w:rPr>
          <w:rFonts w:ascii="Times New Roman" w:eastAsia="Cardo" w:hAnsi="Times New Roman" w:cs="Cardo"/>
          <w:sz w:val="24"/>
          <w:szCs w:val="24"/>
        </w:rPr>
        <w:t xml:space="preserve">. </w:t>
      </w:r>
      <w:r w:rsidRPr="004C6967">
        <w:rPr>
          <w:rFonts w:ascii="Times New Roman" w:eastAsia="Times New Roman" w:hAnsi="Times New Roman" w:cs="Times New Roman"/>
          <w:i/>
          <w:iCs/>
          <w:sz w:val="24"/>
          <w:szCs w:val="24"/>
        </w:rPr>
        <w:t>Meta Gene, 26</w:t>
      </w:r>
      <w:r w:rsidRPr="004C6967">
        <w:rPr>
          <w:rFonts w:ascii="Times New Roman" w:eastAsia="Times New Roman" w:hAnsi="Times New Roman" w:cs="Times New Roman"/>
          <w:sz w:val="24"/>
          <w:szCs w:val="24"/>
        </w:rPr>
        <w:t>, 100769.</w:t>
      </w:r>
      <w:hyperlink r:id="rId21">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https://doi.org/10.1016/j.mgene.2020.100769</w:t>
      </w:r>
      <w:r w:rsidRPr="004C6967">
        <w:rPr>
          <w:rFonts w:ascii="Times New Roman" w:eastAsia="Times New Roman" w:hAnsi="Times New Roman" w:cs="Times New Roman"/>
          <w:sz w:val="24"/>
          <w:szCs w:val="24"/>
          <w:u w:val="single"/>
        </w:rPr>
        <w:t xml:space="preserve"> </w:t>
      </w:r>
    </w:p>
    <w:p w14:paraId="10FF5640"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Padilla, C. D., &amp; </w:t>
      </w:r>
      <w:proofErr w:type="spellStart"/>
      <w:r w:rsidRPr="004C6967">
        <w:rPr>
          <w:rFonts w:ascii="Times New Roman" w:eastAsia="Times New Roman" w:hAnsi="Times New Roman" w:cs="Times New Roman"/>
          <w:sz w:val="24"/>
          <w:szCs w:val="24"/>
        </w:rPr>
        <w:t>Cutiongco</w:t>
      </w:r>
      <w:proofErr w:type="spellEnd"/>
      <w:r w:rsidRPr="004C6967">
        <w:rPr>
          <w:rFonts w:ascii="Times New Roman" w:eastAsia="Times New Roman" w:hAnsi="Times New Roman" w:cs="Times New Roman"/>
          <w:sz w:val="24"/>
          <w:szCs w:val="24"/>
        </w:rPr>
        <w:t xml:space="preserve">-de la Paz, E. M. (2016). Genetics and genomic medicine in the Philippines. </w:t>
      </w:r>
      <w:r w:rsidRPr="004C6967">
        <w:rPr>
          <w:rFonts w:ascii="Times New Roman" w:eastAsia="Times New Roman" w:hAnsi="Times New Roman" w:cs="Times New Roman"/>
          <w:i/>
          <w:iCs/>
          <w:sz w:val="24"/>
          <w:szCs w:val="24"/>
        </w:rPr>
        <w:t>Molecular Genetics &amp; Genomic Medicine, 4</w:t>
      </w:r>
      <w:r w:rsidRPr="004C6967">
        <w:rPr>
          <w:rFonts w:ascii="Times New Roman" w:eastAsia="Times New Roman" w:hAnsi="Times New Roman" w:cs="Times New Roman"/>
          <w:sz w:val="24"/>
          <w:szCs w:val="24"/>
        </w:rPr>
        <w:t>(5), 494–5</w:t>
      </w:r>
      <w:r w:rsidRPr="004C6967">
        <w:rPr>
          <w:rFonts w:ascii="Times New Roman" w:eastAsia="Times New Roman" w:hAnsi="Times New Roman" w:cs="Times New Roman"/>
          <w:sz w:val="24"/>
          <w:szCs w:val="24"/>
        </w:rPr>
        <w:t>03.</w:t>
      </w:r>
      <w:hyperlink r:id="rId22">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https://doi.org/10.1002/mgg3.247</w:t>
      </w:r>
      <w:r w:rsidRPr="004C6967">
        <w:rPr>
          <w:rFonts w:ascii="Times New Roman" w:eastAsia="Times New Roman" w:hAnsi="Times New Roman" w:cs="Times New Roman"/>
          <w:sz w:val="24"/>
          <w:szCs w:val="24"/>
          <w:u w:val="single"/>
        </w:rPr>
        <w:t xml:space="preserve"> </w:t>
      </w:r>
    </w:p>
    <w:p w14:paraId="2E9C989D"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Padilla, C. D., </w:t>
      </w:r>
      <w:proofErr w:type="spellStart"/>
      <w:r w:rsidRPr="004C6967">
        <w:rPr>
          <w:rFonts w:ascii="Times New Roman" w:eastAsia="Times New Roman" w:hAnsi="Times New Roman" w:cs="Times New Roman"/>
          <w:sz w:val="24"/>
          <w:szCs w:val="24"/>
        </w:rPr>
        <w:t>Therrell</w:t>
      </w:r>
      <w:proofErr w:type="spellEnd"/>
      <w:r w:rsidRPr="004C6967">
        <w:rPr>
          <w:rFonts w:ascii="Times New Roman" w:eastAsia="Times New Roman" w:hAnsi="Times New Roman" w:cs="Times New Roman"/>
          <w:sz w:val="24"/>
          <w:szCs w:val="24"/>
        </w:rPr>
        <w:t xml:space="preserve">, B. L., Jr., </w:t>
      </w:r>
      <w:proofErr w:type="spellStart"/>
      <w:r w:rsidRPr="004C6967">
        <w:rPr>
          <w:rFonts w:ascii="Times New Roman" w:eastAsia="Times New Roman" w:hAnsi="Times New Roman" w:cs="Times New Roman"/>
          <w:sz w:val="24"/>
          <w:szCs w:val="24"/>
        </w:rPr>
        <w:t>Alcausin</w:t>
      </w:r>
      <w:proofErr w:type="spellEnd"/>
      <w:r w:rsidRPr="004C6967">
        <w:rPr>
          <w:rFonts w:ascii="Times New Roman" w:eastAsia="Times New Roman" w:hAnsi="Times New Roman" w:cs="Times New Roman"/>
          <w:sz w:val="24"/>
          <w:szCs w:val="24"/>
        </w:rPr>
        <w:t xml:space="preserve">, M. M. L. B., de Castro, R. C., Jr., </w:t>
      </w:r>
      <w:proofErr w:type="spellStart"/>
      <w:r w:rsidRPr="004C6967">
        <w:rPr>
          <w:rFonts w:ascii="Times New Roman" w:eastAsia="Times New Roman" w:hAnsi="Times New Roman" w:cs="Times New Roman"/>
          <w:sz w:val="24"/>
          <w:szCs w:val="24"/>
        </w:rPr>
        <w:t>Gepte</w:t>
      </w:r>
      <w:proofErr w:type="spellEnd"/>
      <w:r w:rsidRPr="004C6967">
        <w:rPr>
          <w:rFonts w:ascii="Times New Roman" w:eastAsia="Times New Roman" w:hAnsi="Times New Roman" w:cs="Times New Roman"/>
          <w:sz w:val="24"/>
          <w:szCs w:val="24"/>
        </w:rPr>
        <w:t xml:space="preserve">, M. B. P., Reyes, M. E. L., </w:t>
      </w:r>
      <w:proofErr w:type="spellStart"/>
      <w:r w:rsidRPr="004C6967">
        <w:rPr>
          <w:rFonts w:ascii="Times New Roman" w:eastAsia="Times New Roman" w:hAnsi="Times New Roman" w:cs="Times New Roman"/>
          <w:sz w:val="24"/>
          <w:szCs w:val="24"/>
        </w:rPr>
        <w:t>Jomento</w:t>
      </w:r>
      <w:proofErr w:type="spellEnd"/>
      <w:r w:rsidRPr="004C6967">
        <w:rPr>
          <w:rFonts w:ascii="Times New Roman" w:eastAsia="Times New Roman" w:hAnsi="Times New Roman" w:cs="Times New Roman"/>
          <w:sz w:val="24"/>
          <w:szCs w:val="24"/>
        </w:rPr>
        <w:t xml:space="preserve">, C. M., Suarez, R. C. N., </w:t>
      </w:r>
      <w:proofErr w:type="spellStart"/>
      <w:r w:rsidRPr="004C6967">
        <w:rPr>
          <w:rFonts w:ascii="Times New Roman" w:eastAsia="Times New Roman" w:hAnsi="Times New Roman" w:cs="Times New Roman"/>
          <w:sz w:val="24"/>
          <w:szCs w:val="24"/>
        </w:rPr>
        <w:t>Maceda</w:t>
      </w:r>
      <w:proofErr w:type="spellEnd"/>
      <w:r w:rsidRPr="004C6967">
        <w:rPr>
          <w:rFonts w:ascii="Times New Roman" w:eastAsia="Times New Roman" w:hAnsi="Times New Roman" w:cs="Times New Roman"/>
          <w:sz w:val="24"/>
          <w:szCs w:val="24"/>
        </w:rPr>
        <w:t>, E. B.</w:t>
      </w:r>
      <w:r w:rsidRPr="004C6967">
        <w:rPr>
          <w:rFonts w:ascii="Times New Roman" w:eastAsia="Times New Roman" w:hAnsi="Times New Roman" w:cs="Times New Roman"/>
          <w:sz w:val="24"/>
          <w:szCs w:val="24"/>
        </w:rPr>
        <w:t xml:space="preserve"> G., </w:t>
      </w:r>
      <w:proofErr w:type="spellStart"/>
      <w:r w:rsidRPr="004C6967">
        <w:rPr>
          <w:rFonts w:ascii="Times New Roman" w:eastAsia="Times New Roman" w:hAnsi="Times New Roman" w:cs="Times New Roman"/>
          <w:sz w:val="24"/>
          <w:szCs w:val="24"/>
        </w:rPr>
        <w:t>Abarquez</w:t>
      </w:r>
      <w:proofErr w:type="spellEnd"/>
      <w:r w:rsidRPr="004C6967">
        <w:rPr>
          <w:rFonts w:ascii="Times New Roman" w:eastAsia="Times New Roman" w:hAnsi="Times New Roman" w:cs="Times New Roman"/>
          <w:sz w:val="24"/>
          <w:szCs w:val="24"/>
        </w:rPr>
        <w:t xml:space="preserve">, C. G. (2021). Successful implementation of newborn screening for hemoglobin disorders in the Philippines. </w:t>
      </w:r>
      <w:r w:rsidRPr="004C6967">
        <w:rPr>
          <w:rFonts w:ascii="Times New Roman" w:eastAsia="Times New Roman" w:hAnsi="Times New Roman" w:cs="Times New Roman"/>
          <w:i/>
          <w:iCs/>
          <w:sz w:val="24"/>
          <w:szCs w:val="24"/>
        </w:rPr>
        <w:t>International Journal of Neonatal Screening, 7</w:t>
      </w:r>
      <w:r w:rsidRPr="004C6967">
        <w:rPr>
          <w:rFonts w:ascii="Times New Roman" w:eastAsia="Times New Roman" w:hAnsi="Times New Roman" w:cs="Times New Roman"/>
          <w:sz w:val="24"/>
          <w:szCs w:val="24"/>
        </w:rPr>
        <w:t>(2), 30.</w:t>
      </w:r>
      <w:hyperlink r:id="rId23">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https://doi.org/10.3390/</w:t>
      </w:r>
      <w:r w:rsidRPr="004C6967">
        <w:rPr>
          <w:rFonts w:ascii="Times New Roman" w:eastAsia="Times New Roman" w:hAnsi="Times New Roman"/>
          <w:sz w:val="24"/>
          <w:szCs w:val="24"/>
        </w:rPr>
        <w:t>ijns7020030</w:t>
      </w:r>
      <w:r w:rsidRPr="004C6967">
        <w:rPr>
          <w:rFonts w:ascii="Times New Roman" w:eastAsia="Times New Roman" w:hAnsi="Times New Roman" w:cs="Times New Roman"/>
          <w:sz w:val="24"/>
          <w:szCs w:val="24"/>
          <w:u w:val="single"/>
        </w:rPr>
        <w:t xml:space="preserve"> </w:t>
      </w:r>
    </w:p>
    <w:p w14:paraId="48977DD3"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rPr>
        <w:t>Quarmyne</w:t>
      </w:r>
      <w:proofErr w:type="spellEnd"/>
      <w:r w:rsidRPr="004C6967">
        <w:rPr>
          <w:rFonts w:ascii="Times New Roman" w:eastAsia="Times New Roman" w:hAnsi="Times New Roman" w:cs="Times New Roman"/>
          <w:sz w:val="24"/>
          <w:szCs w:val="24"/>
        </w:rPr>
        <w:t xml:space="preserve">, M., Bock, F., Lakshmanan, S., et al. (2025). Newborn screening for sickle cell disease and thalassemia. </w:t>
      </w:r>
      <w:r w:rsidRPr="004C6967">
        <w:rPr>
          <w:rFonts w:ascii="Times New Roman" w:eastAsia="Times New Roman" w:hAnsi="Times New Roman" w:cs="Times New Roman"/>
          <w:i/>
          <w:iCs/>
          <w:sz w:val="24"/>
          <w:szCs w:val="24"/>
        </w:rPr>
        <w:t>JAMA Health Forum, 6</w:t>
      </w:r>
      <w:r w:rsidRPr="004C6967">
        <w:rPr>
          <w:rFonts w:ascii="Times New Roman" w:eastAsia="Times New Roman" w:hAnsi="Times New Roman" w:cs="Times New Roman"/>
          <w:sz w:val="24"/>
          <w:szCs w:val="24"/>
        </w:rPr>
        <w:t>(3), e250064.</w:t>
      </w:r>
      <w:hyperlink r:id="rId24">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https://doi.org/10.1001/j</w:t>
      </w:r>
      <w:r w:rsidRPr="004C6967">
        <w:rPr>
          <w:rFonts w:ascii="Times New Roman" w:eastAsia="Times New Roman" w:hAnsi="Times New Roman"/>
          <w:sz w:val="24"/>
          <w:szCs w:val="24"/>
        </w:rPr>
        <w:t>amahealthforum.2025.0064</w:t>
      </w:r>
      <w:r w:rsidRPr="004C6967">
        <w:rPr>
          <w:rFonts w:ascii="Times New Roman" w:eastAsia="Times New Roman" w:hAnsi="Times New Roman" w:cs="Times New Roman"/>
          <w:sz w:val="24"/>
          <w:szCs w:val="24"/>
          <w:u w:val="single"/>
        </w:rPr>
        <w:t xml:space="preserve"> </w:t>
      </w:r>
    </w:p>
    <w:p w14:paraId="76C2E9BB"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proofErr w:type="spellStart"/>
      <w:r w:rsidRPr="004C6967">
        <w:rPr>
          <w:rFonts w:ascii="Times New Roman" w:eastAsia="Times New Roman" w:hAnsi="Times New Roman" w:cs="Times New Roman"/>
          <w:sz w:val="24"/>
          <w:szCs w:val="24"/>
        </w:rPr>
        <w:t>Setianingsih</w:t>
      </w:r>
      <w:proofErr w:type="spellEnd"/>
      <w:r w:rsidRPr="004C6967">
        <w:rPr>
          <w:rFonts w:ascii="Times New Roman" w:eastAsia="Times New Roman" w:hAnsi="Times New Roman" w:cs="Times New Roman"/>
          <w:sz w:val="24"/>
          <w:szCs w:val="24"/>
        </w:rPr>
        <w:t xml:space="preserve">, I., Williamson, R., </w:t>
      </w:r>
      <w:proofErr w:type="spellStart"/>
      <w:r w:rsidRPr="004C6967">
        <w:rPr>
          <w:rFonts w:ascii="Times New Roman" w:eastAsia="Times New Roman" w:hAnsi="Times New Roman" w:cs="Times New Roman"/>
          <w:sz w:val="24"/>
          <w:szCs w:val="24"/>
        </w:rPr>
        <w:t>Daud</w:t>
      </w:r>
      <w:proofErr w:type="spellEnd"/>
      <w:r w:rsidRPr="004C6967">
        <w:rPr>
          <w:rFonts w:ascii="Times New Roman" w:eastAsia="Times New Roman" w:hAnsi="Times New Roman" w:cs="Times New Roman"/>
          <w:sz w:val="24"/>
          <w:szCs w:val="24"/>
        </w:rPr>
        <w:t xml:space="preserve">, D., </w:t>
      </w:r>
      <w:proofErr w:type="spellStart"/>
      <w:r w:rsidRPr="004C6967">
        <w:rPr>
          <w:rFonts w:ascii="Times New Roman" w:eastAsia="Times New Roman" w:hAnsi="Times New Roman" w:cs="Times New Roman"/>
          <w:sz w:val="24"/>
          <w:szCs w:val="24"/>
        </w:rPr>
        <w:t>Harahap</w:t>
      </w:r>
      <w:proofErr w:type="spellEnd"/>
      <w:r w:rsidRPr="004C6967">
        <w:rPr>
          <w:rFonts w:ascii="Times New Roman" w:eastAsia="Times New Roman" w:hAnsi="Times New Roman" w:cs="Times New Roman"/>
          <w:sz w:val="24"/>
          <w:szCs w:val="24"/>
        </w:rPr>
        <w:t xml:space="preserve">, A., </w:t>
      </w:r>
      <w:proofErr w:type="spellStart"/>
      <w:r w:rsidRPr="004C6967">
        <w:rPr>
          <w:rFonts w:ascii="Times New Roman" w:eastAsia="Times New Roman" w:hAnsi="Times New Roman" w:cs="Times New Roman"/>
          <w:sz w:val="24"/>
          <w:szCs w:val="24"/>
        </w:rPr>
        <w:t>Marzuki</w:t>
      </w:r>
      <w:proofErr w:type="spellEnd"/>
      <w:r w:rsidRPr="004C6967">
        <w:rPr>
          <w:rFonts w:ascii="Times New Roman" w:eastAsia="Times New Roman" w:hAnsi="Times New Roman" w:cs="Times New Roman"/>
          <w:sz w:val="24"/>
          <w:szCs w:val="24"/>
        </w:rPr>
        <w:t>, S., &amp; Forrest, S. (1999). Phenotypic variability of Filipino beta(o)-thalassemia/</w:t>
      </w:r>
      <w:proofErr w:type="spellStart"/>
      <w:r w:rsidRPr="004C6967">
        <w:rPr>
          <w:rFonts w:ascii="Times New Roman" w:eastAsia="Times New Roman" w:hAnsi="Times New Roman" w:cs="Times New Roman"/>
          <w:sz w:val="24"/>
          <w:szCs w:val="24"/>
        </w:rPr>
        <w:t>HbE</w:t>
      </w:r>
      <w:proofErr w:type="spellEnd"/>
      <w:r w:rsidRPr="004C6967">
        <w:rPr>
          <w:rFonts w:ascii="Times New Roman" w:eastAsia="Times New Roman" w:hAnsi="Times New Roman" w:cs="Times New Roman"/>
          <w:sz w:val="24"/>
          <w:szCs w:val="24"/>
        </w:rPr>
        <w:t xml:space="preserve"> patients in Indonesia. </w:t>
      </w:r>
      <w:r w:rsidRPr="004C6967">
        <w:rPr>
          <w:rFonts w:ascii="Times New Roman" w:eastAsia="Times New Roman" w:hAnsi="Times New Roman" w:cs="Times New Roman"/>
          <w:i/>
          <w:iCs/>
          <w:sz w:val="24"/>
          <w:szCs w:val="24"/>
        </w:rPr>
        <w:t>American Journal of Hematology, 62</w:t>
      </w:r>
      <w:r w:rsidRPr="004C6967">
        <w:rPr>
          <w:rFonts w:ascii="Times New Roman" w:eastAsia="Times New Roman" w:hAnsi="Times New Roman" w:cs="Times New Roman"/>
          <w:sz w:val="24"/>
          <w:szCs w:val="24"/>
        </w:rPr>
        <w:t xml:space="preserve">(1), 7–12. </w:t>
      </w:r>
      <w:r w:rsidRPr="004C6967">
        <w:rPr>
          <w:rFonts w:ascii="Times New Roman" w:eastAsia="Times New Roman" w:hAnsi="Times New Roman"/>
          <w:sz w:val="24"/>
          <w:szCs w:val="24"/>
        </w:rPr>
        <w:t>https://doi</w:t>
      </w:r>
      <w:r w:rsidRPr="004C6967">
        <w:rPr>
          <w:rFonts w:ascii="Times New Roman" w:eastAsia="Times New Roman" w:hAnsi="Times New Roman"/>
          <w:sz w:val="24"/>
          <w:szCs w:val="24"/>
        </w:rPr>
        <w:t>.org/10.1002/(sici)1096-8652(199909)62:13.0.co;2-s</w:t>
      </w:r>
    </w:p>
    <w:p w14:paraId="2E8DA239"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proofErr w:type="spellStart"/>
      <w:r w:rsidRPr="004C6967">
        <w:rPr>
          <w:rFonts w:ascii="Times New Roman" w:eastAsia="Times New Roman" w:hAnsi="Times New Roman" w:cs="Times New Roman"/>
          <w:sz w:val="24"/>
          <w:szCs w:val="24"/>
        </w:rPr>
        <w:t>Silao</w:t>
      </w:r>
      <w:proofErr w:type="spellEnd"/>
      <w:r w:rsidRPr="004C6967">
        <w:rPr>
          <w:rFonts w:ascii="Times New Roman" w:eastAsia="Times New Roman" w:hAnsi="Times New Roman" w:cs="Times New Roman"/>
          <w:sz w:val="24"/>
          <w:szCs w:val="24"/>
        </w:rPr>
        <w:t xml:space="preserve">, C. L., Fabella, T. D., </w:t>
      </w:r>
      <w:proofErr w:type="spellStart"/>
      <w:r w:rsidRPr="004C6967">
        <w:rPr>
          <w:rFonts w:ascii="Times New Roman" w:eastAsia="Times New Roman" w:hAnsi="Times New Roman" w:cs="Times New Roman"/>
          <w:sz w:val="24"/>
          <w:szCs w:val="24"/>
        </w:rPr>
        <w:t>Yuson</w:t>
      </w:r>
      <w:proofErr w:type="spellEnd"/>
      <w:r w:rsidRPr="004C6967">
        <w:rPr>
          <w:rFonts w:ascii="Times New Roman" w:eastAsia="Times New Roman" w:hAnsi="Times New Roman" w:cs="Times New Roman"/>
          <w:sz w:val="24"/>
          <w:szCs w:val="24"/>
        </w:rPr>
        <w:t xml:space="preserve">, E., Naranjo, M. L., &amp; Padilla, C. (2015). AB063. Prevalence of </w:t>
      </w:r>
      <w:proofErr w:type="spellStart"/>
      <w:r w:rsidRPr="004C6967">
        <w:rPr>
          <w:rFonts w:ascii="Times New Roman" w:eastAsia="Times New Roman" w:hAnsi="Times New Roman" w:cs="Times New Roman"/>
          <w:sz w:val="24"/>
          <w:szCs w:val="24"/>
        </w:rPr>
        <w:t>thalassemias</w:t>
      </w:r>
      <w:proofErr w:type="spellEnd"/>
      <w:r w:rsidRPr="004C6967">
        <w:rPr>
          <w:rFonts w:ascii="Times New Roman" w:eastAsia="Times New Roman" w:hAnsi="Times New Roman" w:cs="Times New Roman"/>
          <w:sz w:val="24"/>
          <w:szCs w:val="24"/>
        </w:rPr>
        <w:t xml:space="preserve"> and hemoglobinopathies detected via high performance liquid chromatography in Filipinos. </w:t>
      </w:r>
      <w:r w:rsidRPr="004C6967">
        <w:rPr>
          <w:rFonts w:ascii="Times New Roman" w:eastAsia="Times New Roman" w:hAnsi="Times New Roman" w:cs="Times New Roman"/>
          <w:i/>
          <w:iCs/>
          <w:sz w:val="24"/>
          <w:szCs w:val="24"/>
        </w:rPr>
        <w:t>Ann</w:t>
      </w:r>
      <w:r w:rsidRPr="004C6967">
        <w:rPr>
          <w:rFonts w:ascii="Times New Roman" w:eastAsia="Times New Roman" w:hAnsi="Times New Roman" w:cs="Times New Roman"/>
          <w:i/>
          <w:iCs/>
          <w:sz w:val="24"/>
          <w:szCs w:val="24"/>
        </w:rPr>
        <w:t>als of Translational Medicine, 3</w:t>
      </w:r>
      <w:r w:rsidRPr="004C6967">
        <w:rPr>
          <w:rFonts w:ascii="Times New Roman" w:eastAsia="Times New Roman" w:hAnsi="Times New Roman" w:cs="Times New Roman"/>
          <w:sz w:val="24"/>
          <w:szCs w:val="24"/>
        </w:rPr>
        <w:t>(Suppl. 2), AB063.</w:t>
      </w:r>
      <w:r w:rsidRPr="004C6967">
        <w:rPr>
          <w:rFonts w:ascii="Times New Roman" w:eastAsia="Times New Roman" w:hAnsi="Times New Roman"/>
          <w:sz w:val="24"/>
          <w:szCs w:val="24"/>
        </w:rPr>
        <w:t xml:space="preserve"> https://doi.org/10.3978/j.issn.2305-5839.2015.AB063</w:t>
      </w:r>
      <w:r w:rsidRPr="004C6967">
        <w:rPr>
          <w:rFonts w:ascii="Times New Roman" w:eastAsia="Times New Roman" w:hAnsi="Times New Roman" w:cs="Times New Roman"/>
          <w:sz w:val="24"/>
          <w:szCs w:val="24"/>
          <w:u w:val="single"/>
        </w:rPr>
        <w:t xml:space="preserve"> </w:t>
      </w:r>
    </w:p>
    <w:p w14:paraId="0A951EC8"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rPr>
        <w:t>Silao</w:t>
      </w:r>
      <w:proofErr w:type="spellEnd"/>
      <w:r w:rsidRPr="004C6967">
        <w:rPr>
          <w:rFonts w:ascii="Times New Roman" w:eastAsia="Times New Roman" w:hAnsi="Times New Roman" w:cs="Times New Roman"/>
          <w:sz w:val="24"/>
          <w:szCs w:val="24"/>
        </w:rPr>
        <w:t xml:space="preserve">, C. L. T., Fabella, T. D. F., Naranjo, M. L. T., Padilla, C. D., &amp; </w:t>
      </w:r>
      <w:proofErr w:type="spellStart"/>
      <w:r w:rsidRPr="004C6967">
        <w:rPr>
          <w:rFonts w:ascii="Times New Roman" w:eastAsia="Times New Roman" w:hAnsi="Times New Roman" w:cs="Times New Roman"/>
          <w:sz w:val="24"/>
          <w:szCs w:val="24"/>
        </w:rPr>
        <w:t>Yuson</w:t>
      </w:r>
      <w:proofErr w:type="spellEnd"/>
      <w:r w:rsidRPr="004C6967">
        <w:rPr>
          <w:rFonts w:ascii="Times New Roman" w:eastAsia="Times New Roman" w:hAnsi="Times New Roman" w:cs="Times New Roman"/>
          <w:sz w:val="24"/>
          <w:szCs w:val="24"/>
        </w:rPr>
        <w:t>, E. D. J. (2017). AB089. Prevalence of the most common β-globin gene muta</w:t>
      </w:r>
      <w:r w:rsidRPr="004C6967">
        <w:rPr>
          <w:rFonts w:ascii="Times New Roman" w:eastAsia="Times New Roman" w:hAnsi="Times New Roman" w:cs="Times New Roman"/>
          <w:sz w:val="24"/>
          <w:szCs w:val="24"/>
        </w:rPr>
        <w:t xml:space="preserve">tions in Filipino β-thalassemia patients. </w:t>
      </w:r>
      <w:r w:rsidRPr="004C6967">
        <w:rPr>
          <w:rFonts w:ascii="Times New Roman" w:eastAsia="Times New Roman" w:hAnsi="Times New Roman" w:cs="Times New Roman"/>
          <w:i/>
          <w:iCs/>
          <w:sz w:val="24"/>
          <w:szCs w:val="24"/>
        </w:rPr>
        <w:t>Annals of Translational Medicine, 5</w:t>
      </w:r>
      <w:r w:rsidRPr="004C6967">
        <w:rPr>
          <w:rFonts w:ascii="Times New Roman" w:eastAsia="Times New Roman" w:hAnsi="Times New Roman" w:cs="Times New Roman"/>
          <w:sz w:val="24"/>
          <w:szCs w:val="24"/>
        </w:rPr>
        <w:t>(Suppl. 2), AB089.</w:t>
      </w:r>
      <w:hyperlink r:id="rId25">
        <w:r w:rsidRPr="004C6967">
          <w:rPr>
            <w:rFonts w:ascii="Times New Roman" w:eastAsia="Times New Roman" w:hAnsi="Times New Roman" w:cs="Times New Roman"/>
            <w:sz w:val="24"/>
            <w:szCs w:val="24"/>
          </w:rPr>
          <w:t xml:space="preserve"> </w:t>
        </w:r>
      </w:hyperlink>
      <w:hyperlink r:id="rId26">
        <w:r w:rsidRPr="004C6967">
          <w:rPr>
            <w:rFonts w:ascii="Times New Roman" w:eastAsia="Times New Roman" w:hAnsi="Times New Roman" w:cs="Times New Roman"/>
            <w:sz w:val="24"/>
            <w:szCs w:val="24"/>
            <w:u w:val="single"/>
          </w:rPr>
          <w:t>https://doi.org/10.21037/atm.2017.s089</w:t>
        </w:r>
      </w:hyperlink>
    </w:p>
    <w:p w14:paraId="15CA895E" w14:textId="77777777" w:rsidR="00FB2344" w:rsidRDefault="00243FCF" w:rsidP="004C6967">
      <w:pPr>
        <w:pStyle w:val="ListParagraph"/>
        <w:numPr>
          <w:ilvl w:val="0"/>
          <w:numId w:val="1"/>
        </w:numPr>
        <w:spacing w:after="240" w:line="240" w:lineRule="auto"/>
        <w:jc w:val="both"/>
      </w:pPr>
      <w:proofErr w:type="spellStart"/>
      <w:r w:rsidRPr="004C6967">
        <w:rPr>
          <w:rFonts w:ascii="Times New Roman" w:eastAsia="Times New Roman" w:hAnsi="Times New Roman" w:cs="Times New Roman"/>
          <w:sz w:val="24"/>
          <w:szCs w:val="24"/>
        </w:rPr>
        <w:t>Silao</w:t>
      </w:r>
      <w:proofErr w:type="spellEnd"/>
      <w:r w:rsidRPr="004C6967">
        <w:rPr>
          <w:rFonts w:ascii="Times New Roman" w:eastAsia="Times New Roman" w:hAnsi="Times New Roman" w:cs="Times New Roman"/>
          <w:sz w:val="24"/>
          <w:szCs w:val="24"/>
        </w:rPr>
        <w:t xml:space="preserve">, C. L. T., Fabella, T. D. F., Naranjo, M. L. T., </w:t>
      </w:r>
      <w:proofErr w:type="spellStart"/>
      <w:r w:rsidRPr="004C6967">
        <w:rPr>
          <w:rFonts w:ascii="Times New Roman" w:eastAsia="Times New Roman" w:hAnsi="Times New Roman" w:cs="Times New Roman"/>
          <w:sz w:val="24"/>
          <w:szCs w:val="24"/>
        </w:rPr>
        <w:t>Barnuevo</w:t>
      </w:r>
      <w:proofErr w:type="spellEnd"/>
      <w:r w:rsidRPr="004C6967">
        <w:rPr>
          <w:rFonts w:ascii="Times New Roman" w:eastAsia="Times New Roman" w:hAnsi="Times New Roman" w:cs="Times New Roman"/>
          <w:sz w:val="24"/>
          <w:szCs w:val="24"/>
        </w:rPr>
        <w:t xml:space="preserve">, M. M., Padilla, C. D., &amp; </w:t>
      </w:r>
      <w:proofErr w:type="spellStart"/>
      <w:r w:rsidRPr="004C6967">
        <w:rPr>
          <w:rFonts w:ascii="Times New Roman" w:eastAsia="Times New Roman" w:hAnsi="Times New Roman" w:cs="Times New Roman"/>
          <w:sz w:val="24"/>
          <w:szCs w:val="24"/>
        </w:rPr>
        <w:t>Yuson</w:t>
      </w:r>
      <w:proofErr w:type="spellEnd"/>
      <w:r w:rsidRPr="004C6967">
        <w:rPr>
          <w:rFonts w:ascii="Times New Roman" w:eastAsia="Times New Roman" w:hAnsi="Times New Roman" w:cs="Times New Roman"/>
          <w:sz w:val="24"/>
          <w:szCs w:val="24"/>
        </w:rPr>
        <w:t xml:space="preserve">, E. d. J. (2021). Common alpha globin genes (HBA1 and HBA2) mutations in Filipino patients with alpha thalassemia. </w:t>
      </w:r>
      <w:r w:rsidRPr="004C6967">
        <w:rPr>
          <w:rFonts w:ascii="Times New Roman" w:eastAsia="Times New Roman" w:hAnsi="Times New Roman" w:cs="Times New Roman"/>
          <w:i/>
          <w:iCs/>
          <w:sz w:val="24"/>
          <w:szCs w:val="24"/>
        </w:rPr>
        <w:t>Philippine Journal of Science, 150</w:t>
      </w:r>
      <w:r w:rsidRPr="004C6967">
        <w:rPr>
          <w:rFonts w:ascii="Times New Roman" w:eastAsia="Times New Roman" w:hAnsi="Times New Roman" w:cs="Times New Roman"/>
          <w:sz w:val="24"/>
          <w:szCs w:val="24"/>
        </w:rPr>
        <w:t>(2), 495–49</w:t>
      </w:r>
      <w:r w:rsidRPr="004C6967">
        <w:rPr>
          <w:rFonts w:ascii="Times New Roman" w:eastAsia="Times New Roman" w:hAnsi="Times New Roman" w:cs="Times New Roman"/>
          <w:sz w:val="24"/>
          <w:szCs w:val="24"/>
        </w:rPr>
        <w:t>9.</w:t>
      </w:r>
      <w:hyperlink r:id="rId27">
        <w:r w:rsidRPr="004C6967">
          <w:rPr>
            <w:rFonts w:ascii="Times New Roman" w:eastAsia="Times New Roman" w:hAnsi="Times New Roman" w:cs="Times New Roman"/>
            <w:sz w:val="24"/>
            <w:szCs w:val="24"/>
          </w:rPr>
          <w:t xml:space="preserve"> </w:t>
        </w:r>
      </w:hyperlink>
      <w:hyperlink r:id="rId28">
        <w:r w:rsidRPr="004C6967">
          <w:rPr>
            <w:rFonts w:ascii="Times New Roman" w:eastAsia="Times New Roman" w:hAnsi="Times New Roman" w:cs="Times New Roman"/>
            <w:sz w:val="24"/>
            <w:szCs w:val="24"/>
            <w:u w:val="single"/>
          </w:rPr>
          <w:t>https://philjournalsci.dost.gov.ph/common-alpha-globin-genes-hba1-and-hba2-mutations-in-filipino-patients-with-alpha-thalassemia/</w:t>
        </w:r>
      </w:hyperlink>
    </w:p>
    <w:p w14:paraId="1604A328" w14:textId="77777777" w:rsidR="00FB2344" w:rsidRPr="004C6967" w:rsidRDefault="00243FCF" w:rsidP="004C6967">
      <w:pPr>
        <w:pStyle w:val="ListParagraph"/>
        <w:numPr>
          <w:ilvl w:val="0"/>
          <w:numId w:val="1"/>
        </w:numPr>
        <w:spacing w:after="240" w:line="240" w:lineRule="auto"/>
        <w:jc w:val="both"/>
        <w:rPr>
          <w:rFonts w:ascii="Times New Roman" w:hAnsi="Times New Roman"/>
          <w:sz w:val="24"/>
          <w:szCs w:val="24"/>
        </w:rPr>
      </w:pPr>
      <w:r w:rsidRPr="004C6967">
        <w:rPr>
          <w:rFonts w:ascii="Times New Roman" w:eastAsia="Times New Roman" w:hAnsi="Times New Roman" w:cs="Times New Roman"/>
          <w:color w:val="212121"/>
          <w:sz w:val="24"/>
          <w:szCs w:val="24"/>
        </w:rPr>
        <w:t>Thein SL. Genetic Basis and Genetic Modifiers of β-Thalassemia and Sickle Cell Di</w:t>
      </w:r>
      <w:r w:rsidRPr="004C6967">
        <w:rPr>
          <w:rFonts w:ascii="Times New Roman" w:eastAsia="Times New Roman" w:hAnsi="Times New Roman" w:cs="Times New Roman"/>
          <w:color w:val="212121"/>
          <w:sz w:val="24"/>
          <w:szCs w:val="24"/>
        </w:rPr>
        <w:t xml:space="preserve">sease. Adv Exp Med Biol. </w:t>
      </w:r>
      <w:proofErr w:type="gramStart"/>
      <w:r w:rsidRPr="004C6967">
        <w:rPr>
          <w:rFonts w:ascii="Times New Roman" w:eastAsia="Times New Roman" w:hAnsi="Times New Roman" w:cs="Times New Roman"/>
          <w:color w:val="212121"/>
          <w:sz w:val="24"/>
          <w:szCs w:val="24"/>
        </w:rPr>
        <w:t>2017;1013:27</w:t>
      </w:r>
      <w:proofErr w:type="gramEnd"/>
      <w:r w:rsidRPr="004C6967">
        <w:rPr>
          <w:rFonts w:ascii="Times New Roman" w:eastAsia="Times New Roman" w:hAnsi="Times New Roman" w:cs="Times New Roman"/>
          <w:color w:val="212121"/>
          <w:sz w:val="24"/>
          <w:szCs w:val="24"/>
        </w:rPr>
        <w:t xml:space="preserve">-57. </w:t>
      </w:r>
      <w:proofErr w:type="spellStart"/>
      <w:r w:rsidRPr="004C6967">
        <w:rPr>
          <w:rFonts w:ascii="Times New Roman" w:eastAsia="Times New Roman" w:hAnsi="Times New Roman" w:cs="Times New Roman"/>
          <w:color w:val="212121"/>
          <w:sz w:val="24"/>
          <w:szCs w:val="24"/>
        </w:rPr>
        <w:t>doi</w:t>
      </w:r>
      <w:proofErr w:type="spellEnd"/>
      <w:r w:rsidRPr="004C6967">
        <w:rPr>
          <w:rFonts w:ascii="Times New Roman" w:eastAsia="Times New Roman" w:hAnsi="Times New Roman" w:cs="Times New Roman"/>
          <w:color w:val="212121"/>
          <w:sz w:val="24"/>
          <w:szCs w:val="24"/>
        </w:rPr>
        <w:t>: 10.1007/978-1-4939-7299-9_2. PMID: 29127676.</w:t>
      </w:r>
      <w:r w:rsidRPr="004C6967">
        <w:rPr>
          <w:rFonts w:ascii="Times New Roman" w:eastAsia="Times New Roman" w:hAnsi="Times New Roman" w:cs="Times New Roman"/>
          <w:sz w:val="24"/>
          <w:szCs w:val="24"/>
        </w:rPr>
        <w:t xml:space="preserve"> </w:t>
      </w:r>
    </w:p>
    <w:p w14:paraId="4AF3FE5C"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Velasco, M. J., </w:t>
      </w:r>
      <w:proofErr w:type="spellStart"/>
      <w:r w:rsidRPr="004C6967">
        <w:rPr>
          <w:rFonts w:ascii="Times New Roman" w:eastAsia="Times New Roman" w:hAnsi="Times New Roman" w:cs="Times New Roman"/>
          <w:sz w:val="24"/>
          <w:szCs w:val="24"/>
        </w:rPr>
        <w:t>Relos</w:t>
      </w:r>
      <w:proofErr w:type="spellEnd"/>
      <w:r w:rsidRPr="004C6967">
        <w:rPr>
          <w:rFonts w:ascii="Times New Roman" w:eastAsia="Times New Roman" w:hAnsi="Times New Roman" w:cs="Times New Roman"/>
          <w:sz w:val="24"/>
          <w:szCs w:val="24"/>
        </w:rPr>
        <w:t xml:space="preserve">, J. A., &amp; Leon, M. R. P. D. (2023). PB2539: Geographical prevalence of thalassemia gene mutation in the Philippines. </w:t>
      </w:r>
      <w:proofErr w:type="spellStart"/>
      <w:r w:rsidRPr="004C6967">
        <w:rPr>
          <w:rFonts w:ascii="Times New Roman" w:eastAsia="Times New Roman" w:hAnsi="Times New Roman" w:cs="Times New Roman"/>
          <w:i/>
          <w:iCs/>
          <w:sz w:val="24"/>
          <w:szCs w:val="24"/>
        </w:rPr>
        <w:t>HemaSphere</w:t>
      </w:r>
      <w:proofErr w:type="spellEnd"/>
      <w:r w:rsidRPr="004C6967">
        <w:rPr>
          <w:rFonts w:ascii="Times New Roman" w:eastAsia="Times New Roman" w:hAnsi="Times New Roman" w:cs="Times New Roman"/>
          <w:i/>
          <w:iCs/>
          <w:sz w:val="24"/>
          <w:szCs w:val="24"/>
        </w:rPr>
        <w:t>, 7</w:t>
      </w:r>
      <w:r w:rsidRPr="004C6967">
        <w:rPr>
          <w:rFonts w:ascii="Times New Roman" w:eastAsia="Times New Roman" w:hAnsi="Times New Roman" w:cs="Times New Roman"/>
          <w:sz w:val="24"/>
          <w:szCs w:val="24"/>
        </w:rPr>
        <w:t>(Suppl.), e</w:t>
      </w:r>
      <w:r w:rsidRPr="004C6967">
        <w:rPr>
          <w:rFonts w:ascii="Times New Roman" w:eastAsia="Times New Roman" w:hAnsi="Times New Roman" w:cs="Times New Roman"/>
          <w:sz w:val="24"/>
          <w:szCs w:val="24"/>
        </w:rPr>
        <w:t>769832d.</w:t>
      </w:r>
      <w:hyperlink r:id="rId29">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https://doi.org/10.1097/01.HS9.0000976852.76983.2d</w:t>
      </w:r>
      <w:r w:rsidRPr="004C6967">
        <w:rPr>
          <w:rFonts w:ascii="Times New Roman" w:eastAsia="Times New Roman" w:hAnsi="Times New Roman" w:cs="Times New Roman"/>
          <w:sz w:val="24"/>
          <w:szCs w:val="24"/>
          <w:u w:val="single"/>
        </w:rPr>
        <w:t xml:space="preserve"> </w:t>
      </w:r>
    </w:p>
    <w:p w14:paraId="0D71FE8B" w14:textId="77777777" w:rsidR="00FB2344" w:rsidRDefault="00243FCF" w:rsidP="004C6967">
      <w:pPr>
        <w:pStyle w:val="ListParagraph"/>
        <w:numPr>
          <w:ilvl w:val="0"/>
          <w:numId w:val="1"/>
        </w:numPr>
        <w:spacing w:after="240" w:line="240" w:lineRule="auto"/>
        <w:jc w:val="both"/>
      </w:pPr>
      <w:r w:rsidRPr="004C6967">
        <w:rPr>
          <w:rFonts w:ascii="Times New Roman" w:eastAsia="Times New Roman" w:hAnsi="Times New Roman" w:cs="Times New Roman"/>
          <w:sz w:val="24"/>
          <w:szCs w:val="24"/>
        </w:rPr>
        <w:t xml:space="preserve">Wolff, J. A., Michaels, R. H., &amp; von </w:t>
      </w:r>
      <w:proofErr w:type="spellStart"/>
      <w:r w:rsidRPr="004C6967">
        <w:rPr>
          <w:rFonts w:ascii="Times New Roman" w:eastAsia="Times New Roman" w:hAnsi="Times New Roman" w:cs="Times New Roman"/>
          <w:sz w:val="24"/>
          <w:szCs w:val="24"/>
        </w:rPr>
        <w:t>Hofe</w:t>
      </w:r>
      <w:proofErr w:type="spellEnd"/>
      <w:r w:rsidRPr="004C6967">
        <w:rPr>
          <w:rFonts w:ascii="Times New Roman" w:eastAsia="Times New Roman" w:hAnsi="Times New Roman" w:cs="Times New Roman"/>
          <w:sz w:val="24"/>
          <w:szCs w:val="24"/>
        </w:rPr>
        <w:t xml:space="preserve">, F. H. (1958). Hemoglobin H—thalassemia disease. </w:t>
      </w:r>
      <w:r w:rsidRPr="004C6967">
        <w:rPr>
          <w:rFonts w:ascii="Times New Roman" w:eastAsia="Times New Roman" w:hAnsi="Times New Roman" w:cs="Times New Roman"/>
          <w:i/>
          <w:iCs/>
          <w:sz w:val="24"/>
          <w:szCs w:val="24"/>
        </w:rPr>
        <w:t>Blood, 13</w:t>
      </w:r>
      <w:r w:rsidRPr="004C6967">
        <w:rPr>
          <w:rFonts w:ascii="Times New Roman" w:eastAsia="Times New Roman" w:hAnsi="Times New Roman" w:cs="Times New Roman"/>
          <w:sz w:val="24"/>
          <w:szCs w:val="24"/>
        </w:rPr>
        <w:t>(5), 492–501.</w:t>
      </w:r>
      <w:hyperlink r:id="rId30">
        <w:r w:rsidRPr="004C6967">
          <w:rPr>
            <w:rFonts w:ascii="Times New Roman" w:eastAsia="Times New Roman" w:hAnsi="Times New Roman" w:cs="Times New Roman"/>
            <w:sz w:val="24"/>
            <w:szCs w:val="24"/>
          </w:rPr>
          <w:t xml:space="preserve"> </w:t>
        </w:r>
      </w:hyperlink>
      <w:r w:rsidRPr="004C6967">
        <w:rPr>
          <w:rFonts w:ascii="Times New Roman" w:eastAsia="Times New Roman" w:hAnsi="Times New Roman"/>
          <w:sz w:val="24"/>
          <w:szCs w:val="24"/>
        </w:rPr>
        <w:t xml:space="preserve"> https://doi.org/10.1182/blood.V13.5.492.492</w:t>
      </w:r>
      <w:r w:rsidRPr="004C6967">
        <w:rPr>
          <w:rFonts w:ascii="Times New Roman" w:eastAsia="Times New Roman" w:hAnsi="Times New Roman" w:cs="Times New Roman"/>
          <w:sz w:val="24"/>
          <w:szCs w:val="24"/>
          <w:u w:val="single"/>
        </w:rPr>
        <w:t xml:space="preserve"> </w:t>
      </w:r>
    </w:p>
    <w:p w14:paraId="693EDC48" w14:textId="77777777" w:rsidR="00FB2344" w:rsidRDefault="00FB2344">
      <w:pPr>
        <w:spacing w:after="240" w:line="240" w:lineRule="auto"/>
        <w:ind w:left="720" w:hanging="720"/>
        <w:jc w:val="both"/>
        <w:rPr>
          <w:rFonts w:ascii="Times New Roman" w:eastAsia="Times New Roman" w:hAnsi="Times New Roman" w:cs="Times New Roman"/>
          <w:b/>
          <w:bCs/>
          <w:sz w:val="24"/>
          <w:szCs w:val="24"/>
        </w:rPr>
      </w:pPr>
    </w:p>
    <w:sectPr w:rsidR="00FB2344">
      <w:headerReference w:type="even" r:id="rId31"/>
      <w:headerReference w:type="default" r:id="rId32"/>
      <w:footerReference w:type="even" r:id="rId33"/>
      <w:footerReference w:type="default" r:id="rId34"/>
      <w:headerReference w:type="first" r:id="rId35"/>
      <w:footerReference w:type="first" r:id="rId36"/>
      <w:pgSz w:w="11906" w:h="16838"/>
      <w:pgMar w:top="1440" w:right="1440" w:bottom="1440" w:left="1440" w:header="720" w:footer="720" w:gutter="0"/>
      <w:pgNumType w:start="1"/>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2118D3" w14:textId="77777777" w:rsidR="00243FCF" w:rsidRDefault="00243FCF">
      <w:pPr>
        <w:spacing w:line="240" w:lineRule="auto"/>
      </w:pPr>
      <w:r>
        <w:separator/>
      </w:r>
    </w:p>
  </w:endnote>
  <w:endnote w:type="continuationSeparator" w:id="0">
    <w:p w14:paraId="2319427C" w14:textId="77777777" w:rsidR="00243FCF" w:rsidRDefault="00243F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ymbol">
    <w:altName w:val="Arial Unicode MS"/>
    <w:charset w:val="00"/>
    <w:family w:val="swiss"/>
    <w:pitch w:val="variable"/>
    <w:embedRegular r:id="rId1" w:fontKey="{DF14C04B-F77B-4BF3-A3EA-6007DD8053D8}"/>
  </w:font>
  <w:font w:name="Liberation Sans">
    <w:altName w:val="Arial"/>
    <w:charset w:val="00"/>
    <w:family w:val="swiss"/>
    <w:pitch w:val="variable"/>
    <w:embedRegular r:id="rId2" w:fontKey="{2E9CDCA7-C0A9-4522-8753-8114C7462E6B}"/>
  </w:font>
  <w:font w:name="Microsoft YaHei">
    <w:panose1 w:val="020B0503020204020204"/>
    <w:charset w:val="00"/>
    <w:family w:val="roman"/>
    <w:notTrueType/>
    <w:pitch w:val="default"/>
    <w:embedRegular r:id="rId3" w:fontKey="{EB42F9A1-8715-490B-8820-800F5559026E}"/>
  </w:font>
  <w:font w:name="Lucida Sans">
    <w:panose1 w:val="020B0602030504020204"/>
    <w:charset w:val="00"/>
    <w:family w:val="swiss"/>
    <w:pitch w:val="variable"/>
    <w:sig w:usb0="00000003" w:usb1="00000000" w:usb2="00000000" w:usb3="00000000" w:csb0="00000001" w:csb1="00000000"/>
    <w:embedRegular r:id="rId4" w:fontKey="{152AE6C4-E370-455D-B557-A37AFF8D01C6}"/>
    <w:embedItalic r:id="rId5" w:fontKey="{BA07BBAE-7CF7-4F39-BD8B-30D59F330DE6}"/>
  </w:font>
  <w:font w:name="Segoe UI">
    <w:panose1 w:val="020B0502040204020203"/>
    <w:charset w:val="00"/>
    <w:family w:val="swiss"/>
    <w:pitch w:val="variable"/>
    <w:sig w:usb0="E4002EFF" w:usb1="C000E47F" w:usb2="00000009" w:usb3="00000000" w:csb0="000001FF" w:csb1="00000000"/>
    <w:embedRegular r:id="rId6" w:fontKey="{6BD1AF80-355A-44C9-BAC7-A6A9078676AC}"/>
  </w:font>
  <w:font w:name="Cardo">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7" w:fontKey="{4F8EA77E-7A25-48FA-B2C6-63AEE16FCC4C}"/>
  </w:font>
  <w:font w:name="Cambria">
    <w:panose1 w:val="02040503050406030204"/>
    <w:charset w:val="00"/>
    <w:family w:val="roman"/>
    <w:pitch w:val="variable"/>
    <w:sig w:usb0="E00006FF" w:usb1="420024FF" w:usb2="02000000" w:usb3="00000000" w:csb0="0000019F" w:csb1="00000000"/>
    <w:embedRegular r:id="rId8" w:fontKey="{86AF7AAB-0C82-4B8B-B906-4AFB2A7CAF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151700" w14:textId="77777777" w:rsidR="00FB2344" w:rsidRDefault="00FB23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386401" w14:textId="77777777" w:rsidR="00FB2344" w:rsidRDefault="00FB234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46D4B" w14:textId="77777777" w:rsidR="00FB2344" w:rsidRDefault="00FB23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EAF4E8" w14:textId="77777777" w:rsidR="00243FCF" w:rsidRDefault="00243FCF">
      <w:pPr>
        <w:spacing w:line="240" w:lineRule="auto"/>
      </w:pPr>
      <w:r>
        <w:separator/>
      </w:r>
    </w:p>
  </w:footnote>
  <w:footnote w:type="continuationSeparator" w:id="0">
    <w:p w14:paraId="62D23198" w14:textId="77777777" w:rsidR="00243FCF" w:rsidRDefault="00243FC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B73E51" w14:textId="77777777" w:rsidR="00FB2344" w:rsidRDefault="00243FCF">
    <w:pPr>
      <w:pStyle w:val="Header"/>
    </w:pPr>
    <w:r>
      <w:pict w14:anchorId="4CDEA6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670219" o:spid="_x0000_s2049" type="#_x0000_t136" style="position:absolute;margin-left:0;margin-top:0;width:571.55pt;height:59.05pt;rotation:315;z-index:251658752;mso-wrap-style:none;mso-position-horizontal:center;mso-position-horizontal-relative:margin;mso-position-vertical:center;mso-position-vertical-relative:margin;v-text-anchor:middle" o:allowincell="f" fillcolor="silver" stroked="f" strokecolor="#3465a4">
          <v:fill opacity=".5" color2="#3f3f3f" o:detectmouseclick="t"/>
          <v:textpath style="font-family:&quot;Arial&quot;;font-size:1pt" trim="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DB0B12" w14:textId="05F1D28F" w:rsidR="00FB2344" w:rsidRDefault="0025240E">
    <w:pPr>
      <w:pStyle w:val="Header"/>
    </w:pPr>
    <w:r>
      <w:rPr>
        <w:noProof/>
      </w:rPr>
      <w:pict w14:anchorId="46AD6B15">
        <v:shapetype id="_x0000_t202" coordsize="21600,21600" o:spt="202" path="m,l,21600r21600,l21600,xe">
          <v:stroke joinstyle="miter"/>
          <v:path gradientshapeok="t" o:connecttype="rect"/>
        </v:shapetype>
        <v:shape id="PowerPlusWaterMarkObject97670220" o:spid="_x0000_s2051" type="#_x0000_t202" style="position:absolute;margin-left:0;margin-top:0;width:10.9pt;height:1.2pt;rotation:-45;z-index:-251659776;visibility:visible;mso-wrap-style:square;mso-wrap-distance-left:9pt;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" o:allowincell="f" filled="f" stroked="f">
          <v:textbox inset="0,0,0,0">
            <w:txbxContent>
              <w:p w14:paraId="4AD62911" w14:textId="77777777" w:rsidR="00FB2344" w:rsidRDefault="00243FCF">
                <w:pPr>
                  <w:overflowPunct w:val="0"/>
                  <w:spacing w:line="240" w:lineRule="auto"/>
                </w:pPr>
                <w:r w:rsidRPr="0025240E">
                  <w:rPr>
                    <w:color w:val="C0C0C0"/>
                    <w:sz w:val="2"/>
                  </w:rPr>
                  <w:t>UNDER PEER REVIEW</w:t>
                </w:r>
              </w:p>
            </w:txbxContent>
          </v:textbox>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E6E02" w14:textId="31D3AF69" w:rsidR="00FB2344" w:rsidRDefault="0025240E">
    <w:pPr>
      <w:pStyle w:val="Header"/>
    </w:pPr>
    <w:r>
      <w:rPr>
        <w:noProof/>
      </w:rPr>
      <w:pict w14:anchorId="7705BA94">
        <v:shapetype id="_x0000_t202" coordsize="21600,21600" o:spt="202" path="m,l,21600r21600,l21600,xe">
          <v:stroke joinstyle="miter"/>
          <v:path gradientshapeok="t" o:connecttype="rect"/>
        </v:shapetype>
        <v:shape id="_x0000_s2050" type="#_x0000_t202" style="position:absolute;margin-left:0;margin-top:0;width:10.9pt;height:1.2pt;rotation:-45;z-index:-251658752;visibility:visible;mso-wrap-style:square;mso-wrap-distance-left:9pt;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" o:allowincell="f" filled="f" stroked="f">
          <v:textbox inset="0,0,0,0">
            <w:txbxContent>
              <w:p w14:paraId="31F8EBE5" w14:textId="77777777" w:rsidR="00FB2344" w:rsidRDefault="00243FCF">
                <w:pPr>
                  <w:overflowPunct w:val="0"/>
                  <w:spacing w:line="240" w:lineRule="auto"/>
                </w:pPr>
                <w:r w:rsidRPr="0025240E">
                  <w:rPr>
                    <w:color w:val="C0C0C0"/>
                    <w:sz w:val="2"/>
                  </w:rPr>
                  <w:t>UNDER PEER REVIEW</w:t>
                </w:r>
              </w:p>
            </w:txbxContent>
          </v:textbox>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C537687"/>
    <w:multiLevelType w:val="hybridMultilevel"/>
    <w:tmpl w:val="F230A4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proofState w:spelling="clean" w:grammar="clean"/>
  <w:defaultTabStop w:val="720"/>
  <w:autoHyphenation/>
  <w:hyphenationZone w:val="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B2344"/>
    <w:rsid w:val="00243FCF"/>
    <w:rsid w:val="0025240E"/>
    <w:rsid w:val="004C6967"/>
    <w:rsid w:val="00754B26"/>
    <w:rsid w:val="00903E70"/>
    <w:rsid w:val="00921382"/>
    <w:rsid w:val="00CA6B14"/>
    <w:rsid w:val="00FB2344"/>
  </w:rsids>
  <m:mathPr>
    <m:mathFont m:val="Cambria Math"/>
    <m:brkBin m:val="before"/>
    <m:brkBinSub m:val="--"/>
    <m:smallFrac m:val="0"/>
    <m:dispDef/>
    <m:lMargin m:val="0"/>
    <m:rMargin m:val="0"/>
    <m:defJc m:val="centerGroup"/>
    <m:wrapIndent m:val="1440"/>
    <m:intLim m:val="subSup"/>
    <m:naryLim m:val="undOvr"/>
  </m:mathPr>
  <w:themeFontLang w:val="en-GB" w:eastAsia=""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A2596D"/>
  <w15:docId w15:val="{DA7221AF-6DA6-4332-AF10-BD4786A28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GB"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line="276" w:lineRule="auto"/>
    </w:p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811EF"/>
    <w:rPr>
      <w:color w:val="0000FF" w:themeColor="hyperlink"/>
      <w:u w:val="single"/>
    </w:rPr>
  </w:style>
  <w:style w:type="character" w:styleId="UnresolvedMention">
    <w:name w:val="Unresolved Mention"/>
    <w:basedOn w:val="DefaultParagraphFont"/>
    <w:uiPriority w:val="99"/>
    <w:semiHidden/>
    <w:unhideWhenUsed/>
    <w:qFormat/>
    <w:rsid w:val="00F811EF"/>
    <w:rPr>
      <w:color w:val="605E5C"/>
      <w:shd w:val="clear" w:color="auto" w:fill="E1DFDD"/>
    </w:rPr>
  </w:style>
  <w:style w:type="character" w:customStyle="1" w:styleId="HeaderChar">
    <w:name w:val="Header Char"/>
    <w:basedOn w:val="DefaultParagraphFont"/>
    <w:link w:val="Header"/>
    <w:uiPriority w:val="99"/>
    <w:qFormat/>
    <w:rsid w:val="00FD7E84"/>
  </w:style>
  <w:style w:type="character" w:customStyle="1" w:styleId="FooterChar">
    <w:name w:val="Footer Char"/>
    <w:basedOn w:val="DefaultParagraphFont"/>
    <w:link w:val="Footer"/>
    <w:uiPriority w:val="99"/>
    <w:qFormat/>
    <w:rsid w:val="00FD7E84"/>
  </w:style>
  <w:style w:type="character" w:styleId="CommentReference">
    <w:name w:val="annotation reference"/>
    <w:basedOn w:val="DefaultParagraphFont"/>
    <w:uiPriority w:val="99"/>
    <w:semiHidden/>
    <w:unhideWhenUsed/>
    <w:qFormat/>
    <w:rsid w:val="00BA0341"/>
    <w:rPr>
      <w:sz w:val="16"/>
      <w:szCs w:val="16"/>
    </w:rPr>
  </w:style>
  <w:style w:type="character" w:customStyle="1" w:styleId="CommentTextChar">
    <w:name w:val="Comment Text Char"/>
    <w:basedOn w:val="DefaultParagraphFont"/>
    <w:link w:val="CommentText"/>
    <w:uiPriority w:val="99"/>
    <w:semiHidden/>
    <w:qFormat/>
    <w:rsid w:val="00BA0341"/>
    <w:rPr>
      <w:sz w:val="20"/>
      <w:szCs w:val="20"/>
    </w:rPr>
  </w:style>
  <w:style w:type="character" w:customStyle="1" w:styleId="CommentSubjectChar">
    <w:name w:val="Comment Subject Char"/>
    <w:basedOn w:val="CommentTextChar"/>
    <w:link w:val="CommentSubject"/>
    <w:uiPriority w:val="99"/>
    <w:semiHidden/>
    <w:qFormat/>
    <w:rsid w:val="00BA0341"/>
    <w:rPr>
      <w:b/>
      <w:bCs/>
      <w:sz w:val="20"/>
      <w:szCs w:val="20"/>
    </w:rPr>
  </w:style>
  <w:style w:type="character" w:styleId="Strong">
    <w:name w:val="Strong"/>
    <w:qFormat/>
    <w:rPr>
      <w:b/>
      <w:bCs/>
    </w:rPr>
  </w:style>
  <w:style w:type="character" w:styleId="Emphasis">
    <w:name w:val="Emphasis"/>
    <w:qFormat/>
    <w:rPr>
      <w:i/>
      <w:iCs/>
    </w:rPr>
  </w:style>
  <w:style w:type="character" w:customStyle="1" w:styleId="Bulletsuser">
    <w:name w:val="Bullets (user)"/>
    <w:qFormat/>
    <w:rPr>
      <w:rFonts w:ascii="OpenSymbol" w:eastAsia="OpenSymbol" w:hAnsi="OpenSymbol" w:cs="OpenSymbol"/>
    </w:rPr>
  </w:style>
  <w:style w:type="character" w:customStyle="1" w:styleId="NumberingSymbols">
    <w:name w:val="Numbering Symbols"/>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pPr>
      <w:spacing w:after="140"/>
    </w:p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customStyle="1" w:styleId="HeaderandFooter">
    <w:name w:val="Header and Footer"/>
    <w:basedOn w:val="Normal"/>
    <w:qFormat/>
  </w:style>
  <w:style w:type="paragraph" w:styleId="Header">
    <w:name w:val="header"/>
    <w:basedOn w:val="Normal"/>
    <w:link w:val="HeaderChar"/>
    <w:uiPriority w:val="99"/>
    <w:unhideWhenUsed/>
    <w:rsid w:val="00FD7E84"/>
    <w:pPr>
      <w:tabs>
        <w:tab w:val="center" w:pos="4680"/>
        <w:tab w:val="right" w:pos="9360"/>
      </w:tabs>
      <w:spacing w:line="240" w:lineRule="auto"/>
    </w:pPr>
  </w:style>
  <w:style w:type="paragraph" w:styleId="Footer">
    <w:name w:val="footer"/>
    <w:basedOn w:val="Normal"/>
    <w:link w:val="FooterChar"/>
    <w:uiPriority w:val="99"/>
    <w:unhideWhenUsed/>
    <w:rsid w:val="00FD7E84"/>
    <w:pPr>
      <w:tabs>
        <w:tab w:val="center" w:pos="4680"/>
        <w:tab w:val="right" w:pos="9360"/>
      </w:tabs>
      <w:spacing w:line="240" w:lineRule="auto"/>
    </w:pPr>
  </w:style>
  <w:style w:type="paragraph" w:styleId="CommentText">
    <w:name w:val="annotation text"/>
    <w:basedOn w:val="Normal"/>
    <w:link w:val="CommentTextChar"/>
    <w:uiPriority w:val="99"/>
    <w:semiHidden/>
    <w:unhideWhenUsed/>
    <w:rsid w:val="00BA0341"/>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BA0341"/>
    <w:rPr>
      <w:b/>
      <w:bCs/>
    </w:rPr>
  </w:style>
  <w:style w:type="paragraph" w:customStyle="1" w:styleId="HorizontalLine">
    <w:name w:val="Horizontal Line"/>
    <w:basedOn w:val="Normal"/>
    <w:next w:val="BodyText"/>
    <w:qFormat/>
    <w:pPr>
      <w:suppressLineNumbers/>
      <w:pBdr>
        <w:bottom w:val="double" w:sz="2" w:space="0" w:color="808080"/>
      </w:pBdr>
      <w:spacing w:after="283"/>
    </w:pPr>
    <w:rPr>
      <w:sz w:val="12"/>
      <w:szCs w:val="12"/>
    </w:r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table" w:customStyle="1" w:styleId="TableNormal0">
    <w:name w:val="TableNormal"/>
    <w:tblPr>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25240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240E"/>
    <w:rPr>
      <w:rFonts w:ascii="Segoe UI" w:hAnsi="Segoe UI" w:cs="Segoe UI"/>
      <w:sz w:val="18"/>
      <w:szCs w:val="18"/>
    </w:rPr>
  </w:style>
  <w:style w:type="paragraph" w:styleId="ListParagraph">
    <w:name w:val="List Paragraph"/>
    <w:basedOn w:val="Normal"/>
    <w:uiPriority w:val="34"/>
    <w:qFormat/>
    <w:rsid w:val="004C696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07146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doi.org/10.9734/ahrj/2025/v8i4218" TargetMode="External"/><Relationship Id="rId18" Type="http://schemas.openxmlformats.org/officeDocument/2006/relationships/hyperlink" Target="https://pps.org.ph/wp-content/uploads/2018/10/SS11-5.pdf" TargetMode="External"/><Relationship Id="rId26" Type="http://schemas.openxmlformats.org/officeDocument/2006/relationships/hyperlink" Target="https://doi.org/10.21037/atm.2017.s089" TargetMode="External"/><Relationship Id="rId21" Type="http://schemas.openxmlformats.org/officeDocument/2006/relationships/hyperlink" Target="https://doi.org/10.1016/j.mgene.2020.100769"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doi.org/10.6133/apjcn.092017.01" TargetMode="External"/><Relationship Id="rId17" Type="http://schemas.openxmlformats.org/officeDocument/2006/relationships/hyperlink" Target="https://www.ncbi.nlm.nih.gov/pmc/articles/PMC3237250/" TargetMode="External"/><Relationship Id="rId25" Type="http://schemas.openxmlformats.org/officeDocument/2006/relationships/hyperlink" Target="https://doi.org/10.21037/atm.2017.s089" TargetMode="Externa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ncbi.nlm.nih.gov/books/NBK536912/?utm_source=chatgpt.com" TargetMode="External"/><Relationship Id="rId20" Type="http://schemas.openxmlformats.org/officeDocument/2006/relationships/hyperlink" Target="https://scholarspace.manoa.hawaii.edu/server/api/core/bitstreams/1f995c0c-b91a-416e-b2e6-d6636d792ce3/content" TargetMode="External"/><Relationship Id="rId29" Type="http://schemas.openxmlformats.org/officeDocument/2006/relationships/hyperlink" Target="https://doi.org/10.1097/01.HS9.0000976852.76983.2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cbi.nlm.nih.gov/books/NBK190476/" TargetMode="External"/><Relationship Id="rId24" Type="http://schemas.openxmlformats.org/officeDocument/2006/relationships/hyperlink" Target="https://doi.org/10.1001/jamahealthforum.2025.0064" TargetMode="External"/><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journal.unisza.edu.my/ajmb/index.php/ajmb/article/view/201" TargetMode="External"/><Relationship Id="rId23" Type="http://schemas.openxmlformats.org/officeDocument/2006/relationships/hyperlink" Target="https://doi.org/10.3390/ijns7020030" TargetMode="External"/><Relationship Id="rId28" Type="http://schemas.openxmlformats.org/officeDocument/2006/relationships/hyperlink" Target="https://philjournalsci.dost.gov.ph/common-alpha-globin-genes-hba1-and-hba2-mutations-in-filipino-patients-with-alpha-thalassemia/" TargetMode="External"/><Relationship Id="rId36" Type="http://schemas.openxmlformats.org/officeDocument/2006/relationships/footer" Target="footer3.xml"/><Relationship Id="rId10" Type="http://schemas.openxmlformats.org/officeDocument/2006/relationships/hyperlink" Target="https://www.hematology.org/education/trainees/fellows/hematopoiesis/2021/hemoglobin-electrophoresis-in-sickle-cell-disease?utm_source=chatgpt.com" TargetMode="External"/><Relationship Id="rId19" Type="http://schemas.openxmlformats.org/officeDocument/2006/relationships/hyperlink" Target="https://www.ncbi.nlm.nih.gov/books/NBK190476/"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oi.org/10.3389/fphys.2021.686689" TargetMode="External"/><Relationship Id="rId14" Type="http://schemas.openxmlformats.org/officeDocument/2006/relationships/hyperlink" Target="https://doi.org/10.47895/amp.vi0.5800" TargetMode="External"/><Relationship Id="rId22" Type="http://schemas.openxmlformats.org/officeDocument/2006/relationships/hyperlink" Target="https://doi.org/10.1002/mgg3.247" TargetMode="External"/><Relationship Id="rId27" Type="http://schemas.openxmlformats.org/officeDocument/2006/relationships/hyperlink" Target="https://philjournalsci.dost.gov.ph/common-alpha-globin-genes-hba1-and-hba2-mutations-in-filipino-patients-with-alpha-thalassemia/" TargetMode="External"/><Relationship Id="rId30" Type="http://schemas.openxmlformats.org/officeDocument/2006/relationships/hyperlink" Target="https://doi.org/10.1182/blood.V13.5.492.492" TargetMode="External"/><Relationship Id="rId35" Type="http://schemas.openxmlformats.org/officeDocument/2006/relationships/header" Target="header3.xml"/><Relationship Id="rId8" Type="http://schemas.openxmlformats.org/officeDocument/2006/relationships/hyperlink" Target="https://doi.org/10.1177/1753495X20944708"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A8456B-B326-4FE7-9EDE-F70B70434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13</Pages>
  <Words>6319</Words>
  <Characters>36024</Characters>
  <Application>Microsoft Office Word</Application>
  <DocSecurity>0</DocSecurity>
  <Lines>300</Lines>
  <Paragraphs>84</Paragraphs>
  <ScaleCrop>false</ScaleCrop>
  <Company/>
  <LinksUpToDate>false</LinksUpToDate>
  <CharactersWithSpaces>42259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TB</dc:creator>
  <dc:description/>
  <cp:lastModifiedBy>SDI 1022</cp:lastModifiedBy>
  <cp:revision>25</cp:revision>
  <dcterms:created xsi:type="dcterms:W3CDTF">2025-12-21T06:44:00Z</dcterms:created>
  <dcterms:modified xsi:type="dcterms:W3CDTF">2025-12-24T08:13:00Z</dcterms:modified>
  <dc:language>en-US</dc:language>
</cp:coreProperties>
</file>