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11FC" w:rsidRDefault="00C70F3B">
      <w:pPr>
        <w:widowControl w:val="0"/>
        <w:pBdr>
          <w:top w:val="nil"/>
          <w:left w:val="nil"/>
          <w:bottom w:val="nil"/>
          <w:right w:val="nil"/>
          <w:between w:val="nil"/>
        </w:pBdr>
        <w:spacing w:after="0" w:line="276" w:lineRule="auto"/>
      </w:pPr>
      <w:bookmarkStart w:id="0" w:name="_GoBack"/>
      <w:bookmarkEnd w:id="0"/>
      <w:r>
        <w:pict w14:anchorId="27E5D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36CA955B">
          <v:shape id="_x0000_s1027" type="#_x0000_t136" style="position:absolute;margin-left:0;margin-top:0;width:50pt;height:50pt;z-index:251657728;visibility:hidden">
            <o:lock v:ext="edit" selection="t"/>
          </v:shape>
        </w:pict>
      </w:r>
      <w:r>
        <w:pict w14:anchorId="215A9CD5">
          <v:shape id="_x0000_s1026" type="#_x0000_t136" style="position:absolute;margin-left:0;margin-top:0;width:50pt;height:50pt;z-index:251658752;visibility:hidden">
            <o:lock v:ext="edit" selection="t"/>
          </v:shape>
        </w:pict>
      </w:r>
    </w:p>
    <w:p w:rsidR="005211FC" w:rsidRDefault="00C70F3B">
      <w:pPr>
        <w:pBdr>
          <w:top w:val="nil"/>
          <w:left w:val="nil"/>
          <w:bottom w:val="nil"/>
          <w:right w:val="nil"/>
          <w:between w:val="nil"/>
        </w:pBdr>
        <w:spacing w:after="2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Original Research Article</w:t>
      </w:r>
    </w:p>
    <w:p w:rsidR="005211FC" w:rsidRDefault="00C70F3B">
      <w:pPr>
        <w:pBdr>
          <w:top w:val="nil"/>
          <w:left w:val="nil"/>
          <w:bottom w:val="nil"/>
          <w:right w:val="nil"/>
          <w:between w:val="nil"/>
        </w:pBdr>
        <w:spacing w:after="20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Assessment of Soil Fertility Status in Gomati and South Tripura District, Tripura, India</w:t>
      </w:r>
    </w:p>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p>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ABSTRACT</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Aims</w:t>
      </w:r>
      <w:r>
        <w:rPr>
          <w:rFonts w:ascii="Times New Roman" w:eastAsia="Times New Roman" w:hAnsi="Times New Roman" w:cs="Times New Roman"/>
          <w:color w:val="000000"/>
          <w:sz w:val="24"/>
          <w:szCs w:val="24"/>
        </w:rPr>
        <w:t xml:space="preserve">: Geo-referencing of the important </w:t>
      </w:r>
      <w:proofErr w:type="spellStart"/>
      <w:r>
        <w:rPr>
          <w:rFonts w:ascii="Times New Roman" w:eastAsia="Times New Roman" w:hAnsi="Times New Roman" w:cs="Times New Roman"/>
          <w:color w:val="000000"/>
          <w:sz w:val="24"/>
          <w:szCs w:val="24"/>
        </w:rPr>
        <w:t>physico</w:t>
      </w:r>
      <w:proofErr w:type="spellEnd"/>
      <w:r>
        <w:rPr>
          <w:rFonts w:ascii="Times New Roman" w:eastAsia="Times New Roman" w:hAnsi="Times New Roman" w:cs="Times New Roman"/>
          <w:color w:val="000000"/>
          <w:sz w:val="24"/>
          <w:szCs w:val="24"/>
        </w:rPr>
        <w:t>-chemical and nutrient parameters of Gomati and South Tripura is the prime objective of this study.</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Study Design</w:t>
      </w:r>
      <w:r>
        <w:rPr>
          <w:rFonts w:ascii="Times New Roman" w:eastAsia="Times New Roman" w:hAnsi="Times New Roman" w:cs="Times New Roman"/>
          <w:color w:val="000000"/>
          <w:sz w:val="24"/>
          <w:szCs w:val="24"/>
        </w:rPr>
        <w:t>: Random sampling followed by laboratory tests of important properties of soil were derived to conduct a cross-sectional survey of soil fertility.</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Place and Duration of Study</w:t>
      </w:r>
      <w:r>
        <w:rPr>
          <w:rFonts w:ascii="Times New Roman" w:eastAsia="Times New Roman" w:hAnsi="Times New Roman" w:cs="Times New Roman"/>
          <w:color w:val="000000"/>
          <w:sz w:val="24"/>
          <w:szCs w:val="24"/>
        </w:rPr>
        <w:t>: This experiment was carried out in Gomati and South Tripura districts of Tripura</w:t>
      </w:r>
      <w:r>
        <w:rPr>
          <w:rFonts w:ascii="Times New Roman" w:eastAsia="Times New Roman" w:hAnsi="Times New Roman" w:cs="Times New Roman"/>
          <w:color w:val="000000"/>
          <w:sz w:val="24"/>
          <w:szCs w:val="24"/>
        </w:rPr>
        <w:t>, India. The entire work was commenced at the College of Agriculture, Tripura during November, 2024 to June 2025.</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Methodology</w:t>
      </w:r>
      <w:r>
        <w:rPr>
          <w:rFonts w:ascii="Times New Roman" w:eastAsia="Times New Roman" w:hAnsi="Times New Roman" w:cs="Times New Roman"/>
          <w:color w:val="000000"/>
          <w:sz w:val="24"/>
          <w:szCs w:val="24"/>
        </w:rPr>
        <w:t>: Using random sampling method, geo-referenced soil samples (0-15 cm depth) were collected followed by dried (air-drying), sieved (</w:t>
      </w:r>
      <w:r>
        <w:rPr>
          <w:rFonts w:ascii="Times New Roman" w:eastAsia="Times New Roman" w:hAnsi="Times New Roman" w:cs="Times New Roman"/>
          <w:color w:val="000000"/>
          <w:sz w:val="24"/>
          <w:szCs w:val="24"/>
        </w:rPr>
        <w:t>2 mm) and inspected with regard to texture, bulk density, water-holding capacity, soil penetration, pH, electrical conductivity, soil organic carbon and available N, 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K</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w:t>
      </w:r>
      <w:proofErr w:type="spellStart"/>
      <w:r>
        <w:rPr>
          <w:rFonts w:ascii="Times New Roman" w:eastAsia="Times New Roman" w:hAnsi="Times New Roman" w:cs="Times New Roman"/>
          <w:color w:val="000000"/>
          <w:sz w:val="24"/>
          <w:szCs w:val="24"/>
        </w:rPr>
        <w:t>Ca+Mg</w:t>
      </w:r>
      <w:proofErr w:type="spellEnd"/>
      <w:r>
        <w:rPr>
          <w:rFonts w:ascii="Times New Roman" w:eastAsia="Times New Roman" w:hAnsi="Times New Roman" w:cs="Times New Roman"/>
          <w:color w:val="000000"/>
          <w:sz w:val="24"/>
          <w:szCs w:val="24"/>
        </w:rPr>
        <w:t>, S and CEC using standard methods of analysis. Correlation analysis and d</w:t>
      </w:r>
      <w:r>
        <w:rPr>
          <w:rFonts w:ascii="Times New Roman" w:eastAsia="Times New Roman" w:hAnsi="Times New Roman" w:cs="Times New Roman"/>
          <w:color w:val="000000"/>
          <w:sz w:val="24"/>
          <w:szCs w:val="24"/>
        </w:rPr>
        <w:t xml:space="preserve">escriptive statistics were carried out. </w:t>
      </w:r>
      <w:r>
        <w:rPr>
          <w:rFonts w:ascii="Times New Roman" w:eastAsia="Times New Roman" w:hAnsi="Times New Roman" w:cs="Times New Roman"/>
          <w:sz w:val="24"/>
          <w:szCs w:val="24"/>
        </w:rPr>
        <w:t xml:space="preserve"> Inverse Distance Weighting (IDW), the special interpolation technique has been used for predicting the values of non-sampled periphery of the sampled locations.</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Results</w:t>
      </w:r>
      <w:r>
        <w:rPr>
          <w:rFonts w:ascii="Times New Roman" w:eastAsia="Times New Roman" w:hAnsi="Times New Roman" w:cs="Times New Roman"/>
          <w:color w:val="000000"/>
          <w:sz w:val="24"/>
          <w:szCs w:val="24"/>
        </w:rPr>
        <w:t>: Primarily most soil textured as sandy loam wi</w:t>
      </w:r>
      <w:r>
        <w:rPr>
          <w:rFonts w:ascii="Times New Roman" w:eastAsia="Times New Roman" w:hAnsi="Times New Roman" w:cs="Times New Roman"/>
          <w:color w:val="000000"/>
          <w:sz w:val="24"/>
          <w:szCs w:val="24"/>
        </w:rPr>
        <w:t>th bulk density ranging within 1.10-1.60 mg 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pH was ranged extremely acidic to strongly acidic (4.14-5.70) and Organic carbon ranged from 0.45-2.65%. Available nutrients were diversified: Nitrogen (87.81-225.79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Phosphate (7.70-43.63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Potash (60.58-451.89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Calcium &amp; Magnesium (157.01-753.67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and Sulphur (0.07-18.92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but CEC had a mean of 12.29-20.84 </w:t>
      </w:r>
      <w:proofErr w:type="spellStart"/>
      <w:r>
        <w:rPr>
          <w:rFonts w:ascii="Times New Roman" w:eastAsia="Times New Roman" w:hAnsi="Times New Roman" w:cs="Times New Roman"/>
          <w:color w:val="000000"/>
          <w:sz w:val="24"/>
          <w:szCs w:val="24"/>
        </w:rPr>
        <w:t>cmol</w:t>
      </w:r>
      <w:proofErr w:type="spellEnd"/>
      <w:r>
        <w:rPr>
          <w:rFonts w:ascii="Times New Roman" w:eastAsia="Times New Roman" w:hAnsi="Times New Roman" w:cs="Times New Roman"/>
          <w:color w:val="000000"/>
          <w:sz w:val="24"/>
          <w:szCs w:val="24"/>
        </w:rPr>
        <w:t xml:space="preserve"> kg</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The correlation</w:t>
      </w:r>
      <w:r>
        <w:rPr>
          <w:rFonts w:ascii="Times New Roman" w:eastAsia="Times New Roman" w:hAnsi="Times New Roman" w:cs="Times New Roman"/>
          <w:color w:val="000000"/>
          <w:sz w:val="24"/>
          <w:szCs w:val="24"/>
        </w:rPr>
        <w:t xml:space="preserve"> coefficient is closely related between SOC and available N (r = 0.574) and between CEC and </w:t>
      </w:r>
      <w:proofErr w:type="spellStart"/>
      <w:r>
        <w:rPr>
          <w:rFonts w:ascii="Times New Roman" w:eastAsia="Times New Roman" w:hAnsi="Times New Roman" w:cs="Times New Roman"/>
          <w:color w:val="000000"/>
          <w:sz w:val="24"/>
          <w:szCs w:val="24"/>
        </w:rPr>
        <w:t>Ca+Mg</w:t>
      </w:r>
      <w:proofErr w:type="spellEnd"/>
      <w:r>
        <w:rPr>
          <w:rFonts w:ascii="Times New Roman" w:eastAsia="Times New Roman" w:hAnsi="Times New Roman" w:cs="Times New Roman"/>
          <w:color w:val="000000"/>
          <w:sz w:val="24"/>
          <w:szCs w:val="24"/>
        </w:rPr>
        <w:t xml:space="preserve"> (r = 0.999).</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Conclusion</w:t>
      </w:r>
      <w:r>
        <w:rPr>
          <w:rFonts w:ascii="Times New Roman" w:eastAsia="Times New Roman" w:hAnsi="Times New Roman" w:cs="Times New Roman"/>
          <w:color w:val="000000"/>
          <w:sz w:val="24"/>
          <w:szCs w:val="24"/>
        </w:rPr>
        <w:t>: Gomati and South Tripura are mostly made up of sands and loam soils that are highly acidic with lower availability of nitrogen, phosp</w:t>
      </w:r>
      <w:r>
        <w:rPr>
          <w:rFonts w:ascii="Times New Roman" w:eastAsia="Times New Roman" w:hAnsi="Times New Roman" w:cs="Times New Roman"/>
          <w:color w:val="000000"/>
          <w:sz w:val="24"/>
          <w:szCs w:val="24"/>
        </w:rPr>
        <w:t xml:space="preserve">hate, calcium, magnesium and sulphur; but possess medium CEC due to moderate to high SOC levels. Sustainable crop production in these districts can be advocated to be done using soil acidity-tolerant </w:t>
      </w:r>
      <w:r>
        <w:rPr>
          <w:rFonts w:ascii="Times New Roman" w:eastAsia="Times New Roman" w:hAnsi="Times New Roman" w:cs="Times New Roman"/>
          <w:sz w:val="24"/>
          <w:szCs w:val="24"/>
        </w:rPr>
        <w:t>legumes, site-specific</w:t>
      </w:r>
      <w:r>
        <w:rPr>
          <w:rFonts w:ascii="Times New Roman" w:eastAsia="Times New Roman" w:hAnsi="Times New Roman" w:cs="Times New Roman"/>
          <w:color w:val="000000"/>
          <w:sz w:val="24"/>
          <w:szCs w:val="24"/>
        </w:rPr>
        <w:t xml:space="preserve"> nutrient management and GIS-based</w:t>
      </w:r>
      <w:r>
        <w:rPr>
          <w:rFonts w:ascii="Times New Roman" w:eastAsia="Times New Roman" w:hAnsi="Times New Roman" w:cs="Times New Roman"/>
          <w:color w:val="000000"/>
          <w:sz w:val="24"/>
          <w:szCs w:val="24"/>
        </w:rPr>
        <w:t xml:space="preserve"> mapping of soil fertility.</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Keywords: </w:t>
      </w:r>
      <w:r>
        <w:rPr>
          <w:rFonts w:ascii="Times New Roman" w:eastAsia="Times New Roman" w:hAnsi="Times New Roman" w:cs="Times New Roman"/>
          <w:i/>
          <w:iCs/>
          <w:color w:val="000000"/>
          <w:sz w:val="24"/>
          <w:szCs w:val="24"/>
        </w:rPr>
        <w:t>Acidic soils;</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color w:val="000000"/>
          <w:sz w:val="24"/>
          <w:szCs w:val="24"/>
        </w:rPr>
        <w:t xml:space="preserve">Geo-referenced sampling; Soil </w:t>
      </w:r>
      <w:proofErr w:type="spellStart"/>
      <w:r>
        <w:rPr>
          <w:rFonts w:ascii="Times New Roman" w:eastAsia="Times New Roman" w:hAnsi="Times New Roman" w:cs="Times New Roman"/>
          <w:i/>
          <w:iCs/>
          <w:color w:val="000000"/>
          <w:sz w:val="24"/>
          <w:szCs w:val="24"/>
        </w:rPr>
        <w:t>physico</w:t>
      </w:r>
      <w:proofErr w:type="spellEnd"/>
      <w:r>
        <w:rPr>
          <w:rFonts w:ascii="Times New Roman" w:eastAsia="Times New Roman" w:hAnsi="Times New Roman" w:cs="Times New Roman"/>
          <w:i/>
          <w:iCs/>
          <w:color w:val="000000"/>
          <w:sz w:val="24"/>
          <w:szCs w:val="24"/>
        </w:rPr>
        <w:t xml:space="preserve">-chemical properties; </w:t>
      </w:r>
      <w:r>
        <w:rPr>
          <w:rFonts w:ascii="Times New Roman" w:eastAsia="Times New Roman" w:hAnsi="Times New Roman" w:cs="Times New Roman"/>
          <w:i/>
          <w:iCs/>
          <w:sz w:val="24"/>
          <w:szCs w:val="24"/>
        </w:rPr>
        <w:t xml:space="preserve">IDW; </w:t>
      </w:r>
      <w:r>
        <w:rPr>
          <w:rFonts w:ascii="Times New Roman" w:eastAsia="Times New Roman" w:hAnsi="Times New Roman" w:cs="Times New Roman"/>
          <w:i/>
          <w:iCs/>
          <w:color w:val="000000"/>
          <w:sz w:val="24"/>
          <w:szCs w:val="24"/>
        </w:rPr>
        <w:t>Tripura</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INTRODUCTION</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basic prerequisite to develop a soil information system (SIS) is to have big datasets.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present</w:t>
      </w:r>
      <w:r>
        <w:rPr>
          <w:rFonts w:ascii="Times New Roman" w:eastAsia="Times New Roman" w:hAnsi="Times New Roman" w:cs="Times New Roman"/>
          <w:color w:val="000000"/>
          <w:sz w:val="24"/>
          <w:szCs w:val="24"/>
        </w:rPr>
        <w:t xml:space="preserve"> day</w:t>
      </w:r>
      <w:proofErr w:type="gramEnd"/>
      <w:r>
        <w:rPr>
          <w:rFonts w:ascii="Times New Roman" w:eastAsia="Times New Roman" w:hAnsi="Times New Roman" w:cs="Times New Roman"/>
          <w:color w:val="000000"/>
          <w:sz w:val="24"/>
          <w:szCs w:val="24"/>
        </w:rPr>
        <w:t xml:space="preserve"> information system of any resources requires physical existence in terms of latitude and longitude, exact referencing can only be possible with GIS and the geo-referenced soil information system (</w:t>
      </w:r>
      <w:proofErr w:type="spellStart"/>
      <w:r>
        <w:rPr>
          <w:rFonts w:ascii="Times New Roman" w:eastAsia="Times New Roman" w:hAnsi="Times New Roman" w:cs="Times New Roman"/>
          <w:color w:val="000000"/>
          <w:sz w:val="24"/>
          <w:szCs w:val="24"/>
        </w:rPr>
        <w:t>GeoSIS</w:t>
      </w:r>
      <w:proofErr w:type="spellEnd"/>
      <w:r>
        <w:rPr>
          <w:rFonts w:ascii="Times New Roman" w:eastAsia="Times New Roman" w:hAnsi="Times New Roman" w:cs="Times New Roman"/>
          <w:color w:val="000000"/>
          <w:sz w:val="24"/>
          <w:szCs w:val="24"/>
        </w:rPr>
        <w:t xml:space="preserve">) can be projected (Saleh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2023). Tripura </w:t>
      </w:r>
      <w:r>
        <w:rPr>
          <w:rFonts w:ascii="Times New Roman" w:eastAsia="Times New Roman" w:hAnsi="Times New Roman" w:cs="Times New Roman"/>
          <w:color w:val="000000"/>
          <w:sz w:val="24"/>
          <w:szCs w:val="24"/>
        </w:rPr>
        <w:t>is one of the advance states of North East India and the datasets of its soil has been prepared and stored with National Bureau of Soil Survey &amp; land Use Planning during past decade without use of new surveying techniques like Global Positioning System (GP</w:t>
      </w:r>
      <w:r>
        <w:rPr>
          <w:rFonts w:ascii="Times New Roman" w:eastAsia="Times New Roman" w:hAnsi="Times New Roman" w:cs="Times New Roman"/>
          <w:color w:val="000000"/>
          <w:sz w:val="24"/>
          <w:szCs w:val="24"/>
        </w:rPr>
        <w:t>S) and Geographic Information System (GIS).</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Soil fertility evaluation is the ‘fundamental </w:t>
      </w:r>
      <w:proofErr w:type="gramStart"/>
      <w:r>
        <w:rPr>
          <w:rFonts w:ascii="Times New Roman" w:eastAsia="Times New Roman" w:hAnsi="Times New Roman" w:cs="Times New Roman"/>
          <w:color w:val="000000"/>
          <w:sz w:val="24"/>
          <w:szCs w:val="24"/>
        </w:rPr>
        <w:t>decision making</w:t>
      </w:r>
      <w:proofErr w:type="gramEnd"/>
      <w:r>
        <w:rPr>
          <w:rFonts w:ascii="Times New Roman" w:eastAsia="Times New Roman" w:hAnsi="Times New Roman" w:cs="Times New Roman"/>
          <w:color w:val="000000"/>
          <w:sz w:val="24"/>
          <w:szCs w:val="24"/>
        </w:rPr>
        <w:t xml:space="preserve"> tool’ for efficiently </w:t>
      </w:r>
      <w:r>
        <w:rPr>
          <w:rFonts w:ascii="Times New Roman" w:eastAsia="Times New Roman" w:hAnsi="Times New Roman" w:cs="Times New Roman"/>
          <w:sz w:val="24"/>
          <w:szCs w:val="24"/>
        </w:rPr>
        <w:t>planning a</w:t>
      </w:r>
      <w:r>
        <w:rPr>
          <w:rFonts w:ascii="Times New Roman" w:eastAsia="Times New Roman" w:hAnsi="Times New Roman" w:cs="Times New Roman"/>
          <w:color w:val="000000"/>
          <w:sz w:val="24"/>
          <w:szCs w:val="24"/>
        </w:rPr>
        <w:t xml:space="preserve"> specific land use system (</w:t>
      </w:r>
      <w:proofErr w:type="spellStart"/>
      <w:r>
        <w:rPr>
          <w:rFonts w:ascii="Times New Roman" w:eastAsia="Times New Roman" w:hAnsi="Times New Roman" w:cs="Times New Roman"/>
          <w:color w:val="000000"/>
          <w:sz w:val="24"/>
          <w:szCs w:val="24"/>
        </w:rPr>
        <w:t>Havlin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2010). Soil testing offers information about nutrient status-availability, w</w:t>
      </w:r>
      <w:r>
        <w:rPr>
          <w:rFonts w:ascii="Times New Roman" w:eastAsia="Times New Roman" w:hAnsi="Times New Roman" w:cs="Times New Roman"/>
          <w:color w:val="000000"/>
          <w:sz w:val="24"/>
          <w:szCs w:val="24"/>
        </w:rPr>
        <w:t xml:space="preserve">hich </w:t>
      </w:r>
      <w:r>
        <w:rPr>
          <w:rFonts w:ascii="Times New Roman" w:eastAsia="Times New Roman" w:hAnsi="Times New Roman" w:cs="Times New Roman"/>
          <w:sz w:val="24"/>
          <w:szCs w:val="24"/>
        </w:rPr>
        <w:t>is a precursor</w:t>
      </w:r>
      <w:r>
        <w:rPr>
          <w:rFonts w:ascii="Times New Roman" w:eastAsia="Times New Roman" w:hAnsi="Times New Roman" w:cs="Times New Roman"/>
          <w:color w:val="000000"/>
          <w:sz w:val="24"/>
          <w:szCs w:val="24"/>
        </w:rPr>
        <w:t xml:space="preserve"> to make fertilizer recommendations for sustainable crop productivity. Soil analysis comprises physical features (texture, bulk density, water holding capacity and so on) as well as chemical properties (pH, SOC, available macronutrients </w:t>
      </w:r>
      <w:r>
        <w:rPr>
          <w:rFonts w:ascii="Times New Roman" w:eastAsia="Times New Roman" w:hAnsi="Times New Roman" w:cs="Times New Roman"/>
          <w:color w:val="000000"/>
          <w:sz w:val="24"/>
          <w:szCs w:val="24"/>
        </w:rPr>
        <w:t xml:space="preserve">and so on), which are required for long-term soil management (Patil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2010). According to Wilding &amp; Lin (2006) soil contains various amounts of air, water, minerals, organic materials, untold numbers of creatures and other elements that are necessary</w:t>
      </w:r>
      <w:r>
        <w:rPr>
          <w:rFonts w:ascii="Times New Roman" w:eastAsia="Times New Roman" w:hAnsi="Times New Roman" w:cs="Times New Roman"/>
          <w:color w:val="000000"/>
          <w:sz w:val="24"/>
          <w:szCs w:val="24"/>
        </w:rPr>
        <w:t xml:space="preserve"> for life. The availability of nutrients to growing crop plants as well as the total amount of nutrients present disturbs the overall crop growth and development (</w:t>
      </w:r>
      <w:proofErr w:type="spellStart"/>
      <w:r>
        <w:rPr>
          <w:rFonts w:ascii="Times New Roman" w:eastAsia="Times New Roman" w:hAnsi="Times New Roman" w:cs="Times New Roman"/>
          <w:color w:val="000000"/>
          <w:sz w:val="24"/>
          <w:szCs w:val="24"/>
        </w:rPr>
        <w:t>Shreekanth</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2018). Therefore, systematically regular </w:t>
      </w:r>
      <w:r>
        <w:rPr>
          <w:rFonts w:ascii="Times New Roman" w:eastAsia="Times New Roman" w:hAnsi="Times New Roman" w:cs="Times New Roman"/>
          <w:sz w:val="24"/>
          <w:szCs w:val="24"/>
        </w:rPr>
        <w:t>examination</w:t>
      </w:r>
      <w:r>
        <w:rPr>
          <w:rFonts w:ascii="Times New Roman" w:eastAsia="Times New Roman" w:hAnsi="Times New Roman" w:cs="Times New Roman"/>
          <w:color w:val="000000"/>
          <w:sz w:val="24"/>
          <w:szCs w:val="24"/>
        </w:rPr>
        <w:t xml:space="preserve"> is very important for</w:t>
      </w:r>
      <w:r>
        <w:rPr>
          <w:rFonts w:ascii="Times New Roman" w:eastAsia="Times New Roman" w:hAnsi="Times New Roman" w:cs="Times New Roman"/>
          <w:color w:val="000000"/>
          <w:sz w:val="24"/>
          <w:szCs w:val="24"/>
        </w:rPr>
        <w:t xml:space="preserve"> the sufficiency of major, secondary and micronutrients as well as nutrient deficits. Therefore, the data from soil tests should be most accurate, collected from reliable authentic </w:t>
      </w:r>
      <w:r>
        <w:rPr>
          <w:rFonts w:ascii="Times New Roman" w:eastAsia="Times New Roman" w:hAnsi="Times New Roman" w:cs="Times New Roman"/>
          <w:sz w:val="24"/>
          <w:szCs w:val="24"/>
        </w:rPr>
        <w:t>sources</w:t>
      </w:r>
      <w:r>
        <w:rPr>
          <w:rFonts w:ascii="Times New Roman" w:eastAsia="Times New Roman" w:hAnsi="Times New Roman" w:cs="Times New Roman"/>
          <w:color w:val="000000"/>
          <w:sz w:val="24"/>
          <w:szCs w:val="24"/>
        </w:rPr>
        <w:t xml:space="preserve"> of information on the availability of plant nutrients and how to mo</w:t>
      </w:r>
      <w:r>
        <w:rPr>
          <w:rFonts w:ascii="Times New Roman" w:eastAsia="Times New Roman" w:hAnsi="Times New Roman" w:cs="Times New Roman"/>
          <w:color w:val="000000"/>
          <w:sz w:val="24"/>
          <w:szCs w:val="24"/>
        </w:rPr>
        <w:t xml:space="preserve">dify fertilizer recommendations for different crops. For the purpose of creating thematic soil fertility maps, </w:t>
      </w:r>
      <w:r>
        <w:rPr>
          <w:rFonts w:ascii="Times New Roman" w:eastAsia="Times New Roman" w:hAnsi="Times New Roman" w:cs="Times New Roman"/>
          <w:sz w:val="24"/>
          <w:szCs w:val="24"/>
        </w:rPr>
        <w:t>the old</w:t>
      </w:r>
      <w:r>
        <w:rPr>
          <w:rFonts w:ascii="Times New Roman" w:eastAsia="Times New Roman" w:hAnsi="Times New Roman" w:cs="Times New Roman"/>
          <w:color w:val="000000"/>
          <w:sz w:val="24"/>
          <w:szCs w:val="24"/>
        </w:rPr>
        <w:t xml:space="preserve"> database has been privileged to collect soil samples using GPS (Mishra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 Soil fertility is assessed using the physical and chemical parameters: BD, water holding capacity, texture, penetration, slope, pH, Soil Organic Carbon, available nitrogen (N), phosphate (P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potash (K</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Calcium (Ca), Magnesium (Mg) and Sulph</w:t>
      </w:r>
      <w:r>
        <w:rPr>
          <w:rFonts w:ascii="Times New Roman" w:eastAsia="Times New Roman" w:hAnsi="Times New Roman" w:cs="Times New Roman"/>
          <w:color w:val="000000"/>
          <w:sz w:val="24"/>
          <w:szCs w:val="24"/>
        </w:rPr>
        <w:t xml:space="preserve">ur (S). For the aforementioned fertility indicators, the average weighted data from topsoil samples taken at depths ranging from 0 to 15 cm (Khaki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2017) are considered for preparing fertility mapping of Gomati and South Tripura District and suggest</w:t>
      </w:r>
      <w:r>
        <w:rPr>
          <w:rFonts w:ascii="Times New Roman" w:eastAsia="Times New Roman" w:hAnsi="Times New Roman" w:cs="Times New Roman"/>
          <w:color w:val="000000"/>
          <w:sz w:val="24"/>
          <w:szCs w:val="24"/>
        </w:rPr>
        <w:t>ing best cropping pattern along with management of soil for the yield sustainability of this mild sub-tropical climatic zone.</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MATERIALS AND METHODS</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 Site Description</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present investigation was </w:t>
      </w:r>
      <w:r>
        <w:rPr>
          <w:rFonts w:ascii="Times New Roman" w:eastAsia="Times New Roman" w:hAnsi="Times New Roman" w:cs="Times New Roman"/>
          <w:sz w:val="24"/>
          <w:szCs w:val="24"/>
        </w:rPr>
        <w:t>conducted</w:t>
      </w:r>
      <w:r>
        <w:rPr>
          <w:rFonts w:ascii="Times New Roman" w:eastAsia="Times New Roman" w:hAnsi="Times New Roman" w:cs="Times New Roman"/>
          <w:color w:val="000000"/>
          <w:sz w:val="24"/>
          <w:szCs w:val="24"/>
        </w:rPr>
        <w:t xml:space="preserve"> in the Gomati and South Tripura district which is situated between latitude 22°75′ to 23°50′ North and longitude 91°20′ to 91°50′ East (Table 1; Figure 1). The existing crops in the districts are rice, seasonal vegetables in plain-low lying regions along </w:t>
      </w:r>
      <w:r>
        <w:rPr>
          <w:rFonts w:ascii="Times New Roman" w:eastAsia="Times New Roman" w:hAnsi="Times New Roman" w:cs="Times New Roman"/>
          <w:color w:val="000000"/>
          <w:sz w:val="24"/>
          <w:szCs w:val="24"/>
        </w:rPr>
        <w:t xml:space="preserve">with riverbeds; rubber, tea, cashew nut </w:t>
      </w:r>
      <w:r>
        <w:rPr>
          <w:rFonts w:ascii="Times New Roman" w:eastAsia="Times New Roman" w:hAnsi="Times New Roman" w:cs="Times New Roman"/>
          <w:i/>
          <w:iCs/>
          <w:color w:val="000000"/>
          <w:sz w:val="24"/>
          <w:szCs w:val="24"/>
        </w:rPr>
        <w:t>etc</w:t>
      </w:r>
      <w:r>
        <w:rPr>
          <w:rFonts w:ascii="Times New Roman" w:eastAsia="Times New Roman" w:hAnsi="Times New Roman" w:cs="Times New Roman"/>
          <w:color w:val="000000"/>
          <w:sz w:val="24"/>
          <w:szCs w:val="24"/>
        </w:rPr>
        <w:t>. plantation in areas having less than 33% slope and forests in high altitude with &gt;33% slope. The day temperature hovers around 30.8 °C while night temperature is 19.4 °C for most of November, often dropping to 1</w:t>
      </w:r>
      <w:r>
        <w:rPr>
          <w:rFonts w:ascii="Times New Roman" w:eastAsia="Times New Roman" w:hAnsi="Times New Roman" w:cs="Times New Roman"/>
          <w:color w:val="000000"/>
          <w:sz w:val="24"/>
          <w:szCs w:val="24"/>
        </w:rPr>
        <w:t xml:space="preserve">2 °C during January. Monsoon is expected to occur &amp; extend in June-September with average </w:t>
      </w:r>
      <w:r>
        <w:rPr>
          <w:rFonts w:ascii="Times New Roman" w:eastAsia="Times New Roman" w:hAnsi="Times New Roman" w:cs="Times New Roman"/>
          <w:color w:val="000000"/>
          <w:sz w:val="24"/>
          <w:szCs w:val="24"/>
        </w:rPr>
        <w:lastRenderedPageBreak/>
        <w:t>annual rainfall distribution of 1851 mm in Gomati and 2869 mm in South Tripura. The temperature varies from 38.4 °C to 4.3 °C.</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Table 1:</w:t>
      </w:r>
      <w:r>
        <w:rPr>
          <w:rFonts w:ascii="Times New Roman" w:eastAsia="Times New Roman" w:hAnsi="Times New Roman" w:cs="Times New Roman"/>
          <w:color w:val="000000"/>
          <w:sz w:val="24"/>
          <w:szCs w:val="24"/>
        </w:rPr>
        <w:t xml:space="preserve"> Location of Soil samples colle</w:t>
      </w:r>
      <w:r>
        <w:rPr>
          <w:rFonts w:ascii="Times New Roman" w:eastAsia="Times New Roman" w:hAnsi="Times New Roman" w:cs="Times New Roman"/>
          <w:color w:val="000000"/>
          <w:sz w:val="24"/>
          <w:szCs w:val="24"/>
        </w:rPr>
        <w:t>cted from Gomati and South Tripura</w:t>
      </w:r>
    </w:p>
    <w:tbl>
      <w:tblPr>
        <w:tblStyle w:val="a4"/>
        <w:tblW w:w="9257" w:type="dxa"/>
        <w:tblInd w:w="-115" w:type="dxa"/>
        <w:tblLayout w:type="fixed"/>
        <w:tblLook w:val="0400" w:firstRow="0" w:lastRow="0" w:firstColumn="0" w:lastColumn="0" w:noHBand="0" w:noVBand="1"/>
      </w:tblPr>
      <w:tblGrid>
        <w:gridCol w:w="961"/>
        <w:gridCol w:w="1463"/>
        <w:gridCol w:w="1801"/>
        <w:gridCol w:w="1988"/>
        <w:gridCol w:w="1561"/>
        <w:gridCol w:w="1483"/>
      </w:tblGrid>
      <w:tr w:rsidR="005211FC">
        <w:trPr>
          <w:cantSplit/>
          <w:tblHeader/>
        </w:trPr>
        <w:tc>
          <w:tcPr>
            <w:tcW w:w="961" w:type="dxa"/>
            <w:tcBorders>
              <w:top w:val="single" w:sz="4" w:space="0" w:color="000000"/>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 No.</w:t>
            </w:r>
          </w:p>
        </w:tc>
        <w:tc>
          <w:tcPr>
            <w:tcW w:w="1463"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District </w:t>
            </w:r>
          </w:p>
        </w:tc>
        <w:tc>
          <w:tcPr>
            <w:tcW w:w="1801"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Range</w:t>
            </w:r>
          </w:p>
        </w:tc>
        <w:tc>
          <w:tcPr>
            <w:tcW w:w="1988"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Beat Name</w:t>
            </w:r>
          </w:p>
        </w:tc>
        <w:tc>
          <w:tcPr>
            <w:tcW w:w="1561"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Latitude</w:t>
            </w:r>
          </w:p>
        </w:tc>
        <w:tc>
          <w:tcPr>
            <w:tcW w:w="1483"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Longitude</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Gumati</w:t>
            </w:r>
            <w:proofErr w:type="spellEnd"/>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Amarpur</w:t>
            </w:r>
            <w:proofErr w:type="spellEnd"/>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Bampur</w:t>
            </w:r>
            <w:proofErr w:type="spellEnd"/>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23.55658</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91.63606</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2</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Gumati</w:t>
            </w:r>
            <w:proofErr w:type="spellEnd"/>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Ampi</w:t>
            </w:r>
            <w:proofErr w:type="spellEnd"/>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Dhanlekha</w:t>
            </w:r>
            <w:proofErr w:type="spellEnd"/>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23.67377</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91.62537</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3</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Gumati</w:t>
            </w:r>
            <w:proofErr w:type="spellEnd"/>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Karbook</w:t>
            </w:r>
            <w:proofErr w:type="spellEnd"/>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Bairagi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Dokan</w:t>
            </w:r>
            <w:proofErr w:type="spellEnd"/>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23.38958</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91.76004</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4</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Gumati</w:t>
            </w:r>
            <w:proofErr w:type="spellEnd"/>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Silachari</w:t>
            </w:r>
            <w:proofErr w:type="spellEnd"/>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Suknachari</w:t>
            </w:r>
            <w:proofErr w:type="spellEnd"/>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23.20871</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91.78044</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5</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Gumati</w:t>
            </w:r>
            <w:proofErr w:type="spellEnd"/>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Udaipur</w:t>
            </w:r>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Paratia</w:t>
            </w:r>
            <w:proofErr w:type="spellEnd"/>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23.45346</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91.49557</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6</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Gumati</w:t>
            </w:r>
            <w:proofErr w:type="spellEnd"/>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Udaipur</w:t>
            </w:r>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Udaipur</w:t>
            </w:r>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23.55232</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91.45794</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7</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Gomati</w:t>
            </w:r>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Silachari</w:t>
            </w:r>
            <w:proofErr w:type="spellEnd"/>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Ghorakappa</w:t>
            </w:r>
            <w:proofErr w:type="spellEnd"/>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23.16618</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91.72865</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8</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Kakulia</w:t>
            </w:r>
            <w:proofErr w:type="spellEnd"/>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Manirambari</w:t>
            </w:r>
            <w:proofErr w:type="spellEnd"/>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23.22483</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91.51569</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9</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Bankul</w:t>
            </w:r>
            <w:proofErr w:type="spellEnd"/>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Bankul</w:t>
            </w:r>
            <w:proofErr w:type="spellEnd"/>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23.11821</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91.69498</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10</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Satchand</w:t>
            </w:r>
            <w:proofErr w:type="spellEnd"/>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Manu Bazar</w:t>
            </w:r>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23.04284</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91.66868</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11</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Rajnagar</w:t>
            </w:r>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Anandapur</w:t>
            </w:r>
            <w:proofErr w:type="spellEnd"/>
            <w:r>
              <w:rPr>
                <w:rFonts w:ascii="Times New Roman" w:eastAsia="Times New Roman" w:hAnsi="Times New Roman" w:cs="Times New Roman"/>
                <w:color w:val="000000"/>
                <w:sz w:val="24"/>
                <w:szCs w:val="24"/>
              </w:rPr>
              <w:t xml:space="preserve"> WL</w:t>
            </w:r>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23.19595</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91.36649</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12</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Rangamura</w:t>
            </w:r>
            <w:proofErr w:type="spellEnd"/>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Nidaya</w:t>
            </w:r>
            <w:proofErr w:type="spellEnd"/>
            <w:r>
              <w:rPr>
                <w:rFonts w:ascii="Times New Roman" w:eastAsia="Times New Roman" w:hAnsi="Times New Roman" w:cs="Times New Roman"/>
                <w:color w:val="000000"/>
                <w:sz w:val="24"/>
                <w:szCs w:val="24"/>
              </w:rPr>
              <w:t xml:space="preserve"> WL</w:t>
            </w:r>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23.30189</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91.33939</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13</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Bankul</w:t>
            </w:r>
            <w:proofErr w:type="spellEnd"/>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Rupaichari</w:t>
            </w:r>
            <w:proofErr w:type="spellEnd"/>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23.04575</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91.72915</w:t>
            </w:r>
          </w:p>
        </w:tc>
      </w:tr>
      <w:tr w:rsidR="005211FC">
        <w:trPr>
          <w:cantSplit/>
          <w:tblHeader/>
        </w:trPr>
        <w:tc>
          <w:tcPr>
            <w:tcW w:w="961"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14</w:t>
            </w:r>
          </w:p>
        </w:tc>
        <w:tc>
          <w:tcPr>
            <w:tcW w:w="146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80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Abhoya</w:t>
            </w:r>
            <w:proofErr w:type="spellEnd"/>
            <w:r>
              <w:rPr>
                <w:rFonts w:ascii="Times New Roman" w:eastAsia="Times New Roman" w:hAnsi="Times New Roman" w:cs="Times New Roman"/>
                <w:color w:val="000000"/>
                <w:sz w:val="24"/>
                <w:szCs w:val="24"/>
              </w:rPr>
              <w:t xml:space="preserve"> WL</w:t>
            </w:r>
          </w:p>
        </w:tc>
        <w:tc>
          <w:tcPr>
            <w:tcW w:w="1988"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Maicherra</w:t>
            </w:r>
            <w:proofErr w:type="spellEnd"/>
            <w:r>
              <w:rPr>
                <w:rFonts w:ascii="Times New Roman" w:eastAsia="Times New Roman" w:hAnsi="Times New Roman" w:cs="Times New Roman"/>
                <w:color w:val="000000"/>
                <w:sz w:val="24"/>
                <w:szCs w:val="24"/>
              </w:rPr>
              <w:t xml:space="preserve"> WL</w:t>
            </w:r>
          </w:p>
        </w:tc>
        <w:tc>
          <w:tcPr>
            <w:tcW w:w="156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23.30785</w:t>
            </w:r>
          </w:p>
        </w:tc>
        <w:tc>
          <w:tcPr>
            <w:tcW w:w="1483"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91.48072</w:t>
            </w:r>
          </w:p>
        </w:tc>
      </w:tr>
    </w:tbl>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p w:rsidR="005211FC" w:rsidRDefault="00C70F3B">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68216" cy="1656000"/>
            <wp:effectExtent l="0" t="0" r="0" b="0"/>
            <wp:docPr id="62" name="image5.jpg" descr="BD (1)"/>
            <wp:cNvGraphicFramePr/>
            <a:graphic xmlns:a="http://schemas.openxmlformats.org/drawingml/2006/main">
              <a:graphicData uri="http://schemas.openxmlformats.org/drawingml/2006/picture">
                <pic:pic xmlns:pic="http://schemas.openxmlformats.org/drawingml/2006/picture">
                  <pic:nvPicPr>
                    <pic:cNvPr id="0" name="image5.jpg" descr="BD (1)"/>
                    <pic:cNvPicPr preferRelativeResize="0"/>
                  </pic:nvPicPr>
                  <pic:blipFill>
                    <a:blip r:embed="rId8"/>
                    <a:srcRect/>
                    <a:stretch>
                      <a:fillRect/>
                    </a:stretch>
                  </pic:blipFill>
                  <pic:spPr>
                    <a:xfrm>
                      <a:off x="0" y="0"/>
                      <a:ext cx="1368216" cy="1656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383247" cy="1656000"/>
            <wp:effectExtent l="0" t="0" r="0" b="0"/>
            <wp:docPr id="64" name="image9.jpg" descr="SP"/>
            <wp:cNvGraphicFramePr/>
            <a:graphic xmlns:a="http://schemas.openxmlformats.org/drawingml/2006/main">
              <a:graphicData uri="http://schemas.openxmlformats.org/drawingml/2006/picture">
                <pic:pic xmlns:pic="http://schemas.openxmlformats.org/drawingml/2006/picture">
                  <pic:nvPicPr>
                    <pic:cNvPr id="0" name="image9.jpg" descr="SP"/>
                    <pic:cNvPicPr preferRelativeResize="0"/>
                  </pic:nvPicPr>
                  <pic:blipFill>
                    <a:blip r:embed="rId9"/>
                    <a:srcRect/>
                    <a:stretch>
                      <a:fillRect/>
                    </a:stretch>
                  </pic:blipFill>
                  <pic:spPr>
                    <a:xfrm>
                      <a:off x="0" y="0"/>
                      <a:ext cx="1383247" cy="1656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386202" cy="1656000"/>
            <wp:effectExtent l="0" t="0" r="0" b="0"/>
            <wp:docPr id="63" name="image7.jpg" descr="BD"/>
            <wp:cNvGraphicFramePr/>
            <a:graphic xmlns:a="http://schemas.openxmlformats.org/drawingml/2006/main">
              <a:graphicData uri="http://schemas.openxmlformats.org/drawingml/2006/picture">
                <pic:pic xmlns:pic="http://schemas.openxmlformats.org/drawingml/2006/picture">
                  <pic:nvPicPr>
                    <pic:cNvPr id="0" name="image7.jpg" descr="BD"/>
                    <pic:cNvPicPr preferRelativeResize="0"/>
                  </pic:nvPicPr>
                  <pic:blipFill>
                    <a:blip r:embed="rId10"/>
                    <a:srcRect/>
                    <a:stretch>
                      <a:fillRect/>
                    </a:stretch>
                  </pic:blipFill>
                  <pic:spPr>
                    <a:xfrm>
                      <a:off x="0" y="0"/>
                      <a:ext cx="1386202" cy="1656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386202" cy="1656000"/>
            <wp:effectExtent l="0" t="0" r="0" b="0"/>
            <wp:docPr id="66" name="image15.jpg" descr="pene"/>
            <wp:cNvGraphicFramePr/>
            <a:graphic xmlns:a="http://schemas.openxmlformats.org/drawingml/2006/main">
              <a:graphicData uri="http://schemas.openxmlformats.org/drawingml/2006/picture">
                <pic:pic xmlns:pic="http://schemas.openxmlformats.org/drawingml/2006/picture">
                  <pic:nvPicPr>
                    <pic:cNvPr id="0" name="image15.jpg" descr="pene"/>
                    <pic:cNvPicPr preferRelativeResize="0"/>
                  </pic:nvPicPr>
                  <pic:blipFill>
                    <a:blip r:embed="rId11"/>
                    <a:srcRect/>
                    <a:stretch>
                      <a:fillRect/>
                    </a:stretch>
                  </pic:blipFill>
                  <pic:spPr>
                    <a:xfrm>
                      <a:off x="0" y="0"/>
                      <a:ext cx="1386202" cy="1656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5211FC" w:rsidRDefault="00C70F3B">
      <w:pPr>
        <w:pBdr>
          <w:top w:val="nil"/>
          <w:left w:val="nil"/>
          <w:bottom w:val="nil"/>
          <w:right w:val="nil"/>
          <w:between w:val="nil"/>
        </w:pBdr>
        <w:tabs>
          <w:tab w:val="left" w:pos="993"/>
          <w:tab w:val="left" w:pos="3261"/>
          <w:tab w:val="left" w:pos="5529"/>
          <w:tab w:val="left" w:pos="7797"/>
        </w:tabs>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(a)</w:t>
      </w:r>
      <w:r>
        <w:rPr>
          <w:rFonts w:ascii="Times New Roman" w:eastAsia="Times New Roman" w:hAnsi="Times New Roman" w:cs="Times New Roman"/>
          <w:color w:val="000000"/>
          <w:sz w:val="24"/>
          <w:szCs w:val="24"/>
        </w:rPr>
        <w:tab/>
        <w:t xml:space="preserve"> (b) </w:t>
      </w:r>
      <w:r>
        <w:rPr>
          <w:rFonts w:ascii="Times New Roman" w:eastAsia="Times New Roman" w:hAnsi="Times New Roman" w:cs="Times New Roman"/>
          <w:color w:val="000000"/>
          <w:sz w:val="24"/>
          <w:szCs w:val="24"/>
        </w:rPr>
        <w:tab/>
        <w:t xml:space="preserve">(b) </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Figure 1:</w:t>
      </w:r>
      <w:r>
        <w:rPr>
          <w:rFonts w:ascii="Times New Roman" w:eastAsia="Times New Roman" w:hAnsi="Times New Roman" w:cs="Times New Roman"/>
          <w:color w:val="000000"/>
          <w:sz w:val="24"/>
          <w:szCs w:val="24"/>
        </w:rPr>
        <w:t xml:space="preserve"> Spatial variability of Bulk density and penetration of (a) Gomati and (b) South Tripura</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 Soil Sampling and Analysis</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Sampling (0-15 cm depth) was conducted during November, 2024 following recommended methods and stored in the polythene bag. The samples were collected along with the geo-coordinates and recorded from each location by </w:t>
      </w:r>
      <w:r>
        <w:rPr>
          <w:rFonts w:ascii="Times New Roman" w:eastAsia="Times New Roman" w:hAnsi="Times New Roman" w:cs="Times New Roman"/>
          <w:sz w:val="24"/>
          <w:szCs w:val="24"/>
        </w:rPr>
        <w:t>using a global</w:t>
      </w:r>
      <w:r>
        <w:rPr>
          <w:rFonts w:ascii="Times New Roman" w:eastAsia="Times New Roman" w:hAnsi="Times New Roman" w:cs="Times New Roman"/>
          <w:color w:val="000000"/>
          <w:sz w:val="24"/>
          <w:szCs w:val="24"/>
        </w:rPr>
        <w:t xml:space="preserve"> positioning system (GPS)</w:t>
      </w:r>
      <w:r>
        <w:rPr>
          <w:rFonts w:ascii="Times New Roman" w:eastAsia="Times New Roman" w:hAnsi="Times New Roman" w:cs="Times New Roman"/>
          <w:color w:val="000000"/>
          <w:sz w:val="24"/>
          <w:szCs w:val="24"/>
        </w:rPr>
        <w:t xml:space="preserve"> tool. Samples were dried at room temperature and pulverized with a wooden roll on wooden plank followed by sieved at 2 mm. Then, soil samples that had been homogenized were placed in </w:t>
      </w:r>
      <w:r>
        <w:rPr>
          <w:rFonts w:ascii="Times New Roman" w:eastAsia="Times New Roman" w:hAnsi="Times New Roman" w:cs="Times New Roman"/>
          <w:sz w:val="24"/>
          <w:szCs w:val="24"/>
        </w:rPr>
        <w:t>marking-cloth</w:t>
      </w:r>
      <w:r>
        <w:rPr>
          <w:rFonts w:ascii="Times New Roman" w:eastAsia="Times New Roman" w:hAnsi="Times New Roman" w:cs="Times New Roman"/>
          <w:color w:val="000000"/>
          <w:sz w:val="24"/>
          <w:szCs w:val="24"/>
        </w:rPr>
        <w:t xml:space="preserve"> bags for further analysis to determine the </w:t>
      </w:r>
      <w:proofErr w:type="spellStart"/>
      <w:r>
        <w:rPr>
          <w:rFonts w:ascii="Times New Roman" w:eastAsia="Times New Roman" w:hAnsi="Times New Roman" w:cs="Times New Roman"/>
          <w:color w:val="000000"/>
          <w:sz w:val="24"/>
          <w:szCs w:val="24"/>
        </w:rPr>
        <w:t>physico</w:t>
      </w:r>
      <w:proofErr w:type="spellEnd"/>
      <w:r>
        <w:rPr>
          <w:rFonts w:ascii="Times New Roman" w:eastAsia="Times New Roman" w:hAnsi="Times New Roman" w:cs="Times New Roman"/>
          <w:color w:val="000000"/>
          <w:sz w:val="24"/>
          <w:szCs w:val="24"/>
        </w:rPr>
        <w:t>-chemica</w:t>
      </w:r>
      <w:r>
        <w:rPr>
          <w:rFonts w:ascii="Times New Roman" w:eastAsia="Times New Roman" w:hAnsi="Times New Roman" w:cs="Times New Roman"/>
          <w:color w:val="000000"/>
          <w:sz w:val="24"/>
          <w:szCs w:val="24"/>
        </w:rPr>
        <w:t>l properties of the soil. The standard protocols for the analysing parameters are tabulated in table 2.</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Table 2:</w:t>
      </w:r>
      <w:r>
        <w:rPr>
          <w:rFonts w:ascii="Times New Roman" w:eastAsia="Times New Roman" w:hAnsi="Times New Roman" w:cs="Times New Roman"/>
          <w:color w:val="000000"/>
          <w:sz w:val="24"/>
          <w:szCs w:val="24"/>
        </w:rPr>
        <w:t xml:space="preserve"> Procedure used for </w:t>
      </w:r>
      <w:proofErr w:type="spellStart"/>
      <w:r>
        <w:rPr>
          <w:rFonts w:ascii="Times New Roman" w:eastAsia="Times New Roman" w:hAnsi="Times New Roman" w:cs="Times New Roman"/>
          <w:color w:val="000000"/>
          <w:sz w:val="24"/>
          <w:szCs w:val="24"/>
        </w:rPr>
        <w:t>physico</w:t>
      </w:r>
      <w:proofErr w:type="spellEnd"/>
      <w:r>
        <w:rPr>
          <w:rFonts w:ascii="Times New Roman" w:eastAsia="Times New Roman" w:hAnsi="Times New Roman" w:cs="Times New Roman"/>
          <w:color w:val="000000"/>
          <w:sz w:val="24"/>
          <w:szCs w:val="24"/>
        </w:rPr>
        <w:t xml:space="preserve">-chemical analysis of soil </w:t>
      </w:r>
    </w:p>
    <w:tbl>
      <w:tblPr>
        <w:tblStyle w:val="a5"/>
        <w:tblW w:w="92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3401"/>
        <w:gridCol w:w="2976"/>
        <w:gridCol w:w="2209"/>
      </w:tblGrid>
      <w:tr w:rsidR="005211FC">
        <w:trPr>
          <w:cantSplit/>
          <w:tblHeader/>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 No.</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Properties</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Method applied</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References</w:t>
            </w:r>
          </w:p>
        </w:tc>
      </w:tr>
      <w:tr w:rsidR="005211FC">
        <w:trPr>
          <w:cantSplit/>
        </w:trPr>
        <w:tc>
          <w:tcPr>
            <w:tcW w:w="9243" w:type="dxa"/>
            <w:gridSpan w:val="4"/>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 Physical Properties</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Particle size analysis</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Pipette method</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Black (1965)</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Bulk Density (BD)</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sampler</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Black (1965)</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Holding Capacity (WHC)</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Keen </w:t>
            </w:r>
            <w:proofErr w:type="spellStart"/>
            <w:r>
              <w:rPr>
                <w:rFonts w:ascii="Times New Roman" w:eastAsia="Times New Roman" w:hAnsi="Times New Roman" w:cs="Times New Roman"/>
                <w:color w:val="000000"/>
                <w:sz w:val="24"/>
                <w:szCs w:val="24"/>
              </w:rPr>
              <w:t>Raczkowski</w:t>
            </w:r>
            <w:proofErr w:type="spellEnd"/>
            <w:r>
              <w:rPr>
                <w:rFonts w:ascii="Times New Roman" w:eastAsia="Times New Roman" w:hAnsi="Times New Roman" w:cs="Times New Roman"/>
                <w:color w:val="000000"/>
                <w:sz w:val="24"/>
                <w:szCs w:val="24"/>
              </w:rPr>
              <w:t xml:space="preserve"> Box</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Black (1965)</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penetration (N value)</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SPT method</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Selvam (2020)</w:t>
            </w:r>
          </w:p>
        </w:tc>
      </w:tr>
      <w:tr w:rsidR="005211FC">
        <w:trPr>
          <w:cantSplit/>
        </w:trPr>
        <w:tc>
          <w:tcPr>
            <w:tcW w:w="9243" w:type="dxa"/>
            <w:gridSpan w:val="4"/>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 Chemical Properties</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reaction (pH)</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 meter</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Jackson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(1973)</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Electrical Conductivity (</w:t>
            </w:r>
            <w:proofErr w:type="spellStart"/>
            <w:r>
              <w:rPr>
                <w:rFonts w:ascii="Times New Roman" w:eastAsia="Times New Roman" w:hAnsi="Times New Roman" w:cs="Times New Roman"/>
                <w:color w:val="000000"/>
                <w:sz w:val="24"/>
                <w:szCs w:val="24"/>
              </w:rPr>
              <w:t>dS</w:t>
            </w:r>
            <w:proofErr w:type="spellEnd"/>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 bridge</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Jackson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(1973)</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Organic Carbon (%)</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Wet oxidation method</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Walkley &amp; Black (1934)</w:t>
            </w:r>
          </w:p>
        </w:tc>
      </w:tr>
      <w:tr w:rsidR="005211FC">
        <w:trPr>
          <w:cantSplit/>
        </w:trPr>
        <w:tc>
          <w:tcPr>
            <w:tcW w:w="9243" w:type="dxa"/>
            <w:gridSpan w:val="4"/>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 Available nutrient</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Available N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Alkaline KMnO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method</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Subbiah &amp; </w:t>
            </w:r>
            <w:proofErr w:type="spellStart"/>
            <w:r>
              <w:rPr>
                <w:rFonts w:ascii="Times New Roman" w:eastAsia="Times New Roman" w:hAnsi="Times New Roman" w:cs="Times New Roman"/>
                <w:color w:val="000000"/>
                <w:sz w:val="24"/>
                <w:szCs w:val="24"/>
              </w:rPr>
              <w:t>Asija</w:t>
            </w:r>
            <w:proofErr w:type="spellEnd"/>
            <w:r>
              <w:rPr>
                <w:rFonts w:ascii="Times New Roman" w:eastAsia="Times New Roman" w:hAnsi="Times New Roman" w:cs="Times New Roman"/>
                <w:color w:val="000000"/>
                <w:sz w:val="24"/>
                <w:szCs w:val="24"/>
              </w:rPr>
              <w:t xml:space="preserve"> (1956)</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Available P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Bray &amp; </w:t>
            </w:r>
            <w:proofErr w:type="spellStart"/>
            <w:r>
              <w:rPr>
                <w:rFonts w:ascii="Times New Roman" w:eastAsia="Times New Roman" w:hAnsi="Times New Roman" w:cs="Times New Roman"/>
                <w:color w:val="000000"/>
                <w:sz w:val="24"/>
                <w:szCs w:val="24"/>
              </w:rPr>
              <w:t>Kurz</w:t>
            </w:r>
            <w:proofErr w:type="spellEnd"/>
            <w:r>
              <w:rPr>
                <w:rFonts w:ascii="Times New Roman" w:eastAsia="Times New Roman" w:hAnsi="Times New Roman" w:cs="Times New Roman"/>
                <w:color w:val="000000"/>
                <w:sz w:val="24"/>
                <w:szCs w:val="24"/>
              </w:rPr>
              <w:t xml:space="preserve"> Method</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Bray &amp; </w:t>
            </w:r>
            <w:proofErr w:type="spellStart"/>
            <w:r>
              <w:rPr>
                <w:rFonts w:ascii="Times New Roman" w:eastAsia="Times New Roman" w:hAnsi="Times New Roman" w:cs="Times New Roman"/>
                <w:color w:val="000000"/>
                <w:sz w:val="24"/>
                <w:szCs w:val="24"/>
              </w:rPr>
              <w:t>Kurz</w:t>
            </w:r>
            <w:proofErr w:type="spellEnd"/>
            <w:r>
              <w:rPr>
                <w:rFonts w:ascii="Times New Roman" w:eastAsia="Times New Roman" w:hAnsi="Times New Roman" w:cs="Times New Roman"/>
                <w:color w:val="000000"/>
                <w:sz w:val="24"/>
                <w:szCs w:val="24"/>
              </w:rPr>
              <w:t xml:space="preserve"> (1945)</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Available K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Ammonium acetate method </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Hanway</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Heidel</w:t>
            </w:r>
            <w:proofErr w:type="spellEnd"/>
            <w:r>
              <w:rPr>
                <w:rFonts w:ascii="Times New Roman" w:eastAsia="Times New Roman" w:hAnsi="Times New Roman" w:cs="Times New Roman"/>
                <w:color w:val="000000"/>
                <w:sz w:val="24"/>
                <w:szCs w:val="24"/>
              </w:rPr>
              <w:t xml:space="preserve"> (1952)</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Available </w:t>
            </w:r>
            <w:proofErr w:type="spellStart"/>
            <w:r>
              <w:rPr>
                <w:rFonts w:ascii="Times New Roman" w:eastAsia="Times New Roman" w:hAnsi="Times New Roman" w:cs="Times New Roman"/>
                <w:color w:val="000000"/>
                <w:sz w:val="24"/>
                <w:szCs w:val="24"/>
              </w:rPr>
              <w:t>Ca+Mg</w:t>
            </w:r>
            <w:proofErr w:type="spellEnd"/>
            <w:r>
              <w:rPr>
                <w:rFonts w:ascii="Times New Roman" w:eastAsia="Times New Roman" w:hAnsi="Times New Roman" w:cs="Times New Roman"/>
                <w:color w:val="000000"/>
                <w:sz w:val="24"/>
                <w:szCs w:val="24"/>
              </w:rPr>
              <w:t xml:space="preserve">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EDTA Method</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Cheng &amp; Bray (1951)</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Available S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Calcium chloride method </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Chesnin</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Yien</w:t>
            </w:r>
            <w:proofErr w:type="spellEnd"/>
            <w:r>
              <w:rPr>
                <w:rFonts w:ascii="Times New Roman" w:eastAsia="Times New Roman" w:hAnsi="Times New Roman" w:cs="Times New Roman"/>
                <w:color w:val="000000"/>
                <w:sz w:val="24"/>
                <w:szCs w:val="24"/>
              </w:rPr>
              <w:t xml:space="preserve"> (1950)</w:t>
            </w:r>
          </w:p>
        </w:tc>
      </w:tr>
      <w:tr w:rsidR="005211FC">
        <w:trPr>
          <w:cantSplit/>
        </w:trPr>
        <w:tc>
          <w:tcPr>
            <w:tcW w:w="657"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40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Cation Exchange Capacity (</w:t>
            </w:r>
            <w:r>
              <w:rPr>
                <w:rFonts w:ascii="Times New Roman" w:eastAsia="Times New Roman" w:hAnsi="Times New Roman" w:cs="Times New Roman"/>
                <w:color w:val="000000"/>
                <w:sz w:val="24"/>
                <w:szCs w:val="24"/>
              </w:rPr>
              <w:t>CEC)</w:t>
            </w:r>
          </w:p>
        </w:tc>
        <w:tc>
          <w:tcPr>
            <w:tcW w:w="2976"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Ammonium acetate method</w:t>
            </w:r>
          </w:p>
        </w:tc>
        <w:tc>
          <w:tcPr>
            <w:tcW w:w="2209"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Lewis (1949)</w:t>
            </w:r>
          </w:p>
        </w:tc>
      </w:tr>
    </w:tbl>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 Statistical Analysis</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techniques modelled by </w:t>
      </w:r>
      <w:proofErr w:type="spellStart"/>
      <w:r>
        <w:rPr>
          <w:rFonts w:ascii="Times New Roman" w:eastAsia="Times New Roman" w:hAnsi="Times New Roman" w:cs="Times New Roman"/>
          <w:color w:val="000000"/>
          <w:sz w:val="24"/>
          <w:szCs w:val="24"/>
        </w:rPr>
        <w:t>Snedecor</w:t>
      </w:r>
      <w:proofErr w:type="spellEnd"/>
      <w:r>
        <w:rPr>
          <w:rFonts w:ascii="Times New Roman" w:eastAsia="Times New Roman" w:hAnsi="Times New Roman" w:cs="Times New Roman"/>
          <w:color w:val="000000"/>
          <w:sz w:val="24"/>
          <w:szCs w:val="24"/>
        </w:rPr>
        <w:t xml:space="preserve"> and Cochran’s (1967) are found suitable for doing this simple statistical analysis. These analyses included common statistical algorithms </w:t>
      </w:r>
      <w:r>
        <w:rPr>
          <w:rFonts w:ascii="Times New Roman" w:eastAsia="Times New Roman" w:hAnsi="Times New Roman" w:cs="Times New Roman"/>
          <w:i/>
          <w:iCs/>
          <w:color w:val="000000"/>
          <w:sz w:val="24"/>
          <w:szCs w:val="24"/>
        </w:rPr>
        <w:t>viz</w:t>
      </w:r>
      <w:r>
        <w:rPr>
          <w:rFonts w:ascii="Times New Roman" w:eastAsia="Times New Roman" w:hAnsi="Times New Roman" w:cs="Times New Roman"/>
          <w:color w:val="000000"/>
          <w:sz w:val="24"/>
          <w:szCs w:val="24"/>
        </w:rPr>
        <w:t>. maximum, minimum, mean, coefficient of variation and correlation. The Coefficient variation was determined by using formula:</w:t>
      </w:r>
    </w:p>
    <w:p w:rsidR="005211FC" w:rsidRDefault="00C70F3B">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C.V. = Standard Deviation Mean × 100</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the correlation coefficient was determined by using the formula:</w:t>
      </w:r>
    </w:p>
    <w:p w:rsidR="005211FC" w:rsidRDefault="00C70F3B">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r</m:t>
          </m:r>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n</m:t>
              </m:r>
              <m:d>
                <m:dPr>
                  <m:ctrlPr>
                    <w:rPr>
                      <w:rFonts w:ascii="Cambria Math" w:eastAsia="Cambria Math" w:hAnsi="Cambria Math" w:cs="Cambria Math"/>
                      <w:color w:val="000000"/>
                      <w:sz w:val="24"/>
                      <w:szCs w:val="24"/>
                    </w:rPr>
                  </m:ctrlPr>
                </m:dPr>
                <m:e>
                  <m:nary>
                    <m:naryPr>
                      <m:chr m:val="∑"/>
                      <m:ctrlPr>
                        <w:rPr>
                          <w:rFonts w:ascii="Cambria Math" w:eastAsia="Cambria Math" w:hAnsi="Cambria Math" w:cs="Cambria Math"/>
                          <w:color w:val="000000"/>
                          <w:sz w:val="24"/>
                          <w:szCs w:val="24"/>
                        </w:rPr>
                      </m:ctrlPr>
                    </m:naryPr>
                    <m:sub/>
                    <m:sup/>
                    <m:e/>
                  </m:nary>
                  <m:r>
                    <w:rPr>
                      <w:rFonts w:ascii="Cambria Math" w:eastAsia="Cambria Math" w:hAnsi="Cambria Math" w:cs="Cambria Math"/>
                      <w:color w:val="000000"/>
                      <w:sz w:val="24"/>
                      <w:szCs w:val="24"/>
                    </w:rPr>
                    <m:t>xy</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nary>
                    <m:naryPr>
                      <m:chr m:val="∑"/>
                      <m:ctrlPr>
                        <w:rPr>
                          <w:rFonts w:ascii="Cambria Math" w:eastAsia="Cambria Math" w:hAnsi="Cambria Math" w:cs="Cambria Math"/>
                          <w:color w:val="000000"/>
                          <w:sz w:val="24"/>
                          <w:szCs w:val="24"/>
                        </w:rPr>
                      </m:ctrlPr>
                    </m:naryPr>
                    <m:sub/>
                    <m:sup/>
                    <m:e/>
                  </m:nary>
                  <m:r>
                    <w:rPr>
                      <w:rFonts w:ascii="Cambria Math" w:eastAsia="Cambria Math" w:hAnsi="Cambria Math" w:cs="Cambria Math"/>
                      <w:color w:val="000000"/>
                      <w:sz w:val="24"/>
                      <w:szCs w:val="24"/>
                    </w:rPr>
                    <m:t>x</m:t>
                  </m:r>
                </m:e>
              </m:d>
              <m:d>
                <m:dPr>
                  <m:ctrlPr>
                    <w:rPr>
                      <w:rFonts w:ascii="Cambria Math" w:eastAsia="Cambria Math" w:hAnsi="Cambria Math" w:cs="Cambria Math"/>
                      <w:color w:val="000000"/>
                      <w:sz w:val="24"/>
                      <w:szCs w:val="24"/>
                    </w:rPr>
                  </m:ctrlPr>
                </m:dPr>
                <m:e>
                  <m:nary>
                    <m:naryPr>
                      <m:chr m:val="∑"/>
                      <m:ctrlPr>
                        <w:rPr>
                          <w:rFonts w:ascii="Cambria Math" w:eastAsia="Cambria Math" w:hAnsi="Cambria Math" w:cs="Cambria Math"/>
                          <w:color w:val="000000"/>
                          <w:sz w:val="24"/>
                          <w:szCs w:val="24"/>
                        </w:rPr>
                      </m:ctrlPr>
                    </m:naryPr>
                    <m:sub/>
                    <m:sup/>
                    <m:e/>
                  </m:nary>
                  <m:r>
                    <w:rPr>
                      <w:rFonts w:ascii="Cambria Math" w:eastAsia="Cambria Math" w:hAnsi="Cambria Math" w:cs="Cambria Math"/>
                      <w:color w:val="000000"/>
                      <w:sz w:val="24"/>
                      <w:szCs w:val="24"/>
                    </w:rPr>
                    <m:t>y</m:t>
                  </m:r>
                </m:e>
              </m:d>
            </m:num>
            <m:den>
              <m:rad>
                <m:radPr>
                  <m:degHide m:val="1"/>
                  <m:ctrlPr>
                    <w:rPr>
                      <w:rFonts w:ascii="Cambria Math" w:eastAsia="Cambria Math" w:hAnsi="Cambria Math" w:cs="Cambria Math"/>
                      <w:color w:val="000000"/>
                      <w:sz w:val="24"/>
                      <w:szCs w:val="24"/>
                    </w:rPr>
                  </m:ctrlPr>
                </m:radPr>
                <m:deg/>
                <m:e>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n</m:t>
                      </m:r>
                      <m:nary>
                        <m:naryPr>
                          <m:chr m:val="∑"/>
                          <m:ctrlPr>
                            <w:rPr>
                              <w:rFonts w:ascii="Cambria Math" w:eastAsia="Cambria Math" w:hAnsi="Cambria Math" w:cs="Cambria Math"/>
                              <w:color w:val="000000"/>
                              <w:sz w:val="24"/>
                              <w:szCs w:val="24"/>
                            </w:rPr>
                          </m:ctrlPr>
                        </m:naryPr>
                        <m:sub/>
                        <m:sup/>
                        <m:e/>
                      </m:nary>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d>
                            <m:dPr>
                              <m:ctrlPr>
                                <w:rPr>
                                  <w:rFonts w:ascii="Cambria Math" w:eastAsia="Cambria Math" w:hAnsi="Cambria Math" w:cs="Cambria Math"/>
                                  <w:color w:val="000000"/>
                                  <w:sz w:val="24"/>
                                  <w:szCs w:val="24"/>
                                </w:rPr>
                              </m:ctrlPr>
                            </m:dPr>
                            <m:e>
                              <m:nary>
                                <m:naryPr>
                                  <m:chr m:val="∑"/>
                                  <m:ctrlPr>
                                    <w:rPr>
                                      <w:rFonts w:ascii="Cambria Math" w:eastAsia="Cambria Math" w:hAnsi="Cambria Math" w:cs="Cambria Math"/>
                                      <w:color w:val="000000"/>
                                      <w:sz w:val="24"/>
                                      <w:szCs w:val="24"/>
                                    </w:rPr>
                                  </m:ctrlPr>
                                </m:naryPr>
                                <m:sub/>
                                <m:sup/>
                                <m:e/>
                              </m:nary>
                              <m:r>
                                <w:rPr>
                                  <w:rFonts w:ascii="Cambria Math" w:eastAsia="Cambria Math" w:hAnsi="Cambria Math" w:cs="Cambria Math"/>
                                  <w:color w:val="000000"/>
                                  <w:sz w:val="24"/>
                                  <w:szCs w:val="24"/>
                                </w:rPr>
                                <m:t>x</m:t>
                              </m:r>
                            </m:e>
                          </m:d>
                        </m:e>
                        <m:sup>
                          <m:r>
                            <w:rPr>
                              <w:rFonts w:ascii="Cambria Math" w:eastAsia="Cambria Math" w:hAnsi="Cambria Math" w:cs="Cambria Math"/>
                              <w:color w:val="000000"/>
                              <w:sz w:val="24"/>
                              <w:szCs w:val="24"/>
                            </w:rPr>
                            <m:t>2</m:t>
                          </m:r>
                        </m:sup>
                      </m:sSup>
                    </m:e>
                  </m:d>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n</m:t>
                      </m:r>
                      <m:nary>
                        <m:naryPr>
                          <m:chr m:val="∑"/>
                          <m:ctrlPr>
                            <w:rPr>
                              <w:rFonts w:ascii="Cambria Math" w:eastAsia="Cambria Math" w:hAnsi="Cambria Math" w:cs="Cambria Math"/>
                              <w:color w:val="000000"/>
                              <w:sz w:val="24"/>
                              <w:szCs w:val="24"/>
                            </w:rPr>
                          </m:ctrlPr>
                        </m:naryPr>
                        <m:sub/>
                        <m:sup/>
                        <m:e/>
                      </m:nary>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y</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d>
                            <m:dPr>
                              <m:ctrlPr>
                                <w:rPr>
                                  <w:rFonts w:ascii="Cambria Math" w:eastAsia="Cambria Math" w:hAnsi="Cambria Math" w:cs="Cambria Math"/>
                                  <w:color w:val="000000"/>
                                  <w:sz w:val="24"/>
                                  <w:szCs w:val="24"/>
                                </w:rPr>
                              </m:ctrlPr>
                            </m:dPr>
                            <m:e>
                              <m:nary>
                                <m:naryPr>
                                  <m:chr m:val="∑"/>
                                  <m:ctrlPr>
                                    <w:rPr>
                                      <w:rFonts w:ascii="Cambria Math" w:eastAsia="Cambria Math" w:hAnsi="Cambria Math" w:cs="Cambria Math"/>
                                      <w:color w:val="000000"/>
                                      <w:sz w:val="24"/>
                                      <w:szCs w:val="24"/>
                                    </w:rPr>
                                  </m:ctrlPr>
                                </m:naryPr>
                                <m:sub/>
                                <m:sup/>
                                <m:e/>
                              </m:nary>
                              <m:r>
                                <w:rPr>
                                  <w:rFonts w:ascii="Cambria Math" w:eastAsia="Cambria Math" w:hAnsi="Cambria Math" w:cs="Cambria Math"/>
                                  <w:color w:val="000000"/>
                                  <w:sz w:val="24"/>
                                  <w:szCs w:val="24"/>
                                </w:rPr>
                                <m:t>y</m:t>
                              </m:r>
                            </m:e>
                          </m:d>
                        </m:e>
                        <m:sup>
                          <m:r>
                            <w:rPr>
                              <w:rFonts w:ascii="Cambria Math" w:eastAsia="Cambria Math" w:hAnsi="Cambria Math" w:cs="Cambria Math"/>
                              <w:color w:val="000000"/>
                              <w:sz w:val="24"/>
                              <w:szCs w:val="24"/>
                            </w:rPr>
                            <m:t>2</m:t>
                          </m:r>
                        </m:sup>
                      </m:sSup>
                    </m:e>
                  </m:d>
                </m:e>
              </m:rad>
            </m:den>
          </m:f>
        </m:oMath>
      </m:oMathPara>
    </w:p>
    <w:p w:rsidR="005211FC" w:rsidRDefault="00C70F3B">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5211FC" w:rsidRDefault="00C70F3B">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r</w:t>
      </w:r>
      <w:r>
        <w:rPr>
          <w:rFonts w:ascii="Times New Roman" w:eastAsia="Times New Roman" w:hAnsi="Times New Roman" w:cs="Times New Roman"/>
          <w:color w:val="000000"/>
          <w:sz w:val="24"/>
          <w:szCs w:val="24"/>
        </w:rPr>
        <w:t xml:space="preserve"> = Correlation coefficient</w:t>
      </w:r>
    </w:p>
    <w:p w:rsidR="005211FC" w:rsidRDefault="00C70F3B">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 (</w:t>
      </w:r>
      <w:proofErr w:type="spellStart"/>
      <w:r>
        <w:rPr>
          <w:rFonts w:ascii="Times New Roman" w:eastAsia="Times New Roman" w:hAnsi="Times New Roman" w:cs="Times New Roman"/>
          <w:i/>
          <w:iCs/>
          <w:color w:val="000000"/>
          <w:sz w:val="24"/>
          <w:szCs w:val="24"/>
        </w:rPr>
        <w:t>xy</w:t>
      </w:r>
      <w:proofErr w:type="spellEnd"/>
      <w:r>
        <w:rPr>
          <w:rFonts w:ascii="Times New Roman" w:eastAsia="Times New Roman" w:hAnsi="Times New Roman" w:cs="Times New Roman"/>
          <w:color w:val="000000"/>
          <w:sz w:val="24"/>
          <w:szCs w:val="24"/>
        </w:rPr>
        <w:t xml:space="preserve">) = Sum product of </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y</w:t>
      </w:r>
      <w:r>
        <w:rPr>
          <w:rFonts w:ascii="Times New Roman" w:eastAsia="Times New Roman" w:hAnsi="Times New Roman" w:cs="Times New Roman"/>
          <w:color w:val="000000"/>
          <w:sz w:val="24"/>
          <w:szCs w:val="24"/>
        </w:rPr>
        <w:t xml:space="preserve"> variables</w:t>
      </w:r>
    </w:p>
    <w:p w:rsidR="005211FC" w:rsidRDefault="00C70F3B">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 (</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rPr>
        <w:t xml:space="preserve">) = Sum of square of </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rPr>
        <w:t xml:space="preserve"> variable</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 (</w:t>
      </w:r>
      <w:r>
        <w:rPr>
          <w:rFonts w:ascii="Times New Roman" w:eastAsia="Times New Roman" w:hAnsi="Times New Roman" w:cs="Times New Roman"/>
          <w:i/>
          <w:iCs/>
          <w:color w:val="000000"/>
          <w:sz w:val="24"/>
          <w:szCs w:val="24"/>
        </w:rPr>
        <w:t>y</w:t>
      </w:r>
      <w:r>
        <w:rPr>
          <w:rFonts w:ascii="Times New Roman" w:eastAsia="Times New Roman" w:hAnsi="Times New Roman" w:cs="Times New Roman"/>
          <w:color w:val="000000"/>
          <w:sz w:val="24"/>
          <w:szCs w:val="24"/>
        </w:rPr>
        <w:t xml:space="preserve">) = Sum of square of </w:t>
      </w:r>
      <w:r>
        <w:rPr>
          <w:rFonts w:ascii="Times New Roman" w:eastAsia="Times New Roman" w:hAnsi="Times New Roman" w:cs="Times New Roman"/>
          <w:i/>
          <w:iCs/>
          <w:color w:val="000000"/>
          <w:sz w:val="24"/>
          <w:szCs w:val="24"/>
        </w:rPr>
        <w:t>y</w:t>
      </w:r>
      <w:r>
        <w:rPr>
          <w:rFonts w:ascii="Times New Roman" w:eastAsia="Times New Roman" w:hAnsi="Times New Roman" w:cs="Times New Roman"/>
          <w:color w:val="000000"/>
          <w:sz w:val="24"/>
          <w:szCs w:val="24"/>
        </w:rPr>
        <w:t xml:space="preserve"> variable.</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RESULTS AND DISCUSSION</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 Physical Properties</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both Gomati and South Tripura, the sand, silt and clay content of samples ranged from 8-61, 5-63 and 4-47 (Table 3) respectively following no definite trend. The bulk density (BD) ranged from 1.10 to 1.60 mg 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whereas water holding capacity was mostl</w:t>
      </w:r>
      <w:r>
        <w:rPr>
          <w:rFonts w:ascii="Times New Roman" w:eastAsia="Times New Roman" w:hAnsi="Times New Roman" w:cs="Times New Roman"/>
          <w:color w:val="000000"/>
          <w:sz w:val="24"/>
          <w:szCs w:val="24"/>
        </w:rPr>
        <w:t>y at nearly in the optimum range. The ratio of Sand-Silt-clay reflected most sites were sandy loam type. The CV value of BD, WHC and Sand were in acceptable range and reflected the basic parent soil type of the study area (</w:t>
      </w:r>
      <w:proofErr w:type="spellStart"/>
      <w:r>
        <w:rPr>
          <w:rFonts w:ascii="Times New Roman" w:eastAsia="Times New Roman" w:hAnsi="Times New Roman" w:cs="Times New Roman"/>
          <w:color w:val="000000"/>
          <w:sz w:val="24"/>
          <w:szCs w:val="24"/>
        </w:rPr>
        <w:t>Gökbulak</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Özcan</w:t>
      </w:r>
      <w:proofErr w:type="spellEnd"/>
      <w:r>
        <w:rPr>
          <w:rFonts w:ascii="Times New Roman" w:eastAsia="Times New Roman" w:hAnsi="Times New Roman" w:cs="Times New Roman"/>
          <w:color w:val="000000"/>
          <w:sz w:val="24"/>
          <w:szCs w:val="24"/>
        </w:rPr>
        <w:t>, 2008). Topograp</w:t>
      </w:r>
      <w:r>
        <w:rPr>
          <w:rFonts w:ascii="Times New Roman" w:eastAsia="Times New Roman" w:hAnsi="Times New Roman" w:cs="Times New Roman"/>
          <w:color w:val="000000"/>
          <w:sz w:val="24"/>
          <w:szCs w:val="24"/>
        </w:rPr>
        <w:t xml:space="preserve">hical variability affected the formation and range of silt and clay, reflected </w:t>
      </w:r>
      <w:r>
        <w:rPr>
          <w:rFonts w:ascii="Times New Roman" w:eastAsia="Times New Roman" w:hAnsi="Times New Roman" w:cs="Times New Roman"/>
          <w:sz w:val="24"/>
          <w:szCs w:val="24"/>
        </w:rPr>
        <w:t>at a higher</w:t>
      </w:r>
      <w:r>
        <w:rPr>
          <w:rFonts w:ascii="Times New Roman" w:eastAsia="Times New Roman" w:hAnsi="Times New Roman" w:cs="Times New Roman"/>
          <w:color w:val="000000"/>
          <w:sz w:val="24"/>
          <w:szCs w:val="24"/>
        </w:rPr>
        <w:t xml:space="preserve"> range of CV value (Khan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2013). The BD exhibited positive significant correlation (r = 0.662</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with sand; whereas silt and clay are negatively correlated (r </w:t>
      </w:r>
      <w:r>
        <w:rPr>
          <w:rFonts w:ascii="Times New Roman" w:eastAsia="Times New Roman" w:hAnsi="Times New Roman" w:cs="Times New Roman"/>
          <w:color w:val="000000"/>
          <w:sz w:val="24"/>
          <w:szCs w:val="24"/>
        </w:rPr>
        <w:t>= -0.644</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 similar</w:t>
      </w:r>
      <w:r>
        <w:rPr>
          <w:rFonts w:ascii="Times New Roman" w:eastAsia="Times New Roman" w:hAnsi="Times New Roman" w:cs="Times New Roman"/>
          <w:color w:val="000000"/>
          <w:sz w:val="24"/>
          <w:szCs w:val="24"/>
        </w:rPr>
        <w:t xml:space="preserve"> result was experienced by Wang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(2024).</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Table 3:</w:t>
      </w:r>
      <w:r>
        <w:rPr>
          <w:rFonts w:ascii="Times New Roman" w:eastAsia="Times New Roman" w:hAnsi="Times New Roman" w:cs="Times New Roman"/>
          <w:color w:val="000000"/>
          <w:sz w:val="24"/>
          <w:szCs w:val="24"/>
        </w:rPr>
        <w:t xml:space="preserve"> Physical properties of soils of Gomati and South Tripura</w:t>
      </w:r>
    </w:p>
    <w:tbl>
      <w:tblPr>
        <w:tblStyle w:val="a6"/>
        <w:tblW w:w="9200" w:type="dxa"/>
        <w:tblInd w:w="-115" w:type="dxa"/>
        <w:tblLayout w:type="fixed"/>
        <w:tblLook w:val="0400" w:firstRow="0" w:lastRow="0" w:firstColumn="0" w:lastColumn="0" w:noHBand="0" w:noVBand="1"/>
      </w:tblPr>
      <w:tblGrid>
        <w:gridCol w:w="584"/>
        <w:gridCol w:w="1779"/>
        <w:gridCol w:w="1170"/>
        <w:gridCol w:w="1704"/>
        <w:gridCol w:w="1434"/>
        <w:gridCol w:w="894"/>
        <w:gridCol w:w="810"/>
        <w:gridCol w:w="825"/>
      </w:tblGrid>
      <w:tr w:rsidR="005211FC">
        <w:trPr>
          <w:cantSplit/>
          <w:tblHeader/>
        </w:trPr>
        <w:tc>
          <w:tcPr>
            <w:tcW w:w="584" w:type="dxa"/>
            <w:tcBorders>
              <w:top w:val="single" w:sz="4" w:space="0" w:color="000000"/>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 No.</w:t>
            </w:r>
          </w:p>
        </w:tc>
        <w:tc>
          <w:tcPr>
            <w:tcW w:w="1779"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Beat Name</w:t>
            </w:r>
          </w:p>
        </w:tc>
        <w:tc>
          <w:tcPr>
            <w:tcW w:w="1170" w:type="dxa"/>
            <w:tcBorders>
              <w:top w:val="single" w:sz="4" w:space="0" w:color="000000"/>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BD</w:t>
            </w:r>
          </w:p>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(mg m</w:t>
            </w:r>
            <w:r>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b/>
                <w:bCs/>
                <w:color w:val="000000"/>
                <w:sz w:val="24"/>
                <w:szCs w:val="24"/>
              </w:rPr>
              <w:t>)</w:t>
            </w:r>
          </w:p>
        </w:tc>
        <w:tc>
          <w:tcPr>
            <w:tcW w:w="1704"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Water Holding Capacity (%)</w:t>
            </w:r>
          </w:p>
        </w:tc>
        <w:tc>
          <w:tcPr>
            <w:tcW w:w="1434"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Soil Penetration (N value)</w:t>
            </w:r>
          </w:p>
        </w:tc>
        <w:tc>
          <w:tcPr>
            <w:tcW w:w="894"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Sand (%)</w:t>
            </w:r>
          </w:p>
        </w:tc>
        <w:tc>
          <w:tcPr>
            <w:tcW w:w="810"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Silt (%)</w:t>
            </w:r>
          </w:p>
        </w:tc>
        <w:tc>
          <w:tcPr>
            <w:tcW w:w="825"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Clay (%)</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Bampur</w:t>
            </w:r>
            <w:proofErr w:type="spellEnd"/>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37.00</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2</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Dhanlekha</w:t>
            </w:r>
            <w:proofErr w:type="spellEnd"/>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47.54</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3</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Bairagi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Dokan</w:t>
            </w:r>
            <w:proofErr w:type="spellEnd"/>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76.00</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4</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Suknachari</w:t>
            </w:r>
            <w:proofErr w:type="spellEnd"/>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45.00</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5</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Paratia</w:t>
            </w:r>
            <w:proofErr w:type="spellEnd"/>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65.00</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6</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Udaipur</w:t>
            </w:r>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33.00</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7</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Ghorakappa</w:t>
            </w:r>
            <w:proofErr w:type="spellEnd"/>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76.00</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8</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Manirambari</w:t>
            </w:r>
            <w:proofErr w:type="spellEnd"/>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65.21</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9</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Bankul</w:t>
            </w:r>
            <w:proofErr w:type="spellEnd"/>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76.45</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10</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Manu Bazar</w:t>
            </w:r>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67.45</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11</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Anandapur</w:t>
            </w:r>
            <w:proofErr w:type="spellEnd"/>
            <w:r>
              <w:rPr>
                <w:rFonts w:ascii="Times New Roman" w:eastAsia="Times New Roman" w:hAnsi="Times New Roman" w:cs="Times New Roman"/>
                <w:color w:val="000000"/>
                <w:sz w:val="24"/>
                <w:szCs w:val="24"/>
              </w:rPr>
              <w:t xml:space="preserve"> WL</w:t>
            </w:r>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71.00</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12</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Nidaya</w:t>
            </w:r>
            <w:proofErr w:type="spellEnd"/>
            <w:r>
              <w:rPr>
                <w:rFonts w:ascii="Times New Roman" w:eastAsia="Times New Roman" w:hAnsi="Times New Roman" w:cs="Times New Roman"/>
                <w:color w:val="000000"/>
                <w:sz w:val="24"/>
                <w:szCs w:val="24"/>
              </w:rPr>
              <w:t xml:space="preserve"> WL</w:t>
            </w:r>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73.76</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13</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Rupaichari</w:t>
            </w:r>
            <w:proofErr w:type="spellEnd"/>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43.34</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14</w:t>
            </w:r>
          </w:p>
        </w:tc>
        <w:tc>
          <w:tcPr>
            <w:tcW w:w="177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Maicherra</w:t>
            </w:r>
            <w:proofErr w:type="spellEnd"/>
            <w:r>
              <w:rPr>
                <w:rFonts w:ascii="Times New Roman" w:eastAsia="Times New Roman" w:hAnsi="Times New Roman" w:cs="Times New Roman"/>
                <w:color w:val="000000"/>
                <w:sz w:val="24"/>
                <w:szCs w:val="24"/>
              </w:rPr>
              <w:t xml:space="preserve"> WL</w:t>
            </w:r>
          </w:p>
        </w:tc>
        <w:tc>
          <w:tcPr>
            <w:tcW w:w="1170"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54.23</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5211FC">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779"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w:t>
            </w:r>
          </w:p>
        </w:tc>
        <w:tc>
          <w:tcPr>
            <w:tcW w:w="117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0.16</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14.99</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9.54</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12.61</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15.54</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14.21</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5211FC">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779"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17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1.26</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56.40</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21.24</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44.17</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34.50</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18.75</w:t>
            </w:r>
          </w:p>
        </w:tc>
      </w:tr>
      <w:tr w:rsidR="005211FC">
        <w:trPr>
          <w:cantSplit/>
        </w:trPr>
        <w:tc>
          <w:tcPr>
            <w:tcW w:w="584" w:type="dxa"/>
            <w:tcBorders>
              <w:top w:val="nil"/>
              <w:left w:val="single" w:sz="4" w:space="0" w:color="000000"/>
              <w:bottom w:val="single" w:sz="4" w:space="0" w:color="000000"/>
              <w:right w:val="single" w:sz="4" w:space="0" w:color="000000"/>
            </w:tcBorders>
            <w:vAlign w:val="center"/>
          </w:tcPr>
          <w:p w:rsidR="005211FC" w:rsidRDefault="005211FC">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779"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CV</w:t>
            </w:r>
          </w:p>
        </w:tc>
        <w:tc>
          <w:tcPr>
            <w:tcW w:w="117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12.79</w:t>
            </w:r>
          </w:p>
        </w:tc>
        <w:tc>
          <w:tcPr>
            <w:tcW w:w="170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26.57</w:t>
            </w:r>
          </w:p>
        </w:tc>
        <w:tc>
          <w:tcPr>
            <w:tcW w:w="143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44.90</w:t>
            </w:r>
          </w:p>
        </w:tc>
        <w:tc>
          <w:tcPr>
            <w:tcW w:w="89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28.55</w:t>
            </w:r>
          </w:p>
        </w:tc>
        <w:tc>
          <w:tcPr>
            <w:tcW w:w="810"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45.03</w:t>
            </w:r>
          </w:p>
        </w:tc>
        <w:tc>
          <w:tcPr>
            <w:tcW w:w="82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75.80</w:t>
            </w:r>
          </w:p>
        </w:tc>
      </w:tr>
    </w:tbl>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 Chemical Properties</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pH range of sampling area ranges from 4.14 to 5.70 with a mean value of 4.59 (Table 4). The result indicated extremely acidic pH </w:t>
      </w:r>
      <w:r>
        <w:rPr>
          <w:rFonts w:ascii="Times New Roman" w:eastAsia="Times New Roman" w:hAnsi="Times New Roman" w:cs="Times New Roman"/>
          <w:sz w:val="24"/>
          <w:szCs w:val="24"/>
        </w:rPr>
        <w:t>with a safe</w:t>
      </w:r>
      <w:r>
        <w:rPr>
          <w:rFonts w:ascii="Times New Roman" w:eastAsia="Times New Roman" w:hAnsi="Times New Roman" w:cs="Times New Roman"/>
          <w:color w:val="000000"/>
          <w:sz w:val="24"/>
          <w:szCs w:val="24"/>
        </w:rPr>
        <w:t xml:space="preserve"> limit of electrical conductivity </w:t>
      </w:r>
      <w:r>
        <w:rPr>
          <w:rFonts w:ascii="Times New Roman" w:eastAsia="Times New Roman" w:hAnsi="Times New Roman" w:cs="Times New Roman"/>
          <w:sz w:val="24"/>
          <w:szCs w:val="24"/>
        </w:rPr>
        <w:t>in the entire</w:t>
      </w:r>
      <w:r>
        <w:rPr>
          <w:rFonts w:ascii="Times New Roman" w:eastAsia="Times New Roman" w:hAnsi="Times New Roman" w:cs="Times New Roman"/>
          <w:color w:val="000000"/>
          <w:sz w:val="24"/>
          <w:szCs w:val="24"/>
        </w:rPr>
        <w:t xml:space="preserve"> study area. Intensive rainfall followed by erosion and leaching </w:t>
      </w:r>
      <w:r>
        <w:rPr>
          <w:rFonts w:ascii="Times New Roman" w:eastAsia="Times New Roman" w:hAnsi="Times New Roman" w:cs="Times New Roman"/>
          <w:color w:val="000000"/>
          <w:sz w:val="24"/>
          <w:szCs w:val="24"/>
        </w:rPr>
        <w:t>and or percolation were the reasons for acidity and low EC (</w:t>
      </w:r>
      <w:proofErr w:type="spellStart"/>
      <w:r>
        <w:rPr>
          <w:rFonts w:ascii="Times New Roman" w:eastAsia="Times New Roman" w:hAnsi="Times New Roman" w:cs="Times New Roman"/>
          <w:color w:val="000000"/>
          <w:sz w:val="24"/>
          <w:szCs w:val="24"/>
        </w:rPr>
        <w:t>Makineci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2015). EC is negatively correlated with available N (r = -0.690</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due </w:t>
      </w:r>
      <w:r>
        <w:rPr>
          <w:rFonts w:ascii="Times New Roman" w:eastAsia="Times New Roman" w:hAnsi="Times New Roman" w:cs="Times New Roman"/>
          <w:sz w:val="24"/>
          <w:szCs w:val="24"/>
        </w:rPr>
        <w:t>to the effect</w:t>
      </w:r>
      <w:r>
        <w:rPr>
          <w:rFonts w:ascii="Times New Roman" w:eastAsia="Times New Roman" w:hAnsi="Times New Roman" w:cs="Times New Roman"/>
          <w:color w:val="000000"/>
          <w:sz w:val="24"/>
          <w:szCs w:val="24"/>
        </w:rPr>
        <w:t xml:space="preserve"> of low pH on nutrient </w:t>
      </w:r>
      <w:r>
        <w:rPr>
          <w:rFonts w:ascii="Times New Roman" w:eastAsia="Times New Roman" w:hAnsi="Times New Roman" w:cs="Times New Roman"/>
          <w:sz w:val="24"/>
          <w:szCs w:val="24"/>
        </w:rPr>
        <w:t>dynamics</w:t>
      </w:r>
      <w:r>
        <w:rPr>
          <w:rFonts w:ascii="Times New Roman" w:eastAsia="Times New Roman" w:hAnsi="Times New Roman" w:cs="Times New Roman"/>
          <w:color w:val="000000"/>
          <w:sz w:val="24"/>
          <w:szCs w:val="24"/>
        </w:rPr>
        <w:t xml:space="preserve"> where high acidity limits the availability of NH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even when EC is elevated (Kim &amp; Park, 2024). The level of organic carbon from 0.45 to 2.65 existed in the study area which covered exhaustive farming to virgin or forest or plantation area (Kaushik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2018). Tripura is second highest in rubber produc</w:t>
      </w:r>
      <w:r>
        <w:rPr>
          <w:rFonts w:ascii="Times New Roman" w:eastAsia="Times New Roman" w:hAnsi="Times New Roman" w:cs="Times New Roman"/>
          <w:color w:val="000000"/>
          <w:sz w:val="24"/>
          <w:szCs w:val="24"/>
        </w:rPr>
        <w:t xml:space="preserve">tion in India and the age </w:t>
      </w:r>
      <w:r>
        <w:rPr>
          <w:rFonts w:ascii="Times New Roman" w:eastAsia="Times New Roman" w:hAnsi="Times New Roman" w:cs="Times New Roman"/>
          <w:sz w:val="24"/>
          <w:szCs w:val="24"/>
        </w:rPr>
        <w:t>of the rubber</w:t>
      </w:r>
      <w:r>
        <w:rPr>
          <w:rFonts w:ascii="Times New Roman" w:eastAsia="Times New Roman" w:hAnsi="Times New Roman" w:cs="Times New Roman"/>
          <w:color w:val="000000"/>
          <w:sz w:val="24"/>
          <w:szCs w:val="24"/>
        </w:rPr>
        <w:t xml:space="preserve"> field might be responsible for high range of SOC at </w:t>
      </w:r>
      <w:proofErr w:type="spellStart"/>
      <w:r>
        <w:rPr>
          <w:rFonts w:ascii="Times New Roman" w:eastAsia="Times New Roman" w:hAnsi="Times New Roman" w:cs="Times New Roman"/>
          <w:color w:val="000000"/>
          <w:sz w:val="24"/>
          <w:szCs w:val="24"/>
        </w:rPr>
        <w:t>Manirambari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Dhanlekha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Maicherra</w:t>
      </w:r>
      <w:proofErr w:type="spellEnd"/>
      <w:r>
        <w:rPr>
          <w:rFonts w:ascii="Times New Roman" w:eastAsia="Times New Roman" w:hAnsi="Times New Roman" w:cs="Times New Roman"/>
          <w:color w:val="000000"/>
          <w:sz w:val="24"/>
          <w:szCs w:val="24"/>
        </w:rPr>
        <w:t xml:space="preserve"> WL areas. SOC was lower in young </w:t>
      </w:r>
      <w:r>
        <w:rPr>
          <w:rFonts w:ascii="Times New Roman" w:eastAsia="Times New Roman" w:hAnsi="Times New Roman" w:cs="Times New Roman"/>
          <w:sz w:val="24"/>
          <w:szCs w:val="24"/>
        </w:rPr>
        <w:t>plantations</w:t>
      </w:r>
      <w:r>
        <w:rPr>
          <w:rFonts w:ascii="Times New Roman" w:eastAsia="Times New Roman" w:hAnsi="Times New Roman" w:cs="Times New Roman"/>
          <w:color w:val="000000"/>
          <w:sz w:val="24"/>
          <w:szCs w:val="24"/>
        </w:rPr>
        <w:t xml:space="preserve"> but gradually increased with rubber plantation age as equivalent with natural forest </w:t>
      </w:r>
      <w:r>
        <w:rPr>
          <w:rFonts w:ascii="Times New Roman" w:eastAsia="Times New Roman" w:hAnsi="Times New Roman" w:cs="Times New Roman"/>
          <w:color w:val="000000"/>
          <w:sz w:val="24"/>
          <w:szCs w:val="24"/>
        </w:rPr>
        <w:t xml:space="preserve">(Nguyen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2020).</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3.3 Nutrient Status</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soil in the research region unveiled the range of available nitrogen content, spanning from 37.63 to 225.79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while mean value is 137.98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(Table 4). Among the sites, </w:t>
      </w:r>
      <w:r>
        <w:rPr>
          <w:rFonts w:ascii="Times New Roman" w:eastAsia="Times New Roman" w:hAnsi="Times New Roman" w:cs="Times New Roman"/>
          <w:sz w:val="24"/>
          <w:szCs w:val="24"/>
        </w:rPr>
        <w:t>the highest</w:t>
      </w:r>
      <w:r>
        <w:rPr>
          <w:rFonts w:ascii="Times New Roman" w:eastAsia="Times New Roman" w:hAnsi="Times New Roman" w:cs="Times New Roman"/>
          <w:color w:val="000000"/>
          <w:sz w:val="24"/>
          <w:szCs w:val="24"/>
        </w:rPr>
        <w:t xml:space="preserve"> level (225.79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was found at no. S</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Manirambari</w:t>
      </w:r>
      <w:proofErr w:type="spellEnd"/>
      <w:r>
        <w:rPr>
          <w:rFonts w:ascii="Times New Roman" w:eastAsia="Times New Roman" w:hAnsi="Times New Roman" w:cs="Times New Roman"/>
          <w:color w:val="000000"/>
          <w:sz w:val="24"/>
          <w:szCs w:val="24"/>
        </w:rPr>
        <w:t xml:space="preserve"> which also </w:t>
      </w:r>
      <w:r>
        <w:rPr>
          <w:rFonts w:ascii="Times New Roman" w:eastAsia="Times New Roman" w:hAnsi="Times New Roman" w:cs="Times New Roman"/>
          <w:sz w:val="24"/>
          <w:szCs w:val="24"/>
        </w:rPr>
        <w:t>reflected the highest</w:t>
      </w:r>
      <w:r>
        <w:rPr>
          <w:rFonts w:ascii="Times New Roman" w:eastAsia="Times New Roman" w:hAnsi="Times New Roman" w:cs="Times New Roman"/>
          <w:color w:val="000000"/>
          <w:sz w:val="24"/>
          <w:szCs w:val="24"/>
        </w:rPr>
        <w:t xml:space="preserve"> range of 2.65% SOC. Dense rubber cultivation along with synthetic fertilisation might be the reason for this result as observed by </w:t>
      </w:r>
      <w:proofErr w:type="spellStart"/>
      <w:r>
        <w:rPr>
          <w:rFonts w:ascii="Times New Roman" w:eastAsia="Times New Roman" w:hAnsi="Times New Roman" w:cs="Times New Roman"/>
          <w:color w:val="000000"/>
          <w:sz w:val="24"/>
          <w:szCs w:val="24"/>
        </w:rPr>
        <w:t>Jin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(2024). The universal truth of positive correlation between SOC and available N was re-established in such acidic soil representing the responses of </w:t>
      </w:r>
      <w:proofErr w:type="spellStart"/>
      <w:r>
        <w:rPr>
          <w:rFonts w:ascii="Times New Roman" w:eastAsia="Times New Roman" w:hAnsi="Times New Roman" w:cs="Times New Roman"/>
          <w:color w:val="000000"/>
          <w:sz w:val="24"/>
          <w:szCs w:val="24"/>
        </w:rPr>
        <w:t>Bharteey</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(2023). The wide variations of available P2O5 (7.70 to 43.63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with mean value of 2</w:t>
      </w:r>
      <w:r>
        <w:rPr>
          <w:rFonts w:ascii="Times New Roman" w:eastAsia="Times New Roman" w:hAnsi="Times New Roman" w:cs="Times New Roman"/>
          <w:color w:val="000000"/>
          <w:sz w:val="24"/>
          <w:szCs w:val="24"/>
        </w:rPr>
        <w:t xml:space="preserve">2.31, </w:t>
      </w:r>
      <w:r>
        <w:rPr>
          <w:rFonts w:ascii="Times New Roman" w:eastAsia="Times New Roman" w:hAnsi="Times New Roman" w:cs="Times New Roman"/>
          <w:sz w:val="24"/>
          <w:szCs w:val="24"/>
        </w:rPr>
        <w:t>resulted in higher</w:t>
      </w:r>
      <w:r>
        <w:rPr>
          <w:rFonts w:ascii="Times New Roman" w:eastAsia="Times New Roman" w:hAnsi="Times New Roman" w:cs="Times New Roman"/>
          <w:color w:val="000000"/>
          <w:sz w:val="24"/>
          <w:szCs w:val="24"/>
        </w:rPr>
        <w:t xml:space="preserve"> CV (44.34) and positive correlation with </w:t>
      </w:r>
      <w:proofErr w:type="spellStart"/>
      <w:r>
        <w:rPr>
          <w:rFonts w:ascii="Times New Roman" w:eastAsia="Times New Roman" w:hAnsi="Times New Roman" w:cs="Times New Roman"/>
          <w:color w:val="000000"/>
          <w:sz w:val="24"/>
          <w:szCs w:val="24"/>
        </w:rPr>
        <w:t>pH.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Suknachari</w:t>
      </w:r>
      <w:proofErr w:type="spellEnd"/>
      <w:r>
        <w:rPr>
          <w:rFonts w:ascii="Times New Roman" w:eastAsia="Times New Roman" w:hAnsi="Times New Roman" w:cs="Times New Roman"/>
          <w:color w:val="000000"/>
          <w:sz w:val="24"/>
          <w:szCs w:val="24"/>
        </w:rPr>
        <w:t xml:space="preserve"> (7.70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reflected lowest P2O5 with a pH level of 4.30. </w:t>
      </w:r>
      <w:r>
        <w:rPr>
          <w:rFonts w:ascii="Times New Roman" w:eastAsia="Times New Roman" w:hAnsi="Times New Roman" w:cs="Times New Roman"/>
          <w:sz w:val="24"/>
          <w:szCs w:val="24"/>
        </w:rPr>
        <w:t>This established</w:t>
      </w:r>
      <w:r>
        <w:rPr>
          <w:rFonts w:ascii="Times New Roman" w:eastAsia="Times New Roman" w:hAnsi="Times New Roman" w:cs="Times New Roman"/>
          <w:color w:val="000000"/>
          <w:sz w:val="24"/>
          <w:szCs w:val="24"/>
        </w:rPr>
        <w:t xml:space="preserve"> the truth of negative relation between acidity and available P2O5 (</w:t>
      </w:r>
      <w:proofErr w:type="spellStart"/>
      <w:r>
        <w:rPr>
          <w:rFonts w:ascii="Times New Roman" w:eastAsia="Times New Roman" w:hAnsi="Times New Roman" w:cs="Times New Roman"/>
          <w:color w:val="000000"/>
          <w:sz w:val="24"/>
          <w:szCs w:val="24"/>
        </w:rPr>
        <w:t>Bharteey</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2017). The s</w:t>
      </w:r>
      <w:r>
        <w:rPr>
          <w:rFonts w:ascii="Times New Roman" w:eastAsia="Times New Roman" w:hAnsi="Times New Roman" w:cs="Times New Roman"/>
          <w:color w:val="000000"/>
          <w:sz w:val="24"/>
          <w:szCs w:val="24"/>
        </w:rPr>
        <w:t>tatus of available potassium ranged from 60.58-451.89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having a mean value of 173.93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No. S</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Kakulia</w:t>
      </w:r>
      <w:proofErr w:type="spellEnd"/>
      <w:r>
        <w:rPr>
          <w:rFonts w:ascii="Times New Roman" w:eastAsia="Times New Roman" w:hAnsi="Times New Roman" w:cs="Times New Roman"/>
          <w:color w:val="000000"/>
          <w:sz w:val="24"/>
          <w:szCs w:val="24"/>
        </w:rPr>
        <w:t xml:space="preserve"> has the maximum potassium content, while No. S</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Paratia</w:t>
      </w:r>
      <w:proofErr w:type="spellEnd"/>
      <w:r>
        <w:rPr>
          <w:rFonts w:ascii="Times New Roman" w:eastAsia="Times New Roman" w:hAnsi="Times New Roman" w:cs="Times New Roman"/>
          <w:color w:val="000000"/>
          <w:sz w:val="24"/>
          <w:szCs w:val="24"/>
        </w:rPr>
        <w:t xml:space="preserve"> has the lowest potassium content. 57% of the soil samples had medium, 28% low and 1</w:t>
      </w:r>
      <w:r>
        <w:rPr>
          <w:rFonts w:ascii="Times New Roman" w:eastAsia="Times New Roman" w:hAnsi="Times New Roman" w:cs="Times New Roman"/>
          <w:color w:val="000000"/>
          <w:sz w:val="24"/>
          <w:szCs w:val="24"/>
        </w:rPr>
        <w:t xml:space="preserve">4% had high potassium content. </w:t>
      </w:r>
      <w:r>
        <w:rPr>
          <w:rFonts w:ascii="Times New Roman" w:eastAsia="Times New Roman" w:hAnsi="Times New Roman" w:cs="Times New Roman"/>
          <w:sz w:val="24"/>
          <w:szCs w:val="24"/>
        </w:rPr>
        <w:t>Such a trend</w:t>
      </w:r>
      <w:r>
        <w:rPr>
          <w:rFonts w:ascii="Times New Roman" w:eastAsia="Times New Roman" w:hAnsi="Times New Roman" w:cs="Times New Roman"/>
          <w:color w:val="000000"/>
          <w:sz w:val="24"/>
          <w:szCs w:val="24"/>
        </w:rPr>
        <w:t xml:space="preserve"> in hilly high rainfall subtropical areas had been controlled by SOC and potassium buffering capacity </w:t>
      </w:r>
      <w:r>
        <w:rPr>
          <w:rFonts w:ascii="Times New Roman" w:eastAsia="Times New Roman" w:hAnsi="Times New Roman" w:cs="Times New Roman"/>
          <w:sz w:val="24"/>
          <w:szCs w:val="24"/>
        </w:rPr>
        <w:t>took the lead</w:t>
      </w:r>
      <w:r>
        <w:rPr>
          <w:rFonts w:ascii="Times New Roman" w:eastAsia="Times New Roman" w:hAnsi="Times New Roman" w:cs="Times New Roman"/>
          <w:color w:val="000000"/>
          <w:sz w:val="24"/>
          <w:szCs w:val="24"/>
        </w:rPr>
        <w:t xml:space="preserve"> role on availability of potash (Gautam </w:t>
      </w:r>
      <w:r>
        <w:rPr>
          <w:rFonts w:ascii="Times New Roman" w:eastAsia="Times New Roman" w:hAnsi="Times New Roman" w:cs="Times New Roman"/>
          <w:i/>
          <w:iCs/>
          <w:color w:val="000000"/>
          <w:sz w:val="24"/>
          <w:szCs w:val="24"/>
        </w:rPr>
        <w:t xml:space="preserve">et al., </w:t>
      </w:r>
      <w:r>
        <w:rPr>
          <w:rFonts w:ascii="Times New Roman" w:eastAsia="Times New Roman" w:hAnsi="Times New Roman" w:cs="Times New Roman"/>
          <w:color w:val="000000"/>
          <w:sz w:val="24"/>
          <w:szCs w:val="24"/>
        </w:rPr>
        <w:t xml:space="preserve">2023; </w:t>
      </w:r>
      <w:proofErr w:type="spellStart"/>
      <w:r>
        <w:rPr>
          <w:rFonts w:ascii="Times New Roman" w:eastAsia="Times New Roman" w:hAnsi="Times New Roman" w:cs="Times New Roman"/>
          <w:color w:val="000000"/>
          <w:sz w:val="24"/>
          <w:szCs w:val="24"/>
        </w:rPr>
        <w:t>Grando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2025). The range of available </w:t>
      </w:r>
      <w:proofErr w:type="spellStart"/>
      <w:r>
        <w:rPr>
          <w:rFonts w:ascii="Times New Roman" w:eastAsia="Times New Roman" w:hAnsi="Times New Roman" w:cs="Times New Roman"/>
          <w:color w:val="000000"/>
          <w:sz w:val="24"/>
          <w:szCs w:val="24"/>
        </w:rPr>
        <w:t>Ca+Mg</w:t>
      </w:r>
      <w:proofErr w:type="spellEnd"/>
      <w:r>
        <w:rPr>
          <w:rFonts w:ascii="Times New Roman" w:eastAsia="Times New Roman" w:hAnsi="Times New Roman" w:cs="Times New Roman"/>
          <w:color w:val="000000"/>
          <w:sz w:val="24"/>
          <w:szCs w:val="24"/>
        </w:rPr>
        <w:t xml:space="preserve"> was 157.01 to 753.67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having a mean value of 441.47. This range existed </w:t>
      </w:r>
      <w:r>
        <w:rPr>
          <w:rFonts w:ascii="Times New Roman" w:eastAsia="Times New Roman" w:hAnsi="Times New Roman" w:cs="Times New Roman"/>
          <w:sz w:val="24"/>
          <w:szCs w:val="24"/>
        </w:rPr>
        <w:t>in the lower</w:t>
      </w:r>
      <w:r>
        <w:rPr>
          <w:rFonts w:ascii="Times New Roman" w:eastAsia="Times New Roman" w:hAnsi="Times New Roman" w:cs="Times New Roman"/>
          <w:color w:val="000000"/>
          <w:sz w:val="24"/>
          <w:szCs w:val="24"/>
        </w:rPr>
        <w:t xml:space="preserve"> range of </w:t>
      </w:r>
      <w:proofErr w:type="spellStart"/>
      <w:r>
        <w:rPr>
          <w:rFonts w:ascii="Times New Roman" w:eastAsia="Times New Roman" w:hAnsi="Times New Roman" w:cs="Times New Roman"/>
          <w:color w:val="000000"/>
          <w:sz w:val="24"/>
          <w:szCs w:val="24"/>
        </w:rPr>
        <w:t>Ca+Mg</w:t>
      </w:r>
      <w:proofErr w:type="spellEnd"/>
      <w:r>
        <w:rPr>
          <w:rFonts w:ascii="Times New Roman" w:eastAsia="Times New Roman" w:hAnsi="Times New Roman" w:cs="Times New Roman"/>
          <w:color w:val="000000"/>
          <w:sz w:val="24"/>
          <w:szCs w:val="24"/>
        </w:rPr>
        <w:t xml:space="preserve"> as per the limit proposed by Tisdale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(1995). Subtropical climate with high rainfall might </w:t>
      </w:r>
      <w:r>
        <w:rPr>
          <w:rFonts w:ascii="Times New Roman" w:eastAsia="Times New Roman" w:hAnsi="Times New Roman" w:cs="Times New Roman"/>
          <w:sz w:val="24"/>
          <w:szCs w:val="24"/>
        </w:rPr>
        <w:t>be the reason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for low</w:t>
      </w:r>
      <w:r>
        <w:rPr>
          <w:rFonts w:ascii="Times New Roman" w:eastAsia="Times New Roman" w:hAnsi="Times New Roman" w:cs="Times New Roman"/>
          <w:color w:val="000000"/>
          <w:sz w:val="24"/>
          <w:szCs w:val="24"/>
        </w:rPr>
        <w:t xml:space="preserve"> base saturation as also observed by </w:t>
      </w:r>
      <w:proofErr w:type="spellStart"/>
      <w:r>
        <w:rPr>
          <w:rFonts w:ascii="Times New Roman" w:eastAsia="Times New Roman" w:hAnsi="Times New Roman" w:cs="Times New Roman"/>
          <w:color w:val="000000"/>
          <w:sz w:val="24"/>
          <w:szCs w:val="24"/>
        </w:rPr>
        <w:t>Grando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(2025). </w:t>
      </w:r>
      <w:proofErr w:type="gramStart"/>
      <w:r>
        <w:rPr>
          <w:rFonts w:ascii="Times New Roman" w:eastAsia="Times New Roman" w:hAnsi="Times New Roman" w:cs="Times New Roman"/>
          <w:color w:val="000000"/>
          <w:sz w:val="24"/>
          <w:szCs w:val="24"/>
        </w:rPr>
        <w:t>Also</w:t>
      </w:r>
      <w:proofErr w:type="gramEnd"/>
      <w:r>
        <w:rPr>
          <w:rFonts w:ascii="Times New Roman" w:eastAsia="Times New Roman" w:hAnsi="Times New Roman" w:cs="Times New Roman"/>
          <w:color w:val="000000"/>
          <w:sz w:val="24"/>
          <w:szCs w:val="24"/>
        </w:rPr>
        <w:t xml:space="preserve"> the range of available S (0.07 to 18.92 kg 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also</w:t>
      </w:r>
      <w:r>
        <w:rPr>
          <w:rFonts w:ascii="Times New Roman" w:eastAsia="Times New Roman" w:hAnsi="Times New Roman" w:cs="Times New Roman"/>
          <w:color w:val="000000"/>
          <w:sz w:val="24"/>
          <w:szCs w:val="24"/>
        </w:rPr>
        <w:t xml:space="preserve"> existed at lower range might be due to parent soil characteristics along with high rainfall. Paul and Mukhopadhyay (2015) proved th</w:t>
      </w:r>
      <w:r>
        <w:rPr>
          <w:rFonts w:ascii="Times New Roman" w:eastAsia="Times New Roman" w:hAnsi="Times New Roman" w:cs="Times New Roman"/>
          <w:color w:val="000000"/>
          <w:sz w:val="24"/>
          <w:szCs w:val="24"/>
        </w:rPr>
        <w:t xml:space="preserve">at organic S is the most predominant fraction of S and occurs </w:t>
      </w:r>
      <w:r>
        <w:rPr>
          <w:rFonts w:ascii="Times New Roman" w:eastAsia="Times New Roman" w:hAnsi="Times New Roman" w:cs="Times New Roman"/>
          <w:sz w:val="24"/>
          <w:szCs w:val="24"/>
        </w:rPr>
        <w:t>as a major</w:t>
      </w:r>
      <w:r>
        <w:rPr>
          <w:rFonts w:ascii="Times New Roman" w:eastAsia="Times New Roman" w:hAnsi="Times New Roman" w:cs="Times New Roman"/>
          <w:color w:val="000000"/>
          <w:sz w:val="24"/>
          <w:szCs w:val="24"/>
        </w:rPr>
        <w:t xml:space="preserve"> native S reserve. CEC ranges from 12.29 to 20.84 </w:t>
      </w:r>
      <w:proofErr w:type="spellStart"/>
      <w:r>
        <w:rPr>
          <w:rFonts w:ascii="Times New Roman" w:eastAsia="Times New Roman" w:hAnsi="Times New Roman" w:cs="Times New Roman"/>
          <w:color w:val="000000"/>
          <w:sz w:val="24"/>
          <w:szCs w:val="24"/>
        </w:rPr>
        <w:t>cmol</w:t>
      </w:r>
      <w:proofErr w:type="spellEnd"/>
      <w:r>
        <w:rPr>
          <w:rFonts w:ascii="Times New Roman" w:eastAsia="Times New Roman" w:hAnsi="Times New Roman" w:cs="Times New Roman"/>
          <w:color w:val="000000"/>
          <w:sz w:val="24"/>
          <w:szCs w:val="24"/>
        </w:rPr>
        <w:t>(p+) kg</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where the mean value is 15.66 </w:t>
      </w:r>
      <w:proofErr w:type="spellStart"/>
      <w:r>
        <w:rPr>
          <w:rFonts w:ascii="Times New Roman" w:eastAsia="Times New Roman" w:hAnsi="Times New Roman" w:cs="Times New Roman"/>
          <w:color w:val="000000"/>
          <w:sz w:val="24"/>
          <w:szCs w:val="24"/>
        </w:rPr>
        <w:t>cmol</w:t>
      </w:r>
      <w:proofErr w:type="spellEnd"/>
      <w:r>
        <w:rPr>
          <w:rFonts w:ascii="Times New Roman" w:eastAsia="Times New Roman" w:hAnsi="Times New Roman" w:cs="Times New Roman"/>
          <w:color w:val="000000"/>
          <w:sz w:val="24"/>
          <w:szCs w:val="24"/>
        </w:rPr>
        <w:t>(p+) kg</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Only </w:t>
      </w:r>
      <w:proofErr w:type="spellStart"/>
      <w:r>
        <w:rPr>
          <w:rFonts w:ascii="Times New Roman" w:eastAsia="Times New Roman" w:hAnsi="Times New Roman" w:cs="Times New Roman"/>
          <w:color w:val="000000"/>
          <w:sz w:val="24"/>
          <w:szCs w:val="24"/>
        </w:rPr>
        <w:t>Maicherra</w:t>
      </w:r>
      <w:proofErr w:type="spellEnd"/>
      <w:r>
        <w:rPr>
          <w:rFonts w:ascii="Times New Roman" w:eastAsia="Times New Roman" w:hAnsi="Times New Roman" w:cs="Times New Roman"/>
          <w:color w:val="000000"/>
          <w:sz w:val="24"/>
          <w:szCs w:val="24"/>
        </w:rPr>
        <w:t xml:space="preserve"> WL no. S</w:t>
      </w:r>
      <w:r>
        <w:rPr>
          <w:rFonts w:ascii="Times New Roman" w:eastAsia="Times New Roman" w:hAnsi="Times New Roman" w:cs="Times New Roman"/>
          <w:color w:val="000000"/>
          <w:sz w:val="24"/>
          <w:szCs w:val="24"/>
          <w:vertAlign w:val="subscript"/>
        </w:rPr>
        <w:t>14</w:t>
      </w:r>
      <w:r>
        <w:rPr>
          <w:rFonts w:ascii="Times New Roman" w:eastAsia="Times New Roman" w:hAnsi="Times New Roman" w:cs="Times New Roman"/>
          <w:color w:val="000000"/>
          <w:sz w:val="24"/>
          <w:szCs w:val="24"/>
        </w:rPr>
        <w:t xml:space="preserve"> reflected lower range and rest areas represented medium range of CEC with CV value of 13.72. CEC was significantly correlated with </w:t>
      </w:r>
      <w:proofErr w:type="spellStart"/>
      <w:r>
        <w:rPr>
          <w:rFonts w:ascii="Times New Roman" w:eastAsia="Times New Roman" w:hAnsi="Times New Roman" w:cs="Times New Roman"/>
          <w:color w:val="000000"/>
          <w:sz w:val="24"/>
          <w:szCs w:val="24"/>
        </w:rPr>
        <w:t>Ca+Mg</w:t>
      </w:r>
      <w:proofErr w:type="spellEnd"/>
      <w:r>
        <w:rPr>
          <w:rFonts w:ascii="Times New Roman" w:eastAsia="Times New Roman" w:hAnsi="Times New Roman" w:cs="Times New Roman"/>
          <w:color w:val="000000"/>
          <w:sz w:val="24"/>
          <w:szCs w:val="24"/>
        </w:rPr>
        <w:t xml:space="preserve"> (r = 0.999</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as re-assessed by </w:t>
      </w:r>
      <w:proofErr w:type="spellStart"/>
      <w:r>
        <w:rPr>
          <w:rFonts w:ascii="Times New Roman" w:eastAsia="Times New Roman" w:hAnsi="Times New Roman" w:cs="Times New Roman"/>
          <w:color w:val="000000"/>
          <w:sz w:val="24"/>
          <w:szCs w:val="24"/>
        </w:rPr>
        <w:t>Grando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(2025) (Table 5).</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1814026" cy="2160000"/>
            <wp:effectExtent l="0" t="0" r="0" b="0"/>
            <wp:docPr id="65" name="image4.jpg" descr="pH (1)"/>
            <wp:cNvGraphicFramePr/>
            <a:graphic xmlns:a="http://schemas.openxmlformats.org/drawingml/2006/main">
              <a:graphicData uri="http://schemas.openxmlformats.org/drawingml/2006/picture">
                <pic:pic xmlns:pic="http://schemas.openxmlformats.org/drawingml/2006/picture">
                  <pic:nvPicPr>
                    <pic:cNvPr id="0" name="image4.jpg" descr="pH (1)"/>
                    <pic:cNvPicPr preferRelativeResize="0"/>
                  </pic:nvPicPr>
                  <pic:blipFill>
                    <a:blip r:embed="rId12"/>
                    <a:srcRect/>
                    <a:stretch>
                      <a:fillRect/>
                    </a:stretch>
                  </pic:blipFill>
                  <pic:spPr>
                    <a:xfrm>
                      <a:off x="0" y="0"/>
                      <a:ext cx="1814026"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04675" cy="2160000"/>
            <wp:effectExtent l="0" t="0" r="0" b="0"/>
            <wp:docPr id="68" name="image2.jpg" descr="EC (1)"/>
            <wp:cNvGraphicFramePr/>
            <a:graphic xmlns:a="http://schemas.openxmlformats.org/drawingml/2006/main">
              <a:graphicData uri="http://schemas.openxmlformats.org/drawingml/2006/picture">
                <pic:pic xmlns:pic="http://schemas.openxmlformats.org/drawingml/2006/picture">
                  <pic:nvPicPr>
                    <pic:cNvPr id="0" name="image2.jpg" descr="EC (1)"/>
                    <pic:cNvPicPr preferRelativeResize="0"/>
                  </pic:nvPicPr>
                  <pic:blipFill>
                    <a:blip r:embed="rId13"/>
                    <a:srcRect/>
                    <a:stretch>
                      <a:fillRect/>
                    </a:stretch>
                  </pic:blipFill>
                  <pic:spPr>
                    <a:xfrm>
                      <a:off x="0" y="0"/>
                      <a:ext cx="1804675"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23377" cy="2160000"/>
            <wp:effectExtent l="0" t="0" r="0" b="0"/>
            <wp:docPr id="67" name="image12.jpg" descr="SOC"/>
            <wp:cNvGraphicFramePr/>
            <a:graphic xmlns:a="http://schemas.openxmlformats.org/drawingml/2006/main">
              <a:graphicData uri="http://schemas.openxmlformats.org/drawingml/2006/picture">
                <pic:pic xmlns:pic="http://schemas.openxmlformats.org/drawingml/2006/picture">
                  <pic:nvPicPr>
                    <pic:cNvPr id="0" name="image12.jpg" descr="SOC"/>
                    <pic:cNvPicPr preferRelativeResize="0"/>
                  </pic:nvPicPr>
                  <pic:blipFill>
                    <a:blip r:embed="rId14"/>
                    <a:srcRect/>
                    <a:stretch>
                      <a:fillRect/>
                    </a:stretch>
                  </pic:blipFill>
                  <pic:spPr>
                    <a:xfrm>
                      <a:off x="0" y="0"/>
                      <a:ext cx="1823377"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05922" cy="2160000"/>
            <wp:effectExtent l="0" t="0" r="0" b="0"/>
            <wp:docPr id="70" name="image18.jpg" descr="Available N (1)"/>
            <wp:cNvGraphicFramePr/>
            <a:graphic xmlns:a="http://schemas.openxmlformats.org/drawingml/2006/main">
              <a:graphicData uri="http://schemas.openxmlformats.org/drawingml/2006/picture">
                <pic:pic xmlns:pic="http://schemas.openxmlformats.org/drawingml/2006/picture">
                  <pic:nvPicPr>
                    <pic:cNvPr id="0" name="image18.jpg" descr="Available N (1)"/>
                    <pic:cNvPicPr preferRelativeResize="0"/>
                  </pic:nvPicPr>
                  <pic:blipFill>
                    <a:blip r:embed="rId15"/>
                    <a:srcRect/>
                    <a:stretch>
                      <a:fillRect/>
                    </a:stretch>
                  </pic:blipFill>
                  <pic:spPr>
                    <a:xfrm>
                      <a:off x="0" y="0"/>
                      <a:ext cx="1805922"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31304" cy="2160000"/>
            <wp:effectExtent l="0" t="0" r="0" b="0"/>
            <wp:docPr id="69" name="image14.jpg" descr="AVAILABLE P2O5 (1)"/>
            <wp:cNvGraphicFramePr/>
            <a:graphic xmlns:a="http://schemas.openxmlformats.org/drawingml/2006/main">
              <a:graphicData uri="http://schemas.openxmlformats.org/drawingml/2006/picture">
                <pic:pic xmlns:pic="http://schemas.openxmlformats.org/drawingml/2006/picture">
                  <pic:nvPicPr>
                    <pic:cNvPr id="0" name="image14.jpg" descr="AVAILABLE P2O5 (1)"/>
                    <pic:cNvPicPr preferRelativeResize="0"/>
                  </pic:nvPicPr>
                  <pic:blipFill>
                    <a:blip r:embed="rId16"/>
                    <a:srcRect/>
                    <a:stretch>
                      <a:fillRect/>
                    </a:stretch>
                  </pic:blipFill>
                  <pic:spPr>
                    <a:xfrm>
                      <a:off x="0" y="0"/>
                      <a:ext cx="1831304"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31304" cy="2160000"/>
            <wp:effectExtent l="0" t="0" r="0" b="0"/>
            <wp:docPr id="73" name="image11.jpg" descr="AVAILABLE K2O"/>
            <wp:cNvGraphicFramePr/>
            <a:graphic xmlns:a="http://schemas.openxmlformats.org/drawingml/2006/main">
              <a:graphicData uri="http://schemas.openxmlformats.org/drawingml/2006/picture">
                <pic:pic xmlns:pic="http://schemas.openxmlformats.org/drawingml/2006/picture">
                  <pic:nvPicPr>
                    <pic:cNvPr id="0" name="image11.jpg" descr="AVAILABLE K2O"/>
                    <pic:cNvPicPr preferRelativeResize="0"/>
                  </pic:nvPicPr>
                  <pic:blipFill>
                    <a:blip r:embed="rId17"/>
                    <a:srcRect/>
                    <a:stretch>
                      <a:fillRect/>
                    </a:stretch>
                  </pic:blipFill>
                  <pic:spPr>
                    <a:xfrm>
                      <a:off x="0" y="0"/>
                      <a:ext cx="1831304" cy="2160000"/>
                    </a:xfrm>
                    <a:prstGeom prst="rect">
                      <a:avLst/>
                    </a:prstGeom>
                    <a:ln/>
                  </pic:spPr>
                </pic:pic>
              </a:graphicData>
            </a:graphic>
          </wp:inline>
        </w:drawing>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17758" cy="2160000"/>
            <wp:effectExtent l="0" t="0" r="0" b="0"/>
            <wp:docPr id="71" name="image20.jpg" descr="Ca+Mg (1)"/>
            <wp:cNvGraphicFramePr/>
            <a:graphic xmlns:a="http://schemas.openxmlformats.org/drawingml/2006/main">
              <a:graphicData uri="http://schemas.openxmlformats.org/drawingml/2006/picture">
                <pic:pic xmlns:pic="http://schemas.openxmlformats.org/drawingml/2006/picture">
                  <pic:nvPicPr>
                    <pic:cNvPr id="0" name="image20.jpg" descr="Ca+Mg (1)"/>
                    <pic:cNvPicPr preferRelativeResize="0"/>
                  </pic:nvPicPr>
                  <pic:blipFill>
                    <a:blip r:embed="rId18"/>
                    <a:srcRect/>
                    <a:stretch>
                      <a:fillRect/>
                    </a:stretch>
                  </pic:blipFill>
                  <pic:spPr>
                    <a:xfrm>
                      <a:off x="0" y="0"/>
                      <a:ext cx="1817758"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20987" cy="2160000"/>
            <wp:effectExtent l="0" t="0" r="0" b="0"/>
            <wp:docPr id="72" name="image17.jpg" descr="Available S (1)"/>
            <wp:cNvGraphicFramePr/>
            <a:graphic xmlns:a="http://schemas.openxmlformats.org/drawingml/2006/main">
              <a:graphicData uri="http://schemas.openxmlformats.org/drawingml/2006/picture">
                <pic:pic xmlns:pic="http://schemas.openxmlformats.org/drawingml/2006/picture">
                  <pic:nvPicPr>
                    <pic:cNvPr id="0" name="image17.jpg" descr="Available S (1)"/>
                    <pic:cNvPicPr preferRelativeResize="0"/>
                  </pic:nvPicPr>
                  <pic:blipFill>
                    <a:blip r:embed="rId19"/>
                    <a:srcRect/>
                    <a:stretch>
                      <a:fillRect/>
                    </a:stretch>
                  </pic:blipFill>
                  <pic:spPr>
                    <a:xfrm>
                      <a:off x="0" y="0"/>
                      <a:ext cx="1820987"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30673" cy="2160000"/>
            <wp:effectExtent l="0" t="0" r="0" b="0"/>
            <wp:docPr id="74" name="image13.jpg" descr="CEC (1)"/>
            <wp:cNvGraphicFramePr/>
            <a:graphic xmlns:a="http://schemas.openxmlformats.org/drawingml/2006/main">
              <a:graphicData uri="http://schemas.openxmlformats.org/drawingml/2006/picture">
                <pic:pic xmlns:pic="http://schemas.openxmlformats.org/drawingml/2006/picture">
                  <pic:nvPicPr>
                    <pic:cNvPr id="0" name="image13.jpg" descr="CEC (1)"/>
                    <pic:cNvPicPr preferRelativeResize="0"/>
                  </pic:nvPicPr>
                  <pic:blipFill>
                    <a:blip r:embed="rId20"/>
                    <a:srcRect/>
                    <a:stretch>
                      <a:fillRect/>
                    </a:stretch>
                  </pic:blipFill>
                  <pic:spPr>
                    <a:xfrm>
                      <a:off x="0" y="0"/>
                      <a:ext cx="1830673" cy="2160000"/>
                    </a:xfrm>
                    <a:prstGeom prst="rect">
                      <a:avLst/>
                    </a:prstGeom>
                    <a:ln/>
                  </pic:spPr>
                </pic:pic>
              </a:graphicData>
            </a:graphic>
          </wp:inline>
        </w:drawing>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Figure 2:</w:t>
      </w:r>
      <w:r>
        <w:rPr>
          <w:rFonts w:ascii="Times New Roman" w:eastAsia="Times New Roman" w:hAnsi="Times New Roman" w:cs="Times New Roman"/>
          <w:color w:val="000000"/>
          <w:sz w:val="24"/>
          <w:szCs w:val="24"/>
        </w:rPr>
        <w:t xml:space="preserve"> Spatial variability maps of pH, EC, SOC, available N, 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K</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w:t>
      </w:r>
      <w:proofErr w:type="spellStart"/>
      <w:r>
        <w:rPr>
          <w:rFonts w:ascii="Times New Roman" w:eastAsia="Times New Roman" w:hAnsi="Times New Roman" w:cs="Times New Roman"/>
          <w:color w:val="000000"/>
          <w:sz w:val="24"/>
          <w:szCs w:val="24"/>
        </w:rPr>
        <w:t>Ca+Mg</w:t>
      </w:r>
      <w:proofErr w:type="spellEnd"/>
      <w:r>
        <w:rPr>
          <w:rFonts w:ascii="Times New Roman" w:eastAsia="Times New Roman" w:hAnsi="Times New Roman" w:cs="Times New Roman"/>
          <w:color w:val="000000"/>
          <w:sz w:val="24"/>
          <w:szCs w:val="24"/>
        </w:rPr>
        <w:t>, S &amp; CEC of Gomati</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Among various geostatistical analytical tools, Inverse Distance Weighting (IDW) is most common and this technique is used for creating maps of the </w:t>
      </w:r>
      <w:proofErr w:type="spellStart"/>
      <w:r>
        <w:rPr>
          <w:rFonts w:ascii="Times New Roman" w:eastAsia="Times New Roman" w:hAnsi="Times New Roman" w:cs="Times New Roman"/>
          <w:sz w:val="24"/>
          <w:szCs w:val="24"/>
        </w:rPr>
        <w:t>physico</w:t>
      </w:r>
      <w:proofErr w:type="spellEnd"/>
      <w:r>
        <w:rPr>
          <w:rFonts w:ascii="Times New Roman" w:eastAsia="Times New Roman" w:hAnsi="Times New Roman" w:cs="Times New Roman"/>
          <w:sz w:val="24"/>
          <w:szCs w:val="24"/>
        </w:rPr>
        <w:t>-chemical</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rPr>
        <w:t>roperties of Gomati and South Tripura districts, depicted as figures 2 and figure 3, respectively.</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1819695" cy="2160000"/>
            <wp:effectExtent l="0" t="0" r="0" b="0"/>
            <wp:docPr id="75" name="image3.jpg" descr="PH"/>
            <wp:cNvGraphicFramePr/>
            <a:graphic xmlns:a="http://schemas.openxmlformats.org/drawingml/2006/main">
              <a:graphicData uri="http://schemas.openxmlformats.org/drawingml/2006/picture">
                <pic:pic xmlns:pic="http://schemas.openxmlformats.org/drawingml/2006/picture">
                  <pic:nvPicPr>
                    <pic:cNvPr id="0" name="image3.jpg" descr="PH"/>
                    <pic:cNvPicPr preferRelativeResize="0"/>
                  </pic:nvPicPr>
                  <pic:blipFill>
                    <a:blip r:embed="rId21"/>
                    <a:srcRect/>
                    <a:stretch>
                      <a:fillRect/>
                    </a:stretch>
                  </pic:blipFill>
                  <pic:spPr>
                    <a:xfrm>
                      <a:off x="0" y="0"/>
                      <a:ext cx="1819695"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11946" cy="2160000"/>
            <wp:effectExtent l="0" t="0" r="0" b="0"/>
            <wp:docPr id="76" name="image19.jpg" descr="EC"/>
            <wp:cNvGraphicFramePr/>
            <a:graphic xmlns:a="http://schemas.openxmlformats.org/drawingml/2006/main">
              <a:graphicData uri="http://schemas.openxmlformats.org/drawingml/2006/picture">
                <pic:pic xmlns:pic="http://schemas.openxmlformats.org/drawingml/2006/picture">
                  <pic:nvPicPr>
                    <pic:cNvPr id="0" name="image19.jpg" descr="EC"/>
                    <pic:cNvPicPr preferRelativeResize="0"/>
                  </pic:nvPicPr>
                  <pic:blipFill>
                    <a:blip r:embed="rId22"/>
                    <a:srcRect/>
                    <a:stretch>
                      <a:fillRect/>
                    </a:stretch>
                  </pic:blipFill>
                  <pic:spPr>
                    <a:xfrm>
                      <a:off x="0" y="0"/>
                      <a:ext cx="1811946"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11300" cy="2160000"/>
            <wp:effectExtent l="0" t="0" r="0" b="0"/>
            <wp:docPr id="7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a:stretch>
                      <a:fillRect/>
                    </a:stretch>
                  </pic:blipFill>
                  <pic:spPr>
                    <a:xfrm>
                      <a:off x="0" y="0"/>
                      <a:ext cx="1811300" cy="2160000"/>
                    </a:xfrm>
                    <a:prstGeom prst="rect">
                      <a:avLst/>
                    </a:prstGeom>
                    <a:ln/>
                  </pic:spPr>
                </pic:pic>
              </a:graphicData>
            </a:graphic>
          </wp:inline>
        </w:drawing>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01614" cy="2160000"/>
            <wp:effectExtent l="0" t="0" r="0" b="0"/>
            <wp:docPr id="78" name="image10.jpg" descr="Available N"/>
            <wp:cNvGraphicFramePr/>
            <a:graphic xmlns:a="http://schemas.openxmlformats.org/drawingml/2006/main">
              <a:graphicData uri="http://schemas.openxmlformats.org/drawingml/2006/picture">
                <pic:pic xmlns:pic="http://schemas.openxmlformats.org/drawingml/2006/picture">
                  <pic:nvPicPr>
                    <pic:cNvPr id="0" name="image10.jpg" descr="Available N"/>
                    <pic:cNvPicPr preferRelativeResize="0"/>
                  </pic:nvPicPr>
                  <pic:blipFill>
                    <a:blip r:embed="rId24"/>
                    <a:srcRect/>
                    <a:stretch>
                      <a:fillRect/>
                    </a:stretch>
                  </pic:blipFill>
                  <pic:spPr>
                    <a:xfrm>
                      <a:off x="0" y="0"/>
                      <a:ext cx="1801614"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20987" cy="2160000"/>
            <wp:effectExtent l="0" t="0" r="0" b="0"/>
            <wp:docPr id="79" name="image6.jpg" descr="AVAILABLE P2O5"/>
            <wp:cNvGraphicFramePr/>
            <a:graphic xmlns:a="http://schemas.openxmlformats.org/drawingml/2006/main">
              <a:graphicData uri="http://schemas.openxmlformats.org/drawingml/2006/picture">
                <pic:pic xmlns:pic="http://schemas.openxmlformats.org/drawingml/2006/picture">
                  <pic:nvPicPr>
                    <pic:cNvPr id="0" name="image6.jpg" descr="AVAILABLE P2O5"/>
                    <pic:cNvPicPr preferRelativeResize="0"/>
                  </pic:nvPicPr>
                  <pic:blipFill>
                    <a:blip r:embed="rId25"/>
                    <a:srcRect/>
                    <a:stretch>
                      <a:fillRect/>
                    </a:stretch>
                  </pic:blipFill>
                  <pic:spPr>
                    <a:xfrm>
                      <a:off x="0" y="0"/>
                      <a:ext cx="1820987"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15175" cy="2160000"/>
            <wp:effectExtent l="0" t="0" r="0" b="0"/>
            <wp:docPr id="80" name="image22.jpg" descr="Available K20"/>
            <wp:cNvGraphicFramePr/>
            <a:graphic xmlns:a="http://schemas.openxmlformats.org/drawingml/2006/main">
              <a:graphicData uri="http://schemas.openxmlformats.org/drawingml/2006/picture">
                <pic:pic xmlns:pic="http://schemas.openxmlformats.org/drawingml/2006/picture">
                  <pic:nvPicPr>
                    <pic:cNvPr id="0" name="image22.jpg" descr="Available K20"/>
                    <pic:cNvPicPr preferRelativeResize="0"/>
                  </pic:nvPicPr>
                  <pic:blipFill>
                    <a:blip r:embed="rId26"/>
                    <a:srcRect/>
                    <a:stretch>
                      <a:fillRect/>
                    </a:stretch>
                  </pic:blipFill>
                  <pic:spPr>
                    <a:xfrm>
                      <a:off x="0" y="0"/>
                      <a:ext cx="1815175" cy="2160000"/>
                    </a:xfrm>
                    <a:prstGeom prst="rect">
                      <a:avLst/>
                    </a:prstGeom>
                    <a:ln/>
                  </pic:spPr>
                </pic:pic>
              </a:graphicData>
            </a:graphic>
          </wp:inline>
        </w:drawing>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30673" cy="2160000"/>
            <wp:effectExtent l="0" t="0" r="0" b="0"/>
            <wp:docPr id="81" name="image21.jpg" descr="CA+MG"/>
            <wp:cNvGraphicFramePr/>
            <a:graphic xmlns:a="http://schemas.openxmlformats.org/drawingml/2006/main">
              <a:graphicData uri="http://schemas.openxmlformats.org/drawingml/2006/picture">
                <pic:pic xmlns:pic="http://schemas.openxmlformats.org/drawingml/2006/picture">
                  <pic:nvPicPr>
                    <pic:cNvPr id="0" name="image21.jpg" descr="CA+MG"/>
                    <pic:cNvPicPr preferRelativeResize="0"/>
                  </pic:nvPicPr>
                  <pic:blipFill>
                    <a:blip r:embed="rId27"/>
                    <a:srcRect/>
                    <a:stretch>
                      <a:fillRect/>
                    </a:stretch>
                  </pic:blipFill>
                  <pic:spPr>
                    <a:xfrm>
                      <a:off x="0" y="0"/>
                      <a:ext cx="1830673"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20987" cy="2160000"/>
            <wp:effectExtent l="0" t="0" r="0" b="0"/>
            <wp:docPr id="60" name="image1.jpg" descr="Available S"/>
            <wp:cNvGraphicFramePr/>
            <a:graphic xmlns:a="http://schemas.openxmlformats.org/drawingml/2006/main">
              <a:graphicData uri="http://schemas.openxmlformats.org/drawingml/2006/picture">
                <pic:pic xmlns:pic="http://schemas.openxmlformats.org/drawingml/2006/picture">
                  <pic:nvPicPr>
                    <pic:cNvPr id="0" name="image1.jpg" descr="Available S"/>
                    <pic:cNvPicPr preferRelativeResize="0"/>
                  </pic:nvPicPr>
                  <pic:blipFill>
                    <a:blip r:embed="rId28"/>
                    <a:srcRect/>
                    <a:stretch>
                      <a:fillRect/>
                    </a:stretch>
                  </pic:blipFill>
                  <pic:spPr>
                    <a:xfrm>
                      <a:off x="0" y="0"/>
                      <a:ext cx="1820987" cy="2160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820987" cy="2160000"/>
            <wp:effectExtent l="0" t="0" r="0" b="0"/>
            <wp:docPr id="61" name="image8.jpg" descr="CEC"/>
            <wp:cNvGraphicFramePr/>
            <a:graphic xmlns:a="http://schemas.openxmlformats.org/drawingml/2006/main">
              <a:graphicData uri="http://schemas.openxmlformats.org/drawingml/2006/picture">
                <pic:pic xmlns:pic="http://schemas.openxmlformats.org/drawingml/2006/picture">
                  <pic:nvPicPr>
                    <pic:cNvPr id="0" name="image8.jpg" descr="CEC"/>
                    <pic:cNvPicPr preferRelativeResize="0"/>
                  </pic:nvPicPr>
                  <pic:blipFill>
                    <a:blip r:embed="rId29"/>
                    <a:srcRect/>
                    <a:stretch>
                      <a:fillRect/>
                    </a:stretch>
                  </pic:blipFill>
                  <pic:spPr>
                    <a:xfrm>
                      <a:off x="0" y="0"/>
                      <a:ext cx="1820987" cy="2160000"/>
                    </a:xfrm>
                    <a:prstGeom prst="rect">
                      <a:avLst/>
                    </a:prstGeom>
                    <a:ln/>
                  </pic:spPr>
                </pic:pic>
              </a:graphicData>
            </a:graphic>
          </wp:inline>
        </w:drawing>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Figure 3:</w:t>
      </w:r>
      <w:r>
        <w:rPr>
          <w:rFonts w:ascii="Times New Roman" w:eastAsia="Times New Roman" w:hAnsi="Times New Roman" w:cs="Times New Roman"/>
          <w:color w:val="000000"/>
          <w:sz w:val="24"/>
          <w:szCs w:val="24"/>
        </w:rPr>
        <w:t xml:space="preserve"> Spatial variability maps of pH, EC, SOC, available N, 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K</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w:t>
      </w:r>
      <w:proofErr w:type="spellStart"/>
      <w:r>
        <w:rPr>
          <w:rFonts w:ascii="Times New Roman" w:eastAsia="Times New Roman" w:hAnsi="Times New Roman" w:cs="Times New Roman"/>
          <w:color w:val="000000"/>
          <w:sz w:val="24"/>
          <w:szCs w:val="24"/>
        </w:rPr>
        <w:t>Ca+Mg</w:t>
      </w:r>
      <w:proofErr w:type="spellEnd"/>
      <w:r>
        <w:rPr>
          <w:rFonts w:ascii="Times New Roman" w:eastAsia="Times New Roman" w:hAnsi="Times New Roman" w:cs="Times New Roman"/>
          <w:color w:val="000000"/>
          <w:sz w:val="24"/>
          <w:szCs w:val="24"/>
        </w:rPr>
        <w:t>, S &amp; CEC of South Tripura</w:t>
      </w:r>
    </w:p>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sectPr w:rsidR="005211FC">
          <w:headerReference w:type="even" r:id="rId30"/>
          <w:headerReference w:type="default" r:id="rId31"/>
          <w:footerReference w:type="even" r:id="rId32"/>
          <w:footerReference w:type="default" r:id="rId33"/>
          <w:headerReference w:type="first" r:id="rId34"/>
          <w:footerReference w:type="first" r:id="rId35"/>
          <w:pgSz w:w="11907" w:h="16839"/>
          <w:pgMar w:top="1560" w:right="1440" w:bottom="1276" w:left="1440" w:header="567" w:footer="720" w:gutter="0"/>
          <w:pgNumType w:start="1"/>
          <w:cols w:space="720"/>
        </w:sectPr>
      </w:pP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Table 4:</w:t>
      </w:r>
      <w:r>
        <w:rPr>
          <w:rFonts w:ascii="Times New Roman" w:eastAsia="Times New Roman" w:hAnsi="Times New Roman" w:cs="Times New Roman"/>
          <w:color w:val="000000"/>
          <w:sz w:val="24"/>
          <w:szCs w:val="24"/>
        </w:rPr>
        <w:t xml:space="preserve"> Chemical and nutrient properties of analytical soil samples</w:t>
      </w:r>
    </w:p>
    <w:tbl>
      <w:tblPr>
        <w:tblStyle w:val="a7"/>
        <w:tblW w:w="14233" w:type="dxa"/>
        <w:tblInd w:w="-115" w:type="dxa"/>
        <w:tblLayout w:type="fixed"/>
        <w:tblLook w:val="0400" w:firstRow="0" w:lastRow="0" w:firstColumn="0" w:lastColumn="0" w:noHBand="0" w:noVBand="1"/>
      </w:tblPr>
      <w:tblGrid>
        <w:gridCol w:w="584"/>
        <w:gridCol w:w="1806"/>
        <w:gridCol w:w="1274"/>
        <w:gridCol w:w="992"/>
        <w:gridCol w:w="1135"/>
        <w:gridCol w:w="1277"/>
        <w:gridCol w:w="1419"/>
        <w:gridCol w:w="1419"/>
        <w:gridCol w:w="1844"/>
        <w:gridCol w:w="1132"/>
        <w:gridCol w:w="1351"/>
      </w:tblGrid>
      <w:tr w:rsidR="005211FC">
        <w:trPr>
          <w:cantSplit/>
          <w:tblHeader/>
        </w:trPr>
        <w:tc>
          <w:tcPr>
            <w:tcW w:w="584" w:type="dxa"/>
            <w:tcBorders>
              <w:top w:val="single" w:sz="4" w:space="0" w:color="000000"/>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 No.</w:t>
            </w:r>
          </w:p>
        </w:tc>
        <w:tc>
          <w:tcPr>
            <w:tcW w:w="1806"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Beat Name</w:t>
            </w:r>
          </w:p>
        </w:tc>
        <w:tc>
          <w:tcPr>
            <w:tcW w:w="1274"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EC</w:t>
            </w:r>
          </w:p>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(µS cm</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992"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pH</w:t>
            </w:r>
          </w:p>
        </w:tc>
        <w:tc>
          <w:tcPr>
            <w:tcW w:w="1135"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SOC %</w:t>
            </w:r>
          </w:p>
        </w:tc>
        <w:tc>
          <w:tcPr>
            <w:tcW w:w="1277"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Avail. N</w:t>
            </w:r>
          </w:p>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(kg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1419"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Avail. P</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z w:val="24"/>
                <w:szCs w:val="24"/>
                <w:vertAlign w:val="subscript"/>
              </w:rPr>
              <w:t>5</w:t>
            </w:r>
          </w:p>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(kg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1419"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Avail. K</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b/>
                <w:bCs/>
                <w:color w:val="000000"/>
                <w:sz w:val="24"/>
                <w:szCs w:val="24"/>
              </w:rPr>
              <w:t>O</w:t>
            </w:r>
          </w:p>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(kg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1844"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Avail. (</w:t>
            </w:r>
            <w:proofErr w:type="spellStart"/>
            <w:r>
              <w:rPr>
                <w:rFonts w:ascii="Times New Roman" w:eastAsia="Times New Roman" w:hAnsi="Times New Roman" w:cs="Times New Roman"/>
                <w:b/>
                <w:bCs/>
                <w:color w:val="000000"/>
                <w:sz w:val="24"/>
                <w:szCs w:val="24"/>
              </w:rPr>
              <w:t>Ca+Mg</w:t>
            </w:r>
            <w:proofErr w:type="spellEnd"/>
            <w:r>
              <w:rPr>
                <w:rFonts w:ascii="Times New Roman" w:eastAsia="Times New Roman" w:hAnsi="Times New Roman" w:cs="Times New Roman"/>
                <w:b/>
                <w:bCs/>
                <w:color w:val="000000"/>
                <w:sz w:val="24"/>
                <w:szCs w:val="24"/>
              </w:rPr>
              <w:t>)</w:t>
            </w:r>
          </w:p>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(kg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1132"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Avail. S</w:t>
            </w:r>
          </w:p>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(kg ha</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c>
          <w:tcPr>
            <w:tcW w:w="1351" w:type="dxa"/>
            <w:tcBorders>
              <w:top w:val="single" w:sz="4" w:space="0" w:color="000000"/>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CEC</w:t>
            </w:r>
          </w:p>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cmol</w:t>
            </w:r>
            <w:proofErr w:type="spellEnd"/>
            <w:r>
              <w:rPr>
                <w:rFonts w:ascii="Times New Roman" w:eastAsia="Times New Roman" w:hAnsi="Times New Roman" w:cs="Times New Roman"/>
                <w:b/>
                <w:bCs/>
                <w:color w:val="000000"/>
                <w:sz w:val="24"/>
                <w:szCs w:val="24"/>
              </w:rPr>
              <w:t xml:space="preserve"> kg</w:t>
            </w: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Bampur</w:t>
            </w:r>
            <w:proofErr w:type="spellEnd"/>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67.90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125.44</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34.66</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194.32</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596.65</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18.51</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2</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Dhanlekha</w:t>
            </w:r>
            <w:proofErr w:type="spellEnd"/>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55.90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137.98</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43.63</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125.43</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502.45</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17.12</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3</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Bairagi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Dokan</w:t>
            </w:r>
            <w:proofErr w:type="spellEnd"/>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137.98</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8.62</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97.29</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533.85</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17.52</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4</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Suknachari</w:t>
            </w:r>
            <w:proofErr w:type="spellEnd"/>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150.53</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7.70</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191.13</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533.85</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9.68</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17.63</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5</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Paratia</w:t>
            </w:r>
            <w:proofErr w:type="spellEnd"/>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4.26</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125.44</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27.38</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60.58</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314.03</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15.52</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14.43</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6</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Udaipur</w:t>
            </w:r>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175.62</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36.62</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67.50</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659.46</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19.23</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7</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Ghorakappa</w:t>
            </w:r>
            <w:proofErr w:type="spellEnd"/>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61.90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5.60</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150.53</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25.28</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125.43</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471.04</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5.92</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16.68</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8</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Manirambari</w:t>
            </w:r>
            <w:proofErr w:type="spellEnd"/>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5.06</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225.79</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24.24</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451.89</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376.83</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18.92</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15.75</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9</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Bankul</w:t>
            </w:r>
            <w:proofErr w:type="spellEnd"/>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28.70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188.16</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14.72</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196.82</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376.83</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17.30</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15.46</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10</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Manu Bazar</w:t>
            </w:r>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88.90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37.63</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25.97</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330.33</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753.67</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6.57</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20.84</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11</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Anandapur</w:t>
            </w:r>
            <w:proofErr w:type="spellEnd"/>
            <w:r>
              <w:rPr>
                <w:rFonts w:ascii="Times New Roman" w:eastAsia="Times New Roman" w:hAnsi="Times New Roman" w:cs="Times New Roman"/>
                <w:color w:val="000000"/>
                <w:sz w:val="24"/>
                <w:szCs w:val="24"/>
              </w:rPr>
              <w:t xml:space="preserve"> WL</w:t>
            </w:r>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93.40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163.07</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21.99</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217.12</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533.85</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3.55</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17.66</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12</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Nidaya</w:t>
            </w:r>
            <w:proofErr w:type="spellEnd"/>
            <w:r>
              <w:rPr>
                <w:rFonts w:ascii="Times New Roman" w:eastAsia="Times New Roman" w:hAnsi="Times New Roman" w:cs="Times New Roman"/>
                <w:color w:val="000000"/>
                <w:sz w:val="24"/>
                <w:szCs w:val="24"/>
              </w:rPr>
              <w:t xml:space="preserve"> WL</w:t>
            </w:r>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5.54</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137.98</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17.72</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161.28</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376.83</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15.42</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13</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Rupaichari</w:t>
            </w:r>
            <w:proofErr w:type="spellEnd"/>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81.70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75.26</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17.46</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188.39</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282.63</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5.92</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14.14</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14</w:t>
            </w:r>
          </w:p>
        </w:tc>
        <w:tc>
          <w:tcPr>
            <w:tcW w:w="1806"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Maicherra</w:t>
            </w:r>
            <w:proofErr w:type="spellEnd"/>
            <w:r>
              <w:rPr>
                <w:rFonts w:ascii="Times New Roman" w:eastAsia="Times New Roman" w:hAnsi="Times New Roman" w:cs="Times New Roman"/>
                <w:color w:val="000000"/>
                <w:sz w:val="24"/>
                <w:szCs w:val="24"/>
              </w:rPr>
              <w:t xml:space="preserve"> WL</w:t>
            </w:r>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100.20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5.70</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87.81</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18.70</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99.64</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157.01</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12.29</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5211FC">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806"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w:t>
            </w:r>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25.35</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0.53</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0.63</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45.84</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9.89</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101.80</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153.12</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5.77</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2.15</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5211FC">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806"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55.70</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4.59</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0.96</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137.09</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22.31</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173.93</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441.47</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7.08</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15.66</w:t>
            </w:r>
          </w:p>
        </w:tc>
      </w:tr>
      <w:tr w:rsidR="005211FC">
        <w:trPr>
          <w:cantSplit/>
          <w:tblHeader/>
        </w:trPr>
        <w:tc>
          <w:tcPr>
            <w:tcW w:w="584" w:type="dxa"/>
            <w:tcBorders>
              <w:top w:val="nil"/>
              <w:left w:val="single" w:sz="4" w:space="0" w:color="000000"/>
              <w:bottom w:val="single" w:sz="4" w:space="0" w:color="000000"/>
              <w:right w:val="single" w:sz="4" w:space="0" w:color="000000"/>
            </w:tcBorders>
            <w:vAlign w:val="center"/>
          </w:tcPr>
          <w:p w:rsidR="005211FC" w:rsidRDefault="005211FC">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806" w:type="dxa"/>
            <w:tcBorders>
              <w:top w:val="nil"/>
              <w:left w:val="single" w:sz="4" w:space="0" w:color="000000"/>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CV</w:t>
            </w:r>
          </w:p>
        </w:tc>
        <w:tc>
          <w:tcPr>
            <w:tcW w:w="127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45.51</w:t>
            </w:r>
          </w:p>
        </w:tc>
        <w:tc>
          <w:tcPr>
            <w:tcW w:w="99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11.45</w:t>
            </w:r>
          </w:p>
        </w:tc>
        <w:tc>
          <w:tcPr>
            <w:tcW w:w="1135"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65.15</w:t>
            </w:r>
          </w:p>
        </w:tc>
        <w:tc>
          <w:tcPr>
            <w:tcW w:w="1277"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33.44</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44.34</w:t>
            </w:r>
          </w:p>
        </w:tc>
        <w:tc>
          <w:tcPr>
            <w:tcW w:w="1419"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58.53</w:t>
            </w:r>
          </w:p>
        </w:tc>
        <w:tc>
          <w:tcPr>
            <w:tcW w:w="1844"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34.68</w:t>
            </w:r>
          </w:p>
        </w:tc>
        <w:tc>
          <w:tcPr>
            <w:tcW w:w="1132"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81.52</w:t>
            </w:r>
          </w:p>
        </w:tc>
        <w:tc>
          <w:tcPr>
            <w:tcW w:w="1351" w:type="dxa"/>
            <w:tcBorders>
              <w:top w:val="nil"/>
              <w:left w:val="nil"/>
              <w:bottom w:val="single" w:sz="4" w:space="0" w:color="000000"/>
              <w:right w:val="single" w:sz="4" w:space="0" w:color="000000"/>
            </w:tcBorders>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13.72</w:t>
            </w:r>
          </w:p>
        </w:tc>
      </w:tr>
    </w:tbl>
    <w:p w:rsidR="005211FC" w:rsidRDefault="005211FC">
      <w:p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p>
    <w:p w:rsidR="005211FC" w:rsidRDefault="00C70F3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br w:type="page"/>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Table 5:</w:t>
      </w:r>
      <w:r>
        <w:rPr>
          <w:rFonts w:ascii="Times New Roman" w:eastAsia="Times New Roman" w:hAnsi="Times New Roman" w:cs="Times New Roman"/>
          <w:color w:val="000000"/>
          <w:sz w:val="24"/>
          <w:szCs w:val="24"/>
        </w:rPr>
        <w:t xml:space="preserve"> Correlation between </w:t>
      </w:r>
      <w:proofErr w:type="spellStart"/>
      <w:r>
        <w:rPr>
          <w:rFonts w:ascii="Times New Roman" w:eastAsia="Times New Roman" w:hAnsi="Times New Roman" w:cs="Times New Roman"/>
          <w:color w:val="000000"/>
          <w:sz w:val="24"/>
          <w:szCs w:val="24"/>
        </w:rPr>
        <w:t>physico</w:t>
      </w:r>
      <w:proofErr w:type="spellEnd"/>
      <w:r>
        <w:rPr>
          <w:rFonts w:ascii="Times New Roman" w:eastAsia="Times New Roman" w:hAnsi="Times New Roman" w:cs="Times New Roman"/>
          <w:color w:val="000000"/>
          <w:sz w:val="24"/>
          <w:szCs w:val="24"/>
        </w:rPr>
        <w:t>-chemical and nutrient properties of Gomati and South Tripura</w:t>
      </w:r>
    </w:p>
    <w:tbl>
      <w:tblPr>
        <w:tblStyle w:val="a8"/>
        <w:tblW w:w="14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
        <w:gridCol w:w="550"/>
        <w:gridCol w:w="836"/>
        <w:gridCol w:w="984"/>
        <w:gridCol w:w="995"/>
        <w:gridCol w:w="833"/>
        <w:gridCol w:w="953"/>
        <w:gridCol w:w="833"/>
        <w:gridCol w:w="833"/>
        <w:gridCol w:w="833"/>
        <w:gridCol w:w="1072"/>
        <w:gridCol w:w="833"/>
        <w:gridCol w:w="876"/>
        <w:gridCol w:w="992"/>
        <w:gridCol w:w="833"/>
        <w:gridCol w:w="992"/>
      </w:tblGrid>
      <w:tr w:rsidR="005211FC">
        <w:trPr>
          <w:cantSplit/>
          <w:tblHeader/>
        </w:trPr>
        <w:tc>
          <w:tcPr>
            <w:tcW w:w="14219" w:type="dxa"/>
            <w:gridSpan w:val="16"/>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Pearson Correlations</w:t>
            </w:r>
          </w:p>
        </w:tc>
      </w:tr>
      <w:tr w:rsidR="005211FC">
        <w:trPr>
          <w:cantSplit/>
          <w:tblHeader/>
        </w:trPr>
        <w:tc>
          <w:tcPr>
            <w:tcW w:w="971" w:type="dxa"/>
            <w:vAlign w:val="center"/>
          </w:tcPr>
          <w:p w:rsidR="005211FC" w:rsidRDefault="005211FC">
            <w:pPr>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550"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BD</w:t>
            </w:r>
          </w:p>
        </w:tc>
        <w:tc>
          <w:tcPr>
            <w:tcW w:w="83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WHC</w:t>
            </w:r>
          </w:p>
        </w:tc>
        <w:tc>
          <w:tcPr>
            <w:tcW w:w="984"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 value</w:t>
            </w:r>
          </w:p>
        </w:tc>
        <w:tc>
          <w:tcPr>
            <w:tcW w:w="995"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Sand</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Silt</w:t>
            </w:r>
          </w:p>
        </w:tc>
        <w:tc>
          <w:tcPr>
            <w:tcW w:w="95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Clay</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EC</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pH</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SOC</w:t>
            </w: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w:t>
            </w:r>
            <w:r>
              <w:rPr>
                <w:rFonts w:ascii="Times New Roman" w:eastAsia="Times New Roman" w:hAnsi="Times New Roman" w:cs="Times New Roman"/>
                <w:b/>
                <w:bCs/>
                <w:color w:val="000000"/>
                <w:vertAlign w:val="subscript"/>
              </w:rPr>
              <w:t>2</w:t>
            </w:r>
            <w:r>
              <w:rPr>
                <w:rFonts w:ascii="Times New Roman" w:eastAsia="Times New Roman" w:hAnsi="Times New Roman" w:cs="Times New Roman"/>
                <w:b/>
                <w:bCs/>
                <w:color w:val="000000"/>
              </w:rPr>
              <w:t>O</w:t>
            </w:r>
            <w:r>
              <w:rPr>
                <w:rFonts w:ascii="Times New Roman" w:eastAsia="Times New Roman" w:hAnsi="Times New Roman" w:cs="Times New Roman"/>
                <w:b/>
                <w:bCs/>
                <w:color w:val="000000"/>
                <w:vertAlign w:val="subscript"/>
              </w:rPr>
              <w:t>5</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w:t>
            </w:r>
            <w:r>
              <w:rPr>
                <w:rFonts w:ascii="Times New Roman" w:eastAsia="Times New Roman" w:hAnsi="Times New Roman" w:cs="Times New Roman"/>
                <w:b/>
                <w:bCs/>
                <w:color w:val="000000"/>
                <w:vertAlign w:val="subscript"/>
              </w:rPr>
              <w:t>2</w:t>
            </w:r>
            <w:r>
              <w:rPr>
                <w:rFonts w:ascii="Times New Roman" w:eastAsia="Times New Roman" w:hAnsi="Times New Roman" w:cs="Times New Roman"/>
                <w:b/>
                <w:bCs/>
                <w:color w:val="000000"/>
              </w:rPr>
              <w:t>O</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Ca+Mg</w:t>
            </w:r>
            <w:proofErr w:type="spellEnd"/>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CEC</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BD</w:t>
            </w:r>
          </w:p>
        </w:tc>
        <w:tc>
          <w:tcPr>
            <w:tcW w:w="550"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3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-0.144</w:t>
            </w:r>
          </w:p>
        </w:tc>
        <w:tc>
          <w:tcPr>
            <w:tcW w:w="984"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0.093</w:t>
            </w:r>
          </w:p>
        </w:tc>
        <w:tc>
          <w:tcPr>
            <w:tcW w:w="995"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0.662</w:t>
            </w:r>
            <w:r>
              <w:rPr>
                <w:rFonts w:ascii="Times New Roman" w:eastAsia="Times New Roman" w:hAnsi="Times New Roman" w:cs="Times New Roman"/>
                <w:color w:val="000000"/>
                <w:vertAlign w:val="superscript"/>
              </w:rPr>
              <w:t>**</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-0.416</w:t>
            </w:r>
          </w:p>
        </w:tc>
        <w:tc>
          <w:tcPr>
            <w:tcW w:w="95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-0.133</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-0.134</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-0.445</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0.228</w:t>
            </w: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0.454</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0.234</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0.325</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0.283</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0.256</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WHC</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84"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-0.163</w:t>
            </w:r>
          </w:p>
        </w:tc>
        <w:tc>
          <w:tcPr>
            <w:tcW w:w="995"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-0.103</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0.38</w:t>
            </w:r>
          </w:p>
        </w:tc>
        <w:tc>
          <w:tcPr>
            <w:tcW w:w="95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-0.324</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-0.083</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-0.079</w:t>
            </w: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0.141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-0.438</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0.174</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-0.148</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0.371</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-0.137</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N value</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5"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0.047</w:t>
            </w:r>
          </w:p>
        </w:tc>
        <w:tc>
          <w:tcPr>
            <w:tcW w:w="95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-0.283</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0.163</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0.206</w:t>
            </w: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0.531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-0.129</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0.114</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-0.132</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0.036</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-0.125</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Sand</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-0.507</w:t>
            </w:r>
          </w:p>
        </w:tc>
        <w:tc>
          <w:tcPr>
            <w:tcW w:w="95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-0.334</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-0.009</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0.407</w:t>
            </w: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0.242</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0.121</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0.14</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0.234</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0.152</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Silt</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5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-0.644</w:t>
            </w:r>
            <w:r>
              <w:rPr>
                <w:rFonts w:ascii="Times New Roman" w:eastAsia="Times New Roman" w:hAnsi="Times New Roman" w:cs="Times New Roman"/>
                <w:color w:val="000000"/>
                <w:vertAlign w:val="superscript"/>
              </w:rPr>
              <w:t>*</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0.044</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0.362</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0.138</w:t>
            </w: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-0.098</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-0.091</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-0.254</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-0.036</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Clay</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5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-0.102</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-0.513</w:t>
            </w: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-0.113</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-0.095</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EC</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5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0.343</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-0.055</w:t>
            </w: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-0.690</w:t>
            </w:r>
            <w:r>
              <w:rPr>
                <w:rFonts w:ascii="Times New Roman" w:eastAsia="Times New Roman" w:hAnsi="Times New Roman" w:cs="Times New Roman"/>
                <w:color w:val="000000"/>
                <w:vertAlign w:val="superscript"/>
              </w:rPr>
              <w:t>**</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-0.012</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-0.451</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-0.013</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pH</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5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0.315</w:t>
            </w: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-0.159</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0.332</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0.08</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-0.043</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-0.38</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-0.038</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SOC</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5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0.192</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0.372</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0.574</w:t>
            </w:r>
            <w:r>
              <w:rPr>
                <w:rFonts w:ascii="Times New Roman" w:eastAsia="Times New Roman" w:hAnsi="Times New Roman" w:cs="Times New Roman"/>
                <w:color w:val="000000"/>
                <w:vertAlign w:val="superscript"/>
              </w:rPr>
              <w:t>*</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-0.084</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0.194</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-0.052</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5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107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0.013</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0.162</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0.407</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-0.032</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P2O5</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5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1072"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-0.079</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0.306</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-0.309</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0.298</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K2O</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5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1072"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76"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0.165</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0.481</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0.218</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Ca+Mg</w:t>
            </w:r>
            <w:proofErr w:type="spellEnd"/>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5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1072"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7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-0.319</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0.999</w:t>
            </w:r>
            <w:r>
              <w:rPr>
                <w:rFonts w:ascii="Times New Roman" w:eastAsia="Times New Roman" w:hAnsi="Times New Roman" w:cs="Times New Roman"/>
                <w:color w:val="000000"/>
                <w:vertAlign w:val="superscript"/>
              </w:rPr>
              <w:t>**</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5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1072"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7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2"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w:t>
            </w:r>
          </w:p>
        </w:tc>
      </w:tr>
      <w:tr w:rsidR="005211FC">
        <w:trPr>
          <w:cantSplit/>
          <w:tblHeader/>
        </w:trPr>
        <w:tc>
          <w:tcPr>
            <w:tcW w:w="971" w:type="dxa"/>
            <w:vAlign w:val="center"/>
          </w:tcPr>
          <w:p w:rsidR="005211FC" w:rsidRDefault="00C70F3B">
            <w:p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CEC</w:t>
            </w:r>
          </w:p>
        </w:tc>
        <w:tc>
          <w:tcPr>
            <w:tcW w:w="550"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84"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5"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5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1072"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76"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2"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833" w:type="dxa"/>
            <w:vAlign w:val="center"/>
          </w:tcPr>
          <w:p w:rsidR="005211FC" w:rsidRDefault="005211FC">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tc>
        <w:tc>
          <w:tcPr>
            <w:tcW w:w="992" w:type="dxa"/>
            <w:vAlign w:val="center"/>
          </w:tcPr>
          <w:p w:rsidR="005211FC" w:rsidRDefault="00C70F3B">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rsidR="005211FC" w:rsidRDefault="00C70F3B">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Correlation is significant at the 0.01 level (2-tailed).</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Correlation is significant at the 0.05 level (2-tailed).</w:t>
      </w:r>
    </w:p>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sectPr w:rsidR="005211FC">
          <w:pgSz w:w="16839" w:h="11907" w:orient="landscape"/>
          <w:pgMar w:top="1440" w:right="1276" w:bottom="1440" w:left="1560" w:header="567" w:footer="720" w:gutter="0"/>
          <w:cols w:space="720"/>
        </w:sectPr>
      </w:pP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4. CONCLUSION</w:t>
      </w:r>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can be concluded that Gomati and South Tripura district soil can be classified as sandy loam and clay loam with an extreme to strongly acidic </w:t>
      </w:r>
      <w:proofErr w:type="spellStart"/>
      <w:r>
        <w:rPr>
          <w:rFonts w:ascii="Times New Roman" w:eastAsia="Times New Roman" w:hAnsi="Times New Roman" w:cs="Times New Roman"/>
          <w:color w:val="000000"/>
          <w:sz w:val="24"/>
          <w:szCs w:val="24"/>
        </w:rPr>
        <w:t>pH.</w:t>
      </w:r>
      <w:proofErr w:type="spellEnd"/>
      <w:r>
        <w:rPr>
          <w:rFonts w:ascii="Times New Roman" w:eastAsia="Times New Roman" w:hAnsi="Times New Roman" w:cs="Times New Roman"/>
          <w:color w:val="000000"/>
          <w:sz w:val="24"/>
          <w:szCs w:val="24"/>
        </w:rPr>
        <w:t xml:space="preserve"> 50% soil samples had high organic carbon, 28% medium, 22% low and 100% low available nitrogen, phosphate, c</w:t>
      </w:r>
      <w:r>
        <w:rPr>
          <w:rFonts w:ascii="Times New Roman" w:eastAsia="Times New Roman" w:hAnsi="Times New Roman" w:cs="Times New Roman"/>
          <w:color w:val="000000"/>
          <w:sz w:val="24"/>
          <w:szCs w:val="24"/>
        </w:rPr>
        <w:t>alcium sulphur</w:t>
      </w:r>
      <w:r>
        <w:rPr>
          <w:color w:val="000000"/>
        </w:rPr>
        <w:t xml:space="preserve"> </w:t>
      </w:r>
      <w:r>
        <w:rPr>
          <w:rFonts w:ascii="Times New Roman" w:eastAsia="Times New Roman" w:hAnsi="Times New Roman" w:cs="Times New Roman"/>
          <w:color w:val="000000"/>
          <w:sz w:val="24"/>
          <w:szCs w:val="24"/>
        </w:rPr>
        <w:t xml:space="preserve">and magnesium. All the sites reflected medium CEC range due to higher </w:t>
      </w:r>
      <w:r>
        <w:rPr>
          <w:rFonts w:ascii="Times New Roman" w:eastAsia="Times New Roman" w:hAnsi="Times New Roman" w:cs="Times New Roman"/>
          <w:sz w:val="24"/>
          <w:szCs w:val="24"/>
        </w:rPr>
        <w:t>levels</w:t>
      </w:r>
      <w:r>
        <w:rPr>
          <w:rFonts w:ascii="Times New Roman" w:eastAsia="Times New Roman" w:hAnsi="Times New Roman" w:cs="Times New Roman"/>
          <w:color w:val="000000"/>
          <w:sz w:val="24"/>
          <w:szCs w:val="24"/>
        </w:rPr>
        <w:t xml:space="preserve"> of SOC. Intensive plantation as well as rice-fellow cropping pattern in this region created </w:t>
      </w:r>
      <w:r>
        <w:rPr>
          <w:rFonts w:ascii="Times New Roman" w:eastAsia="Times New Roman" w:hAnsi="Times New Roman" w:cs="Times New Roman"/>
          <w:sz w:val="24"/>
          <w:szCs w:val="24"/>
        </w:rPr>
        <w:t>such a result</w:t>
      </w:r>
      <w:r>
        <w:rPr>
          <w:rFonts w:ascii="Times New Roman" w:eastAsia="Times New Roman" w:hAnsi="Times New Roman" w:cs="Times New Roman"/>
          <w:color w:val="000000"/>
          <w:sz w:val="24"/>
          <w:szCs w:val="24"/>
        </w:rPr>
        <w:t>. Considering soil textural classes, policy makers can intr</w:t>
      </w:r>
      <w:r>
        <w:rPr>
          <w:rFonts w:ascii="Times New Roman" w:eastAsia="Times New Roman" w:hAnsi="Times New Roman" w:cs="Times New Roman"/>
          <w:color w:val="000000"/>
          <w:sz w:val="24"/>
          <w:szCs w:val="24"/>
        </w:rPr>
        <w:t>oduce acidic soil suitable leguminous crops in rice-fellow cropping pattern. Application of crop specific bio-fertilizer will increase the productivity and make additional return to the farmers. Soil mapping using GIS may generate an idea about the soil fe</w:t>
      </w:r>
      <w:r>
        <w:rPr>
          <w:rFonts w:ascii="Times New Roman" w:eastAsia="Times New Roman" w:hAnsi="Times New Roman" w:cs="Times New Roman"/>
          <w:color w:val="000000"/>
          <w:sz w:val="24"/>
          <w:szCs w:val="24"/>
        </w:rPr>
        <w:t xml:space="preserve">rtility state and it could be very useful for fertilizer management for a specific area simply by applying previously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soil data, leading to site-specific smart nutrient management. At plantation </w:t>
      </w:r>
      <w:r>
        <w:rPr>
          <w:rFonts w:ascii="Times New Roman" w:eastAsia="Times New Roman" w:hAnsi="Times New Roman" w:cs="Times New Roman"/>
          <w:sz w:val="24"/>
          <w:szCs w:val="24"/>
        </w:rPr>
        <w:t>sites</w:t>
      </w:r>
      <w:r>
        <w:rPr>
          <w:rFonts w:ascii="Times New Roman" w:eastAsia="Times New Roman" w:hAnsi="Times New Roman" w:cs="Times New Roman"/>
          <w:color w:val="000000"/>
          <w:sz w:val="24"/>
          <w:szCs w:val="24"/>
        </w:rPr>
        <w:t xml:space="preserve"> at least 2-tier cropping </w:t>
      </w:r>
      <w:r>
        <w:rPr>
          <w:rFonts w:ascii="Times New Roman" w:eastAsia="Times New Roman" w:hAnsi="Times New Roman" w:cs="Times New Roman"/>
          <w:sz w:val="24"/>
          <w:szCs w:val="24"/>
        </w:rPr>
        <w:t>systems</w:t>
      </w:r>
      <w:r>
        <w:rPr>
          <w:rFonts w:ascii="Times New Roman" w:eastAsia="Times New Roman" w:hAnsi="Times New Roman" w:cs="Times New Roman"/>
          <w:color w:val="000000"/>
          <w:sz w:val="24"/>
          <w:szCs w:val="24"/>
        </w:rPr>
        <w:t xml:space="preserve"> like Sal/Segu</w:t>
      </w:r>
      <w:r>
        <w:rPr>
          <w:rFonts w:ascii="Times New Roman" w:eastAsia="Times New Roman" w:hAnsi="Times New Roman" w:cs="Times New Roman"/>
          <w:color w:val="000000"/>
          <w:sz w:val="24"/>
          <w:szCs w:val="24"/>
        </w:rPr>
        <w:t xml:space="preserve">n-black pepper, Sal-pineapple </w:t>
      </w:r>
      <w:r>
        <w:rPr>
          <w:rFonts w:ascii="Times New Roman" w:eastAsia="Times New Roman" w:hAnsi="Times New Roman" w:cs="Times New Roman"/>
          <w:i/>
          <w:iCs/>
          <w:color w:val="000000"/>
          <w:sz w:val="24"/>
          <w:szCs w:val="24"/>
        </w:rPr>
        <w:t>etc</w:t>
      </w:r>
      <w:r>
        <w:rPr>
          <w:rFonts w:ascii="Times New Roman" w:eastAsia="Times New Roman" w:hAnsi="Times New Roman" w:cs="Times New Roman"/>
          <w:color w:val="000000"/>
          <w:sz w:val="24"/>
          <w:szCs w:val="24"/>
        </w:rPr>
        <w:t>. can be established to uplift socio-economic status of the forest dwellers.</w:t>
      </w:r>
    </w:p>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p w:rsidR="005211FC" w:rsidRDefault="00C70F3B">
      <w:pPr>
        <w:spacing w:after="200" w:line="276" w:lineRule="auto"/>
        <w:jc w:val="both"/>
        <w:rPr>
          <w:rFonts w:ascii="Arial" w:eastAsia="Arial" w:hAnsi="Arial" w:cs="Arial"/>
        </w:rPr>
      </w:pPr>
      <w:r>
        <w:rPr>
          <w:rFonts w:ascii="Arial" w:eastAsia="Arial" w:hAnsi="Arial" w:cs="Arial"/>
          <w:b/>
          <w:bCs/>
        </w:rPr>
        <w:t>COMPETING INTERESTS DISCLAIMER:</w:t>
      </w:r>
    </w:p>
    <w:p w:rsidR="005211FC" w:rsidRDefault="00C70F3B">
      <w:pPr>
        <w:spacing w:after="200" w:line="276" w:lineRule="auto"/>
      </w:pPr>
      <w:r>
        <w:t>Authors have declared that they have no known competing financial interests OR non-financial interests OR personal relationships that could have appeared to influence the work reported in this paper.</w:t>
      </w:r>
    </w:p>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p w:rsidR="005211FC" w:rsidRDefault="00C70F3B">
      <w:pPr>
        <w:rPr>
          <w:highlight w:val="yellow"/>
        </w:rPr>
      </w:pPr>
      <w:bookmarkStart w:id="1" w:name="_heading=h.l5h8lbsk0ft4" w:colFirst="0" w:colLast="0"/>
      <w:bookmarkEnd w:id="1"/>
      <w:r>
        <w:rPr>
          <w:highlight w:val="yellow"/>
        </w:rPr>
        <w:t>Disclaimer (Artificial intelligence)</w:t>
      </w:r>
    </w:p>
    <w:p w:rsidR="005211FC" w:rsidRDefault="00C70F3B">
      <w:pPr>
        <w:rPr>
          <w:highlight w:val="yellow"/>
        </w:rPr>
      </w:pPr>
      <w:r>
        <w:rPr>
          <w:highlight w:val="yellow"/>
        </w:rPr>
        <w:t xml:space="preserve">Option 1: </w:t>
      </w:r>
    </w:p>
    <w:p w:rsidR="005211FC" w:rsidRDefault="00C70F3B">
      <w:pPr>
        <w:rPr>
          <w:highlight w:val="yellow"/>
        </w:rPr>
      </w:pPr>
      <w:r>
        <w:rPr>
          <w:highlight w:val="yellow"/>
        </w:rPr>
        <w:t>Author(s) hereby declare that NO generative AI techno</w:t>
      </w:r>
      <w:r>
        <w:rPr>
          <w:highlight w:val="yellow"/>
        </w:rPr>
        <w:t>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5211FC" w:rsidRDefault="005211FC"/>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bookmarkStart w:id="2" w:name="_heading=h.qpevq7gcnlyz" w:colFirst="0" w:colLast="0"/>
      <w:bookmarkEnd w:id="2"/>
    </w:p>
    <w:p w:rsidR="005211FC" w:rsidRDefault="00C70F3B">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 REFERENCES</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Bharteey</w:t>
      </w:r>
      <w:proofErr w:type="spellEnd"/>
      <w:r>
        <w:rPr>
          <w:rFonts w:ascii="Times New Roman" w:eastAsia="Times New Roman" w:hAnsi="Times New Roman" w:cs="Times New Roman"/>
          <w:color w:val="000000"/>
          <w:sz w:val="24"/>
          <w:szCs w:val="24"/>
        </w:rPr>
        <w:t xml:space="preserve">, P. K., Singh, Y. V., Sharma </w:t>
      </w:r>
      <w:proofErr w:type="spellStart"/>
      <w:r>
        <w:rPr>
          <w:rFonts w:ascii="Times New Roman" w:eastAsia="Times New Roman" w:hAnsi="Times New Roman" w:cs="Times New Roman"/>
          <w:color w:val="000000"/>
          <w:sz w:val="24"/>
          <w:szCs w:val="24"/>
        </w:rPr>
        <w:t>Sukirtee</w:t>
      </w:r>
      <w:proofErr w:type="spellEnd"/>
      <w:r>
        <w:rPr>
          <w:rFonts w:ascii="Times New Roman" w:eastAsia="Times New Roman" w:hAnsi="Times New Roman" w:cs="Times New Roman"/>
          <w:color w:val="000000"/>
          <w:sz w:val="24"/>
          <w:szCs w:val="24"/>
        </w:rPr>
        <w:t xml:space="preserve">, P. K., Kumar, M., &amp; Rai, A. K. (2017). Available Macro Nutrient Status and their Relationship with Soil </w:t>
      </w:r>
      <w:proofErr w:type="spellStart"/>
      <w:r>
        <w:rPr>
          <w:rFonts w:ascii="Times New Roman" w:eastAsia="Times New Roman" w:hAnsi="Times New Roman" w:cs="Times New Roman"/>
          <w:color w:val="000000"/>
          <w:sz w:val="24"/>
          <w:szCs w:val="24"/>
        </w:rPr>
        <w:t>Physico</w:t>
      </w:r>
      <w:proofErr w:type="spellEnd"/>
      <w:r>
        <w:rPr>
          <w:rFonts w:ascii="Times New Roman" w:eastAsia="Times New Roman" w:hAnsi="Times New Roman" w:cs="Times New Roman"/>
          <w:color w:val="000000"/>
          <w:sz w:val="24"/>
          <w:szCs w:val="24"/>
        </w:rPr>
        <w:t xml:space="preserve">-Chemical Properties of </w:t>
      </w:r>
      <w:proofErr w:type="spellStart"/>
      <w:r>
        <w:rPr>
          <w:rFonts w:ascii="Times New Roman" w:eastAsia="Times New Roman" w:hAnsi="Times New Roman" w:cs="Times New Roman"/>
          <w:color w:val="000000"/>
          <w:sz w:val="24"/>
          <w:szCs w:val="24"/>
        </w:rPr>
        <w:t>Mirzapur</w:t>
      </w:r>
      <w:proofErr w:type="spellEnd"/>
      <w:r>
        <w:rPr>
          <w:rFonts w:ascii="Times New Roman" w:eastAsia="Times New Roman" w:hAnsi="Times New Roman" w:cs="Times New Roman"/>
          <w:color w:val="000000"/>
          <w:sz w:val="24"/>
          <w:szCs w:val="24"/>
        </w:rPr>
        <w:t xml:space="preserve"> District of Uttar- Pradesh, India. International Journal of Curr</w:t>
      </w:r>
      <w:r>
        <w:rPr>
          <w:rFonts w:ascii="Times New Roman" w:eastAsia="Times New Roman" w:hAnsi="Times New Roman" w:cs="Times New Roman"/>
          <w:color w:val="000000"/>
          <w:sz w:val="24"/>
          <w:szCs w:val="24"/>
        </w:rPr>
        <w:t xml:space="preserve">ent Microbiology and Applied Sciences, 6(7), 2829-2837. </w:t>
      </w:r>
      <w:hyperlink r:id="rId36">
        <w:r>
          <w:rPr>
            <w:rFonts w:ascii="Times New Roman" w:eastAsia="Times New Roman" w:hAnsi="Times New Roman" w:cs="Times New Roman"/>
            <w:color w:val="0000FF"/>
            <w:sz w:val="24"/>
            <w:szCs w:val="24"/>
            <w:u w:val="single"/>
          </w:rPr>
          <w:t>https://doi.org/10.20546/ijcmas.2017.607.394</w:t>
        </w:r>
      </w:hyperlink>
      <w:r>
        <w:rPr>
          <w:rFonts w:ascii="Times New Roman" w:eastAsia="Times New Roman" w:hAnsi="Times New Roman" w:cs="Times New Roman"/>
          <w:color w:val="000000"/>
          <w:sz w:val="24"/>
          <w:szCs w:val="24"/>
        </w:rPr>
        <w:t xml:space="preserve"> </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Bharteey</w:t>
      </w:r>
      <w:proofErr w:type="spellEnd"/>
      <w:r>
        <w:rPr>
          <w:rFonts w:ascii="Times New Roman" w:eastAsia="Times New Roman" w:hAnsi="Times New Roman" w:cs="Times New Roman"/>
          <w:color w:val="000000"/>
          <w:sz w:val="24"/>
          <w:szCs w:val="24"/>
        </w:rPr>
        <w:t xml:space="preserve">, P. K., Deka, B., Dutta, M., Goswami, J., &amp; </w:t>
      </w:r>
      <w:proofErr w:type="spellStart"/>
      <w:r>
        <w:rPr>
          <w:rFonts w:ascii="Times New Roman" w:eastAsia="Times New Roman" w:hAnsi="Times New Roman" w:cs="Times New Roman"/>
          <w:color w:val="000000"/>
          <w:sz w:val="24"/>
          <w:szCs w:val="24"/>
        </w:rPr>
        <w:t>Saikia</w:t>
      </w:r>
      <w:proofErr w:type="spellEnd"/>
      <w:r>
        <w:rPr>
          <w:rFonts w:ascii="Times New Roman" w:eastAsia="Times New Roman" w:hAnsi="Times New Roman" w:cs="Times New Roman"/>
          <w:color w:val="000000"/>
          <w:sz w:val="24"/>
          <w:szCs w:val="24"/>
        </w:rPr>
        <w:t xml:space="preserve">, R. (2023). Geospatial variability of soil </w:t>
      </w:r>
      <w:proofErr w:type="spellStart"/>
      <w:r>
        <w:rPr>
          <w:rFonts w:ascii="Times New Roman" w:eastAsia="Times New Roman" w:hAnsi="Times New Roman" w:cs="Times New Roman"/>
          <w:color w:val="000000"/>
          <w:sz w:val="24"/>
          <w:szCs w:val="24"/>
        </w:rPr>
        <w:t>physico</w:t>
      </w:r>
      <w:proofErr w:type="spellEnd"/>
      <w:r>
        <w:rPr>
          <w:rFonts w:ascii="Times New Roman" w:eastAsia="Times New Roman" w:hAnsi="Times New Roman" w:cs="Times New Roman"/>
          <w:color w:val="000000"/>
          <w:sz w:val="24"/>
          <w:szCs w:val="24"/>
        </w:rPr>
        <w:t xml:space="preserve">-chemical properties of </w:t>
      </w:r>
      <w:proofErr w:type="spellStart"/>
      <w:r>
        <w:rPr>
          <w:rFonts w:ascii="Times New Roman" w:eastAsia="Times New Roman" w:hAnsi="Times New Roman" w:cs="Times New Roman"/>
          <w:color w:val="000000"/>
          <w:sz w:val="24"/>
          <w:szCs w:val="24"/>
        </w:rPr>
        <w:t>Moridhal</w:t>
      </w:r>
      <w:proofErr w:type="spellEnd"/>
      <w:r>
        <w:rPr>
          <w:rFonts w:ascii="Times New Roman" w:eastAsia="Times New Roman" w:hAnsi="Times New Roman" w:cs="Times New Roman"/>
          <w:color w:val="000000"/>
          <w:sz w:val="24"/>
          <w:szCs w:val="24"/>
        </w:rPr>
        <w:t xml:space="preserve"> watershed in </w:t>
      </w:r>
      <w:proofErr w:type="spellStart"/>
      <w:r>
        <w:rPr>
          <w:rFonts w:ascii="Times New Roman" w:eastAsia="Times New Roman" w:hAnsi="Times New Roman" w:cs="Times New Roman"/>
          <w:color w:val="000000"/>
          <w:sz w:val="24"/>
          <w:szCs w:val="24"/>
        </w:rPr>
        <w:t>Dhemaji</w:t>
      </w:r>
      <w:proofErr w:type="spellEnd"/>
      <w:r>
        <w:rPr>
          <w:rFonts w:ascii="Times New Roman" w:eastAsia="Times New Roman" w:hAnsi="Times New Roman" w:cs="Times New Roman"/>
          <w:color w:val="000000"/>
          <w:sz w:val="24"/>
          <w:szCs w:val="24"/>
        </w:rPr>
        <w:t xml:space="preserve"> district of Assam, India using remote sensing and GIS. Annals of Plant and Soil Research, 25</w:t>
      </w:r>
      <w:r>
        <w:rPr>
          <w:rFonts w:ascii="Times New Roman" w:eastAsia="Times New Roman" w:hAnsi="Times New Roman" w:cs="Times New Roman"/>
          <w:color w:val="000000"/>
          <w:sz w:val="24"/>
          <w:szCs w:val="24"/>
        </w:rPr>
        <w:t xml:space="preserve">(1), 99-109. </w:t>
      </w:r>
      <w:hyperlink r:id="rId37">
        <w:r>
          <w:rPr>
            <w:rFonts w:ascii="Times New Roman" w:eastAsia="Times New Roman" w:hAnsi="Times New Roman" w:cs="Times New Roman"/>
            <w:color w:val="0000FF"/>
            <w:sz w:val="24"/>
            <w:szCs w:val="24"/>
            <w:u w:val="single"/>
          </w:rPr>
          <w:t>https://doi.org/10.47815/apsr.2023.10242</w:t>
        </w:r>
      </w:hyperlink>
      <w:r>
        <w:rPr>
          <w:rFonts w:ascii="Times New Roman" w:eastAsia="Times New Roman" w:hAnsi="Times New Roman" w:cs="Times New Roman"/>
          <w:color w:val="000000"/>
          <w:sz w:val="24"/>
          <w:szCs w:val="24"/>
        </w:rPr>
        <w:t xml:space="preserve"> </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Black, C. A. (Ed.). (1965). Methods of Soil Analysis: Part 1 Physical and Mineralogical Properties, Including Statistics of Measurement and S</w:t>
      </w:r>
      <w:r>
        <w:rPr>
          <w:rFonts w:ascii="Times New Roman" w:eastAsia="Times New Roman" w:hAnsi="Times New Roman" w:cs="Times New Roman"/>
          <w:color w:val="000000"/>
          <w:sz w:val="24"/>
          <w:szCs w:val="24"/>
        </w:rPr>
        <w:t xml:space="preserve">ampling. American Society of Agronomy. </w:t>
      </w:r>
      <w:hyperlink r:id="rId38">
        <w:r>
          <w:rPr>
            <w:rFonts w:ascii="Times New Roman" w:eastAsia="Times New Roman" w:hAnsi="Times New Roman" w:cs="Times New Roman"/>
            <w:color w:val="0000FF"/>
            <w:sz w:val="24"/>
            <w:szCs w:val="24"/>
            <w:u w:val="single"/>
          </w:rPr>
          <w:t>https://doi.org/10.2134/agronmonogr9.1</w:t>
        </w:r>
      </w:hyperlink>
      <w:r>
        <w:rPr>
          <w:rFonts w:ascii="Times New Roman" w:eastAsia="Times New Roman" w:hAnsi="Times New Roman" w:cs="Times New Roman"/>
          <w:color w:val="000000"/>
          <w:sz w:val="24"/>
          <w:szCs w:val="24"/>
        </w:rPr>
        <w:t xml:space="preserve"> </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Bray, R. H., &amp; Kurtz, L. T. (1945). Determination of total, organic, and available forms of phosphorus in soils. Soil S</w:t>
      </w:r>
      <w:r>
        <w:rPr>
          <w:rFonts w:ascii="Times New Roman" w:eastAsia="Times New Roman" w:hAnsi="Times New Roman" w:cs="Times New Roman"/>
          <w:color w:val="000000"/>
          <w:sz w:val="24"/>
          <w:szCs w:val="24"/>
        </w:rPr>
        <w:t xml:space="preserve">cience, 59, 39-45. </w:t>
      </w:r>
      <w:hyperlink r:id="rId39">
        <w:r>
          <w:rPr>
            <w:rFonts w:ascii="Times New Roman" w:eastAsia="Times New Roman" w:hAnsi="Times New Roman" w:cs="Times New Roman"/>
            <w:color w:val="0000FF"/>
            <w:sz w:val="24"/>
            <w:szCs w:val="24"/>
            <w:u w:val="single"/>
          </w:rPr>
          <w:t>https://doi.org/10.1097/00010694-194501000-00006</w:t>
        </w:r>
      </w:hyperlink>
      <w:r>
        <w:rPr>
          <w:rFonts w:ascii="Times New Roman" w:eastAsia="Times New Roman" w:hAnsi="Times New Roman" w:cs="Times New Roman"/>
          <w:color w:val="000000"/>
          <w:sz w:val="24"/>
          <w:szCs w:val="24"/>
        </w:rPr>
        <w:t xml:space="preserve"> </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Cheng, K. L., &amp; Bray, R. H. (1951). Determination of calcium and magnesium in soil and plant material. Soil Science, 72</w:t>
      </w:r>
      <w:r>
        <w:rPr>
          <w:rFonts w:ascii="Times New Roman" w:eastAsia="Times New Roman" w:hAnsi="Times New Roman" w:cs="Times New Roman"/>
          <w:color w:val="000000"/>
          <w:sz w:val="24"/>
          <w:szCs w:val="24"/>
        </w:rPr>
        <w:t xml:space="preserve">(6), 449-458. </w:t>
      </w:r>
      <w:hyperlink r:id="rId40">
        <w:r>
          <w:rPr>
            <w:rFonts w:ascii="Times New Roman" w:eastAsia="Times New Roman" w:hAnsi="Times New Roman" w:cs="Times New Roman"/>
            <w:color w:val="0000FF"/>
            <w:sz w:val="24"/>
            <w:szCs w:val="24"/>
            <w:u w:val="single"/>
          </w:rPr>
          <w:t>https://doi.org/10.1097/00010694-195112000-00005</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Chesnin</w:t>
      </w:r>
      <w:proofErr w:type="spellEnd"/>
      <w:r>
        <w:rPr>
          <w:rFonts w:ascii="Times New Roman" w:eastAsia="Times New Roman" w:hAnsi="Times New Roman" w:cs="Times New Roman"/>
          <w:color w:val="000000"/>
          <w:sz w:val="24"/>
          <w:szCs w:val="24"/>
        </w:rPr>
        <w:t xml:space="preserve">, L., &amp; </w:t>
      </w:r>
      <w:proofErr w:type="spellStart"/>
      <w:r>
        <w:rPr>
          <w:rFonts w:ascii="Times New Roman" w:eastAsia="Times New Roman" w:hAnsi="Times New Roman" w:cs="Times New Roman"/>
          <w:color w:val="000000"/>
          <w:sz w:val="24"/>
          <w:szCs w:val="24"/>
        </w:rPr>
        <w:t>Yien</w:t>
      </w:r>
      <w:proofErr w:type="spellEnd"/>
      <w:r>
        <w:rPr>
          <w:rFonts w:ascii="Times New Roman" w:eastAsia="Times New Roman" w:hAnsi="Times New Roman" w:cs="Times New Roman"/>
          <w:color w:val="000000"/>
          <w:sz w:val="24"/>
          <w:szCs w:val="24"/>
        </w:rPr>
        <w:t xml:space="preserve">, C. H. (1951). Turbidimetric determination of available </w:t>
      </w:r>
      <w:proofErr w:type="spellStart"/>
      <w:r>
        <w:rPr>
          <w:rFonts w:ascii="Times New Roman" w:eastAsia="Times New Roman" w:hAnsi="Times New Roman" w:cs="Times New Roman"/>
          <w:color w:val="000000"/>
          <w:sz w:val="24"/>
          <w:szCs w:val="24"/>
        </w:rPr>
        <w:t>sulfates</w:t>
      </w:r>
      <w:proofErr w:type="spellEnd"/>
      <w:r>
        <w:rPr>
          <w:rFonts w:ascii="Times New Roman" w:eastAsia="Times New Roman" w:hAnsi="Times New Roman" w:cs="Times New Roman"/>
          <w:color w:val="000000"/>
          <w:sz w:val="24"/>
          <w:szCs w:val="24"/>
        </w:rPr>
        <w:t>. Soil Science Society of America Journal</w:t>
      </w:r>
      <w:r>
        <w:rPr>
          <w:rFonts w:ascii="Times New Roman" w:eastAsia="Times New Roman" w:hAnsi="Times New Roman" w:cs="Times New Roman"/>
          <w:color w:val="000000"/>
          <w:sz w:val="24"/>
          <w:szCs w:val="24"/>
        </w:rPr>
        <w:t xml:space="preserve">, 15, 149-151. </w:t>
      </w:r>
      <w:hyperlink r:id="rId41">
        <w:r>
          <w:rPr>
            <w:rFonts w:ascii="Times New Roman" w:eastAsia="Times New Roman" w:hAnsi="Times New Roman" w:cs="Times New Roman"/>
            <w:color w:val="0000FF"/>
            <w:sz w:val="24"/>
            <w:szCs w:val="24"/>
            <w:u w:val="single"/>
          </w:rPr>
          <w:t>https://doi.org/10.2136/sssaj1951.036159950015000C0032x</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Gökbulak</w:t>
      </w:r>
      <w:proofErr w:type="spellEnd"/>
      <w:r>
        <w:rPr>
          <w:rFonts w:ascii="Times New Roman" w:eastAsia="Times New Roman" w:hAnsi="Times New Roman" w:cs="Times New Roman"/>
          <w:color w:val="000000"/>
          <w:sz w:val="24"/>
          <w:szCs w:val="24"/>
        </w:rPr>
        <w:t xml:space="preserve">, F., &amp; </w:t>
      </w:r>
      <w:proofErr w:type="spellStart"/>
      <w:r>
        <w:rPr>
          <w:rFonts w:ascii="Times New Roman" w:eastAsia="Times New Roman" w:hAnsi="Times New Roman" w:cs="Times New Roman"/>
          <w:color w:val="000000"/>
          <w:sz w:val="24"/>
          <w:szCs w:val="24"/>
        </w:rPr>
        <w:t>Özcan</w:t>
      </w:r>
      <w:proofErr w:type="spellEnd"/>
      <w:r>
        <w:rPr>
          <w:rFonts w:ascii="Times New Roman" w:eastAsia="Times New Roman" w:hAnsi="Times New Roman" w:cs="Times New Roman"/>
          <w:color w:val="000000"/>
          <w:sz w:val="24"/>
          <w:szCs w:val="24"/>
        </w:rPr>
        <w:t>, M. (2008). Hydro-physical properties of soils developed from different parent materials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Geoderma</w:t>
      </w:r>
      <w:proofErr w:type="spellEnd"/>
      <w:r>
        <w:rPr>
          <w:rFonts w:ascii="Times New Roman" w:eastAsia="Times New Roman" w:hAnsi="Times New Roman" w:cs="Times New Roman"/>
          <w:color w:val="000000"/>
          <w:sz w:val="24"/>
          <w:szCs w:val="24"/>
        </w:rPr>
        <w:t xml:space="preserve">, 145(3-4), 376-380. </w:t>
      </w:r>
      <w:hyperlink r:id="rId42">
        <w:r>
          <w:rPr>
            <w:rFonts w:ascii="Times New Roman" w:eastAsia="Times New Roman" w:hAnsi="Times New Roman" w:cs="Times New Roman"/>
            <w:color w:val="0000FF"/>
            <w:sz w:val="24"/>
            <w:szCs w:val="24"/>
            <w:u w:val="single"/>
          </w:rPr>
          <w:t>https://doi.org/10.1016/j.geoderma.2008.04.006</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Gautam, M.K., Sharma, S., Kumar, A., Kumar, S., Jayant, H., </w:t>
      </w:r>
      <w:proofErr w:type="spellStart"/>
      <w:r>
        <w:rPr>
          <w:rFonts w:ascii="Times New Roman" w:eastAsia="Times New Roman" w:hAnsi="Times New Roman" w:cs="Times New Roman"/>
          <w:sz w:val="24"/>
          <w:szCs w:val="24"/>
        </w:rPr>
        <w:t>Sachan</w:t>
      </w:r>
      <w:proofErr w:type="spellEnd"/>
      <w:r>
        <w:rPr>
          <w:rFonts w:ascii="Times New Roman" w:eastAsia="Times New Roman" w:hAnsi="Times New Roman" w:cs="Times New Roman"/>
          <w:sz w:val="24"/>
          <w:szCs w:val="24"/>
        </w:rPr>
        <w:t xml:space="preserve">, R. &amp; Kumar, M. (2023).  </w:t>
      </w:r>
      <w:r>
        <w:rPr>
          <w:rFonts w:ascii="Times New Roman" w:eastAsia="Times New Roman" w:hAnsi="Times New Roman" w:cs="Times New Roman"/>
          <w:color w:val="333333"/>
          <w:sz w:val="24"/>
          <w:szCs w:val="24"/>
        </w:rPr>
        <w:t>Assessment of Soil F</w:t>
      </w:r>
      <w:r>
        <w:rPr>
          <w:rFonts w:ascii="Times New Roman" w:eastAsia="Times New Roman" w:hAnsi="Times New Roman" w:cs="Times New Roman"/>
          <w:color w:val="333333"/>
          <w:sz w:val="24"/>
          <w:szCs w:val="24"/>
        </w:rPr>
        <w:t xml:space="preserve">ertility Status under the Barren Land Soil of the Central Plain Zone of Uttar Pradesh, India”. </w:t>
      </w:r>
      <w:r>
        <w:rPr>
          <w:rFonts w:ascii="Times New Roman" w:eastAsia="Times New Roman" w:hAnsi="Times New Roman" w:cs="Times New Roman"/>
          <w:i/>
          <w:iCs/>
          <w:color w:val="333333"/>
          <w:sz w:val="24"/>
          <w:szCs w:val="24"/>
        </w:rPr>
        <w:t>International Journal of Environment and Climate Change</w:t>
      </w:r>
      <w:r>
        <w:rPr>
          <w:rFonts w:ascii="Times New Roman" w:eastAsia="Times New Roman" w:hAnsi="Times New Roman" w:cs="Times New Roman"/>
          <w:color w:val="333333"/>
          <w:sz w:val="24"/>
          <w:szCs w:val="24"/>
        </w:rPr>
        <w:t xml:space="preserve"> 13 (10):483–490. </w:t>
      </w:r>
      <w:hyperlink r:id="rId43">
        <w:r>
          <w:rPr>
            <w:rFonts w:ascii="Times New Roman" w:eastAsia="Times New Roman" w:hAnsi="Times New Roman" w:cs="Times New Roman"/>
            <w:color w:val="1155CC"/>
            <w:sz w:val="24"/>
            <w:szCs w:val="24"/>
            <w:u w:val="single"/>
          </w:rPr>
          <w:t>https://doi.org/10.9734/ijecc/2023/v13i102672</w:t>
        </w:r>
      </w:hyperlink>
      <w:r>
        <w:rPr>
          <w:rFonts w:ascii="Times New Roman" w:eastAsia="Times New Roman" w:hAnsi="Times New Roman" w:cs="Times New Roman"/>
          <w:color w:val="333333"/>
          <w:sz w:val="24"/>
          <w:szCs w:val="24"/>
        </w:rPr>
        <w:t xml:space="preserve">. </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Grando</w:t>
      </w:r>
      <w:proofErr w:type="spellEnd"/>
      <w:r>
        <w:rPr>
          <w:rFonts w:ascii="Times New Roman" w:eastAsia="Times New Roman" w:hAnsi="Times New Roman" w:cs="Times New Roman"/>
          <w:color w:val="000000"/>
          <w:sz w:val="24"/>
          <w:szCs w:val="24"/>
        </w:rPr>
        <w:t xml:space="preserve">, D. L., Martins, C. G., </w:t>
      </w:r>
      <w:proofErr w:type="spellStart"/>
      <w:r>
        <w:rPr>
          <w:rFonts w:ascii="Times New Roman" w:eastAsia="Times New Roman" w:hAnsi="Times New Roman" w:cs="Times New Roman"/>
          <w:color w:val="000000"/>
          <w:sz w:val="24"/>
          <w:szCs w:val="24"/>
        </w:rPr>
        <w:t>Deponti</w:t>
      </w:r>
      <w:proofErr w:type="spellEnd"/>
      <w:r>
        <w:rPr>
          <w:rFonts w:ascii="Times New Roman" w:eastAsia="Times New Roman" w:hAnsi="Times New Roman" w:cs="Times New Roman"/>
          <w:color w:val="000000"/>
          <w:sz w:val="24"/>
          <w:szCs w:val="24"/>
        </w:rPr>
        <w:t xml:space="preserve">, L. P., Rodrigues, M. L., </w:t>
      </w:r>
      <w:proofErr w:type="spellStart"/>
      <w:r>
        <w:rPr>
          <w:rFonts w:ascii="Times New Roman" w:eastAsia="Times New Roman" w:hAnsi="Times New Roman" w:cs="Times New Roman"/>
          <w:color w:val="000000"/>
          <w:sz w:val="24"/>
          <w:szCs w:val="24"/>
        </w:rPr>
        <w:t>Mumbach</w:t>
      </w:r>
      <w:proofErr w:type="spellEnd"/>
      <w:r>
        <w:rPr>
          <w:rFonts w:ascii="Times New Roman" w:eastAsia="Times New Roman" w:hAnsi="Times New Roman" w:cs="Times New Roman"/>
          <w:color w:val="000000"/>
          <w:sz w:val="24"/>
          <w:szCs w:val="24"/>
        </w:rPr>
        <w:t xml:space="preserve">, G. L., Schmitt, D. E., </w:t>
      </w:r>
      <w:proofErr w:type="spellStart"/>
      <w:r>
        <w:rPr>
          <w:rFonts w:ascii="Times New Roman" w:eastAsia="Times New Roman" w:hAnsi="Times New Roman" w:cs="Times New Roman"/>
          <w:color w:val="000000"/>
          <w:sz w:val="24"/>
          <w:szCs w:val="24"/>
        </w:rPr>
        <w:t>Moterle</w:t>
      </w:r>
      <w:proofErr w:type="spellEnd"/>
      <w:r>
        <w:rPr>
          <w:rFonts w:ascii="Times New Roman" w:eastAsia="Times New Roman" w:hAnsi="Times New Roman" w:cs="Times New Roman"/>
          <w:color w:val="000000"/>
          <w:sz w:val="24"/>
          <w:szCs w:val="24"/>
        </w:rPr>
        <w:t xml:space="preserve">, D. F., </w:t>
      </w:r>
      <w:proofErr w:type="spellStart"/>
      <w:r>
        <w:rPr>
          <w:rFonts w:ascii="Times New Roman" w:eastAsia="Times New Roman" w:hAnsi="Times New Roman" w:cs="Times New Roman"/>
          <w:color w:val="000000"/>
          <w:sz w:val="24"/>
          <w:szCs w:val="24"/>
        </w:rPr>
        <w:t>Tiecher</w:t>
      </w:r>
      <w:proofErr w:type="spellEnd"/>
      <w:r>
        <w:rPr>
          <w:rFonts w:ascii="Times New Roman" w:eastAsia="Times New Roman" w:hAnsi="Times New Roman" w:cs="Times New Roman"/>
          <w:color w:val="000000"/>
          <w:sz w:val="24"/>
          <w:szCs w:val="24"/>
        </w:rPr>
        <w:t xml:space="preserve">, T. L., </w:t>
      </w:r>
      <w:proofErr w:type="spellStart"/>
      <w:r>
        <w:rPr>
          <w:rFonts w:ascii="Times New Roman" w:eastAsia="Times New Roman" w:hAnsi="Times New Roman" w:cs="Times New Roman"/>
          <w:color w:val="000000"/>
          <w:sz w:val="24"/>
          <w:szCs w:val="24"/>
        </w:rPr>
        <w:t>Garlet</w:t>
      </w:r>
      <w:proofErr w:type="spellEnd"/>
      <w:r>
        <w:rPr>
          <w:rFonts w:ascii="Times New Roman" w:eastAsia="Times New Roman" w:hAnsi="Times New Roman" w:cs="Times New Roman"/>
          <w:color w:val="000000"/>
          <w:sz w:val="24"/>
          <w:szCs w:val="24"/>
        </w:rPr>
        <w:t xml:space="preserve">, L. P., Dunker, L. S., Papalia, D. G., &amp; </w:t>
      </w:r>
      <w:proofErr w:type="spellStart"/>
      <w:r>
        <w:rPr>
          <w:rFonts w:ascii="Times New Roman" w:eastAsia="Times New Roman" w:hAnsi="Times New Roman" w:cs="Times New Roman"/>
          <w:color w:val="000000"/>
          <w:sz w:val="24"/>
          <w:szCs w:val="24"/>
        </w:rPr>
        <w:t>Brunetto</w:t>
      </w:r>
      <w:proofErr w:type="spellEnd"/>
      <w:r>
        <w:rPr>
          <w:rFonts w:ascii="Times New Roman" w:eastAsia="Times New Roman" w:hAnsi="Times New Roman" w:cs="Times New Roman"/>
          <w:color w:val="000000"/>
          <w:sz w:val="24"/>
          <w:szCs w:val="24"/>
        </w:rPr>
        <w:t xml:space="preserve">, G. (2025). Potassium </w:t>
      </w:r>
      <w:r>
        <w:rPr>
          <w:rFonts w:ascii="Times New Roman" w:eastAsia="Times New Roman" w:hAnsi="Times New Roman" w:cs="Times New Roman"/>
          <w:color w:val="000000"/>
          <w:sz w:val="24"/>
          <w:szCs w:val="24"/>
        </w:rPr>
        <w:t xml:space="preserve">buffer capacity in subtropical soils with high organic matter content. </w:t>
      </w:r>
      <w:proofErr w:type="spellStart"/>
      <w:r>
        <w:rPr>
          <w:rFonts w:ascii="Times New Roman" w:eastAsia="Times New Roman" w:hAnsi="Times New Roman" w:cs="Times New Roman"/>
          <w:color w:val="000000"/>
          <w:sz w:val="24"/>
          <w:szCs w:val="24"/>
        </w:rPr>
        <w:t>Revista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Sociedade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Brasileira</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Ciência</w:t>
      </w:r>
      <w:proofErr w:type="spellEnd"/>
      <w:r>
        <w:rPr>
          <w:rFonts w:ascii="Times New Roman" w:eastAsia="Times New Roman" w:hAnsi="Times New Roman" w:cs="Times New Roman"/>
          <w:color w:val="000000"/>
          <w:sz w:val="24"/>
          <w:szCs w:val="24"/>
        </w:rPr>
        <w:t xml:space="preserve"> do Solo (Brazilian Society of Soil Science), 49, e0240201. </w:t>
      </w:r>
      <w:hyperlink r:id="rId44">
        <w:r>
          <w:rPr>
            <w:rFonts w:ascii="Times New Roman" w:eastAsia="Times New Roman" w:hAnsi="Times New Roman" w:cs="Times New Roman"/>
            <w:color w:val="0000FF"/>
            <w:sz w:val="24"/>
            <w:szCs w:val="24"/>
            <w:u w:val="single"/>
          </w:rPr>
          <w:t>https://doi.org/10.36</w:t>
        </w:r>
        <w:r>
          <w:rPr>
            <w:rFonts w:ascii="Times New Roman" w:eastAsia="Times New Roman" w:hAnsi="Times New Roman" w:cs="Times New Roman"/>
            <w:color w:val="0000FF"/>
            <w:sz w:val="24"/>
            <w:szCs w:val="24"/>
            <w:u w:val="single"/>
          </w:rPr>
          <w:t>783/18069657rbcs20240201</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Hanway</w:t>
      </w:r>
      <w:proofErr w:type="spellEnd"/>
      <w:r>
        <w:rPr>
          <w:rFonts w:ascii="Times New Roman" w:eastAsia="Times New Roman" w:hAnsi="Times New Roman" w:cs="Times New Roman"/>
          <w:color w:val="000000"/>
          <w:sz w:val="24"/>
          <w:szCs w:val="24"/>
        </w:rPr>
        <w:t xml:space="preserve">, J.J. &amp; </w:t>
      </w:r>
      <w:proofErr w:type="spellStart"/>
      <w:r>
        <w:rPr>
          <w:rFonts w:ascii="Times New Roman" w:eastAsia="Times New Roman" w:hAnsi="Times New Roman" w:cs="Times New Roman"/>
          <w:color w:val="000000"/>
          <w:sz w:val="24"/>
          <w:szCs w:val="24"/>
        </w:rPr>
        <w:t>Heidel</w:t>
      </w:r>
      <w:proofErr w:type="spellEnd"/>
      <w:r>
        <w:rPr>
          <w:rFonts w:ascii="Times New Roman" w:eastAsia="Times New Roman" w:hAnsi="Times New Roman" w:cs="Times New Roman"/>
          <w:color w:val="000000"/>
          <w:sz w:val="24"/>
          <w:szCs w:val="24"/>
        </w:rPr>
        <w:t xml:space="preserve">, H. (1952). Soil analysis methods as used in Iowa state college soil testing laboratory. </w:t>
      </w:r>
      <w:r>
        <w:rPr>
          <w:rFonts w:ascii="Times New Roman" w:eastAsia="Times New Roman" w:hAnsi="Times New Roman" w:cs="Times New Roman"/>
          <w:i/>
          <w:iCs/>
          <w:color w:val="000000"/>
          <w:sz w:val="24"/>
          <w:szCs w:val="24"/>
        </w:rPr>
        <w:t>Iowa Agriculture</w:t>
      </w:r>
      <w:r>
        <w:rPr>
          <w:rFonts w:ascii="Times New Roman" w:eastAsia="Times New Roman" w:hAnsi="Times New Roman" w:cs="Times New Roman"/>
          <w:color w:val="000000"/>
          <w:sz w:val="24"/>
          <w:szCs w:val="24"/>
        </w:rPr>
        <w:t>, 57, 1-31.</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Havlin</w:t>
      </w:r>
      <w:proofErr w:type="spellEnd"/>
      <w:r>
        <w:rPr>
          <w:rFonts w:ascii="Times New Roman" w:eastAsia="Times New Roman" w:hAnsi="Times New Roman" w:cs="Times New Roman"/>
          <w:color w:val="000000"/>
          <w:sz w:val="24"/>
          <w:szCs w:val="24"/>
        </w:rPr>
        <w:t>, H.L., Beaton, J.D., Tisdale, S.L. &amp; Nelson, W.L. (2010). Soil fertility and fertiliz</w:t>
      </w:r>
      <w:r>
        <w:rPr>
          <w:rFonts w:ascii="Times New Roman" w:eastAsia="Times New Roman" w:hAnsi="Times New Roman" w:cs="Times New Roman"/>
          <w:color w:val="000000"/>
          <w:sz w:val="24"/>
          <w:szCs w:val="24"/>
        </w:rPr>
        <w:t>ers: An introduction to nutrient management (7</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edition). PHI Learning Private Limited, New Delhi. India. p. 516.</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Jackson, M. L. (1973). Soil Chemical Analysis. Prentice Hall of India, </w:t>
      </w:r>
      <w:proofErr w:type="spellStart"/>
      <w:r>
        <w:rPr>
          <w:rFonts w:ascii="Times New Roman" w:eastAsia="Times New Roman" w:hAnsi="Times New Roman" w:cs="Times New Roman"/>
          <w:color w:val="000000"/>
          <w:sz w:val="24"/>
          <w:szCs w:val="24"/>
        </w:rPr>
        <w:t>Pvt.</w:t>
      </w:r>
      <w:proofErr w:type="spellEnd"/>
      <w:r>
        <w:rPr>
          <w:rFonts w:ascii="Times New Roman" w:eastAsia="Times New Roman" w:hAnsi="Times New Roman" w:cs="Times New Roman"/>
          <w:color w:val="000000"/>
          <w:sz w:val="24"/>
          <w:szCs w:val="24"/>
        </w:rPr>
        <w:t xml:space="preserve"> Ltd.</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Jin</w:t>
      </w:r>
      <w:proofErr w:type="spellEnd"/>
      <w:r>
        <w:rPr>
          <w:rFonts w:ascii="Times New Roman" w:eastAsia="Times New Roman" w:hAnsi="Times New Roman" w:cs="Times New Roman"/>
          <w:color w:val="000000"/>
          <w:sz w:val="24"/>
          <w:szCs w:val="24"/>
        </w:rPr>
        <w:t xml:space="preserve">, D., Cha, Z., Li, J., Huang, Y., Yang, H., Liu, H., Luo, W., &amp; Lin, Q. (2024). Reinforcing nitrogen nutrition through partial substitution with organic nitrogen enhances the properties of natural rubber. Forests, 15(11), 1897. </w:t>
      </w:r>
      <w:hyperlink r:id="rId45">
        <w:r>
          <w:rPr>
            <w:rFonts w:ascii="Times New Roman" w:eastAsia="Times New Roman" w:hAnsi="Times New Roman" w:cs="Times New Roman"/>
            <w:color w:val="0000FF"/>
            <w:sz w:val="24"/>
            <w:szCs w:val="24"/>
            <w:u w:val="single"/>
          </w:rPr>
          <w:t>https://doi.org/10.3390/f15111897</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Kaushik, U., Raj, D., Rani, P., &amp; Bhardwaj, K.K. (2018). Effect of cultivation on organic carbon pools and nutrient availability in soil under different land use system: </w:t>
      </w:r>
      <w:r>
        <w:rPr>
          <w:rFonts w:ascii="Times New Roman" w:eastAsia="Times New Roman" w:hAnsi="Times New Roman" w:cs="Times New Roman"/>
          <w:color w:val="000000"/>
          <w:sz w:val="24"/>
          <w:szCs w:val="24"/>
        </w:rPr>
        <w:lastRenderedPageBreak/>
        <w:t xml:space="preserve">A review. International Journal of Current Microbiology and Applied Sciences. </w:t>
      </w:r>
      <w:hyperlink r:id="rId46">
        <w:r>
          <w:rPr>
            <w:rFonts w:ascii="Times New Roman" w:eastAsia="Times New Roman" w:hAnsi="Times New Roman" w:cs="Times New Roman"/>
            <w:color w:val="0000FF"/>
            <w:sz w:val="24"/>
            <w:szCs w:val="24"/>
            <w:u w:val="single"/>
          </w:rPr>
          <w:t>https://doi.org/10.20546/ijcmas.2018.708.180</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Khaki, B. D., </w:t>
      </w:r>
      <w:proofErr w:type="spellStart"/>
      <w:r>
        <w:rPr>
          <w:rFonts w:ascii="Times New Roman" w:eastAsia="Times New Roman" w:hAnsi="Times New Roman" w:cs="Times New Roman"/>
          <w:color w:val="000000"/>
          <w:sz w:val="24"/>
          <w:szCs w:val="24"/>
        </w:rPr>
        <w:t>Honarjoo</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Davatgar</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Jalalian</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Golsefidi</w:t>
      </w:r>
      <w:proofErr w:type="spellEnd"/>
      <w:r>
        <w:rPr>
          <w:rFonts w:ascii="Times New Roman" w:eastAsia="Times New Roman" w:hAnsi="Times New Roman" w:cs="Times New Roman"/>
          <w:color w:val="000000"/>
          <w:sz w:val="24"/>
          <w:szCs w:val="24"/>
        </w:rPr>
        <w:t>, H. T. (2017). Assessment of two soil fertility indexes to evaluate paddy fields for ri</w:t>
      </w:r>
      <w:r>
        <w:rPr>
          <w:rFonts w:ascii="Times New Roman" w:eastAsia="Times New Roman" w:hAnsi="Times New Roman" w:cs="Times New Roman"/>
          <w:color w:val="000000"/>
          <w:sz w:val="24"/>
          <w:szCs w:val="24"/>
        </w:rPr>
        <w:t xml:space="preserve">ce cultivation. Sustainability, 9(8), 1299. </w:t>
      </w:r>
      <w:hyperlink r:id="rId47">
        <w:r>
          <w:rPr>
            <w:rFonts w:ascii="Times New Roman" w:eastAsia="Times New Roman" w:hAnsi="Times New Roman" w:cs="Times New Roman"/>
            <w:color w:val="0000FF"/>
            <w:sz w:val="24"/>
            <w:szCs w:val="24"/>
            <w:u w:val="single"/>
          </w:rPr>
          <w:t>https://doi.org/10.3390/su9081299</w:t>
        </w:r>
      </w:hyperlink>
      <w:r>
        <w:rPr>
          <w:rFonts w:ascii="Times New Roman" w:eastAsia="Times New Roman" w:hAnsi="Times New Roman" w:cs="Times New Roman"/>
          <w:color w:val="000000"/>
          <w:sz w:val="24"/>
          <w:szCs w:val="24"/>
        </w:rPr>
        <w:t xml:space="preserve"> </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Khan, F., Hayat, Z., Ahmad, W., Ramzan, M., Shah, Z., Sharif, M., </w:t>
      </w:r>
      <w:proofErr w:type="spellStart"/>
      <w:r>
        <w:rPr>
          <w:rFonts w:ascii="Times New Roman" w:eastAsia="Times New Roman" w:hAnsi="Times New Roman" w:cs="Times New Roman"/>
          <w:color w:val="000000"/>
          <w:sz w:val="24"/>
          <w:szCs w:val="24"/>
        </w:rPr>
        <w:t>Mian</w:t>
      </w:r>
      <w:proofErr w:type="spellEnd"/>
      <w:r>
        <w:rPr>
          <w:rFonts w:ascii="Times New Roman" w:eastAsia="Times New Roman" w:hAnsi="Times New Roman" w:cs="Times New Roman"/>
          <w:color w:val="000000"/>
          <w:sz w:val="24"/>
          <w:szCs w:val="24"/>
        </w:rPr>
        <w:t xml:space="preserve">, I. A., &amp; Hanif, M. (2013). Effect of slope position </w:t>
      </w:r>
      <w:r>
        <w:rPr>
          <w:rFonts w:ascii="Times New Roman" w:eastAsia="Times New Roman" w:hAnsi="Times New Roman" w:cs="Times New Roman"/>
          <w:color w:val="000000"/>
          <w:sz w:val="24"/>
          <w:szCs w:val="24"/>
        </w:rPr>
        <w:t xml:space="preserve">on </w:t>
      </w:r>
      <w:proofErr w:type="spellStart"/>
      <w:r>
        <w:rPr>
          <w:rFonts w:ascii="Times New Roman" w:eastAsia="Times New Roman" w:hAnsi="Times New Roman" w:cs="Times New Roman"/>
          <w:color w:val="000000"/>
          <w:sz w:val="24"/>
          <w:szCs w:val="24"/>
        </w:rPr>
        <w:t>physico</w:t>
      </w:r>
      <w:proofErr w:type="spellEnd"/>
      <w:r>
        <w:rPr>
          <w:rFonts w:ascii="Times New Roman" w:eastAsia="Times New Roman" w:hAnsi="Times New Roman" w:cs="Times New Roman"/>
          <w:color w:val="000000"/>
          <w:sz w:val="24"/>
          <w:szCs w:val="24"/>
        </w:rPr>
        <w:t xml:space="preserve">-chemical properties of eroded soil. *Soil Environment*, *32*(1), 22-28. </w:t>
      </w:r>
      <w:hyperlink r:id="rId48">
        <w:r>
          <w:rPr>
            <w:rFonts w:ascii="Times New Roman" w:eastAsia="Times New Roman" w:hAnsi="Times New Roman" w:cs="Times New Roman"/>
            <w:color w:val="0000FF"/>
            <w:sz w:val="24"/>
            <w:szCs w:val="24"/>
            <w:u w:val="single"/>
          </w:rPr>
          <w:t>https://www.researchgate.net/pub</w:t>
        </w:r>
        <w:r>
          <w:rPr>
            <w:rFonts w:ascii="Times New Roman" w:eastAsia="Times New Roman" w:hAnsi="Times New Roman" w:cs="Times New Roman"/>
            <w:color w:val="0000FF"/>
            <w:sz w:val="24"/>
            <w:szCs w:val="24"/>
            <w:u w:val="single"/>
          </w:rPr>
          <w:t>lication/259295824_Effect_of_slope_position_on_physico-chemical_properties_of_eroded_soil</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Kim, H. N., &amp; Park, J. H. (2024). Monitoring of soil EC for the prediction of soil nutrient regime under different soil water and organic matter contents. Applied Bio</w:t>
      </w:r>
      <w:r>
        <w:rPr>
          <w:rFonts w:ascii="Times New Roman" w:eastAsia="Times New Roman" w:hAnsi="Times New Roman" w:cs="Times New Roman"/>
          <w:color w:val="000000"/>
          <w:sz w:val="24"/>
          <w:szCs w:val="24"/>
        </w:rPr>
        <w:t xml:space="preserve">logical Chemistry. </w:t>
      </w:r>
      <w:hyperlink r:id="rId49">
        <w:r>
          <w:rPr>
            <w:rFonts w:ascii="Times New Roman" w:eastAsia="Times New Roman" w:hAnsi="Times New Roman" w:cs="Times New Roman"/>
            <w:color w:val="0000FF"/>
            <w:sz w:val="24"/>
            <w:szCs w:val="24"/>
            <w:u w:val="single"/>
          </w:rPr>
          <w:t>https://doi.org/10.1186/s13765-023-00849-4</w:t>
        </w:r>
      </w:hyperlink>
      <w:r>
        <w:rPr>
          <w:rFonts w:ascii="Times New Roman" w:eastAsia="Times New Roman" w:hAnsi="Times New Roman" w:cs="Times New Roman"/>
          <w:color w:val="000000"/>
          <w:sz w:val="24"/>
          <w:szCs w:val="24"/>
        </w:rPr>
        <w:t xml:space="preserve"> </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Lewis, D.R. (1949). Analytical data on reference clay materials. Section 3, Base-Exchange Data, Reference Clay Minerals. A.P.I. Res</w:t>
      </w:r>
      <w:r>
        <w:rPr>
          <w:rFonts w:ascii="Times New Roman" w:eastAsia="Times New Roman" w:hAnsi="Times New Roman" w:cs="Times New Roman"/>
          <w:color w:val="000000"/>
          <w:sz w:val="24"/>
          <w:szCs w:val="24"/>
        </w:rPr>
        <w:t>earch Project 49, Preliminary Report No. 7, Columbia University, New York. p. 91.</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Makineci</w:t>
      </w:r>
      <w:proofErr w:type="spellEnd"/>
      <w:r>
        <w:rPr>
          <w:rFonts w:ascii="Times New Roman" w:eastAsia="Times New Roman" w:hAnsi="Times New Roman" w:cs="Times New Roman"/>
          <w:color w:val="000000"/>
          <w:sz w:val="24"/>
          <w:szCs w:val="24"/>
        </w:rPr>
        <w:t xml:space="preserve">, E., Demir, M., &amp; </w:t>
      </w:r>
      <w:proofErr w:type="spellStart"/>
      <w:r>
        <w:rPr>
          <w:rFonts w:ascii="Times New Roman" w:eastAsia="Times New Roman" w:hAnsi="Times New Roman" w:cs="Times New Roman"/>
          <w:color w:val="000000"/>
          <w:sz w:val="24"/>
          <w:szCs w:val="24"/>
        </w:rPr>
        <w:t>Kartaloglu</w:t>
      </w:r>
      <w:proofErr w:type="spellEnd"/>
      <w:r>
        <w:rPr>
          <w:rFonts w:ascii="Times New Roman" w:eastAsia="Times New Roman" w:hAnsi="Times New Roman" w:cs="Times New Roman"/>
          <w:color w:val="000000"/>
          <w:sz w:val="24"/>
          <w:szCs w:val="24"/>
        </w:rPr>
        <w:t>, M. (2015). Acidity (pH) and electrical conductivity changes in runoff water from ditches of paved and unpaved forest roads. Baltic Fore</w:t>
      </w:r>
      <w:r>
        <w:rPr>
          <w:rFonts w:ascii="Times New Roman" w:eastAsia="Times New Roman" w:hAnsi="Times New Roman" w:cs="Times New Roman"/>
          <w:color w:val="000000"/>
          <w:sz w:val="24"/>
          <w:szCs w:val="24"/>
        </w:rPr>
        <w:t xml:space="preserve">stry, 21(1), 170-175. </w:t>
      </w:r>
      <w:hyperlink r:id="rId50">
        <w:r>
          <w:rPr>
            <w:rFonts w:ascii="Times New Roman" w:eastAsia="Times New Roman" w:hAnsi="Times New Roman" w:cs="Times New Roman"/>
            <w:color w:val="0000FF"/>
            <w:sz w:val="24"/>
            <w:szCs w:val="24"/>
            <w:u w:val="single"/>
          </w:rPr>
          <w:t>https://ww</w:t>
        </w:r>
        <w:r>
          <w:rPr>
            <w:rFonts w:ascii="Times New Roman" w:eastAsia="Times New Roman" w:hAnsi="Times New Roman" w:cs="Times New Roman"/>
            <w:color w:val="0000FF"/>
            <w:sz w:val="24"/>
            <w:szCs w:val="24"/>
            <w:u w:val="single"/>
          </w:rPr>
          <w:t>w.balticforestry.mi.lt/bf/PDF_Articles/2015-21[1]/Acidity%20and%20Electrical%20Conductivity%20Changes%20in%20Runoff%20Water%20from%20Ditches%20of%20Paved%20and%20Unpaved%20Forest%20Roads.pdf</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Mishra, A., Das, D., </w:t>
      </w:r>
      <w:proofErr w:type="spellStart"/>
      <w:r>
        <w:rPr>
          <w:rFonts w:ascii="Times New Roman" w:eastAsia="Times New Roman" w:hAnsi="Times New Roman" w:cs="Times New Roman"/>
          <w:color w:val="000000"/>
          <w:sz w:val="24"/>
          <w:szCs w:val="24"/>
        </w:rPr>
        <w:t>Saren</w:t>
      </w:r>
      <w:proofErr w:type="spellEnd"/>
      <w:r>
        <w:rPr>
          <w:rFonts w:ascii="Times New Roman" w:eastAsia="Times New Roman" w:hAnsi="Times New Roman" w:cs="Times New Roman"/>
          <w:color w:val="000000"/>
          <w:sz w:val="24"/>
          <w:szCs w:val="24"/>
        </w:rPr>
        <w:t>, S., &amp; Dey, P. (2016). GPS and GIS bas</w:t>
      </w:r>
      <w:r>
        <w:rPr>
          <w:rFonts w:ascii="Times New Roman" w:eastAsia="Times New Roman" w:hAnsi="Times New Roman" w:cs="Times New Roman"/>
          <w:color w:val="000000"/>
          <w:sz w:val="24"/>
          <w:szCs w:val="24"/>
        </w:rPr>
        <w:t xml:space="preserve">ed soil fertility maps of </w:t>
      </w:r>
      <w:proofErr w:type="spellStart"/>
      <w:r>
        <w:rPr>
          <w:rFonts w:ascii="Times New Roman" w:eastAsia="Times New Roman" w:hAnsi="Times New Roman" w:cs="Times New Roman"/>
          <w:color w:val="000000"/>
          <w:sz w:val="24"/>
          <w:szCs w:val="24"/>
        </w:rPr>
        <w:t>Nayagarh</w:t>
      </w:r>
      <w:proofErr w:type="spellEnd"/>
      <w:r>
        <w:rPr>
          <w:rFonts w:ascii="Times New Roman" w:eastAsia="Times New Roman" w:hAnsi="Times New Roman" w:cs="Times New Roman"/>
          <w:color w:val="000000"/>
          <w:sz w:val="24"/>
          <w:szCs w:val="24"/>
        </w:rPr>
        <w:t xml:space="preserve"> district, Odisha. Annals of Plant and Soil Research, 18(1), 23-28. </w:t>
      </w:r>
      <w:hyperlink r:id="rId51">
        <w:r>
          <w:rPr>
            <w:rFonts w:ascii="Times New Roman" w:eastAsia="Times New Roman" w:hAnsi="Times New Roman" w:cs="Times New Roman"/>
            <w:color w:val="0000FF"/>
            <w:sz w:val="24"/>
            <w:szCs w:val="24"/>
            <w:u w:val="single"/>
          </w:rPr>
          <w:t>http://www.gkvsociety.com/index.php</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Nguyen, T. T., Do, T. T., Harper, R., Pham, T. T., Linh, T. V. K., Le, T. S., Thanh, L. B., &amp; </w:t>
      </w:r>
      <w:proofErr w:type="spellStart"/>
      <w:r>
        <w:rPr>
          <w:rFonts w:ascii="Times New Roman" w:eastAsia="Times New Roman" w:hAnsi="Times New Roman" w:cs="Times New Roman"/>
          <w:color w:val="000000"/>
          <w:sz w:val="24"/>
          <w:szCs w:val="24"/>
        </w:rPr>
        <w:t>Giap</w:t>
      </w:r>
      <w:proofErr w:type="spellEnd"/>
      <w:r>
        <w:rPr>
          <w:rFonts w:ascii="Times New Roman" w:eastAsia="Times New Roman" w:hAnsi="Times New Roman" w:cs="Times New Roman"/>
          <w:color w:val="000000"/>
          <w:sz w:val="24"/>
          <w:szCs w:val="24"/>
        </w:rPr>
        <w:t>, N. X. (2020). Soil health impacts of rubber farming: The implication of conversion of degraded natural forests into monoculture plantations. Agriculture, 10</w:t>
      </w:r>
      <w:r>
        <w:rPr>
          <w:rFonts w:ascii="Times New Roman" w:eastAsia="Times New Roman" w:hAnsi="Times New Roman" w:cs="Times New Roman"/>
          <w:color w:val="000000"/>
          <w:sz w:val="24"/>
          <w:szCs w:val="24"/>
        </w:rPr>
        <w:t xml:space="preserve">(8), 357. </w:t>
      </w:r>
      <w:hyperlink r:id="rId52">
        <w:r>
          <w:rPr>
            <w:rFonts w:ascii="Times New Roman" w:eastAsia="Times New Roman" w:hAnsi="Times New Roman" w:cs="Times New Roman"/>
            <w:color w:val="0000FF"/>
            <w:sz w:val="24"/>
            <w:szCs w:val="24"/>
            <w:u w:val="single"/>
          </w:rPr>
          <w:t>https://doi.org/10.3390/agriculture10080357</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Patil, P. L., </w:t>
      </w:r>
      <w:proofErr w:type="spellStart"/>
      <w:r>
        <w:rPr>
          <w:rFonts w:ascii="Times New Roman" w:eastAsia="Times New Roman" w:hAnsi="Times New Roman" w:cs="Times New Roman"/>
          <w:color w:val="000000"/>
          <w:sz w:val="24"/>
          <w:szCs w:val="24"/>
        </w:rPr>
        <w:t>Kuligod</w:t>
      </w:r>
      <w:proofErr w:type="spellEnd"/>
      <w:r>
        <w:rPr>
          <w:rFonts w:ascii="Times New Roman" w:eastAsia="Times New Roman" w:hAnsi="Times New Roman" w:cs="Times New Roman"/>
          <w:color w:val="000000"/>
          <w:sz w:val="24"/>
          <w:szCs w:val="24"/>
        </w:rPr>
        <w:t xml:space="preserve">, V. B., </w:t>
      </w:r>
      <w:proofErr w:type="spellStart"/>
      <w:r>
        <w:rPr>
          <w:rFonts w:ascii="Times New Roman" w:eastAsia="Times New Roman" w:hAnsi="Times New Roman" w:cs="Times New Roman"/>
          <w:color w:val="000000"/>
          <w:sz w:val="24"/>
          <w:szCs w:val="24"/>
        </w:rPr>
        <w:t>Gundlur</w:t>
      </w:r>
      <w:proofErr w:type="spellEnd"/>
      <w:r>
        <w:rPr>
          <w:rFonts w:ascii="Times New Roman" w:eastAsia="Times New Roman" w:hAnsi="Times New Roman" w:cs="Times New Roman"/>
          <w:color w:val="000000"/>
          <w:sz w:val="24"/>
          <w:szCs w:val="24"/>
        </w:rPr>
        <w:t xml:space="preserve">, S. S., </w:t>
      </w:r>
      <w:proofErr w:type="spellStart"/>
      <w:r>
        <w:rPr>
          <w:rFonts w:ascii="Times New Roman" w:eastAsia="Times New Roman" w:hAnsi="Times New Roman" w:cs="Times New Roman"/>
          <w:color w:val="000000"/>
          <w:sz w:val="24"/>
          <w:szCs w:val="24"/>
        </w:rPr>
        <w:t>Katti</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Nagaral</w:t>
      </w:r>
      <w:proofErr w:type="spellEnd"/>
      <w:r>
        <w:rPr>
          <w:rFonts w:ascii="Times New Roman" w:eastAsia="Times New Roman" w:hAnsi="Times New Roman" w:cs="Times New Roman"/>
          <w:color w:val="000000"/>
          <w:sz w:val="24"/>
          <w:szCs w:val="24"/>
        </w:rPr>
        <w:t xml:space="preserve">, I. N., </w:t>
      </w:r>
      <w:proofErr w:type="spellStart"/>
      <w:r>
        <w:rPr>
          <w:rFonts w:ascii="Times New Roman" w:eastAsia="Times New Roman" w:hAnsi="Times New Roman" w:cs="Times New Roman"/>
          <w:color w:val="000000"/>
          <w:sz w:val="24"/>
          <w:szCs w:val="24"/>
        </w:rPr>
        <w:t>Shikrashetti</w:t>
      </w:r>
      <w:proofErr w:type="spellEnd"/>
      <w:r>
        <w:rPr>
          <w:rFonts w:ascii="Times New Roman" w:eastAsia="Times New Roman" w:hAnsi="Times New Roman" w:cs="Times New Roman"/>
          <w:color w:val="000000"/>
          <w:sz w:val="24"/>
          <w:szCs w:val="24"/>
        </w:rPr>
        <w:t xml:space="preserve">, P., Geetanjali, H. M., &amp; </w:t>
      </w:r>
      <w:proofErr w:type="spellStart"/>
      <w:r>
        <w:rPr>
          <w:rFonts w:ascii="Times New Roman" w:eastAsia="Times New Roman" w:hAnsi="Times New Roman" w:cs="Times New Roman"/>
          <w:color w:val="000000"/>
          <w:sz w:val="24"/>
          <w:szCs w:val="24"/>
        </w:rPr>
        <w:t>Dasog</w:t>
      </w:r>
      <w:proofErr w:type="spellEnd"/>
      <w:r>
        <w:rPr>
          <w:rFonts w:ascii="Times New Roman" w:eastAsia="Times New Roman" w:hAnsi="Times New Roman" w:cs="Times New Roman"/>
          <w:color w:val="000000"/>
          <w:sz w:val="24"/>
          <w:szCs w:val="24"/>
        </w:rPr>
        <w:t>, G. S. (2016). Soil f</w:t>
      </w:r>
      <w:r>
        <w:rPr>
          <w:rFonts w:ascii="Times New Roman" w:eastAsia="Times New Roman" w:hAnsi="Times New Roman" w:cs="Times New Roman"/>
          <w:color w:val="000000"/>
          <w:sz w:val="24"/>
          <w:szCs w:val="24"/>
        </w:rPr>
        <w:t xml:space="preserve">ertility mapping in </w:t>
      </w:r>
      <w:proofErr w:type="spellStart"/>
      <w:r>
        <w:rPr>
          <w:rFonts w:ascii="Times New Roman" w:eastAsia="Times New Roman" w:hAnsi="Times New Roman" w:cs="Times New Roman"/>
          <w:color w:val="000000"/>
          <w:sz w:val="24"/>
          <w:szCs w:val="24"/>
        </w:rPr>
        <w:t>Dindur</w:t>
      </w:r>
      <w:proofErr w:type="spellEnd"/>
      <w:r>
        <w:rPr>
          <w:rFonts w:ascii="Times New Roman" w:eastAsia="Times New Roman" w:hAnsi="Times New Roman" w:cs="Times New Roman"/>
          <w:color w:val="000000"/>
          <w:sz w:val="24"/>
          <w:szCs w:val="24"/>
        </w:rPr>
        <w:t xml:space="preserve"> sub-watershed of Karnataka for site specific recommendations. Journal of the Indian Society of Soil Science, 64(4), 381-390. </w:t>
      </w:r>
      <w:hyperlink r:id="rId53">
        <w:r>
          <w:rPr>
            <w:rFonts w:ascii="Times New Roman" w:eastAsia="Times New Roman" w:hAnsi="Times New Roman" w:cs="Times New Roman"/>
            <w:color w:val="0000FF"/>
            <w:sz w:val="24"/>
            <w:szCs w:val="24"/>
            <w:u w:val="single"/>
          </w:rPr>
          <w:t>https://doi.org/10.5958/0974-0228.2016</w:t>
        </w:r>
        <w:r>
          <w:rPr>
            <w:rFonts w:ascii="Times New Roman" w:eastAsia="Times New Roman" w:hAnsi="Times New Roman" w:cs="Times New Roman"/>
            <w:color w:val="0000FF"/>
            <w:sz w:val="24"/>
            <w:szCs w:val="24"/>
            <w:u w:val="single"/>
          </w:rPr>
          <w:t>.00050.5</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Paul, S. C., &amp; Mukhopadhyay, P. K. (2015). Distribution and Availability of Sulphur in some </w:t>
      </w:r>
      <w:proofErr w:type="spellStart"/>
      <w:r>
        <w:rPr>
          <w:rFonts w:ascii="Times New Roman" w:eastAsia="Times New Roman" w:hAnsi="Times New Roman" w:cs="Times New Roman"/>
          <w:color w:val="000000"/>
          <w:sz w:val="24"/>
          <w:szCs w:val="24"/>
        </w:rPr>
        <w:t>Terai</w:t>
      </w:r>
      <w:proofErr w:type="spellEnd"/>
      <w:r>
        <w:rPr>
          <w:rFonts w:ascii="Times New Roman" w:eastAsia="Times New Roman" w:hAnsi="Times New Roman" w:cs="Times New Roman"/>
          <w:color w:val="000000"/>
          <w:sz w:val="24"/>
          <w:szCs w:val="24"/>
        </w:rPr>
        <w:t xml:space="preserve"> Soils under Subtropical Zone of Eastern India. International Journal of </w:t>
      </w:r>
      <w:r>
        <w:rPr>
          <w:rFonts w:ascii="Times New Roman" w:eastAsia="Times New Roman" w:hAnsi="Times New Roman" w:cs="Times New Roman"/>
          <w:color w:val="000000"/>
          <w:sz w:val="24"/>
          <w:szCs w:val="24"/>
        </w:rPr>
        <w:lastRenderedPageBreak/>
        <w:t xml:space="preserve">Agriculture, Environment and Biotechnology, 8(2), 347-357. </w:t>
      </w:r>
      <w:hyperlink r:id="rId54">
        <w:r>
          <w:rPr>
            <w:rFonts w:ascii="Times New Roman" w:eastAsia="Times New Roman" w:hAnsi="Times New Roman" w:cs="Times New Roman"/>
            <w:color w:val="0000FF"/>
            <w:sz w:val="24"/>
            <w:szCs w:val="24"/>
            <w:u w:val="single"/>
          </w:rPr>
          <w:t>https://doi.org/10.5958/2230-732X.2015.00043.1</w:t>
        </w:r>
      </w:hyperlink>
      <w:r>
        <w:rPr>
          <w:rFonts w:ascii="Times New Roman" w:eastAsia="Times New Roman" w:hAnsi="Times New Roman" w:cs="Times New Roman"/>
          <w:color w:val="000000"/>
          <w:sz w:val="24"/>
          <w:szCs w:val="24"/>
        </w:rPr>
        <w:t xml:space="preserve"> </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Saleh, T. M., </w:t>
      </w:r>
      <w:proofErr w:type="spellStart"/>
      <w:r>
        <w:rPr>
          <w:rFonts w:ascii="Times New Roman" w:eastAsia="Times New Roman" w:hAnsi="Times New Roman" w:cs="Times New Roman"/>
          <w:color w:val="000000"/>
          <w:sz w:val="24"/>
          <w:szCs w:val="24"/>
        </w:rPr>
        <w:t>Jubeir</w:t>
      </w:r>
      <w:proofErr w:type="spellEnd"/>
      <w:r>
        <w:rPr>
          <w:rFonts w:ascii="Times New Roman" w:eastAsia="Times New Roman" w:hAnsi="Times New Roman" w:cs="Times New Roman"/>
          <w:color w:val="000000"/>
          <w:sz w:val="24"/>
          <w:szCs w:val="24"/>
        </w:rPr>
        <w:t>, A. R., &amp; Al-</w:t>
      </w:r>
      <w:proofErr w:type="spellStart"/>
      <w:r>
        <w:rPr>
          <w:rFonts w:ascii="Times New Roman" w:eastAsia="Times New Roman" w:hAnsi="Times New Roman" w:cs="Times New Roman"/>
          <w:color w:val="000000"/>
          <w:sz w:val="24"/>
          <w:szCs w:val="24"/>
        </w:rPr>
        <w:t>Tememe</w:t>
      </w:r>
      <w:proofErr w:type="spellEnd"/>
      <w:r>
        <w:rPr>
          <w:rFonts w:ascii="Times New Roman" w:eastAsia="Times New Roman" w:hAnsi="Times New Roman" w:cs="Times New Roman"/>
          <w:color w:val="000000"/>
          <w:sz w:val="24"/>
          <w:szCs w:val="24"/>
        </w:rPr>
        <w:t>, M. S. O. (2023). The role of Geographic Information Systems (GIS) in soil surveying and classification. IOP Conference</w:t>
      </w:r>
      <w:r>
        <w:rPr>
          <w:rFonts w:ascii="Times New Roman" w:eastAsia="Times New Roman" w:hAnsi="Times New Roman" w:cs="Times New Roman"/>
          <w:color w:val="000000"/>
          <w:sz w:val="24"/>
          <w:szCs w:val="24"/>
        </w:rPr>
        <w:t xml:space="preserve"> Series Earth and Environmental Science, 1158(2), 022028. </w:t>
      </w:r>
      <w:hyperlink r:id="rId55">
        <w:r>
          <w:rPr>
            <w:rFonts w:ascii="Times New Roman" w:eastAsia="Times New Roman" w:hAnsi="Times New Roman" w:cs="Times New Roman"/>
            <w:color w:val="0000FF"/>
            <w:sz w:val="24"/>
            <w:szCs w:val="24"/>
            <w:u w:val="single"/>
          </w:rPr>
          <w:t>https://doi.org/10.1088/1755-1315/1158/2/022028</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Selvam, S., </w:t>
      </w:r>
      <w:proofErr w:type="spellStart"/>
      <w:r>
        <w:rPr>
          <w:rFonts w:ascii="Times New Roman" w:eastAsia="Times New Roman" w:hAnsi="Times New Roman" w:cs="Times New Roman"/>
          <w:color w:val="000000"/>
          <w:sz w:val="24"/>
          <w:szCs w:val="24"/>
        </w:rPr>
        <w:t>Mukundan</w:t>
      </w:r>
      <w:proofErr w:type="spellEnd"/>
      <w:r>
        <w:rPr>
          <w:rFonts w:ascii="Times New Roman" w:eastAsia="Times New Roman" w:hAnsi="Times New Roman" w:cs="Times New Roman"/>
          <w:color w:val="000000"/>
          <w:sz w:val="24"/>
          <w:szCs w:val="24"/>
        </w:rPr>
        <w:t xml:space="preserve">, M., &amp; </w:t>
      </w:r>
      <w:proofErr w:type="spellStart"/>
      <w:r>
        <w:rPr>
          <w:rFonts w:ascii="Times New Roman" w:eastAsia="Times New Roman" w:hAnsi="Times New Roman" w:cs="Times New Roman"/>
          <w:color w:val="000000"/>
          <w:sz w:val="24"/>
          <w:szCs w:val="24"/>
        </w:rPr>
        <w:t>Alagirisamy</w:t>
      </w:r>
      <w:proofErr w:type="spellEnd"/>
      <w:r>
        <w:rPr>
          <w:rFonts w:ascii="Times New Roman" w:eastAsia="Times New Roman" w:hAnsi="Times New Roman" w:cs="Times New Roman"/>
          <w:color w:val="000000"/>
          <w:sz w:val="24"/>
          <w:szCs w:val="24"/>
        </w:rPr>
        <w:t>, S. (2020). Standard Penetration Test (SPT)</w:t>
      </w:r>
      <w:r>
        <w:rPr>
          <w:rFonts w:ascii="Times New Roman" w:eastAsia="Times New Roman" w:hAnsi="Times New Roman" w:cs="Times New Roman"/>
          <w:color w:val="000000"/>
          <w:sz w:val="24"/>
          <w:szCs w:val="24"/>
        </w:rPr>
        <w:t xml:space="preserve"> Pitfalls and Improvements. In C. N. V. S. Reddy (Ed.), Ground Characterization and Foundations: Proceedings of Indian Geotechnical Conference 2020 Volume 1 (pp. 391-400). Springer Singapore. </w:t>
      </w:r>
      <w:hyperlink r:id="rId56">
        <w:r>
          <w:rPr>
            <w:rFonts w:ascii="Times New Roman" w:eastAsia="Times New Roman" w:hAnsi="Times New Roman" w:cs="Times New Roman"/>
            <w:color w:val="0000FF"/>
            <w:sz w:val="24"/>
            <w:szCs w:val="24"/>
            <w:u w:val="single"/>
          </w:rPr>
          <w:t>https://doi.org/10.1007/978-981-16-3383-6_35</w:t>
        </w:r>
      </w:hyperlink>
      <w:r>
        <w:rPr>
          <w:rFonts w:ascii="Times New Roman" w:eastAsia="Times New Roman" w:hAnsi="Times New Roman" w:cs="Times New Roman"/>
          <w:color w:val="000000"/>
          <w:sz w:val="24"/>
          <w:szCs w:val="24"/>
        </w:rPr>
        <w:t xml:space="preserve"> </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Shreekanth</w:t>
      </w:r>
      <w:proofErr w:type="spellEnd"/>
      <w:r>
        <w:rPr>
          <w:rFonts w:ascii="Times New Roman" w:eastAsia="Times New Roman" w:hAnsi="Times New Roman" w:cs="Times New Roman"/>
          <w:color w:val="000000"/>
          <w:sz w:val="24"/>
          <w:szCs w:val="24"/>
        </w:rPr>
        <w:t xml:space="preserve">, S., Anita, E.K., Rekha, M.V., </w:t>
      </w:r>
      <w:proofErr w:type="spellStart"/>
      <w:r>
        <w:rPr>
          <w:rFonts w:ascii="Times New Roman" w:eastAsia="Times New Roman" w:hAnsi="Times New Roman" w:cs="Times New Roman"/>
          <w:color w:val="000000"/>
          <w:sz w:val="24"/>
          <w:szCs w:val="24"/>
        </w:rPr>
        <w:t>Champa</w:t>
      </w:r>
      <w:proofErr w:type="spellEnd"/>
      <w:r>
        <w:rPr>
          <w:rFonts w:ascii="Times New Roman" w:eastAsia="Times New Roman" w:hAnsi="Times New Roman" w:cs="Times New Roman"/>
          <w:color w:val="000000"/>
          <w:sz w:val="24"/>
          <w:szCs w:val="24"/>
        </w:rPr>
        <w:t xml:space="preserve">, B.V., &amp; </w:t>
      </w:r>
      <w:proofErr w:type="spellStart"/>
      <w:r>
        <w:rPr>
          <w:rFonts w:ascii="Times New Roman" w:eastAsia="Times New Roman" w:hAnsi="Times New Roman" w:cs="Times New Roman"/>
          <w:color w:val="000000"/>
          <w:sz w:val="24"/>
          <w:szCs w:val="24"/>
        </w:rPr>
        <w:t>Nagaraja</w:t>
      </w:r>
      <w:proofErr w:type="spellEnd"/>
      <w:r>
        <w:rPr>
          <w:rFonts w:ascii="Times New Roman" w:eastAsia="Times New Roman" w:hAnsi="Times New Roman" w:cs="Times New Roman"/>
          <w:color w:val="000000"/>
          <w:sz w:val="24"/>
          <w:szCs w:val="24"/>
        </w:rPr>
        <w:t xml:space="preserve">, M.S. (2018). Secondary and micronutrient status in soils of grape orchards of </w:t>
      </w:r>
      <w:proofErr w:type="spellStart"/>
      <w:r>
        <w:rPr>
          <w:rFonts w:ascii="Times New Roman" w:eastAsia="Times New Roman" w:hAnsi="Times New Roman" w:cs="Times New Roman"/>
          <w:color w:val="000000"/>
          <w:sz w:val="24"/>
          <w:szCs w:val="24"/>
        </w:rPr>
        <w:t>Vijayapura</w:t>
      </w:r>
      <w:proofErr w:type="spellEnd"/>
      <w:r>
        <w:rPr>
          <w:rFonts w:ascii="Times New Roman" w:eastAsia="Times New Roman" w:hAnsi="Times New Roman" w:cs="Times New Roman"/>
          <w:color w:val="000000"/>
          <w:sz w:val="24"/>
          <w:szCs w:val="24"/>
        </w:rPr>
        <w:t xml:space="preserve"> Taluka in Northern Karnataka, India. International Jo</w:t>
      </w:r>
      <w:r>
        <w:rPr>
          <w:rFonts w:ascii="Times New Roman" w:eastAsia="Times New Roman" w:hAnsi="Times New Roman" w:cs="Times New Roman"/>
          <w:color w:val="000000"/>
          <w:sz w:val="24"/>
          <w:szCs w:val="24"/>
        </w:rPr>
        <w:t xml:space="preserve">urnal of Current Microbiology and Applied Sciences, 7(5), 1393-1401. </w:t>
      </w:r>
      <w:hyperlink r:id="rId57">
        <w:r>
          <w:rPr>
            <w:rFonts w:ascii="Times New Roman" w:eastAsia="Times New Roman" w:hAnsi="Times New Roman" w:cs="Times New Roman"/>
            <w:color w:val="0000FF"/>
            <w:sz w:val="24"/>
            <w:szCs w:val="24"/>
            <w:u w:val="single"/>
          </w:rPr>
          <w:t>https://doi.org/10.20546/ijcmas.2018.705.165</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Snedecor</w:t>
      </w:r>
      <w:proofErr w:type="spellEnd"/>
      <w:r>
        <w:rPr>
          <w:rFonts w:ascii="Times New Roman" w:eastAsia="Times New Roman" w:hAnsi="Times New Roman" w:cs="Times New Roman"/>
          <w:color w:val="000000"/>
          <w:sz w:val="24"/>
          <w:szCs w:val="24"/>
        </w:rPr>
        <w:t xml:space="preserve">, G.W. &amp; Cochran, W.G. (1967). </w:t>
      </w:r>
      <w:r>
        <w:rPr>
          <w:rFonts w:ascii="Times New Roman" w:eastAsia="Times New Roman" w:hAnsi="Times New Roman" w:cs="Times New Roman"/>
          <w:i/>
          <w:iCs/>
          <w:color w:val="000000"/>
          <w:sz w:val="24"/>
          <w:szCs w:val="24"/>
        </w:rPr>
        <w:t>Statistical Methods</w:t>
      </w:r>
      <w:r>
        <w:rPr>
          <w:rFonts w:ascii="Times New Roman" w:eastAsia="Times New Roman" w:hAnsi="Times New Roman" w:cs="Times New Roman"/>
          <w:color w:val="000000"/>
          <w:sz w:val="24"/>
          <w:szCs w:val="24"/>
        </w:rPr>
        <w:t xml:space="preserve"> (6</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Edition). Iowa State University Press, Ames. Iowa, USA. p. 593.</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Subbiah, B.V., &amp; </w:t>
      </w:r>
      <w:proofErr w:type="spellStart"/>
      <w:r>
        <w:rPr>
          <w:rFonts w:ascii="Times New Roman" w:eastAsia="Times New Roman" w:hAnsi="Times New Roman" w:cs="Times New Roman"/>
          <w:color w:val="000000"/>
          <w:sz w:val="24"/>
          <w:szCs w:val="24"/>
        </w:rPr>
        <w:t>Asija</w:t>
      </w:r>
      <w:proofErr w:type="spellEnd"/>
      <w:r>
        <w:rPr>
          <w:rFonts w:ascii="Times New Roman" w:eastAsia="Times New Roman" w:hAnsi="Times New Roman" w:cs="Times New Roman"/>
          <w:color w:val="000000"/>
          <w:sz w:val="24"/>
          <w:szCs w:val="24"/>
        </w:rPr>
        <w:t>, G.L. (1956). A rapid procedure for the estimation of available nitrogen in soils. Current Science, 25, 259-260.</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Tisdale, S.L., Nelson, W.L., Beaton, J.D. &amp; </w:t>
      </w:r>
      <w:proofErr w:type="spellStart"/>
      <w:r>
        <w:rPr>
          <w:rFonts w:ascii="Times New Roman" w:eastAsia="Times New Roman" w:hAnsi="Times New Roman" w:cs="Times New Roman"/>
          <w:color w:val="000000"/>
          <w:sz w:val="24"/>
          <w:szCs w:val="24"/>
        </w:rPr>
        <w:t>Havlin</w:t>
      </w:r>
      <w:proofErr w:type="spellEnd"/>
      <w:r>
        <w:rPr>
          <w:rFonts w:ascii="Times New Roman" w:eastAsia="Times New Roman" w:hAnsi="Times New Roman" w:cs="Times New Roman"/>
          <w:color w:val="000000"/>
          <w:sz w:val="24"/>
          <w:szCs w:val="24"/>
        </w:rPr>
        <w:t>, J.L</w:t>
      </w:r>
      <w:r>
        <w:rPr>
          <w:rFonts w:ascii="Times New Roman" w:eastAsia="Times New Roman" w:hAnsi="Times New Roman" w:cs="Times New Roman"/>
          <w:color w:val="000000"/>
          <w:sz w:val="24"/>
          <w:szCs w:val="24"/>
        </w:rPr>
        <w:t xml:space="preserve">. (1995). </w:t>
      </w:r>
      <w:r>
        <w:rPr>
          <w:rFonts w:ascii="Times New Roman" w:eastAsia="Times New Roman" w:hAnsi="Times New Roman" w:cs="Times New Roman"/>
          <w:i/>
          <w:iCs/>
          <w:color w:val="000000"/>
          <w:sz w:val="24"/>
          <w:szCs w:val="24"/>
        </w:rPr>
        <w:t>Soil Fertility and Fertilizers</w:t>
      </w:r>
      <w:r>
        <w:rPr>
          <w:rFonts w:ascii="Times New Roman" w:eastAsia="Times New Roman" w:hAnsi="Times New Roman" w:cs="Times New Roman"/>
          <w:color w:val="000000"/>
          <w:sz w:val="24"/>
          <w:szCs w:val="24"/>
        </w:rPr>
        <w:t xml:space="preserve"> (5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Edition). Prentice-Hall of India, New Delhi. p. 684.</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Walkley, A., &amp; Black, I. A. (1934). An examination of the </w:t>
      </w:r>
      <w:proofErr w:type="spellStart"/>
      <w:r>
        <w:rPr>
          <w:rFonts w:ascii="Times New Roman" w:eastAsia="Times New Roman" w:hAnsi="Times New Roman" w:cs="Times New Roman"/>
          <w:color w:val="000000"/>
          <w:sz w:val="24"/>
          <w:szCs w:val="24"/>
        </w:rPr>
        <w:t>Degtjareff</w:t>
      </w:r>
      <w:proofErr w:type="spellEnd"/>
      <w:r>
        <w:rPr>
          <w:rFonts w:ascii="Times New Roman" w:eastAsia="Times New Roman" w:hAnsi="Times New Roman" w:cs="Times New Roman"/>
          <w:color w:val="000000"/>
          <w:sz w:val="24"/>
          <w:szCs w:val="24"/>
        </w:rPr>
        <w:t xml:space="preserve"> method for determining soil organic matter and a proposed modification of the chromic ac</w:t>
      </w:r>
      <w:r>
        <w:rPr>
          <w:rFonts w:ascii="Times New Roman" w:eastAsia="Times New Roman" w:hAnsi="Times New Roman" w:cs="Times New Roman"/>
          <w:color w:val="000000"/>
          <w:sz w:val="24"/>
          <w:szCs w:val="24"/>
        </w:rPr>
        <w:t xml:space="preserve">id titration method. Soil Science, 37(1), 29–38. </w:t>
      </w:r>
      <w:hyperlink r:id="rId58">
        <w:r>
          <w:rPr>
            <w:rFonts w:ascii="Times New Roman" w:eastAsia="Times New Roman" w:hAnsi="Times New Roman" w:cs="Times New Roman"/>
            <w:color w:val="0000FF"/>
            <w:sz w:val="24"/>
            <w:szCs w:val="24"/>
            <w:u w:val="single"/>
          </w:rPr>
          <w:t>https://doi.org/10.1097/00010694-193401000-00003</w:t>
        </w:r>
      </w:hyperlink>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Wang, X., Sun, H., Wang, C., Liu, J., Guo, Z., Gao, L., Ma, H., Yuan, Z., Yao, C. &amp; Pan, X</w:t>
      </w:r>
      <w:r>
        <w:rPr>
          <w:rFonts w:ascii="Times New Roman" w:eastAsia="Times New Roman" w:hAnsi="Times New Roman" w:cs="Times New Roman"/>
          <w:color w:val="000000"/>
          <w:sz w:val="24"/>
          <w:szCs w:val="24"/>
        </w:rPr>
        <w:t xml:space="preserve">. (2024). Predicting the soil bulk density using a new spectral PTF based on intact samples. </w:t>
      </w:r>
      <w:proofErr w:type="spellStart"/>
      <w:r>
        <w:rPr>
          <w:rFonts w:ascii="Times New Roman" w:eastAsia="Times New Roman" w:hAnsi="Times New Roman" w:cs="Times New Roman"/>
          <w:i/>
          <w:iCs/>
          <w:color w:val="000000"/>
          <w:sz w:val="24"/>
          <w:szCs w:val="24"/>
        </w:rPr>
        <w:t>Geoderma</w:t>
      </w:r>
      <w:proofErr w:type="spellEnd"/>
      <w:r>
        <w:rPr>
          <w:rFonts w:ascii="Times New Roman" w:eastAsia="Times New Roman" w:hAnsi="Times New Roman" w:cs="Times New Roman"/>
          <w:color w:val="000000"/>
          <w:sz w:val="24"/>
          <w:szCs w:val="24"/>
        </w:rPr>
        <w:t xml:space="preserve">, 449, 117005. DOI: </w:t>
      </w:r>
      <w:hyperlink r:id="rId59">
        <w:r>
          <w:rPr>
            <w:rFonts w:ascii="Times New Roman" w:eastAsia="Times New Roman" w:hAnsi="Times New Roman" w:cs="Times New Roman"/>
            <w:color w:val="1155CC"/>
            <w:sz w:val="24"/>
            <w:szCs w:val="24"/>
            <w:u w:val="single"/>
          </w:rPr>
          <w:t>https://doi.org/10.1016/j.geoderma.2024.117005</w:t>
        </w:r>
      </w:hyperlink>
      <w:r>
        <w:rPr>
          <w:rFonts w:ascii="Times New Roman" w:eastAsia="Times New Roman" w:hAnsi="Times New Roman" w:cs="Times New Roman"/>
          <w:color w:val="000000"/>
          <w:sz w:val="24"/>
          <w:szCs w:val="24"/>
        </w:rPr>
        <w:t xml:space="preserve"> </w:t>
      </w:r>
    </w:p>
    <w:p w:rsidR="005211FC" w:rsidRDefault="00C70F3B">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Wilding, L. P., &amp; Lin, H. (2006). Advancing the frontiers of soil science towards a geoscience. </w:t>
      </w:r>
      <w:proofErr w:type="spellStart"/>
      <w:r>
        <w:rPr>
          <w:rFonts w:ascii="Times New Roman" w:eastAsia="Times New Roman" w:hAnsi="Times New Roman" w:cs="Times New Roman"/>
          <w:color w:val="000000"/>
          <w:sz w:val="24"/>
          <w:szCs w:val="24"/>
        </w:rPr>
        <w:t>Geoderma</w:t>
      </w:r>
      <w:proofErr w:type="spellEnd"/>
      <w:r>
        <w:rPr>
          <w:rFonts w:ascii="Times New Roman" w:eastAsia="Times New Roman" w:hAnsi="Times New Roman" w:cs="Times New Roman"/>
          <w:color w:val="000000"/>
          <w:sz w:val="24"/>
          <w:szCs w:val="24"/>
        </w:rPr>
        <w:t xml:space="preserve">, 131(3-4), 257-274. </w:t>
      </w:r>
      <w:hyperlink r:id="rId60">
        <w:r>
          <w:rPr>
            <w:rFonts w:ascii="Times New Roman" w:eastAsia="Times New Roman" w:hAnsi="Times New Roman" w:cs="Times New Roman"/>
            <w:color w:val="0000FF"/>
            <w:sz w:val="24"/>
            <w:szCs w:val="24"/>
            <w:u w:val="single"/>
          </w:rPr>
          <w:t>https://doi.org/10.1016/j.geoderma.2005.03.028</w:t>
        </w:r>
      </w:hyperlink>
      <w:r>
        <w:rPr>
          <w:rFonts w:ascii="Times New Roman" w:eastAsia="Times New Roman" w:hAnsi="Times New Roman" w:cs="Times New Roman"/>
          <w:color w:val="000000"/>
          <w:sz w:val="24"/>
          <w:szCs w:val="24"/>
        </w:rPr>
        <w:t xml:space="preserve"> </w:t>
      </w:r>
    </w:p>
    <w:p w:rsidR="005211FC" w:rsidRDefault="005211FC">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sectPr w:rsidR="005211FC">
      <w:pgSz w:w="11907" w:h="16839"/>
      <w:pgMar w:top="1560" w:right="1440" w:bottom="1276" w:left="1440"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0F3B" w:rsidRDefault="00C70F3B">
      <w:pPr>
        <w:spacing w:after="0" w:line="240" w:lineRule="auto"/>
      </w:pPr>
      <w:r>
        <w:separator/>
      </w:r>
    </w:p>
  </w:endnote>
  <w:endnote w:type="continuationSeparator" w:id="0">
    <w:p w:rsidR="00C70F3B" w:rsidRDefault="00C70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57550F7-9906-4D30-9FC2-84B771F3C509}"/>
    <w:embedBold r:id="rId2" w:fontKey="{07540FD6-1421-4ADF-9D11-A2D65F3E2F18}"/>
  </w:font>
  <w:font w:name="Tahoma">
    <w:panose1 w:val="020B0604030504040204"/>
    <w:charset w:val="00"/>
    <w:family w:val="swiss"/>
    <w:pitch w:val="variable"/>
    <w:sig w:usb0="E1002EFF" w:usb1="C000605B" w:usb2="00000029" w:usb3="00000000" w:csb0="000101FF" w:csb1="00000000"/>
    <w:embedRegular r:id="rId3" w:fontKey="{8ED99ED6-2AE5-4A9F-AAB9-194B39A21B3D}"/>
  </w:font>
  <w:font w:name="Georgia">
    <w:panose1 w:val="02040502050405020303"/>
    <w:charset w:val="00"/>
    <w:family w:val="roman"/>
    <w:pitch w:val="variable"/>
    <w:sig w:usb0="00000287" w:usb1="00000000" w:usb2="00000000" w:usb3="00000000" w:csb0="0000009F" w:csb1="00000000"/>
    <w:embedItalic r:id="rId4" w:fontKey="{0894A0AA-DD54-4901-BD80-5DFA57DA1003}"/>
  </w:font>
  <w:font w:name="Cambria Math">
    <w:panose1 w:val="02040503050406030204"/>
    <w:charset w:val="00"/>
    <w:family w:val="roman"/>
    <w:pitch w:val="variable"/>
    <w:sig w:usb0="E00006FF" w:usb1="420024FF" w:usb2="02000000" w:usb3="00000000" w:csb0="0000019F" w:csb1="00000000"/>
    <w:embedRegular r:id="rId5" w:fontKey="{9C04A0F9-C96D-4E53-8408-A42F064CC7B2}"/>
    <w:embedItalic r:id="rId6" w:fontKey="{FD8D7F96-0774-4D7B-8431-02C881CB905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E84B3A26-0D78-46D2-88DA-41431A7B17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FC" w:rsidRDefault="005211F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FC" w:rsidRDefault="005211F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FC" w:rsidRDefault="005211F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0F3B" w:rsidRDefault="00C70F3B">
      <w:pPr>
        <w:spacing w:after="0" w:line="240" w:lineRule="auto"/>
      </w:pPr>
      <w:r>
        <w:separator/>
      </w:r>
    </w:p>
  </w:footnote>
  <w:footnote w:type="continuationSeparator" w:id="0">
    <w:p w:rsidR="00C70F3B" w:rsidRDefault="00C70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FC" w:rsidRDefault="00C70F3B">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3pt;height:100.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FC" w:rsidRDefault="00C70F3B">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3pt;height:100.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FC" w:rsidRDefault="00C70F3B">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3pt;height:100.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EE6073"/>
    <w:multiLevelType w:val="multilevel"/>
    <w:tmpl w:val="CDB2B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3C50DB4"/>
    <w:multiLevelType w:val="multilevel"/>
    <w:tmpl w:val="B2E23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1FC"/>
    <w:rsid w:val="00267005"/>
    <w:rsid w:val="005211FC"/>
    <w:rsid w:val="00C70F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F60FC6"/>
  <w15:docId w15:val="{870D1CAB-1087-4AD3-A2A9-A57980C2D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100" w:after="100" w:line="240" w:lineRule="auto"/>
      <w:jc w:val="center"/>
      <w:outlineLvl w:val="0"/>
    </w:pPr>
    <w:rPr>
      <w:rFonts w:ascii="Times New Roman" w:eastAsia="Times New Roman" w:hAnsi="Times New Roman" w:cs="Times New Roman"/>
      <w:b/>
      <w:bCs/>
      <w:color w:val="000000"/>
      <w:sz w:val="24"/>
      <w:szCs w:val="24"/>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1">
    <w:name w:val="TableNormal"/>
    <w:rsid w:val="00A017D8"/>
    <w:tblPr>
      <w:tblCellMar>
        <w:top w:w="100" w:type="dxa"/>
        <w:left w:w="100" w:type="dxa"/>
        <w:bottom w:w="100" w:type="dxa"/>
        <w:right w:w="100" w:type="dxa"/>
      </w:tblCellMar>
    </w:tblPr>
  </w:style>
  <w:style w:type="paragraph" w:customStyle="1" w:styleId="Normal1">
    <w:name w:val="Normal1"/>
    <w:rsid w:val="00A017D8"/>
  </w:style>
  <w:style w:type="table" w:customStyle="1" w:styleId="a">
    <w:basedOn w:val="TableNormal1"/>
    <w:rsid w:val="00A017D8"/>
    <w:tblPr>
      <w:tblStyleRowBandSize w:val="1"/>
      <w:tblStyleColBandSize w:val="1"/>
      <w:tblCellMar>
        <w:top w:w="0" w:type="dxa"/>
        <w:left w:w="115" w:type="dxa"/>
        <w:bottom w:w="0" w:type="dxa"/>
        <w:right w:w="115" w:type="dxa"/>
      </w:tblCellMar>
    </w:tblPr>
  </w:style>
  <w:style w:type="table" w:customStyle="1" w:styleId="a0">
    <w:basedOn w:val="TableNormal1"/>
    <w:rsid w:val="00A017D8"/>
    <w:tblPr>
      <w:tblStyleRowBandSize w:val="1"/>
      <w:tblStyleColBandSize w:val="1"/>
      <w:tblCellMar>
        <w:top w:w="0" w:type="dxa"/>
        <w:left w:w="115" w:type="dxa"/>
        <w:bottom w:w="0" w:type="dxa"/>
        <w:right w:w="115" w:type="dxa"/>
      </w:tblCellMar>
    </w:tblPr>
  </w:style>
  <w:style w:type="table" w:customStyle="1" w:styleId="a1">
    <w:basedOn w:val="TableNormal1"/>
    <w:rsid w:val="00A017D8"/>
    <w:tblPr>
      <w:tblStyleRowBandSize w:val="1"/>
      <w:tblStyleColBandSize w:val="1"/>
      <w:tblCellMar>
        <w:top w:w="0" w:type="dxa"/>
        <w:left w:w="115" w:type="dxa"/>
        <w:bottom w:w="0" w:type="dxa"/>
        <w:right w:w="115" w:type="dxa"/>
      </w:tblCellMar>
    </w:tblPr>
  </w:style>
  <w:style w:type="table" w:customStyle="1" w:styleId="a2">
    <w:basedOn w:val="TableNormal1"/>
    <w:rsid w:val="00A017D8"/>
    <w:tblPr>
      <w:tblStyleRowBandSize w:val="1"/>
      <w:tblStyleColBandSize w:val="1"/>
      <w:tblCellMar>
        <w:top w:w="0" w:type="dxa"/>
        <w:left w:w="115" w:type="dxa"/>
        <w:bottom w:w="0" w:type="dxa"/>
        <w:right w:w="115" w:type="dxa"/>
      </w:tblCellMar>
    </w:tblPr>
  </w:style>
  <w:style w:type="table" w:customStyle="1" w:styleId="a3">
    <w:basedOn w:val="TableNormal1"/>
    <w:rsid w:val="00A017D8"/>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A017D8"/>
    <w:pPr>
      <w:spacing w:line="240" w:lineRule="auto"/>
    </w:pPr>
    <w:rPr>
      <w:sz w:val="20"/>
      <w:szCs w:val="20"/>
    </w:rPr>
  </w:style>
  <w:style w:type="character" w:customStyle="1" w:styleId="CommentTextChar">
    <w:name w:val="Comment Text Char"/>
    <w:basedOn w:val="DefaultParagraphFont"/>
    <w:link w:val="CommentText"/>
    <w:uiPriority w:val="99"/>
    <w:semiHidden/>
    <w:rsid w:val="00A017D8"/>
    <w:rPr>
      <w:sz w:val="20"/>
      <w:szCs w:val="20"/>
    </w:rPr>
  </w:style>
  <w:style w:type="character" w:styleId="CommentReference">
    <w:name w:val="annotation reference"/>
    <w:basedOn w:val="DefaultParagraphFont"/>
    <w:uiPriority w:val="99"/>
    <w:semiHidden/>
    <w:unhideWhenUsed/>
    <w:rsid w:val="00A017D8"/>
    <w:rPr>
      <w:sz w:val="16"/>
      <w:szCs w:val="16"/>
    </w:rPr>
  </w:style>
  <w:style w:type="paragraph" w:styleId="BalloonText">
    <w:name w:val="Balloon Text"/>
    <w:basedOn w:val="Normal"/>
    <w:link w:val="BalloonTextChar"/>
    <w:uiPriority w:val="99"/>
    <w:semiHidden/>
    <w:unhideWhenUsed/>
    <w:rsid w:val="005A3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C1A"/>
    <w:rPr>
      <w:rFonts w:ascii="Tahoma" w:hAnsi="Tahoma" w:cs="Tahoma"/>
      <w:sz w:val="16"/>
      <w:szCs w:val="16"/>
    </w:rPr>
  </w:style>
  <w:style w:type="character" w:styleId="PlaceholderText">
    <w:name w:val="Placeholder Text"/>
    <w:basedOn w:val="DefaultParagraphFont"/>
    <w:uiPriority w:val="99"/>
    <w:semiHidden/>
    <w:rsid w:val="008A1FF8"/>
    <w:rPr>
      <w:color w:val="808080"/>
    </w:rPr>
  </w:style>
  <w:style w:type="paragraph" w:styleId="Header">
    <w:name w:val="header"/>
    <w:basedOn w:val="Normal"/>
    <w:link w:val="HeaderChar"/>
    <w:uiPriority w:val="99"/>
    <w:unhideWhenUsed/>
    <w:rsid w:val="00CC2F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F09"/>
  </w:style>
  <w:style w:type="paragraph" w:styleId="Footer">
    <w:name w:val="footer"/>
    <w:basedOn w:val="Normal"/>
    <w:link w:val="FooterChar"/>
    <w:uiPriority w:val="99"/>
    <w:unhideWhenUsed/>
    <w:rsid w:val="00CC2F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F09"/>
  </w:style>
  <w:style w:type="character" w:styleId="Hyperlink">
    <w:name w:val="Hyperlink"/>
    <w:basedOn w:val="DefaultParagraphFont"/>
    <w:uiPriority w:val="99"/>
    <w:unhideWhenUsed/>
    <w:rsid w:val="001D6D5D"/>
    <w:rPr>
      <w:color w:val="0000FF" w:themeColor="hyperlink"/>
      <w:u w:val="single"/>
    </w:rPr>
  </w:style>
  <w:style w:type="character" w:styleId="UnresolvedMention">
    <w:name w:val="Unresolved Mention"/>
    <w:basedOn w:val="DefaultParagraphFont"/>
    <w:uiPriority w:val="99"/>
    <w:semiHidden/>
    <w:unhideWhenUsed/>
    <w:rsid w:val="001D6D5D"/>
    <w:rPr>
      <w:color w:val="605E5C"/>
      <w:shd w:val="clear" w:color="auto" w:fill="E1DFDD"/>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yperlink" Target="https://doi.org/10.1097/00010694-194501000-00006" TargetMode="External"/><Relationship Id="rId21" Type="http://schemas.openxmlformats.org/officeDocument/2006/relationships/image" Target="media/image14.jpg"/><Relationship Id="rId34" Type="http://schemas.openxmlformats.org/officeDocument/2006/relationships/header" Target="header3.xml"/><Relationship Id="rId42" Type="http://schemas.openxmlformats.org/officeDocument/2006/relationships/hyperlink" Target="https://doi.org/10.1016/j.geoderma.2008.04.006" TargetMode="External"/><Relationship Id="rId47" Type="http://schemas.openxmlformats.org/officeDocument/2006/relationships/hyperlink" Target="https://doi.org/10.3390/su9081299" TargetMode="External"/><Relationship Id="rId50" Type="http://schemas.openxmlformats.org/officeDocument/2006/relationships/hyperlink" Target="https://www.balticforestry.mi.lt/bf/PDF_Articles/2015-21%5b1%5d/Acidity%20and%20Electrical%20Conductivity%20Changes%20in%20Runoff%20Water%20from%20Ditches%20of%20Paved%20and%20Unpaved%20Forest%20Roads.pdf" TargetMode="External"/><Relationship Id="rId55" Type="http://schemas.openxmlformats.org/officeDocument/2006/relationships/hyperlink" Target="https://doi.org/10.1088/1755-1315/1158/2/02202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hyperlink" Target="https://doi.org/10.47815/apsr.2023.10242" TargetMode="External"/><Relationship Id="rId40" Type="http://schemas.openxmlformats.org/officeDocument/2006/relationships/hyperlink" Target="https://doi.org/10.1097/00010694-195112000-00005" TargetMode="External"/><Relationship Id="rId45" Type="http://schemas.openxmlformats.org/officeDocument/2006/relationships/hyperlink" Target="https://doi.org/10.3390/f15111897" TargetMode="External"/><Relationship Id="rId53" Type="http://schemas.openxmlformats.org/officeDocument/2006/relationships/hyperlink" Target="https://doi.org/10.5958/0974-0228.2016.00050.5" TargetMode="External"/><Relationship Id="rId58" Type="http://schemas.openxmlformats.org/officeDocument/2006/relationships/hyperlink" Target="https://doi.org/10.1097/00010694-193401000-00003"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doi.org/10.9734/ijecc/2023/v13i102672" TargetMode="External"/><Relationship Id="rId48" Type="http://schemas.openxmlformats.org/officeDocument/2006/relationships/hyperlink" Target="https://www.researchgate.net/publication/259295824_Effect_of_slope_position_on_physico-chemical_properties_of_eroded_soil" TargetMode="External"/><Relationship Id="rId56" Type="http://schemas.openxmlformats.org/officeDocument/2006/relationships/hyperlink" Target="https://doi.org/10.1007/978-981-16-3383-6_35" TargetMode="External"/><Relationship Id="rId8" Type="http://schemas.openxmlformats.org/officeDocument/2006/relationships/image" Target="media/image1.jpg"/><Relationship Id="rId51" Type="http://schemas.openxmlformats.org/officeDocument/2006/relationships/hyperlink" Target="http://www.gkvsociety.com/index.php"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2.xml"/><Relationship Id="rId38" Type="http://schemas.openxmlformats.org/officeDocument/2006/relationships/hyperlink" Target="https://doi.org/10.2134/agronmonogr9.1" TargetMode="External"/><Relationship Id="rId46" Type="http://schemas.openxmlformats.org/officeDocument/2006/relationships/hyperlink" Target="https://doi.org/10.20546/ijcmas.2018.708.180" TargetMode="External"/><Relationship Id="rId59" Type="http://schemas.openxmlformats.org/officeDocument/2006/relationships/hyperlink" Target="https://doi.org/10.1016/j.geoderma.2024.117005" TargetMode="External"/><Relationship Id="rId20" Type="http://schemas.openxmlformats.org/officeDocument/2006/relationships/image" Target="media/image13.jpg"/><Relationship Id="rId41" Type="http://schemas.openxmlformats.org/officeDocument/2006/relationships/hyperlink" Target="https://doi.org/10.2136/sssaj1951.036159950015000C0032x" TargetMode="External"/><Relationship Id="rId54" Type="http://schemas.openxmlformats.org/officeDocument/2006/relationships/hyperlink" Target="https://doi.org/10.5958/2230-732X.2015.00043.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s://doi.org/10.20546/ijcmas.2017.607.394" TargetMode="External"/><Relationship Id="rId49" Type="http://schemas.openxmlformats.org/officeDocument/2006/relationships/hyperlink" Target="https://doi.org/10.1186/s13765-023-00849-4" TargetMode="External"/><Relationship Id="rId57" Type="http://schemas.openxmlformats.org/officeDocument/2006/relationships/hyperlink" Target="https://doi.org/10.20546/ijcmas.2018.705.165" TargetMode="External"/><Relationship Id="rId10" Type="http://schemas.openxmlformats.org/officeDocument/2006/relationships/image" Target="media/image3.jpg"/><Relationship Id="rId31" Type="http://schemas.openxmlformats.org/officeDocument/2006/relationships/header" Target="header2.xml"/><Relationship Id="rId44" Type="http://schemas.openxmlformats.org/officeDocument/2006/relationships/hyperlink" Target="https://doi.org/10.36783/18069657rbcs20240201" TargetMode="External"/><Relationship Id="rId52" Type="http://schemas.openxmlformats.org/officeDocument/2006/relationships/hyperlink" Target="https://doi.org/10.3390/agriculture10080357" TargetMode="External"/><Relationship Id="rId60" Type="http://schemas.openxmlformats.org/officeDocument/2006/relationships/hyperlink" Target="https://doi.org/10.1016/j.geoderma.2005.03.028" TargetMode="Externa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4b7QOIGgySXfgV09KlnKBmDLQ==">CgMxLjAyDmgubDVoOGxic2swZnQ0Mg5oLnFwZXZxN2djbmx5ejgAciExeXlTb2dFXzAydDJybkZQS2pXT3BZLWxNanlYVTloVUc=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4299</Words>
  <Characters>24509</Characters>
  <Application>Microsoft Office Word</Application>
  <DocSecurity>0</DocSecurity>
  <Lines>204</Lines>
  <Paragraphs>57</Paragraphs>
  <ScaleCrop>false</ScaleCrop>
  <Company/>
  <LinksUpToDate>false</LinksUpToDate>
  <CharactersWithSpaces>28751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ScholarCraft</dc:creator>
  <cp:lastModifiedBy>SDI 1089</cp:lastModifiedBy>
  <cp:revision>2</cp:revision>
  <dcterms:created xsi:type="dcterms:W3CDTF">2025-12-14T05:43:00Z</dcterms:created>
  <dcterms:modified xsi:type="dcterms:W3CDTF">2025-12-27T05:59:00Z</dcterms:modified>
</cp:coreProperties>
</file>